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9737F" w14:textId="77777777" w:rsidR="00C71504" w:rsidRPr="0090014B" w:rsidRDefault="00353AB7">
      <w:pPr>
        <w:ind w:right="-426"/>
        <w:rPr>
          <w:rFonts w:asciiTheme="majorHAnsi" w:hAnsiTheme="majorHAnsi" w:cstheme="majorHAnsi"/>
          <w:sz w:val="22"/>
          <w:szCs w:val="22"/>
        </w:rPr>
      </w:pPr>
      <w:r w:rsidRPr="0090014B">
        <w:rPr>
          <w:rFonts w:asciiTheme="majorHAnsi" w:hAnsiTheme="majorHAnsi" w:cstheme="majorHAnsi"/>
          <w:b/>
          <w:noProof/>
          <w:color w:val="000000"/>
          <w:sz w:val="22"/>
          <w:szCs w:val="22"/>
        </w:rPr>
        <w:drawing>
          <wp:inline distT="0" distB="0" distL="0" distR="0" wp14:anchorId="5B1AE6FE" wp14:editId="321C7424">
            <wp:extent cx="1104900" cy="834252"/>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04900" cy="834252"/>
                    </a:xfrm>
                    <a:prstGeom prst="rect">
                      <a:avLst/>
                    </a:prstGeom>
                    <a:ln/>
                  </pic:spPr>
                </pic:pic>
              </a:graphicData>
            </a:graphic>
          </wp:inline>
        </w:drawing>
      </w:r>
      <w:r w:rsidRPr="0090014B">
        <w:rPr>
          <w:rFonts w:asciiTheme="majorHAnsi" w:hAnsiTheme="majorHAnsi" w:cstheme="majorHAnsi"/>
          <w:b/>
          <w:color w:val="000000"/>
          <w:sz w:val="22"/>
          <w:szCs w:val="22"/>
        </w:rPr>
        <w:t xml:space="preserve">     </w:t>
      </w:r>
      <w:r w:rsidRPr="0090014B">
        <w:rPr>
          <w:rFonts w:asciiTheme="majorHAnsi" w:hAnsiTheme="majorHAnsi" w:cstheme="majorHAnsi"/>
          <w:noProof/>
          <w:sz w:val="22"/>
          <w:szCs w:val="22"/>
        </w:rPr>
        <w:drawing>
          <wp:inline distT="0" distB="0" distL="0" distR="0" wp14:anchorId="08A06911" wp14:editId="0CEB5871">
            <wp:extent cx="1087014" cy="1106695"/>
            <wp:effectExtent l="0" t="0" r="0" b="0"/>
            <wp:docPr id="50" name="image4.jpg" descr="RÃ©sultat de recherche d'images pour &quot;CAFI logo&quot;"/>
            <wp:cNvGraphicFramePr/>
            <a:graphic xmlns:a="http://schemas.openxmlformats.org/drawingml/2006/main">
              <a:graphicData uri="http://schemas.openxmlformats.org/drawingml/2006/picture">
                <pic:pic xmlns:pic="http://schemas.openxmlformats.org/drawingml/2006/picture">
                  <pic:nvPicPr>
                    <pic:cNvPr id="0" name="image4.jpg" descr="RÃ©sultat de recherche d'images pour &quot;CAFI logo&quot;"/>
                    <pic:cNvPicPr preferRelativeResize="0"/>
                  </pic:nvPicPr>
                  <pic:blipFill>
                    <a:blip r:embed="rId10"/>
                    <a:srcRect/>
                    <a:stretch>
                      <a:fillRect/>
                    </a:stretch>
                  </pic:blipFill>
                  <pic:spPr>
                    <a:xfrm>
                      <a:off x="0" y="0"/>
                      <a:ext cx="1087014" cy="1106695"/>
                    </a:xfrm>
                    <a:prstGeom prst="rect">
                      <a:avLst/>
                    </a:prstGeom>
                    <a:ln/>
                  </pic:spPr>
                </pic:pic>
              </a:graphicData>
            </a:graphic>
          </wp:inline>
        </w:drawing>
      </w:r>
      <w:r w:rsidRPr="0090014B">
        <w:rPr>
          <w:rFonts w:asciiTheme="majorHAnsi" w:hAnsiTheme="majorHAnsi" w:cstheme="majorHAnsi"/>
          <w:noProof/>
          <w:sz w:val="22"/>
          <w:szCs w:val="22"/>
        </w:rPr>
        <w:drawing>
          <wp:inline distT="0" distB="0" distL="0" distR="0" wp14:anchorId="3BACA16C" wp14:editId="68B972D1">
            <wp:extent cx="1110448" cy="841907"/>
            <wp:effectExtent l="0" t="0" r="0" b="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10448" cy="841907"/>
                    </a:xfrm>
                    <a:prstGeom prst="rect">
                      <a:avLst/>
                    </a:prstGeom>
                    <a:ln/>
                  </pic:spPr>
                </pic:pic>
              </a:graphicData>
            </a:graphic>
          </wp:inline>
        </w:drawing>
      </w:r>
      <w:r w:rsidRPr="0090014B">
        <w:rPr>
          <w:rFonts w:asciiTheme="majorHAnsi" w:hAnsiTheme="majorHAnsi" w:cstheme="majorHAnsi"/>
          <w:noProof/>
          <w:sz w:val="22"/>
          <w:szCs w:val="22"/>
        </w:rPr>
        <w:drawing>
          <wp:inline distT="0" distB="0" distL="0" distR="0" wp14:anchorId="2D7699D0" wp14:editId="39F78AE4">
            <wp:extent cx="863909" cy="924574"/>
            <wp:effectExtent l="0" t="0" r="0" b="0"/>
            <wp:docPr id="52" name="image5.png" descr="RÃ©sultat de recherche d'images pour &quot;UNCDF logo&quot;"/>
            <wp:cNvGraphicFramePr/>
            <a:graphic xmlns:a="http://schemas.openxmlformats.org/drawingml/2006/main">
              <a:graphicData uri="http://schemas.openxmlformats.org/drawingml/2006/picture">
                <pic:pic xmlns:pic="http://schemas.openxmlformats.org/drawingml/2006/picture">
                  <pic:nvPicPr>
                    <pic:cNvPr id="0" name="image5.png" descr="RÃ©sultat de recherche d'images pour &quot;UNCDF logo&quot;"/>
                    <pic:cNvPicPr preferRelativeResize="0"/>
                  </pic:nvPicPr>
                  <pic:blipFill>
                    <a:blip r:embed="rId12"/>
                    <a:srcRect/>
                    <a:stretch>
                      <a:fillRect/>
                    </a:stretch>
                  </pic:blipFill>
                  <pic:spPr>
                    <a:xfrm>
                      <a:off x="0" y="0"/>
                      <a:ext cx="863909" cy="924574"/>
                    </a:xfrm>
                    <a:prstGeom prst="rect">
                      <a:avLst/>
                    </a:prstGeom>
                    <a:ln/>
                  </pic:spPr>
                </pic:pic>
              </a:graphicData>
            </a:graphic>
          </wp:inline>
        </w:drawing>
      </w:r>
      <w:r w:rsidRPr="0090014B">
        <w:rPr>
          <w:rFonts w:asciiTheme="majorHAnsi" w:hAnsiTheme="majorHAnsi" w:cstheme="majorHAnsi"/>
          <w:b/>
          <w:color w:val="000000"/>
          <w:sz w:val="22"/>
          <w:szCs w:val="22"/>
        </w:rPr>
        <w:t xml:space="preserve">            </w:t>
      </w:r>
      <w:r w:rsidRPr="0090014B">
        <w:rPr>
          <w:rFonts w:asciiTheme="majorHAnsi" w:hAnsiTheme="majorHAnsi" w:cstheme="majorHAnsi"/>
          <w:noProof/>
          <w:sz w:val="22"/>
          <w:szCs w:val="22"/>
        </w:rPr>
        <w:drawing>
          <wp:inline distT="0" distB="0" distL="0" distR="0" wp14:anchorId="68982DDC" wp14:editId="31243361">
            <wp:extent cx="654507" cy="1157659"/>
            <wp:effectExtent l="0" t="0" r="0" b="0"/>
            <wp:docPr id="51" name="image3.png" descr="cid:image001.png@01D29297.183502D0"/>
            <wp:cNvGraphicFramePr/>
            <a:graphic xmlns:a="http://schemas.openxmlformats.org/drawingml/2006/main">
              <a:graphicData uri="http://schemas.openxmlformats.org/drawingml/2006/picture">
                <pic:pic xmlns:pic="http://schemas.openxmlformats.org/drawingml/2006/picture">
                  <pic:nvPicPr>
                    <pic:cNvPr id="0" name="image3.png" descr="cid:image001.png@01D29297.183502D0"/>
                    <pic:cNvPicPr preferRelativeResize="0"/>
                  </pic:nvPicPr>
                  <pic:blipFill>
                    <a:blip r:embed="rId13"/>
                    <a:srcRect r="4726" b="27806"/>
                    <a:stretch>
                      <a:fillRect/>
                    </a:stretch>
                  </pic:blipFill>
                  <pic:spPr>
                    <a:xfrm>
                      <a:off x="0" y="0"/>
                      <a:ext cx="654507" cy="1157659"/>
                    </a:xfrm>
                    <a:prstGeom prst="rect">
                      <a:avLst/>
                    </a:prstGeom>
                    <a:ln/>
                  </pic:spPr>
                </pic:pic>
              </a:graphicData>
            </a:graphic>
          </wp:inline>
        </w:drawing>
      </w:r>
    </w:p>
    <w:p w14:paraId="3010BE8E" w14:textId="77777777" w:rsidR="00C71504" w:rsidRPr="0090014B" w:rsidRDefault="00C71504">
      <w:pPr>
        <w:widowControl w:val="0"/>
        <w:pBdr>
          <w:top w:val="nil"/>
          <w:left w:val="nil"/>
          <w:bottom w:val="nil"/>
          <w:right w:val="nil"/>
          <w:between w:val="nil"/>
        </w:pBdr>
        <w:spacing w:after="0" w:line="276" w:lineRule="auto"/>
        <w:ind w:left="0" w:right="0" w:firstLine="0"/>
        <w:jc w:val="left"/>
        <w:rPr>
          <w:rFonts w:asciiTheme="majorHAnsi" w:eastAsia="Arial" w:hAnsiTheme="majorHAnsi" w:cstheme="majorHAnsi"/>
          <w:color w:val="000000"/>
          <w:sz w:val="22"/>
          <w:szCs w:val="22"/>
        </w:rPr>
      </w:pPr>
    </w:p>
    <w:tbl>
      <w:tblPr>
        <w:tblStyle w:val="12"/>
        <w:tblW w:w="876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88"/>
        <w:gridCol w:w="2021"/>
        <w:gridCol w:w="2756"/>
      </w:tblGrid>
      <w:tr w:rsidR="00C71504" w:rsidRPr="0090014B" w14:paraId="131D2313" w14:textId="77777777">
        <w:tc>
          <w:tcPr>
            <w:tcW w:w="3988" w:type="dxa"/>
          </w:tcPr>
          <w:p w14:paraId="0D6B2B40" w14:textId="77777777" w:rsidR="00C71504" w:rsidRPr="0090014B" w:rsidRDefault="00C71504">
            <w:pPr>
              <w:rPr>
                <w:rFonts w:asciiTheme="majorHAnsi" w:hAnsiTheme="majorHAnsi" w:cstheme="majorHAnsi"/>
                <w:sz w:val="22"/>
                <w:szCs w:val="22"/>
              </w:rPr>
            </w:pPr>
            <w:bookmarkStart w:id="0" w:name="_heading=h.gjdgxs" w:colFirst="0" w:colLast="0"/>
            <w:bookmarkEnd w:id="0"/>
          </w:p>
        </w:tc>
        <w:tc>
          <w:tcPr>
            <w:tcW w:w="2021" w:type="dxa"/>
          </w:tcPr>
          <w:p w14:paraId="6366EBAC" w14:textId="77777777" w:rsidR="00C71504" w:rsidRPr="0090014B" w:rsidRDefault="00C71504">
            <w:pPr>
              <w:jc w:val="center"/>
              <w:rPr>
                <w:rFonts w:asciiTheme="majorHAnsi" w:hAnsiTheme="majorHAnsi" w:cstheme="majorHAnsi"/>
                <w:sz w:val="22"/>
                <w:szCs w:val="22"/>
              </w:rPr>
            </w:pPr>
          </w:p>
        </w:tc>
        <w:tc>
          <w:tcPr>
            <w:tcW w:w="2756" w:type="dxa"/>
          </w:tcPr>
          <w:p w14:paraId="7E6C12E0" w14:textId="77777777" w:rsidR="00C71504" w:rsidRPr="0090014B" w:rsidRDefault="00C71504">
            <w:pPr>
              <w:ind w:left="1347" w:right="-136" w:firstLine="10"/>
              <w:jc w:val="right"/>
              <w:rPr>
                <w:rFonts w:asciiTheme="majorHAnsi" w:hAnsiTheme="majorHAnsi" w:cstheme="majorHAnsi"/>
                <w:sz w:val="22"/>
                <w:szCs w:val="22"/>
              </w:rPr>
            </w:pPr>
          </w:p>
        </w:tc>
      </w:tr>
    </w:tbl>
    <w:p w14:paraId="5FD74194" w14:textId="77777777" w:rsidR="00C71504" w:rsidRPr="0090014B" w:rsidRDefault="00C71504">
      <w:pPr>
        <w:spacing w:before="240"/>
        <w:jc w:val="center"/>
        <w:rPr>
          <w:rFonts w:asciiTheme="majorHAnsi" w:hAnsiTheme="majorHAnsi" w:cstheme="majorHAnsi"/>
          <w:b/>
          <w:sz w:val="22"/>
          <w:szCs w:val="22"/>
        </w:rPr>
      </w:pPr>
      <w:bookmarkStart w:id="1" w:name="_heading=h.30j0zll" w:colFirst="0" w:colLast="0"/>
      <w:bookmarkEnd w:id="1"/>
    </w:p>
    <w:p w14:paraId="5FFBB503" w14:textId="77777777" w:rsidR="00C71504" w:rsidRPr="0090014B" w:rsidRDefault="00C71504">
      <w:pPr>
        <w:spacing w:before="240"/>
        <w:jc w:val="center"/>
        <w:rPr>
          <w:rFonts w:asciiTheme="majorHAnsi" w:hAnsiTheme="majorHAnsi" w:cstheme="majorHAnsi"/>
          <w:b/>
          <w:sz w:val="22"/>
          <w:szCs w:val="22"/>
        </w:rPr>
      </w:pPr>
    </w:p>
    <w:p w14:paraId="565C23A8" w14:textId="77777777" w:rsidR="00C71504" w:rsidRPr="0090014B" w:rsidRDefault="00C71504">
      <w:pPr>
        <w:spacing w:before="240"/>
        <w:jc w:val="center"/>
        <w:rPr>
          <w:rFonts w:asciiTheme="majorHAnsi" w:hAnsiTheme="majorHAnsi" w:cstheme="majorHAnsi"/>
          <w:b/>
          <w:sz w:val="22"/>
          <w:szCs w:val="22"/>
        </w:rPr>
      </w:pPr>
    </w:p>
    <w:p w14:paraId="27D0CFA1" w14:textId="77777777" w:rsidR="00C71504" w:rsidRPr="0090014B" w:rsidRDefault="00C71504">
      <w:pPr>
        <w:spacing w:before="240"/>
        <w:jc w:val="center"/>
        <w:rPr>
          <w:rFonts w:asciiTheme="majorHAnsi" w:hAnsiTheme="majorHAnsi" w:cstheme="majorHAnsi"/>
          <w:b/>
          <w:sz w:val="22"/>
          <w:szCs w:val="22"/>
        </w:rPr>
      </w:pPr>
    </w:p>
    <w:p w14:paraId="10BA2709" w14:textId="77777777" w:rsidR="00C71504" w:rsidRPr="0090014B" w:rsidRDefault="00C71504">
      <w:pPr>
        <w:spacing w:before="240"/>
        <w:jc w:val="center"/>
        <w:rPr>
          <w:rFonts w:asciiTheme="majorHAnsi" w:hAnsiTheme="majorHAnsi" w:cstheme="majorHAnsi"/>
          <w:b/>
          <w:sz w:val="22"/>
          <w:szCs w:val="22"/>
        </w:rPr>
      </w:pPr>
    </w:p>
    <w:p w14:paraId="50784C0D" w14:textId="77777777" w:rsidR="00C71504" w:rsidRPr="0090014B" w:rsidRDefault="00353AB7">
      <w:pPr>
        <w:spacing w:before="240"/>
        <w:jc w:val="center"/>
        <w:rPr>
          <w:rFonts w:asciiTheme="majorHAnsi" w:hAnsiTheme="majorHAnsi" w:cstheme="majorHAnsi"/>
          <w:b/>
          <w:sz w:val="22"/>
          <w:szCs w:val="22"/>
        </w:rPr>
      </w:pPr>
      <w:r w:rsidRPr="0090014B">
        <w:rPr>
          <w:rFonts w:asciiTheme="majorHAnsi" w:hAnsiTheme="majorHAnsi" w:cstheme="majorHAnsi"/>
          <w:b/>
          <w:sz w:val="22"/>
          <w:szCs w:val="22"/>
        </w:rPr>
        <w:t>PROGRAMME DE CONSOMMATION DURABLE ET SUBSTITUTION PARTIELLE AU BOIS ENERGIE EN RDC</w:t>
      </w:r>
    </w:p>
    <w:p w14:paraId="320A6903" w14:textId="77777777" w:rsidR="00C71504" w:rsidRPr="0090014B" w:rsidRDefault="00C71504">
      <w:pPr>
        <w:spacing w:after="160" w:line="259" w:lineRule="auto"/>
        <w:ind w:left="0" w:right="0" w:firstLine="0"/>
        <w:jc w:val="left"/>
        <w:rPr>
          <w:rFonts w:asciiTheme="majorHAnsi" w:hAnsiTheme="majorHAnsi" w:cstheme="majorHAnsi"/>
          <w:b/>
          <w:color w:val="0070C0"/>
          <w:sz w:val="22"/>
          <w:szCs w:val="22"/>
        </w:rPr>
      </w:pPr>
    </w:p>
    <w:p w14:paraId="546B6D35" w14:textId="77777777" w:rsidR="00C71504" w:rsidRPr="0090014B" w:rsidRDefault="00C71504">
      <w:pPr>
        <w:jc w:val="center"/>
        <w:rPr>
          <w:rFonts w:asciiTheme="majorHAnsi" w:hAnsiTheme="majorHAnsi" w:cstheme="majorHAnsi"/>
          <w:b/>
          <w:color w:val="0070C0"/>
          <w:sz w:val="22"/>
          <w:szCs w:val="22"/>
        </w:rPr>
      </w:pPr>
    </w:p>
    <w:p w14:paraId="38497148" w14:textId="77777777" w:rsidR="00C71504" w:rsidRPr="0090014B" w:rsidRDefault="00C71504">
      <w:pPr>
        <w:jc w:val="center"/>
        <w:rPr>
          <w:rFonts w:asciiTheme="majorHAnsi" w:hAnsiTheme="majorHAnsi" w:cstheme="majorHAnsi"/>
          <w:b/>
          <w:color w:val="0070C0"/>
          <w:sz w:val="22"/>
          <w:szCs w:val="22"/>
        </w:rPr>
      </w:pPr>
    </w:p>
    <w:p w14:paraId="748BA7A0" w14:textId="77777777" w:rsidR="00C71504" w:rsidRPr="0090014B" w:rsidRDefault="00C71504">
      <w:pPr>
        <w:jc w:val="center"/>
        <w:rPr>
          <w:rFonts w:asciiTheme="majorHAnsi" w:hAnsiTheme="majorHAnsi" w:cstheme="majorHAnsi"/>
          <w:b/>
          <w:color w:val="0070C0"/>
          <w:sz w:val="22"/>
          <w:szCs w:val="22"/>
        </w:rPr>
      </w:pPr>
    </w:p>
    <w:p w14:paraId="2CAAA87A" w14:textId="77777777" w:rsidR="00C71504" w:rsidRPr="0090014B" w:rsidRDefault="00C71504">
      <w:pPr>
        <w:jc w:val="center"/>
        <w:rPr>
          <w:rFonts w:asciiTheme="majorHAnsi" w:hAnsiTheme="majorHAnsi" w:cstheme="majorHAnsi"/>
          <w:b/>
          <w:color w:val="0070C0"/>
          <w:sz w:val="22"/>
          <w:szCs w:val="22"/>
        </w:rPr>
      </w:pPr>
    </w:p>
    <w:p w14:paraId="2A0E13D5" w14:textId="77777777" w:rsidR="00C71504" w:rsidRPr="0090014B" w:rsidRDefault="00353AB7">
      <w:pPr>
        <w:jc w:val="center"/>
        <w:rPr>
          <w:rFonts w:asciiTheme="majorHAnsi" w:hAnsiTheme="majorHAnsi" w:cstheme="majorHAnsi"/>
          <w:b/>
          <w:color w:val="0070C0"/>
          <w:sz w:val="22"/>
          <w:szCs w:val="22"/>
        </w:rPr>
      </w:pPr>
      <w:r w:rsidRPr="0090014B">
        <w:rPr>
          <w:rFonts w:asciiTheme="majorHAnsi" w:hAnsiTheme="majorHAnsi" w:cstheme="majorHAnsi"/>
          <w:b/>
          <w:color w:val="0070C0"/>
          <w:sz w:val="22"/>
          <w:szCs w:val="22"/>
        </w:rPr>
        <w:t>RAPPORT D’ACTIVITE</w:t>
      </w:r>
    </w:p>
    <w:p w14:paraId="791B9F1A" w14:textId="77777777" w:rsidR="00C71504" w:rsidRPr="0090014B" w:rsidRDefault="00353AB7">
      <w:pPr>
        <w:jc w:val="center"/>
        <w:rPr>
          <w:rFonts w:asciiTheme="majorHAnsi" w:hAnsiTheme="majorHAnsi" w:cstheme="majorHAnsi"/>
          <w:b/>
          <w:color w:val="0070C0"/>
          <w:sz w:val="22"/>
          <w:szCs w:val="22"/>
        </w:rPr>
      </w:pPr>
      <w:r w:rsidRPr="0090014B">
        <w:rPr>
          <w:rFonts w:asciiTheme="majorHAnsi" w:hAnsiTheme="majorHAnsi" w:cstheme="majorHAnsi"/>
          <w:b/>
          <w:color w:val="0070C0"/>
          <w:sz w:val="22"/>
          <w:szCs w:val="22"/>
        </w:rPr>
        <w:t xml:space="preserve">JANVIER – DECEMBRE 2020 </w:t>
      </w:r>
    </w:p>
    <w:p w14:paraId="33B3A8A6" w14:textId="77777777" w:rsidR="00C71504" w:rsidRPr="0090014B" w:rsidRDefault="00353AB7">
      <w:pPr>
        <w:spacing w:after="160" w:line="259" w:lineRule="auto"/>
        <w:ind w:left="0" w:right="0" w:firstLine="0"/>
        <w:jc w:val="left"/>
        <w:rPr>
          <w:rFonts w:asciiTheme="majorHAnsi" w:hAnsiTheme="majorHAnsi" w:cstheme="majorHAnsi"/>
          <w:b/>
          <w:color w:val="0070C0"/>
          <w:sz w:val="22"/>
          <w:szCs w:val="22"/>
        </w:rPr>
      </w:pPr>
      <w:r w:rsidRPr="0090014B">
        <w:rPr>
          <w:rFonts w:asciiTheme="majorHAnsi" w:hAnsiTheme="majorHAnsi" w:cstheme="majorHAnsi"/>
          <w:sz w:val="22"/>
          <w:szCs w:val="22"/>
        </w:rPr>
        <w:br w:type="page"/>
      </w:r>
    </w:p>
    <w:p w14:paraId="0E59BA0E" w14:textId="77777777" w:rsidR="00C71504" w:rsidRPr="0090014B" w:rsidRDefault="00353AB7">
      <w:pPr>
        <w:keepNext/>
        <w:keepLines/>
        <w:pBdr>
          <w:top w:val="nil"/>
          <w:left w:val="nil"/>
          <w:bottom w:val="nil"/>
          <w:right w:val="nil"/>
          <w:between w:val="nil"/>
        </w:pBdr>
        <w:spacing w:before="240" w:after="0" w:line="259" w:lineRule="auto"/>
        <w:ind w:left="0" w:right="0" w:firstLine="0"/>
        <w:jc w:val="left"/>
        <w:rPr>
          <w:rFonts w:asciiTheme="majorHAnsi" w:hAnsiTheme="majorHAnsi" w:cstheme="majorHAnsi"/>
          <w:color w:val="2F5496"/>
          <w:sz w:val="22"/>
          <w:szCs w:val="22"/>
        </w:rPr>
      </w:pPr>
      <w:r w:rsidRPr="0090014B">
        <w:rPr>
          <w:rFonts w:asciiTheme="majorHAnsi" w:hAnsiTheme="majorHAnsi" w:cstheme="majorHAnsi"/>
          <w:color w:val="2F5496"/>
          <w:sz w:val="22"/>
          <w:szCs w:val="22"/>
        </w:rPr>
        <w:lastRenderedPageBreak/>
        <w:t>Table des matières</w:t>
      </w:r>
    </w:p>
    <w:sdt>
      <w:sdtPr>
        <w:rPr>
          <w:rFonts w:asciiTheme="majorHAnsi" w:hAnsiTheme="majorHAnsi" w:cstheme="majorHAnsi"/>
          <w:sz w:val="22"/>
          <w:szCs w:val="22"/>
        </w:rPr>
        <w:id w:val="-1169952849"/>
        <w:docPartObj>
          <w:docPartGallery w:val="Table of Contents"/>
          <w:docPartUnique/>
        </w:docPartObj>
      </w:sdtPr>
      <w:sdtEndPr/>
      <w:sdtContent>
        <w:p w14:paraId="23436515" w14:textId="77777777" w:rsidR="00C71504" w:rsidRPr="0090014B" w:rsidRDefault="00353AB7">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r w:rsidRPr="0090014B">
            <w:rPr>
              <w:rFonts w:asciiTheme="majorHAnsi" w:hAnsiTheme="majorHAnsi" w:cstheme="majorHAnsi"/>
              <w:sz w:val="22"/>
              <w:szCs w:val="22"/>
            </w:rPr>
            <w:fldChar w:fldCharType="begin"/>
          </w:r>
          <w:r w:rsidRPr="0090014B">
            <w:rPr>
              <w:rFonts w:asciiTheme="majorHAnsi" w:hAnsiTheme="majorHAnsi" w:cstheme="majorHAnsi"/>
              <w:sz w:val="22"/>
              <w:szCs w:val="22"/>
            </w:rPr>
            <w:instrText xml:space="preserve"> TOC \h \u \z </w:instrText>
          </w:r>
          <w:r w:rsidRPr="0090014B">
            <w:rPr>
              <w:rFonts w:asciiTheme="majorHAnsi" w:hAnsiTheme="majorHAnsi" w:cstheme="majorHAnsi"/>
              <w:sz w:val="22"/>
              <w:szCs w:val="22"/>
            </w:rPr>
            <w:fldChar w:fldCharType="separate"/>
          </w:r>
          <w:hyperlink w:anchor="_heading=h.1fob9te">
            <w:r w:rsidRPr="0090014B">
              <w:rPr>
                <w:rFonts w:asciiTheme="majorHAnsi" w:hAnsiTheme="majorHAnsi" w:cstheme="majorHAnsi"/>
                <w:color w:val="000000"/>
                <w:sz w:val="22"/>
                <w:szCs w:val="22"/>
              </w:rPr>
              <w:t>1.</w:t>
            </w:r>
            <w:r w:rsidRPr="0090014B">
              <w:rPr>
                <w:rFonts w:asciiTheme="majorHAnsi" w:hAnsiTheme="majorHAnsi" w:cstheme="majorHAnsi"/>
                <w:color w:val="000000"/>
                <w:sz w:val="22"/>
                <w:szCs w:val="22"/>
              </w:rPr>
              <w:tab/>
              <w:t>Données clés du programme REDD+</w:t>
            </w:r>
            <w:r w:rsidRPr="0090014B">
              <w:rPr>
                <w:rFonts w:asciiTheme="majorHAnsi" w:hAnsiTheme="majorHAnsi" w:cstheme="majorHAnsi"/>
                <w:color w:val="000000"/>
                <w:sz w:val="22"/>
                <w:szCs w:val="22"/>
              </w:rPr>
              <w:tab/>
              <w:t>3</w:t>
            </w:r>
          </w:hyperlink>
        </w:p>
        <w:p w14:paraId="6B89A0BB"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3znysh7">
            <w:r w:rsidR="00353AB7" w:rsidRPr="0090014B">
              <w:rPr>
                <w:rFonts w:asciiTheme="majorHAnsi" w:hAnsiTheme="majorHAnsi" w:cstheme="majorHAnsi"/>
                <w:color w:val="000000"/>
                <w:sz w:val="22"/>
                <w:szCs w:val="22"/>
              </w:rPr>
              <w:t>2.</w:t>
            </w:r>
            <w:r w:rsidR="00353AB7" w:rsidRPr="0090014B">
              <w:rPr>
                <w:rFonts w:asciiTheme="majorHAnsi" w:hAnsiTheme="majorHAnsi" w:cstheme="majorHAnsi"/>
                <w:color w:val="000000"/>
                <w:sz w:val="22"/>
                <w:szCs w:val="22"/>
              </w:rPr>
              <w:tab/>
              <w:t>Résumé exécutif (maximum 1 page)</w:t>
            </w:r>
            <w:r w:rsidR="00353AB7" w:rsidRPr="0090014B">
              <w:rPr>
                <w:rFonts w:asciiTheme="majorHAnsi" w:hAnsiTheme="majorHAnsi" w:cstheme="majorHAnsi"/>
                <w:color w:val="000000"/>
                <w:sz w:val="22"/>
                <w:szCs w:val="22"/>
              </w:rPr>
              <w:tab/>
              <w:t>4</w:t>
            </w:r>
          </w:hyperlink>
        </w:p>
        <w:p w14:paraId="19E8186D"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tyjcwt">
            <w:r w:rsidR="00353AB7" w:rsidRPr="0090014B">
              <w:rPr>
                <w:rFonts w:asciiTheme="majorHAnsi" w:hAnsiTheme="majorHAnsi" w:cstheme="majorHAnsi"/>
                <w:color w:val="000000"/>
                <w:sz w:val="22"/>
                <w:szCs w:val="22"/>
              </w:rPr>
              <w:t>3.</w:t>
            </w:r>
            <w:r w:rsidR="00353AB7" w:rsidRPr="0090014B">
              <w:rPr>
                <w:rFonts w:asciiTheme="majorHAnsi" w:hAnsiTheme="majorHAnsi" w:cstheme="majorHAnsi"/>
                <w:color w:val="000000"/>
                <w:sz w:val="22"/>
                <w:szCs w:val="22"/>
              </w:rPr>
              <w:tab/>
              <w:t>Brève présentation du programme</w:t>
            </w:r>
            <w:r w:rsidR="00353AB7" w:rsidRPr="0090014B">
              <w:rPr>
                <w:rFonts w:asciiTheme="majorHAnsi" w:hAnsiTheme="majorHAnsi" w:cstheme="majorHAnsi"/>
                <w:color w:val="000000"/>
                <w:sz w:val="22"/>
                <w:szCs w:val="22"/>
              </w:rPr>
              <w:tab/>
              <w:t>5</w:t>
            </w:r>
          </w:hyperlink>
        </w:p>
        <w:p w14:paraId="77FDD60D" w14:textId="77777777" w:rsidR="00C71504" w:rsidRPr="0090014B" w:rsidRDefault="007107DE">
          <w:pPr>
            <w:pBdr>
              <w:top w:val="nil"/>
              <w:left w:val="nil"/>
              <w:bottom w:val="nil"/>
              <w:right w:val="nil"/>
              <w:between w:val="nil"/>
            </w:pBdr>
            <w:tabs>
              <w:tab w:val="left" w:pos="880"/>
              <w:tab w:val="right" w:pos="8755"/>
            </w:tabs>
            <w:spacing w:after="100" w:line="259" w:lineRule="auto"/>
            <w:ind w:left="220" w:right="0" w:firstLine="0"/>
            <w:jc w:val="left"/>
            <w:rPr>
              <w:rFonts w:asciiTheme="majorHAnsi" w:hAnsiTheme="majorHAnsi" w:cstheme="majorHAnsi"/>
              <w:color w:val="000000"/>
              <w:sz w:val="22"/>
              <w:szCs w:val="22"/>
            </w:rPr>
          </w:pPr>
          <w:hyperlink w:anchor="_heading=h.3dy6vkm">
            <w:r w:rsidR="00353AB7" w:rsidRPr="0090014B">
              <w:rPr>
                <w:rFonts w:asciiTheme="majorHAnsi" w:hAnsiTheme="majorHAnsi" w:cstheme="majorHAnsi"/>
                <w:color w:val="000000"/>
                <w:sz w:val="22"/>
                <w:szCs w:val="22"/>
              </w:rPr>
              <w:t>3.1.</w:t>
            </w:r>
            <w:r w:rsidR="00353AB7" w:rsidRPr="0090014B">
              <w:rPr>
                <w:rFonts w:asciiTheme="majorHAnsi" w:hAnsiTheme="majorHAnsi" w:cstheme="majorHAnsi"/>
                <w:color w:val="000000"/>
                <w:sz w:val="22"/>
                <w:szCs w:val="22"/>
              </w:rPr>
              <w:tab/>
              <w:t>Objectif Général</w:t>
            </w:r>
            <w:r w:rsidR="00353AB7" w:rsidRPr="0090014B">
              <w:rPr>
                <w:rFonts w:asciiTheme="majorHAnsi" w:hAnsiTheme="majorHAnsi" w:cstheme="majorHAnsi"/>
                <w:color w:val="000000"/>
                <w:sz w:val="22"/>
                <w:szCs w:val="22"/>
              </w:rPr>
              <w:tab/>
              <w:t>5</w:t>
            </w:r>
          </w:hyperlink>
        </w:p>
        <w:p w14:paraId="6009A35C" w14:textId="77777777" w:rsidR="00C71504" w:rsidRPr="0090014B" w:rsidRDefault="007107DE">
          <w:pPr>
            <w:pBdr>
              <w:top w:val="nil"/>
              <w:left w:val="nil"/>
              <w:bottom w:val="nil"/>
              <w:right w:val="nil"/>
              <w:between w:val="nil"/>
            </w:pBdr>
            <w:tabs>
              <w:tab w:val="left" w:pos="880"/>
              <w:tab w:val="right" w:pos="8755"/>
            </w:tabs>
            <w:spacing w:after="100" w:line="259" w:lineRule="auto"/>
            <w:ind w:left="220" w:right="0" w:firstLine="0"/>
            <w:jc w:val="left"/>
            <w:rPr>
              <w:rFonts w:asciiTheme="majorHAnsi" w:hAnsiTheme="majorHAnsi" w:cstheme="majorHAnsi"/>
              <w:color w:val="000000"/>
              <w:sz w:val="22"/>
              <w:szCs w:val="22"/>
            </w:rPr>
          </w:pPr>
          <w:hyperlink w:anchor="_heading=h.1t3h5sf">
            <w:r w:rsidR="00353AB7" w:rsidRPr="0090014B">
              <w:rPr>
                <w:rFonts w:asciiTheme="majorHAnsi" w:hAnsiTheme="majorHAnsi" w:cstheme="majorHAnsi"/>
                <w:color w:val="000000"/>
                <w:sz w:val="22"/>
                <w:szCs w:val="22"/>
              </w:rPr>
              <w:t>3.2.</w:t>
            </w:r>
            <w:r w:rsidR="00353AB7" w:rsidRPr="0090014B">
              <w:rPr>
                <w:rFonts w:asciiTheme="majorHAnsi" w:hAnsiTheme="majorHAnsi" w:cstheme="majorHAnsi"/>
                <w:color w:val="000000"/>
                <w:sz w:val="22"/>
                <w:szCs w:val="22"/>
              </w:rPr>
              <w:tab/>
              <w:t>Objectifs spécifiques</w:t>
            </w:r>
            <w:r w:rsidR="00353AB7" w:rsidRPr="0090014B">
              <w:rPr>
                <w:rFonts w:asciiTheme="majorHAnsi" w:hAnsiTheme="majorHAnsi" w:cstheme="majorHAnsi"/>
                <w:color w:val="000000"/>
                <w:sz w:val="22"/>
                <w:szCs w:val="22"/>
              </w:rPr>
              <w:tab/>
              <w:t>5</w:t>
            </w:r>
          </w:hyperlink>
        </w:p>
        <w:p w14:paraId="6CCCFD53" w14:textId="77777777" w:rsidR="00C71504" w:rsidRPr="0090014B" w:rsidRDefault="007107DE">
          <w:pPr>
            <w:pBdr>
              <w:top w:val="nil"/>
              <w:left w:val="nil"/>
              <w:bottom w:val="nil"/>
              <w:right w:val="nil"/>
              <w:between w:val="nil"/>
            </w:pBdr>
            <w:tabs>
              <w:tab w:val="left" w:pos="880"/>
              <w:tab w:val="right" w:pos="8755"/>
            </w:tabs>
            <w:spacing w:after="100" w:line="259" w:lineRule="auto"/>
            <w:ind w:left="220" w:right="0" w:firstLine="0"/>
            <w:jc w:val="left"/>
            <w:rPr>
              <w:rFonts w:asciiTheme="majorHAnsi" w:hAnsiTheme="majorHAnsi" w:cstheme="majorHAnsi"/>
              <w:color w:val="000000"/>
              <w:sz w:val="22"/>
              <w:szCs w:val="22"/>
            </w:rPr>
          </w:pPr>
          <w:hyperlink w:anchor="_heading=h.4d34og8">
            <w:r w:rsidR="00353AB7" w:rsidRPr="0090014B">
              <w:rPr>
                <w:rFonts w:asciiTheme="majorHAnsi" w:hAnsiTheme="majorHAnsi" w:cstheme="majorHAnsi"/>
                <w:color w:val="000000"/>
                <w:sz w:val="22"/>
                <w:szCs w:val="22"/>
              </w:rPr>
              <w:t>3.3.</w:t>
            </w:r>
            <w:r w:rsidR="00353AB7" w:rsidRPr="0090014B">
              <w:rPr>
                <w:rFonts w:asciiTheme="majorHAnsi" w:hAnsiTheme="majorHAnsi" w:cstheme="majorHAnsi"/>
                <w:color w:val="000000"/>
                <w:sz w:val="22"/>
                <w:szCs w:val="22"/>
              </w:rPr>
              <w:tab/>
              <w:t>Résultats attendus du programme</w:t>
            </w:r>
            <w:r w:rsidR="00353AB7" w:rsidRPr="0090014B">
              <w:rPr>
                <w:rFonts w:asciiTheme="majorHAnsi" w:hAnsiTheme="majorHAnsi" w:cstheme="majorHAnsi"/>
                <w:color w:val="000000"/>
                <w:sz w:val="22"/>
                <w:szCs w:val="22"/>
              </w:rPr>
              <w:tab/>
              <w:t>6</w:t>
            </w:r>
          </w:hyperlink>
        </w:p>
        <w:p w14:paraId="0F1F517E" w14:textId="77777777" w:rsidR="00C71504" w:rsidRPr="0090014B" w:rsidRDefault="007107DE">
          <w:pPr>
            <w:pBdr>
              <w:top w:val="nil"/>
              <w:left w:val="nil"/>
              <w:bottom w:val="nil"/>
              <w:right w:val="nil"/>
              <w:between w:val="nil"/>
            </w:pBdr>
            <w:tabs>
              <w:tab w:val="left" w:pos="880"/>
              <w:tab w:val="right" w:pos="8755"/>
            </w:tabs>
            <w:spacing w:after="100" w:line="259" w:lineRule="auto"/>
            <w:ind w:left="220" w:right="0" w:firstLine="0"/>
            <w:jc w:val="left"/>
            <w:rPr>
              <w:rFonts w:asciiTheme="majorHAnsi" w:hAnsiTheme="majorHAnsi" w:cstheme="majorHAnsi"/>
              <w:color w:val="000000"/>
              <w:sz w:val="22"/>
              <w:szCs w:val="22"/>
            </w:rPr>
          </w:pPr>
          <w:hyperlink w:anchor="_heading=h.2s8eyo1">
            <w:r w:rsidR="00353AB7" w:rsidRPr="0090014B">
              <w:rPr>
                <w:rFonts w:asciiTheme="majorHAnsi" w:hAnsiTheme="majorHAnsi" w:cstheme="majorHAnsi"/>
                <w:color w:val="000000"/>
                <w:sz w:val="22"/>
                <w:szCs w:val="22"/>
              </w:rPr>
              <w:t>3.4.</w:t>
            </w:r>
            <w:r w:rsidR="00353AB7" w:rsidRPr="0090014B">
              <w:rPr>
                <w:rFonts w:asciiTheme="majorHAnsi" w:hAnsiTheme="majorHAnsi" w:cstheme="majorHAnsi"/>
                <w:color w:val="000000"/>
                <w:sz w:val="22"/>
                <w:szCs w:val="22"/>
              </w:rPr>
              <w:tab/>
              <w:t>Contexte du rapport</w:t>
            </w:r>
            <w:r w:rsidR="00353AB7" w:rsidRPr="0090014B">
              <w:rPr>
                <w:rFonts w:asciiTheme="majorHAnsi" w:hAnsiTheme="majorHAnsi" w:cstheme="majorHAnsi"/>
                <w:color w:val="000000"/>
                <w:sz w:val="22"/>
                <w:szCs w:val="22"/>
              </w:rPr>
              <w:tab/>
              <w:t>6</w:t>
            </w:r>
          </w:hyperlink>
        </w:p>
        <w:p w14:paraId="3F85F776"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17dp8vu">
            <w:r w:rsidR="00353AB7" w:rsidRPr="0090014B">
              <w:rPr>
                <w:rFonts w:asciiTheme="majorHAnsi" w:hAnsiTheme="majorHAnsi" w:cstheme="majorHAnsi"/>
                <w:color w:val="000000"/>
                <w:sz w:val="22"/>
                <w:szCs w:val="22"/>
              </w:rPr>
              <w:t>4.</w:t>
            </w:r>
            <w:r w:rsidR="00353AB7" w:rsidRPr="0090014B">
              <w:rPr>
                <w:rFonts w:asciiTheme="majorHAnsi" w:hAnsiTheme="majorHAnsi" w:cstheme="majorHAnsi"/>
                <w:color w:val="000000"/>
                <w:sz w:val="22"/>
                <w:szCs w:val="22"/>
              </w:rPr>
              <w:tab/>
              <w:t>Etat d’avancement des activités prévues dans le PTBA 2020</w:t>
            </w:r>
            <w:r w:rsidR="00353AB7" w:rsidRPr="0090014B">
              <w:rPr>
                <w:rFonts w:asciiTheme="majorHAnsi" w:hAnsiTheme="majorHAnsi" w:cstheme="majorHAnsi"/>
                <w:color w:val="000000"/>
                <w:sz w:val="22"/>
                <w:szCs w:val="22"/>
              </w:rPr>
              <w:tab/>
              <w:t>7</w:t>
            </w:r>
          </w:hyperlink>
        </w:p>
        <w:p w14:paraId="1173358C"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3rdcrjn">
            <w:r w:rsidR="00353AB7" w:rsidRPr="0090014B">
              <w:rPr>
                <w:rFonts w:asciiTheme="majorHAnsi" w:hAnsiTheme="majorHAnsi" w:cstheme="majorHAnsi"/>
                <w:color w:val="000000"/>
                <w:sz w:val="22"/>
                <w:szCs w:val="22"/>
              </w:rPr>
              <w:t>5.</w:t>
            </w:r>
            <w:r w:rsidR="00353AB7" w:rsidRPr="0090014B">
              <w:rPr>
                <w:rFonts w:asciiTheme="majorHAnsi" w:hAnsiTheme="majorHAnsi" w:cstheme="majorHAnsi"/>
                <w:color w:val="000000"/>
                <w:sz w:val="22"/>
                <w:szCs w:val="22"/>
              </w:rPr>
              <w:tab/>
              <w:t>Etat d’avancement des résultats du Programme</w:t>
            </w:r>
            <w:r w:rsidR="00353AB7" w:rsidRPr="0090014B">
              <w:rPr>
                <w:rFonts w:asciiTheme="majorHAnsi" w:hAnsiTheme="majorHAnsi" w:cstheme="majorHAnsi"/>
                <w:color w:val="000000"/>
                <w:sz w:val="22"/>
                <w:szCs w:val="22"/>
              </w:rPr>
              <w:tab/>
              <w:t>14</w:t>
            </w:r>
          </w:hyperlink>
        </w:p>
        <w:p w14:paraId="0BDA00DF"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26in1rg">
            <w:r w:rsidR="00353AB7" w:rsidRPr="0090014B">
              <w:rPr>
                <w:rFonts w:asciiTheme="majorHAnsi" w:hAnsiTheme="majorHAnsi" w:cstheme="majorHAnsi"/>
                <w:color w:val="000000"/>
                <w:sz w:val="22"/>
                <w:szCs w:val="22"/>
              </w:rPr>
              <w:t>6.</w:t>
            </w:r>
            <w:r w:rsidR="00353AB7" w:rsidRPr="0090014B">
              <w:rPr>
                <w:rFonts w:asciiTheme="majorHAnsi" w:hAnsiTheme="majorHAnsi" w:cstheme="majorHAnsi"/>
                <w:color w:val="000000"/>
                <w:sz w:val="22"/>
                <w:szCs w:val="22"/>
              </w:rPr>
              <w:tab/>
              <w:t>Contribution du programme à l’atteinte des Indicateurs harmonisés FONAREDD-CAFI</w:t>
            </w:r>
            <w:r w:rsidR="00353AB7" w:rsidRPr="0090014B">
              <w:rPr>
                <w:rFonts w:asciiTheme="majorHAnsi" w:hAnsiTheme="majorHAnsi" w:cstheme="majorHAnsi"/>
                <w:color w:val="000000"/>
                <w:sz w:val="22"/>
                <w:szCs w:val="22"/>
              </w:rPr>
              <w:tab/>
              <w:t>19</w:t>
            </w:r>
          </w:hyperlink>
        </w:p>
        <w:p w14:paraId="456029A7"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lnxbz9">
            <w:r w:rsidR="00353AB7" w:rsidRPr="0090014B">
              <w:rPr>
                <w:rFonts w:asciiTheme="majorHAnsi" w:hAnsiTheme="majorHAnsi" w:cstheme="majorHAnsi"/>
                <w:color w:val="000000"/>
                <w:sz w:val="22"/>
                <w:szCs w:val="22"/>
              </w:rPr>
              <w:t>7.</w:t>
            </w:r>
            <w:r w:rsidR="00353AB7" w:rsidRPr="0090014B">
              <w:rPr>
                <w:rFonts w:asciiTheme="majorHAnsi" w:hAnsiTheme="majorHAnsi" w:cstheme="majorHAnsi"/>
                <w:color w:val="000000"/>
                <w:sz w:val="22"/>
                <w:szCs w:val="22"/>
              </w:rPr>
              <w:tab/>
              <w:t>Contribution du programme à l’atteinte des jalons de la Lettre d’intention</w:t>
            </w:r>
            <w:r w:rsidR="00353AB7" w:rsidRPr="0090014B">
              <w:rPr>
                <w:rFonts w:asciiTheme="majorHAnsi" w:hAnsiTheme="majorHAnsi" w:cstheme="majorHAnsi"/>
                <w:color w:val="000000"/>
                <w:sz w:val="22"/>
                <w:szCs w:val="22"/>
              </w:rPr>
              <w:tab/>
              <w:t>20</w:t>
            </w:r>
          </w:hyperlink>
        </w:p>
        <w:p w14:paraId="152ABFD1"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35nkun2">
            <w:r w:rsidR="00353AB7" w:rsidRPr="0090014B">
              <w:rPr>
                <w:rFonts w:asciiTheme="majorHAnsi" w:hAnsiTheme="majorHAnsi" w:cstheme="majorHAnsi"/>
                <w:color w:val="000000"/>
                <w:sz w:val="22"/>
                <w:szCs w:val="22"/>
              </w:rPr>
              <w:t>8.</w:t>
            </w:r>
            <w:r w:rsidR="00353AB7" w:rsidRPr="0090014B">
              <w:rPr>
                <w:rFonts w:asciiTheme="majorHAnsi" w:hAnsiTheme="majorHAnsi" w:cstheme="majorHAnsi"/>
                <w:color w:val="000000"/>
                <w:sz w:val="22"/>
                <w:szCs w:val="22"/>
              </w:rPr>
              <w:tab/>
              <w:t>Exécution financière</w:t>
            </w:r>
            <w:r w:rsidR="00353AB7" w:rsidRPr="0090014B">
              <w:rPr>
                <w:rFonts w:asciiTheme="majorHAnsi" w:hAnsiTheme="majorHAnsi" w:cstheme="majorHAnsi"/>
                <w:color w:val="000000"/>
                <w:sz w:val="22"/>
                <w:szCs w:val="22"/>
              </w:rPr>
              <w:tab/>
              <w:t>20</w:t>
            </w:r>
          </w:hyperlink>
        </w:p>
        <w:p w14:paraId="240D67BB"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1ksv4uv">
            <w:r w:rsidR="00353AB7" w:rsidRPr="0090014B">
              <w:rPr>
                <w:rFonts w:asciiTheme="majorHAnsi" w:hAnsiTheme="majorHAnsi" w:cstheme="majorHAnsi"/>
                <w:color w:val="000000"/>
                <w:sz w:val="22"/>
                <w:szCs w:val="22"/>
              </w:rPr>
              <w:t>9.</w:t>
            </w:r>
            <w:r w:rsidR="00353AB7" w:rsidRPr="0090014B">
              <w:rPr>
                <w:rFonts w:asciiTheme="majorHAnsi" w:hAnsiTheme="majorHAnsi" w:cstheme="majorHAnsi"/>
                <w:color w:val="000000"/>
                <w:sz w:val="22"/>
                <w:szCs w:val="22"/>
              </w:rPr>
              <w:tab/>
              <w:t>Gestion participative</w:t>
            </w:r>
            <w:r w:rsidR="00353AB7" w:rsidRPr="0090014B">
              <w:rPr>
                <w:rFonts w:asciiTheme="majorHAnsi" w:hAnsiTheme="majorHAnsi" w:cstheme="majorHAnsi"/>
                <w:color w:val="000000"/>
                <w:sz w:val="22"/>
                <w:szCs w:val="22"/>
              </w:rPr>
              <w:tab/>
              <w:t>23</w:t>
            </w:r>
          </w:hyperlink>
        </w:p>
        <w:p w14:paraId="31512A41"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44sinio">
            <w:r w:rsidR="00353AB7" w:rsidRPr="0090014B">
              <w:rPr>
                <w:rFonts w:asciiTheme="majorHAnsi" w:hAnsiTheme="majorHAnsi" w:cstheme="majorHAnsi"/>
                <w:color w:val="000000"/>
                <w:sz w:val="22"/>
                <w:szCs w:val="22"/>
              </w:rPr>
              <w:t>10.</w:t>
            </w:r>
            <w:r w:rsidR="00353AB7" w:rsidRPr="0090014B">
              <w:rPr>
                <w:rFonts w:asciiTheme="majorHAnsi" w:hAnsiTheme="majorHAnsi" w:cstheme="majorHAnsi"/>
                <w:color w:val="000000"/>
                <w:sz w:val="22"/>
                <w:szCs w:val="22"/>
              </w:rPr>
              <w:tab/>
              <w:t>Termes transversaux</w:t>
            </w:r>
            <w:r w:rsidR="00353AB7" w:rsidRPr="0090014B">
              <w:rPr>
                <w:rFonts w:asciiTheme="majorHAnsi" w:hAnsiTheme="majorHAnsi" w:cstheme="majorHAnsi"/>
                <w:color w:val="000000"/>
                <w:sz w:val="22"/>
                <w:szCs w:val="22"/>
              </w:rPr>
              <w:tab/>
              <w:t>23</w:t>
            </w:r>
          </w:hyperlink>
        </w:p>
        <w:p w14:paraId="11CED7BB" w14:textId="77777777" w:rsidR="00C71504" w:rsidRPr="0090014B" w:rsidRDefault="007107DE">
          <w:pPr>
            <w:pBdr>
              <w:top w:val="nil"/>
              <w:left w:val="nil"/>
              <w:bottom w:val="nil"/>
              <w:right w:val="nil"/>
              <w:between w:val="nil"/>
            </w:pBdr>
            <w:tabs>
              <w:tab w:val="left" w:pos="1100"/>
              <w:tab w:val="right" w:pos="8755"/>
            </w:tabs>
            <w:spacing w:after="100" w:line="259" w:lineRule="auto"/>
            <w:ind w:left="220" w:right="0" w:firstLine="0"/>
            <w:jc w:val="left"/>
            <w:rPr>
              <w:rFonts w:asciiTheme="majorHAnsi" w:hAnsiTheme="majorHAnsi" w:cstheme="majorHAnsi"/>
              <w:color w:val="000000"/>
              <w:sz w:val="22"/>
              <w:szCs w:val="22"/>
            </w:rPr>
          </w:pPr>
          <w:hyperlink w:anchor="_heading=h.2jxsxqh">
            <w:r w:rsidR="00353AB7" w:rsidRPr="0090014B">
              <w:rPr>
                <w:rFonts w:asciiTheme="majorHAnsi" w:hAnsiTheme="majorHAnsi" w:cstheme="majorHAnsi"/>
                <w:color w:val="000000"/>
                <w:sz w:val="22"/>
                <w:szCs w:val="22"/>
              </w:rPr>
              <w:t>10.1.</w:t>
            </w:r>
            <w:r w:rsidR="00353AB7" w:rsidRPr="0090014B">
              <w:rPr>
                <w:rFonts w:asciiTheme="majorHAnsi" w:hAnsiTheme="majorHAnsi" w:cstheme="majorHAnsi"/>
                <w:color w:val="000000"/>
                <w:sz w:val="22"/>
                <w:szCs w:val="22"/>
              </w:rPr>
              <w:tab/>
              <w:t>Gouvernance</w:t>
            </w:r>
            <w:r w:rsidR="00353AB7" w:rsidRPr="0090014B">
              <w:rPr>
                <w:rFonts w:asciiTheme="majorHAnsi" w:hAnsiTheme="majorHAnsi" w:cstheme="majorHAnsi"/>
                <w:color w:val="000000"/>
                <w:sz w:val="22"/>
                <w:szCs w:val="22"/>
              </w:rPr>
              <w:tab/>
              <w:t>23</w:t>
            </w:r>
          </w:hyperlink>
        </w:p>
        <w:p w14:paraId="4736EBC9" w14:textId="77777777" w:rsidR="00C71504" w:rsidRPr="0090014B" w:rsidRDefault="007107DE">
          <w:pPr>
            <w:pBdr>
              <w:top w:val="nil"/>
              <w:left w:val="nil"/>
              <w:bottom w:val="nil"/>
              <w:right w:val="nil"/>
              <w:between w:val="nil"/>
            </w:pBdr>
            <w:tabs>
              <w:tab w:val="left" w:pos="1100"/>
              <w:tab w:val="right" w:pos="8755"/>
            </w:tabs>
            <w:spacing w:after="100" w:line="259" w:lineRule="auto"/>
            <w:ind w:left="220" w:right="0" w:firstLine="0"/>
            <w:jc w:val="left"/>
            <w:rPr>
              <w:rFonts w:asciiTheme="majorHAnsi" w:hAnsiTheme="majorHAnsi" w:cstheme="majorHAnsi"/>
              <w:color w:val="000000"/>
              <w:sz w:val="22"/>
              <w:szCs w:val="22"/>
            </w:rPr>
          </w:pPr>
          <w:hyperlink w:anchor="_heading=h.z337ya">
            <w:r w:rsidR="00353AB7" w:rsidRPr="0090014B">
              <w:rPr>
                <w:rFonts w:asciiTheme="majorHAnsi" w:hAnsiTheme="majorHAnsi" w:cstheme="majorHAnsi"/>
                <w:color w:val="000000"/>
                <w:sz w:val="22"/>
                <w:szCs w:val="22"/>
              </w:rPr>
              <w:t>10.2.</w:t>
            </w:r>
            <w:r w:rsidR="00353AB7" w:rsidRPr="0090014B">
              <w:rPr>
                <w:rFonts w:asciiTheme="majorHAnsi" w:hAnsiTheme="majorHAnsi" w:cstheme="majorHAnsi"/>
                <w:color w:val="000000"/>
                <w:sz w:val="22"/>
                <w:szCs w:val="22"/>
              </w:rPr>
              <w:tab/>
              <w:t>Genre</w:t>
            </w:r>
            <w:r w:rsidR="00353AB7" w:rsidRPr="0090014B">
              <w:rPr>
                <w:rFonts w:asciiTheme="majorHAnsi" w:hAnsiTheme="majorHAnsi" w:cstheme="majorHAnsi"/>
                <w:color w:val="000000"/>
                <w:sz w:val="22"/>
                <w:szCs w:val="22"/>
              </w:rPr>
              <w:tab/>
              <w:t>23</w:t>
            </w:r>
          </w:hyperlink>
        </w:p>
        <w:p w14:paraId="21006978" w14:textId="77777777" w:rsidR="00C71504" w:rsidRPr="0090014B" w:rsidRDefault="007107DE">
          <w:pPr>
            <w:pBdr>
              <w:top w:val="nil"/>
              <w:left w:val="nil"/>
              <w:bottom w:val="nil"/>
              <w:right w:val="nil"/>
              <w:between w:val="nil"/>
            </w:pBdr>
            <w:tabs>
              <w:tab w:val="left" w:pos="1100"/>
              <w:tab w:val="right" w:pos="8755"/>
            </w:tabs>
            <w:spacing w:after="100" w:line="259" w:lineRule="auto"/>
            <w:ind w:left="220" w:right="0" w:firstLine="0"/>
            <w:jc w:val="left"/>
            <w:rPr>
              <w:rFonts w:asciiTheme="majorHAnsi" w:hAnsiTheme="majorHAnsi" w:cstheme="majorHAnsi"/>
              <w:color w:val="000000"/>
              <w:sz w:val="22"/>
              <w:szCs w:val="22"/>
            </w:rPr>
          </w:pPr>
          <w:hyperlink w:anchor="_heading=h.3j2qqm3">
            <w:r w:rsidR="00353AB7" w:rsidRPr="0090014B">
              <w:rPr>
                <w:rFonts w:asciiTheme="majorHAnsi" w:hAnsiTheme="majorHAnsi" w:cstheme="majorHAnsi"/>
                <w:color w:val="000000"/>
                <w:sz w:val="22"/>
                <w:szCs w:val="22"/>
              </w:rPr>
              <w:t>10.3.</w:t>
            </w:r>
            <w:r w:rsidR="00353AB7" w:rsidRPr="0090014B">
              <w:rPr>
                <w:rFonts w:asciiTheme="majorHAnsi" w:hAnsiTheme="majorHAnsi" w:cstheme="majorHAnsi"/>
                <w:color w:val="000000"/>
                <w:sz w:val="22"/>
                <w:szCs w:val="22"/>
              </w:rPr>
              <w:tab/>
              <w:t>Peuples Autochtones</w:t>
            </w:r>
            <w:r w:rsidR="00353AB7" w:rsidRPr="0090014B">
              <w:rPr>
                <w:rFonts w:asciiTheme="majorHAnsi" w:hAnsiTheme="majorHAnsi" w:cstheme="majorHAnsi"/>
                <w:color w:val="000000"/>
                <w:sz w:val="22"/>
                <w:szCs w:val="22"/>
              </w:rPr>
              <w:tab/>
              <w:t>24</w:t>
            </w:r>
          </w:hyperlink>
        </w:p>
        <w:p w14:paraId="27DAE634" w14:textId="77777777" w:rsidR="00C71504" w:rsidRPr="0090014B" w:rsidRDefault="007107DE">
          <w:pPr>
            <w:pBdr>
              <w:top w:val="nil"/>
              <w:left w:val="nil"/>
              <w:bottom w:val="nil"/>
              <w:right w:val="nil"/>
              <w:between w:val="nil"/>
            </w:pBdr>
            <w:tabs>
              <w:tab w:val="left" w:pos="1100"/>
              <w:tab w:val="right" w:pos="8755"/>
            </w:tabs>
            <w:spacing w:after="100" w:line="259" w:lineRule="auto"/>
            <w:ind w:left="220" w:right="0" w:firstLine="0"/>
            <w:jc w:val="left"/>
            <w:rPr>
              <w:rFonts w:asciiTheme="majorHAnsi" w:hAnsiTheme="majorHAnsi" w:cstheme="majorHAnsi"/>
              <w:color w:val="000000"/>
              <w:sz w:val="22"/>
              <w:szCs w:val="22"/>
            </w:rPr>
          </w:pPr>
          <w:hyperlink w:anchor="_heading=h.1y810tw">
            <w:r w:rsidR="00353AB7" w:rsidRPr="0090014B">
              <w:rPr>
                <w:rFonts w:asciiTheme="majorHAnsi" w:hAnsiTheme="majorHAnsi" w:cstheme="majorHAnsi"/>
                <w:color w:val="000000"/>
                <w:sz w:val="22"/>
                <w:szCs w:val="22"/>
              </w:rPr>
              <w:t>10.4.</w:t>
            </w:r>
            <w:r w:rsidR="00353AB7" w:rsidRPr="0090014B">
              <w:rPr>
                <w:rFonts w:asciiTheme="majorHAnsi" w:hAnsiTheme="majorHAnsi" w:cstheme="majorHAnsi"/>
                <w:color w:val="000000"/>
                <w:sz w:val="22"/>
                <w:szCs w:val="22"/>
              </w:rPr>
              <w:tab/>
              <w:t>Autres groupes sociaux (Jeunes, mineurs, etc.)</w:t>
            </w:r>
            <w:r w:rsidR="00353AB7" w:rsidRPr="0090014B">
              <w:rPr>
                <w:rFonts w:asciiTheme="majorHAnsi" w:hAnsiTheme="majorHAnsi" w:cstheme="majorHAnsi"/>
                <w:color w:val="000000"/>
                <w:sz w:val="22"/>
                <w:szCs w:val="22"/>
              </w:rPr>
              <w:tab/>
              <w:t>24</w:t>
            </w:r>
          </w:hyperlink>
        </w:p>
        <w:p w14:paraId="13BE28EB" w14:textId="77777777" w:rsidR="00C71504" w:rsidRPr="0090014B" w:rsidRDefault="007107DE">
          <w:pPr>
            <w:pBdr>
              <w:top w:val="nil"/>
              <w:left w:val="nil"/>
              <w:bottom w:val="nil"/>
              <w:right w:val="nil"/>
              <w:between w:val="nil"/>
            </w:pBdr>
            <w:tabs>
              <w:tab w:val="left" w:pos="1100"/>
              <w:tab w:val="right" w:pos="8755"/>
            </w:tabs>
            <w:spacing w:after="100" w:line="259" w:lineRule="auto"/>
            <w:ind w:left="220" w:right="0" w:firstLine="0"/>
            <w:jc w:val="left"/>
            <w:rPr>
              <w:rFonts w:asciiTheme="majorHAnsi" w:hAnsiTheme="majorHAnsi" w:cstheme="majorHAnsi"/>
              <w:color w:val="000000"/>
              <w:sz w:val="22"/>
              <w:szCs w:val="22"/>
            </w:rPr>
          </w:pPr>
          <w:hyperlink w:anchor="_heading=h.4i7ojhp">
            <w:r w:rsidR="00353AB7" w:rsidRPr="0090014B">
              <w:rPr>
                <w:rFonts w:asciiTheme="majorHAnsi" w:hAnsiTheme="majorHAnsi" w:cstheme="majorHAnsi"/>
                <w:color w:val="000000"/>
                <w:sz w:val="22"/>
                <w:szCs w:val="22"/>
              </w:rPr>
              <w:t>10.5.</w:t>
            </w:r>
            <w:r w:rsidR="00353AB7" w:rsidRPr="0090014B">
              <w:rPr>
                <w:rFonts w:asciiTheme="majorHAnsi" w:hAnsiTheme="majorHAnsi" w:cstheme="majorHAnsi"/>
                <w:color w:val="000000"/>
                <w:sz w:val="22"/>
                <w:szCs w:val="22"/>
              </w:rPr>
              <w:tab/>
              <w:t>Respect de normes environnementale et sociale</w:t>
            </w:r>
            <w:r w:rsidR="00353AB7" w:rsidRPr="0090014B">
              <w:rPr>
                <w:rFonts w:asciiTheme="majorHAnsi" w:hAnsiTheme="majorHAnsi" w:cstheme="majorHAnsi"/>
                <w:color w:val="000000"/>
                <w:sz w:val="22"/>
                <w:szCs w:val="22"/>
              </w:rPr>
              <w:tab/>
              <w:t>24</w:t>
            </w:r>
          </w:hyperlink>
        </w:p>
        <w:p w14:paraId="0134728D" w14:textId="77777777" w:rsidR="00C71504" w:rsidRPr="0090014B" w:rsidRDefault="007107DE">
          <w:pPr>
            <w:pBdr>
              <w:top w:val="nil"/>
              <w:left w:val="nil"/>
              <w:bottom w:val="nil"/>
              <w:right w:val="nil"/>
              <w:between w:val="nil"/>
            </w:pBdr>
            <w:tabs>
              <w:tab w:val="left" w:pos="660"/>
              <w:tab w:val="right" w:pos="8755"/>
            </w:tabs>
            <w:spacing w:after="100" w:line="259" w:lineRule="auto"/>
            <w:ind w:left="220" w:right="0" w:firstLine="0"/>
            <w:jc w:val="left"/>
            <w:rPr>
              <w:rFonts w:asciiTheme="majorHAnsi" w:hAnsiTheme="majorHAnsi" w:cstheme="majorHAnsi"/>
              <w:color w:val="000000"/>
              <w:sz w:val="22"/>
              <w:szCs w:val="22"/>
            </w:rPr>
          </w:pPr>
          <w:hyperlink w:anchor="_heading=h.2xcytpi">
            <w:r w:rsidR="00353AB7" w:rsidRPr="0090014B">
              <w:rPr>
                <w:rFonts w:asciiTheme="majorHAnsi" w:hAnsiTheme="majorHAnsi" w:cstheme="majorHAnsi"/>
                <w:color w:val="000000"/>
                <w:sz w:val="22"/>
                <w:szCs w:val="22"/>
              </w:rPr>
              <w:t>a)</w:t>
            </w:r>
            <w:r w:rsidR="00353AB7" w:rsidRPr="0090014B">
              <w:rPr>
                <w:rFonts w:asciiTheme="majorHAnsi" w:hAnsiTheme="majorHAnsi" w:cstheme="majorHAnsi"/>
                <w:color w:val="000000"/>
                <w:sz w:val="22"/>
                <w:szCs w:val="22"/>
              </w:rPr>
              <w:tab/>
              <w:t>Etude d’impact environnementale et sociale</w:t>
            </w:r>
            <w:r w:rsidR="00353AB7" w:rsidRPr="0090014B">
              <w:rPr>
                <w:rFonts w:asciiTheme="majorHAnsi" w:hAnsiTheme="majorHAnsi" w:cstheme="majorHAnsi"/>
                <w:color w:val="000000"/>
                <w:sz w:val="22"/>
                <w:szCs w:val="22"/>
              </w:rPr>
              <w:tab/>
              <w:t>25</w:t>
            </w:r>
          </w:hyperlink>
        </w:p>
        <w:p w14:paraId="541B4105" w14:textId="77777777" w:rsidR="00C71504" w:rsidRPr="0090014B" w:rsidRDefault="007107DE">
          <w:pPr>
            <w:pBdr>
              <w:top w:val="nil"/>
              <w:left w:val="nil"/>
              <w:bottom w:val="nil"/>
              <w:right w:val="nil"/>
              <w:between w:val="nil"/>
            </w:pBdr>
            <w:tabs>
              <w:tab w:val="left" w:pos="660"/>
              <w:tab w:val="right" w:pos="8755"/>
            </w:tabs>
            <w:spacing w:after="100" w:line="259" w:lineRule="auto"/>
            <w:ind w:left="220" w:right="0" w:firstLine="0"/>
            <w:jc w:val="left"/>
            <w:rPr>
              <w:rFonts w:asciiTheme="majorHAnsi" w:hAnsiTheme="majorHAnsi" w:cstheme="majorHAnsi"/>
              <w:color w:val="000000"/>
              <w:sz w:val="22"/>
              <w:szCs w:val="22"/>
            </w:rPr>
          </w:pPr>
          <w:hyperlink w:anchor="_heading=h.1ci93xb">
            <w:r w:rsidR="00353AB7" w:rsidRPr="0090014B">
              <w:rPr>
                <w:rFonts w:asciiTheme="majorHAnsi" w:hAnsiTheme="majorHAnsi" w:cstheme="majorHAnsi"/>
                <w:color w:val="000000"/>
                <w:sz w:val="22"/>
                <w:szCs w:val="22"/>
              </w:rPr>
              <w:t>b)</w:t>
            </w:r>
            <w:r w:rsidR="00353AB7" w:rsidRPr="0090014B">
              <w:rPr>
                <w:rFonts w:asciiTheme="majorHAnsi" w:hAnsiTheme="majorHAnsi" w:cstheme="majorHAnsi"/>
                <w:color w:val="000000"/>
                <w:sz w:val="22"/>
                <w:szCs w:val="22"/>
              </w:rPr>
              <w:tab/>
              <w:t>Mesures prises afin d’assurer le respect de chacune des sauvegardes</w:t>
            </w:r>
            <w:r w:rsidR="00353AB7" w:rsidRPr="0090014B">
              <w:rPr>
                <w:rFonts w:asciiTheme="majorHAnsi" w:hAnsiTheme="majorHAnsi" w:cstheme="majorHAnsi"/>
                <w:color w:val="000000"/>
                <w:sz w:val="22"/>
                <w:szCs w:val="22"/>
              </w:rPr>
              <w:tab/>
              <w:t>25</w:t>
            </w:r>
          </w:hyperlink>
        </w:p>
        <w:p w14:paraId="349A46B1"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3whwml4">
            <w:r w:rsidR="00353AB7" w:rsidRPr="0090014B">
              <w:rPr>
                <w:rFonts w:asciiTheme="majorHAnsi" w:hAnsiTheme="majorHAnsi" w:cstheme="majorHAnsi"/>
                <w:color w:val="000000"/>
                <w:sz w:val="22"/>
                <w:szCs w:val="22"/>
              </w:rPr>
              <w:t>11.</w:t>
            </w:r>
            <w:r w:rsidR="00353AB7" w:rsidRPr="0090014B">
              <w:rPr>
                <w:rFonts w:asciiTheme="majorHAnsi" w:hAnsiTheme="majorHAnsi" w:cstheme="majorHAnsi"/>
                <w:color w:val="000000"/>
                <w:sz w:val="22"/>
                <w:szCs w:val="22"/>
              </w:rPr>
              <w:tab/>
              <w:t>Gestion des risques</w:t>
            </w:r>
            <w:r w:rsidR="00353AB7" w:rsidRPr="0090014B">
              <w:rPr>
                <w:rFonts w:asciiTheme="majorHAnsi" w:hAnsiTheme="majorHAnsi" w:cstheme="majorHAnsi"/>
                <w:color w:val="000000"/>
                <w:sz w:val="22"/>
                <w:szCs w:val="22"/>
              </w:rPr>
              <w:tab/>
              <w:t>26</w:t>
            </w:r>
          </w:hyperlink>
        </w:p>
        <w:p w14:paraId="1D96CC7E"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2bn6wsx">
            <w:r w:rsidR="00353AB7" w:rsidRPr="0090014B">
              <w:rPr>
                <w:rFonts w:asciiTheme="majorHAnsi" w:hAnsiTheme="majorHAnsi" w:cstheme="majorHAnsi"/>
                <w:color w:val="000000"/>
                <w:sz w:val="22"/>
                <w:szCs w:val="22"/>
              </w:rPr>
              <w:t>12.</w:t>
            </w:r>
            <w:r w:rsidR="00353AB7" w:rsidRPr="0090014B">
              <w:rPr>
                <w:rFonts w:asciiTheme="majorHAnsi" w:hAnsiTheme="majorHAnsi" w:cstheme="majorHAnsi"/>
                <w:color w:val="000000"/>
                <w:sz w:val="22"/>
                <w:szCs w:val="22"/>
              </w:rPr>
              <w:tab/>
              <w:t>Illustration narrative spécifique</w:t>
            </w:r>
            <w:r w:rsidR="00353AB7" w:rsidRPr="0090014B">
              <w:rPr>
                <w:rFonts w:asciiTheme="majorHAnsi" w:hAnsiTheme="majorHAnsi" w:cstheme="majorHAnsi"/>
                <w:color w:val="000000"/>
                <w:sz w:val="22"/>
                <w:szCs w:val="22"/>
              </w:rPr>
              <w:tab/>
              <w:t>26</w:t>
            </w:r>
          </w:hyperlink>
        </w:p>
        <w:p w14:paraId="3D2FCF98"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qsh70q">
            <w:r w:rsidR="00353AB7" w:rsidRPr="0090014B">
              <w:rPr>
                <w:rFonts w:asciiTheme="majorHAnsi" w:hAnsiTheme="majorHAnsi" w:cstheme="majorHAnsi"/>
                <w:color w:val="000000"/>
                <w:sz w:val="22"/>
                <w:szCs w:val="22"/>
              </w:rPr>
              <w:t>13.</w:t>
            </w:r>
            <w:r w:rsidR="00353AB7" w:rsidRPr="0090014B">
              <w:rPr>
                <w:rFonts w:asciiTheme="majorHAnsi" w:hAnsiTheme="majorHAnsi" w:cstheme="majorHAnsi"/>
                <w:color w:val="000000"/>
                <w:sz w:val="22"/>
                <w:szCs w:val="22"/>
              </w:rPr>
              <w:tab/>
              <w:t>Modalités de suivi</w:t>
            </w:r>
            <w:r w:rsidR="00353AB7" w:rsidRPr="0090014B">
              <w:rPr>
                <w:rFonts w:asciiTheme="majorHAnsi" w:hAnsiTheme="majorHAnsi" w:cstheme="majorHAnsi"/>
                <w:color w:val="000000"/>
                <w:sz w:val="22"/>
                <w:szCs w:val="22"/>
              </w:rPr>
              <w:tab/>
              <w:t>27</w:t>
            </w:r>
          </w:hyperlink>
        </w:p>
        <w:p w14:paraId="6E3BE18B"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3as4poj">
            <w:r w:rsidR="00353AB7" w:rsidRPr="0090014B">
              <w:rPr>
                <w:rFonts w:asciiTheme="majorHAnsi" w:hAnsiTheme="majorHAnsi" w:cstheme="majorHAnsi"/>
                <w:color w:val="000000"/>
                <w:sz w:val="22"/>
                <w:szCs w:val="22"/>
              </w:rPr>
              <w:t>14.</w:t>
            </w:r>
            <w:r w:rsidR="00353AB7" w:rsidRPr="0090014B">
              <w:rPr>
                <w:rFonts w:asciiTheme="majorHAnsi" w:hAnsiTheme="majorHAnsi" w:cstheme="majorHAnsi"/>
                <w:color w:val="000000"/>
                <w:sz w:val="22"/>
                <w:szCs w:val="22"/>
              </w:rPr>
              <w:tab/>
              <w:t>Révisions programmatiques (le cas échéant)</w:t>
            </w:r>
            <w:r w:rsidR="00353AB7" w:rsidRPr="0090014B">
              <w:rPr>
                <w:rFonts w:asciiTheme="majorHAnsi" w:hAnsiTheme="majorHAnsi" w:cstheme="majorHAnsi"/>
                <w:color w:val="000000"/>
                <w:sz w:val="22"/>
                <w:szCs w:val="22"/>
              </w:rPr>
              <w:tab/>
              <w:t>28</w:t>
            </w:r>
          </w:hyperlink>
        </w:p>
        <w:p w14:paraId="0A487DD9"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1pxezwc">
            <w:r w:rsidR="00353AB7" w:rsidRPr="0090014B">
              <w:rPr>
                <w:rFonts w:asciiTheme="majorHAnsi" w:hAnsiTheme="majorHAnsi" w:cstheme="majorHAnsi"/>
                <w:color w:val="000000"/>
                <w:sz w:val="22"/>
                <w:szCs w:val="22"/>
              </w:rPr>
              <w:t>15.</w:t>
            </w:r>
            <w:r w:rsidR="00353AB7" w:rsidRPr="0090014B">
              <w:rPr>
                <w:rFonts w:asciiTheme="majorHAnsi" w:hAnsiTheme="majorHAnsi" w:cstheme="majorHAnsi"/>
                <w:color w:val="000000"/>
                <w:sz w:val="22"/>
                <w:szCs w:val="22"/>
              </w:rPr>
              <w:tab/>
              <w:t>Auto-évaluation du programme</w:t>
            </w:r>
            <w:r w:rsidR="00353AB7" w:rsidRPr="0090014B">
              <w:rPr>
                <w:rFonts w:asciiTheme="majorHAnsi" w:hAnsiTheme="majorHAnsi" w:cstheme="majorHAnsi"/>
                <w:color w:val="000000"/>
                <w:sz w:val="22"/>
                <w:szCs w:val="22"/>
              </w:rPr>
              <w:tab/>
              <w:t>28</w:t>
            </w:r>
          </w:hyperlink>
        </w:p>
        <w:p w14:paraId="1A10941F"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49x2ik5">
            <w:r w:rsidR="00353AB7" w:rsidRPr="0090014B">
              <w:rPr>
                <w:rFonts w:asciiTheme="majorHAnsi" w:hAnsiTheme="majorHAnsi" w:cstheme="majorHAnsi"/>
                <w:color w:val="000000"/>
                <w:sz w:val="22"/>
                <w:szCs w:val="22"/>
              </w:rPr>
              <w:t>16.</w:t>
            </w:r>
            <w:r w:rsidR="00353AB7" w:rsidRPr="0090014B">
              <w:rPr>
                <w:rFonts w:asciiTheme="majorHAnsi" w:hAnsiTheme="majorHAnsi" w:cstheme="majorHAnsi"/>
                <w:color w:val="000000"/>
                <w:sz w:val="22"/>
                <w:szCs w:val="22"/>
              </w:rPr>
              <w:tab/>
              <w:t>Difficultés rencontrées et mesures prises</w:t>
            </w:r>
            <w:r w:rsidR="00353AB7" w:rsidRPr="0090014B">
              <w:rPr>
                <w:rFonts w:asciiTheme="majorHAnsi" w:hAnsiTheme="majorHAnsi" w:cstheme="majorHAnsi"/>
                <w:color w:val="000000"/>
                <w:sz w:val="22"/>
                <w:szCs w:val="22"/>
              </w:rPr>
              <w:tab/>
              <w:t>29</w:t>
            </w:r>
          </w:hyperlink>
        </w:p>
        <w:p w14:paraId="090F3C23"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2p2csry">
            <w:r w:rsidR="00353AB7" w:rsidRPr="0090014B">
              <w:rPr>
                <w:rFonts w:asciiTheme="majorHAnsi" w:hAnsiTheme="majorHAnsi" w:cstheme="majorHAnsi"/>
                <w:color w:val="000000"/>
                <w:sz w:val="22"/>
                <w:szCs w:val="22"/>
              </w:rPr>
              <w:t>17.</w:t>
            </w:r>
            <w:r w:rsidR="00353AB7" w:rsidRPr="0090014B">
              <w:rPr>
                <w:rFonts w:asciiTheme="majorHAnsi" w:hAnsiTheme="majorHAnsi" w:cstheme="majorHAnsi"/>
                <w:color w:val="000000"/>
                <w:sz w:val="22"/>
                <w:szCs w:val="22"/>
              </w:rPr>
              <w:tab/>
              <w:t>Défis et leçons apprises dans la mise en œuvre du programme</w:t>
            </w:r>
            <w:r w:rsidR="00353AB7" w:rsidRPr="0090014B">
              <w:rPr>
                <w:rFonts w:asciiTheme="majorHAnsi" w:hAnsiTheme="majorHAnsi" w:cstheme="majorHAnsi"/>
                <w:color w:val="000000"/>
                <w:sz w:val="22"/>
                <w:szCs w:val="22"/>
              </w:rPr>
              <w:tab/>
              <w:t>29</w:t>
            </w:r>
          </w:hyperlink>
        </w:p>
        <w:p w14:paraId="2882BA25" w14:textId="77777777" w:rsidR="00C71504" w:rsidRPr="0090014B" w:rsidRDefault="007107DE">
          <w:pPr>
            <w:pBdr>
              <w:top w:val="nil"/>
              <w:left w:val="nil"/>
              <w:bottom w:val="nil"/>
              <w:right w:val="nil"/>
              <w:between w:val="nil"/>
            </w:pBdr>
            <w:tabs>
              <w:tab w:val="left" w:pos="660"/>
              <w:tab w:val="right" w:pos="8754"/>
            </w:tabs>
            <w:spacing w:after="100" w:line="259" w:lineRule="auto"/>
            <w:ind w:left="0" w:right="0" w:firstLine="0"/>
            <w:jc w:val="left"/>
            <w:rPr>
              <w:rFonts w:asciiTheme="majorHAnsi" w:hAnsiTheme="majorHAnsi" w:cstheme="majorHAnsi"/>
              <w:color w:val="000000"/>
              <w:sz w:val="22"/>
              <w:szCs w:val="22"/>
            </w:rPr>
          </w:pPr>
          <w:hyperlink w:anchor="_heading=h.147n2zr">
            <w:r w:rsidR="00353AB7" w:rsidRPr="0090014B">
              <w:rPr>
                <w:rFonts w:asciiTheme="majorHAnsi" w:hAnsiTheme="majorHAnsi" w:cstheme="majorHAnsi"/>
                <w:color w:val="000000"/>
                <w:sz w:val="22"/>
                <w:szCs w:val="22"/>
              </w:rPr>
              <w:t>18.</w:t>
            </w:r>
            <w:r w:rsidR="00353AB7" w:rsidRPr="0090014B">
              <w:rPr>
                <w:rFonts w:asciiTheme="majorHAnsi" w:hAnsiTheme="majorHAnsi" w:cstheme="majorHAnsi"/>
                <w:color w:val="000000"/>
                <w:sz w:val="22"/>
                <w:szCs w:val="22"/>
              </w:rPr>
              <w:tab/>
              <w:t>Conclusion et recommandations</w:t>
            </w:r>
            <w:r w:rsidR="00353AB7" w:rsidRPr="0090014B">
              <w:rPr>
                <w:rFonts w:asciiTheme="majorHAnsi" w:hAnsiTheme="majorHAnsi" w:cstheme="majorHAnsi"/>
                <w:color w:val="000000"/>
                <w:sz w:val="22"/>
                <w:szCs w:val="22"/>
              </w:rPr>
              <w:tab/>
              <w:t>29</w:t>
            </w:r>
          </w:hyperlink>
        </w:p>
        <w:p w14:paraId="3A2BF675" w14:textId="04574FB8" w:rsidR="00C71504" w:rsidRPr="0090014B" w:rsidRDefault="00353AB7">
          <w:pPr>
            <w:rPr>
              <w:rFonts w:asciiTheme="majorHAnsi" w:hAnsiTheme="majorHAnsi" w:cstheme="majorHAnsi"/>
              <w:sz w:val="22"/>
              <w:szCs w:val="22"/>
            </w:rPr>
          </w:pPr>
          <w:r w:rsidRPr="0090014B">
            <w:rPr>
              <w:rFonts w:asciiTheme="majorHAnsi" w:hAnsiTheme="majorHAnsi" w:cstheme="majorHAnsi"/>
              <w:sz w:val="22"/>
              <w:szCs w:val="22"/>
            </w:rPr>
            <w:fldChar w:fldCharType="end"/>
          </w:r>
        </w:p>
      </w:sdtContent>
    </w:sdt>
    <w:p w14:paraId="439AB840" w14:textId="77777777" w:rsidR="00C71504" w:rsidRPr="0090014B" w:rsidRDefault="00C71504">
      <w:pPr>
        <w:rPr>
          <w:rFonts w:asciiTheme="majorHAnsi" w:hAnsiTheme="majorHAnsi" w:cstheme="majorHAnsi"/>
          <w:sz w:val="22"/>
          <w:szCs w:val="22"/>
        </w:rPr>
      </w:pPr>
    </w:p>
    <w:p w14:paraId="219B4F9C" w14:textId="77777777" w:rsidR="00C71504" w:rsidRPr="0090014B" w:rsidRDefault="00353AB7">
      <w:pPr>
        <w:spacing w:after="160" w:line="259" w:lineRule="auto"/>
        <w:ind w:left="0" w:right="0" w:firstLine="0"/>
        <w:jc w:val="left"/>
        <w:rPr>
          <w:rFonts w:asciiTheme="majorHAnsi" w:hAnsiTheme="majorHAnsi" w:cstheme="majorHAnsi"/>
          <w:b/>
          <w:color w:val="0070C0"/>
          <w:sz w:val="22"/>
          <w:szCs w:val="22"/>
        </w:rPr>
      </w:pPr>
      <w:r w:rsidRPr="0090014B">
        <w:rPr>
          <w:rFonts w:asciiTheme="majorHAnsi" w:hAnsiTheme="majorHAnsi" w:cstheme="majorHAnsi"/>
          <w:sz w:val="22"/>
          <w:szCs w:val="22"/>
        </w:rPr>
        <w:br w:type="page"/>
      </w:r>
    </w:p>
    <w:p w14:paraId="5E49DDC6" w14:textId="77777777" w:rsidR="00C71504" w:rsidRPr="0090014B" w:rsidRDefault="00353AB7">
      <w:pPr>
        <w:pStyle w:val="Titre1"/>
        <w:numPr>
          <w:ilvl w:val="0"/>
          <w:numId w:val="11"/>
        </w:numPr>
        <w:rPr>
          <w:rFonts w:asciiTheme="majorHAnsi" w:hAnsiTheme="majorHAnsi" w:cstheme="majorHAnsi"/>
          <w:sz w:val="22"/>
          <w:szCs w:val="22"/>
        </w:rPr>
      </w:pPr>
      <w:bookmarkStart w:id="2" w:name="_heading=h.1fob9te" w:colFirst="0" w:colLast="0"/>
      <w:bookmarkEnd w:id="2"/>
      <w:r w:rsidRPr="0090014B">
        <w:rPr>
          <w:rFonts w:asciiTheme="majorHAnsi" w:hAnsiTheme="majorHAnsi" w:cstheme="majorHAnsi"/>
          <w:sz w:val="22"/>
          <w:szCs w:val="22"/>
        </w:rPr>
        <w:t>Données clés du programme REDD+</w:t>
      </w:r>
    </w:p>
    <w:tbl>
      <w:tblPr>
        <w:tblStyle w:val="11"/>
        <w:tblW w:w="895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6"/>
        <w:gridCol w:w="4330"/>
      </w:tblGrid>
      <w:tr w:rsidR="00C71504" w:rsidRPr="0090014B" w14:paraId="218C6C94" w14:textId="77777777">
        <w:trPr>
          <w:trHeight w:val="559"/>
        </w:trPr>
        <w:tc>
          <w:tcPr>
            <w:tcW w:w="4626" w:type="dxa"/>
            <w:vAlign w:val="center"/>
          </w:tcPr>
          <w:p w14:paraId="52CDE76B"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Titre du Programme &amp; Référence</w:t>
            </w:r>
          </w:p>
        </w:tc>
        <w:tc>
          <w:tcPr>
            <w:tcW w:w="4330" w:type="dxa"/>
            <w:vAlign w:val="center"/>
          </w:tcPr>
          <w:p w14:paraId="4033E2B1"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Programme de consommation durable et substitution partielle au bois énergie</w:t>
            </w:r>
          </w:p>
        </w:tc>
      </w:tr>
      <w:tr w:rsidR="00C71504" w:rsidRPr="0090014B" w14:paraId="440F099A" w14:textId="77777777">
        <w:trPr>
          <w:trHeight w:val="387"/>
        </w:trPr>
        <w:tc>
          <w:tcPr>
            <w:tcW w:w="4626" w:type="dxa"/>
            <w:vAlign w:val="center"/>
          </w:tcPr>
          <w:p w14:paraId="232E4029"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 xml:space="preserve">Numéro de référence du Programme/MPTF </w:t>
            </w:r>
          </w:p>
        </w:tc>
        <w:tc>
          <w:tcPr>
            <w:tcW w:w="4330" w:type="dxa"/>
            <w:vAlign w:val="center"/>
          </w:tcPr>
          <w:p w14:paraId="406028EE"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00113647/ 00113546</w:t>
            </w:r>
          </w:p>
        </w:tc>
      </w:tr>
      <w:tr w:rsidR="00C71504" w:rsidRPr="0090014B" w14:paraId="34D059CE" w14:textId="77777777">
        <w:trPr>
          <w:trHeight w:val="387"/>
        </w:trPr>
        <w:tc>
          <w:tcPr>
            <w:tcW w:w="4626" w:type="dxa"/>
            <w:vAlign w:val="center"/>
          </w:tcPr>
          <w:p w14:paraId="0FF03C4E"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Localité, Secteur/Thème(s) du Programme</w:t>
            </w:r>
          </w:p>
        </w:tc>
        <w:tc>
          <w:tcPr>
            <w:tcW w:w="4330" w:type="dxa"/>
            <w:vAlign w:val="center"/>
          </w:tcPr>
          <w:p w14:paraId="0E462A45"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Kinshasa, Bukavu, Goma, Lubumbashi, Kisangani</w:t>
            </w:r>
          </w:p>
        </w:tc>
      </w:tr>
      <w:tr w:rsidR="00C71504" w:rsidRPr="0090014B" w14:paraId="7C5FC634" w14:textId="77777777">
        <w:trPr>
          <w:trHeight w:val="890"/>
        </w:trPr>
        <w:tc>
          <w:tcPr>
            <w:tcW w:w="4626" w:type="dxa"/>
            <w:vAlign w:val="center"/>
          </w:tcPr>
          <w:p w14:paraId="38120B47"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Partenaires de mise en œuvre</w:t>
            </w:r>
          </w:p>
        </w:tc>
        <w:tc>
          <w:tcPr>
            <w:tcW w:w="4330" w:type="dxa"/>
            <w:vAlign w:val="center"/>
          </w:tcPr>
          <w:p w14:paraId="27477BA9"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 xml:space="preserve">Programme des Nations Unies pour le Développement (PNUD) – United Nations Capital </w:t>
            </w:r>
            <w:proofErr w:type="spellStart"/>
            <w:r w:rsidRPr="0090014B">
              <w:rPr>
                <w:rFonts w:asciiTheme="majorHAnsi" w:hAnsiTheme="majorHAnsi" w:cstheme="majorHAnsi"/>
                <w:color w:val="000000"/>
              </w:rPr>
              <w:t>Development</w:t>
            </w:r>
            <w:proofErr w:type="spellEnd"/>
            <w:r w:rsidRPr="0090014B">
              <w:rPr>
                <w:rFonts w:asciiTheme="majorHAnsi" w:hAnsiTheme="majorHAnsi" w:cstheme="majorHAnsi"/>
                <w:color w:val="000000"/>
              </w:rPr>
              <w:t xml:space="preserve"> </w:t>
            </w:r>
            <w:proofErr w:type="spellStart"/>
            <w:r w:rsidRPr="0090014B">
              <w:rPr>
                <w:rFonts w:asciiTheme="majorHAnsi" w:hAnsiTheme="majorHAnsi" w:cstheme="majorHAnsi"/>
                <w:color w:val="000000"/>
              </w:rPr>
              <w:t>Fund</w:t>
            </w:r>
            <w:proofErr w:type="spellEnd"/>
            <w:r w:rsidRPr="0090014B">
              <w:rPr>
                <w:rFonts w:asciiTheme="majorHAnsi" w:hAnsiTheme="majorHAnsi" w:cstheme="majorHAnsi"/>
                <w:color w:val="000000"/>
              </w:rPr>
              <w:t xml:space="preserve"> (UNCDF)</w:t>
            </w:r>
          </w:p>
        </w:tc>
      </w:tr>
      <w:tr w:rsidR="00C71504" w:rsidRPr="009E03FB" w14:paraId="64FBF4B2" w14:textId="77777777">
        <w:trPr>
          <w:trHeight w:val="973"/>
        </w:trPr>
        <w:tc>
          <w:tcPr>
            <w:tcW w:w="4626" w:type="dxa"/>
            <w:vAlign w:val="center"/>
          </w:tcPr>
          <w:p w14:paraId="0143A17F"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Organisations participantes</w:t>
            </w:r>
          </w:p>
        </w:tc>
        <w:tc>
          <w:tcPr>
            <w:tcW w:w="4330" w:type="dxa"/>
            <w:vAlign w:val="center"/>
          </w:tcPr>
          <w:p w14:paraId="1A972821"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Programme des Nations Unies pour le Développement (PNUD)</w:t>
            </w:r>
          </w:p>
          <w:p w14:paraId="33EB4D29" w14:textId="77777777" w:rsidR="00C71504" w:rsidRPr="0090014B" w:rsidRDefault="00353AB7">
            <w:pPr>
              <w:rPr>
                <w:rFonts w:asciiTheme="majorHAnsi" w:hAnsiTheme="majorHAnsi" w:cstheme="majorHAnsi"/>
                <w:color w:val="000000"/>
                <w:lang w:val="en-GB"/>
              </w:rPr>
            </w:pPr>
            <w:r w:rsidRPr="0090014B">
              <w:rPr>
                <w:rFonts w:asciiTheme="majorHAnsi" w:hAnsiTheme="majorHAnsi" w:cstheme="majorHAnsi"/>
                <w:color w:val="000000"/>
                <w:lang w:val="en-GB"/>
              </w:rPr>
              <w:t>United Nations Capital Development Fund (UNCDF)</w:t>
            </w:r>
          </w:p>
        </w:tc>
      </w:tr>
      <w:tr w:rsidR="00C71504" w:rsidRPr="0090014B" w14:paraId="6303D21F" w14:textId="77777777">
        <w:trPr>
          <w:trHeight w:val="387"/>
        </w:trPr>
        <w:tc>
          <w:tcPr>
            <w:tcW w:w="4626" w:type="dxa"/>
            <w:vAlign w:val="center"/>
          </w:tcPr>
          <w:p w14:paraId="30E74E35"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Budget du Programme (USD)</w:t>
            </w:r>
          </w:p>
        </w:tc>
        <w:tc>
          <w:tcPr>
            <w:tcW w:w="4330" w:type="dxa"/>
            <w:vAlign w:val="center"/>
          </w:tcPr>
          <w:p w14:paraId="34B01AE0"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15,000,000</w:t>
            </w:r>
          </w:p>
        </w:tc>
      </w:tr>
      <w:tr w:rsidR="00C71504" w:rsidRPr="0090014B" w14:paraId="4A4A27AA" w14:textId="77777777">
        <w:trPr>
          <w:trHeight w:val="435"/>
        </w:trPr>
        <w:tc>
          <w:tcPr>
            <w:tcW w:w="4626" w:type="dxa"/>
            <w:vAlign w:val="center"/>
          </w:tcPr>
          <w:p w14:paraId="24A0EBCB"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 xml:space="preserve">Durée totale programme (mois):  </w:t>
            </w:r>
          </w:p>
        </w:tc>
        <w:tc>
          <w:tcPr>
            <w:tcW w:w="4330" w:type="dxa"/>
            <w:vAlign w:val="center"/>
          </w:tcPr>
          <w:p w14:paraId="4C82A03D"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48</w:t>
            </w:r>
          </w:p>
        </w:tc>
      </w:tr>
      <w:tr w:rsidR="00C71504" w:rsidRPr="0090014B" w14:paraId="14843BC3" w14:textId="77777777">
        <w:trPr>
          <w:trHeight w:val="435"/>
        </w:trPr>
        <w:tc>
          <w:tcPr>
            <w:tcW w:w="4626" w:type="dxa"/>
            <w:vAlign w:val="center"/>
          </w:tcPr>
          <w:p w14:paraId="19E086FE"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Date d’approbation du programme en COPIL FONAREDD (</w:t>
            </w:r>
            <w:proofErr w:type="spellStart"/>
            <w:r w:rsidRPr="0090014B">
              <w:rPr>
                <w:rFonts w:asciiTheme="majorHAnsi" w:hAnsiTheme="majorHAnsi" w:cstheme="majorHAnsi"/>
                <w:color w:val="000000"/>
              </w:rPr>
              <w:t>dd.mm.yyyy</w:t>
            </w:r>
            <w:proofErr w:type="spellEnd"/>
            <w:r w:rsidRPr="0090014B">
              <w:rPr>
                <w:rFonts w:asciiTheme="majorHAnsi" w:hAnsiTheme="majorHAnsi" w:cstheme="majorHAnsi"/>
                <w:color w:val="000000"/>
              </w:rPr>
              <w:t>):</w:t>
            </w:r>
          </w:p>
        </w:tc>
        <w:tc>
          <w:tcPr>
            <w:tcW w:w="4330" w:type="dxa"/>
            <w:vAlign w:val="center"/>
          </w:tcPr>
          <w:p w14:paraId="55A776C5"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08/11/2018</w:t>
            </w:r>
          </w:p>
        </w:tc>
      </w:tr>
      <w:tr w:rsidR="00C71504" w:rsidRPr="0090014B" w14:paraId="40E4CA2C" w14:textId="77777777">
        <w:trPr>
          <w:trHeight w:val="435"/>
        </w:trPr>
        <w:tc>
          <w:tcPr>
            <w:tcW w:w="4626" w:type="dxa"/>
            <w:vAlign w:val="center"/>
          </w:tcPr>
          <w:p w14:paraId="2FF5534D"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Date de transfert de fonds par MPTF (</w:t>
            </w:r>
            <w:proofErr w:type="spellStart"/>
            <w:r w:rsidRPr="0090014B">
              <w:rPr>
                <w:rFonts w:asciiTheme="majorHAnsi" w:hAnsiTheme="majorHAnsi" w:cstheme="majorHAnsi"/>
                <w:color w:val="000000"/>
              </w:rPr>
              <w:t>dd.mm.yyyy</w:t>
            </w:r>
            <w:proofErr w:type="spellEnd"/>
            <w:r w:rsidRPr="0090014B">
              <w:rPr>
                <w:rFonts w:asciiTheme="majorHAnsi" w:hAnsiTheme="majorHAnsi" w:cstheme="majorHAnsi"/>
                <w:color w:val="000000"/>
              </w:rPr>
              <w:t>):</w:t>
            </w:r>
          </w:p>
        </w:tc>
        <w:tc>
          <w:tcPr>
            <w:tcW w:w="4330" w:type="dxa"/>
            <w:vAlign w:val="center"/>
          </w:tcPr>
          <w:p w14:paraId="718971EF"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1er/12/2018</w:t>
            </w:r>
          </w:p>
        </w:tc>
      </w:tr>
      <w:tr w:rsidR="00C71504" w:rsidRPr="0090014B" w14:paraId="2E6DD7C9" w14:textId="77777777">
        <w:trPr>
          <w:trHeight w:val="753"/>
        </w:trPr>
        <w:tc>
          <w:tcPr>
            <w:tcW w:w="4626" w:type="dxa"/>
            <w:vAlign w:val="center"/>
          </w:tcPr>
          <w:p w14:paraId="242CC6A3"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Date de lancement officiel/Démarrage effectif (</w:t>
            </w:r>
            <w:proofErr w:type="spellStart"/>
            <w:r w:rsidRPr="0090014B">
              <w:rPr>
                <w:rFonts w:asciiTheme="majorHAnsi" w:hAnsiTheme="majorHAnsi" w:cstheme="majorHAnsi"/>
                <w:color w:val="000000"/>
              </w:rPr>
              <w:t>dd.mm.yyyy</w:t>
            </w:r>
            <w:proofErr w:type="spellEnd"/>
            <w:r w:rsidRPr="0090014B">
              <w:rPr>
                <w:rFonts w:asciiTheme="majorHAnsi" w:hAnsiTheme="majorHAnsi" w:cstheme="majorHAnsi"/>
                <w:color w:val="000000"/>
              </w:rPr>
              <w:t xml:space="preserve">): </w:t>
            </w:r>
          </w:p>
        </w:tc>
        <w:tc>
          <w:tcPr>
            <w:tcW w:w="4330" w:type="dxa"/>
            <w:vAlign w:val="center"/>
          </w:tcPr>
          <w:p w14:paraId="64CD2E15"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29 Novembre 2019</w:t>
            </w:r>
          </w:p>
        </w:tc>
      </w:tr>
      <w:tr w:rsidR="00C71504" w:rsidRPr="0090014B" w14:paraId="0C8703D0" w14:textId="77777777">
        <w:trPr>
          <w:trHeight w:val="483"/>
        </w:trPr>
        <w:tc>
          <w:tcPr>
            <w:tcW w:w="4626" w:type="dxa"/>
            <w:vAlign w:val="center"/>
          </w:tcPr>
          <w:p w14:paraId="46FC1309"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Date de clôture originale (</w:t>
            </w:r>
            <w:proofErr w:type="spellStart"/>
            <w:r w:rsidRPr="0090014B">
              <w:rPr>
                <w:rFonts w:asciiTheme="majorHAnsi" w:hAnsiTheme="majorHAnsi" w:cstheme="majorHAnsi"/>
                <w:color w:val="000000"/>
              </w:rPr>
              <w:t>dd.mm.yyyy</w:t>
            </w:r>
            <w:proofErr w:type="spellEnd"/>
            <w:r w:rsidRPr="0090014B">
              <w:rPr>
                <w:rFonts w:asciiTheme="majorHAnsi" w:hAnsiTheme="majorHAnsi" w:cstheme="majorHAnsi"/>
                <w:color w:val="000000"/>
              </w:rPr>
              <w:t xml:space="preserve">)  </w:t>
            </w:r>
          </w:p>
        </w:tc>
        <w:tc>
          <w:tcPr>
            <w:tcW w:w="4330" w:type="dxa"/>
            <w:vAlign w:val="center"/>
          </w:tcPr>
          <w:p w14:paraId="4F731204"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31/12/2022</w:t>
            </w:r>
          </w:p>
        </w:tc>
      </w:tr>
      <w:tr w:rsidR="00C71504" w:rsidRPr="0090014B" w14:paraId="727307B4" w14:textId="77777777">
        <w:trPr>
          <w:trHeight w:val="387"/>
        </w:trPr>
        <w:tc>
          <w:tcPr>
            <w:tcW w:w="4626" w:type="dxa"/>
            <w:vAlign w:val="center"/>
          </w:tcPr>
          <w:p w14:paraId="32AA0CAB"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Date de clôture actuelle (</w:t>
            </w:r>
            <w:proofErr w:type="spellStart"/>
            <w:r w:rsidRPr="0090014B">
              <w:rPr>
                <w:rFonts w:asciiTheme="majorHAnsi" w:hAnsiTheme="majorHAnsi" w:cstheme="majorHAnsi"/>
                <w:color w:val="000000"/>
              </w:rPr>
              <w:t>dd.mm.yyyy</w:t>
            </w:r>
            <w:proofErr w:type="spellEnd"/>
            <w:r w:rsidRPr="0090014B">
              <w:rPr>
                <w:rFonts w:asciiTheme="majorHAnsi" w:hAnsiTheme="majorHAnsi" w:cstheme="majorHAnsi"/>
                <w:color w:val="000000"/>
              </w:rPr>
              <w:t>)</w:t>
            </w:r>
          </w:p>
        </w:tc>
        <w:tc>
          <w:tcPr>
            <w:tcW w:w="4330" w:type="dxa"/>
            <w:vAlign w:val="center"/>
          </w:tcPr>
          <w:p w14:paraId="40B4C840"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1er/12/2023</w:t>
            </w:r>
          </w:p>
        </w:tc>
      </w:tr>
      <w:tr w:rsidR="00C71504" w:rsidRPr="0090014B" w14:paraId="42D8C1C0" w14:textId="77777777">
        <w:trPr>
          <w:trHeight w:val="387"/>
        </w:trPr>
        <w:tc>
          <w:tcPr>
            <w:tcW w:w="4626" w:type="dxa"/>
            <w:vAlign w:val="center"/>
          </w:tcPr>
          <w:p w14:paraId="41FB7708"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Décaissements au 31/12/2020</w:t>
            </w:r>
          </w:p>
        </w:tc>
        <w:tc>
          <w:tcPr>
            <w:tcW w:w="4330" w:type="dxa"/>
            <w:vAlign w:val="center"/>
          </w:tcPr>
          <w:p w14:paraId="67124472"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9 000 000 USD</w:t>
            </w:r>
          </w:p>
        </w:tc>
      </w:tr>
      <w:tr w:rsidR="00C71504" w:rsidRPr="0090014B" w14:paraId="073724F3" w14:textId="77777777">
        <w:trPr>
          <w:trHeight w:val="387"/>
        </w:trPr>
        <w:tc>
          <w:tcPr>
            <w:tcW w:w="4626" w:type="dxa"/>
            <w:vAlign w:val="center"/>
          </w:tcPr>
          <w:p w14:paraId="108DB1A7"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Dépenses globales (USD) au 31/12/2020</w:t>
            </w:r>
          </w:p>
        </w:tc>
        <w:tc>
          <w:tcPr>
            <w:tcW w:w="4330" w:type="dxa"/>
            <w:vAlign w:val="center"/>
          </w:tcPr>
          <w:p w14:paraId="3CD9B665" w14:textId="5C05D6F2" w:rsidR="00C71504" w:rsidRPr="0090014B" w:rsidRDefault="00051A29">
            <w:pPr>
              <w:rPr>
                <w:rFonts w:asciiTheme="majorHAnsi" w:hAnsiTheme="majorHAnsi" w:cstheme="majorHAnsi"/>
                <w:color w:val="000000"/>
              </w:rPr>
            </w:pPr>
            <w:r w:rsidRPr="00051A29">
              <w:rPr>
                <w:rFonts w:asciiTheme="majorHAnsi" w:eastAsia="Calibri" w:hAnsiTheme="majorHAnsi" w:cstheme="majorHAnsi"/>
                <w:color w:val="000000"/>
              </w:rPr>
              <w:t>2 952 255,30</w:t>
            </w:r>
          </w:p>
        </w:tc>
      </w:tr>
      <w:tr w:rsidR="00C71504" w:rsidRPr="0090014B" w14:paraId="0F828C72" w14:textId="77777777">
        <w:trPr>
          <w:trHeight w:val="409"/>
        </w:trPr>
        <w:tc>
          <w:tcPr>
            <w:tcW w:w="4626" w:type="dxa"/>
            <w:vAlign w:val="center"/>
          </w:tcPr>
          <w:p w14:paraId="69913319"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Taux de consommation de la 1</w:t>
            </w:r>
            <w:r w:rsidRPr="0090014B">
              <w:rPr>
                <w:rFonts w:asciiTheme="majorHAnsi" w:hAnsiTheme="majorHAnsi" w:cstheme="majorHAnsi"/>
                <w:color w:val="000000"/>
                <w:vertAlign w:val="superscript"/>
              </w:rPr>
              <w:t>ère</w:t>
            </w:r>
            <w:r w:rsidRPr="0090014B">
              <w:rPr>
                <w:rFonts w:asciiTheme="majorHAnsi" w:hAnsiTheme="majorHAnsi" w:cstheme="majorHAnsi"/>
                <w:color w:val="000000"/>
              </w:rPr>
              <w:t xml:space="preserve"> tranche</w:t>
            </w:r>
          </w:p>
        </w:tc>
        <w:tc>
          <w:tcPr>
            <w:tcW w:w="4330" w:type="dxa"/>
            <w:vAlign w:val="center"/>
          </w:tcPr>
          <w:p w14:paraId="02624876"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33%</w:t>
            </w:r>
            <w:r w:rsidRPr="0090014B">
              <w:rPr>
                <w:rFonts w:asciiTheme="majorHAnsi" w:hAnsiTheme="majorHAnsi" w:cstheme="majorHAnsi"/>
                <w:i/>
                <w:color w:val="000000"/>
                <w:vertAlign w:val="superscript"/>
              </w:rPr>
              <w:footnoteReference w:id="1"/>
            </w:r>
          </w:p>
        </w:tc>
      </w:tr>
      <w:tr w:rsidR="00C71504" w:rsidRPr="0090014B" w14:paraId="2621ED4C" w14:textId="77777777">
        <w:trPr>
          <w:trHeight w:val="387"/>
        </w:trPr>
        <w:tc>
          <w:tcPr>
            <w:tcW w:w="4626" w:type="dxa"/>
            <w:vAlign w:val="center"/>
          </w:tcPr>
          <w:p w14:paraId="1E52A006"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Date d’évaluation à mi-parcours le cas échéant</w:t>
            </w:r>
          </w:p>
        </w:tc>
        <w:tc>
          <w:tcPr>
            <w:tcW w:w="4330" w:type="dxa"/>
            <w:vAlign w:val="center"/>
          </w:tcPr>
          <w:p w14:paraId="62D1CFE8"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1</w:t>
            </w:r>
            <w:r w:rsidRPr="0090014B">
              <w:rPr>
                <w:rFonts w:asciiTheme="majorHAnsi" w:hAnsiTheme="majorHAnsi" w:cstheme="majorHAnsi"/>
                <w:color w:val="000000"/>
                <w:vertAlign w:val="superscript"/>
              </w:rPr>
              <w:t>er</w:t>
            </w:r>
            <w:r w:rsidRPr="0090014B">
              <w:rPr>
                <w:rFonts w:asciiTheme="majorHAnsi" w:hAnsiTheme="majorHAnsi" w:cstheme="majorHAnsi"/>
                <w:color w:val="000000"/>
              </w:rPr>
              <w:t>/12/2021</w:t>
            </w:r>
          </w:p>
        </w:tc>
      </w:tr>
      <w:tr w:rsidR="00C71504" w:rsidRPr="0090014B" w14:paraId="3665B868" w14:textId="77777777">
        <w:trPr>
          <w:trHeight w:val="1512"/>
        </w:trPr>
        <w:tc>
          <w:tcPr>
            <w:tcW w:w="4626" w:type="dxa"/>
            <w:vAlign w:val="center"/>
          </w:tcPr>
          <w:p w14:paraId="7E99334E"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Contact (Nom, titre, organisation participante et adresse mail :</w:t>
            </w:r>
          </w:p>
        </w:tc>
        <w:tc>
          <w:tcPr>
            <w:tcW w:w="4330" w:type="dxa"/>
            <w:vAlign w:val="center"/>
          </w:tcPr>
          <w:p w14:paraId="5652281A" w14:textId="77777777" w:rsidR="00C71504" w:rsidRPr="0090014B" w:rsidRDefault="00353AB7">
            <w:pPr>
              <w:numPr>
                <w:ilvl w:val="0"/>
                <w:numId w:val="7"/>
              </w:numPr>
              <w:ind w:left="342"/>
              <w:rPr>
                <w:rFonts w:asciiTheme="majorHAnsi" w:hAnsiTheme="majorHAnsi" w:cstheme="majorHAnsi"/>
                <w:color w:val="000000"/>
              </w:rPr>
            </w:pPr>
            <w:r w:rsidRPr="0090014B">
              <w:rPr>
                <w:rFonts w:asciiTheme="majorHAnsi" w:hAnsiTheme="majorHAnsi" w:cstheme="majorHAnsi"/>
                <w:color w:val="000000"/>
              </w:rPr>
              <w:t>Nom: Dominic Sam</w:t>
            </w:r>
          </w:p>
          <w:p w14:paraId="28D95586" w14:textId="77777777" w:rsidR="00C71504" w:rsidRPr="0090014B" w:rsidRDefault="00353AB7">
            <w:pPr>
              <w:numPr>
                <w:ilvl w:val="0"/>
                <w:numId w:val="7"/>
              </w:numPr>
              <w:ind w:left="342"/>
              <w:rPr>
                <w:rFonts w:asciiTheme="majorHAnsi" w:hAnsiTheme="majorHAnsi" w:cstheme="majorHAnsi"/>
                <w:color w:val="000000"/>
              </w:rPr>
            </w:pPr>
            <w:r w:rsidRPr="0090014B">
              <w:rPr>
                <w:rFonts w:asciiTheme="majorHAnsi" w:hAnsiTheme="majorHAnsi" w:cstheme="majorHAnsi"/>
                <w:color w:val="000000"/>
              </w:rPr>
              <w:t xml:space="preserve">Titre: Représentant Résident </w:t>
            </w:r>
          </w:p>
          <w:p w14:paraId="34B2B49F" w14:textId="77777777" w:rsidR="00C71504" w:rsidRPr="0090014B" w:rsidRDefault="00353AB7">
            <w:pPr>
              <w:numPr>
                <w:ilvl w:val="0"/>
                <w:numId w:val="7"/>
              </w:numPr>
              <w:ind w:left="342"/>
              <w:rPr>
                <w:rFonts w:asciiTheme="majorHAnsi" w:hAnsiTheme="majorHAnsi" w:cstheme="majorHAnsi"/>
                <w:color w:val="000000"/>
              </w:rPr>
            </w:pPr>
            <w:r w:rsidRPr="0090014B">
              <w:rPr>
                <w:rFonts w:asciiTheme="majorHAnsi" w:hAnsiTheme="majorHAnsi" w:cstheme="majorHAnsi"/>
                <w:color w:val="000000"/>
              </w:rPr>
              <w:t>Organisation participante: PNUD</w:t>
            </w:r>
          </w:p>
          <w:p w14:paraId="46C8016B" w14:textId="77777777" w:rsidR="00C71504" w:rsidRPr="0090014B" w:rsidRDefault="00353AB7">
            <w:pPr>
              <w:numPr>
                <w:ilvl w:val="0"/>
                <w:numId w:val="8"/>
              </w:numPr>
              <w:pBdr>
                <w:top w:val="nil"/>
                <w:left w:val="nil"/>
                <w:bottom w:val="nil"/>
                <w:right w:val="nil"/>
                <w:between w:val="nil"/>
              </w:pBdr>
              <w:spacing w:after="5" w:line="271" w:lineRule="auto"/>
              <w:ind w:left="320" w:right="28"/>
              <w:jc w:val="both"/>
              <w:rPr>
                <w:rFonts w:asciiTheme="majorHAnsi" w:eastAsia="Calibri" w:hAnsiTheme="majorHAnsi" w:cstheme="majorHAnsi"/>
                <w:color w:val="000000"/>
              </w:rPr>
            </w:pPr>
            <w:r w:rsidRPr="0090014B">
              <w:rPr>
                <w:rFonts w:asciiTheme="majorHAnsi" w:eastAsia="Calibri" w:hAnsiTheme="majorHAnsi" w:cstheme="majorHAnsi"/>
                <w:color w:val="000000"/>
              </w:rPr>
              <w:t xml:space="preserve">Adresse e-mail: </w:t>
            </w:r>
            <w:hyperlink r:id="rId14">
              <w:r w:rsidRPr="0090014B">
                <w:rPr>
                  <w:rFonts w:asciiTheme="majorHAnsi" w:eastAsia="Calibri" w:hAnsiTheme="majorHAnsi" w:cstheme="majorHAnsi"/>
                  <w:color w:val="000000"/>
                </w:rPr>
                <w:t>dominic.sam@undp.org</w:t>
              </w:r>
            </w:hyperlink>
          </w:p>
          <w:p w14:paraId="01EB2E8E" w14:textId="77777777" w:rsidR="00C71504" w:rsidRPr="0090014B" w:rsidRDefault="00353AB7">
            <w:pPr>
              <w:rPr>
                <w:rFonts w:asciiTheme="majorHAnsi" w:hAnsiTheme="majorHAnsi" w:cstheme="majorHAnsi"/>
                <w:color w:val="000000"/>
              </w:rPr>
            </w:pPr>
            <w:r w:rsidRPr="0090014B">
              <w:rPr>
                <w:rFonts w:asciiTheme="majorHAnsi" w:hAnsiTheme="majorHAnsi" w:cstheme="majorHAnsi"/>
                <w:color w:val="000000"/>
              </w:rPr>
              <w:t xml:space="preserve">                                       </w:t>
            </w:r>
            <w:hyperlink r:id="rId15">
              <w:r w:rsidRPr="0090014B">
                <w:rPr>
                  <w:rFonts w:asciiTheme="majorHAnsi" w:hAnsiTheme="majorHAnsi" w:cstheme="majorHAnsi"/>
                  <w:color w:val="0000FF"/>
                  <w:u w:val="single"/>
                </w:rPr>
                <w:t>registry.cd@undp.org</w:t>
              </w:r>
            </w:hyperlink>
            <w:hyperlink r:id="rId16" w:history="1"/>
          </w:p>
        </w:tc>
      </w:tr>
    </w:tbl>
    <w:p w14:paraId="776037CF" w14:textId="77777777" w:rsidR="00C71504" w:rsidRPr="0090014B" w:rsidRDefault="00C71504">
      <w:pPr>
        <w:rPr>
          <w:rFonts w:asciiTheme="majorHAnsi" w:hAnsiTheme="majorHAnsi" w:cstheme="majorHAnsi"/>
          <w:sz w:val="22"/>
          <w:szCs w:val="22"/>
        </w:rPr>
      </w:pPr>
    </w:p>
    <w:p w14:paraId="414A02B9" w14:textId="77777777" w:rsidR="00C71504" w:rsidRPr="0090014B" w:rsidRDefault="00C71504">
      <w:pPr>
        <w:rPr>
          <w:rFonts w:asciiTheme="majorHAnsi" w:hAnsiTheme="majorHAnsi" w:cstheme="majorHAnsi"/>
          <w:sz w:val="22"/>
          <w:szCs w:val="22"/>
        </w:rPr>
      </w:pPr>
    </w:p>
    <w:p w14:paraId="4F575D3B" w14:textId="77777777" w:rsidR="00C71504" w:rsidRPr="0090014B" w:rsidRDefault="00C71504">
      <w:pPr>
        <w:spacing w:line="240" w:lineRule="auto"/>
        <w:rPr>
          <w:rFonts w:asciiTheme="majorHAnsi" w:hAnsiTheme="majorHAnsi" w:cstheme="majorHAnsi"/>
          <w:sz w:val="22"/>
          <w:szCs w:val="22"/>
        </w:rPr>
      </w:pPr>
    </w:p>
    <w:p w14:paraId="65A07B18" w14:textId="77777777" w:rsidR="00C71504" w:rsidRPr="0090014B" w:rsidRDefault="00C71504">
      <w:pPr>
        <w:spacing w:line="240" w:lineRule="auto"/>
        <w:rPr>
          <w:rFonts w:asciiTheme="majorHAnsi" w:hAnsiTheme="majorHAnsi" w:cstheme="majorHAnsi"/>
          <w:sz w:val="22"/>
          <w:szCs w:val="22"/>
        </w:rPr>
      </w:pPr>
    </w:p>
    <w:p w14:paraId="589F3FAE" w14:textId="77777777" w:rsidR="00C71504" w:rsidRPr="0090014B" w:rsidRDefault="00353AB7">
      <w:pPr>
        <w:spacing w:after="160" w:line="259" w:lineRule="auto"/>
        <w:ind w:left="0" w:right="0" w:firstLine="0"/>
        <w:jc w:val="left"/>
        <w:rPr>
          <w:rFonts w:asciiTheme="majorHAnsi" w:hAnsiTheme="majorHAnsi" w:cstheme="majorHAnsi"/>
          <w:b/>
          <w:color w:val="0070C0"/>
          <w:sz w:val="22"/>
          <w:szCs w:val="22"/>
        </w:rPr>
      </w:pPr>
      <w:r w:rsidRPr="0090014B">
        <w:rPr>
          <w:rFonts w:asciiTheme="majorHAnsi" w:hAnsiTheme="majorHAnsi" w:cstheme="majorHAnsi"/>
          <w:sz w:val="22"/>
          <w:szCs w:val="22"/>
        </w:rPr>
        <w:br w:type="page"/>
      </w:r>
    </w:p>
    <w:p w14:paraId="705AC8A1" w14:textId="77777777" w:rsidR="00C71504" w:rsidRPr="0090014B" w:rsidRDefault="00353AB7">
      <w:pPr>
        <w:pStyle w:val="Titre1"/>
        <w:numPr>
          <w:ilvl w:val="0"/>
          <w:numId w:val="11"/>
        </w:numPr>
        <w:rPr>
          <w:rFonts w:asciiTheme="majorHAnsi" w:hAnsiTheme="majorHAnsi" w:cstheme="majorHAnsi"/>
          <w:sz w:val="22"/>
          <w:szCs w:val="22"/>
        </w:rPr>
      </w:pPr>
      <w:bookmarkStart w:id="3" w:name="_heading=h.3znysh7" w:colFirst="0" w:colLast="0"/>
      <w:bookmarkEnd w:id="3"/>
      <w:r w:rsidRPr="0090014B">
        <w:rPr>
          <w:rFonts w:asciiTheme="majorHAnsi" w:hAnsiTheme="majorHAnsi" w:cstheme="majorHAnsi"/>
          <w:sz w:val="22"/>
          <w:szCs w:val="22"/>
        </w:rPr>
        <w:t>Résumé exécutif (maximum 1 page)</w:t>
      </w:r>
    </w:p>
    <w:p w14:paraId="65CFC132" w14:textId="77777777" w:rsidR="00C71504" w:rsidRPr="0090014B" w:rsidRDefault="00353AB7">
      <w:pPr>
        <w:spacing w:after="120" w:line="240" w:lineRule="auto"/>
        <w:ind w:left="10" w:firstLine="0"/>
        <w:rPr>
          <w:rFonts w:asciiTheme="majorHAnsi" w:hAnsiTheme="majorHAnsi" w:cstheme="majorHAnsi"/>
          <w:sz w:val="22"/>
          <w:szCs w:val="22"/>
        </w:rPr>
      </w:pPr>
      <w:bookmarkStart w:id="4" w:name="_heading=h.2et92p0" w:colFirst="0" w:colLast="0"/>
      <w:bookmarkEnd w:id="4"/>
      <w:r w:rsidRPr="0090014B">
        <w:rPr>
          <w:rFonts w:asciiTheme="majorHAnsi" w:hAnsiTheme="majorHAnsi" w:cstheme="majorHAnsi"/>
          <w:sz w:val="22"/>
          <w:szCs w:val="22"/>
        </w:rPr>
        <w:t xml:space="preserve">Officiellement lancé le 29 Novembre 2019, le programme de consommation et de substitution partielle au bois-énergie a connu un élan majeur de mise en œuvre en 2020 avec la mise en place complète de l’équipe de coordination, la réalisation de toutes les études de référence, l’amorçage du processus politique, l’étude de sélection de 4 sites de Microcentrale-hydroélectrique dans de Bas-Uélé, Haut-Uélé, Ituri et </w:t>
      </w:r>
      <w:proofErr w:type="spellStart"/>
      <w:r w:rsidRPr="0090014B">
        <w:rPr>
          <w:rFonts w:asciiTheme="majorHAnsi" w:hAnsiTheme="majorHAnsi" w:cstheme="majorHAnsi"/>
          <w:sz w:val="22"/>
          <w:szCs w:val="22"/>
        </w:rPr>
        <w:t>Tshopo</w:t>
      </w:r>
      <w:proofErr w:type="spellEnd"/>
      <w:r w:rsidRPr="0090014B">
        <w:rPr>
          <w:rFonts w:asciiTheme="majorHAnsi" w:hAnsiTheme="majorHAnsi" w:cstheme="majorHAnsi"/>
          <w:sz w:val="22"/>
          <w:szCs w:val="22"/>
        </w:rPr>
        <w:t>. Il a été également mis en place le fonds de défi d’un montant de 1</w:t>
      </w:r>
      <w:r w:rsidR="00E23DE1" w:rsidRPr="0090014B">
        <w:rPr>
          <w:rFonts w:asciiTheme="majorHAnsi" w:hAnsiTheme="majorHAnsi" w:cstheme="majorHAnsi"/>
          <w:sz w:val="22"/>
          <w:szCs w:val="22"/>
        </w:rPr>
        <w:t> million</w:t>
      </w:r>
      <w:r w:rsidRPr="0090014B">
        <w:rPr>
          <w:rFonts w:asciiTheme="majorHAnsi" w:hAnsiTheme="majorHAnsi" w:cstheme="majorHAnsi"/>
          <w:sz w:val="22"/>
          <w:szCs w:val="22"/>
        </w:rPr>
        <w:t xml:space="preserve"> de dollars pour appuyer le secteur privé dans la promotion des foyers améliorés et du gaz de pétrole liquéfié (GPL). Par ailleurs, des tests d’efficacité de cuisson ont été réalisés sur 42 différents foyers améliorés présentés par les entreprises fortement représentées par des femmes et jeunes. Enfin, une stratégie de communication pour le marketing social et le changement de comportement pour l’adoption de foyers améliorés et le GPL a été élaborée et validée. </w:t>
      </w:r>
    </w:p>
    <w:p w14:paraId="6E338CFA" w14:textId="0D165C6A" w:rsidR="00C71504" w:rsidRPr="0090014B" w:rsidRDefault="00353AB7" w:rsidP="00234866">
      <w:pPr>
        <w:numPr>
          <w:ilvl w:val="0"/>
          <w:numId w:val="1"/>
        </w:numPr>
        <w:pBdr>
          <w:top w:val="nil"/>
          <w:left w:val="nil"/>
          <w:bottom w:val="nil"/>
          <w:right w:val="nil"/>
          <w:between w:val="nil"/>
        </w:pBdr>
        <w:spacing w:after="0"/>
        <w:ind w:right="0"/>
        <w:rPr>
          <w:rFonts w:asciiTheme="majorHAnsi" w:hAnsiTheme="majorHAnsi" w:cstheme="majorHAnsi"/>
          <w:sz w:val="22"/>
          <w:szCs w:val="22"/>
        </w:rPr>
      </w:pPr>
      <w:r w:rsidRPr="0090014B">
        <w:rPr>
          <w:rFonts w:asciiTheme="majorHAnsi" w:hAnsiTheme="majorHAnsi" w:cstheme="majorHAnsi"/>
          <w:b/>
          <w:sz w:val="22"/>
          <w:szCs w:val="22"/>
        </w:rPr>
        <w:t>L</w:t>
      </w:r>
      <w:r w:rsidRPr="0090014B">
        <w:rPr>
          <w:rFonts w:asciiTheme="majorHAnsi" w:hAnsiTheme="majorHAnsi" w:cstheme="majorHAnsi"/>
          <w:b/>
          <w:color w:val="000000"/>
          <w:sz w:val="22"/>
          <w:szCs w:val="22"/>
        </w:rPr>
        <w:t>es études de référence</w:t>
      </w:r>
      <w:r w:rsidRPr="0090014B">
        <w:rPr>
          <w:rFonts w:asciiTheme="majorHAnsi" w:hAnsiTheme="majorHAnsi" w:cstheme="majorHAnsi"/>
          <w:color w:val="000000"/>
          <w:sz w:val="22"/>
          <w:szCs w:val="22"/>
        </w:rPr>
        <w:t xml:space="preserve"> ont été entièrement conduites à Kinshasa (janvier 2020), Lubumbashi (avril 2020) et Bukavu (juin 2020).  Ces études confirment la prédominance du charbon de bois (96.7%) dans l</w:t>
      </w:r>
      <w:r w:rsidR="0050111D">
        <w:rPr>
          <w:rFonts w:asciiTheme="majorHAnsi" w:hAnsiTheme="majorHAnsi" w:cstheme="majorHAnsi"/>
          <w:color w:val="000000"/>
          <w:sz w:val="22"/>
          <w:szCs w:val="22"/>
        </w:rPr>
        <w:t>a fréquence</w:t>
      </w:r>
      <w:r w:rsidR="0026066C">
        <w:rPr>
          <w:rStyle w:val="Appelnotedebasdep"/>
          <w:rFonts w:asciiTheme="majorHAnsi" w:hAnsiTheme="majorHAnsi" w:cstheme="majorHAnsi"/>
          <w:color w:val="000000"/>
          <w:szCs w:val="22"/>
        </w:rPr>
        <w:footnoteReference w:id="2"/>
      </w:r>
      <w:r w:rsidR="0050111D">
        <w:rPr>
          <w:rFonts w:asciiTheme="majorHAnsi" w:hAnsiTheme="majorHAnsi" w:cstheme="majorHAnsi"/>
          <w:color w:val="000000"/>
          <w:sz w:val="22"/>
          <w:szCs w:val="22"/>
        </w:rPr>
        <w:t xml:space="preserve"> d’utilisation </w:t>
      </w:r>
      <w:r w:rsidR="00FD4992">
        <w:rPr>
          <w:rFonts w:asciiTheme="majorHAnsi" w:hAnsiTheme="majorHAnsi" w:cstheme="majorHAnsi"/>
          <w:color w:val="000000"/>
          <w:sz w:val="22"/>
          <w:szCs w:val="22"/>
        </w:rPr>
        <w:t>d’énergie de</w:t>
      </w:r>
      <w:r w:rsidRPr="0090014B">
        <w:rPr>
          <w:rFonts w:asciiTheme="majorHAnsi" w:hAnsiTheme="majorHAnsi" w:cstheme="majorHAnsi"/>
          <w:color w:val="000000"/>
          <w:sz w:val="22"/>
          <w:szCs w:val="22"/>
        </w:rPr>
        <w:t xml:space="preserve"> cuisson en RDC, suivi de l’électricité (23.68%), du bois (5.12%), du gaz (3.025%) et du pétrole (2.7%). On note un faible taux d’utilisation du gaz </w:t>
      </w:r>
      <w:r w:rsidRPr="0090014B">
        <w:rPr>
          <w:rFonts w:asciiTheme="majorHAnsi" w:hAnsiTheme="majorHAnsi" w:cstheme="majorHAnsi"/>
          <w:sz w:val="22"/>
          <w:szCs w:val="22"/>
        </w:rPr>
        <w:t>à Kinshasa, Lubumbashi et à Bukavu (en moyenne 1%) et légèrement plus à Goma (7%) cela est essentiellement d</w:t>
      </w:r>
      <w:r w:rsidR="00E23DE1" w:rsidRPr="0090014B">
        <w:rPr>
          <w:rFonts w:asciiTheme="majorHAnsi" w:hAnsiTheme="majorHAnsi" w:cstheme="majorHAnsi"/>
          <w:sz w:val="22"/>
          <w:szCs w:val="22"/>
        </w:rPr>
        <w:t>û</w:t>
      </w:r>
      <w:r w:rsidRPr="0090014B">
        <w:rPr>
          <w:rFonts w:asciiTheme="majorHAnsi" w:hAnsiTheme="majorHAnsi" w:cstheme="majorHAnsi"/>
          <w:sz w:val="22"/>
          <w:szCs w:val="22"/>
        </w:rPr>
        <w:t xml:space="preserve"> à la proximité de cette localité avec le Rwanda d’où de nombreuses populations s’approvisionnent. Néanmoins plus de 70% des ménages enquêtés sont intéressés à changer de combustible pour passer au gaz, mais évoquent en majorité la peur dans l’utilisation du gaz.  </w:t>
      </w:r>
    </w:p>
    <w:p w14:paraId="4AB44FA7" w14:textId="77777777" w:rsidR="00C71504" w:rsidRPr="0090014B" w:rsidRDefault="00353AB7">
      <w:pPr>
        <w:numPr>
          <w:ilvl w:val="0"/>
          <w:numId w:val="1"/>
        </w:numPr>
        <w:pBdr>
          <w:top w:val="nil"/>
          <w:left w:val="nil"/>
          <w:bottom w:val="nil"/>
          <w:right w:val="nil"/>
          <w:between w:val="nil"/>
        </w:pBdr>
        <w:spacing w:after="0"/>
        <w:rPr>
          <w:rFonts w:asciiTheme="majorHAnsi" w:hAnsiTheme="majorHAnsi" w:cstheme="majorHAnsi"/>
          <w:color w:val="000000"/>
          <w:sz w:val="22"/>
          <w:szCs w:val="22"/>
        </w:rPr>
      </w:pPr>
      <w:r w:rsidRPr="0090014B">
        <w:rPr>
          <w:rFonts w:asciiTheme="majorHAnsi" w:hAnsiTheme="majorHAnsi" w:cstheme="majorHAnsi"/>
          <w:b/>
          <w:color w:val="000000"/>
          <w:sz w:val="22"/>
          <w:szCs w:val="22"/>
        </w:rPr>
        <w:t>Le processus politique</w:t>
      </w:r>
      <w:r w:rsidRPr="0090014B">
        <w:rPr>
          <w:rFonts w:asciiTheme="majorHAnsi" w:hAnsiTheme="majorHAnsi" w:cstheme="majorHAnsi"/>
          <w:color w:val="000000"/>
          <w:sz w:val="22"/>
          <w:szCs w:val="22"/>
        </w:rPr>
        <w:t xml:space="preserve"> est initié depuis le mois d’avril 2020 avec la préparation d’une feuille de route pour l’élaboration d’une politique nationale de l’énergie couvrant toutes les formes d’énergies, avec un volet sur la cuisson propre. Une stratégie pour la cuisson propre sera également élaborée pour mieux encadrer et promouvoir le secteur à l’effet de réduire à la base la déforestation due au bois-énergie. Le Ministère </w:t>
      </w:r>
      <w:r w:rsidRPr="0090014B">
        <w:rPr>
          <w:rFonts w:asciiTheme="majorHAnsi" w:hAnsiTheme="majorHAnsi" w:cstheme="majorHAnsi"/>
          <w:sz w:val="22"/>
          <w:szCs w:val="22"/>
        </w:rPr>
        <w:t>des Ressources</w:t>
      </w:r>
      <w:r w:rsidRPr="0090014B">
        <w:rPr>
          <w:rFonts w:asciiTheme="majorHAnsi" w:hAnsiTheme="majorHAnsi" w:cstheme="majorHAnsi"/>
          <w:color w:val="000000"/>
          <w:sz w:val="22"/>
          <w:szCs w:val="22"/>
        </w:rPr>
        <w:t xml:space="preserve"> Hydrauliques et Electricité, s’active pour le lancement officiel du processus. Toutefois, les activités de collecte de données sont en cours pour définir un diagnostic détaillé du secteur assorti de recommandations pour le document de politique et stratégie. Compte tenu du temps très bref pour ce jalon, le COPIL a recommandé le report de celui-ci pour permettre une large consultation sur la politique nationale de l’énergie.</w:t>
      </w:r>
    </w:p>
    <w:p w14:paraId="026084D3" w14:textId="77777777" w:rsidR="00C71504" w:rsidRPr="0090014B" w:rsidRDefault="00353AB7">
      <w:pPr>
        <w:numPr>
          <w:ilvl w:val="0"/>
          <w:numId w:val="1"/>
        </w:numPr>
        <w:pBdr>
          <w:top w:val="nil"/>
          <w:left w:val="nil"/>
          <w:bottom w:val="nil"/>
          <w:right w:val="nil"/>
          <w:between w:val="nil"/>
        </w:pBdr>
        <w:spacing w:after="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En avril 2020, l’accord avec le </w:t>
      </w:r>
      <w:r w:rsidRPr="0090014B">
        <w:rPr>
          <w:rFonts w:asciiTheme="majorHAnsi" w:hAnsiTheme="majorHAnsi" w:cstheme="majorHAnsi"/>
          <w:b/>
          <w:color w:val="000000"/>
          <w:sz w:val="22"/>
          <w:szCs w:val="22"/>
        </w:rPr>
        <w:t>partenariat avec Global LPG Partnership a été signé</w:t>
      </w:r>
      <w:r w:rsidRPr="0090014B">
        <w:rPr>
          <w:rFonts w:asciiTheme="majorHAnsi" w:hAnsiTheme="majorHAnsi" w:cstheme="majorHAnsi"/>
          <w:color w:val="000000"/>
          <w:sz w:val="22"/>
          <w:szCs w:val="22"/>
        </w:rPr>
        <w:t>. Ainsi, un avant plan directeur et une feuille de route pour  l’élaboration de la réglementation de la distribution du GPL en RDC ont été élaborés et soumis au Ministère des Hydrocarbures, qui les soumettra à consultation pour finalisation au cours de l’année 2021. Ces documents préliminaires ont été élaborés avec le concours du secteur privé, notamment SOGAZ et COETE GAZ. A ces documents, il faut noter les études de modélisation de l’impact du déploiement du GPL à Kinshasa qui ont  démarré et prendront fin le premier trimestre 2021. Les résultats de ces études fourniront les données et options décisionnelles dans le cadre du plan directeur GPL.</w:t>
      </w:r>
    </w:p>
    <w:p w14:paraId="4BD44D3F" w14:textId="77777777" w:rsidR="00C71504" w:rsidRPr="0090014B" w:rsidRDefault="00353AB7">
      <w:pPr>
        <w:numPr>
          <w:ilvl w:val="0"/>
          <w:numId w:val="1"/>
        </w:numPr>
        <w:pBdr>
          <w:top w:val="nil"/>
          <w:left w:val="nil"/>
          <w:bottom w:val="nil"/>
          <w:right w:val="nil"/>
          <w:between w:val="nil"/>
        </w:pBdr>
        <w:spacing w:after="0"/>
        <w:rPr>
          <w:rFonts w:asciiTheme="majorHAnsi" w:hAnsiTheme="majorHAnsi" w:cstheme="majorHAnsi"/>
          <w:color w:val="000000"/>
          <w:sz w:val="22"/>
          <w:szCs w:val="22"/>
        </w:rPr>
      </w:pPr>
      <w:r w:rsidRPr="0090014B">
        <w:rPr>
          <w:rFonts w:asciiTheme="majorHAnsi" w:hAnsiTheme="majorHAnsi" w:cstheme="majorHAnsi"/>
          <w:b/>
          <w:color w:val="000000"/>
          <w:sz w:val="22"/>
          <w:szCs w:val="22"/>
        </w:rPr>
        <w:t>Au titre du MCH</w:t>
      </w:r>
      <w:r w:rsidRPr="0090014B">
        <w:rPr>
          <w:rFonts w:asciiTheme="majorHAnsi" w:hAnsiTheme="majorHAnsi" w:cstheme="majorHAnsi"/>
          <w:color w:val="000000"/>
          <w:sz w:val="22"/>
          <w:szCs w:val="22"/>
        </w:rPr>
        <w:t xml:space="preserve">, les études de faisabilité de 4 sites sélectionnés dans le Bas-Uélé, le Haut-Uélé, l’Ituri et la </w:t>
      </w:r>
      <w:proofErr w:type="spellStart"/>
      <w:r w:rsidRPr="0090014B">
        <w:rPr>
          <w:rFonts w:asciiTheme="majorHAnsi" w:hAnsiTheme="majorHAnsi" w:cstheme="majorHAnsi"/>
          <w:color w:val="000000"/>
          <w:sz w:val="22"/>
          <w:szCs w:val="22"/>
        </w:rPr>
        <w:t>Tshopo</w:t>
      </w:r>
      <w:proofErr w:type="spellEnd"/>
      <w:r w:rsidRPr="0090014B">
        <w:rPr>
          <w:rFonts w:asciiTheme="majorHAnsi" w:hAnsiTheme="majorHAnsi" w:cstheme="majorHAnsi"/>
          <w:color w:val="000000"/>
          <w:sz w:val="22"/>
          <w:szCs w:val="22"/>
        </w:rPr>
        <w:t xml:space="preserve"> été démarré avec 2 entreprises locales à savoir RISEF-ENGINEERING et AFRIKA GERMAN CONSULT (AGC) à la suite d’un appel d’offre. Les résultats de ces études sont </w:t>
      </w:r>
      <w:r w:rsidRPr="0090014B">
        <w:rPr>
          <w:rFonts w:asciiTheme="majorHAnsi" w:hAnsiTheme="majorHAnsi" w:cstheme="majorHAnsi"/>
          <w:sz w:val="22"/>
          <w:szCs w:val="22"/>
        </w:rPr>
        <w:t>attendus</w:t>
      </w:r>
      <w:r w:rsidRPr="0090014B">
        <w:rPr>
          <w:rFonts w:asciiTheme="majorHAnsi" w:hAnsiTheme="majorHAnsi" w:cstheme="majorHAnsi"/>
          <w:color w:val="000000"/>
          <w:sz w:val="22"/>
          <w:szCs w:val="22"/>
        </w:rPr>
        <w:t xml:space="preserve"> d’ici juin 2021. La construction du site qui sera retenu devra effectivement commencer avant la fin de l’année 2021.</w:t>
      </w:r>
    </w:p>
    <w:p w14:paraId="2AA44561" w14:textId="77777777" w:rsidR="00C71504" w:rsidRPr="0090014B" w:rsidRDefault="00353AB7">
      <w:pPr>
        <w:numPr>
          <w:ilvl w:val="0"/>
          <w:numId w:val="1"/>
        </w:numPr>
        <w:pBdr>
          <w:top w:val="nil"/>
          <w:left w:val="nil"/>
          <w:bottom w:val="nil"/>
          <w:right w:val="nil"/>
          <w:between w:val="nil"/>
        </w:pBdr>
        <w:spacing w:after="0"/>
        <w:rPr>
          <w:rFonts w:asciiTheme="majorHAnsi" w:hAnsiTheme="majorHAnsi" w:cstheme="majorHAnsi"/>
          <w:color w:val="000000"/>
          <w:sz w:val="22"/>
          <w:szCs w:val="22"/>
        </w:rPr>
      </w:pPr>
      <w:r w:rsidRPr="0090014B">
        <w:rPr>
          <w:rFonts w:asciiTheme="majorHAnsi" w:hAnsiTheme="majorHAnsi" w:cstheme="majorHAnsi"/>
          <w:b/>
          <w:color w:val="000000"/>
          <w:sz w:val="22"/>
          <w:szCs w:val="22"/>
        </w:rPr>
        <w:t>Une stratégie de communication</w:t>
      </w:r>
      <w:r w:rsidRPr="0090014B">
        <w:rPr>
          <w:rFonts w:asciiTheme="majorHAnsi" w:hAnsiTheme="majorHAnsi" w:cstheme="majorHAnsi"/>
          <w:color w:val="000000"/>
          <w:sz w:val="22"/>
          <w:szCs w:val="22"/>
        </w:rPr>
        <w:t xml:space="preserve"> de marketing social et de changement de comportement a été élaborée puis </w:t>
      </w:r>
      <w:r w:rsidRPr="0090014B">
        <w:rPr>
          <w:rFonts w:asciiTheme="majorHAnsi" w:hAnsiTheme="majorHAnsi" w:cstheme="majorHAnsi"/>
          <w:sz w:val="22"/>
          <w:szCs w:val="22"/>
        </w:rPr>
        <w:t>validée</w:t>
      </w:r>
      <w:r w:rsidRPr="0090014B">
        <w:rPr>
          <w:rFonts w:asciiTheme="majorHAnsi" w:hAnsiTheme="majorHAnsi" w:cstheme="majorHAnsi"/>
          <w:color w:val="000000"/>
          <w:sz w:val="22"/>
          <w:szCs w:val="22"/>
        </w:rPr>
        <w:t xml:space="preserve"> le 17 décembre 2020. Un cabinet de communication sera recruté pour la mise en œuvre de certaines </w:t>
      </w:r>
      <w:r w:rsidRPr="0090014B">
        <w:rPr>
          <w:rFonts w:asciiTheme="majorHAnsi" w:hAnsiTheme="majorHAnsi" w:cstheme="majorHAnsi"/>
          <w:sz w:val="22"/>
          <w:szCs w:val="22"/>
        </w:rPr>
        <w:t>activités</w:t>
      </w:r>
      <w:r w:rsidRPr="0090014B">
        <w:rPr>
          <w:rFonts w:asciiTheme="majorHAnsi" w:hAnsiTheme="majorHAnsi" w:cstheme="majorHAnsi"/>
          <w:color w:val="000000"/>
          <w:sz w:val="22"/>
          <w:szCs w:val="22"/>
        </w:rPr>
        <w:t xml:space="preserve"> alors que la communication sur le GPL sera menée par le partenaire GLPGP en partenariat avec les marketeurs et le secteur privé de la place.</w:t>
      </w:r>
    </w:p>
    <w:p w14:paraId="7B065C66" w14:textId="77777777" w:rsidR="00C71504" w:rsidRPr="0090014B" w:rsidRDefault="00353AB7">
      <w:pPr>
        <w:numPr>
          <w:ilvl w:val="0"/>
          <w:numId w:val="1"/>
        </w:numPr>
        <w:pBdr>
          <w:top w:val="nil"/>
          <w:left w:val="nil"/>
          <w:bottom w:val="nil"/>
          <w:right w:val="nil"/>
          <w:between w:val="nil"/>
        </w:pBdr>
        <w:spacing w:after="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En ce qui concerne </w:t>
      </w:r>
      <w:r w:rsidRPr="0090014B">
        <w:rPr>
          <w:rFonts w:asciiTheme="majorHAnsi" w:hAnsiTheme="majorHAnsi" w:cstheme="majorHAnsi"/>
          <w:b/>
          <w:color w:val="000000"/>
          <w:sz w:val="22"/>
          <w:szCs w:val="22"/>
        </w:rPr>
        <w:t>l’appui au secteur privé</w:t>
      </w:r>
      <w:r w:rsidRPr="0090014B">
        <w:rPr>
          <w:rFonts w:asciiTheme="majorHAnsi" w:hAnsiTheme="majorHAnsi" w:cstheme="majorHAnsi"/>
          <w:color w:val="000000"/>
          <w:sz w:val="22"/>
          <w:szCs w:val="22"/>
        </w:rPr>
        <w:t xml:space="preserve">, une avancée significative a été faite avec l’établissement du programme d’incubation et le lancement du premier appel à soumission au fonds de défi 25 juin 2020 sous l’égide de l’UNCDF. Au total, 122 dossiers de candidature ont été </w:t>
      </w:r>
      <w:r w:rsidRPr="0090014B">
        <w:rPr>
          <w:rFonts w:asciiTheme="majorHAnsi" w:hAnsiTheme="majorHAnsi" w:cstheme="majorHAnsi"/>
          <w:sz w:val="22"/>
          <w:szCs w:val="22"/>
        </w:rPr>
        <w:t>reçus</w:t>
      </w:r>
      <w:r w:rsidRPr="0090014B">
        <w:rPr>
          <w:rFonts w:asciiTheme="majorHAnsi" w:hAnsiTheme="majorHAnsi" w:cstheme="majorHAnsi"/>
          <w:color w:val="000000"/>
          <w:sz w:val="22"/>
          <w:szCs w:val="22"/>
        </w:rPr>
        <w:t xml:space="preserve"> pour un montant total de plus de USD 15,233,000 . Un comité d’investissement a été établi pour la gouvernance du fonds. Ce comité a approuvé 6 requêtes sur 14 dossiers éligibles pour financement immédiat pour une valeur de USD 682,000. Les 8 autres devront peaufiner leurs propositions pour une nouvelle évaluation du comité d’investissement. </w:t>
      </w:r>
    </w:p>
    <w:p w14:paraId="3E139DCE" w14:textId="77777777" w:rsidR="00C71504" w:rsidRPr="0090014B" w:rsidRDefault="00353AB7">
      <w:pPr>
        <w:numPr>
          <w:ilvl w:val="0"/>
          <w:numId w:val="1"/>
        </w:numPr>
        <w:pBdr>
          <w:top w:val="nil"/>
          <w:left w:val="nil"/>
          <w:bottom w:val="nil"/>
          <w:right w:val="nil"/>
          <w:between w:val="nil"/>
        </w:pBdr>
        <w:spacing w:after="0"/>
        <w:rPr>
          <w:rFonts w:asciiTheme="majorHAnsi" w:hAnsiTheme="majorHAnsi" w:cstheme="majorHAnsi"/>
          <w:color w:val="000000"/>
          <w:sz w:val="22"/>
          <w:szCs w:val="22"/>
        </w:rPr>
      </w:pPr>
      <w:r w:rsidRPr="0090014B">
        <w:rPr>
          <w:rFonts w:asciiTheme="majorHAnsi" w:hAnsiTheme="majorHAnsi" w:cstheme="majorHAnsi"/>
          <w:color w:val="000000"/>
          <w:sz w:val="22"/>
          <w:szCs w:val="22"/>
        </w:rPr>
        <w:t>Ces accords vont contribuer à la vente de 64.200 foyers améliorés à charbon de bois et briquettes, 3.000 kits de GPL, 3.500 foyers de cuisson à GPL, 1.425 tonnes de GPL et la création de 53 emplois temps pleins et 401 emplois en temps partiels dans les villes de Kinshasa, Lubumbashi, Goma, Bukavu.</w:t>
      </w:r>
    </w:p>
    <w:p w14:paraId="1199BF48" w14:textId="77777777" w:rsidR="00C71504" w:rsidRPr="0090014B" w:rsidRDefault="00353AB7">
      <w:pPr>
        <w:numPr>
          <w:ilvl w:val="0"/>
          <w:numId w:val="1"/>
        </w:numPr>
        <w:pBdr>
          <w:top w:val="nil"/>
          <w:left w:val="nil"/>
          <w:bottom w:val="nil"/>
          <w:right w:val="nil"/>
          <w:between w:val="nil"/>
        </w:pBdr>
        <w:spacing w:after="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Un partenariat de collaboration entre GLPGP, </w:t>
      </w:r>
      <w:proofErr w:type="spellStart"/>
      <w:r w:rsidRPr="0090014B">
        <w:rPr>
          <w:rFonts w:asciiTheme="majorHAnsi" w:hAnsiTheme="majorHAnsi" w:cstheme="majorHAnsi"/>
          <w:color w:val="000000"/>
          <w:sz w:val="22"/>
          <w:szCs w:val="22"/>
        </w:rPr>
        <w:t>Equity</w:t>
      </w:r>
      <w:proofErr w:type="spellEnd"/>
      <w:r w:rsidRPr="0090014B">
        <w:rPr>
          <w:rFonts w:asciiTheme="majorHAnsi" w:hAnsiTheme="majorHAnsi" w:cstheme="majorHAnsi"/>
          <w:color w:val="000000"/>
          <w:sz w:val="22"/>
          <w:szCs w:val="22"/>
        </w:rPr>
        <w:t xml:space="preserve"> Bank et marketeurs (COETE GAZ et SOGAZ) a été signé pour promouvoir le GPL et offrir l’opportunité à des ménages au travers de la microfinance. Au total, 500 ménages sont ciblés pour cette phase pilote conformément au </w:t>
      </w:r>
      <w:proofErr w:type="spellStart"/>
      <w:r w:rsidRPr="0090014B">
        <w:rPr>
          <w:rFonts w:asciiTheme="majorHAnsi" w:hAnsiTheme="majorHAnsi" w:cstheme="majorHAnsi"/>
          <w:color w:val="000000"/>
          <w:sz w:val="22"/>
          <w:szCs w:val="22"/>
        </w:rPr>
        <w:t>prodoc</w:t>
      </w:r>
      <w:proofErr w:type="spellEnd"/>
      <w:r w:rsidRPr="0090014B">
        <w:rPr>
          <w:rFonts w:asciiTheme="majorHAnsi" w:hAnsiTheme="majorHAnsi" w:cstheme="majorHAnsi"/>
          <w:color w:val="000000"/>
          <w:sz w:val="22"/>
          <w:szCs w:val="22"/>
        </w:rPr>
        <w:t>.</w:t>
      </w:r>
    </w:p>
    <w:p w14:paraId="524BDFA8" w14:textId="77777777" w:rsidR="00C71504" w:rsidRPr="0090014B" w:rsidRDefault="00353AB7">
      <w:pPr>
        <w:numPr>
          <w:ilvl w:val="0"/>
          <w:numId w:val="1"/>
        </w:numPr>
        <w:pBdr>
          <w:top w:val="nil"/>
          <w:left w:val="nil"/>
          <w:bottom w:val="nil"/>
          <w:right w:val="nil"/>
          <w:between w:val="nil"/>
        </w:pBdr>
        <w:spacing w:after="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Les plans de </w:t>
      </w:r>
      <w:r w:rsidRPr="0090014B">
        <w:rPr>
          <w:rFonts w:asciiTheme="majorHAnsi" w:hAnsiTheme="majorHAnsi" w:cstheme="majorHAnsi"/>
          <w:b/>
          <w:color w:val="000000"/>
          <w:sz w:val="22"/>
          <w:szCs w:val="22"/>
        </w:rPr>
        <w:t>formation et d’assistance technique</w:t>
      </w:r>
      <w:r w:rsidRPr="0090014B">
        <w:rPr>
          <w:rFonts w:asciiTheme="majorHAnsi" w:hAnsiTheme="majorHAnsi" w:cstheme="majorHAnsi"/>
          <w:color w:val="000000"/>
          <w:sz w:val="22"/>
          <w:szCs w:val="22"/>
        </w:rPr>
        <w:t xml:space="preserve"> (Académie TERA) des entreprises du fonds de défis ont été élaborés et seront mis en œuvre à partir du premier trimestre 2021.</w:t>
      </w:r>
    </w:p>
    <w:p w14:paraId="43D01A34" w14:textId="77777777" w:rsidR="00C71504" w:rsidRPr="0090014B" w:rsidRDefault="00353AB7">
      <w:pPr>
        <w:numPr>
          <w:ilvl w:val="0"/>
          <w:numId w:val="1"/>
        </w:numPr>
        <w:pBdr>
          <w:top w:val="nil"/>
          <w:left w:val="nil"/>
          <w:bottom w:val="nil"/>
          <w:right w:val="nil"/>
          <w:between w:val="nil"/>
        </w:pBdr>
        <w:spacing w:after="0"/>
        <w:rPr>
          <w:rFonts w:asciiTheme="majorHAnsi" w:hAnsiTheme="majorHAnsi" w:cstheme="majorHAnsi"/>
          <w:color w:val="000000"/>
          <w:sz w:val="22"/>
          <w:szCs w:val="22"/>
        </w:rPr>
      </w:pPr>
      <w:r w:rsidRPr="0090014B">
        <w:rPr>
          <w:rFonts w:asciiTheme="majorHAnsi" w:hAnsiTheme="majorHAnsi" w:cstheme="majorHAnsi"/>
          <w:b/>
          <w:color w:val="000000"/>
          <w:sz w:val="22"/>
          <w:szCs w:val="22"/>
        </w:rPr>
        <w:t>Une mobilisation de ressources</w:t>
      </w:r>
      <w:r w:rsidRPr="0090014B">
        <w:rPr>
          <w:rFonts w:asciiTheme="majorHAnsi" w:hAnsiTheme="majorHAnsi" w:cstheme="majorHAnsi"/>
          <w:color w:val="000000"/>
          <w:sz w:val="22"/>
          <w:szCs w:val="22"/>
        </w:rPr>
        <w:t xml:space="preserve"> complémentaires  au programme sous forme de prêts à hauteur de 650.000$ a été faite auprès de bailleurs pour les </w:t>
      </w:r>
      <w:r w:rsidRPr="0090014B">
        <w:rPr>
          <w:rFonts w:asciiTheme="majorHAnsi" w:hAnsiTheme="majorHAnsi" w:cstheme="majorHAnsi"/>
          <w:sz w:val="22"/>
          <w:szCs w:val="22"/>
        </w:rPr>
        <w:t>entreprises</w:t>
      </w:r>
      <w:r w:rsidRPr="0090014B">
        <w:rPr>
          <w:rFonts w:asciiTheme="majorHAnsi" w:hAnsiTheme="majorHAnsi" w:cstheme="majorHAnsi"/>
          <w:color w:val="000000"/>
          <w:sz w:val="22"/>
          <w:szCs w:val="22"/>
        </w:rPr>
        <w:t xml:space="preserve"> ALTECH et BBOX.</w:t>
      </w:r>
    </w:p>
    <w:p w14:paraId="218A257E" w14:textId="77777777" w:rsidR="00C71504" w:rsidRPr="0090014B" w:rsidRDefault="00353AB7">
      <w:pPr>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L’année 2021 constitue un tournant crucial pour le programme eu égard à l’importance des livrables attendus que sont le document de politique nationale de l’énergie et la stratégie de cuisson propre. La finalisation du plan directeur et </w:t>
      </w:r>
      <w:r w:rsidR="00E23DE1" w:rsidRPr="0090014B">
        <w:rPr>
          <w:rFonts w:asciiTheme="majorHAnsi" w:hAnsiTheme="majorHAnsi" w:cstheme="majorHAnsi"/>
          <w:color w:val="000000"/>
          <w:sz w:val="22"/>
          <w:szCs w:val="22"/>
        </w:rPr>
        <w:t xml:space="preserve">des </w:t>
      </w:r>
      <w:r w:rsidRPr="0090014B">
        <w:rPr>
          <w:rFonts w:asciiTheme="majorHAnsi" w:hAnsiTheme="majorHAnsi" w:cstheme="majorHAnsi"/>
          <w:color w:val="000000"/>
          <w:sz w:val="22"/>
          <w:szCs w:val="22"/>
        </w:rPr>
        <w:t xml:space="preserve">textes réglementaires du GPL, la mise en œuvre des activités de sensibilisation  pour le changement de comportement. </w:t>
      </w:r>
    </w:p>
    <w:p w14:paraId="4BCD1C21" w14:textId="77777777" w:rsidR="00C71504" w:rsidRPr="0090014B" w:rsidRDefault="00C71504">
      <w:pPr>
        <w:rPr>
          <w:rFonts w:asciiTheme="majorHAnsi" w:hAnsiTheme="majorHAnsi" w:cstheme="majorHAnsi"/>
          <w:sz w:val="22"/>
          <w:szCs w:val="22"/>
        </w:rPr>
      </w:pPr>
    </w:p>
    <w:p w14:paraId="16BCF129" w14:textId="77777777" w:rsidR="00C71504" w:rsidRPr="0090014B" w:rsidRDefault="00353AB7">
      <w:pPr>
        <w:pStyle w:val="Titre1"/>
        <w:numPr>
          <w:ilvl w:val="0"/>
          <w:numId w:val="11"/>
        </w:numPr>
        <w:rPr>
          <w:rFonts w:asciiTheme="majorHAnsi" w:hAnsiTheme="majorHAnsi" w:cstheme="majorHAnsi"/>
          <w:sz w:val="22"/>
          <w:szCs w:val="22"/>
        </w:rPr>
      </w:pPr>
      <w:bookmarkStart w:id="5" w:name="_heading=h.tyjcwt" w:colFirst="0" w:colLast="0"/>
      <w:bookmarkEnd w:id="5"/>
      <w:r w:rsidRPr="0090014B">
        <w:rPr>
          <w:rFonts w:asciiTheme="majorHAnsi" w:hAnsiTheme="majorHAnsi" w:cstheme="majorHAnsi"/>
          <w:sz w:val="22"/>
          <w:szCs w:val="22"/>
        </w:rPr>
        <w:t xml:space="preserve">Brève présentation du programme </w:t>
      </w:r>
    </w:p>
    <w:p w14:paraId="697C7D32" w14:textId="77777777" w:rsidR="00C71504" w:rsidRPr="0090014B" w:rsidRDefault="00353AB7">
      <w:pPr>
        <w:pStyle w:val="Titre2"/>
        <w:numPr>
          <w:ilvl w:val="1"/>
          <w:numId w:val="11"/>
        </w:numPr>
        <w:rPr>
          <w:rFonts w:asciiTheme="majorHAnsi" w:hAnsiTheme="majorHAnsi" w:cstheme="majorHAnsi"/>
          <w:sz w:val="22"/>
          <w:szCs w:val="22"/>
        </w:rPr>
      </w:pPr>
      <w:bookmarkStart w:id="6" w:name="_heading=h.3dy6vkm" w:colFirst="0" w:colLast="0"/>
      <w:bookmarkEnd w:id="6"/>
      <w:r w:rsidRPr="0090014B">
        <w:rPr>
          <w:rFonts w:asciiTheme="majorHAnsi" w:hAnsiTheme="majorHAnsi" w:cstheme="majorHAnsi"/>
          <w:sz w:val="22"/>
          <w:szCs w:val="22"/>
        </w:rPr>
        <w:t>Objectif Général</w:t>
      </w:r>
    </w:p>
    <w:p w14:paraId="67DBD60E" w14:textId="77777777" w:rsidR="00C71504" w:rsidRPr="0090014B" w:rsidRDefault="00353AB7">
      <w:pPr>
        <w:spacing w:after="120" w:line="240" w:lineRule="auto"/>
        <w:ind w:right="0"/>
        <w:rPr>
          <w:rFonts w:asciiTheme="majorHAnsi" w:hAnsiTheme="majorHAnsi" w:cstheme="majorHAnsi"/>
          <w:sz w:val="22"/>
          <w:szCs w:val="22"/>
        </w:rPr>
      </w:pPr>
      <w:r w:rsidRPr="0090014B">
        <w:rPr>
          <w:rFonts w:asciiTheme="majorHAnsi" w:hAnsiTheme="majorHAnsi" w:cstheme="majorHAnsi"/>
          <w:sz w:val="22"/>
          <w:szCs w:val="22"/>
        </w:rPr>
        <w:t>L’objectif global du programme est de stabiliser le couvert forestier et la réduction des émissions de gaz à effet de serre liées à la production et la consommation énergétique pour la cuisson (et en particulier le bois-énergie), ainsi que de promouvoir le développement économique durable et équitable.</w:t>
      </w:r>
    </w:p>
    <w:p w14:paraId="77AFD0B1" w14:textId="77777777" w:rsidR="00C71504" w:rsidRPr="0090014B" w:rsidRDefault="00353AB7">
      <w:pPr>
        <w:spacing w:after="0"/>
        <w:ind w:left="0" w:firstLine="0"/>
        <w:rPr>
          <w:rFonts w:asciiTheme="majorHAnsi" w:hAnsiTheme="majorHAnsi" w:cstheme="majorHAnsi"/>
          <w:sz w:val="22"/>
          <w:szCs w:val="22"/>
        </w:rPr>
      </w:pPr>
      <w:r w:rsidRPr="0090014B">
        <w:rPr>
          <w:rFonts w:asciiTheme="majorHAnsi" w:hAnsiTheme="majorHAnsi" w:cstheme="majorHAnsi"/>
          <w:sz w:val="22"/>
          <w:szCs w:val="22"/>
        </w:rPr>
        <w:t>Le présent programme de consommation durable et substitution partielle au bois énergie, se focalise donc sur la réduction de la demande en bois-énergie, suivra pour cela deux grandes démarches :</w:t>
      </w:r>
    </w:p>
    <w:p w14:paraId="2EE60EF0" w14:textId="77777777" w:rsidR="00C71504" w:rsidRPr="0090014B" w:rsidRDefault="00353AB7">
      <w:pPr>
        <w:numPr>
          <w:ilvl w:val="0"/>
          <w:numId w:val="10"/>
        </w:numPr>
        <w:pBdr>
          <w:top w:val="nil"/>
          <w:left w:val="nil"/>
          <w:bottom w:val="nil"/>
          <w:right w:val="nil"/>
          <w:between w:val="nil"/>
        </w:pBdr>
        <w:spacing w:after="0" w:line="240" w:lineRule="auto"/>
        <w:ind w:right="0"/>
        <w:rPr>
          <w:rFonts w:asciiTheme="majorHAnsi" w:hAnsiTheme="majorHAnsi" w:cstheme="majorHAnsi"/>
          <w:color w:val="000000"/>
          <w:sz w:val="22"/>
          <w:szCs w:val="22"/>
        </w:rPr>
      </w:pPr>
      <w:r w:rsidRPr="0090014B">
        <w:rPr>
          <w:rFonts w:asciiTheme="majorHAnsi" w:hAnsiTheme="majorHAnsi" w:cstheme="majorHAnsi"/>
          <w:color w:val="000000"/>
          <w:sz w:val="22"/>
          <w:szCs w:val="22"/>
        </w:rPr>
        <w:t>Le développement d’énergies de substitution au bois-énergie, afin de réduire la prépondérance de ce dernier dans le mix énergétique national ;</w:t>
      </w:r>
    </w:p>
    <w:p w14:paraId="4AD7D1BF" w14:textId="77777777" w:rsidR="00C71504" w:rsidRPr="0090014B" w:rsidRDefault="00353AB7">
      <w:pPr>
        <w:numPr>
          <w:ilvl w:val="0"/>
          <w:numId w:val="10"/>
        </w:numPr>
        <w:pBdr>
          <w:top w:val="nil"/>
          <w:left w:val="nil"/>
          <w:bottom w:val="nil"/>
          <w:right w:val="nil"/>
          <w:between w:val="nil"/>
        </w:pBdr>
        <w:spacing w:after="120" w:line="240" w:lineRule="auto"/>
        <w:ind w:right="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La consommation plus efficiente en bois-énergie par la vulgarisation à grande échelle des foyers </w:t>
      </w:r>
      <w:r w:rsidRPr="0090014B">
        <w:rPr>
          <w:rFonts w:asciiTheme="majorHAnsi" w:hAnsiTheme="majorHAnsi" w:cstheme="majorHAnsi"/>
          <w:sz w:val="22"/>
          <w:szCs w:val="22"/>
        </w:rPr>
        <w:t>à plus</w:t>
      </w:r>
      <w:r w:rsidRPr="0090014B">
        <w:rPr>
          <w:rFonts w:asciiTheme="majorHAnsi" w:hAnsiTheme="majorHAnsi" w:cstheme="majorHAnsi"/>
          <w:color w:val="000000"/>
          <w:sz w:val="22"/>
          <w:szCs w:val="22"/>
        </w:rPr>
        <w:t xml:space="preserve"> grande efficacité énergétique, également de manière à réduire le volume de bois-énergie nécessaire pour répondre à la demande résiduelle et ainsi réduire la pression sur la ressource.</w:t>
      </w:r>
    </w:p>
    <w:p w14:paraId="54966DF1" w14:textId="77777777" w:rsidR="00C71504" w:rsidRPr="0090014B" w:rsidRDefault="00353AB7">
      <w:pPr>
        <w:pStyle w:val="Titre2"/>
        <w:numPr>
          <w:ilvl w:val="1"/>
          <w:numId w:val="11"/>
        </w:numPr>
        <w:rPr>
          <w:rFonts w:asciiTheme="majorHAnsi" w:hAnsiTheme="majorHAnsi" w:cstheme="majorHAnsi"/>
          <w:sz w:val="22"/>
          <w:szCs w:val="22"/>
        </w:rPr>
      </w:pPr>
      <w:bookmarkStart w:id="7" w:name="_heading=h.1t3h5sf" w:colFirst="0" w:colLast="0"/>
      <w:bookmarkEnd w:id="7"/>
      <w:r w:rsidRPr="0090014B">
        <w:rPr>
          <w:rFonts w:asciiTheme="majorHAnsi" w:hAnsiTheme="majorHAnsi" w:cstheme="majorHAnsi"/>
          <w:sz w:val="22"/>
          <w:szCs w:val="22"/>
        </w:rPr>
        <w:t>Objectifs spécifiques</w:t>
      </w:r>
    </w:p>
    <w:tbl>
      <w:tblPr>
        <w:tblStyle w:val="10"/>
        <w:tblW w:w="8643" w:type="dxa"/>
        <w:jc w:val="center"/>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851"/>
        <w:gridCol w:w="2310"/>
        <w:gridCol w:w="4211"/>
        <w:gridCol w:w="1271"/>
      </w:tblGrid>
      <w:tr w:rsidR="00C71504" w:rsidRPr="0090014B" w14:paraId="4A7CCF9E" w14:textId="77777777" w:rsidTr="00AE2869">
        <w:trPr>
          <w:trHeight w:val="20"/>
          <w:jc w:val="center"/>
        </w:trPr>
        <w:tc>
          <w:tcPr>
            <w:tcW w:w="7372" w:type="dxa"/>
            <w:gridSpan w:val="3"/>
            <w:shd w:val="clear" w:color="auto" w:fill="D9D9D9"/>
            <w:vAlign w:val="center"/>
          </w:tcPr>
          <w:p w14:paraId="2A04A36C" w14:textId="77777777" w:rsidR="00C71504" w:rsidRPr="0090014B" w:rsidRDefault="00353AB7">
            <w:pPr>
              <w:ind w:left="0" w:firstLine="0"/>
              <w:jc w:val="center"/>
              <w:rPr>
                <w:rFonts w:asciiTheme="majorHAnsi" w:eastAsia="Calibri" w:hAnsiTheme="majorHAnsi" w:cstheme="majorHAnsi"/>
                <w:sz w:val="22"/>
                <w:szCs w:val="22"/>
              </w:rPr>
            </w:pPr>
            <w:r w:rsidRPr="0090014B">
              <w:rPr>
                <w:rFonts w:asciiTheme="majorHAnsi" w:eastAsia="Calibri" w:hAnsiTheme="majorHAnsi" w:cstheme="majorHAnsi"/>
                <w:sz w:val="22"/>
                <w:szCs w:val="22"/>
              </w:rPr>
              <w:t>Objectifs spécifiques</w:t>
            </w:r>
          </w:p>
        </w:tc>
        <w:tc>
          <w:tcPr>
            <w:tcW w:w="1271" w:type="dxa"/>
            <w:shd w:val="clear" w:color="auto" w:fill="D9D9D9"/>
            <w:vAlign w:val="center"/>
          </w:tcPr>
          <w:p w14:paraId="0EFE3D28"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Jalons CAFI</w:t>
            </w:r>
          </w:p>
        </w:tc>
      </w:tr>
      <w:tr w:rsidR="00C71504" w:rsidRPr="0090014B" w14:paraId="646C7426" w14:textId="77777777" w:rsidTr="00AE2869">
        <w:trPr>
          <w:trHeight w:val="20"/>
          <w:jc w:val="center"/>
        </w:trPr>
        <w:tc>
          <w:tcPr>
            <w:tcW w:w="851" w:type="dxa"/>
            <w:shd w:val="clear" w:color="auto" w:fill="D9D9D9"/>
            <w:vAlign w:val="center"/>
          </w:tcPr>
          <w:p w14:paraId="3135C10F"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N°</w:t>
            </w:r>
          </w:p>
        </w:tc>
        <w:tc>
          <w:tcPr>
            <w:tcW w:w="2310" w:type="dxa"/>
            <w:shd w:val="clear" w:color="auto" w:fill="D9D9D9"/>
            <w:vAlign w:val="center"/>
          </w:tcPr>
          <w:p w14:paraId="763C1C0F"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Titre</w:t>
            </w:r>
          </w:p>
        </w:tc>
        <w:tc>
          <w:tcPr>
            <w:tcW w:w="4211" w:type="dxa"/>
            <w:shd w:val="clear" w:color="auto" w:fill="D9D9D9"/>
            <w:vAlign w:val="center"/>
          </w:tcPr>
          <w:p w14:paraId="7B0D73D1"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Précisions</w:t>
            </w:r>
          </w:p>
        </w:tc>
        <w:tc>
          <w:tcPr>
            <w:tcW w:w="1271" w:type="dxa"/>
            <w:shd w:val="clear" w:color="auto" w:fill="D9D9D9"/>
            <w:vAlign w:val="center"/>
          </w:tcPr>
          <w:p w14:paraId="4E21093E" w14:textId="77777777" w:rsidR="00C71504" w:rsidRPr="0090014B" w:rsidRDefault="00C71504">
            <w:pPr>
              <w:ind w:left="0" w:firstLine="0"/>
              <w:rPr>
                <w:rFonts w:asciiTheme="majorHAnsi" w:eastAsia="Calibri" w:hAnsiTheme="majorHAnsi" w:cstheme="majorHAnsi"/>
                <w:sz w:val="22"/>
                <w:szCs w:val="22"/>
              </w:rPr>
            </w:pPr>
          </w:p>
        </w:tc>
      </w:tr>
      <w:tr w:rsidR="00C71504" w:rsidRPr="0090014B" w14:paraId="2501F892" w14:textId="77777777" w:rsidTr="00AE2869">
        <w:trPr>
          <w:trHeight w:val="20"/>
          <w:jc w:val="center"/>
        </w:trPr>
        <w:tc>
          <w:tcPr>
            <w:tcW w:w="851" w:type="dxa"/>
            <w:vAlign w:val="center"/>
          </w:tcPr>
          <w:p w14:paraId="2FB0D3D6"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OS 1</w:t>
            </w:r>
          </w:p>
        </w:tc>
        <w:tc>
          <w:tcPr>
            <w:tcW w:w="2310" w:type="dxa"/>
            <w:vAlign w:val="center"/>
          </w:tcPr>
          <w:p w14:paraId="2DBB8026" w14:textId="77777777" w:rsidR="00C71504" w:rsidRPr="0090014B" w:rsidRDefault="00353AB7">
            <w:pPr>
              <w:ind w:left="0" w:firstLine="0"/>
              <w:jc w:val="left"/>
              <w:rPr>
                <w:rFonts w:asciiTheme="majorHAnsi" w:eastAsia="Calibri" w:hAnsiTheme="majorHAnsi" w:cstheme="majorHAnsi"/>
                <w:sz w:val="22"/>
                <w:szCs w:val="22"/>
              </w:rPr>
            </w:pPr>
            <w:r w:rsidRPr="0090014B">
              <w:rPr>
                <w:rFonts w:asciiTheme="majorHAnsi" w:eastAsia="Calibri" w:hAnsiTheme="majorHAnsi" w:cstheme="majorHAnsi"/>
                <w:sz w:val="22"/>
                <w:szCs w:val="22"/>
              </w:rPr>
              <w:t>Inclusion d’un volet bois énergie dans la politique énergétique nationale</w:t>
            </w:r>
          </w:p>
        </w:tc>
        <w:tc>
          <w:tcPr>
            <w:tcW w:w="4211" w:type="dxa"/>
            <w:vAlign w:val="center"/>
          </w:tcPr>
          <w:p w14:paraId="0D300F9E"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Mettre en place les conditions habilitantes pour une production et consommation plus durable du bois-énergie, et le déploiement progressif des énergies de substitution au bois-énergie</w:t>
            </w:r>
          </w:p>
        </w:tc>
        <w:tc>
          <w:tcPr>
            <w:tcW w:w="1271" w:type="dxa"/>
            <w:vAlign w:val="center"/>
          </w:tcPr>
          <w:p w14:paraId="07D3E3C3"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2a &amp; 2b (2018)</w:t>
            </w:r>
          </w:p>
          <w:p w14:paraId="66D56EA1"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2a (2020)</w:t>
            </w:r>
          </w:p>
        </w:tc>
      </w:tr>
      <w:tr w:rsidR="00C71504" w:rsidRPr="0090014B" w14:paraId="55ADE27B" w14:textId="77777777" w:rsidTr="00AE2869">
        <w:trPr>
          <w:trHeight w:val="20"/>
          <w:jc w:val="center"/>
        </w:trPr>
        <w:tc>
          <w:tcPr>
            <w:tcW w:w="851" w:type="dxa"/>
            <w:vAlign w:val="center"/>
          </w:tcPr>
          <w:p w14:paraId="57A9C9F6"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OS 2</w:t>
            </w:r>
          </w:p>
        </w:tc>
        <w:tc>
          <w:tcPr>
            <w:tcW w:w="2310" w:type="dxa"/>
            <w:vAlign w:val="center"/>
          </w:tcPr>
          <w:p w14:paraId="27B5C2CD" w14:textId="77777777" w:rsidR="00C71504" w:rsidRPr="0090014B" w:rsidRDefault="00353AB7">
            <w:pPr>
              <w:ind w:left="0" w:firstLine="0"/>
              <w:jc w:val="left"/>
              <w:rPr>
                <w:rFonts w:asciiTheme="majorHAnsi" w:eastAsia="Calibri" w:hAnsiTheme="majorHAnsi" w:cstheme="majorHAnsi"/>
                <w:sz w:val="22"/>
                <w:szCs w:val="22"/>
              </w:rPr>
            </w:pPr>
            <w:r w:rsidRPr="0090014B">
              <w:rPr>
                <w:rFonts w:asciiTheme="majorHAnsi" w:eastAsia="Calibri" w:hAnsiTheme="majorHAnsi" w:cstheme="majorHAnsi"/>
                <w:sz w:val="22"/>
                <w:szCs w:val="22"/>
              </w:rPr>
              <w:t>Production et dissémination massive des foyers améliorés</w:t>
            </w:r>
          </w:p>
        </w:tc>
        <w:tc>
          <w:tcPr>
            <w:tcW w:w="4211" w:type="dxa"/>
            <w:vAlign w:val="center"/>
          </w:tcPr>
          <w:p w14:paraId="02FF038D"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 xml:space="preserve">Production et dissémination des Foyers améliorés au travers d’une approche secteur privé et leur utilisation par au moins 10% des ménages de Kinshasa et des capitales provinciales visées, en particulier dans les zones à </w:t>
            </w:r>
            <w:r w:rsidRPr="00FB658E">
              <w:rPr>
                <w:rFonts w:ascii="Tahoma" w:eastAsia="Tahoma" w:hAnsi="Tahoma" w:cs="Tahoma"/>
                <w:sz w:val="22"/>
                <w:szCs w:val="22"/>
              </w:rPr>
              <w:t> </w:t>
            </w:r>
            <w:r w:rsidRPr="0090014B">
              <w:rPr>
                <w:rFonts w:asciiTheme="majorHAnsi" w:eastAsia="Calibri" w:hAnsiTheme="majorHAnsi" w:cstheme="majorHAnsi"/>
                <w:sz w:val="22"/>
                <w:szCs w:val="22"/>
              </w:rPr>
              <w:t>PIREDD (au moins 500 000 foyers)</w:t>
            </w:r>
          </w:p>
        </w:tc>
        <w:tc>
          <w:tcPr>
            <w:tcW w:w="1271" w:type="dxa"/>
            <w:vAlign w:val="center"/>
          </w:tcPr>
          <w:p w14:paraId="0C37D9DE"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2b (2020)</w:t>
            </w:r>
          </w:p>
        </w:tc>
      </w:tr>
      <w:tr w:rsidR="00C71504" w:rsidRPr="0090014B" w14:paraId="18506541" w14:textId="77777777" w:rsidTr="00AE2869">
        <w:trPr>
          <w:trHeight w:val="20"/>
          <w:jc w:val="center"/>
        </w:trPr>
        <w:tc>
          <w:tcPr>
            <w:tcW w:w="851" w:type="dxa"/>
            <w:vAlign w:val="center"/>
          </w:tcPr>
          <w:p w14:paraId="0AD66870"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OS 3</w:t>
            </w:r>
          </w:p>
        </w:tc>
        <w:tc>
          <w:tcPr>
            <w:tcW w:w="2310" w:type="dxa"/>
            <w:vAlign w:val="center"/>
          </w:tcPr>
          <w:p w14:paraId="5E713A1F" w14:textId="77777777" w:rsidR="00C71504" w:rsidRPr="0090014B" w:rsidRDefault="00353AB7">
            <w:pPr>
              <w:ind w:left="0" w:firstLine="0"/>
              <w:jc w:val="left"/>
              <w:rPr>
                <w:rFonts w:asciiTheme="majorHAnsi" w:eastAsia="Calibri" w:hAnsiTheme="majorHAnsi" w:cstheme="majorHAnsi"/>
                <w:sz w:val="22"/>
                <w:szCs w:val="22"/>
              </w:rPr>
            </w:pPr>
            <w:r w:rsidRPr="0090014B">
              <w:rPr>
                <w:rFonts w:asciiTheme="majorHAnsi" w:eastAsia="Calibri" w:hAnsiTheme="majorHAnsi" w:cstheme="majorHAnsi"/>
                <w:sz w:val="22"/>
                <w:szCs w:val="22"/>
              </w:rPr>
              <w:t>Amorçage du marché du GPL en RDC</w:t>
            </w:r>
          </w:p>
        </w:tc>
        <w:tc>
          <w:tcPr>
            <w:tcW w:w="4211" w:type="dxa"/>
            <w:vAlign w:val="center"/>
          </w:tcPr>
          <w:p w14:paraId="38CFA243"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Amorçage du marché du GPL en RDC et notamment Kinshasa, et l’exploration des opportunités et conditions de sa production éventuelle future</w:t>
            </w:r>
          </w:p>
        </w:tc>
        <w:tc>
          <w:tcPr>
            <w:tcW w:w="1271" w:type="dxa"/>
            <w:vAlign w:val="center"/>
          </w:tcPr>
          <w:p w14:paraId="1090A681" w14:textId="77777777" w:rsidR="00C71504" w:rsidRPr="0090014B" w:rsidRDefault="00C71504">
            <w:pPr>
              <w:ind w:left="0" w:firstLine="0"/>
              <w:rPr>
                <w:rFonts w:asciiTheme="majorHAnsi" w:eastAsia="Calibri" w:hAnsiTheme="majorHAnsi" w:cstheme="majorHAnsi"/>
                <w:sz w:val="22"/>
                <w:szCs w:val="22"/>
              </w:rPr>
            </w:pPr>
          </w:p>
        </w:tc>
      </w:tr>
      <w:tr w:rsidR="00C71504" w:rsidRPr="0090014B" w14:paraId="6CC3C9ED" w14:textId="77777777" w:rsidTr="00AE2869">
        <w:trPr>
          <w:trHeight w:val="20"/>
          <w:jc w:val="center"/>
        </w:trPr>
        <w:tc>
          <w:tcPr>
            <w:tcW w:w="851" w:type="dxa"/>
            <w:vAlign w:val="center"/>
          </w:tcPr>
          <w:p w14:paraId="5F491F8A"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OS 4</w:t>
            </w:r>
          </w:p>
        </w:tc>
        <w:tc>
          <w:tcPr>
            <w:tcW w:w="2310" w:type="dxa"/>
            <w:vAlign w:val="center"/>
          </w:tcPr>
          <w:p w14:paraId="134BE26D" w14:textId="77777777" w:rsidR="00C71504" w:rsidRPr="0090014B" w:rsidRDefault="00353AB7">
            <w:pPr>
              <w:ind w:left="0" w:firstLine="0"/>
              <w:jc w:val="left"/>
              <w:rPr>
                <w:rFonts w:asciiTheme="majorHAnsi" w:eastAsia="Calibri" w:hAnsiTheme="majorHAnsi" w:cstheme="majorHAnsi"/>
                <w:sz w:val="22"/>
                <w:szCs w:val="22"/>
              </w:rPr>
            </w:pPr>
            <w:r w:rsidRPr="0090014B">
              <w:rPr>
                <w:rFonts w:asciiTheme="majorHAnsi" w:eastAsia="Calibri" w:hAnsiTheme="majorHAnsi" w:cstheme="majorHAnsi"/>
                <w:sz w:val="22"/>
                <w:szCs w:val="22"/>
              </w:rPr>
              <w:t>Appui au développement de la micro-hydroélectricité en incitation aux démarches REDD+</w:t>
            </w:r>
          </w:p>
        </w:tc>
        <w:tc>
          <w:tcPr>
            <w:tcW w:w="4211" w:type="dxa"/>
            <w:vAlign w:val="center"/>
          </w:tcPr>
          <w:p w14:paraId="613A3BA6" w14:textId="77777777" w:rsidR="00C71504" w:rsidRPr="0090014B" w:rsidRDefault="00353AB7">
            <w:pPr>
              <w:ind w:left="0" w:firstLine="0"/>
              <w:rPr>
                <w:rFonts w:asciiTheme="majorHAnsi" w:eastAsia="Calibri" w:hAnsiTheme="majorHAnsi" w:cstheme="majorHAnsi"/>
                <w:sz w:val="22"/>
                <w:szCs w:val="22"/>
              </w:rPr>
            </w:pPr>
            <w:r w:rsidRPr="0090014B">
              <w:rPr>
                <w:rFonts w:asciiTheme="majorHAnsi" w:eastAsia="Calibri" w:hAnsiTheme="majorHAnsi" w:cstheme="majorHAnsi"/>
                <w:sz w:val="22"/>
                <w:szCs w:val="22"/>
              </w:rPr>
              <w:t>Augmentation des revenus des populations tout en réduisant l’empreinte carbone des activités productives au travers de démarches incitatives pour la gestion durable des forêts</w:t>
            </w:r>
          </w:p>
        </w:tc>
        <w:tc>
          <w:tcPr>
            <w:tcW w:w="1271" w:type="dxa"/>
            <w:vAlign w:val="center"/>
          </w:tcPr>
          <w:p w14:paraId="120F3729" w14:textId="77777777" w:rsidR="00C71504" w:rsidRPr="0090014B" w:rsidRDefault="00C71504">
            <w:pPr>
              <w:ind w:left="0" w:firstLine="0"/>
              <w:rPr>
                <w:rFonts w:asciiTheme="majorHAnsi" w:eastAsia="Calibri" w:hAnsiTheme="majorHAnsi" w:cstheme="majorHAnsi"/>
                <w:sz w:val="22"/>
                <w:szCs w:val="22"/>
              </w:rPr>
            </w:pPr>
          </w:p>
        </w:tc>
      </w:tr>
    </w:tbl>
    <w:p w14:paraId="2E26857B" w14:textId="77777777" w:rsidR="00C71504" w:rsidRPr="0090014B" w:rsidRDefault="00C71504">
      <w:pPr>
        <w:rPr>
          <w:rFonts w:asciiTheme="majorHAnsi" w:hAnsiTheme="majorHAnsi" w:cstheme="majorHAnsi"/>
          <w:sz w:val="22"/>
          <w:szCs w:val="22"/>
        </w:rPr>
      </w:pPr>
    </w:p>
    <w:p w14:paraId="16DB873E" w14:textId="77777777" w:rsidR="00C71504" w:rsidRPr="0090014B" w:rsidRDefault="00353AB7">
      <w:pPr>
        <w:pStyle w:val="Titre2"/>
        <w:numPr>
          <w:ilvl w:val="1"/>
          <w:numId w:val="11"/>
        </w:numPr>
        <w:rPr>
          <w:rFonts w:asciiTheme="majorHAnsi" w:hAnsiTheme="majorHAnsi" w:cstheme="majorHAnsi"/>
          <w:sz w:val="22"/>
          <w:szCs w:val="22"/>
        </w:rPr>
      </w:pPr>
      <w:bookmarkStart w:id="8" w:name="_heading=h.4d34og8" w:colFirst="0" w:colLast="0"/>
      <w:bookmarkEnd w:id="8"/>
      <w:r w:rsidRPr="0090014B">
        <w:rPr>
          <w:rFonts w:asciiTheme="majorHAnsi" w:hAnsiTheme="majorHAnsi" w:cstheme="majorHAnsi"/>
          <w:sz w:val="22"/>
          <w:szCs w:val="22"/>
        </w:rPr>
        <w:t>Résultats attendus du programme</w:t>
      </w:r>
    </w:p>
    <w:p w14:paraId="7EE01AE7" w14:textId="77777777" w:rsidR="00C71504" w:rsidRPr="0090014B" w:rsidRDefault="00353AB7">
      <w:pPr>
        <w:rPr>
          <w:rFonts w:asciiTheme="majorHAnsi" w:hAnsiTheme="majorHAnsi" w:cstheme="majorHAnsi"/>
          <w:b/>
          <w:sz w:val="22"/>
          <w:szCs w:val="22"/>
        </w:rPr>
      </w:pPr>
      <w:r w:rsidRPr="0090014B">
        <w:rPr>
          <w:rFonts w:asciiTheme="majorHAnsi" w:hAnsiTheme="majorHAnsi" w:cstheme="majorHAnsi"/>
          <w:b/>
          <w:sz w:val="22"/>
          <w:szCs w:val="22"/>
        </w:rPr>
        <w:t>Effet 1 Le gouvernement de la RDC et les consommateurs comprennent l’importance des combustibles propres et foyers améliorés, et disposent des compétences et connaissances nécessaires pour créer un environnement favorable au développement du marché de ces produits</w:t>
      </w:r>
    </w:p>
    <w:p w14:paraId="767517C3" w14:textId="77777777" w:rsidR="00C71504" w:rsidRPr="0090014B" w:rsidRDefault="00353AB7">
      <w:pPr>
        <w:ind w:left="220" w:firstLine="10"/>
        <w:rPr>
          <w:rFonts w:asciiTheme="majorHAnsi" w:hAnsiTheme="majorHAnsi" w:cstheme="majorHAnsi"/>
          <w:sz w:val="22"/>
          <w:szCs w:val="22"/>
        </w:rPr>
      </w:pPr>
      <w:r w:rsidRPr="0090014B">
        <w:rPr>
          <w:rFonts w:asciiTheme="majorHAnsi" w:hAnsiTheme="majorHAnsi" w:cstheme="majorHAnsi"/>
          <w:sz w:val="22"/>
          <w:szCs w:val="22"/>
        </w:rPr>
        <w:t>Produit 1.1 Des analyses approfondies de la production et de la consommation en énergie de cuisson, dont le bois-énergie, sont réalisées et informent les programmes CAFI</w:t>
      </w:r>
    </w:p>
    <w:p w14:paraId="051D79D2" w14:textId="77777777" w:rsidR="00C71504" w:rsidRPr="0090014B" w:rsidRDefault="00353AB7">
      <w:pPr>
        <w:ind w:left="220" w:firstLine="10"/>
        <w:rPr>
          <w:rFonts w:asciiTheme="majorHAnsi" w:hAnsiTheme="majorHAnsi" w:cstheme="majorHAnsi"/>
          <w:sz w:val="22"/>
          <w:szCs w:val="22"/>
        </w:rPr>
      </w:pPr>
      <w:r w:rsidRPr="0090014B">
        <w:rPr>
          <w:rFonts w:asciiTheme="majorHAnsi" w:hAnsiTheme="majorHAnsi" w:cstheme="majorHAnsi"/>
          <w:sz w:val="22"/>
          <w:szCs w:val="22"/>
        </w:rPr>
        <w:t>Produit 1.2 : Le potentiel REDD+ lié au secteur de la micro-hydro (MCH) est étudié et évalué</w:t>
      </w:r>
    </w:p>
    <w:p w14:paraId="56D72901" w14:textId="77777777" w:rsidR="00C71504" w:rsidRPr="0090014B" w:rsidRDefault="00353AB7">
      <w:pPr>
        <w:ind w:left="220" w:firstLine="10"/>
        <w:rPr>
          <w:rFonts w:asciiTheme="majorHAnsi" w:hAnsiTheme="majorHAnsi" w:cstheme="majorHAnsi"/>
          <w:sz w:val="22"/>
          <w:szCs w:val="22"/>
        </w:rPr>
      </w:pPr>
      <w:r w:rsidRPr="0090014B">
        <w:rPr>
          <w:rFonts w:asciiTheme="majorHAnsi" w:hAnsiTheme="majorHAnsi" w:cstheme="majorHAnsi"/>
          <w:sz w:val="22"/>
          <w:szCs w:val="22"/>
        </w:rPr>
        <w:t>Produit 1.3 : Le leadership politique et des institutions techniques sont renforcés pour engager la RDC sur le chemin de sa transition énergétique vers la cuisson propre et créer un environnement favorable au marché tout en protégeant les consommateurs</w:t>
      </w:r>
    </w:p>
    <w:p w14:paraId="174D02A7" w14:textId="77777777" w:rsidR="00C71504" w:rsidRPr="0090014B" w:rsidRDefault="00353AB7">
      <w:pPr>
        <w:ind w:left="220" w:firstLine="10"/>
        <w:rPr>
          <w:rFonts w:asciiTheme="majorHAnsi" w:hAnsiTheme="majorHAnsi" w:cstheme="majorHAnsi"/>
          <w:sz w:val="22"/>
          <w:szCs w:val="22"/>
        </w:rPr>
      </w:pPr>
      <w:r w:rsidRPr="0090014B">
        <w:rPr>
          <w:rFonts w:asciiTheme="majorHAnsi" w:hAnsiTheme="majorHAnsi" w:cstheme="majorHAnsi"/>
          <w:sz w:val="22"/>
          <w:szCs w:val="22"/>
        </w:rPr>
        <w:t>Produit 1.4. :Le cadre légal, politique et réglementaire national portant sur le secteur de l’énergie volet bois énergie, volet GPL et autre source de combustible de substitutions, est opérationnel</w:t>
      </w:r>
    </w:p>
    <w:p w14:paraId="006B7ABE" w14:textId="77777777" w:rsidR="00C71504" w:rsidRPr="0090014B" w:rsidRDefault="00353AB7">
      <w:pPr>
        <w:ind w:left="220" w:firstLine="10"/>
        <w:rPr>
          <w:rFonts w:asciiTheme="majorHAnsi" w:hAnsiTheme="majorHAnsi" w:cstheme="majorHAnsi"/>
          <w:sz w:val="22"/>
          <w:szCs w:val="22"/>
        </w:rPr>
      </w:pPr>
      <w:r w:rsidRPr="0090014B">
        <w:rPr>
          <w:rFonts w:asciiTheme="majorHAnsi" w:hAnsiTheme="majorHAnsi" w:cstheme="majorHAnsi"/>
          <w:sz w:val="22"/>
          <w:szCs w:val="22"/>
        </w:rPr>
        <w:t>Produit 1.5. :Une stratégie de communication multi-acteurs et multisectorielle est conçue, de manière participative pour répondre aux besoins spécifiques de chaque groupe, et est déployée</w:t>
      </w:r>
    </w:p>
    <w:p w14:paraId="365075BC" w14:textId="77777777" w:rsidR="00C71504" w:rsidRPr="0090014B" w:rsidRDefault="00353AB7">
      <w:pPr>
        <w:rPr>
          <w:rFonts w:asciiTheme="majorHAnsi" w:hAnsiTheme="majorHAnsi" w:cstheme="majorHAnsi"/>
          <w:b/>
          <w:sz w:val="22"/>
          <w:szCs w:val="22"/>
        </w:rPr>
      </w:pPr>
      <w:r w:rsidRPr="0090014B">
        <w:rPr>
          <w:rFonts w:asciiTheme="majorHAnsi" w:hAnsiTheme="majorHAnsi" w:cstheme="majorHAnsi"/>
          <w:b/>
          <w:sz w:val="22"/>
          <w:szCs w:val="22"/>
        </w:rPr>
        <w:t>Effet 2: Le marché local de la cuisson propre (énergies et foyers améliorés) est développé de manière viable et commerciale au travers d’un programme d’incubation</w:t>
      </w:r>
    </w:p>
    <w:p w14:paraId="47C1754E" w14:textId="77777777" w:rsidR="00C71504" w:rsidRPr="0090014B" w:rsidRDefault="00353AB7">
      <w:pPr>
        <w:ind w:left="150" w:firstLine="10"/>
        <w:rPr>
          <w:rFonts w:asciiTheme="majorHAnsi" w:hAnsiTheme="majorHAnsi" w:cstheme="majorHAnsi"/>
          <w:sz w:val="22"/>
          <w:szCs w:val="22"/>
        </w:rPr>
      </w:pPr>
      <w:r w:rsidRPr="0090014B">
        <w:rPr>
          <w:rFonts w:asciiTheme="majorHAnsi" w:hAnsiTheme="majorHAnsi" w:cstheme="majorHAnsi"/>
          <w:sz w:val="22"/>
          <w:szCs w:val="22"/>
        </w:rPr>
        <w:t>Produit 2.1. : Les opportunités et les besoins dans le secteur de la cuisson propre ont été identifiés et les acteurs sélectionnés en utilisant un processus de sélection compétitif basé sur l’aptitude au marché</w:t>
      </w:r>
    </w:p>
    <w:p w14:paraId="63BE05A1" w14:textId="77777777" w:rsidR="00C71504" w:rsidRPr="0090014B" w:rsidRDefault="00353AB7">
      <w:pPr>
        <w:ind w:left="150" w:firstLine="10"/>
        <w:rPr>
          <w:rFonts w:asciiTheme="majorHAnsi" w:hAnsiTheme="majorHAnsi" w:cstheme="majorHAnsi"/>
          <w:sz w:val="22"/>
          <w:szCs w:val="22"/>
        </w:rPr>
      </w:pPr>
      <w:r w:rsidRPr="0090014B">
        <w:rPr>
          <w:rFonts w:asciiTheme="majorHAnsi" w:hAnsiTheme="majorHAnsi" w:cstheme="majorHAnsi"/>
          <w:sz w:val="22"/>
          <w:szCs w:val="22"/>
        </w:rPr>
        <w:t>Produit 2.2.: La viabilité du business et le marché durable des partenaires sélectionnés sont améliorés grâce aux services d’assistance technique (AT)</w:t>
      </w:r>
    </w:p>
    <w:p w14:paraId="0BEAD898" w14:textId="77777777" w:rsidR="00C71504" w:rsidRPr="0090014B" w:rsidRDefault="00353AB7">
      <w:pPr>
        <w:ind w:left="150" w:firstLine="10"/>
        <w:rPr>
          <w:rFonts w:asciiTheme="majorHAnsi" w:hAnsiTheme="majorHAnsi" w:cstheme="majorHAnsi"/>
          <w:sz w:val="22"/>
          <w:szCs w:val="22"/>
        </w:rPr>
      </w:pPr>
      <w:r w:rsidRPr="0090014B">
        <w:rPr>
          <w:rFonts w:asciiTheme="majorHAnsi" w:hAnsiTheme="majorHAnsi" w:cstheme="majorHAnsi"/>
          <w:sz w:val="22"/>
          <w:szCs w:val="22"/>
        </w:rPr>
        <w:t>Produit 2.3.: Des mécanismes de financement pour la cuisson propre sont établis afin de répondre aux besoins de financement durable des entreprises partenaires.</w:t>
      </w:r>
    </w:p>
    <w:p w14:paraId="4B83F04C" w14:textId="77777777" w:rsidR="00C71504" w:rsidRPr="0090014B" w:rsidRDefault="00C71504">
      <w:pPr>
        <w:ind w:left="150" w:firstLine="10"/>
        <w:rPr>
          <w:rFonts w:asciiTheme="majorHAnsi" w:hAnsiTheme="majorHAnsi" w:cstheme="majorHAnsi"/>
          <w:sz w:val="22"/>
          <w:szCs w:val="22"/>
        </w:rPr>
      </w:pPr>
    </w:p>
    <w:p w14:paraId="1FA66C7A" w14:textId="77777777" w:rsidR="00C71504" w:rsidRPr="0090014B" w:rsidRDefault="00353AB7">
      <w:pPr>
        <w:pStyle w:val="Titre2"/>
        <w:numPr>
          <w:ilvl w:val="1"/>
          <w:numId w:val="11"/>
        </w:numPr>
        <w:rPr>
          <w:rFonts w:asciiTheme="majorHAnsi" w:hAnsiTheme="majorHAnsi" w:cstheme="majorHAnsi"/>
          <w:sz w:val="22"/>
          <w:szCs w:val="22"/>
        </w:rPr>
      </w:pPr>
      <w:bookmarkStart w:id="9" w:name="_heading=h.2s8eyo1" w:colFirst="0" w:colLast="0"/>
      <w:bookmarkEnd w:id="9"/>
      <w:r w:rsidRPr="0090014B">
        <w:rPr>
          <w:rFonts w:asciiTheme="majorHAnsi" w:hAnsiTheme="majorHAnsi" w:cstheme="majorHAnsi"/>
          <w:sz w:val="22"/>
          <w:szCs w:val="22"/>
        </w:rPr>
        <w:t>Contexte</w:t>
      </w:r>
      <w:r w:rsidRPr="0090014B">
        <w:rPr>
          <w:rFonts w:asciiTheme="majorHAnsi" w:hAnsiTheme="majorHAnsi" w:cstheme="majorHAnsi"/>
          <w:i/>
          <w:sz w:val="22"/>
          <w:szCs w:val="22"/>
          <w:vertAlign w:val="superscript"/>
        </w:rPr>
        <w:footnoteReference w:id="3"/>
      </w:r>
      <w:r w:rsidRPr="0090014B">
        <w:rPr>
          <w:rFonts w:asciiTheme="majorHAnsi" w:hAnsiTheme="majorHAnsi" w:cstheme="majorHAnsi"/>
          <w:sz w:val="22"/>
          <w:szCs w:val="22"/>
        </w:rPr>
        <w:t xml:space="preserve"> du rapport</w:t>
      </w:r>
    </w:p>
    <w:p w14:paraId="0F567A57" w14:textId="40C47887" w:rsidR="00297D89" w:rsidRPr="0090014B" w:rsidRDefault="00353AB7">
      <w:pPr>
        <w:rPr>
          <w:rFonts w:asciiTheme="majorHAnsi" w:hAnsiTheme="majorHAnsi" w:cstheme="majorHAnsi"/>
          <w:sz w:val="22"/>
          <w:szCs w:val="22"/>
        </w:rPr>
      </w:pPr>
      <w:r w:rsidRPr="0090014B">
        <w:rPr>
          <w:rFonts w:asciiTheme="majorHAnsi" w:hAnsiTheme="majorHAnsi" w:cstheme="majorHAnsi"/>
          <w:sz w:val="22"/>
          <w:szCs w:val="22"/>
        </w:rPr>
        <w:t xml:space="preserve">L’année 2020 a </w:t>
      </w:r>
      <w:r w:rsidR="00297D89" w:rsidRPr="0090014B">
        <w:rPr>
          <w:rFonts w:asciiTheme="majorHAnsi" w:hAnsiTheme="majorHAnsi" w:cstheme="majorHAnsi"/>
          <w:sz w:val="22"/>
          <w:szCs w:val="22"/>
        </w:rPr>
        <w:t xml:space="preserve">été </w:t>
      </w:r>
      <w:r w:rsidRPr="0090014B">
        <w:rPr>
          <w:rFonts w:asciiTheme="majorHAnsi" w:hAnsiTheme="majorHAnsi" w:cstheme="majorHAnsi"/>
          <w:sz w:val="22"/>
          <w:szCs w:val="22"/>
        </w:rPr>
        <w:t xml:space="preserve">marqué </w:t>
      </w:r>
      <w:r w:rsidR="00297D89" w:rsidRPr="0090014B">
        <w:rPr>
          <w:rFonts w:asciiTheme="majorHAnsi" w:hAnsiTheme="majorHAnsi" w:cstheme="majorHAnsi"/>
          <w:sz w:val="22"/>
          <w:szCs w:val="22"/>
        </w:rPr>
        <w:t xml:space="preserve">par </w:t>
      </w:r>
      <w:r w:rsidRPr="0090014B">
        <w:rPr>
          <w:rFonts w:asciiTheme="majorHAnsi" w:hAnsiTheme="majorHAnsi" w:cstheme="majorHAnsi"/>
          <w:sz w:val="22"/>
          <w:szCs w:val="22"/>
        </w:rPr>
        <w:t>le démarrage effectif des activités du programme avec la mise en place complète de l’équipe du projet. Toutefois, la crise sanitaire liée au coronavirus, survenue dès mars 2020</w:t>
      </w:r>
      <w:r w:rsidR="00297D89" w:rsidRPr="0090014B">
        <w:rPr>
          <w:rFonts w:asciiTheme="majorHAnsi" w:hAnsiTheme="majorHAnsi" w:cstheme="majorHAnsi"/>
          <w:sz w:val="22"/>
          <w:szCs w:val="22"/>
        </w:rPr>
        <w:t xml:space="preserve"> en RDC</w:t>
      </w:r>
      <w:r w:rsidRPr="0090014B">
        <w:rPr>
          <w:rFonts w:asciiTheme="majorHAnsi" w:hAnsiTheme="majorHAnsi" w:cstheme="majorHAnsi"/>
          <w:sz w:val="22"/>
          <w:szCs w:val="22"/>
        </w:rPr>
        <w:t xml:space="preserve">, a </w:t>
      </w:r>
      <w:r w:rsidR="00297D89" w:rsidRPr="0090014B">
        <w:rPr>
          <w:rFonts w:asciiTheme="majorHAnsi" w:hAnsiTheme="majorHAnsi" w:cstheme="majorHAnsi"/>
          <w:sz w:val="22"/>
          <w:szCs w:val="22"/>
        </w:rPr>
        <w:t>impacté la mise en œuvre programme</w:t>
      </w:r>
      <w:r w:rsidRPr="0090014B">
        <w:rPr>
          <w:rFonts w:asciiTheme="majorHAnsi" w:hAnsiTheme="majorHAnsi" w:cstheme="majorHAnsi"/>
          <w:sz w:val="22"/>
          <w:szCs w:val="22"/>
        </w:rPr>
        <w:t xml:space="preserve"> avec </w:t>
      </w:r>
      <w:r w:rsidR="00297D89" w:rsidRPr="0090014B">
        <w:rPr>
          <w:rFonts w:asciiTheme="majorHAnsi" w:hAnsiTheme="majorHAnsi" w:cstheme="majorHAnsi"/>
          <w:sz w:val="22"/>
          <w:szCs w:val="22"/>
        </w:rPr>
        <w:t xml:space="preserve">les mesures prises par le gouvernement. Ces mesures étaient entre autres : l’Etat d’urgence sanitaire, la suspension des vols pour le transport aérien, confinement de la commune de Gombe, où se situe les locaux du PNUD et UNCDF ainsi que plusieurs partenaires du projet, comprenant l’administration centrale du </w:t>
      </w:r>
      <w:proofErr w:type="gramStart"/>
      <w:r w:rsidR="00297D89" w:rsidRPr="0090014B">
        <w:rPr>
          <w:rFonts w:asciiTheme="majorHAnsi" w:hAnsiTheme="majorHAnsi" w:cstheme="majorHAnsi"/>
          <w:sz w:val="22"/>
          <w:szCs w:val="22"/>
        </w:rPr>
        <w:t>pays.</w:t>
      </w:r>
      <w:r w:rsidRPr="0090014B">
        <w:rPr>
          <w:rFonts w:asciiTheme="majorHAnsi" w:hAnsiTheme="majorHAnsi" w:cstheme="majorHAnsi"/>
          <w:sz w:val="22"/>
          <w:szCs w:val="22"/>
        </w:rPr>
        <w:t>.</w:t>
      </w:r>
      <w:proofErr w:type="gramEnd"/>
      <w:r w:rsidRPr="0090014B">
        <w:rPr>
          <w:rFonts w:asciiTheme="majorHAnsi" w:hAnsiTheme="majorHAnsi" w:cstheme="majorHAnsi"/>
          <w:sz w:val="22"/>
          <w:szCs w:val="22"/>
        </w:rPr>
        <w:t xml:space="preserve"> </w:t>
      </w:r>
      <w:r w:rsidR="00297D89" w:rsidRPr="0090014B">
        <w:rPr>
          <w:rFonts w:asciiTheme="majorHAnsi" w:hAnsiTheme="majorHAnsi" w:cstheme="majorHAnsi"/>
          <w:sz w:val="22"/>
          <w:szCs w:val="22"/>
        </w:rPr>
        <w:t>En conséquence, l</w:t>
      </w:r>
      <w:r w:rsidRPr="0090014B">
        <w:rPr>
          <w:rFonts w:asciiTheme="majorHAnsi" w:hAnsiTheme="majorHAnsi" w:cstheme="majorHAnsi"/>
          <w:sz w:val="22"/>
          <w:szCs w:val="22"/>
        </w:rPr>
        <w:t>es partenaires du programme, notamment GLPGP</w:t>
      </w:r>
      <w:r w:rsidR="00297D89" w:rsidRPr="0090014B">
        <w:rPr>
          <w:rFonts w:asciiTheme="majorHAnsi" w:hAnsiTheme="majorHAnsi" w:cstheme="majorHAnsi"/>
          <w:sz w:val="22"/>
          <w:szCs w:val="22"/>
        </w:rPr>
        <w:t xml:space="preserve"> et CIRAD</w:t>
      </w:r>
      <w:r w:rsidRPr="0090014B">
        <w:rPr>
          <w:rFonts w:asciiTheme="majorHAnsi" w:hAnsiTheme="majorHAnsi" w:cstheme="majorHAnsi"/>
          <w:sz w:val="22"/>
          <w:szCs w:val="22"/>
        </w:rPr>
        <w:t xml:space="preserve">, ne pouvaient pas se déployer sur le terrain. </w:t>
      </w:r>
    </w:p>
    <w:p w14:paraId="4E9C4821" w14:textId="6C262B42" w:rsidR="00C71504" w:rsidRPr="0090014B" w:rsidRDefault="00353AB7">
      <w:pPr>
        <w:rPr>
          <w:rFonts w:asciiTheme="majorHAnsi" w:hAnsiTheme="majorHAnsi" w:cstheme="majorHAnsi"/>
          <w:sz w:val="22"/>
          <w:szCs w:val="22"/>
        </w:rPr>
      </w:pPr>
      <w:r w:rsidRPr="0090014B">
        <w:rPr>
          <w:rFonts w:asciiTheme="majorHAnsi" w:hAnsiTheme="majorHAnsi" w:cstheme="majorHAnsi"/>
          <w:sz w:val="22"/>
          <w:szCs w:val="22"/>
        </w:rPr>
        <w:t xml:space="preserve">Nonobstant, ces défis, les mesures palliatives, notamment le travail en ligne, </w:t>
      </w:r>
      <w:r w:rsidR="00E23DE1" w:rsidRPr="0090014B">
        <w:rPr>
          <w:rFonts w:asciiTheme="majorHAnsi" w:hAnsiTheme="majorHAnsi" w:cstheme="majorHAnsi"/>
          <w:sz w:val="22"/>
          <w:szCs w:val="22"/>
        </w:rPr>
        <w:t>ont</w:t>
      </w:r>
      <w:r w:rsidRPr="0090014B">
        <w:rPr>
          <w:rFonts w:asciiTheme="majorHAnsi" w:hAnsiTheme="majorHAnsi" w:cstheme="majorHAnsi"/>
          <w:sz w:val="22"/>
          <w:szCs w:val="22"/>
        </w:rPr>
        <w:t xml:space="preserve"> permis de considérablement faire avancer les activités pour aboutir à des résultats satisfaisants tel qu’exposé dans le tableau ci-dessous.</w:t>
      </w:r>
    </w:p>
    <w:p w14:paraId="5C880296" w14:textId="6AF13CCB" w:rsidR="00C71504" w:rsidRPr="0090014B" w:rsidRDefault="00353AB7">
      <w:pPr>
        <w:rPr>
          <w:rFonts w:asciiTheme="majorHAnsi" w:hAnsiTheme="majorHAnsi" w:cstheme="majorHAnsi"/>
          <w:sz w:val="22"/>
          <w:szCs w:val="22"/>
        </w:rPr>
      </w:pPr>
      <w:r w:rsidRPr="0090014B">
        <w:rPr>
          <w:rFonts w:asciiTheme="majorHAnsi" w:hAnsiTheme="majorHAnsi" w:cstheme="majorHAnsi"/>
          <w:sz w:val="22"/>
          <w:szCs w:val="22"/>
        </w:rPr>
        <w:t xml:space="preserve">Au cours de cette période de crise sanitaire, il a été plus que jamais révélé, l’importance de croissance de la demande en énergies en RDC, face à une capacité d’offre déjà </w:t>
      </w:r>
      <w:r w:rsidR="00234866" w:rsidRPr="0090014B">
        <w:rPr>
          <w:rFonts w:asciiTheme="majorHAnsi" w:hAnsiTheme="majorHAnsi" w:cstheme="majorHAnsi"/>
          <w:sz w:val="22"/>
          <w:szCs w:val="22"/>
        </w:rPr>
        <w:t>faible</w:t>
      </w:r>
      <w:r w:rsidRPr="0090014B">
        <w:rPr>
          <w:rFonts w:asciiTheme="majorHAnsi" w:hAnsiTheme="majorHAnsi" w:cstheme="majorHAnsi"/>
          <w:sz w:val="22"/>
          <w:szCs w:val="22"/>
        </w:rPr>
        <w:t xml:space="preserve">. La situation </w:t>
      </w:r>
      <w:r w:rsidR="00297D89" w:rsidRPr="0090014B">
        <w:rPr>
          <w:rFonts w:asciiTheme="majorHAnsi" w:hAnsiTheme="majorHAnsi" w:cstheme="majorHAnsi"/>
          <w:sz w:val="22"/>
          <w:szCs w:val="22"/>
        </w:rPr>
        <w:t>des ménages</w:t>
      </w:r>
      <w:r w:rsidRPr="0090014B">
        <w:rPr>
          <w:rFonts w:asciiTheme="majorHAnsi" w:hAnsiTheme="majorHAnsi" w:cstheme="majorHAnsi"/>
          <w:sz w:val="22"/>
          <w:szCs w:val="22"/>
        </w:rPr>
        <w:t>, notamment pour la cuisson, est particulièrement inquiétante, avec la flambée du prix du charbon de bois</w:t>
      </w:r>
      <w:r w:rsidR="00234866" w:rsidRPr="0090014B">
        <w:rPr>
          <w:rFonts w:asciiTheme="majorHAnsi" w:hAnsiTheme="majorHAnsi" w:cstheme="majorHAnsi"/>
          <w:sz w:val="22"/>
          <w:szCs w:val="22"/>
        </w:rPr>
        <w:t>, qui pourrait inciter à un</w:t>
      </w:r>
      <w:r w:rsidR="009C3740" w:rsidRPr="0090014B">
        <w:rPr>
          <w:rFonts w:asciiTheme="majorHAnsi" w:hAnsiTheme="majorHAnsi" w:cstheme="majorHAnsi"/>
          <w:sz w:val="22"/>
          <w:szCs w:val="22"/>
        </w:rPr>
        <w:t xml:space="preserve"> accroissement </w:t>
      </w:r>
      <w:r w:rsidR="00234866" w:rsidRPr="0090014B">
        <w:rPr>
          <w:rFonts w:asciiTheme="majorHAnsi" w:hAnsiTheme="majorHAnsi" w:cstheme="majorHAnsi"/>
          <w:sz w:val="22"/>
          <w:szCs w:val="22"/>
        </w:rPr>
        <w:t xml:space="preserve">de l’offre et donc </w:t>
      </w:r>
      <w:r w:rsidR="009C3740" w:rsidRPr="0090014B">
        <w:rPr>
          <w:rFonts w:asciiTheme="majorHAnsi" w:hAnsiTheme="majorHAnsi" w:cstheme="majorHAnsi"/>
          <w:sz w:val="22"/>
          <w:szCs w:val="22"/>
        </w:rPr>
        <w:t xml:space="preserve">à l’augmentation de </w:t>
      </w:r>
      <w:r w:rsidR="00234866" w:rsidRPr="0090014B">
        <w:rPr>
          <w:rFonts w:asciiTheme="majorHAnsi" w:hAnsiTheme="majorHAnsi" w:cstheme="majorHAnsi"/>
          <w:sz w:val="22"/>
          <w:szCs w:val="22"/>
        </w:rPr>
        <w:t xml:space="preserve">la destruction </w:t>
      </w:r>
      <w:r w:rsidR="009C3740" w:rsidRPr="0090014B">
        <w:rPr>
          <w:rFonts w:asciiTheme="majorHAnsi" w:hAnsiTheme="majorHAnsi" w:cstheme="majorHAnsi"/>
          <w:sz w:val="22"/>
          <w:szCs w:val="22"/>
        </w:rPr>
        <w:t>du couvert forestier</w:t>
      </w:r>
      <w:r w:rsidRPr="0090014B">
        <w:rPr>
          <w:rFonts w:asciiTheme="majorHAnsi" w:hAnsiTheme="majorHAnsi" w:cstheme="majorHAnsi"/>
          <w:sz w:val="22"/>
          <w:szCs w:val="22"/>
        </w:rPr>
        <w:t>. Cet état de fait met l’énergie au centre de l’attention du politique et pourrait être un avantage au profit du programme, notamment l’accélération de l’élaboration de la politique nationale énergétique et de la stratégie de cuisson propre en RDC.</w:t>
      </w:r>
    </w:p>
    <w:p w14:paraId="68D82435" w14:textId="77777777" w:rsidR="00C71504" w:rsidRPr="0090014B" w:rsidRDefault="00353AB7">
      <w:pPr>
        <w:rPr>
          <w:rFonts w:asciiTheme="majorHAnsi" w:hAnsiTheme="majorHAnsi" w:cstheme="majorHAnsi"/>
          <w:sz w:val="22"/>
          <w:szCs w:val="22"/>
        </w:rPr>
      </w:pPr>
      <w:r w:rsidRPr="0090014B">
        <w:rPr>
          <w:rFonts w:asciiTheme="majorHAnsi" w:hAnsiTheme="majorHAnsi" w:cstheme="majorHAnsi"/>
          <w:sz w:val="22"/>
          <w:szCs w:val="22"/>
        </w:rPr>
        <w:t>Ce rapport dresse les accomplissements du programme conjoint production et consommation durable et substitution partielle au bois-énergie au titre de  l’année 2020.</w:t>
      </w:r>
    </w:p>
    <w:p w14:paraId="46F1FECA" w14:textId="77777777" w:rsidR="00C71504" w:rsidRPr="0090014B" w:rsidRDefault="00353AB7">
      <w:pPr>
        <w:spacing w:after="160" w:line="259" w:lineRule="auto"/>
        <w:ind w:left="0" w:right="0" w:firstLine="0"/>
        <w:jc w:val="left"/>
        <w:rPr>
          <w:rFonts w:asciiTheme="majorHAnsi" w:hAnsiTheme="majorHAnsi" w:cstheme="majorHAnsi"/>
          <w:b/>
          <w:color w:val="0070C0"/>
          <w:sz w:val="22"/>
          <w:szCs w:val="22"/>
        </w:rPr>
        <w:sectPr w:rsidR="00C71504" w:rsidRPr="0090014B">
          <w:headerReference w:type="even" r:id="rId17"/>
          <w:headerReference w:type="default" r:id="rId18"/>
          <w:footerReference w:type="even" r:id="rId19"/>
          <w:footerReference w:type="default" r:id="rId20"/>
          <w:headerReference w:type="first" r:id="rId21"/>
          <w:footerReference w:type="first" r:id="rId22"/>
          <w:pgSz w:w="11900" w:h="16840"/>
          <w:pgMar w:top="1962" w:right="1559" w:bottom="1491" w:left="1576" w:header="1021" w:footer="1117" w:gutter="0"/>
          <w:pgNumType w:start="1"/>
          <w:cols w:space="720"/>
          <w:titlePg/>
        </w:sectPr>
      </w:pPr>
      <w:r w:rsidRPr="0090014B">
        <w:rPr>
          <w:rFonts w:asciiTheme="majorHAnsi" w:hAnsiTheme="majorHAnsi" w:cstheme="majorHAnsi"/>
          <w:sz w:val="22"/>
          <w:szCs w:val="22"/>
        </w:rPr>
        <w:br w:type="page"/>
      </w:r>
    </w:p>
    <w:p w14:paraId="4CC856AF" w14:textId="77777777" w:rsidR="00C71504" w:rsidRPr="0090014B" w:rsidRDefault="00353AB7">
      <w:pPr>
        <w:pStyle w:val="Titre1"/>
        <w:numPr>
          <w:ilvl w:val="0"/>
          <w:numId w:val="11"/>
        </w:numPr>
        <w:rPr>
          <w:rFonts w:asciiTheme="majorHAnsi" w:hAnsiTheme="majorHAnsi" w:cstheme="majorHAnsi"/>
          <w:sz w:val="22"/>
          <w:szCs w:val="22"/>
        </w:rPr>
      </w:pPr>
      <w:bookmarkStart w:id="10" w:name="_heading=h.17dp8vu" w:colFirst="0" w:colLast="0"/>
      <w:bookmarkEnd w:id="10"/>
      <w:r w:rsidRPr="0090014B">
        <w:rPr>
          <w:rFonts w:asciiTheme="majorHAnsi" w:hAnsiTheme="majorHAnsi" w:cstheme="majorHAnsi"/>
          <w:sz w:val="22"/>
          <w:szCs w:val="22"/>
        </w:rPr>
        <w:t>Etat d’avancement des activités prévues dans le PTBA 2020</w:t>
      </w:r>
    </w:p>
    <w:p w14:paraId="3CB26678" w14:textId="77777777" w:rsidR="00C71504" w:rsidRPr="0090014B" w:rsidRDefault="00C71504">
      <w:pPr>
        <w:spacing w:line="240" w:lineRule="auto"/>
        <w:rPr>
          <w:rFonts w:asciiTheme="majorHAnsi" w:hAnsiTheme="majorHAnsi" w:cstheme="majorHAnsi"/>
          <w:sz w:val="22"/>
          <w:szCs w:val="22"/>
        </w:rPr>
      </w:pPr>
    </w:p>
    <w:p w14:paraId="2311DCD7" w14:textId="769BBC2A" w:rsidR="00C71504" w:rsidRDefault="00353AB7">
      <w:pPr>
        <w:spacing w:line="240" w:lineRule="auto"/>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Tableau 1 - Activités prévues et réalisées, résultats attendus et atteints au bout de la période sous examen (Janvier à </w:t>
      </w:r>
      <w:r w:rsidR="00E23DE1" w:rsidRPr="0090014B">
        <w:rPr>
          <w:rFonts w:asciiTheme="majorHAnsi" w:hAnsiTheme="majorHAnsi" w:cstheme="majorHAnsi"/>
          <w:sz w:val="22"/>
          <w:szCs w:val="22"/>
        </w:rPr>
        <w:t>d</w:t>
      </w:r>
      <w:r w:rsidRPr="0090014B">
        <w:rPr>
          <w:rFonts w:asciiTheme="majorHAnsi" w:hAnsiTheme="majorHAnsi" w:cstheme="majorHAnsi"/>
          <w:sz w:val="22"/>
          <w:szCs w:val="22"/>
        </w:rPr>
        <w:t xml:space="preserve">écembre </w:t>
      </w:r>
      <w:r w:rsidRPr="0090014B">
        <w:rPr>
          <w:rFonts w:asciiTheme="majorHAnsi" w:hAnsiTheme="majorHAnsi" w:cstheme="majorHAnsi"/>
          <w:color w:val="000000"/>
          <w:sz w:val="22"/>
          <w:szCs w:val="22"/>
        </w:rPr>
        <w:t>2020).</w:t>
      </w:r>
    </w:p>
    <w:tbl>
      <w:tblPr>
        <w:tblW w:w="157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01"/>
        <w:gridCol w:w="6"/>
        <w:gridCol w:w="2755"/>
        <w:gridCol w:w="2125"/>
        <w:gridCol w:w="2552"/>
        <w:gridCol w:w="1140"/>
        <w:gridCol w:w="2128"/>
        <w:gridCol w:w="2344"/>
        <w:gridCol w:w="27"/>
      </w:tblGrid>
      <w:tr w:rsidR="00AD5317" w:rsidRPr="00AD5317" w14:paraId="4DC8A1AA" w14:textId="77777777" w:rsidTr="008F0DC8">
        <w:trPr>
          <w:gridAfter w:val="1"/>
          <w:wAfter w:w="27" w:type="dxa"/>
          <w:trHeight w:val="592"/>
          <w:tblHeader/>
        </w:trPr>
        <w:tc>
          <w:tcPr>
            <w:tcW w:w="2633" w:type="dxa"/>
            <w:gridSpan w:val="3"/>
            <w:shd w:val="clear" w:color="auto" w:fill="F0EDAA"/>
            <w:vAlign w:val="center"/>
            <w:hideMark/>
          </w:tcPr>
          <w:p w14:paraId="7F479A21" w14:textId="77777777" w:rsidR="00AD5317" w:rsidRPr="00AD5317" w:rsidRDefault="00AD5317" w:rsidP="008F0DC8">
            <w:pPr>
              <w:jc w:val="center"/>
              <w:rPr>
                <w:rFonts w:asciiTheme="majorHAnsi" w:eastAsia="Times New Roman" w:hAnsiTheme="majorHAnsi" w:cstheme="majorHAnsi"/>
                <w:b/>
                <w:bCs/>
                <w:sz w:val="22"/>
                <w:szCs w:val="22"/>
              </w:rPr>
            </w:pPr>
            <w:bookmarkStart w:id="11" w:name="_Hlk62045068"/>
            <w:r w:rsidRPr="00AD5317">
              <w:rPr>
                <w:rFonts w:asciiTheme="majorHAnsi" w:eastAsia="Times New Roman" w:hAnsiTheme="majorHAnsi" w:cstheme="majorHAnsi"/>
                <w:b/>
                <w:bCs/>
                <w:sz w:val="22"/>
                <w:szCs w:val="22"/>
              </w:rPr>
              <w:t>ACTIVITES Dans le PTA 2020</w:t>
            </w:r>
          </w:p>
        </w:tc>
        <w:tc>
          <w:tcPr>
            <w:tcW w:w="2755" w:type="dxa"/>
            <w:shd w:val="clear" w:color="auto" w:fill="F0EDAA"/>
            <w:vAlign w:val="center"/>
          </w:tcPr>
          <w:p w14:paraId="78F0D7C0" w14:textId="77777777" w:rsidR="00AD5317" w:rsidRPr="00AD5317" w:rsidRDefault="00AD5317" w:rsidP="008F0DC8">
            <w:pPr>
              <w:jc w:val="center"/>
              <w:rPr>
                <w:rFonts w:asciiTheme="majorHAnsi" w:hAnsiTheme="majorHAnsi" w:cstheme="majorHAnsi"/>
                <w:b/>
                <w:color w:val="000000"/>
                <w:sz w:val="22"/>
                <w:szCs w:val="22"/>
              </w:rPr>
            </w:pPr>
            <w:r w:rsidRPr="00AD5317">
              <w:rPr>
                <w:rFonts w:asciiTheme="majorHAnsi" w:hAnsiTheme="majorHAnsi" w:cstheme="majorHAnsi"/>
                <w:b/>
                <w:color w:val="000000"/>
                <w:sz w:val="22"/>
                <w:szCs w:val="22"/>
              </w:rPr>
              <w:t>ACTIVITES REALISEES</w:t>
            </w:r>
          </w:p>
        </w:tc>
        <w:tc>
          <w:tcPr>
            <w:tcW w:w="2125" w:type="dxa"/>
            <w:shd w:val="clear" w:color="auto" w:fill="F0EDAA"/>
            <w:vAlign w:val="center"/>
          </w:tcPr>
          <w:p w14:paraId="4A91D304" w14:textId="77777777" w:rsidR="00AD5317" w:rsidRPr="00AD5317" w:rsidRDefault="00AD5317" w:rsidP="008F0DC8">
            <w:pPr>
              <w:jc w:val="center"/>
              <w:rPr>
                <w:rFonts w:asciiTheme="majorHAnsi" w:eastAsia="Times New Roman" w:hAnsiTheme="majorHAnsi" w:cstheme="majorHAnsi"/>
                <w:b/>
                <w:bCs/>
                <w:sz w:val="22"/>
                <w:szCs w:val="22"/>
              </w:rPr>
            </w:pPr>
            <w:r w:rsidRPr="00AD5317">
              <w:rPr>
                <w:rFonts w:asciiTheme="majorHAnsi" w:hAnsiTheme="majorHAnsi" w:cstheme="majorHAnsi"/>
                <w:b/>
                <w:color w:val="000000"/>
                <w:sz w:val="22"/>
                <w:szCs w:val="22"/>
              </w:rPr>
              <w:t>Résultats attendus</w:t>
            </w:r>
          </w:p>
        </w:tc>
        <w:tc>
          <w:tcPr>
            <w:tcW w:w="2552" w:type="dxa"/>
            <w:shd w:val="clear" w:color="auto" w:fill="F0EDAA"/>
            <w:vAlign w:val="center"/>
          </w:tcPr>
          <w:p w14:paraId="57591A71" w14:textId="77777777" w:rsidR="00AD5317" w:rsidRPr="00AD5317" w:rsidRDefault="00AD5317" w:rsidP="008F0DC8">
            <w:pPr>
              <w:jc w:val="center"/>
              <w:rPr>
                <w:rFonts w:asciiTheme="majorHAnsi" w:eastAsia="Times New Roman" w:hAnsiTheme="majorHAnsi" w:cstheme="majorHAnsi"/>
                <w:b/>
                <w:bCs/>
                <w:sz w:val="22"/>
                <w:szCs w:val="22"/>
              </w:rPr>
            </w:pPr>
            <w:r w:rsidRPr="00AD5317">
              <w:rPr>
                <w:rFonts w:asciiTheme="majorHAnsi" w:hAnsiTheme="majorHAnsi" w:cstheme="majorHAnsi"/>
                <w:b/>
                <w:color w:val="000000"/>
                <w:sz w:val="22"/>
                <w:szCs w:val="22"/>
              </w:rPr>
              <w:t>Résultats atteints</w:t>
            </w:r>
          </w:p>
        </w:tc>
        <w:tc>
          <w:tcPr>
            <w:tcW w:w="1140" w:type="dxa"/>
            <w:shd w:val="clear" w:color="auto" w:fill="F0EDAA"/>
            <w:vAlign w:val="center"/>
          </w:tcPr>
          <w:p w14:paraId="105840AA" w14:textId="77777777" w:rsidR="00AD5317" w:rsidRPr="00AD5317" w:rsidRDefault="00AD5317" w:rsidP="008F0DC8">
            <w:pPr>
              <w:ind w:left="-102" w:right="-106"/>
              <w:jc w:val="center"/>
              <w:rPr>
                <w:rFonts w:asciiTheme="majorHAnsi" w:eastAsia="Times New Roman" w:hAnsiTheme="majorHAnsi" w:cstheme="majorHAnsi"/>
                <w:b/>
                <w:bCs/>
                <w:sz w:val="22"/>
                <w:szCs w:val="22"/>
              </w:rPr>
            </w:pPr>
            <w:r w:rsidRPr="00AD5317">
              <w:rPr>
                <w:rFonts w:asciiTheme="majorHAnsi" w:hAnsiTheme="majorHAnsi" w:cstheme="majorHAnsi"/>
                <w:b/>
                <w:color w:val="000000"/>
                <w:sz w:val="22"/>
                <w:szCs w:val="22"/>
              </w:rPr>
              <w:t>Degré de réalisation en %</w:t>
            </w:r>
          </w:p>
        </w:tc>
        <w:tc>
          <w:tcPr>
            <w:tcW w:w="2128" w:type="dxa"/>
            <w:shd w:val="clear" w:color="auto" w:fill="F0EDAA"/>
            <w:vAlign w:val="center"/>
          </w:tcPr>
          <w:p w14:paraId="24B5648B" w14:textId="77777777" w:rsidR="00AD5317" w:rsidRPr="00AD5317" w:rsidRDefault="00AD5317" w:rsidP="008F0DC8">
            <w:pPr>
              <w:jc w:val="center"/>
              <w:rPr>
                <w:rFonts w:asciiTheme="majorHAnsi" w:eastAsia="Times New Roman" w:hAnsiTheme="majorHAnsi" w:cstheme="majorHAnsi"/>
                <w:b/>
                <w:bCs/>
                <w:sz w:val="22"/>
                <w:szCs w:val="22"/>
              </w:rPr>
            </w:pPr>
            <w:r w:rsidRPr="00AD5317">
              <w:rPr>
                <w:rFonts w:asciiTheme="majorHAnsi" w:hAnsiTheme="majorHAnsi" w:cstheme="majorHAnsi"/>
                <w:b/>
                <w:color w:val="000000"/>
                <w:sz w:val="22"/>
                <w:szCs w:val="22"/>
              </w:rPr>
              <w:t>Sources de vérification</w:t>
            </w:r>
          </w:p>
        </w:tc>
        <w:tc>
          <w:tcPr>
            <w:tcW w:w="2344" w:type="dxa"/>
            <w:shd w:val="clear" w:color="auto" w:fill="F0EDAA"/>
            <w:vAlign w:val="center"/>
          </w:tcPr>
          <w:p w14:paraId="5DDEF778" w14:textId="77777777" w:rsidR="00AD5317" w:rsidRPr="00AD5317" w:rsidRDefault="00AD5317" w:rsidP="008F0DC8">
            <w:pPr>
              <w:jc w:val="center"/>
              <w:rPr>
                <w:rFonts w:asciiTheme="majorHAnsi" w:eastAsia="Times New Roman" w:hAnsiTheme="majorHAnsi" w:cstheme="majorHAnsi"/>
                <w:b/>
                <w:bCs/>
                <w:sz w:val="22"/>
                <w:szCs w:val="22"/>
              </w:rPr>
            </w:pPr>
            <w:r w:rsidRPr="00AD5317">
              <w:rPr>
                <w:rFonts w:asciiTheme="majorHAnsi" w:hAnsiTheme="majorHAnsi" w:cstheme="majorHAnsi"/>
                <w:b/>
                <w:color w:val="000000"/>
                <w:sz w:val="22"/>
                <w:szCs w:val="22"/>
              </w:rPr>
              <w:t>En cas d’une réalisation ≤ à 100%, activités prévues pour plus tard/ou commentaires</w:t>
            </w:r>
          </w:p>
        </w:tc>
      </w:tr>
      <w:tr w:rsidR="00AD5317" w:rsidRPr="00AD5317" w14:paraId="7C0409E0" w14:textId="77777777" w:rsidTr="008F0DC8">
        <w:trPr>
          <w:trHeight w:val="20"/>
        </w:trPr>
        <w:tc>
          <w:tcPr>
            <w:tcW w:w="15704" w:type="dxa"/>
            <w:gridSpan w:val="10"/>
            <w:shd w:val="clear" w:color="auto" w:fill="D99594" w:themeFill="accent2" w:themeFillTint="99"/>
            <w:vAlign w:val="center"/>
          </w:tcPr>
          <w:p w14:paraId="24EEE64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b/>
                <w:bCs/>
                <w:sz w:val="22"/>
                <w:szCs w:val="22"/>
              </w:rPr>
              <w:t>Le gouvernement de la RDC et les consommateurs comprennent l’importance des combustibles propres et foyers améliorés, et disposent des compétences et connaissances nécessaires pour créer un environnement favorable au développement du marché de ces produits</w:t>
            </w:r>
          </w:p>
        </w:tc>
      </w:tr>
      <w:tr w:rsidR="00AD5317" w:rsidRPr="00AD5317" w14:paraId="75106156" w14:textId="77777777" w:rsidTr="008F0DC8">
        <w:trPr>
          <w:trHeight w:val="20"/>
        </w:trPr>
        <w:tc>
          <w:tcPr>
            <w:tcW w:w="15704" w:type="dxa"/>
            <w:gridSpan w:val="10"/>
            <w:shd w:val="clear" w:color="auto" w:fill="F0EDAA"/>
            <w:vAlign w:val="center"/>
          </w:tcPr>
          <w:p w14:paraId="41FBD468"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b/>
                <w:bCs/>
                <w:sz w:val="22"/>
                <w:szCs w:val="22"/>
              </w:rPr>
              <w:t>Produit 1.1 Des analyses approfondies de la production et de la consommation en énergie de cuisson, dont le bois-énergie, sont réalisées et informent les programmes CAFI</w:t>
            </w:r>
          </w:p>
        </w:tc>
      </w:tr>
      <w:tr w:rsidR="00AD5317" w:rsidRPr="00AD5317" w14:paraId="1A8866E7" w14:textId="77777777" w:rsidTr="008F0DC8">
        <w:trPr>
          <w:gridAfter w:val="1"/>
          <w:wAfter w:w="27" w:type="dxa"/>
          <w:trHeight w:val="20"/>
        </w:trPr>
        <w:tc>
          <w:tcPr>
            <w:tcW w:w="426" w:type="dxa"/>
            <w:shd w:val="clear" w:color="auto" w:fill="auto"/>
            <w:vAlign w:val="center"/>
            <w:hideMark/>
          </w:tcPr>
          <w:p w14:paraId="10730BFE"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1.1.1a</w:t>
            </w:r>
          </w:p>
        </w:tc>
        <w:tc>
          <w:tcPr>
            <w:tcW w:w="2201" w:type="dxa"/>
            <w:shd w:val="clear" w:color="auto" w:fill="auto"/>
            <w:vAlign w:val="center"/>
            <w:hideMark/>
          </w:tcPr>
          <w:p w14:paraId="289FCA8B"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Réalisation des guides méthodologiques (études bois-Energie) (En cours de réalisation)</w:t>
            </w:r>
          </w:p>
        </w:tc>
        <w:tc>
          <w:tcPr>
            <w:tcW w:w="2761" w:type="dxa"/>
            <w:gridSpan w:val="2"/>
          </w:tcPr>
          <w:p w14:paraId="152A03FA"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le guide méthodologique a été élaboré et sert actuellement à la collecte &amp; analyse de données sur toutes les études bois-énergies supportées par le programme (donc en cours d'application sur le terrain). </w:t>
            </w:r>
          </w:p>
        </w:tc>
        <w:tc>
          <w:tcPr>
            <w:tcW w:w="2125" w:type="dxa"/>
          </w:tcPr>
          <w:p w14:paraId="07E73A42"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guide méthodologique disponible et appliqué.</w:t>
            </w:r>
          </w:p>
        </w:tc>
        <w:tc>
          <w:tcPr>
            <w:tcW w:w="2552" w:type="dxa"/>
          </w:tcPr>
          <w:p w14:paraId="4CB29E70"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guide méthodologique disponible et appliqué.</w:t>
            </w:r>
          </w:p>
        </w:tc>
        <w:tc>
          <w:tcPr>
            <w:tcW w:w="1140" w:type="dxa"/>
          </w:tcPr>
          <w:p w14:paraId="7B750BD2"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100</w:t>
            </w:r>
          </w:p>
        </w:tc>
        <w:tc>
          <w:tcPr>
            <w:tcW w:w="2128" w:type="dxa"/>
          </w:tcPr>
          <w:p w14:paraId="54536F06"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Rapport </w:t>
            </w:r>
          </w:p>
        </w:tc>
        <w:tc>
          <w:tcPr>
            <w:tcW w:w="2344" w:type="dxa"/>
          </w:tcPr>
          <w:p w14:paraId="1FD71D36" w14:textId="77777777" w:rsidR="00AD5317" w:rsidRPr="00AD5317" w:rsidRDefault="00AD5317" w:rsidP="008F0DC8">
            <w:pPr>
              <w:rPr>
                <w:rFonts w:asciiTheme="majorHAnsi" w:eastAsia="Times New Roman" w:hAnsiTheme="majorHAnsi" w:cstheme="majorHAnsi"/>
                <w:sz w:val="22"/>
                <w:szCs w:val="22"/>
              </w:rPr>
            </w:pPr>
          </w:p>
        </w:tc>
      </w:tr>
      <w:tr w:rsidR="00AD5317" w:rsidRPr="00AD5317" w14:paraId="5B8D873B" w14:textId="77777777" w:rsidTr="008F0DC8">
        <w:trPr>
          <w:gridAfter w:val="1"/>
          <w:wAfter w:w="27" w:type="dxa"/>
          <w:trHeight w:val="20"/>
        </w:trPr>
        <w:tc>
          <w:tcPr>
            <w:tcW w:w="426" w:type="dxa"/>
            <w:shd w:val="clear" w:color="auto" w:fill="auto"/>
            <w:vAlign w:val="center"/>
            <w:hideMark/>
          </w:tcPr>
          <w:p w14:paraId="7DE06DED"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1.1.1b</w:t>
            </w:r>
          </w:p>
        </w:tc>
        <w:tc>
          <w:tcPr>
            <w:tcW w:w="2201" w:type="dxa"/>
            <w:shd w:val="clear" w:color="auto" w:fill="auto"/>
            <w:vAlign w:val="center"/>
            <w:hideMark/>
          </w:tcPr>
          <w:p w14:paraId="25E61E4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 xml:space="preserve">Réalisation de la </w:t>
            </w:r>
            <w:proofErr w:type="spellStart"/>
            <w:r w:rsidRPr="00AD5317">
              <w:rPr>
                <w:rFonts w:asciiTheme="majorHAnsi" w:eastAsia="Times New Roman" w:hAnsiTheme="majorHAnsi" w:cstheme="majorHAnsi"/>
                <w:sz w:val="22"/>
                <w:szCs w:val="22"/>
              </w:rPr>
              <w:t>baseline</w:t>
            </w:r>
            <w:proofErr w:type="spellEnd"/>
            <w:r w:rsidRPr="00AD5317">
              <w:rPr>
                <w:rFonts w:asciiTheme="majorHAnsi" w:eastAsia="Times New Roman" w:hAnsiTheme="majorHAnsi" w:cstheme="majorHAnsi"/>
                <w:sz w:val="22"/>
                <w:szCs w:val="22"/>
              </w:rPr>
              <w:t xml:space="preserve"> + Demande potentielle</w:t>
            </w:r>
          </w:p>
        </w:tc>
        <w:tc>
          <w:tcPr>
            <w:tcW w:w="2761" w:type="dxa"/>
            <w:gridSpan w:val="2"/>
            <w:vMerge w:val="restart"/>
          </w:tcPr>
          <w:p w14:paraId="082442F8" w14:textId="77777777" w:rsidR="00AD5317" w:rsidRPr="00AD5317" w:rsidRDefault="00AD5317" w:rsidP="008F0DC8">
            <w:pPr>
              <w:pBdr>
                <w:top w:val="nil"/>
                <w:left w:val="nil"/>
                <w:bottom w:val="nil"/>
                <w:right w:val="nil"/>
                <w:between w:val="nil"/>
              </w:pBdr>
              <w:rPr>
                <w:rFonts w:asciiTheme="majorHAnsi" w:hAnsiTheme="majorHAnsi" w:cstheme="majorHAnsi"/>
                <w:color w:val="000000"/>
                <w:sz w:val="22"/>
                <w:szCs w:val="22"/>
              </w:rPr>
            </w:pPr>
            <w:r w:rsidRPr="00AD5317">
              <w:rPr>
                <w:rFonts w:asciiTheme="majorHAnsi" w:hAnsiTheme="majorHAnsi" w:cstheme="majorHAnsi"/>
                <w:color w:val="000000"/>
                <w:sz w:val="22"/>
                <w:szCs w:val="22"/>
              </w:rPr>
              <w:t>Etude de la consommation en énergies</w:t>
            </w:r>
          </w:p>
          <w:p w14:paraId="7229C7E8"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domestiques des ménages de la ville de Kinshasa, Lubumbashi et Bukavu</w:t>
            </w:r>
          </w:p>
          <w:p w14:paraId="47E708BD" w14:textId="77777777" w:rsidR="00AD5317" w:rsidRPr="00AD5317" w:rsidRDefault="00AD5317" w:rsidP="008F0DC8">
            <w:pPr>
              <w:rPr>
                <w:rFonts w:asciiTheme="majorHAnsi" w:eastAsia="Times New Roman" w:hAnsiTheme="majorHAnsi" w:cstheme="majorHAnsi"/>
                <w:sz w:val="22"/>
                <w:szCs w:val="22"/>
              </w:rPr>
            </w:pPr>
          </w:p>
        </w:tc>
        <w:tc>
          <w:tcPr>
            <w:tcW w:w="2125" w:type="dxa"/>
            <w:vMerge w:val="restart"/>
          </w:tcPr>
          <w:p w14:paraId="05472570"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Etude de la consommation en énergies</w:t>
            </w:r>
          </w:p>
          <w:p w14:paraId="1573E6F2"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domestiques des ménages de la ville de Kinshasa, Lubumbashi, Bukavu et Goma disponibles</w:t>
            </w:r>
          </w:p>
          <w:p w14:paraId="1A6FA0AB" w14:textId="77777777" w:rsidR="00AD5317" w:rsidRPr="00AD5317" w:rsidRDefault="00AD5317" w:rsidP="008F0DC8">
            <w:pPr>
              <w:rPr>
                <w:rFonts w:asciiTheme="majorHAnsi" w:eastAsia="Times New Roman" w:hAnsiTheme="majorHAnsi" w:cstheme="majorHAnsi"/>
                <w:sz w:val="22"/>
                <w:szCs w:val="22"/>
              </w:rPr>
            </w:pPr>
          </w:p>
        </w:tc>
        <w:tc>
          <w:tcPr>
            <w:tcW w:w="2552" w:type="dxa"/>
            <w:vMerge w:val="restart"/>
          </w:tcPr>
          <w:p w14:paraId="47736FED"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Etude de la consommation en énergies</w:t>
            </w:r>
          </w:p>
          <w:p w14:paraId="3299AC98"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domestiques des ménages de la ville de Kinshasa, Lubumbashi et Bukavu disponibles</w:t>
            </w:r>
          </w:p>
        </w:tc>
        <w:tc>
          <w:tcPr>
            <w:tcW w:w="1140" w:type="dxa"/>
            <w:vMerge w:val="restart"/>
          </w:tcPr>
          <w:p w14:paraId="4C7F005C"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100</w:t>
            </w:r>
          </w:p>
        </w:tc>
        <w:tc>
          <w:tcPr>
            <w:tcW w:w="2128" w:type="dxa"/>
            <w:vMerge w:val="restart"/>
          </w:tcPr>
          <w:p w14:paraId="3F3DABA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Rapport </w:t>
            </w:r>
          </w:p>
        </w:tc>
        <w:tc>
          <w:tcPr>
            <w:tcW w:w="2344" w:type="dxa"/>
            <w:vMerge w:val="restart"/>
          </w:tcPr>
          <w:p w14:paraId="3BEF048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 xml:space="preserve">Les deux activités ont été conduite simultanément </w:t>
            </w:r>
          </w:p>
        </w:tc>
      </w:tr>
      <w:tr w:rsidR="00AD5317" w:rsidRPr="00AD5317" w14:paraId="33D2C892" w14:textId="77777777" w:rsidTr="008F0DC8">
        <w:trPr>
          <w:gridAfter w:val="1"/>
          <w:wAfter w:w="27" w:type="dxa"/>
          <w:trHeight w:val="20"/>
        </w:trPr>
        <w:tc>
          <w:tcPr>
            <w:tcW w:w="426" w:type="dxa"/>
            <w:shd w:val="clear" w:color="auto" w:fill="auto"/>
            <w:vAlign w:val="center"/>
            <w:hideMark/>
          </w:tcPr>
          <w:p w14:paraId="5F89DA9E"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1.1.1c</w:t>
            </w:r>
          </w:p>
        </w:tc>
        <w:tc>
          <w:tcPr>
            <w:tcW w:w="2201" w:type="dxa"/>
            <w:shd w:val="clear" w:color="auto" w:fill="auto"/>
            <w:vAlign w:val="center"/>
            <w:hideMark/>
          </w:tcPr>
          <w:p w14:paraId="4694C6B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Analyse de la demande actuelle en énergie</w:t>
            </w:r>
          </w:p>
        </w:tc>
        <w:tc>
          <w:tcPr>
            <w:tcW w:w="2761" w:type="dxa"/>
            <w:gridSpan w:val="2"/>
            <w:vMerge/>
          </w:tcPr>
          <w:p w14:paraId="5498938D" w14:textId="77777777" w:rsidR="00AD5317" w:rsidRPr="00AD5317" w:rsidRDefault="00AD5317" w:rsidP="008F0DC8">
            <w:pPr>
              <w:rPr>
                <w:rFonts w:asciiTheme="majorHAnsi" w:eastAsia="Times New Roman" w:hAnsiTheme="majorHAnsi" w:cstheme="majorHAnsi"/>
                <w:sz w:val="22"/>
                <w:szCs w:val="22"/>
              </w:rPr>
            </w:pPr>
          </w:p>
        </w:tc>
        <w:tc>
          <w:tcPr>
            <w:tcW w:w="2125" w:type="dxa"/>
            <w:vMerge/>
          </w:tcPr>
          <w:p w14:paraId="7C617B16" w14:textId="77777777" w:rsidR="00AD5317" w:rsidRPr="00AD5317" w:rsidRDefault="00AD5317" w:rsidP="008F0DC8">
            <w:pPr>
              <w:rPr>
                <w:rFonts w:asciiTheme="majorHAnsi" w:eastAsia="Times New Roman" w:hAnsiTheme="majorHAnsi" w:cstheme="majorHAnsi"/>
                <w:sz w:val="22"/>
                <w:szCs w:val="22"/>
              </w:rPr>
            </w:pPr>
          </w:p>
        </w:tc>
        <w:tc>
          <w:tcPr>
            <w:tcW w:w="2552" w:type="dxa"/>
            <w:vMerge/>
          </w:tcPr>
          <w:p w14:paraId="42BBE64A" w14:textId="77777777" w:rsidR="00AD5317" w:rsidRPr="00AD5317" w:rsidRDefault="00AD5317" w:rsidP="008F0DC8">
            <w:pPr>
              <w:rPr>
                <w:rFonts w:asciiTheme="majorHAnsi" w:eastAsia="Times New Roman" w:hAnsiTheme="majorHAnsi" w:cstheme="majorHAnsi"/>
                <w:sz w:val="22"/>
                <w:szCs w:val="22"/>
              </w:rPr>
            </w:pPr>
          </w:p>
        </w:tc>
        <w:tc>
          <w:tcPr>
            <w:tcW w:w="1140" w:type="dxa"/>
            <w:vMerge/>
          </w:tcPr>
          <w:p w14:paraId="3D7E82EB" w14:textId="77777777" w:rsidR="00AD5317" w:rsidRPr="00AD5317" w:rsidRDefault="00AD5317" w:rsidP="008F0DC8">
            <w:pPr>
              <w:rPr>
                <w:rFonts w:asciiTheme="majorHAnsi" w:eastAsia="Times New Roman" w:hAnsiTheme="majorHAnsi" w:cstheme="majorHAnsi"/>
                <w:sz w:val="22"/>
                <w:szCs w:val="22"/>
              </w:rPr>
            </w:pPr>
          </w:p>
        </w:tc>
        <w:tc>
          <w:tcPr>
            <w:tcW w:w="2128" w:type="dxa"/>
            <w:vMerge/>
          </w:tcPr>
          <w:p w14:paraId="397149A3" w14:textId="77777777" w:rsidR="00AD5317" w:rsidRPr="00AD5317" w:rsidRDefault="00AD5317" w:rsidP="008F0DC8">
            <w:pPr>
              <w:rPr>
                <w:rFonts w:asciiTheme="majorHAnsi" w:eastAsia="Times New Roman" w:hAnsiTheme="majorHAnsi" w:cstheme="majorHAnsi"/>
                <w:sz w:val="22"/>
                <w:szCs w:val="22"/>
              </w:rPr>
            </w:pPr>
          </w:p>
        </w:tc>
        <w:tc>
          <w:tcPr>
            <w:tcW w:w="2344" w:type="dxa"/>
            <w:vMerge/>
          </w:tcPr>
          <w:p w14:paraId="4A22CB01" w14:textId="77777777" w:rsidR="00AD5317" w:rsidRPr="00AD5317" w:rsidRDefault="00AD5317" w:rsidP="008F0DC8">
            <w:pPr>
              <w:rPr>
                <w:rFonts w:asciiTheme="majorHAnsi" w:eastAsia="Times New Roman" w:hAnsiTheme="majorHAnsi" w:cstheme="majorHAnsi"/>
                <w:sz w:val="22"/>
                <w:szCs w:val="22"/>
              </w:rPr>
            </w:pPr>
          </w:p>
        </w:tc>
      </w:tr>
      <w:tr w:rsidR="00AD5317" w:rsidRPr="00AD5317" w14:paraId="521B687E" w14:textId="77777777" w:rsidTr="008F0DC8">
        <w:trPr>
          <w:gridAfter w:val="1"/>
          <w:wAfter w:w="27" w:type="dxa"/>
          <w:trHeight w:val="20"/>
        </w:trPr>
        <w:tc>
          <w:tcPr>
            <w:tcW w:w="426" w:type="dxa"/>
            <w:shd w:val="clear" w:color="auto" w:fill="auto"/>
            <w:vAlign w:val="center"/>
            <w:hideMark/>
          </w:tcPr>
          <w:p w14:paraId="38654F66"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1.1.1d</w:t>
            </w:r>
          </w:p>
        </w:tc>
        <w:tc>
          <w:tcPr>
            <w:tcW w:w="2201" w:type="dxa"/>
            <w:shd w:val="clear" w:color="auto" w:fill="auto"/>
            <w:vAlign w:val="center"/>
            <w:hideMark/>
          </w:tcPr>
          <w:p w14:paraId="21A3C50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 xml:space="preserve">Analyse des marchés et des filières pour les villes cibles du Programme (Ville de Kinshasa, Lubumbashi en priorité) </w:t>
            </w:r>
          </w:p>
        </w:tc>
        <w:tc>
          <w:tcPr>
            <w:tcW w:w="2761" w:type="dxa"/>
            <w:gridSpan w:val="2"/>
          </w:tcPr>
          <w:p w14:paraId="22CAC0F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la méthodologie de collecte et d'analyse des données de la chaîne de valeur du bois énergie et le GPL</w:t>
            </w:r>
          </w:p>
        </w:tc>
        <w:tc>
          <w:tcPr>
            <w:tcW w:w="2125" w:type="dxa"/>
          </w:tcPr>
          <w:p w14:paraId="57597D46"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Etudes des marchés et des filières pour Kinshasa, Lubumbashi,  Bukavu et Goma  disponible</w:t>
            </w:r>
          </w:p>
        </w:tc>
        <w:tc>
          <w:tcPr>
            <w:tcW w:w="2552" w:type="dxa"/>
          </w:tcPr>
          <w:p w14:paraId="1F27D37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Etudes des marchés et des filières pour Kinshasa, Lubumbashi,  Bukavu et Goma  sont disponibles.</w:t>
            </w:r>
          </w:p>
        </w:tc>
        <w:tc>
          <w:tcPr>
            <w:tcW w:w="1140" w:type="dxa"/>
          </w:tcPr>
          <w:p w14:paraId="55E7C7A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100</w:t>
            </w:r>
          </w:p>
        </w:tc>
        <w:tc>
          <w:tcPr>
            <w:tcW w:w="2128" w:type="dxa"/>
          </w:tcPr>
          <w:p w14:paraId="37E2580F"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Rapport</w:t>
            </w:r>
          </w:p>
        </w:tc>
        <w:tc>
          <w:tcPr>
            <w:tcW w:w="2344" w:type="dxa"/>
          </w:tcPr>
          <w:p w14:paraId="015918DC"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Les enquêtes ont été réalisées dans les 4 villes (Kinshasa, Lubumbashi, Bukavu et Goma). Les bases des données sont en cours d'apurement et d’analyse. Les rapports sont attendus d’ici fin janvier 2021.</w:t>
            </w:r>
          </w:p>
        </w:tc>
      </w:tr>
      <w:tr w:rsidR="00AD5317" w:rsidRPr="00AD5317" w14:paraId="4FB070E9" w14:textId="77777777" w:rsidTr="008F0DC8">
        <w:trPr>
          <w:gridAfter w:val="1"/>
          <w:wAfter w:w="27" w:type="dxa"/>
          <w:trHeight w:val="20"/>
        </w:trPr>
        <w:tc>
          <w:tcPr>
            <w:tcW w:w="426" w:type="dxa"/>
            <w:shd w:val="clear" w:color="auto" w:fill="auto"/>
            <w:vAlign w:val="center"/>
            <w:hideMark/>
          </w:tcPr>
          <w:p w14:paraId="008488F0"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1.1.1e</w:t>
            </w:r>
          </w:p>
        </w:tc>
        <w:tc>
          <w:tcPr>
            <w:tcW w:w="2201" w:type="dxa"/>
            <w:shd w:val="clear" w:color="auto" w:fill="auto"/>
            <w:vAlign w:val="center"/>
            <w:hideMark/>
          </w:tcPr>
          <w:p w14:paraId="778611FC"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Analyse des flux Lancer les études</w:t>
            </w:r>
          </w:p>
        </w:tc>
        <w:tc>
          <w:tcPr>
            <w:tcW w:w="2761" w:type="dxa"/>
            <w:gridSpan w:val="2"/>
          </w:tcPr>
          <w:p w14:paraId="6D6CF698"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Les points d’entrée (par la route, port) du bois énergie (charbon, bois de chauffe à Kinshasa ont été identifiés.  </w:t>
            </w:r>
          </w:p>
        </w:tc>
        <w:tc>
          <w:tcPr>
            <w:tcW w:w="2125" w:type="dxa"/>
          </w:tcPr>
          <w:p w14:paraId="083D08F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Etude de flux du bois-énergie de Kinshasa et Lubumbashi disponibles</w:t>
            </w:r>
          </w:p>
        </w:tc>
        <w:tc>
          <w:tcPr>
            <w:tcW w:w="2552" w:type="dxa"/>
          </w:tcPr>
          <w:p w14:paraId="288D2320"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les points d’entrée importants dans les villes de Kinshasa et Lubumbashi ont été identifiés lors des études de références réalisées (enquêtes ménages).  </w:t>
            </w:r>
          </w:p>
        </w:tc>
        <w:tc>
          <w:tcPr>
            <w:tcW w:w="1140" w:type="dxa"/>
          </w:tcPr>
          <w:p w14:paraId="49895C1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50%</w:t>
            </w:r>
          </w:p>
        </w:tc>
        <w:tc>
          <w:tcPr>
            <w:tcW w:w="2128" w:type="dxa"/>
          </w:tcPr>
          <w:p w14:paraId="359EB38D"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Rapport de consommation des ménages de Kinshasa et de Lubumbashi</w:t>
            </w:r>
          </w:p>
        </w:tc>
        <w:tc>
          <w:tcPr>
            <w:tcW w:w="2344" w:type="dxa"/>
          </w:tcPr>
          <w:p w14:paraId="245AEFDB"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Cette étude sera complétée cette année avec les études de sites de production pour compléter les informations disponibles déjà lors des enquêtes ménages . </w:t>
            </w:r>
          </w:p>
        </w:tc>
      </w:tr>
      <w:tr w:rsidR="00AD5317" w:rsidRPr="00AD5317" w14:paraId="5E8C182C" w14:textId="77777777" w:rsidTr="008F0DC8">
        <w:trPr>
          <w:gridAfter w:val="1"/>
          <w:wAfter w:w="27" w:type="dxa"/>
          <w:trHeight w:val="739"/>
        </w:trPr>
        <w:tc>
          <w:tcPr>
            <w:tcW w:w="426" w:type="dxa"/>
            <w:shd w:val="clear" w:color="auto" w:fill="auto"/>
            <w:vAlign w:val="center"/>
            <w:hideMark/>
          </w:tcPr>
          <w:p w14:paraId="3EE8780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1.1.2</w:t>
            </w:r>
          </w:p>
        </w:tc>
        <w:tc>
          <w:tcPr>
            <w:tcW w:w="2201" w:type="dxa"/>
            <w:shd w:val="clear" w:color="auto" w:fill="auto"/>
            <w:vAlign w:val="center"/>
            <w:hideMark/>
          </w:tcPr>
          <w:p w14:paraId="7750A4A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Réaliser une étude de modélisation de l’impact du GPL (GLGPL/PNUD)</w:t>
            </w:r>
          </w:p>
        </w:tc>
        <w:tc>
          <w:tcPr>
            <w:tcW w:w="2761" w:type="dxa"/>
            <w:gridSpan w:val="2"/>
          </w:tcPr>
          <w:p w14:paraId="6BC8FF18"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Signature d’accord avec GLPGP en avril 2020</w:t>
            </w:r>
          </w:p>
          <w:p w14:paraId="18EF1B8E" w14:textId="77777777" w:rsidR="00AD5317" w:rsidRPr="00AD5317" w:rsidRDefault="00AD5317" w:rsidP="008F0DC8">
            <w:pPr>
              <w:rPr>
                <w:rFonts w:asciiTheme="majorHAnsi" w:hAnsiTheme="majorHAnsi" w:cstheme="majorHAnsi"/>
                <w:sz w:val="22"/>
                <w:szCs w:val="22"/>
              </w:rPr>
            </w:pPr>
          </w:p>
          <w:p w14:paraId="2800D65A"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Mise en place de l’équipe au sein de GLPGP</w:t>
            </w:r>
          </w:p>
          <w:p w14:paraId="432C0446" w14:textId="77777777" w:rsidR="00AD5317" w:rsidRPr="00AD5317" w:rsidRDefault="00AD5317" w:rsidP="008F0DC8">
            <w:pPr>
              <w:rPr>
                <w:rFonts w:asciiTheme="majorHAnsi" w:hAnsiTheme="majorHAnsi" w:cstheme="majorHAnsi"/>
                <w:sz w:val="22"/>
                <w:szCs w:val="22"/>
              </w:rPr>
            </w:pPr>
          </w:p>
          <w:p w14:paraId="0AACD982"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Enquête pour la collecte de données primaires réalisées ainsi que la méthodologie d’étude d’impact du déploiement du GPL sur l’économie, l’environnement la santé, y compris le genre, a été élaborée et présentée aux parties prenantes</w:t>
            </w:r>
          </w:p>
        </w:tc>
        <w:tc>
          <w:tcPr>
            <w:tcW w:w="2125" w:type="dxa"/>
          </w:tcPr>
          <w:p w14:paraId="24210F2B"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une étude de modélisation de l’impact du GPL disponible</w:t>
            </w:r>
          </w:p>
        </w:tc>
        <w:tc>
          <w:tcPr>
            <w:tcW w:w="2552" w:type="dxa"/>
          </w:tcPr>
          <w:p w14:paraId="234FAE47"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Signature d’accord avec GLPGP en avril 2020</w:t>
            </w:r>
          </w:p>
          <w:p w14:paraId="42DDA279"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Mise en place de l’équipe au sein de GLPGP</w:t>
            </w:r>
          </w:p>
          <w:p w14:paraId="4BAEDD23" w14:textId="77777777" w:rsidR="00AD5317" w:rsidRPr="00AD5317" w:rsidRDefault="00AD5317" w:rsidP="008F0DC8">
            <w:pPr>
              <w:rPr>
                <w:rFonts w:asciiTheme="majorHAnsi" w:hAnsiTheme="majorHAnsi" w:cstheme="majorHAnsi"/>
                <w:sz w:val="22"/>
                <w:szCs w:val="22"/>
              </w:rPr>
            </w:pPr>
          </w:p>
          <w:p w14:paraId="0E66781C"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Note méthodologique au 1er décembre 2020</w:t>
            </w:r>
          </w:p>
        </w:tc>
        <w:tc>
          <w:tcPr>
            <w:tcW w:w="1140" w:type="dxa"/>
          </w:tcPr>
          <w:p w14:paraId="0C1A8F56"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70%</w:t>
            </w:r>
          </w:p>
        </w:tc>
        <w:tc>
          <w:tcPr>
            <w:tcW w:w="2128" w:type="dxa"/>
          </w:tcPr>
          <w:p w14:paraId="71F97C74"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 xml:space="preserve">Document de méthodologie </w:t>
            </w:r>
          </w:p>
          <w:p w14:paraId="0B28606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contrat</w:t>
            </w:r>
          </w:p>
        </w:tc>
        <w:tc>
          <w:tcPr>
            <w:tcW w:w="2344" w:type="dxa"/>
          </w:tcPr>
          <w:p w14:paraId="27074FC6"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Après signature du contrat par les experts, ces derniers ont présenté la note méthodologique au programme au 1er décembre 2020. Le rapport sera présenté dans le premier trimestre 2021</w:t>
            </w:r>
          </w:p>
        </w:tc>
      </w:tr>
      <w:tr w:rsidR="00AD5317" w:rsidRPr="00AD5317" w14:paraId="6A2BA21C" w14:textId="77777777" w:rsidTr="008F0DC8">
        <w:trPr>
          <w:trHeight w:val="20"/>
        </w:trPr>
        <w:tc>
          <w:tcPr>
            <w:tcW w:w="15704" w:type="dxa"/>
            <w:gridSpan w:val="10"/>
            <w:shd w:val="clear" w:color="auto" w:fill="F0EDAA"/>
            <w:vAlign w:val="center"/>
          </w:tcPr>
          <w:p w14:paraId="3F88477F"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b/>
                <w:bCs/>
                <w:sz w:val="22"/>
                <w:szCs w:val="22"/>
              </w:rPr>
              <w:t>Produit 1.2 : Le potentiel REDD+ lié au secteur de la micro-hydro (MCH) est étudié et évalué</w:t>
            </w:r>
          </w:p>
        </w:tc>
      </w:tr>
      <w:tr w:rsidR="00AD5317" w:rsidRPr="00AD5317" w14:paraId="694ADF8E" w14:textId="77777777" w:rsidTr="008F0DC8">
        <w:trPr>
          <w:gridAfter w:val="1"/>
          <w:wAfter w:w="27" w:type="dxa"/>
          <w:trHeight w:val="20"/>
        </w:trPr>
        <w:tc>
          <w:tcPr>
            <w:tcW w:w="426" w:type="dxa"/>
            <w:shd w:val="clear" w:color="auto" w:fill="auto"/>
            <w:vAlign w:val="center"/>
            <w:hideMark/>
          </w:tcPr>
          <w:p w14:paraId="26F6F73F"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1.2.1.6</w:t>
            </w:r>
          </w:p>
        </w:tc>
        <w:tc>
          <w:tcPr>
            <w:tcW w:w="2201" w:type="dxa"/>
            <w:shd w:val="clear" w:color="auto" w:fill="auto"/>
            <w:vAlign w:val="center"/>
            <w:hideMark/>
          </w:tcPr>
          <w:p w14:paraId="6B77F50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Elaboration du plan de développement et de mise en œuvre par le consultant</w:t>
            </w:r>
          </w:p>
        </w:tc>
        <w:tc>
          <w:tcPr>
            <w:tcW w:w="2761" w:type="dxa"/>
            <w:gridSpan w:val="2"/>
          </w:tcPr>
          <w:p w14:paraId="73FF7F1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Les TDR du consultant ont été élaborés attendant les résultats des études de faisabilité pour être publié</w:t>
            </w:r>
          </w:p>
        </w:tc>
        <w:tc>
          <w:tcPr>
            <w:tcW w:w="2125" w:type="dxa"/>
          </w:tcPr>
          <w:p w14:paraId="2BBB205F" w14:textId="77777777" w:rsidR="00AD5317" w:rsidRPr="00AD5317" w:rsidRDefault="00AD5317" w:rsidP="008F0DC8">
            <w:pPr>
              <w:jc w:val="left"/>
              <w:rPr>
                <w:rFonts w:asciiTheme="majorHAnsi" w:hAnsiTheme="majorHAnsi" w:cstheme="majorHAnsi"/>
                <w:sz w:val="22"/>
                <w:szCs w:val="22"/>
              </w:rPr>
            </w:pPr>
            <w:r w:rsidRPr="00AD5317">
              <w:rPr>
                <w:rFonts w:asciiTheme="majorHAnsi" w:hAnsiTheme="majorHAnsi" w:cstheme="majorHAnsi"/>
                <w:sz w:val="22"/>
                <w:szCs w:val="22"/>
              </w:rPr>
              <w:t>plan de</w:t>
            </w:r>
          </w:p>
          <w:p w14:paraId="44D5AAF6" w14:textId="77777777" w:rsidR="00AD5317" w:rsidRPr="00AD5317" w:rsidRDefault="00AD5317" w:rsidP="008F0DC8">
            <w:pPr>
              <w:jc w:val="left"/>
              <w:rPr>
                <w:rFonts w:asciiTheme="majorHAnsi" w:hAnsiTheme="majorHAnsi" w:cstheme="majorHAnsi"/>
                <w:sz w:val="22"/>
                <w:szCs w:val="22"/>
              </w:rPr>
            </w:pPr>
            <w:r w:rsidRPr="00AD5317">
              <w:rPr>
                <w:rFonts w:asciiTheme="majorHAnsi" w:hAnsiTheme="majorHAnsi" w:cstheme="majorHAnsi"/>
                <w:sz w:val="22"/>
                <w:szCs w:val="22"/>
              </w:rPr>
              <w:t>développement et de mise en</w:t>
            </w:r>
          </w:p>
          <w:p w14:paraId="540C8006"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œuvre d’une MCH</w:t>
            </w:r>
          </w:p>
        </w:tc>
        <w:tc>
          <w:tcPr>
            <w:tcW w:w="2552" w:type="dxa"/>
          </w:tcPr>
          <w:p w14:paraId="7E984C2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aucun</w:t>
            </w:r>
          </w:p>
        </w:tc>
        <w:tc>
          <w:tcPr>
            <w:tcW w:w="1140" w:type="dxa"/>
          </w:tcPr>
          <w:p w14:paraId="33AE7C8A"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0%</w:t>
            </w:r>
          </w:p>
        </w:tc>
        <w:tc>
          <w:tcPr>
            <w:tcW w:w="2128" w:type="dxa"/>
          </w:tcPr>
          <w:p w14:paraId="47EC8416"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N/A</w:t>
            </w:r>
          </w:p>
        </w:tc>
        <w:tc>
          <w:tcPr>
            <w:tcW w:w="2344" w:type="dxa"/>
          </w:tcPr>
          <w:p w14:paraId="5794248B"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Cette activité dépend des études de faisabilité technique ci-dessous</w:t>
            </w:r>
          </w:p>
        </w:tc>
      </w:tr>
      <w:tr w:rsidR="00AD5317" w:rsidRPr="00AD5317" w14:paraId="631DE76D" w14:textId="77777777" w:rsidTr="008F0DC8">
        <w:trPr>
          <w:gridAfter w:val="1"/>
          <w:wAfter w:w="27" w:type="dxa"/>
          <w:trHeight w:val="20"/>
        </w:trPr>
        <w:tc>
          <w:tcPr>
            <w:tcW w:w="426" w:type="dxa"/>
            <w:shd w:val="clear" w:color="auto" w:fill="auto"/>
            <w:vAlign w:val="center"/>
            <w:hideMark/>
          </w:tcPr>
          <w:p w14:paraId="786F3C7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1.2.2</w:t>
            </w:r>
          </w:p>
        </w:tc>
        <w:tc>
          <w:tcPr>
            <w:tcW w:w="2201" w:type="dxa"/>
            <w:shd w:val="clear" w:color="auto" w:fill="auto"/>
            <w:vAlign w:val="center"/>
            <w:hideMark/>
          </w:tcPr>
          <w:p w14:paraId="5E6FF1C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Etudes de faisabilité sur 3 sites pilotes  de la zone d’intervention de REDD+,  pré-identifiés dans Atlas</w:t>
            </w:r>
          </w:p>
        </w:tc>
        <w:tc>
          <w:tcPr>
            <w:tcW w:w="2761" w:type="dxa"/>
            <w:gridSpan w:val="2"/>
          </w:tcPr>
          <w:p w14:paraId="079A6670"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 xml:space="preserve">Deux cabinets RISEF et AGCE ont été recruté pour conduire les études de faisabilité de 4 sites (Bas-Uélé, Haut-Uélé, Ituri et </w:t>
            </w:r>
            <w:proofErr w:type="spellStart"/>
            <w:r w:rsidRPr="00AD5317">
              <w:rPr>
                <w:rFonts w:asciiTheme="majorHAnsi" w:hAnsiTheme="majorHAnsi" w:cstheme="majorHAnsi"/>
                <w:sz w:val="22"/>
                <w:szCs w:val="22"/>
              </w:rPr>
              <w:t>Tshopo</w:t>
            </w:r>
            <w:proofErr w:type="spellEnd"/>
            <w:r w:rsidRPr="00AD5317">
              <w:rPr>
                <w:rFonts w:asciiTheme="majorHAnsi" w:hAnsiTheme="majorHAnsi" w:cstheme="majorHAnsi"/>
                <w:sz w:val="22"/>
                <w:szCs w:val="22"/>
              </w:rPr>
              <w:t xml:space="preserve">). </w:t>
            </w:r>
          </w:p>
          <w:p w14:paraId="49588AB0"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Les études sont en cours de réalisation</w:t>
            </w:r>
          </w:p>
        </w:tc>
        <w:tc>
          <w:tcPr>
            <w:tcW w:w="2125" w:type="dxa"/>
          </w:tcPr>
          <w:p w14:paraId="64CD5E06"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Études de faisabilité technique, d’impacts sociaux et environnementaux préliminaires de 4 sites sélectionnés</w:t>
            </w:r>
          </w:p>
        </w:tc>
        <w:tc>
          <w:tcPr>
            <w:tcW w:w="2552" w:type="dxa"/>
          </w:tcPr>
          <w:p w14:paraId="359CEF16"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Les firmes ont été recrutées pour les études de faisabilité</w:t>
            </w:r>
          </w:p>
        </w:tc>
        <w:tc>
          <w:tcPr>
            <w:tcW w:w="1140" w:type="dxa"/>
          </w:tcPr>
          <w:p w14:paraId="608CEFD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30%</w:t>
            </w:r>
          </w:p>
        </w:tc>
        <w:tc>
          <w:tcPr>
            <w:tcW w:w="2128" w:type="dxa"/>
          </w:tcPr>
          <w:p w14:paraId="19D9E493" w14:textId="77777777" w:rsidR="00AD5317" w:rsidRPr="00AD5317" w:rsidRDefault="00AD5317" w:rsidP="008F0DC8">
            <w:pPr>
              <w:rPr>
                <w:rFonts w:asciiTheme="majorHAnsi" w:eastAsiaTheme="minorHAnsi" w:hAnsiTheme="majorHAnsi" w:cstheme="majorHAnsi"/>
                <w:sz w:val="22"/>
                <w:szCs w:val="22"/>
              </w:rPr>
            </w:pPr>
            <w:r w:rsidRPr="00AD5317">
              <w:rPr>
                <w:rFonts w:asciiTheme="majorHAnsi" w:hAnsiTheme="majorHAnsi" w:cstheme="majorHAnsi"/>
                <w:sz w:val="22"/>
                <w:szCs w:val="22"/>
              </w:rPr>
              <w:t>Publication de l’appel d’offre contrat de la firme</w:t>
            </w:r>
          </w:p>
        </w:tc>
        <w:tc>
          <w:tcPr>
            <w:tcW w:w="2344" w:type="dxa"/>
          </w:tcPr>
          <w:p w14:paraId="57228A3B"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Cette activité a connu un retard dans le processus, finalement nous avons les firmes devant mener ces études. Les résultats sont attendus en juin 2021</w:t>
            </w:r>
          </w:p>
        </w:tc>
      </w:tr>
      <w:tr w:rsidR="00AD5317" w:rsidRPr="00AD5317" w14:paraId="72279D64" w14:textId="77777777" w:rsidTr="008F0DC8">
        <w:trPr>
          <w:gridAfter w:val="1"/>
          <w:wAfter w:w="27" w:type="dxa"/>
          <w:trHeight w:val="20"/>
        </w:trPr>
        <w:tc>
          <w:tcPr>
            <w:tcW w:w="426" w:type="dxa"/>
            <w:shd w:val="clear" w:color="auto" w:fill="auto"/>
            <w:vAlign w:val="center"/>
            <w:hideMark/>
          </w:tcPr>
          <w:p w14:paraId="0D44335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1.2.2.2</w:t>
            </w:r>
          </w:p>
        </w:tc>
        <w:tc>
          <w:tcPr>
            <w:tcW w:w="2201" w:type="dxa"/>
            <w:shd w:val="clear" w:color="auto" w:fill="auto"/>
            <w:vAlign w:val="center"/>
            <w:hideMark/>
          </w:tcPr>
          <w:p w14:paraId="0C71616D"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Recrutement d'un consultant pour élaborer le dossier d'appel d'offres (DAO)</w:t>
            </w:r>
          </w:p>
        </w:tc>
        <w:tc>
          <w:tcPr>
            <w:tcW w:w="2761" w:type="dxa"/>
            <w:gridSpan w:val="2"/>
          </w:tcPr>
          <w:p w14:paraId="74B35282"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Pas d’activité conduite, en attente des résultats préliminaires des études de faisabilité ci-dessus et du choix du site à construire</w:t>
            </w:r>
          </w:p>
        </w:tc>
        <w:tc>
          <w:tcPr>
            <w:tcW w:w="2125" w:type="dxa"/>
          </w:tcPr>
          <w:p w14:paraId="1E71431C"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document d'appel d'offres (DAO) lancé</w:t>
            </w:r>
          </w:p>
        </w:tc>
        <w:tc>
          <w:tcPr>
            <w:tcW w:w="2552" w:type="dxa"/>
          </w:tcPr>
          <w:p w14:paraId="7A2842A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aucun</w:t>
            </w:r>
          </w:p>
        </w:tc>
        <w:tc>
          <w:tcPr>
            <w:tcW w:w="1140" w:type="dxa"/>
          </w:tcPr>
          <w:p w14:paraId="759173A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0%</w:t>
            </w:r>
          </w:p>
        </w:tc>
        <w:tc>
          <w:tcPr>
            <w:tcW w:w="2128" w:type="dxa"/>
          </w:tcPr>
          <w:p w14:paraId="680DD09C"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N/A</w:t>
            </w:r>
          </w:p>
        </w:tc>
        <w:tc>
          <w:tcPr>
            <w:tcW w:w="2344" w:type="dxa"/>
          </w:tcPr>
          <w:p w14:paraId="7508EAE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Cette activité dépend des études de faisabilité technique ci-dessus</w:t>
            </w:r>
          </w:p>
        </w:tc>
      </w:tr>
      <w:tr w:rsidR="00AD5317" w:rsidRPr="00AD5317" w14:paraId="35C51EE5" w14:textId="77777777" w:rsidTr="008F0DC8">
        <w:trPr>
          <w:gridAfter w:val="1"/>
          <w:wAfter w:w="27" w:type="dxa"/>
          <w:trHeight w:val="20"/>
        </w:trPr>
        <w:tc>
          <w:tcPr>
            <w:tcW w:w="426" w:type="dxa"/>
            <w:shd w:val="clear" w:color="auto" w:fill="auto"/>
            <w:vAlign w:val="center"/>
            <w:hideMark/>
          </w:tcPr>
          <w:p w14:paraId="74CDF5A5"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1.2.2.3</w:t>
            </w:r>
          </w:p>
        </w:tc>
        <w:tc>
          <w:tcPr>
            <w:tcW w:w="2201" w:type="dxa"/>
            <w:shd w:val="clear" w:color="auto" w:fill="auto"/>
            <w:vAlign w:val="center"/>
            <w:hideMark/>
          </w:tcPr>
          <w:p w14:paraId="1C559F9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Validation du document d'appel d'offres (DAO)</w:t>
            </w:r>
          </w:p>
        </w:tc>
        <w:tc>
          <w:tcPr>
            <w:tcW w:w="2761" w:type="dxa"/>
            <w:gridSpan w:val="2"/>
          </w:tcPr>
          <w:p w14:paraId="1BD77BC8"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L’activité sera faite une fois le DAO élaboré</w:t>
            </w:r>
          </w:p>
        </w:tc>
        <w:tc>
          <w:tcPr>
            <w:tcW w:w="2125" w:type="dxa"/>
          </w:tcPr>
          <w:p w14:paraId="34B47608"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document d'appel d'offres (DAO) lancé</w:t>
            </w:r>
          </w:p>
        </w:tc>
        <w:tc>
          <w:tcPr>
            <w:tcW w:w="2552" w:type="dxa"/>
          </w:tcPr>
          <w:p w14:paraId="0A20EA9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aucun</w:t>
            </w:r>
          </w:p>
        </w:tc>
        <w:tc>
          <w:tcPr>
            <w:tcW w:w="1140" w:type="dxa"/>
          </w:tcPr>
          <w:p w14:paraId="2BD4B352"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0%</w:t>
            </w:r>
          </w:p>
        </w:tc>
        <w:tc>
          <w:tcPr>
            <w:tcW w:w="2128" w:type="dxa"/>
          </w:tcPr>
          <w:p w14:paraId="19F00C0F"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N/A</w:t>
            </w:r>
          </w:p>
        </w:tc>
        <w:tc>
          <w:tcPr>
            <w:tcW w:w="2344" w:type="dxa"/>
          </w:tcPr>
          <w:p w14:paraId="290B68ED"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Cette activité dépend des études de faisabilité technique ci-dessus</w:t>
            </w:r>
          </w:p>
        </w:tc>
      </w:tr>
      <w:tr w:rsidR="00AD5317" w:rsidRPr="00AD5317" w14:paraId="58834640" w14:textId="77777777" w:rsidTr="008F0DC8">
        <w:trPr>
          <w:gridAfter w:val="1"/>
          <w:wAfter w:w="27" w:type="dxa"/>
          <w:trHeight w:val="20"/>
        </w:trPr>
        <w:tc>
          <w:tcPr>
            <w:tcW w:w="426" w:type="dxa"/>
            <w:shd w:val="clear" w:color="auto" w:fill="auto"/>
            <w:vAlign w:val="center"/>
            <w:hideMark/>
          </w:tcPr>
          <w:p w14:paraId="663F060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1.2.2.4</w:t>
            </w:r>
          </w:p>
        </w:tc>
        <w:tc>
          <w:tcPr>
            <w:tcW w:w="2201" w:type="dxa"/>
            <w:shd w:val="clear" w:color="auto" w:fill="auto"/>
            <w:vAlign w:val="center"/>
            <w:hideMark/>
          </w:tcPr>
          <w:p w14:paraId="1AD6A49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 xml:space="preserve">Recrutement des firmes pour la construction de la Centrale et du Réseau de distribution par appel d'offres </w:t>
            </w:r>
          </w:p>
        </w:tc>
        <w:tc>
          <w:tcPr>
            <w:tcW w:w="2761" w:type="dxa"/>
            <w:gridSpan w:val="2"/>
          </w:tcPr>
          <w:p w14:paraId="3775063A"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Pas d’activité conduite, en attente des résultats des études de faisabilité ci-dessus et du choix du site à construire</w:t>
            </w:r>
          </w:p>
        </w:tc>
        <w:tc>
          <w:tcPr>
            <w:tcW w:w="2125" w:type="dxa"/>
          </w:tcPr>
          <w:p w14:paraId="1F7CC2F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document d'appel d'offres (DAO) lancé</w:t>
            </w:r>
          </w:p>
        </w:tc>
        <w:tc>
          <w:tcPr>
            <w:tcW w:w="2552" w:type="dxa"/>
          </w:tcPr>
          <w:p w14:paraId="104FC2FD"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aucun</w:t>
            </w:r>
          </w:p>
        </w:tc>
        <w:tc>
          <w:tcPr>
            <w:tcW w:w="1140" w:type="dxa"/>
          </w:tcPr>
          <w:p w14:paraId="5EF82E2A"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0%</w:t>
            </w:r>
          </w:p>
        </w:tc>
        <w:tc>
          <w:tcPr>
            <w:tcW w:w="2128" w:type="dxa"/>
          </w:tcPr>
          <w:p w14:paraId="720FDB52"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N/A</w:t>
            </w:r>
          </w:p>
        </w:tc>
        <w:tc>
          <w:tcPr>
            <w:tcW w:w="2344" w:type="dxa"/>
          </w:tcPr>
          <w:p w14:paraId="655DBF5D"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Cette activité dépend des études de faisabilité technique ci-dessus</w:t>
            </w:r>
          </w:p>
        </w:tc>
      </w:tr>
      <w:tr w:rsidR="00AD5317" w:rsidRPr="00AD5317" w14:paraId="6A362D1A" w14:textId="77777777" w:rsidTr="008F0DC8">
        <w:trPr>
          <w:trHeight w:val="20"/>
        </w:trPr>
        <w:tc>
          <w:tcPr>
            <w:tcW w:w="15704" w:type="dxa"/>
            <w:gridSpan w:val="10"/>
            <w:shd w:val="clear" w:color="auto" w:fill="F0EDAA"/>
            <w:vAlign w:val="center"/>
          </w:tcPr>
          <w:p w14:paraId="3F2ADB9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b/>
                <w:bCs/>
                <w:sz w:val="22"/>
                <w:szCs w:val="22"/>
              </w:rPr>
              <w:t>Produit 1.3. : Le leadership politique et des institutions techniques sont renforcés pour engager la RDC sur le chemin de sa transition énergétique vers la cuisson propre et créer un environnement favorable au marché tout en protégeant les consommateurs</w:t>
            </w:r>
          </w:p>
        </w:tc>
      </w:tr>
      <w:tr w:rsidR="00AD5317" w:rsidRPr="00AD5317" w14:paraId="511ED716" w14:textId="77777777" w:rsidTr="008F0DC8">
        <w:trPr>
          <w:gridAfter w:val="1"/>
          <w:wAfter w:w="27" w:type="dxa"/>
          <w:trHeight w:val="20"/>
        </w:trPr>
        <w:tc>
          <w:tcPr>
            <w:tcW w:w="426" w:type="dxa"/>
            <w:shd w:val="clear" w:color="auto" w:fill="auto"/>
            <w:vAlign w:val="center"/>
            <w:hideMark/>
          </w:tcPr>
          <w:p w14:paraId="3B6D4012"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1.3.1</w:t>
            </w:r>
          </w:p>
        </w:tc>
        <w:tc>
          <w:tcPr>
            <w:tcW w:w="2201" w:type="dxa"/>
            <w:shd w:val="clear" w:color="auto" w:fill="auto"/>
            <w:vAlign w:val="center"/>
            <w:hideMark/>
          </w:tcPr>
          <w:p w14:paraId="693FD58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Renforcer les capacités du gouvernement sur les divers éléments clés relatifs aux énergies et réchauds de cuisson propres, et renforcer la représentation des acteurs du secteur</w:t>
            </w:r>
          </w:p>
        </w:tc>
        <w:tc>
          <w:tcPr>
            <w:tcW w:w="2761" w:type="dxa"/>
            <w:gridSpan w:val="2"/>
          </w:tcPr>
          <w:p w14:paraId="50EF2722"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Formateur en place et mission de collecte de données et de besoins de renforcement des capacités effectuée en déc. 2020. Document de projet élaborer pour l’appui à la structuration et formation de l’Alliance Congolaise pour les foyers améliorés et combustibles assimilés (ACFCA) </w:t>
            </w:r>
          </w:p>
        </w:tc>
        <w:tc>
          <w:tcPr>
            <w:tcW w:w="2125" w:type="dxa"/>
          </w:tcPr>
          <w:p w14:paraId="01BD18B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Les agences spécialisées du Gouvernement sont formées sur différents modules devant renforcer leur compréhension et engagement en faveur de la cuisson propre en RDC</w:t>
            </w:r>
          </w:p>
        </w:tc>
        <w:tc>
          <w:tcPr>
            <w:tcW w:w="2552" w:type="dxa"/>
          </w:tcPr>
          <w:p w14:paraId="4E693A3B"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Le Consultant a été recruté. La mission de démarrage a eu lieu du 7 au 13 décembre 2020.</w:t>
            </w:r>
          </w:p>
          <w:p w14:paraId="35EBD3E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Liste des besoins de renforcement des capacités disponible</w:t>
            </w:r>
          </w:p>
        </w:tc>
        <w:tc>
          <w:tcPr>
            <w:tcW w:w="1140" w:type="dxa"/>
          </w:tcPr>
          <w:p w14:paraId="332D6065"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30%</w:t>
            </w:r>
          </w:p>
        </w:tc>
        <w:tc>
          <w:tcPr>
            <w:tcW w:w="2128" w:type="dxa"/>
          </w:tcPr>
          <w:p w14:paraId="6ED7D8DB"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Rapport de mission du consultant.</w:t>
            </w:r>
          </w:p>
        </w:tc>
        <w:tc>
          <w:tcPr>
            <w:tcW w:w="2344" w:type="dxa"/>
          </w:tcPr>
          <w:p w14:paraId="69A7456A"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Activité en cours. Cette activité est pluriannuelle. Elle continuera cette année 2021.</w:t>
            </w:r>
          </w:p>
        </w:tc>
      </w:tr>
      <w:tr w:rsidR="00AD5317" w:rsidRPr="00AD5317" w14:paraId="7BBC5788" w14:textId="77777777" w:rsidTr="008F0DC8">
        <w:trPr>
          <w:gridAfter w:val="1"/>
          <w:wAfter w:w="27" w:type="dxa"/>
          <w:trHeight w:val="20"/>
        </w:trPr>
        <w:tc>
          <w:tcPr>
            <w:tcW w:w="426" w:type="dxa"/>
            <w:shd w:val="clear" w:color="auto" w:fill="auto"/>
            <w:vAlign w:val="center"/>
            <w:hideMark/>
          </w:tcPr>
          <w:p w14:paraId="272E503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1.3.2</w:t>
            </w:r>
          </w:p>
        </w:tc>
        <w:tc>
          <w:tcPr>
            <w:tcW w:w="2201" w:type="dxa"/>
            <w:shd w:val="clear" w:color="auto" w:fill="auto"/>
            <w:vAlign w:val="center"/>
            <w:hideMark/>
          </w:tcPr>
          <w:p w14:paraId="36C7428A"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Renforcer les capacités du gouvernement sur les divers éléments clés relatifs au GPL</w:t>
            </w:r>
          </w:p>
        </w:tc>
        <w:tc>
          <w:tcPr>
            <w:tcW w:w="2761" w:type="dxa"/>
            <w:gridSpan w:val="2"/>
          </w:tcPr>
          <w:p w14:paraId="155080B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Un Conseiller Technique en GPL a été recruté et mis à la disposition du Ministère des hydrocarbures ainsi qu’un directeur pays de GLPGP a été recruté et en poste à Kinshasa pour l’appui-conseil au gouvernement de la RDC</w:t>
            </w:r>
          </w:p>
        </w:tc>
        <w:tc>
          <w:tcPr>
            <w:tcW w:w="2125" w:type="dxa"/>
          </w:tcPr>
          <w:p w14:paraId="4C662154" w14:textId="77777777" w:rsidR="00AD5317" w:rsidRPr="00AD5317" w:rsidRDefault="00AD5317" w:rsidP="008F0DC8">
            <w:pPr>
              <w:jc w:val="left"/>
              <w:rPr>
                <w:rFonts w:asciiTheme="majorHAnsi" w:hAnsiTheme="majorHAnsi" w:cstheme="majorHAnsi"/>
                <w:sz w:val="22"/>
                <w:szCs w:val="22"/>
              </w:rPr>
            </w:pPr>
            <w:r w:rsidRPr="00AD5317">
              <w:rPr>
                <w:rFonts w:asciiTheme="majorHAnsi" w:hAnsiTheme="majorHAnsi" w:cstheme="majorHAnsi"/>
                <w:sz w:val="22"/>
                <w:szCs w:val="22"/>
              </w:rPr>
              <w:t>Les capacités du</w:t>
            </w:r>
          </w:p>
          <w:p w14:paraId="0519663E" w14:textId="77777777" w:rsidR="00AD5317" w:rsidRPr="00AD5317" w:rsidRDefault="00AD5317" w:rsidP="008F0DC8">
            <w:pPr>
              <w:jc w:val="left"/>
              <w:rPr>
                <w:rFonts w:asciiTheme="majorHAnsi" w:hAnsiTheme="majorHAnsi" w:cstheme="majorHAnsi"/>
                <w:sz w:val="22"/>
                <w:szCs w:val="22"/>
              </w:rPr>
            </w:pPr>
            <w:r w:rsidRPr="00AD5317">
              <w:rPr>
                <w:rFonts w:asciiTheme="majorHAnsi" w:hAnsiTheme="majorHAnsi" w:cstheme="majorHAnsi"/>
                <w:sz w:val="22"/>
                <w:szCs w:val="22"/>
              </w:rPr>
              <w:t>gouvernement sont renforcées sur les divers</w:t>
            </w:r>
          </w:p>
          <w:p w14:paraId="3A73FA0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éléments clés relatifs au GPL</w:t>
            </w:r>
          </w:p>
        </w:tc>
        <w:tc>
          <w:tcPr>
            <w:tcW w:w="2552" w:type="dxa"/>
          </w:tcPr>
          <w:p w14:paraId="0E4B4CB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Les experts (conseiller technique et directeur pays) en fonction</w:t>
            </w:r>
          </w:p>
        </w:tc>
        <w:tc>
          <w:tcPr>
            <w:tcW w:w="1140" w:type="dxa"/>
          </w:tcPr>
          <w:p w14:paraId="79CAB31D"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15%</w:t>
            </w:r>
          </w:p>
        </w:tc>
        <w:tc>
          <w:tcPr>
            <w:tcW w:w="2128" w:type="dxa"/>
          </w:tcPr>
          <w:p w14:paraId="704646EF"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Contrat d’expert </w:t>
            </w:r>
          </w:p>
        </w:tc>
        <w:tc>
          <w:tcPr>
            <w:tcW w:w="2344" w:type="dxa"/>
          </w:tcPr>
          <w:p w14:paraId="531C322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Le renforcement de capacité est une activité continue qui s’étendra tout au long du programme.</w:t>
            </w:r>
          </w:p>
        </w:tc>
      </w:tr>
      <w:tr w:rsidR="00AD5317" w:rsidRPr="00AD5317" w14:paraId="04BD75E8" w14:textId="77777777" w:rsidTr="008F0DC8">
        <w:trPr>
          <w:trHeight w:val="20"/>
        </w:trPr>
        <w:tc>
          <w:tcPr>
            <w:tcW w:w="15704" w:type="dxa"/>
            <w:gridSpan w:val="10"/>
            <w:shd w:val="clear" w:color="auto" w:fill="F0EDAA"/>
            <w:vAlign w:val="center"/>
          </w:tcPr>
          <w:p w14:paraId="0376EF0D"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b/>
                <w:bCs/>
                <w:sz w:val="22"/>
                <w:szCs w:val="22"/>
              </w:rPr>
              <w:t>Produit 1.4. :Le cadre légal, politique et règlementaire national portant sur le secteur de l’énergie volet bois énergie, volet GPL et autre source de combustible de substitutions, est opérationnel</w:t>
            </w:r>
          </w:p>
        </w:tc>
      </w:tr>
      <w:tr w:rsidR="00AD5317" w:rsidRPr="00AD5317" w14:paraId="08573E62" w14:textId="77777777" w:rsidTr="008F0DC8">
        <w:trPr>
          <w:gridAfter w:val="1"/>
          <w:wAfter w:w="27" w:type="dxa"/>
          <w:trHeight w:val="20"/>
        </w:trPr>
        <w:tc>
          <w:tcPr>
            <w:tcW w:w="426" w:type="dxa"/>
            <w:shd w:val="clear" w:color="auto" w:fill="auto"/>
            <w:vAlign w:val="center"/>
            <w:hideMark/>
          </w:tcPr>
          <w:p w14:paraId="7360F0E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1.4.1</w:t>
            </w:r>
          </w:p>
        </w:tc>
        <w:tc>
          <w:tcPr>
            <w:tcW w:w="2201" w:type="dxa"/>
            <w:shd w:val="clear" w:color="auto" w:fill="auto"/>
            <w:vAlign w:val="center"/>
            <w:hideMark/>
          </w:tcPr>
          <w:p w14:paraId="690629BA"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Renforcer le cadre légal, politique et règlementaire pour les combustibles de substitution (bois-énergie et GPL)</w:t>
            </w:r>
          </w:p>
        </w:tc>
        <w:tc>
          <w:tcPr>
            <w:tcW w:w="2761" w:type="dxa"/>
            <w:gridSpan w:val="2"/>
          </w:tcPr>
          <w:p w14:paraId="2C7BA8C0"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Elaboration d’une feuille de route pour l’élaboration de la politique nationale de l’énergie et la stratégie de cuisson propre</w:t>
            </w:r>
          </w:p>
          <w:p w14:paraId="1F05A1F9"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Mise en route de l’équipe de consultant avec la production des rapports de démarrage.</w:t>
            </w:r>
          </w:p>
          <w:p w14:paraId="3623873A"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Démarrage de la collecte de données et d’information pour le diagnostic sectoriel en vue de l’élaboration de ladite politique.</w:t>
            </w:r>
          </w:p>
          <w:p w14:paraId="0C0797A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Elaboration de l’avant-plan directeur du GPL </w:t>
            </w:r>
          </w:p>
        </w:tc>
        <w:tc>
          <w:tcPr>
            <w:tcW w:w="2125" w:type="dxa"/>
          </w:tcPr>
          <w:p w14:paraId="1A50FA58"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Le document de politique nationale en énergie avec un volet cuisson propre, et une stratégie de cuisson propre sont disponibles.</w:t>
            </w:r>
          </w:p>
        </w:tc>
        <w:tc>
          <w:tcPr>
            <w:tcW w:w="2552" w:type="dxa"/>
          </w:tcPr>
          <w:p w14:paraId="2FA0C94D"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Feuille de route pour l’élaboration de la politique nationale de l’énergie et de stratégie de cuisson propre</w:t>
            </w:r>
          </w:p>
          <w:p w14:paraId="465765D1" w14:textId="77777777" w:rsidR="00AD5317" w:rsidRPr="00AD5317" w:rsidRDefault="00AD5317" w:rsidP="008F0DC8">
            <w:pPr>
              <w:rPr>
                <w:rFonts w:asciiTheme="majorHAnsi" w:eastAsia="Times New Roman" w:hAnsiTheme="majorHAnsi" w:cstheme="majorHAnsi"/>
                <w:sz w:val="22"/>
                <w:szCs w:val="22"/>
              </w:rPr>
            </w:pPr>
          </w:p>
        </w:tc>
        <w:tc>
          <w:tcPr>
            <w:tcW w:w="1140" w:type="dxa"/>
          </w:tcPr>
          <w:p w14:paraId="21E9CA6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15%</w:t>
            </w:r>
          </w:p>
        </w:tc>
        <w:tc>
          <w:tcPr>
            <w:tcW w:w="2128" w:type="dxa"/>
          </w:tcPr>
          <w:p w14:paraId="2106DC90" w14:textId="77777777" w:rsidR="00AD5317" w:rsidRPr="00AD5317" w:rsidRDefault="00AD5317" w:rsidP="008F0DC8">
            <w:pPr>
              <w:ind w:left="10" w:firstLine="0"/>
              <w:rPr>
                <w:rFonts w:asciiTheme="majorHAnsi" w:hAnsiTheme="majorHAnsi" w:cstheme="majorHAnsi"/>
                <w:sz w:val="22"/>
                <w:szCs w:val="22"/>
              </w:rPr>
            </w:pPr>
            <w:r w:rsidRPr="00AD5317">
              <w:rPr>
                <w:rFonts w:asciiTheme="majorHAnsi" w:hAnsiTheme="majorHAnsi" w:cstheme="majorHAnsi"/>
                <w:sz w:val="22"/>
                <w:szCs w:val="22"/>
              </w:rPr>
              <w:t xml:space="preserve">Feuille de route </w:t>
            </w:r>
          </w:p>
          <w:p w14:paraId="1F483F8E" w14:textId="77777777" w:rsidR="00AD5317" w:rsidRPr="00AD5317" w:rsidRDefault="00AD5317" w:rsidP="008F0DC8">
            <w:pPr>
              <w:ind w:left="10" w:firstLine="0"/>
              <w:rPr>
                <w:rFonts w:asciiTheme="majorHAnsi" w:hAnsiTheme="majorHAnsi" w:cstheme="majorHAnsi"/>
                <w:sz w:val="22"/>
                <w:szCs w:val="22"/>
              </w:rPr>
            </w:pPr>
            <w:r w:rsidRPr="00AD5317">
              <w:rPr>
                <w:rFonts w:asciiTheme="majorHAnsi" w:hAnsiTheme="majorHAnsi" w:cstheme="majorHAnsi"/>
                <w:sz w:val="22"/>
                <w:szCs w:val="22"/>
              </w:rPr>
              <w:t>Contrat des consultants recrutés</w:t>
            </w:r>
          </w:p>
          <w:p w14:paraId="31BAE9C0" w14:textId="77777777" w:rsidR="00AD5317" w:rsidRPr="00AD5317" w:rsidRDefault="00AD5317" w:rsidP="008F0DC8">
            <w:pPr>
              <w:rPr>
                <w:rFonts w:asciiTheme="majorHAnsi" w:eastAsia="Times New Roman" w:hAnsiTheme="majorHAnsi" w:cstheme="majorHAnsi"/>
                <w:sz w:val="22"/>
                <w:szCs w:val="22"/>
              </w:rPr>
            </w:pPr>
          </w:p>
        </w:tc>
        <w:tc>
          <w:tcPr>
            <w:tcW w:w="2344" w:type="dxa"/>
          </w:tcPr>
          <w:p w14:paraId="6AA6494F"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Activité reportée à fin 2021 sur recommandation du COPIL en sa session du 1er septembre 2020 pour permettre une large consultation des parties prenantes</w:t>
            </w:r>
          </w:p>
        </w:tc>
      </w:tr>
      <w:tr w:rsidR="00AD5317" w:rsidRPr="00AD5317" w14:paraId="5B29EBCD" w14:textId="77777777" w:rsidTr="008F0DC8">
        <w:trPr>
          <w:gridAfter w:val="1"/>
          <w:wAfter w:w="27" w:type="dxa"/>
          <w:trHeight w:val="20"/>
        </w:trPr>
        <w:tc>
          <w:tcPr>
            <w:tcW w:w="426" w:type="dxa"/>
            <w:shd w:val="clear" w:color="auto" w:fill="auto"/>
            <w:vAlign w:val="center"/>
            <w:hideMark/>
          </w:tcPr>
          <w:p w14:paraId="1600F18C"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1.4.2</w:t>
            </w:r>
          </w:p>
        </w:tc>
        <w:tc>
          <w:tcPr>
            <w:tcW w:w="2201" w:type="dxa"/>
            <w:shd w:val="clear" w:color="auto" w:fill="auto"/>
            <w:vAlign w:val="center"/>
            <w:hideMark/>
          </w:tcPr>
          <w:p w14:paraId="3D3F475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Améliorer les capacités du gouvernement à gérer, faire le suivi et à renforcer la règlementation portant sur les combustibles de substitution (Bois-énergie et GPL)</w:t>
            </w:r>
          </w:p>
        </w:tc>
        <w:tc>
          <w:tcPr>
            <w:tcW w:w="2761" w:type="dxa"/>
            <w:gridSpan w:val="2"/>
          </w:tcPr>
          <w:p w14:paraId="21BC604B" w14:textId="4CF5F9CD" w:rsidR="00623856" w:rsidRPr="00623856" w:rsidRDefault="00AD5317" w:rsidP="00623856">
            <w:pPr>
              <w:ind w:right="-110"/>
              <w:jc w:val="left"/>
              <w:rPr>
                <w:rFonts w:asciiTheme="majorHAnsi" w:hAnsiTheme="majorHAnsi" w:cstheme="majorHAnsi"/>
                <w:sz w:val="22"/>
                <w:szCs w:val="22"/>
              </w:rPr>
            </w:pPr>
            <w:r w:rsidRPr="00AD5317">
              <w:rPr>
                <w:rFonts w:asciiTheme="majorHAnsi" w:hAnsiTheme="majorHAnsi" w:cstheme="majorHAnsi"/>
                <w:sz w:val="22"/>
                <w:szCs w:val="22"/>
              </w:rPr>
              <w:t>Elaboration d’un</w:t>
            </w:r>
            <w:r w:rsidR="00623856">
              <w:rPr>
                <w:rFonts w:asciiTheme="majorHAnsi" w:hAnsiTheme="majorHAnsi" w:cstheme="majorHAnsi"/>
                <w:sz w:val="22"/>
                <w:szCs w:val="22"/>
              </w:rPr>
              <w:t xml:space="preserve"> </w:t>
            </w:r>
            <w:r w:rsidR="00623856" w:rsidRPr="00623856">
              <w:rPr>
                <w:rFonts w:asciiTheme="majorHAnsi" w:hAnsiTheme="majorHAnsi" w:cstheme="majorHAnsi"/>
                <w:sz w:val="22"/>
                <w:szCs w:val="22"/>
              </w:rPr>
              <w:t>Plan</w:t>
            </w:r>
            <w:r w:rsidR="00623856">
              <w:rPr>
                <w:rFonts w:asciiTheme="majorHAnsi" w:hAnsiTheme="majorHAnsi" w:cstheme="majorHAnsi"/>
                <w:sz w:val="22"/>
                <w:szCs w:val="22"/>
              </w:rPr>
              <w:t xml:space="preserve"> de route</w:t>
            </w:r>
            <w:r w:rsidR="00623856" w:rsidRPr="00623856">
              <w:rPr>
                <w:rFonts w:asciiTheme="majorHAnsi" w:hAnsiTheme="majorHAnsi" w:cstheme="majorHAnsi"/>
                <w:sz w:val="22"/>
                <w:szCs w:val="22"/>
              </w:rPr>
              <w:t xml:space="preserve"> de la </w:t>
            </w:r>
            <w:r w:rsidR="00623856">
              <w:rPr>
                <w:rFonts w:asciiTheme="majorHAnsi" w:hAnsiTheme="majorHAnsi" w:cstheme="majorHAnsi"/>
                <w:sz w:val="22"/>
                <w:szCs w:val="22"/>
              </w:rPr>
              <w:t>r</w:t>
            </w:r>
            <w:r w:rsidR="00623856" w:rsidRPr="00623856">
              <w:rPr>
                <w:rFonts w:asciiTheme="majorHAnsi" w:hAnsiTheme="majorHAnsi" w:cstheme="majorHAnsi"/>
                <w:sz w:val="22"/>
                <w:szCs w:val="22"/>
              </w:rPr>
              <w:t>églementation</w:t>
            </w:r>
          </w:p>
          <w:p w14:paraId="3FA00F39" w14:textId="18D8B720" w:rsidR="00AD5317" w:rsidRPr="00AD5317" w:rsidRDefault="00623856" w:rsidP="00623856">
            <w:pPr>
              <w:rPr>
                <w:rFonts w:asciiTheme="majorHAnsi" w:hAnsiTheme="majorHAnsi" w:cstheme="majorHAnsi"/>
                <w:sz w:val="22"/>
                <w:szCs w:val="22"/>
              </w:rPr>
            </w:pPr>
            <w:r>
              <w:rPr>
                <w:rFonts w:asciiTheme="majorHAnsi" w:hAnsiTheme="majorHAnsi" w:cstheme="majorHAnsi"/>
                <w:sz w:val="22"/>
                <w:szCs w:val="22"/>
              </w:rPr>
              <w:t>d</w:t>
            </w:r>
            <w:r w:rsidRPr="00623856">
              <w:rPr>
                <w:rFonts w:asciiTheme="majorHAnsi" w:hAnsiTheme="majorHAnsi" w:cstheme="majorHAnsi"/>
                <w:sz w:val="22"/>
                <w:szCs w:val="22"/>
              </w:rPr>
              <w:t xml:space="preserve">e la </w:t>
            </w:r>
            <w:r>
              <w:rPr>
                <w:rFonts w:asciiTheme="majorHAnsi" w:hAnsiTheme="majorHAnsi" w:cstheme="majorHAnsi"/>
                <w:sz w:val="22"/>
                <w:szCs w:val="22"/>
              </w:rPr>
              <w:t>d</w:t>
            </w:r>
            <w:r w:rsidRPr="00623856">
              <w:rPr>
                <w:rFonts w:asciiTheme="majorHAnsi" w:hAnsiTheme="majorHAnsi" w:cstheme="majorHAnsi"/>
                <w:sz w:val="22"/>
                <w:szCs w:val="22"/>
              </w:rPr>
              <w:t>istribution de GPL</w:t>
            </w:r>
            <w:r w:rsidRPr="00AD5317">
              <w:rPr>
                <w:rFonts w:asciiTheme="majorHAnsi" w:hAnsiTheme="majorHAnsi" w:cstheme="majorHAnsi"/>
                <w:sz w:val="22"/>
                <w:szCs w:val="22"/>
              </w:rPr>
              <w:t xml:space="preserve"> </w:t>
            </w:r>
          </w:p>
          <w:p w14:paraId="7A74CFE6"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 xml:space="preserve">Echanges constants entre le partenaire GLPGP et le Ministère des hydrocarbures pour définir les orientations clés et les étapes de rédaction. </w:t>
            </w:r>
          </w:p>
          <w:p w14:paraId="6E58B4B8"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Constitution d’une équipe d’experts au sein du Ministère des hydrocarbures pour la coordination et le pilotage de la rédaction des textes réglementaires sur le GPL</w:t>
            </w:r>
          </w:p>
        </w:tc>
        <w:tc>
          <w:tcPr>
            <w:tcW w:w="2125" w:type="dxa"/>
          </w:tcPr>
          <w:p w14:paraId="5C19F4F2" w14:textId="77777777" w:rsidR="00AD5317" w:rsidRPr="00AD5317" w:rsidRDefault="00AD5317" w:rsidP="008F0DC8">
            <w:pPr>
              <w:jc w:val="left"/>
              <w:rPr>
                <w:rFonts w:asciiTheme="majorHAnsi" w:hAnsiTheme="majorHAnsi" w:cstheme="majorHAnsi"/>
                <w:sz w:val="22"/>
                <w:szCs w:val="22"/>
              </w:rPr>
            </w:pPr>
            <w:r w:rsidRPr="00AD5317">
              <w:rPr>
                <w:rFonts w:asciiTheme="majorHAnsi" w:hAnsiTheme="majorHAnsi" w:cstheme="majorHAnsi"/>
                <w:sz w:val="22"/>
                <w:szCs w:val="22"/>
              </w:rPr>
              <w:t>Les capacités du</w:t>
            </w:r>
          </w:p>
          <w:p w14:paraId="6AD6DCBA" w14:textId="77777777" w:rsidR="00AD5317" w:rsidRPr="00AD5317" w:rsidRDefault="00AD5317" w:rsidP="008F0DC8">
            <w:pPr>
              <w:jc w:val="left"/>
              <w:rPr>
                <w:rFonts w:asciiTheme="majorHAnsi" w:hAnsiTheme="majorHAnsi" w:cstheme="majorHAnsi"/>
                <w:sz w:val="22"/>
                <w:szCs w:val="22"/>
              </w:rPr>
            </w:pPr>
            <w:r w:rsidRPr="00AD5317">
              <w:rPr>
                <w:rFonts w:asciiTheme="majorHAnsi" w:hAnsiTheme="majorHAnsi" w:cstheme="majorHAnsi"/>
                <w:sz w:val="22"/>
                <w:szCs w:val="22"/>
              </w:rPr>
              <w:t>gouvernement sont renforcées sur les divers</w:t>
            </w:r>
          </w:p>
          <w:p w14:paraId="4FDEAC3A"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éléments clés relatifs au GPL</w:t>
            </w:r>
          </w:p>
        </w:tc>
        <w:tc>
          <w:tcPr>
            <w:tcW w:w="2552" w:type="dxa"/>
          </w:tcPr>
          <w:p w14:paraId="181FB399" w14:textId="4A8B223F" w:rsidR="00623856" w:rsidRPr="00623856" w:rsidRDefault="00623856" w:rsidP="00623856">
            <w:pPr>
              <w:ind w:right="-110"/>
              <w:jc w:val="left"/>
              <w:rPr>
                <w:rFonts w:asciiTheme="majorHAnsi" w:hAnsiTheme="majorHAnsi" w:cstheme="majorHAnsi"/>
                <w:sz w:val="22"/>
                <w:szCs w:val="22"/>
              </w:rPr>
            </w:pPr>
            <w:r w:rsidRPr="00623856">
              <w:rPr>
                <w:rFonts w:asciiTheme="majorHAnsi" w:hAnsiTheme="majorHAnsi" w:cstheme="majorHAnsi"/>
                <w:sz w:val="22"/>
                <w:szCs w:val="22"/>
              </w:rPr>
              <w:t xml:space="preserve">Plan de la </w:t>
            </w:r>
            <w:r>
              <w:rPr>
                <w:rFonts w:asciiTheme="majorHAnsi" w:hAnsiTheme="majorHAnsi" w:cstheme="majorHAnsi"/>
                <w:sz w:val="22"/>
                <w:szCs w:val="22"/>
              </w:rPr>
              <w:t>r</w:t>
            </w:r>
            <w:r w:rsidRPr="00623856">
              <w:rPr>
                <w:rFonts w:asciiTheme="majorHAnsi" w:hAnsiTheme="majorHAnsi" w:cstheme="majorHAnsi"/>
                <w:sz w:val="22"/>
                <w:szCs w:val="22"/>
              </w:rPr>
              <w:t>églementation</w:t>
            </w:r>
          </w:p>
          <w:p w14:paraId="1527551C" w14:textId="7E6EB0BC" w:rsidR="00AD5317" w:rsidRPr="00623856" w:rsidRDefault="00623856" w:rsidP="00623856">
            <w:pPr>
              <w:rPr>
                <w:rFonts w:asciiTheme="majorHAnsi" w:hAnsiTheme="majorHAnsi" w:cstheme="majorHAnsi"/>
                <w:sz w:val="22"/>
                <w:szCs w:val="22"/>
              </w:rPr>
            </w:pPr>
            <w:r>
              <w:rPr>
                <w:rFonts w:asciiTheme="majorHAnsi" w:hAnsiTheme="majorHAnsi" w:cstheme="majorHAnsi"/>
                <w:sz w:val="22"/>
                <w:szCs w:val="22"/>
              </w:rPr>
              <w:t>d</w:t>
            </w:r>
            <w:r w:rsidRPr="00623856">
              <w:rPr>
                <w:rFonts w:asciiTheme="majorHAnsi" w:hAnsiTheme="majorHAnsi" w:cstheme="majorHAnsi"/>
                <w:sz w:val="22"/>
                <w:szCs w:val="22"/>
              </w:rPr>
              <w:t xml:space="preserve">e la </w:t>
            </w:r>
            <w:r>
              <w:rPr>
                <w:rFonts w:asciiTheme="majorHAnsi" w:hAnsiTheme="majorHAnsi" w:cstheme="majorHAnsi"/>
                <w:sz w:val="22"/>
                <w:szCs w:val="22"/>
              </w:rPr>
              <w:t>d</w:t>
            </w:r>
            <w:r w:rsidRPr="00623856">
              <w:rPr>
                <w:rFonts w:asciiTheme="majorHAnsi" w:hAnsiTheme="majorHAnsi" w:cstheme="majorHAnsi"/>
                <w:sz w:val="22"/>
                <w:szCs w:val="22"/>
              </w:rPr>
              <w:t>istribution de GPL</w:t>
            </w:r>
          </w:p>
        </w:tc>
        <w:tc>
          <w:tcPr>
            <w:tcW w:w="1140" w:type="dxa"/>
          </w:tcPr>
          <w:p w14:paraId="20F8D4E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15%</w:t>
            </w:r>
          </w:p>
        </w:tc>
        <w:tc>
          <w:tcPr>
            <w:tcW w:w="2128" w:type="dxa"/>
          </w:tcPr>
          <w:p w14:paraId="5FACA1DF" w14:textId="7705C22E" w:rsidR="00623856" w:rsidRPr="00623856" w:rsidRDefault="00623856" w:rsidP="00623856">
            <w:pPr>
              <w:ind w:right="-110"/>
              <w:jc w:val="left"/>
              <w:rPr>
                <w:rFonts w:asciiTheme="majorHAnsi" w:hAnsiTheme="majorHAnsi" w:cstheme="majorHAnsi"/>
                <w:sz w:val="22"/>
                <w:szCs w:val="22"/>
              </w:rPr>
            </w:pPr>
            <w:r>
              <w:rPr>
                <w:rFonts w:asciiTheme="majorHAnsi" w:hAnsiTheme="majorHAnsi" w:cstheme="majorHAnsi"/>
                <w:sz w:val="22"/>
                <w:szCs w:val="22"/>
              </w:rPr>
              <w:t xml:space="preserve">Document du </w:t>
            </w:r>
            <w:r w:rsidRPr="00623856">
              <w:rPr>
                <w:rFonts w:asciiTheme="majorHAnsi" w:hAnsiTheme="majorHAnsi" w:cstheme="majorHAnsi"/>
                <w:sz w:val="22"/>
                <w:szCs w:val="22"/>
              </w:rPr>
              <w:t>Plan</w:t>
            </w:r>
            <w:r>
              <w:rPr>
                <w:rFonts w:asciiTheme="majorHAnsi" w:hAnsiTheme="majorHAnsi" w:cstheme="majorHAnsi"/>
                <w:sz w:val="22"/>
                <w:szCs w:val="22"/>
              </w:rPr>
              <w:t>/</w:t>
            </w:r>
            <w:r w:rsidRPr="00AD5317">
              <w:rPr>
                <w:rFonts w:asciiTheme="majorHAnsi" w:hAnsiTheme="majorHAnsi" w:cstheme="majorHAnsi"/>
                <w:sz w:val="22"/>
                <w:szCs w:val="22"/>
              </w:rPr>
              <w:t xml:space="preserve"> feuille de route</w:t>
            </w:r>
            <w:r w:rsidRPr="00623856">
              <w:rPr>
                <w:rFonts w:asciiTheme="majorHAnsi" w:hAnsiTheme="majorHAnsi" w:cstheme="majorHAnsi"/>
                <w:sz w:val="22"/>
                <w:szCs w:val="22"/>
              </w:rPr>
              <w:t xml:space="preserve"> de la </w:t>
            </w:r>
            <w:r>
              <w:rPr>
                <w:rFonts w:asciiTheme="majorHAnsi" w:hAnsiTheme="majorHAnsi" w:cstheme="majorHAnsi"/>
                <w:sz w:val="22"/>
                <w:szCs w:val="22"/>
              </w:rPr>
              <w:t>r</w:t>
            </w:r>
            <w:r w:rsidRPr="00623856">
              <w:rPr>
                <w:rFonts w:asciiTheme="majorHAnsi" w:hAnsiTheme="majorHAnsi" w:cstheme="majorHAnsi"/>
                <w:sz w:val="22"/>
                <w:szCs w:val="22"/>
              </w:rPr>
              <w:t>églementation</w:t>
            </w:r>
          </w:p>
          <w:p w14:paraId="2FEDAA70" w14:textId="56D02B07" w:rsidR="00AD5317" w:rsidRPr="00AD5317" w:rsidRDefault="00623856" w:rsidP="008F0DC8">
            <w:pPr>
              <w:rPr>
                <w:rFonts w:asciiTheme="majorHAnsi" w:hAnsiTheme="majorHAnsi" w:cstheme="majorHAnsi"/>
                <w:sz w:val="22"/>
                <w:szCs w:val="22"/>
              </w:rPr>
            </w:pPr>
            <w:r>
              <w:rPr>
                <w:rFonts w:asciiTheme="majorHAnsi" w:hAnsiTheme="majorHAnsi" w:cstheme="majorHAnsi"/>
                <w:sz w:val="22"/>
                <w:szCs w:val="22"/>
              </w:rPr>
              <w:t>d</w:t>
            </w:r>
            <w:r w:rsidRPr="00623856">
              <w:rPr>
                <w:rFonts w:asciiTheme="majorHAnsi" w:hAnsiTheme="majorHAnsi" w:cstheme="majorHAnsi"/>
                <w:sz w:val="22"/>
                <w:szCs w:val="22"/>
              </w:rPr>
              <w:t xml:space="preserve">e la </w:t>
            </w:r>
            <w:r>
              <w:rPr>
                <w:rFonts w:asciiTheme="majorHAnsi" w:hAnsiTheme="majorHAnsi" w:cstheme="majorHAnsi"/>
                <w:sz w:val="22"/>
                <w:szCs w:val="22"/>
              </w:rPr>
              <w:t>d</w:t>
            </w:r>
            <w:r w:rsidRPr="00623856">
              <w:rPr>
                <w:rFonts w:asciiTheme="majorHAnsi" w:hAnsiTheme="majorHAnsi" w:cstheme="majorHAnsi"/>
                <w:sz w:val="22"/>
                <w:szCs w:val="22"/>
              </w:rPr>
              <w:t>istribution de GPL</w:t>
            </w:r>
            <w:r w:rsidRPr="00AD5317">
              <w:rPr>
                <w:rFonts w:asciiTheme="majorHAnsi" w:hAnsiTheme="majorHAnsi" w:cstheme="majorHAnsi"/>
                <w:sz w:val="22"/>
                <w:szCs w:val="22"/>
              </w:rPr>
              <w:t xml:space="preserve"> </w:t>
            </w:r>
          </w:p>
          <w:p w14:paraId="4BB0535E"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 xml:space="preserve">Compte rendu de réunions </w:t>
            </w:r>
          </w:p>
          <w:p w14:paraId="467B1E55" w14:textId="77777777" w:rsidR="00AD5317" w:rsidRPr="00AD5317" w:rsidRDefault="00AD5317" w:rsidP="008F0DC8">
            <w:pPr>
              <w:rPr>
                <w:rFonts w:asciiTheme="majorHAnsi" w:eastAsia="Times New Roman" w:hAnsiTheme="majorHAnsi" w:cstheme="majorHAnsi"/>
                <w:sz w:val="22"/>
                <w:szCs w:val="22"/>
              </w:rPr>
            </w:pPr>
          </w:p>
        </w:tc>
        <w:tc>
          <w:tcPr>
            <w:tcW w:w="2344" w:type="dxa"/>
          </w:tcPr>
          <w:p w14:paraId="7C476CE8" w14:textId="6BA64B9F" w:rsidR="00AD5317" w:rsidRPr="00AD5317" w:rsidRDefault="00194DB6" w:rsidP="008F0DC8">
            <w:pPr>
              <w:rPr>
                <w:rFonts w:asciiTheme="majorHAnsi" w:eastAsia="Times New Roman" w:hAnsiTheme="majorHAnsi" w:cstheme="majorHAnsi"/>
                <w:sz w:val="22"/>
                <w:szCs w:val="22"/>
              </w:rPr>
            </w:pPr>
            <w:r>
              <w:rPr>
                <w:rFonts w:asciiTheme="majorHAnsi" w:hAnsiTheme="majorHAnsi" w:cstheme="majorHAnsi"/>
                <w:sz w:val="22"/>
                <w:szCs w:val="22"/>
              </w:rPr>
              <w:t>La mobilisation des partenaires et marketeur a pris du temps. Cette ac</w:t>
            </w:r>
            <w:r w:rsidR="00AD5317" w:rsidRPr="00AD5317">
              <w:rPr>
                <w:rFonts w:asciiTheme="majorHAnsi" w:hAnsiTheme="majorHAnsi" w:cstheme="majorHAnsi"/>
                <w:sz w:val="22"/>
                <w:szCs w:val="22"/>
              </w:rPr>
              <w:t xml:space="preserve">tivité </w:t>
            </w:r>
            <w:r>
              <w:rPr>
                <w:rFonts w:asciiTheme="majorHAnsi" w:hAnsiTheme="majorHAnsi" w:cstheme="majorHAnsi"/>
                <w:sz w:val="22"/>
                <w:szCs w:val="22"/>
              </w:rPr>
              <w:t>sera complétée en 2021</w:t>
            </w:r>
          </w:p>
        </w:tc>
      </w:tr>
      <w:tr w:rsidR="00AD5317" w:rsidRPr="00AD5317" w14:paraId="50C73048" w14:textId="77777777" w:rsidTr="008F0DC8">
        <w:trPr>
          <w:trHeight w:val="20"/>
        </w:trPr>
        <w:tc>
          <w:tcPr>
            <w:tcW w:w="15704" w:type="dxa"/>
            <w:gridSpan w:val="10"/>
            <w:shd w:val="clear" w:color="auto" w:fill="F0EDAA"/>
            <w:vAlign w:val="center"/>
          </w:tcPr>
          <w:p w14:paraId="72480A7C"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b/>
                <w:bCs/>
                <w:sz w:val="22"/>
                <w:szCs w:val="22"/>
              </w:rPr>
              <w:t>Produit 1.5. :Une stratégie de communication multi-acteurs et multisectorielle est conçue, de manière participative pour répondre aux besoins spécifiques de chaque groupe, et est déployée</w:t>
            </w:r>
          </w:p>
        </w:tc>
      </w:tr>
      <w:tr w:rsidR="00AD5317" w:rsidRPr="00AD5317" w14:paraId="24BA01C4" w14:textId="77777777" w:rsidTr="008F0DC8">
        <w:trPr>
          <w:gridAfter w:val="1"/>
          <w:wAfter w:w="27" w:type="dxa"/>
          <w:trHeight w:val="20"/>
        </w:trPr>
        <w:tc>
          <w:tcPr>
            <w:tcW w:w="426" w:type="dxa"/>
            <w:shd w:val="clear" w:color="auto" w:fill="auto"/>
            <w:vAlign w:val="center"/>
            <w:hideMark/>
          </w:tcPr>
          <w:p w14:paraId="0494101A"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1.5.1</w:t>
            </w:r>
          </w:p>
        </w:tc>
        <w:tc>
          <w:tcPr>
            <w:tcW w:w="2201" w:type="dxa"/>
            <w:shd w:val="clear" w:color="auto" w:fill="auto"/>
            <w:vAlign w:val="center"/>
            <w:hideMark/>
          </w:tcPr>
          <w:p w14:paraId="3F3A760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Mener les compagnes nationales dans les médias pour augmenter la connaissance de la population sur les foyers améliorés et comment identifier les diverses gammes de qualité</w:t>
            </w:r>
          </w:p>
        </w:tc>
        <w:tc>
          <w:tcPr>
            <w:tcW w:w="2761" w:type="dxa"/>
            <w:gridSpan w:val="2"/>
          </w:tcPr>
          <w:p w14:paraId="40CF00C6"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color w:val="000000"/>
                <w:sz w:val="22"/>
                <w:szCs w:val="22"/>
              </w:rPr>
              <w:t>Elaboration et validation de la stratégie de communication de marketing social et de changement de comportement</w:t>
            </w:r>
          </w:p>
        </w:tc>
        <w:tc>
          <w:tcPr>
            <w:tcW w:w="2125" w:type="dxa"/>
          </w:tcPr>
          <w:p w14:paraId="605D8D0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Une stratégie et plan de communication élaborée et mise en œuvre </w:t>
            </w:r>
          </w:p>
        </w:tc>
        <w:tc>
          <w:tcPr>
            <w:tcW w:w="2552" w:type="dxa"/>
          </w:tcPr>
          <w:p w14:paraId="7FF87BB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La stratégie de communication élaborée par les TDR pour le recrutement de la firme de communication pour la mise en œuvre des activités de communication est élaborée </w:t>
            </w:r>
          </w:p>
        </w:tc>
        <w:tc>
          <w:tcPr>
            <w:tcW w:w="1140" w:type="dxa"/>
          </w:tcPr>
          <w:p w14:paraId="7AAE24F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90%</w:t>
            </w:r>
          </w:p>
        </w:tc>
        <w:tc>
          <w:tcPr>
            <w:tcW w:w="2128" w:type="dxa"/>
          </w:tcPr>
          <w:p w14:paraId="05CC2445"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Document de la stratégie de communication.</w:t>
            </w:r>
          </w:p>
          <w:p w14:paraId="03982225" w14:textId="77777777" w:rsidR="00AD5317" w:rsidRPr="00AD5317" w:rsidRDefault="00AD5317" w:rsidP="008F0DC8">
            <w:pPr>
              <w:rPr>
                <w:rFonts w:asciiTheme="majorHAnsi" w:eastAsia="Times New Roman" w:hAnsiTheme="majorHAnsi" w:cstheme="majorHAnsi"/>
                <w:sz w:val="22"/>
                <w:szCs w:val="22"/>
              </w:rPr>
            </w:pPr>
          </w:p>
        </w:tc>
        <w:tc>
          <w:tcPr>
            <w:tcW w:w="2344" w:type="dxa"/>
          </w:tcPr>
          <w:p w14:paraId="7E6285F5"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Le document est en révision pour intégrer les commentaires des parties prenantes. Le document final est attendu en ce premier trimestre 2021. </w:t>
            </w:r>
          </w:p>
        </w:tc>
      </w:tr>
      <w:tr w:rsidR="00AD5317" w:rsidRPr="00AD5317" w14:paraId="4E9B6356" w14:textId="77777777" w:rsidTr="008F0DC8">
        <w:trPr>
          <w:gridAfter w:val="1"/>
          <w:wAfter w:w="27" w:type="dxa"/>
          <w:trHeight w:val="20"/>
        </w:trPr>
        <w:tc>
          <w:tcPr>
            <w:tcW w:w="426" w:type="dxa"/>
            <w:shd w:val="clear" w:color="auto" w:fill="auto"/>
            <w:vAlign w:val="center"/>
            <w:hideMark/>
          </w:tcPr>
          <w:p w14:paraId="0EE27620"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1.5.2</w:t>
            </w:r>
          </w:p>
        </w:tc>
        <w:tc>
          <w:tcPr>
            <w:tcW w:w="2201" w:type="dxa"/>
            <w:shd w:val="clear" w:color="auto" w:fill="auto"/>
            <w:vAlign w:val="center"/>
            <w:hideMark/>
          </w:tcPr>
          <w:p w14:paraId="20DA6CC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Mener les compagnes de sensibilisation publique pour améliorer la compréhension du GPL et l’aspect de sécurité lié à leur usage</w:t>
            </w:r>
          </w:p>
        </w:tc>
        <w:tc>
          <w:tcPr>
            <w:tcW w:w="2761" w:type="dxa"/>
            <w:gridSpan w:val="2"/>
          </w:tcPr>
          <w:p w14:paraId="768B4516"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Le partenaire GLPGP contracté pour la mise en œuvre des sensibilisations sur le GPL</w:t>
            </w:r>
          </w:p>
          <w:p w14:paraId="57E64B6F" w14:textId="77777777" w:rsidR="00AD5317" w:rsidRPr="00AD5317" w:rsidRDefault="00AD5317" w:rsidP="008F0DC8">
            <w:pPr>
              <w:rPr>
                <w:rFonts w:asciiTheme="majorHAnsi" w:eastAsia="Times New Roman" w:hAnsiTheme="majorHAnsi" w:cstheme="majorHAnsi"/>
                <w:sz w:val="22"/>
                <w:szCs w:val="22"/>
              </w:rPr>
            </w:pPr>
          </w:p>
        </w:tc>
        <w:tc>
          <w:tcPr>
            <w:tcW w:w="2125" w:type="dxa"/>
          </w:tcPr>
          <w:p w14:paraId="38E8D7A3"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Une stratégie de communication sur le GPL est élaborée et mise en œuvre</w:t>
            </w:r>
          </w:p>
        </w:tc>
        <w:tc>
          <w:tcPr>
            <w:tcW w:w="2552" w:type="dxa"/>
          </w:tcPr>
          <w:p w14:paraId="57A55AC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La stratégie de communication est en cours de validation et sera mise en œuvre très bientôt.</w:t>
            </w:r>
          </w:p>
        </w:tc>
        <w:tc>
          <w:tcPr>
            <w:tcW w:w="1140" w:type="dxa"/>
          </w:tcPr>
          <w:p w14:paraId="7D98B14D"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90%</w:t>
            </w:r>
          </w:p>
        </w:tc>
        <w:tc>
          <w:tcPr>
            <w:tcW w:w="2128" w:type="dxa"/>
          </w:tcPr>
          <w:p w14:paraId="65D6C078"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Document de la stratégie de communication.</w:t>
            </w:r>
          </w:p>
        </w:tc>
        <w:tc>
          <w:tcPr>
            <w:tcW w:w="2344" w:type="dxa"/>
          </w:tcPr>
          <w:p w14:paraId="7AA2B23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La stratégie de </w:t>
            </w:r>
            <w:proofErr w:type="spellStart"/>
            <w:r w:rsidRPr="00AD5317">
              <w:rPr>
                <w:rFonts w:asciiTheme="majorHAnsi" w:hAnsiTheme="majorHAnsi" w:cstheme="majorHAnsi"/>
                <w:sz w:val="22"/>
                <w:szCs w:val="22"/>
              </w:rPr>
              <w:t>comm</w:t>
            </w:r>
            <w:proofErr w:type="spellEnd"/>
            <w:r w:rsidRPr="00AD5317">
              <w:rPr>
                <w:rFonts w:asciiTheme="majorHAnsi" w:hAnsiTheme="majorHAnsi" w:cstheme="majorHAnsi"/>
                <w:sz w:val="22"/>
                <w:szCs w:val="22"/>
              </w:rPr>
              <w:t>. intègre les activités de sensibilisation sur le GPL aussi</w:t>
            </w:r>
          </w:p>
        </w:tc>
      </w:tr>
      <w:tr w:rsidR="00AD5317" w:rsidRPr="00AD5317" w14:paraId="1113EC60" w14:textId="77777777" w:rsidTr="008F0DC8">
        <w:trPr>
          <w:trHeight w:val="20"/>
        </w:trPr>
        <w:tc>
          <w:tcPr>
            <w:tcW w:w="15704" w:type="dxa"/>
            <w:gridSpan w:val="10"/>
            <w:shd w:val="clear" w:color="auto" w:fill="D99594" w:themeFill="accent2" w:themeFillTint="99"/>
          </w:tcPr>
          <w:p w14:paraId="3A3EAA31"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b/>
                <w:bCs/>
                <w:sz w:val="22"/>
                <w:szCs w:val="22"/>
              </w:rPr>
              <w:t>Effet 2: Le marché local de la cuisson propre (énergies et foyers améliorés) est développé de manière viable et commerciale au travers d’un programme d’incubation</w:t>
            </w:r>
          </w:p>
        </w:tc>
      </w:tr>
      <w:tr w:rsidR="00AD5317" w:rsidRPr="00AD5317" w14:paraId="2C0CCD3F" w14:textId="77777777" w:rsidTr="008F0DC8">
        <w:trPr>
          <w:trHeight w:val="20"/>
        </w:trPr>
        <w:tc>
          <w:tcPr>
            <w:tcW w:w="15704" w:type="dxa"/>
            <w:gridSpan w:val="10"/>
            <w:shd w:val="clear" w:color="auto" w:fill="F0EDAA"/>
          </w:tcPr>
          <w:p w14:paraId="445FD8CB"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b/>
                <w:bCs/>
                <w:sz w:val="22"/>
                <w:szCs w:val="22"/>
              </w:rPr>
              <w:t xml:space="preserve">Produit 2.1. : Les opportunités et les besoins dans le secteur de la cuisson propre ont été identifiés et les acteurs sélectionnés en utilisant un processus de sélection compétitif base sur l’aptitude au marché </w:t>
            </w:r>
          </w:p>
        </w:tc>
      </w:tr>
      <w:tr w:rsidR="00AD5317" w:rsidRPr="00AD5317" w14:paraId="2AA9E638" w14:textId="77777777" w:rsidTr="008F0DC8">
        <w:trPr>
          <w:gridAfter w:val="1"/>
          <w:wAfter w:w="27" w:type="dxa"/>
          <w:trHeight w:val="20"/>
        </w:trPr>
        <w:tc>
          <w:tcPr>
            <w:tcW w:w="426" w:type="dxa"/>
            <w:shd w:val="clear" w:color="auto" w:fill="auto"/>
            <w:hideMark/>
          </w:tcPr>
          <w:p w14:paraId="022ABA2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 xml:space="preserve">2.1.1 </w:t>
            </w:r>
          </w:p>
        </w:tc>
        <w:tc>
          <w:tcPr>
            <w:tcW w:w="2201" w:type="dxa"/>
            <w:shd w:val="clear" w:color="000000" w:fill="FFFFFF"/>
            <w:hideMark/>
          </w:tcPr>
          <w:p w14:paraId="3C3398CC"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Conception et opérationnalisation d'un programme d'incubation compétitif</w:t>
            </w:r>
          </w:p>
        </w:tc>
        <w:tc>
          <w:tcPr>
            <w:tcW w:w="2761" w:type="dxa"/>
            <w:gridSpan w:val="2"/>
            <w:shd w:val="clear" w:color="000000" w:fill="FFFFFF"/>
          </w:tcPr>
          <w:p w14:paraId="227999EA" w14:textId="77777777" w:rsidR="00AD5317" w:rsidRPr="00AD5317" w:rsidRDefault="00AD5317" w:rsidP="008F0DC8">
            <w:pPr>
              <w:pBdr>
                <w:top w:val="nil"/>
                <w:left w:val="nil"/>
                <w:bottom w:val="nil"/>
                <w:right w:val="nil"/>
                <w:between w:val="nil"/>
              </w:pBdr>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2 séances d’incubation ont été réalisées pour présenter les résultats des analyses des capacités des acteurs et tests de cuisson contrôlée des foyers fabriqués et/ou utilisés en RDC et discuter le plan de renforcement de capacité pour améliorer l’industrie de la cuisson propre en RDC. </w:t>
            </w:r>
          </w:p>
          <w:p w14:paraId="2E125B49" w14:textId="77777777" w:rsidR="00AD5317" w:rsidRPr="00AD5317" w:rsidRDefault="00AD5317" w:rsidP="008F0DC8">
            <w:pPr>
              <w:pBdr>
                <w:top w:val="nil"/>
                <w:left w:val="nil"/>
                <w:bottom w:val="nil"/>
                <w:right w:val="nil"/>
                <w:between w:val="nil"/>
              </w:pBdr>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Des séances de travail directes et en ligne ont été organisées avec des partenaires techniques et financiers tels que ELAN RDC/ UKAID, ESSOR/UKAID, PAOP/USAID, CARPE/USAID, GIZ, PIF/Banque Mondiale, WWF/USAID pour présenter le Programme Energie/FONAREDD et explorer les points de collaboration et synergie. </w:t>
            </w:r>
          </w:p>
          <w:p w14:paraId="1144B89E"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color w:val="000000"/>
                <w:sz w:val="22"/>
                <w:szCs w:val="22"/>
              </w:rPr>
              <w:t xml:space="preserve">Intégration de la cuisson propre dans la riposte COVID-19 du SNU (Système de Nations Unies) et intégré dans le Fonds de défi et Incubation </w:t>
            </w:r>
          </w:p>
        </w:tc>
        <w:tc>
          <w:tcPr>
            <w:tcW w:w="2125" w:type="dxa"/>
            <w:shd w:val="clear" w:color="000000" w:fill="FFFFFF"/>
          </w:tcPr>
          <w:p w14:paraId="146B489D" w14:textId="77777777" w:rsidR="00AD5317" w:rsidRPr="00AD5317" w:rsidRDefault="00AD5317" w:rsidP="008F0DC8">
            <w:pPr>
              <w:numPr>
                <w:ilvl w:val="0"/>
                <w:numId w:val="3"/>
              </w:numPr>
              <w:pBdr>
                <w:top w:val="nil"/>
                <w:left w:val="nil"/>
                <w:bottom w:val="nil"/>
                <w:right w:val="nil"/>
                <w:between w:val="nil"/>
              </w:pBdr>
              <w:spacing w:after="0" w:line="240" w:lineRule="auto"/>
              <w:ind w:left="32" w:hanging="76"/>
              <w:rPr>
                <w:rFonts w:asciiTheme="majorHAnsi" w:hAnsiTheme="majorHAnsi" w:cstheme="majorHAnsi"/>
                <w:color w:val="000000"/>
                <w:sz w:val="22"/>
                <w:szCs w:val="22"/>
              </w:rPr>
            </w:pPr>
            <w:r w:rsidRPr="00AD5317">
              <w:rPr>
                <w:rFonts w:asciiTheme="majorHAnsi" w:hAnsiTheme="majorHAnsi" w:cstheme="majorHAnsi"/>
                <w:sz w:val="22"/>
                <w:szCs w:val="22"/>
              </w:rPr>
              <w:t xml:space="preserve"> </w:t>
            </w:r>
            <w:r w:rsidRPr="00AD5317">
              <w:rPr>
                <w:rFonts w:asciiTheme="majorHAnsi" w:hAnsiTheme="majorHAnsi" w:cstheme="majorHAnsi"/>
                <w:color w:val="000000"/>
                <w:sz w:val="22"/>
                <w:szCs w:val="22"/>
              </w:rPr>
              <w:t>Mise en place d'un mécanisme d'incubation</w:t>
            </w:r>
          </w:p>
          <w:p w14:paraId="72CD5FE3" w14:textId="77777777" w:rsidR="00AD5317" w:rsidRPr="00AD5317" w:rsidRDefault="00AD5317" w:rsidP="008F0DC8">
            <w:pPr>
              <w:numPr>
                <w:ilvl w:val="0"/>
                <w:numId w:val="3"/>
              </w:numPr>
              <w:pBdr>
                <w:top w:val="nil"/>
                <w:left w:val="nil"/>
                <w:bottom w:val="nil"/>
                <w:right w:val="nil"/>
                <w:between w:val="nil"/>
              </w:pBdr>
              <w:spacing w:after="0" w:line="240" w:lineRule="auto"/>
              <w:ind w:left="32" w:hanging="76"/>
              <w:rPr>
                <w:rFonts w:asciiTheme="majorHAnsi" w:hAnsiTheme="majorHAnsi" w:cstheme="majorHAnsi"/>
                <w:color w:val="000000"/>
                <w:sz w:val="22"/>
                <w:szCs w:val="22"/>
              </w:rPr>
            </w:pPr>
            <w:r w:rsidRPr="00AD5317">
              <w:rPr>
                <w:rFonts w:asciiTheme="majorHAnsi" w:hAnsiTheme="majorHAnsi" w:cstheme="majorHAnsi"/>
                <w:color w:val="000000"/>
                <w:sz w:val="22"/>
                <w:szCs w:val="22"/>
              </w:rPr>
              <w:t>Les besoins des entreprises identifiées pour mieux calibrer le fonds à leurs besoins</w:t>
            </w:r>
            <w:r w:rsidRPr="00AD5317">
              <w:rPr>
                <w:rFonts w:asciiTheme="majorHAnsi" w:hAnsiTheme="majorHAnsi" w:cstheme="majorHAnsi"/>
                <w:sz w:val="22"/>
                <w:szCs w:val="22"/>
              </w:rPr>
              <w:t xml:space="preserve"> </w:t>
            </w:r>
            <w:r w:rsidRPr="00AD5317">
              <w:rPr>
                <w:rFonts w:asciiTheme="majorHAnsi" w:hAnsiTheme="majorHAnsi" w:cstheme="majorHAnsi"/>
                <w:color w:val="000000"/>
                <w:sz w:val="22"/>
                <w:szCs w:val="22"/>
              </w:rPr>
              <w:t xml:space="preserve"> </w:t>
            </w:r>
          </w:p>
          <w:p w14:paraId="4BE471CA" w14:textId="77777777" w:rsidR="00AD5317" w:rsidRPr="00AD5317" w:rsidRDefault="00AD5317" w:rsidP="008F0DC8">
            <w:pPr>
              <w:ind w:left="10" w:firstLine="0"/>
              <w:rPr>
                <w:rFonts w:asciiTheme="majorHAnsi" w:hAnsiTheme="majorHAnsi" w:cstheme="majorHAnsi"/>
                <w:sz w:val="22"/>
                <w:szCs w:val="22"/>
              </w:rPr>
            </w:pPr>
          </w:p>
          <w:p w14:paraId="15EE22A2" w14:textId="77777777" w:rsidR="00AD5317" w:rsidRPr="00AD5317" w:rsidRDefault="00AD5317" w:rsidP="008F0DC8">
            <w:pPr>
              <w:rPr>
                <w:rFonts w:asciiTheme="majorHAnsi" w:eastAsia="Times New Roman" w:hAnsiTheme="majorHAnsi" w:cstheme="majorHAnsi"/>
                <w:sz w:val="22"/>
                <w:szCs w:val="22"/>
              </w:rPr>
            </w:pPr>
          </w:p>
        </w:tc>
        <w:tc>
          <w:tcPr>
            <w:tcW w:w="2552" w:type="dxa"/>
            <w:shd w:val="clear" w:color="000000" w:fill="FFFFFF"/>
          </w:tcPr>
          <w:p w14:paraId="6BB368EE" w14:textId="77777777" w:rsidR="00AD5317" w:rsidRPr="00AD5317" w:rsidRDefault="00AD5317" w:rsidP="008F0DC8">
            <w:pPr>
              <w:numPr>
                <w:ilvl w:val="0"/>
                <w:numId w:val="3"/>
              </w:numPr>
              <w:pBdr>
                <w:top w:val="nil"/>
                <w:left w:val="nil"/>
                <w:bottom w:val="nil"/>
                <w:right w:val="nil"/>
                <w:between w:val="nil"/>
              </w:pBdr>
              <w:spacing w:after="0" w:line="240" w:lineRule="auto"/>
              <w:ind w:left="32" w:hanging="76"/>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Mécanisme </w:t>
            </w:r>
            <w:r w:rsidRPr="00AD5317">
              <w:rPr>
                <w:rFonts w:asciiTheme="majorHAnsi" w:hAnsiTheme="majorHAnsi" w:cstheme="majorHAnsi"/>
                <w:sz w:val="22"/>
                <w:szCs w:val="22"/>
              </w:rPr>
              <w:t>d'incitation</w:t>
            </w:r>
            <w:r w:rsidRPr="00AD5317">
              <w:rPr>
                <w:rFonts w:asciiTheme="majorHAnsi" w:hAnsiTheme="majorHAnsi" w:cstheme="majorHAnsi"/>
                <w:color w:val="000000"/>
                <w:sz w:val="22"/>
                <w:szCs w:val="22"/>
              </w:rPr>
              <w:t xml:space="preserve"> mis en place</w:t>
            </w:r>
          </w:p>
          <w:p w14:paraId="5CCD689F" w14:textId="77777777" w:rsidR="00AD5317" w:rsidRPr="00AD5317" w:rsidRDefault="00AD5317" w:rsidP="008F0DC8">
            <w:pPr>
              <w:numPr>
                <w:ilvl w:val="0"/>
                <w:numId w:val="3"/>
              </w:numPr>
              <w:pBdr>
                <w:top w:val="nil"/>
                <w:left w:val="nil"/>
                <w:bottom w:val="nil"/>
                <w:right w:val="nil"/>
                <w:between w:val="nil"/>
              </w:pBdr>
              <w:spacing w:after="0" w:line="240" w:lineRule="auto"/>
              <w:ind w:left="32" w:hanging="76"/>
              <w:rPr>
                <w:rFonts w:asciiTheme="majorHAnsi" w:hAnsiTheme="majorHAnsi" w:cstheme="majorHAnsi"/>
                <w:color w:val="000000"/>
                <w:sz w:val="22"/>
                <w:szCs w:val="22"/>
              </w:rPr>
            </w:pPr>
            <w:r w:rsidRPr="00AD5317">
              <w:rPr>
                <w:rFonts w:asciiTheme="majorHAnsi" w:hAnsiTheme="majorHAnsi" w:cstheme="majorHAnsi"/>
                <w:color w:val="000000"/>
                <w:sz w:val="22"/>
                <w:szCs w:val="22"/>
              </w:rPr>
              <w:t>Les points de collaboration et de synergies avec les acteurs intervenants dans les différentes villes ciblées ont été identifiés à travers des séances de travail…</w:t>
            </w:r>
          </w:p>
          <w:p w14:paraId="4F3386D5"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L’appel à manifestation d’intérêt au fonds de défis a été lancé le 25 juin 2020 </w:t>
            </w:r>
          </w:p>
        </w:tc>
        <w:tc>
          <w:tcPr>
            <w:tcW w:w="1140" w:type="dxa"/>
            <w:shd w:val="clear" w:color="000000" w:fill="FFFFFF"/>
          </w:tcPr>
          <w:p w14:paraId="06C888E0"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100%</w:t>
            </w:r>
          </w:p>
        </w:tc>
        <w:tc>
          <w:tcPr>
            <w:tcW w:w="2128" w:type="dxa"/>
            <w:shd w:val="clear" w:color="000000" w:fill="FFFFFF"/>
          </w:tcPr>
          <w:p w14:paraId="5637B7A4" w14:textId="77777777" w:rsidR="00AD5317" w:rsidRPr="00AD5317" w:rsidRDefault="00AD5317" w:rsidP="008F0DC8">
            <w:pPr>
              <w:rPr>
                <w:rFonts w:asciiTheme="majorHAnsi" w:hAnsiTheme="majorHAnsi" w:cstheme="majorHAnsi"/>
                <w:sz w:val="22"/>
                <w:szCs w:val="22"/>
              </w:rPr>
            </w:pPr>
          </w:p>
          <w:p w14:paraId="328CE63F" w14:textId="77777777" w:rsidR="00AD5317" w:rsidRPr="00AD5317" w:rsidRDefault="00AD5317" w:rsidP="008F0DC8">
            <w:pPr>
              <w:rPr>
                <w:rFonts w:asciiTheme="majorHAnsi" w:hAnsiTheme="majorHAnsi" w:cstheme="majorHAnsi"/>
                <w:sz w:val="22"/>
                <w:szCs w:val="22"/>
              </w:rPr>
            </w:pPr>
          </w:p>
          <w:p w14:paraId="6269C64B" w14:textId="77777777" w:rsidR="00AD5317" w:rsidRPr="00AD5317" w:rsidRDefault="007107DE" w:rsidP="008F0DC8">
            <w:pPr>
              <w:rPr>
                <w:rFonts w:asciiTheme="majorHAnsi" w:hAnsiTheme="majorHAnsi" w:cstheme="majorHAnsi"/>
                <w:sz w:val="22"/>
                <w:szCs w:val="22"/>
              </w:rPr>
            </w:pPr>
            <w:hyperlink r:id="rId23">
              <w:r w:rsidR="00AD5317" w:rsidRPr="00AD5317">
                <w:rPr>
                  <w:rFonts w:asciiTheme="majorHAnsi" w:hAnsiTheme="majorHAnsi" w:cstheme="majorHAnsi"/>
                  <w:color w:val="0563C1"/>
                  <w:sz w:val="22"/>
                  <w:szCs w:val="22"/>
                  <w:u w:val="single"/>
                </w:rPr>
                <w:t>Documents du Fonds de défis et Incubation</w:t>
              </w:r>
            </w:hyperlink>
            <w:r w:rsidR="00AD5317" w:rsidRPr="00AD5317">
              <w:rPr>
                <w:rFonts w:asciiTheme="majorHAnsi" w:hAnsiTheme="majorHAnsi" w:cstheme="majorHAnsi"/>
                <w:sz w:val="22"/>
                <w:szCs w:val="22"/>
              </w:rPr>
              <w:t xml:space="preserve"> </w:t>
            </w:r>
          </w:p>
          <w:p w14:paraId="0EE9090F" w14:textId="77777777" w:rsidR="00AD5317" w:rsidRPr="00AD5317" w:rsidRDefault="00AD5317" w:rsidP="008F0DC8">
            <w:pPr>
              <w:ind w:left="0" w:firstLine="0"/>
              <w:rPr>
                <w:rFonts w:asciiTheme="majorHAnsi" w:hAnsiTheme="majorHAnsi" w:cstheme="majorHAnsi"/>
                <w:sz w:val="22"/>
                <w:szCs w:val="22"/>
              </w:rPr>
            </w:pPr>
          </w:p>
          <w:p w14:paraId="1D0D47D0"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Rapport de réception des candidatures pour le fonds de défis.</w:t>
            </w:r>
          </w:p>
          <w:p w14:paraId="2188B55B" w14:textId="77777777" w:rsidR="00AD5317" w:rsidRPr="00AD5317" w:rsidRDefault="00AD5317" w:rsidP="008F0DC8">
            <w:pPr>
              <w:rPr>
                <w:rFonts w:asciiTheme="majorHAnsi" w:eastAsia="Times New Roman" w:hAnsiTheme="majorHAnsi" w:cstheme="majorHAnsi"/>
                <w:sz w:val="22"/>
                <w:szCs w:val="22"/>
              </w:rPr>
            </w:pPr>
          </w:p>
        </w:tc>
        <w:tc>
          <w:tcPr>
            <w:tcW w:w="2344" w:type="dxa"/>
            <w:shd w:val="clear" w:color="000000" w:fill="FFFFFF"/>
          </w:tcPr>
          <w:p w14:paraId="14A21FC8"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Le comité d’investissement a été formalisé au mois de septembre 2020.</w:t>
            </w:r>
          </w:p>
        </w:tc>
      </w:tr>
      <w:tr w:rsidR="00AD5317" w:rsidRPr="00AD5317" w14:paraId="6AB699F9" w14:textId="77777777" w:rsidTr="008F0DC8">
        <w:trPr>
          <w:gridAfter w:val="1"/>
          <w:wAfter w:w="27" w:type="dxa"/>
          <w:trHeight w:val="20"/>
        </w:trPr>
        <w:tc>
          <w:tcPr>
            <w:tcW w:w="426" w:type="dxa"/>
            <w:shd w:val="clear" w:color="auto" w:fill="auto"/>
            <w:hideMark/>
          </w:tcPr>
          <w:p w14:paraId="52F1AC6A"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2.1.2</w:t>
            </w:r>
          </w:p>
        </w:tc>
        <w:tc>
          <w:tcPr>
            <w:tcW w:w="2201" w:type="dxa"/>
            <w:shd w:val="clear" w:color="auto" w:fill="auto"/>
            <w:hideMark/>
          </w:tcPr>
          <w:p w14:paraId="1C702F95"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 xml:space="preserve">Sélection des compagnies de cuisson propre les plus prometteuses au travers du programme d'incubation compétitif </w:t>
            </w:r>
          </w:p>
        </w:tc>
        <w:tc>
          <w:tcPr>
            <w:tcW w:w="2761" w:type="dxa"/>
            <w:gridSpan w:val="2"/>
          </w:tcPr>
          <w:p w14:paraId="16DE2F23" w14:textId="77777777" w:rsidR="00AD5317" w:rsidRPr="00AD5317" w:rsidRDefault="00AD5317" w:rsidP="008F0DC8">
            <w:pPr>
              <w:pBdr>
                <w:top w:val="nil"/>
                <w:left w:val="nil"/>
                <w:bottom w:val="nil"/>
                <w:right w:val="nil"/>
                <w:between w:val="nil"/>
              </w:pBdr>
              <w:spacing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Réception de </w:t>
            </w:r>
            <w:r w:rsidRPr="00AD5317">
              <w:rPr>
                <w:rFonts w:asciiTheme="majorHAnsi" w:hAnsiTheme="majorHAnsi" w:cstheme="majorHAnsi"/>
                <w:sz w:val="22"/>
                <w:szCs w:val="22"/>
              </w:rPr>
              <w:t>122 candidatures.</w:t>
            </w:r>
          </w:p>
          <w:p w14:paraId="64C31A8B" w14:textId="77777777" w:rsidR="00AD5317" w:rsidRPr="00AD5317" w:rsidRDefault="00AD5317" w:rsidP="008F0DC8">
            <w:pPr>
              <w:pBdr>
                <w:top w:val="nil"/>
                <w:left w:val="nil"/>
                <w:bottom w:val="nil"/>
                <w:right w:val="nil"/>
                <w:between w:val="nil"/>
              </w:pBdr>
              <w:spacing w:after="0" w:line="240" w:lineRule="auto"/>
              <w:rPr>
                <w:rFonts w:asciiTheme="majorHAnsi" w:hAnsiTheme="majorHAnsi" w:cstheme="majorHAnsi"/>
                <w:color w:val="000000"/>
                <w:sz w:val="22"/>
                <w:szCs w:val="22"/>
              </w:rPr>
            </w:pPr>
            <w:r w:rsidRPr="00AD5317">
              <w:rPr>
                <w:rFonts w:asciiTheme="majorHAnsi" w:hAnsiTheme="majorHAnsi" w:cstheme="majorHAnsi"/>
                <w:sz w:val="22"/>
                <w:szCs w:val="22"/>
              </w:rPr>
              <w:t xml:space="preserve">Etablissement officiel d’un comité d’investissement </w:t>
            </w:r>
          </w:p>
          <w:p w14:paraId="2BDE359E" w14:textId="77777777" w:rsidR="00AD5317" w:rsidRPr="00AD5317" w:rsidRDefault="00AD5317" w:rsidP="008F0DC8">
            <w:pPr>
              <w:pBdr>
                <w:top w:val="nil"/>
                <w:left w:val="nil"/>
                <w:bottom w:val="nil"/>
                <w:right w:val="nil"/>
                <w:between w:val="nil"/>
              </w:pBdr>
              <w:spacing w:after="0" w:line="240" w:lineRule="auto"/>
              <w:rPr>
                <w:rFonts w:asciiTheme="majorHAnsi" w:hAnsiTheme="majorHAnsi" w:cstheme="majorHAnsi"/>
                <w:color w:val="000000"/>
                <w:sz w:val="22"/>
                <w:szCs w:val="22"/>
              </w:rPr>
            </w:pPr>
            <w:r w:rsidRPr="00AD5317">
              <w:rPr>
                <w:rFonts w:asciiTheme="majorHAnsi" w:hAnsiTheme="majorHAnsi" w:cstheme="majorHAnsi"/>
                <w:sz w:val="22"/>
                <w:szCs w:val="22"/>
              </w:rPr>
              <w:t xml:space="preserve">Examen </w:t>
            </w:r>
            <w:r w:rsidRPr="00AD5317">
              <w:rPr>
                <w:rFonts w:asciiTheme="majorHAnsi" w:hAnsiTheme="majorHAnsi" w:cstheme="majorHAnsi"/>
                <w:color w:val="000000"/>
                <w:sz w:val="22"/>
                <w:szCs w:val="22"/>
              </w:rPr>
              <w:t xml:space="preserve">de </w:t>
            </w:r>
            <w:r w:rsidRPr="00AD5317">
              <w:rPr>
                <w:rFonts w:asciiTheme="majorHAnsi" w:hAnsiTheme="majorHAnsi" w:cstheme="majorHAnsi"/>
                <w:sz w:val="22"/>
                <w:szCs w:val="22"/>
              </w:rPr>
              <w:t>tous les dossiers de candidature (par l'équipe de gestion du fonds, Examen de la proposition et de la diligence raisonnable par le Comité d’investissement).</w:t>
            </w:r>
          </w:p>
          <w:p w14:paraId="06BBB030" w14:textId="77777777" w:rsidR="00AD5317" w:rsidRPr="00AD5317" w:rsidRDefault="00AD5317" w:rsidP="008F0DC8">
            <w:pPr>
              <w:pBdr>
                <w:top w:val="nil"/>
                <w:left w:val="nil"/>
                <w:bottom w:val="nil"/>
                <w:right w:val="nil"/>
                <w:between w:val="nil"/>
              </w:pBdr>
              <w:spacing w:after="0" w:line="240" w:lineRule="auto"/>
              <w:rPr>
                <w:rFonts w:asciiTheme="majorHAnsi" w:hAnsiTheme="majorHAnsi" w:cstheme="majorHAnsi"/>
                <w:sz w:val="22"/>
                <w:szCs w:val="22"/>
              </w:rPr>
            </w:pPr>
            <w:r w:rsidRPr="00AD5317">
              <w:rPr>
                <w:rFonts w:asciiTheme="majorHAnsi" w:hAnsiTheme="majorHAnsi" w:cstheme="majorHAnsi"/>
                <w:sz w:val="22"/>
                <w:szCs w:val="22"/>
              </w:rPr>
              <w:t>Réunion du Comité d’Investissement pour les propositions complètes;</w:t>
            </w:r>
          </w:p>
          <w:p w14:paraId="6962E758"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Approbation par le Conseil d'administration Mondial de UNCDF.</w:t>
            </w:r>
          </w:p>
        </w:tc>
        <w:tc>
          <w:tcPr>
            <w:tcW w:w="2125" w:type="dxa"/>
          </w:tcPr>
          <w:p w14:paraId="125206DE"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 xml:space="preserve"> 30 entreprises sont évaluées, 4 sessions de formation organisées pour elles, pour pouvoir sélectionner entre 6 et 10 entreprises</w:t>
            </w:r>
          </w:p>
          <w:p w14:paraId="6FDE3BB3" w14:textId="77777777" w:rsidR="00AD5317" w:rsidRPr="00AD5317" w:rsidRDefault="00AD5317" w:rsidP="008F0DC8">
            <w:pPr>
              <w:rPr>
                <w:rFonts w:asciiTheme="majorHAnsi" w:eastAsia="Times New Roman" w:hAnsiTheme="majorHAnsi" w:cstheme="majorHAnsi"/>
                <w:sz w:val="22"/>
                <w:szCs w:val="22"/>
              </w:rPr>
            </w:pPr>
          </w:p>
        </w:tc>
        <w:tc>
          <w:tcPr>
            <w:tcW w:w="2552" w:type="dxa"/>
          </w:tcPr>
          <w:p w14:paraId="3BA5460D"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122 entreprises ont soumis leurs plans d’affaire au fonds de défi</w:t>
            </w:r>
          </w:p>
          <w:p w14:paraId="4E7D3CA9" w14:textId="77777777" w:rsidR="00AD5317" w:rsidRPr="00AD5317" w:rsidRDefault="00AD5317" w:rsidP="008F0DC8">
            <w:pPr>
              <w:ind w:left="80" w:right="0" w:hanging="40"/>
              <w:rPr>
                <w:rFonts w:asciiTheme="majorHAnsi" w:hAnsiTheme="majorHAnsi" w:cstheme="majorHAnsi"/>
                <w:sz w:val="22"/>
                <w:szCs w:val="22"/>
              </w:rPr>
            </w:pPr>
            <w:r w:rsidRPr="00AD5317">
              <w:rPr>
                <w:rFonts w:asciiTheme="majorHAnsi" w:hAnsiTheme="majorHAnsi" w:cstheme="majorHAnsi"/>
                <w:sz w:val="22"/>
                <w:szCs w:val="22"/>
              </w:rPr>
              <w:t>44 ont été évaluées, dont 14 furent proposés pour délibération au Comité d’Investissement et 6 ont été approuvées et recommandées pour négociation de contrat pour le premier lot de Fonds de défi</w:t>
            </w:r>
          </w:p>
          <w:p w14:paraId="358CF45D" w14:textId="77777777" w:rsidR="00AD5317" w:rsidRPr="00AD5317" w:rsidRDefault="00AD5317" w:rsidP="008F0DC8">
            <w:pPr>
              <w:ind w:left="80" w:right="0" w:hanging="40"/>
              <w:rPr>
                <w:rFonts w:asciiTheme="majorHAnsi" w:hAnsiTheme="majorHAnsi" w:cstheme="majorHAnsi"/>
                <w:sz w:val="22"/>
                <w:szCs w:val="22"/>
              </w:rPr>
            </w:pPr>
            <w:r w:rsidRPr="00AD5317">
              <w:rPr>
                <w:rFonts w:asciiTheme="majorHAnsi" w:hAnsiTheme="majorHAnsi" w:cstheme="majorHAnsi"/>
                <w:sz w:val="22"/>
                <w:szCs w:val="22"/>
              </w:rPr>
              <w:t xml:space="preserve">3O entreprises sont sélectionnées pour réexamen pour le deuxième lot de Fonds de défi </w:t>
            </w:r>
          </w:p>
          <w:p w14:paraId="7B876CDF" w14:textId="77777777" w:rsidR="00AD5317" w:rsidRPr="00AD5317" w:rsidRDefault="00AD5317" w:rsidP="008F0DC8">
            <w:pPr>
              <w:rPr>
                <w:rFonts w:asciiTheme="majorHAnsi" w:eastAsia="Times New Roman" w:hAnsiTheme="majorHAnsi" w:cstheme="majorHAnsi"/>
                <w:sz w:val="22"/>
                <w:szCs w:val="22"/>
              </w:rPr>
            </w:pPr>
          </w:p>
        </w:tc>
        <w:tc>
          <w:tcPr>
            <w:tcW w:w="1140" w:type="dxa"/>
          </w:tcPr>
          <w:p w14:paraId="1568A618"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100%</w:t>
            </w:r>
          </w:p>
        </w:tc>
        <w:tc>
          <w:tcPr>
            <w:tcW w:w="2128" w:type="dxa"/>
          </w:tcPr>
          <w:p w14:paraId="6AB89C97"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sz w:val="22"/>
                <w:szCs w:val="22"/>
              </w:rPr>
              <w:t xml:space="preserve">Fiches de présentation des entreprises </w:t>
            </w:r>
          </w:p>
          <w:p w14:paraId="475C3DB3" w14:textId="77777777" w:rsidR="00AD5317" w:rsidRPr="00AD5317" w:rsidRDefault="00AD5317" w:rsidP="008F0DC8">
            <w:pPr>
              <w:ind w:left="0" w:right="0" w:firstLine="0"/>
              <w:rPr>
                <w:rFonts w:asciiTheme="majorHAnsi" w:hAnsiTheme="majorHAnsi" w:cstheme="majorHAnsi"/>
                <w:sz w:val="22"/>
                <w:szCs w:val="22"/>
              </w:rPr>
            </w:pPr>
            <w:r w:rsidRPr="00AD5317">
              <w:rPr>
                <w:rFonts w:asciiTheme="majorHAnsi" w:hAnsiTheme="majorHAnsi" w:cstheme="majorHAnsi"/>
                <w:sz w:val="22"/>
                <w:szCs w:val="22"/>
              </w:rPr>
              <w:t>Fiches de présentation des entreprises</w:t>
            </w:r>
          </w:p>
          <w:p w14:paraId="38B7C4A2" w14:textId="77777777" w:rsidR="00AD5317" w:rsidRPr="00AD5317" w:rsidRDefault="00AD5317" w:rsidP="008F0DC8">
            <w:pPr>
              <w:ind w:left="0" w:right="0" w:firstLine="0"/>
              <w:rPr>
                <w:rFonts w:asciiTheme="majorHAnsi" w:hAnsiTheme="majorHAnsi" w:cstheme="majorHAnsi"/>
                <w:sz w:val="22"/>
                <w:szCs w:val="22"/>
              </w:rPr>
            </w:pPr>
            <w:r w:rsidRPr="00AD5317">
              <w:rPr>
                <w:rFonts w:asciiTheme="majorHAnsi" w:hAnsiTheme="majorHAnsi" w:cstheme="majorHAnsi"/>
                <w:sz w:val="22"/>
                <w:szCs w:val="22"/>
              </w:rPr>
              <w:t>Liste des membres du Comité d’investissement</w:t>
            </w:r>
          </w:p>
          <w:p w14:paraId="7CFF5510" w14:textId="77777777" w:rsidR="00AD5317" w:rsidRPr="00AD5317" w:rsidRDefault="00AD5317" w:rsidP="008F0DC8">
            <w:pPr>
              <w:ind w:left="0" w:right="0" w:firstLine="0"/>
              <w:rPr>
                <w:rFonts w:asciiTheme="majorHAnsi" w:hAnsiTheme="majorHAnsi" w:cstheme="majorHAnsi"/>
                <w:sz w:val="22"/>
                <w:szCs w:val="22"/>
              </w:rPr>
            </w:pPr>
            <w:r w:rsidRPr="00AD5317">
              <w:rPr>
                <w:rFonts w:asciiTheme="majorHAnsi" w:hAnsiTheme="majorHAnsi" w:cstheme="majorHAnsi"/>
                <w:sz w:val="22"/>
                <w:szCs w:val="22"/>
              </w:rPr>
              <w:t>Rapport d’analyse des entreprises</w:t>
            </w:r>
          </w:p>
          <w:p w14:paraId="6A6F3B53" w14:textId="77777777" w:rsidR="00AD5317" w:rsidRPr="00AD5317" w:rsidRDefault="00AD5317" w:rsidP="008F0DC8">
            <w:pPr>
              <w:ind w:left="0" w:right="0" w:firstLine="0"/>
              <w:rPr>
                <w:rFonts w:asciiTheme="majorHAnsi" w:hAnsiTheme="majorHAnsi" w:cstheme="majorHAnsi"/>
                <w:sz w:val="22"/>
                <w:szCs w:val="22"/>
              </w:rPr>
            </w:pPr>
            <w:r w:rsidRPr="00AD5317">
              <w:rPr>
                <w:rFonts w:asciiTheme="majorHAnsi" w:hAnsiTheme="majorHAnsi" w:cstheme="majorHAnsi"/>
                <w:sz w:val="22"/>
                <w:szCs w:val="22"/>
              </w:rPr>
              <w:t>Document de Fonds de défis</w:t>
            </w:r>
          </w:p>
          <w:p w14:paraId="4843CA60" w14:textId="77777777" w:rsidR="00AD5317" w:rsidRPr="00AD5317" w:rsidRDefault="00AD5317" w:rsidP="008F0DC8">
            <w:pPr>
              <w:ind w:left="0" w:right="0" w:firstLine="0"/>
              <w:rPr>
                <w:rFonts w:asciiTheme="majorHAnsi" w:hAnsiTheme="majorHAnsi" w:cstheme="majorHAnsi"/>
                <w:sz w:val="22"/>
                <w:szCs w:val="22"/>
              </w:rPr>
            </w:pPr>
            <w:r w:rsidRPr="00AD5317">
              <w:rPr>
                <w:rFonts w:asciiTheme="majorHAnsi" w:hAnsiTheme="majorHAnsi" w:cstheme="majorHAnsi"/>
                <w:sz w:val="22"/>
                <w:szCs w:val="22"/>
              </w:rPr>
              <w:t>Rapport de vérification d’éligibilité, Rapport d’évaluation des dossiers d’entreprise</w:t>
            </w:r>
          </w:p>
          <w:p w14:paraId="6BB79BF0" w14:textId="77777777" w:rsidR="00AD5317" w:rsidRPr="00AD5317" w:rsidRDefault="00AD5317" w:rsidP="008F0DC8">
            <w:pPr>
              <w:ind w:left="0" w:right="0" w:firstLine="0"/>
              <w:rPr>
                <w:rFonts w:asciiTheme="majorHAnsi" w:hAnsiTheme="majorHAnsi" w:cstheme="majorHAnsi"/>
                <w:sz w:val="22"/>
                <w:szCs w:val="22"/>
              </w:rPr>
            </w:pPr>
            <w:r w:rsidRPr="00AD5317">
              <w:rPr>
                <w:rFonts w:asciiTheme="majorHAnsi" w:hAnsiTheme="majorHAnsi" w:cstheme="majorHAnsi"/>
                <w:sz w:val="22"/>
                <w:szCs w:val="22"/>
              </w:rPr>
              <w:t>Rapport de vérification de diligence</w:t>
            </w:r>
          </w:p>
          <w:p w14:paraId="7DE648EF" w14:textId="77777777" w:rsidR="00AD5317" w:rsidRPr="00AD5317" w:rsidRDefault="00AD5317" w:rsidP="008F0DC8">
            <w:pPr>
              <w:ind w:left="0" w:right="0" w:firstLine="0"/>
              <w:rPr>
                <w:rFonts w:asciiTheme="majorHAnsi" w:hAnsiTheme="majorHAnsi" w:cstheme="majorHAnsi"/>
                <w:sz w:val="22"/>
                <w:szCs w:val="22"/>
              </w:rPr>
            </w:pPr>
            <w:r w:rsidRPr="00AD5317">
              <w:rPr>
                <w:rFonts w:asciiTheme="majorHAnsi" w:hAnsiTheme="majorHAnsi" w:cstheme="majorHAnsi"/>
                <w:sz w:val="22"/>
                <w:szCs w:val="22"/>
              </w:rPr>
              <w:t>Rapport du Comité d’Investissement</w:t>
            </w:r>
          </w:p>
          <w:p w14:paraId="0688F7AF" w14:textId="77777777" w:rsidR="00AD5317" w:rsidRPr="00AD5317" w:rsidRDefault="00AD5317" w:rsidP="008F0DC8">
            <w:pPr>
              <w:ind w:left="0" w:right="0" w:firstLine="0"/>
              <w:rPr>
                <w:rFonts w:asciiTheme="majorHAnsi" w:hAnsiTheme="majorHAnsi" w:cstheme="majorHAnsi"/>
                <w:sz w:val="22"/>
                <w:szCs w:val="22"/>
              </w:rPr>
            </w:pPr>
            <w:r w:rsidRPr="00AD5317">
              <w:rPr>
                <w:rFonts w:asciiTheme="majorHAnsi" w:hAnsiTheme="majorHAnsi" w:cstheme="majorHAnsi"/>
                <w:sz w:val="22"/>
                <w:szCs w:val="22"/>
              </w:rPr>
              <w:t>Rapport du Comité de Pilotage</w:t>
            </w:r>
          </w:p>
          <w:p w14:paraId="4F92959E" w14:textId="77777777" w:rsidR="00AD5317" w:rsidRPr="00AD5317" w:rsidRDefault="00AD5317" w:rsidP="008F0DC8">
            <w:pPr>
              <w:ind w:left="0" w:right="0" w:firstLine="0"/>
              <w:rPr>
                <w:rFonts w:asciiTheme="majorHAnsi" w:hAnsiTheme="majorHAnsi" w:cstheme="majorHAnsi"/>
                <w:sz w:val="22"/>
                <w:szCs w:val="22"/>
              </w:rPr>
            </w:pPr>
            <w:r w:rsidRPr="00AD5317">
              <w:rPr>
                <w:rFonts w:asciiTheme="majorHAnsi" w:hAnsiTheme="majorHAnsi" w:cstheme="majorHAnsi"/>
                <w:sz w:val="22"/>
                <w:szCs w:val="22"/>
              </w:rPr>
              <w:t>Procès-verbal d’approbation des dossiers de candidature</w:t>
            </w:r>
          </w:p>
          <w:p w14:paraId="4582AC35"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Fiche synthèse des allocations financières et cibles pour le Fonds de défi </w:t>
            </w:r>
          </w:p>
        </w:tc>
        <w:tc>
          <w:tcPr>
            <w:tcW w:w="2344" w:type="dxa"/>
          </w:tcPr>
          <w:p w14:paraId="411556FA"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Sur les 122 dossiers reçus, 44 ont été jugés éligibles et sont passés à l’évaluation par l’équipe UNCDF qui a présenté 13 candidatures jugées subventionnables. Sur les 13 dossiers, 6 ont été validés par le comité d’investissement qui s’était réuni le 6 novembre passé. </w:t>
            </w:r>
          </w:p>
        </w:tc>
      </w:tr>
      <w:tr w:rsidR="00AD5317" w:rsidRPr="00AD5317" w14:paraId="53E5A3FE" w14:textId="77777777" w:rsidTr="008F0DC8">
        <w:trPr>
          <w:gridAfter w:val="1"/>
          <w:wAfter w:w="27" w:type="dxa"/>
          <w:trHeight w:val="20"/>
        </w:trPr>
        <w:tc>
          <w:tcPr>
            <w:tcW w:w="426" w:type="dxa"/>
            <w:shd w:val="clear" w:color="auto" w:fill="auto"/>
            <w:hideMark/>
          </w:tcPr>
          <w:p w14:paraId="7A3DC78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2.1.3</w:t>
            </w:r>
          </w:p>
        </w:tc>
        <w:tc>
          <w:tcPr>
            <w:tcW w:w="2201" w:type="dxa"/>
            <w:shd w:val="clear" w:color="auto" w:fill="auto"/>
            <w:hideMark/>
          </w:tcPr>
          <w:p w14:paraId="2F1CCA0F"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Elaboration d’Accords de partenariat basés sur les résultats</w:t>
            </w:r>
          </w:p>
        </w:tc>
        <w:tc>
          <w:tcPr>
            <w:tcW w:w="2761" w:type="dxa"/>
            <w:gridSpan w:val="2"/>
          </w:tcPr>
          <w:p w14:paraId="7E805B8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Préparation et lancement Fonds de défis : appel à proposition </w:t>
            </w:r>
          </w:p>
        </w:tc>
        <w:tc>
          <w:tcPr>
            <w:tcW w:w="2125" w:type="dxa"/>
          </w:tcPr>
          <w:p w14:paraId="1D43CE6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Signer entre 6 et 10 Accords de partenariat basés sur les résultats </w:t>
            </w:r>
          </w:p>
        </w:tc>
        <w:tc>
          <w:tcPr>
            <w:tcW w:w="2552" w:type="dxa"/>
          </w:tcPr>
          <w:p w14:paraId="4D519A7C" w14:textId="77777777" w:rsidR="00AD5317" w:rsidRPr="00AD5317" w:rsidRDefault="00AD5317" w:rsidP="008F0DC8">
            <w:pPr>
              <w:ind w:left="0" w:right="0" w:firstLine="0"/>
              <w:rPr>
                <w:rFonts w:asciiTheme="majorHAnsi" w:hAnsiTheme="majorHAnsi" w:cstheme="majorHAnsi"/>
                <w:sz w:val="22"/>
                <w:szCs w:val="22"/>
              </w:rPr>
            </w:pPr>
            <w:r w:rsidRPr="00AD5317">
              <w:rPr>
                <w:rFonts w:asciiTheme="majorHAnsi" w:hAnsiTheme="majorHAnsi" w:cstheme="majorHAnsi"/>
                <w:sz w:val="22"/>
                <w:szCs w:val="22"/>
              </w:rPr>
              <w:t xml:space="preserve">Signature de 5 accords de partenariat basé sur les résultats   </w:t>
            </w:r>
          </w:p>
          <w:p w14:paraId="4EA05DD0" w14:textId="77777777" w:rsidR="00AD5317" w:rsidRPr="00AD5317" w:rsidRDefault="00AD5317" w:rsidP="008F0DC8">
            <w:pPr>
              <w:ind w:left="0" w:right="0" w:firstLine="0"/>
              <w:rPr>
                <w:rFonts w:asciiTheme="majorHAnsi" w:hAnsiTheme="majorHAnsi" w:cstheme="majorHAnsi"/>
                <w:sz w:val="22"/>
                <w:szCs w:val="22"/>
              </w:rPr>
            </w:pPr>
            <w:r w:rsidRPr="00AD5317">
              <w:rPr>
                <w:rFonts w:asciiTheme="majorHAnsi" w:hAnsiTheme="majorHAnsi" w:cstheme="majorHAnsi"/>
                <w:sz w:val="22"/>
                <w:szCs w:val="22"/>
              </w:rPr>
              <w:t>Première tranche versée aux entreprises</w:t>
            </w:r>
          </w:p>
          <w:p w14:paraId="793BDB70"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Accords de partenariat pour une allocation financière du Fonds de défi de 682.000 $ et contribution des partenaires de 790.000$. Ces accords vont contribuer à la vente de 64.200 foyers améliorés à charbon de bois et briquettes, 3.000 </w:t>
            </w:r>
            <w:proofErr w:type="gramStart"/>
            <w:r w:rsidRPr="00AD5317">
              <w:rPr>
                <w:rFonts w:asciiTheme="majorHAnsi" w:hAnsiTheme="majorHAnsi" w:cstheme="majorHAnsi"/>
                <w:sz w:val="22"/>
                <w:szCs w:val="22"/>
              </w:rPr>
              <w:t>kit</w:t>
            </w:r>
            <w:proofErr w:type="gramEnd"/>
            <w:r w:rsidRPr="00AD5317">
              <w:rPr>
                <w:rFonts w:asciiTheme="majorHAnsi" w:hAnsiTheme="majorHAnsi" w:cstheme="majorHAnsi"/>
                <w:sz w:val="22"/>
                <w:szCs w:val="22"/>
              </w:rPr>
              <w:t xml:space="preserve"> de GPL, 3.500 foyers de cuisson à GPL, 1.425 tonnes de GPL et la création de 53 emplois temps pleins et 401 emplois en temps partiels en villes de Kinshasa, Lubumbashi, Goma, Bukavu</w:t>
            </w:r>
          </w:p>
        </w:tc>
        <w:tc>
          <w:tcPr>
            <w:tcW w:w="1140" w:type="dxa"/>
          </w:tcPr>
          <w:p w14:paraId="085E409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98%</w:t>
            </w:r>
          </w:p>
        </w:tc>
        <w:tc>
          <w:tcPr>
            <w:tcW w:w="2128" w:type="dxa"/>
          </w:tcPr>
          <w:p w14:paraId="22E09FB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Accords de partenariat signés par UNCDF et les 5 entreprises.  </w:t>
            </w:r>
          </w:p>
        </w:tc>
        <w:tc>
          <w:tcPr>
            <w:tcW w:w="2344" w:type="dxa"/>
          </w:tcPr>
          <w:p w14:paraId="1E5C3EE5"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hAnsiTheme="majorHAnsi" w:cstheme="majorHAnsi"/>
                <w:sz w:val="22"/>
                <w:szCs w:val="22"/>
              </w:rPr>
              <w:t>Ces accords ont été signés en décembre 2020.</w:t>
            </w:r>
          </w:p>
        </w:tc>
      </w:tr>
      <w:tr w:rsidR="00AD5317" w:rsidRPr="00AD5317" w14:paraId="11FB7B2F" w14:textId="77777777" w:rsidTr="008F0DC8">
        <w:trPr>
          <w:trHeight w:val="20"/>
        </w:trPr>
        <w:tc>
          <w:tcPr>
            <w:tcW w:w="15704" w:type="dxa"/>
            <w:gridSpan w:val="10"/>
            <w:shd w:val="clear" w:color="auto" w:fill="F0EDAA"/>
          </w:tcPr>
          <w:p w14:paraId="2BD12815"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b/>
                <w:bCs/>
                <w:sz w:val="22"/>
                <w:szCs w:val="22"/>
              </w:rPr>
              <w:t>Produit 2:2.: La viabilité du business et le marché durable des partenaires sélectionnés sont améliorés grâce aux services d’assistance technique (AT)</w:t>
            </w:r>
          </w:p>
        </w:tc>
      </w:tr>
      <w:tr w:rsidR="00AD5317" w:rsidRPr="00AD5317" w14:paraId="25D48B71" w14:textId="77777777" w:rsidTr="008F0DC8">
        <w:trPr>
          <w:gridAfter w:val="1"/>
          <w:wAfter w:w="27" w:type="dxa"/>
          <w:trHeight w:val="20"/>
        </w:trPr>
        <w:tc>
          <w:tcPr>
            <w:tcW w:w="426" w:type="dxa"/>
            <w:shd w:val="clear" w:color="auto" w:fill="auto"/>
            <w:hideMark/>
          </w:tcPr>
          <w:p w14:paraId="77B16D79"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2.2.1</w:t>
            </w:r>
          </w:p>
        </w:tc>
        <w:tc>
          <w:tcPr>
            <w:tcW w:w="2201" w:type="dxa"/>
            <w:shd w:val="clear" w:color="auto" w:fill="auto"/>
            <w:hideMark/>
          </w:tcPr>
          <w:p w14:paraId="6CC1AC05"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Apporter une assistance technique individualisée</w:t>
            </w:r>
          </w:p>
        </w:tc>
        <w:tc>
          <w:tcPr>
            <w:tcW w:w="2761" w:type="dxa"/>
            <w:gridSpan w:val="2"/>
          </w:tcPr>
          <w:p w14:paraId="5CF13FC4"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2 ateliers d’incubation réalisés en faveur de 53 entreprises </w:t>
            </w:r>
          </w:p>
          <w:p w14:paraId="2E281719"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Assistance technique individualisée apportée à 42 entreprises pour évaluation de leurs besoins et élaboration du plan de renforcement de capacité et préparation des applications au fonds de défis</w:t>
            </w:r>
          </w:p>
          <w:p w14:paraId="530AEC34"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sz w:val="22"/>
                <w:szCs w:val="22"/>
              </w:rPr>
              <w:t>Analyse des tests de cuisson contrôlé sur les foyers de DISTRICOM et BRISOL avec recommandations d’amélioration</w:t>
            </w:r>
          </w:p>
          <w:p w14:paraId="651463BA"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2 séances réalisées sur le processus d’enregistrement d’une entreprise en RDC</w:t>
            </w:r>
          </w:p>
        </w:tc>
        <w:tc>
          <w:tcPr>
            <w:tcW w:w="2125" w:type="dxa"/>
          </w:tcPr>
          <w:p w14:paraId="5A42B26E"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Assistance technique directe pour 20 entreprises (+ un atelier d'incubation pour évaluation de besoins d'entreprises)</w:t>
            </w:r>
          </w:p>
        </w:tc>
        <w:tc>
          <w:tcPr>
            <w:tcW w:w="2552" w:type="dxa"/>
          </w:tcPr>
          <w:p w14:paraId="4BC41A53" w14:textId="77777777" w:rsidR="00AD5317" w:rsidRPr="00AD5317" w:rsidRDefault="00AD5317" w:rsidP="008F0DC8">
            <w:pPr>
              <w:numPr>
                <w:ilvl w:val="0"/>
                <w:numId w:val="6"/>
              </w:numPr>
              <w:spacing w:before="40" w:after="0" w:line="240" w:lineRule="auto"/>
              <w:ind w:left="90" w:right="0" w:hanging="90"/>
              <w:rPr>
                <w:rFonts w:asciiTheme="majorHAnsi" w:hAnsiTheme="majorHAnsi" w:cstheme="majorHAnsi"/>
                <w:sz w:val="22"/>
                <w:szCs w:val="22"/>
              </w:rPr>
            </w:pPr>
            <w:r w:rsidRPr="00AD5317">
              <w:rPr>
                <w:rFonts w:asciiTheme="majorHAnsi" w:hAnsiTheme="majorHAnsi" w:cstheme="majorHAnsi"/>
                <w:sz w:val="22"/>
                <w:szCs w:val="22"/>
              </w:rPr>
              <w:t>Assistance technique directe à 42 entreprises par des séances individuelles sur les thématiques diverses (enregistrement de l’entreprise, fiscalité, modèle de distribution, paiement en crédit, préparation du plan d’affaires, demande de crédit)</w:t>
            </w:r>
          </w:p>
          <w:p w14:paraId="3D32BF5D" w14:textId="77777777" w:rsidR="00AD5317" w:rsidRPr="00AD5317" w:rsidRDefault="00AD5317" w:rsidP="008F0DC8">
            <w:pPr>
              <w:numPr>
                <w:ilvl w:val="0"/>
                <w:numId w:val="6"/>
              </w:numPr>
              <w:spacing w:before="40" w:after="0" w:line="240" w:lineRule="auto"/>
              <w:ind w:left="90" w:right="0" w:hanging="90"/>
              <w:rPr>
                <w:rFonts w:asciiTheme="majorHAnsi" w:hAnsiTheme="majorHAnsi" w:cstheme="majorHAnsi"/>
                <w:sz w:val="22"/>
                <w:szCs w:val="22"/>
              </w:rPr>
            </w:pPr>
            <w:r w:rsidRPr="00AD5317">
              <w:rPr>
                <w:rFonts w:asciiTheme="majorHAnsi" w:hAnsiTheme="majorHAnsi" w:cstheme="majorHAnsi"/>
                <w:sz w:val="22"/>
                <w:szCs w:val="22"/>
              </w:rPr>
              <w:t>2 ateliers d’incubation réalisés</w:t>
            </w:r>
          </w:p>
          <w:p w14:paraId="5EE42B20" w14:textId="77777777" w:rsidR="00AD5317" w:rsidRPr="00AD5317" w:rsidRDefault="00AD5317" w:rsidP="008F0DC8">
            <w:pPr>
              <w:numPr>
                <w:ilvl w:val="0"/>
                <w:numId w:val="6"/>
              </w:numPr>
              <w:spacing w:before="40" w:after="0" w:line="240" w:lineRule="auto"/>
              <w:ind w:left="90" w:right="0" w:hanging="90"/>
              <w:rPr>
                <w:rFonts w:asciiTheme="majorHAnsi" w:hAnsiTheme="majorHAnsi" w:cstheme="majorHAnsi"/>
                <w:sz w:val="22"/>
                <w:szCs w:val="22"/>
              </w:rPr>
            </w:pPr>
            <w:r w:rsidRPr="00AD5317">
              <w:rPr>
                <w:rFonts w:asciiTheme="majorHAnsi" w:hAnsiTheme="majorHAnsi" w:cstheme="majorHAnsi"/>
                <w:sz w:val="22"/>
                <w:szCs w:val="22"/>
              </w:rPr>
              <w:t>3 ASBL à savoir ASEC, REPROFCA et TAD, ont changé de statut et devenues « entreprise dûment enregistrée »</w:t>
            </w:r>
          </w:p>
          <w:p w14:paraId="72574A61"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5 entreprises ont amélioré la qualité de leurs foyers améliorés </w:t>
            </w:r>
          </w:p>
        </w:tc>
        <w:tc>
          <w:tcPr>
            <w:tcW w:w="1140" w:type="dxa"/>
          </w:tcPr>
          <w:p w14:paraId="19CD70B0"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80%</w:t>
            </w:r>
          </w:p>
        </w:tc>
        <w:tc>
          <w:tcPr>
            <w:tcW w:w="2128" w:type="dxa"/>
          </w:tcPr>
          <w:p w14:paraId="7968D6BE" w14:textId="77777777" w:rsidR="00AD5317" w:rsidRPr="00AD5317" w:rsidRDefault="00AD5317" w:rsidP="008F0DC8">
            <w:pPr>
              <w:numPr>
                <w:ilvl w:val="0"/>
                <w:numId w:val="3"/>
              </w:numPr>
              <w:pBdr>
                <w:top w:val="nil"/>
                <w:left w:val="nil"/>
                <w:bottom w:val="nil"/>
                <w:right w:val="nil"/>
                <w:between w:val="nil"/>
              </w:pBdr>
              <w:spacing w:before="40" w:after="0" w:line="240" w:lineRule="auto"/>
              <w:ind w:left="318" w:hanging="219"/>
              <w:rPr>
                <w:rFonts w:asciiTheme="majorHAnsi" w:hAnsiTheme="majorHAnsi" w:cstheme="majorHAnsi"/>
                <w:color w:val="000000"/>
                <w:sz w:val="22"/>
                <w:szCs w:val="22"/>
              </w:rPr>
            </w:pPr>
            <w:r w:rsidRPr="00AD5317">
              <w:rPr>
                <w:rFonts w:asciiTheme="majorHAnsi" w:hAnsiTheme="majorHAnsi" w:cstheme="majorHAnsi"/>
                <w:color w:val="000000"/>
                <w:sz w:val="22"/>
                <w:szCs w:val="22"/>
              </w:rPr>
              <w:t>Rapport de 2 ateliers d’incubation</w:t>
            </w:r>
          </w:p>
          <w:p w14:paraId="460329D0" w14:textId="77777777" w:rsidR="00AD5317" w:rsidRPr="00AD5317" w:rsidRDefault="00AD5317" w:rsidP="008F0DC8">
            <w:pPr>
              <w:numPr>
                <w:ilvl w:val="0"/>
                <w:numId w:val="3"/>
              </w:numPr>
              <w:pBdr>
                <w:top w:val="nil"/>
                <w:left w:val="nil"/>
                <w:bottom w:val="nil"/>
                <w:right w:val="nil"/>
                <w:between w:val="nil"/>
              </w:pBdr>
              <w:spacing w:before="40" w:after="0" w:line="240" w:lineRule="auto"/>
              <w:ind w:left="318" w:hanging="219"/>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Rapport des séances One To One pour assistance individualisée envers les 42 entreprises </w:t>
            </w:r>
          </w:p>
          <w:p w14:paraId="0267F4E5"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Rapport des tests de cuisson contrôlé pour les deux entreprises </w:t>
            </w:r>
          </w:p>
        </w:tc>
        <w:tc>
          <w:tcPr>
            <w:tcW w:w="2344" w:type="dxa"/>
          </w:tcPr>
          <w:p w14:paraId="692AB0FB"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L’Assistance Technique continuera au semestre prochain </w:t>
            </w:r>
          </w:p>
        </w:tc>
      </w:tr>
      <w:tr w:rsidR="00AD5317" w:rsidRPr="00AD5317" w14:paraId="220D8C54" w14:textId="77777777" w:rsidTr="008F0DC8">
        <w:trPr>
          <w:gridAfter w:val="1"/>
          <w:wAfter w:w="27" w:type="dxa"/>
          <w:trHeight w:val="20"/>
        </w:trPr>
        <w:tc>
          <w:tcPr>
            <w:tcW w:w="426" w:type="dxa"/>
            <w:shd w:val="clear" w:color="auto" w:fill="auto"/>
            <w:hideMark/>
          </w:tcPr>
          <w:p w14:paraId="65F63B00"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 xml:space="preserve">2.2.2 </w:t>
            </w:r>
          </w:p>
        </w:tc>
        <w:tc>
          <w:tcPr>
            <w:tcW w:w="2201" w:type="dxa"/>
            <w:shd w:val="clear" w:color="auto" w:fill="auto"/>
            <w:hideMark/>
          </w:tcPr>
          <w:p w14:paraId="32425DBF"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Renforcer les capacités du secteur au travers d’AT collectif et de l’Académie TERA</w:t>
            </w:r>
          </w:p>
        </w:tc>
        <w:tc>
          <w:tcPr>
            <w:tcW w:w="2761" w:type="dxa"/>
            <w:gridSpan w:val="2"/>
          </w:tcPr>
          <w:p w14:paraId="37132DB2"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Le plan de développement de l’Académie TERA a été élaboré. Les thématiques et modules de formation sont en cours de finalisation.</w:t>
            </w:r>
          </w:p>
        </w:tc>
        <w:tc>
          <w:tcPr>
            <w:tcW w:w="2125" w:type="dxa"/>
          </w:tcPr>
          <w:p w14:paraId="75CCE02D"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Assistance technique pour 15 entreprises (pour appuyer les soumissions des programmes d'incubation),</w:t>
            </w:r>
          </w:p>
        </w:tc>
        <w:tc>
          <w:tcPr>
            <w:tcW w:w="2552" w:type="dxa"/>
          </w:tcPr>
          <w:p w14:paraId="4FC1085F" w14:textId="77777777" w:rsidR="00AD5317" w:rsidRPr="00AD5317" w:rsidRDefault="00AD5317" w:rsidP="008F0DC8">
            <w:pPr>
              <w:spacing w:before="40"/>
              <w:rPr>
                <w:rFonts w:asciiTheme="majorHAnsi" w:hAnsiTheme="majorHAnsi" w:cstheme="majorHAnsi"/>
                <w:sz w:val="22"/>
                <w:szCs w:val="22"/>
              </w:rPr>
            </w:pPr>
            <w:r w:rsidRPr="00AD5317">
              <w:rPr>
                <w:rFonts w:asciiTheme="majorHAnsi" w:hAnsiTheme="majorHAnsi" w:cstheme="majorHAnsi"/>
                <w:sz w:val="22"/>
                <w:szCs w:val="22"/>
              </w:rPr>
              <w:t xml:space="preserve">Plan de l’Académie TERA disponible </w:t>
            </w:r>
          </w:p>
          <w:p w14:paraId="3B6AFF40" w14:textId="77777777" w:rsidR="00AD5317" w:rsidRPr="00AD5317" w:rsidRDefault="00AD5317" w:rsidP="008F0DC8">
            <w:pPr>
              <w:spacing w:before="40"/>
              <w:ind w:left="0" w:right="0" w:firstLine="0"/>
              <w:rPr>
                <w:rFonts w:asciiTheme="majorHAnsi" w:hAnsiTheme="majorHAnsi" w:cstheme="majorHAnsi"/>
                <w:sz w:val="22"/>
                <w:szCs w:val="22"/>
              </w:rPr>
            </w:pPr>
            <w:r w:rsidRPr="00AD5317">
              <w:rPr>
                <w:rFonts w:asciiTheme="majorHAnsi" w:hAnsiTheme="majorHAnsi" w:cstheme="majorHAnsi"/>
                <w:sz w:val="22"/>
                <w:szCs w:val="22"/>
              </w:rPr>
              <w:t>Termes de référence pour 4 séances TERA élaborés et experts en cours de recrutement</w:t>
            </w:r>
          </w:p>
          <w:p w14:paraId="12CF12D1"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Une séance d’Académie TERA sur 3 prévues a été organisée à l’intention de 26 entreprises autour de l’innovation, </w:t>
            </w:r>
          </w:p>
        </w:tc>
        <w:tc>
          <w:tcPr>
            <w:tcW w:w="1140" w:type="dxa"/>
          </w:tcPr>
          <w:p w14:paraId="2D11AA3A"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50%</w:t>
            </w:r>
          </w:p>
        </w:tc>
        <w:tc>
          <w:tcPr>
            <w:tcW w:w="2128" w:type="dxa"/>
          </w:tcPr>
          <w:p w14:paraId="19BC45CB" w14:textId="77777777" w:rsidR="00AD5317" w:rsidRPr="00AD5317" w:rsidRDefault="00AD5317" w:rsidP="008F0DC8">
            <w:pPr>
              <w:spacing w:before="40"/>
              <w:rPr>
                <w:rFonts w:asciiTheme="majorHAnsi" w:hAnsiTheme="majorHAnsi" w:cstheme="majorHAnsi"/>
                <w:sz w:val="22"/>
                <w:szCs w:val="22"/>
              </w:rPr>
            </w:pPr>
            <w:r w:rsidRPr="00AD5317">
              <w:rPr>
                <w:rFonts w:asciiTheme="majorHAnsi" w:hAnsiTheme="majorHAnsi" w:cstheme="majorHAnsi"/>
                <w:sz w:val="22"/>
                <w:szCs w:val="22"/>
              </w:rPr>
              <w:t xml:space="preserve">Plan de développement de l’Académie TERA </w:t>
            </w:r>
          </w:p>
          <w:p w14:paraId="66CE449A" w14:textId="77777777" w:rsidR="00AD5317" w:rsidRPr="00AD5317" w:rsidRDefault="00AD5317" w:rsidP="008F0DC8">
            <w:pPr>
              <w:spacing w:before="40"/>
              <w:rPr>
                <w:rFonts w:asciiTheme="majorHAnsi" w:hAnsiTheme="majorHAnsi" w:cstheme="majorHAnsi"/>
                <w:sz w:val="22"/>
                <w:szCs w:val="22"/>
              </w:rPr>
            </w:pPr>
            <w:r w:rsidRPr="00AD5317">
              <w:rPr>
                <w:rFonts w:asciiTheme="majorHAnsi" w:hAnsiTheme="majorHAnsi" w:cstheme="majorHAnsi"/>
                <w:sz w:val="22"/>
                <w:szCs w:val="22"/>
              </w:rPr>
              <w:t xml:space="preserve">Termes de référence des 4 séances Académie TERA </w:t>
            </w:r>
          </w:p>
          <w:p w14:paraId="122AA935" w14:textId="77777777" w:rsidR="00AD5317" w:rsidRPr="00AD5317" w:rsidRDefault="00AD5317" w:rsidP="008F0DC8">
            <w:pPr>
              <w:spacing w:before="40"/>
              <w:rPr>
                <w:rFonts w:asciiTheme="majorHAnsi" w:hAnsiTheme="majorHAnsi" w:cstheme="majorHAnsi"/>
                <w:sz w:val="22"/>
                <w:szCs w:val="22"/>
              </w:rPr>
            </w:pPr>
          </w:p>
          <w:p w14:paraId="09AA00E4" w14:textId="77777777" w:rsidR="00AD5317" w:rsidRPr="00AD5317" w:rsidRDefault="00AD5317" w:rsidP="008F0DC8">
            <w:pPr>
              <w:spacing w:before="40"/>
              <w:rPr>
                <w:rFonts w:asciiTheme="majorHAnsi" w:hAnsiTheme="majorHAnsi" w:cstheme="majorHAnsi"/>
                <w:sz w:val="22"/>
                <w:szCs w:val="22"/>
              </w:rPr>
            </w:pPr>
            <w:r w:rsidRPr="00AD5317">
              <w:rPr>
                <w:rFonts w:asciiTheme="majorHAnsi" w:hAnsiTheme="majorHAnsi" w:cstheme="majorHAnsi"/>
                <w:sz w:val="22"/>
                <w:szCs w:val="22"/>
              </w:rPr>
              <w:t>CV des experts en cours de recrutement pour les séances Académie TERA</w:t>
            </w:r>
          </w:p>
          <w:p w14:paraId="59F0EBDD" w14:textId="77777777" w:rsidR="00AD5317" w:rsidRPr="00AD5317" w:rsidRDefault="00AD5317" w:rsidP="008F0DC8">
            <w:pPr>
              <w:spacing w:before="40"/>
              <w:rPr>
                <w:rFonts w:asciiTheme="majorHAnsi" w:eastAsia="Times New Roman" w:hAnsiTheme="majorHAnsi" w:cstheme="majorHAnsi"/>
                <w:sz w:val="22"/>
                <w:szCs w:val="22"/>
              </w:rPr>
            </w:pPr>
          </w:p>
        </w:tc>
        <w:tc>
          <w:tcPr>
            <w:tcW w:w="2344" w:type="dxa"/>
          </w:tcPr>
          <w:p w14:paraId="0A95709A"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Les autres séances TERA vont être organisées au premier trimestre 2021. La mobilisation des experts pour les séances non tenues en 2020 n’a pas été réalisée </w:t>
            </w:r>
            <w:proofErr w:type="gramStart"/>
            <w:r w:rsidRPr="00AD5317">
              <w:rPr>
                <w:rFonts w:asciiTheme="majorHAnsi" w:hAnsiTheme="majorHAnsi" w:cstheme="majorHAnsi"/>
                <w:sz w:val="22"/>
                <w:szCs w:val="22"/>
              </w:rPr>
              <w:t>suite au</w:t>
            </w:r>
            <w:proofErr w:type="gramEnd"/>
            <w:r w:rsidRPr="00AD5317">
              <w:rPr>
                <w:rFonts w:asciiTheme="majorHAnsi" w:hAnsiTheme="majorHAnsi" w:cstheme="majorHAnsi"/>
                <w:sz w:val="22"/>
                <w:szCs w:val="22"/>
              </w:rPr>
              <w:t xml:space="preserve"> contexte de COVID 19</w:t>
            </w:r>
          </w:p>
        </w:tc>
      </w:tr>
      <w:tr w:rsidR="00AD5317" w:rsidRPr="00AD5317" w14:paraId="731DFA49" w14:textId="77777777" w:rsidTr="008F0DC8">
        <w:trPr>
          <w:gridAfter w:val="1"/>
          <w:wAfter w:w="27" w:type="dxa"/>
          <w:trHeight w:val="20"/>
        </w:trPr>
        <w:tc>
          <w:tcPr>
            <w:tcW w:w="426" w:type="dxa"/>
            <w:shd w:val="clear" w:color="auto" w:fill="auto"/>
            <w:hideMark/>
          </w:tcPr>
          <w:p w14:paraId="7CCD37D2"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2.2.3</w:t>
            </w:r>
          </w:p>
        </w:tc>
        <w:tc>
          <w:tcPr>
            <w:tcW w:w="2201" w:type="dxa"/>
            <w:shd w:val="clear" w:color="auto" w:fill="auto"/>
            <w:hideMark/>
          </w:tcPr>
          <w:p w14:paraId="67E3742A"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Faciliter les partenariats entre producteurs et distributeurs pour renforcer les chaines de valeur</w:t>
            </w:r>
          </w:p>
        </w:tc>
        <w:tc>
          <w:tcPr>
            <w:tcW w:w="2761" w:type="dxa"/>
            <w:gridSpan w:val="2"/>
          </w:tcPr>
          <w:p w14:paraId="1BEC5949"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Mise en relation des acteurs lors des 2 ateliers d’incubation.</w:t>
            </w:r>
          </w:p>
        </w:tc>
        <w:tc>
          <w:tcPr>
            <w:tcW w:w="2125" w:type="dxa"/>
          </w:tcPr>
          <w:p w14:paraId="5529F9D2"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Réseautage entre producteurs et distributeurs de la cuisson propre</w:t>
            </w:r>
          </w:p>
        </w:tc>
        <w:tc>
          <w:tcPr>
            <w:tcW w:w="2552" w:type="dxa"/>
          </w:tcPr>
          <w:p w14:paraId="4661BEE3" w14:textId="56013820" w:rsidR="00AD5317" w:rsidRPr="00AD5317" w:rsidRDefault="00720A52" w:rsidP="008F0DC8">
            <w:pPr>
              <w:spacing w:before="40"/>
              <w:ind w:left="0" w:right="0" w:firstLine="0"/>
              <w:rPr>
                <w:rFonts w:asciiTheme="majorHAnsi" w:hAnsiTheme="majorHAnsi" w:cstheme="majorHAnsi"/>
                <w:sz w:val="22"/>
                <w:szCs w:val="22"/>
              </w:rPr>
            </w:pPr>
            <w:r w:rsidRPr="00720A52">
              <w:rPr>
                <w:rFonts w:asciiTheme="majorHAnsi" w:hAnsiTheme="majorHAnsi" w:cstheme="majorHAnsi"/>
                <w:sz w:val="22"/>
                <w:szCs w:val="22"/>
              </w:rPr>
              <w:t xml:space="preserve">53 entreprises mise en relations </w:t>
            </w:r>
            <w:r>
              <w:rPr>
                <w:rFonts w:asciiTheme="majorHAnsi" w:hAnsiTheme="majorHAnsi" w:cstheme="majorHAnsi"/>
                <w:sz w:val="22"/>
                <w:szCs w:val="22"/>
              </w:rPr>
              <w:t xml:space="preserve">lors de l’atelier d’incubation et </w:t>
            </w:r>
            <w:r w:rsidR="00AD5317" w:rsidRPr="00AD5317">
              <w:rPr>
                <w:rFonts w:asciiTheme="majorHAnsi" w:hAnsiTheme="majorHAnsi" w:cstheme="majorHAnsi"/>
                <w:sz w:val="22"/>
                <w:szCs w:val="22"/>
              </w:rPr>
              <w:t xml:space="preserve">26 </w:t>
            </w:r>
            <w:r>
              <w:rPr>
                <w:rFonts w:asciiTheme="majorHAnsi" w:hAnsiTheme="majorHAnsi" w:cstheme="majorHAnsi"/>
                <w:sz w:val="22"/>
                <w:szCs w:val="22"/>
              </w:rPr>
              <w:t xml:space="preserve">autres </w:t>
            </w:r>
            <w:r w:rsidR="00AD5317" w:rsidRPr="00AD5317">
              <w:rPr>
                <w:rFonts w:asciiTheme="majorHAnsi" w:hAnsiTheme="majorHAnsi" w:cstheme="majorHAnsi"/>
                <w:sz w:val="22"/>
                <w:szCs w:val="22"/>
              </w:rPr>
              <w:t>entreprises mises en relations au cours de la séance de mise en relation organisée à Goma</w:t>
            </w:r>
          </w:p>
          <w:p w14:paraId="2EE4DCE3" w14:textId="77777777" w:rsidR="00AD5317" w:rsidRPr="00AD5317" w:rsidRDefault="00AD5317" w:rsidP="008F0DC8">
            <w:pPr>
              <w:spacing w:before="40"/>
              <w:rPr>
                <w:rFonts w:asciiTheme="majorHAnsi" w:eastAsia="Times New Roman" w:hAnsiTheme="majorHAnsi" w:cstheme="majorHAnsi"/>
                <w:sz w:val="22"/>
                <w:szCs w:val="22"/>
              </w:rPr>
            </w:pPr>
          </w:p>
        </w:tc>
        <w:tc>
          <w:tcPr>
            <w:tcW w:w="1140" w:type="dxa"/>
          </w:tcPr>
          <w:p w14:paraId="1CFAC2D0"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75%</w:t>
            </w:r>
          </w:p>
        </w:tc>
        <w:tc>
          <w:tcPr>
            <w:tcW w:w="2128" w:type="dxa"/>
          </w:tcPr>
          <w:p w14:paraId="5B1070F0" w14:textId="77777777" w:rsidR="00AD5317" w:rsidRPr="00AD5317" w:rsidRDefault="00AD5317" w:rsidP="008F0DC8">
            <w:pPr>
              <w:spacing w:before="40"/>
              <w:rPr>
                <w:rFonts w:asciiTheme="majorHAnsi" w:hAnsiTheme="majorHAnsi" w:cstheme="majorHAnsi"/>
                <w:sz w:val="22"/>
                <w:szCs w:val="22"/>
              </w:rPr>
            </w:pPr>
            <w:r w:rsidRPr="00AD5317">
              <w:rPr>
                <w:rFonts w:asciiTheme="majorHAnsi" w:hAnsiTheme="majorHAnsi" w:cstheme="majorHAnsi"/>
                <w:sz w:val="22"/>
                <w:szCs w:val="22"/>
              </w:rPr>
              <w:t>Rapport d’atelier d’incubation</w:t>
            </w:r>
          </w:p>
          <w:p w14:paraId="20C99D0D" w14:textId="77777777" w:rsidR="00AD5317" w:rsidRPr="00AD5317" w:rsidRDefault="00AD5317" w:rsidP="008F0DC8">
            <w:pPr>
              <w:spacing w:before="40"/>
              <w:rPr>
                <w:rFonts w:asciiTheme="majorHAnsi" w:hAnsiTheme="majorHAnsi" w:cstheme="majorHAnsi"/>
                <w:sz w:val="22"/>
                <w:szCs w:val="22"/>
              </w:rPr>
            </w:pPr>
            <w:r w:rsidRPr="00AD5317">
              <w:rPr>
                <w:rFonts w:asciiTheme="majorHAnsi" w:hAnsiTheme="majorHAnsi" w:cstheme="majorHAnsi"/>
                <w:sz w:val="22"/>
                <w:szCs w:val="22"/>
              </w:rPr>
              <w:t>Rapport d’atelier de mise en relation des entreprises et incubateurs.</w:t>
            </w:r>
          </w:p>
          <w:p w14:paraId="719ACAD8"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Liste de présence </w:t>
            </w:r>
          </w:p>
        </w:tc>
        <w:tc>
          <w:tcPr>
            <w:tcW w:w="2344" w:type="dxa"/>
          </w:tcPr>
          <w:p w14:paraId="5A64B97A" w14:textId="77777777" w:rsidR="00AD5317" w:rsidRPr="00AD5317" w:rsidRDefault="00AD5317" w:rsidP="008F0DC8">
            <w:pPr>
              <w:spacing w:before="40"/>
              <w:rPr>
                <w:rFonts w:asciiTheme="majorHAnsi" w:hAnsiTheme="majorHAnsi" w:cstheme="majorHAnsi"/>
                <w:sz w:val="22"/>
                <w:szCs w:val="22"/>
              </w:rPr>
            </w:pPr>
            <w:r w:rsidRPr="00AD5317">
              <w:rPr>
                <w:rFonts w:asciiTheme="majorHAnsi" w:hAnsiTheme="majorHAnsi" w:cstheme="majorHAnsi"/>
                <w:sz w:val="22"/>
                <w:szCs w:val="22"/>
              </w:rPr>
              <w:t>Deux ateliers d’incubation ont été effectués au premier semestre et un autre vers la du second semestre réunissant les entreprises et les incubateurs.</w:t>
            </w:r>
          </w:p>
          <w:p w14:paraId="652C64A5"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Une séance est reportée pour 2021 suite au contexte de COVID 19</w:t>
            </w:r>
          </w:p>
        </w:tc>
      </w:tr>
      <w:tr w:rsidR="00AD5317" w:rsidRPr="00AD5317" w14:paraId="08965BFA" w14:textId="77777777" w:rsidTr="008F0DC8">
        <w:trPr>
          <w:trHeight w:val="20"/>
        </w:trPr>
        <w:tc>
          <w:tcPr>
            <w:tcW w:w="15704" w:type="dxa"/>
            <w:gridSpan w:val="10"/>
            <w:shd w:val="clear" w:color="auto" w:fill="F0EDAA"/>
          </w:tcPr>
          <w:p w14:paraId="6017B562"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eastAsia="Times New Roman" w:hAnsiTheme="majorHAnsi" w:cstheme="majorHAnsi"/>
                <w:b/>
                <w:bCs/>
                <w:sz w:val="22"/>
                <w:szCs w:val="22"/>
              </w:rPr>
              <w:t>Produit 2.3.: Des mécanismes de financement pour la cuisson propre sont établis afin de répondre aux besoins de financement durable des entreprises partenaires</w:t>
            </w:r>
          </w:p>
        </w:tc>
      </w:tr>
      <w:tr w:rsidR="00AD5317" w:rsidRPr="00AD5317" w14:paraId="24EEE7AD" w14:textId="77777777" w:rsidTr="008F0DC8">
        <w:trPr>
          <w:gridAfter w:val="1"/>
          <w:wAfter w:w="27" w:type="dxa"/>
          <w:trHeight w:val="20"/>
        </w:trPr>
        <w:tc>
          <w:tcPr>
            <w:tcW w:w="426" w:type="dxa"/>
            <w:shd w:val="clear" w:color="auto" w:fill="auto"/>
            <w:hideMark/>
          </w:tcPr>
          <w:p w14:paraId="0B53447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2.3.1</w:t>
            </w:r>
          </w:p>
        </w:tc>
        <w:tc>
          <w:tcPr>
            <w:tcW w:w="2201" w:type="dxa"/>
            <w:shd w:val="clear" w:color="auto" w:fill="auto"/>
            <w:hideMark/>
          </w:tcPr>
          <w:p w14:paraId="14763704"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Mise en place d’un mécanisme de financement dans le cadre du Programme Compétitif d’Incubation (Bois/énergie)</w:t>
            </w:r>
          </w:p>
        </w:tc>
        <w:tc>
          <w:tcPr>
            <w:tcW w:w="2761" w:type="dxa"/>
            <w:gridSpan w:val="2"/>
          </w:tcPr>
          <w:p w14:paraId="16294742" w14:textId="77777777" w:rsidR="00AD5317" w:rsidRPr="00AD5317" w:rsidRDefault="00AD5317" w:rsidP="008F0DC8">
            <w:pPr>
              <w:spacing w:before="40"/>
              <w:ind w:left="0" w:right="0" w:firstLine="0"/>
              <w:rPr>
                <w:rFonts w:asciiTheme="majorHAnsi" w:hAnsiTheme="majorHAnsi" w:cstheme="majorHAnsi"/>
                <w:sz w:val="22"/>
                <w:szCs w:val="22"/>
              </w:rPr>
            </w:pPr>
            <w:r w:rsidRPr="00AD5317">
              <w:rPr>
                <w:rFonts w:asciiTheme="majorHAnsi" w:hAnsiTheme="majorHAnsi" w:cstheme="majorHAnsi"/>
                <w:sz w:val="22"/>
                <w:szCs w:val="22"/>
              </w:rPr>
              <w:t>Mise en place du Fonds de défi et Incubation</w:t>
            </w:r>
          </w:p>
          <w:p w14:paraId="489F684C"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Mise en place des instruments de crédit aux entreprises à travers le programme Cleanstart et la Plateforme d’Investissement pour les Pays Les Moins Avancés de UNCDF</w:t>
            </w:r>
          </w:p>
        </w:tc>
        <w:tc>
          <w:tcPr>
            <w:tcW w:w="2125" w:type="dxa"/>
          </w:tcPr>
          <w:p w14:paraId="267103BA" w14:textId="77777777" w:rsidR="00AD5317" w:rsidRPr="00AD5317" w:rsidRDefault="00AD5317" w:rsidP="008F0DC8">
            <w:pPr>
              <w:spacing w:before="40"/>
              <w:rPr>
                <w:rFonts w:asciiTheme="majorHAnsi" w:hAnsiTheme="majorHAnsi" w:cstheme="majorHAnsi"/>
                <w:sz w:val="22"/>
                <w:szCs w:val="22"/>
              </w:rPr>
            </w:pPr>
            <w:r w:rsidRPr="00AD5317">
              <w:rPr>
                <w:rFonts w:asciiTheme="majorHAnsi" w:hAnsiTheme="majorHAnsi" w:cstheme="majorHAnsi"/>
                <w:sz w:val="22"/>
                <w:szCs w:val="22"/>
              </w:rPr>
              <w:t xml:space="preserve">Volume des financements engagés / décaissés / décaissés, par type (don, prêts, etc.) et cible (entreprise, ménages, etc.) et Genre ;  </w:t>
            </w:r>
          </w:p>
          <w:p w14:paraId="58A8C16C"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 Nombre de nouveaux produits financiers énergétiques</w:t>
            </w:r>
          </w:p>
        </w:tc>
        <w:tc>
          <w:tcPr>
            <w:tcW w:w="2552" w:type="dxa"/>
          </w:tcPr>
          <w:p w14:paraId="5D1137AE" w14:textId="5FA61B61" w:rsidR="00AD5317" w:rsidRPr="00AD5317" w:rsidRDefault="00AD5317" w:rsidP="008F0DC8">
            <w:pPr>
              <w:numPr>
                <w:ilvl w:val="0"/>
                <w:numId w:val="4"/>
              </w:numPr>
              <w:spacing w:before="40" w:after="0" w:line="240" w:lineRule="auto"/>
              <w:ind w:left="90" w:right="0" w:hanging="180"/>
              <w:rPr>
                <w:rFonts w:asciiTheme="majorHAnsi" w:hAnsiTheme="majorHAnsi" w:cstheme="majorHAnsi"/>
                <w:sz w:val="22"/>
                <w:szCs w:val="22"/>
              </w:rPr>
            </w:pPr>
            <w:r w:rsidRPr="00AD5317">
              <w:rPr>
                <w:rFonts w:asciiTheme="majorHAnsi" w:hAnsiTheme="majorHAnsi" w:cstheme="majorHAnsi"/>
                <w:sz w:val="22"/>
                <w:szCs w:val="22"/>
              </w:rPr>
              <w:t>5 accords de partenariat signés avec ALTECH, BASCONS, BBOXX, BRISOL, DAP ENERGY pour la subvention de  682.000 $ dont la première tranche</w:t>
            </w:r>
            <w:r w:rsidR="00BC673B">
              <w:rPr>
                <w:rFonts w:asciiTheme="majorHAnsi" w:hAnsiTheme="majorHAnsi" w:cstheme="majorHAnsi"/>
                <w:sz w:val="22"/>
                <w:szCs w:val="22"/>
              </w:rPr>
              <w:t xml:space="preserve"> </w:t>
            </w:r>
            <w:r w:rsidRPr="00AD5317">
              <w:rPr>
                <w:rFonts w:asciiTheme="majorHAnsi" w:hAnsiTheme="majorHAnsi" w:cstheme="majorHAnsi"/>
                <w:sz w:val="22"/>
                <w:szCs w:val="22"/>
              </w:rPr>
              <w:t>octroyée à 5 entreprises pour un total de 95.000$</w:t>
            </w:r>
          </w:p>
          <w:p w14:paraId="7891FA2E"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Deux prêts d’une valeur de 650.000$  octroyés à ALTECH ( 350.000$  dont 150.000$ par SIDA BOOSTER, 150.000$ par FMO, 50.000$ par NORAD)  et à BBOXX (300.000$ dont 182.000$ par SIDA BOOSTER, 63.500$ par NORAD et 54.500$ par KOICA). Ces prêts sont octroyés par UNCDF à partir du Programme  Cleanstart et du programme LDCIP</w:t>
            </w:r>
          </w:p>
        </w:tc>
        <w:tc>
          <w:tcPr>
            <w:tcW w:w="1140" w:type="dxa"/>
          </w:tcPr>
          <w:p w14:paraId="1337AD1A"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100%</w:t>
            </w:r>
          </w:p>
        </w:tc>
        <w:tc>
          <w:tcPr>
            <w:tcW w:w="2128" w:type="dxa"/>
          </w:tcPr>
          <w:p w14:paraId="59F8719F" w14:textId="77777777" w:rsidR="00AD5317" w:rsidRPr="00AD5317" w:rsidRDefault="00AD5317" w:rsidP="008F0DC8">
            <w:pPr>
              <w:spacing w:before="40"/>
              <w:ind w:left="0" w:right="0" w:firstLine="0"/>
              <w:rPr>
                <w:rFonts w:asciiTheme="majorHAnsi" w:hAnsiTheme="majorHAnsi" w:cstheme="majorHAnsi"/>
                <w:sz w:val="22"/>
                <w:szCs w:val="22"/>
              </w:rPr>
            </w:pPr>
            <w:r w:rsidRPr="00AD5317">
              <w:rPr>
                <w:rFonts w:asciiTheme="majorHAnsi" w:hAnsiTheme="majorHAnsi" w:cstheme="majorHAnsi"/>
                <w:sz w:val="22"/>
                <w:szCs w:val="22"/>
              </w:rPr>
              <w:t>5 Accords de partenariat signés avec ALTECH, BASCONS, BBOXX, BRISOL, DAP ENERGY</w:t>
            </w:r>
          </w:p>
          <w:p w14:paraId="2B2BBCED" w14:textId="77777777" w:rsidR="00AD5317" w:rsidRPr="00AD5317" w:rsidRDefault="00AD5317" w:rsidP="008F0DC8">
            <w:pPr>
              <w:spacing w:before="40"/>
              <w:ind w:left="0" w:right="0" w:firstLine="0"/>
              <w:rPr>
                <w:rFonts w:asciiTheme="majorHAnsi" w:hAnsiTheme="majorHAnsi" w:cstheme="majorHAnsi"/>
                <w:sz w:val="22"/>
                <w:szCs w:val="22"/>
              </w:rPr>
            </w:pPr>
            <w:r w:rsidRPr="00AD5317">
              <w:rPr>
                <w:rFonts w:asciiTheme="majorHAnsi" w:hAnsiTheme="majorHAnsi" w:cstheme="majorHAnsi"/>
                <w:sz w:val="22"/>
                <w:szCs w:val="22"/>
              </w:rPr>
              <w:t>Accusé réception de première tranche de subvention</w:t>
            </w:r>
          </w:p>
          <w:p w14:paraId="47FB939C" w14:textId="77777777" w:rsidR="00AD5317" w:rsidRPr="00AD5317" w:rsidRDefault="00AD5317" w:rsidP="008F0DC8">
            <w:pPr>
              <w:spacing w:before="40"/>
              <w:ind w:left="0" w:right="0" w:firstLine="0"/>
              <w:rPr>
                <w:rFonts w:asciiTheme="majorHAnsi" w:hAnsiTheme="majorHAnsi" w:cstheme="majorHAnsi"/>
                <w:sz w:val="22"/>
                <w:szCs w:val="22"/>
              </w:rPr>
            </w:pPr>
            <w:r w:rsidRPr="00AD5317">
              <w:rPr>
                <w:rFonts w:asciiTheme="majorHAnsi" w:hAnsiTheme="majorHAnsi" w:cstheme="majorHAnsi"/>
                <w:sz w:val="22"/>
                <w:szCs w:val="22"/>
              </w:rPr>
              <w:t>2 Accords de prêt de ALTECH et BBOXX</w:t>
            </w:r>
          </w:p>
          <w:p w14:paraId="195A9467"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Accusé de réception des prêts  </w:t>
            </w:r>
          </w:p>
        </w:tc>
        <w:tc>
          <w:tcPr>
            <w:tcW w:w="2344" w:type="dxa"/>
          </w:tcPr>
          <w:p w14:paraId="42FBE6E5" w14:textId="77777777" w:rsidR="00AD5317" w:rsidRPr="00AD5317" w:rsidRDefault="00AD5317" w:rsidP="008F0DC8">
            <w:pPr>
              <w:spacing w:before="40"/>
              <w:ind w:left="0" w:right="0" w:firstLine="0"/>
              <w:rPr>
                <w:rFonts w:asciiTheme="majorHAnsi" w:hAnsiTheme="majorHAnsi" w:cstheme="majorHAnsi"/>
                <w:sz w:val="22"/>
                <w:szCs w:val="22"/>
              </w:rPr>
            </w:pPr>
            <w:r w:rsidRPr="00AD5317">
              <w:rPr>
                <w:rFonts w:asciiTheme="majorHAnsi" w:hAnsiTheme="majorHAnsi" w:cstheme="majorHAnsi"/>
                <w:sz w:val="22"/>
                <w:szCs w:val="22"/>
              </w:rPr>
              <w:t xml:space="preserve">Le deuxième lot de subvention pour un montant de 518.000$ prévu pour décaissement au premier semestre de 2021 </w:t>
            </w:r>
          </w:p>
          <w:p w14:paraId="54D5B0DD" w14:textId="77777777" w:rsidR="00AD5317" w:rsidRPr="00AD5317" w:rsidRDefault="00AD5317" w:rsidP="008F0DC8">
            <w:pPr>
              <w:spacing w:before="40"/>
              <w:rPr>
                <w:rFonts w:asciiTheme="majorHAnsi" w:eastAsia="Times New Roman" w:hAnsiTheme="majorHAnsi" w:cstheme="majorHAnsi"/>
                <w:sz w:val="22"/>
                <w:szCs w:val="22"/>
              </w:rPr>
            </w:pPr>
          </w:p>
        </w:tc>
      </w:tr>
      <w:tr w:rsidR="00AD5317" w:rsidRPr="00AD5317" w14:paraId="3F1DCCC9" w14:textId="77777777" w:rsidTr="008F0DC8">
        <w:trPr>
          <w:gridAfter w:val="1"/>
          <w:wAfter w:w="27" w:type="dxa"/>
          <w:trHeight w:val="20"/>
        </w:trPr>
        <w:tc>
          <w:tcPr>
            <w:tcW w:w="426" w:type="dxa"/>
            <w:shd w:val="clear" w:color="auto" w:fill="auto"/>
            <w:hideMark/>
          </w:tcPr>
          <w:p w14:paraId="7C3AA612"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2.3.2</w:t>
            </w:r>
          </w:p>
        </w:tc>
        <w:tc>
          <w:tcPr>
            <w:tcW w:w="2201" w:type="dxa"/>
            <w:shd w:val="clear" w:color="auto" w:fill="auto"/>
            <w:hideMark/>
          </w:tcPr>
          <w:p w14:paraId="7101F2A7" w14:textId="77777777" w:rsidR="00AD5317" w:rsidRPr="00AD5317" w:rsidRDefault="00AD5317" w:rsidP="008F0DC8">
            <w:pPr>
              <w:rPr>
                <w:rFonts w:asciiTheme="majorHAnsi" w:eastAsia="Times New Roman" w:hAnsiTheme="majorHAnsi" w:cstheme="majorHAnsi"/>
                <w:sz w:val="22"/>
                <w:szCs w:val="22"/>
              </w:rPr>
            </w:pPr>
            <w:r w:rsidRPr="00AD5317">
              <w:rPr>
                <w:rFonts w:asciiTheme="majorHAnsi" w:eastAsia="Times New Roman" w:hAnsiTheme="majorHAnsi" w:cstheme="majorHAnsi"/>
                <w:sz w:val="22"/>
                <w:szCs w:val="22"/>
              </w:rPr>
              <w:t>Identification et sélection d’institutions financières locales pour le développement de produits financiers innovants d’accès ou diriger les accords de prêt avec les partenaires</w:t>
            </w:r>
          </w:p>
        </w:tc>
        <w:tc>
          <w:tcPr>
            <w:tcW w:w="2761" w:type="dxa"/>
            <w:gridSpan w:val="2"/>
          </w:tcPr>
          <w:p w14:paraId="72C6E315"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Signature de partenariat avec GLPGP pour lancer la phase pilote de développement de marché de GPL à travers le mécanisme de microfinance en faveur des ménages et institutions de la ville de Kinshasa.</w:t>
            </w:r>
          </w:p>
          <w:p w14:paraId="5302848E"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Recrutement de l’expert en Microfinance </w:t>
            </w:r>
          </w:p>
          <w:p w14:paraId="22A41308"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Harmonisation de la méthodologie de sélection des institutions de Microfinance ainsi que le déroulement de la phase pilote pour l’année 2020 entre GLPGP et l’équipe du Programme. </w:t>
            </w:r>
          </w:p>
          <w:p w14:paraId="0B7ACC69"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La sélection des institutions financières a commencé. </w:t>
            </w:r>
            <w:r w:rsidRPr="00AD5317">
              <w:rPr>
                <w:rFonts w:asciiTheme="majorHAnsi" w:hAnsiTheme="majorHAnsi" w:cstheme="majorHAnsi"/>
                <w:sz w:val="22"/>
                <w:szCs w:val="22"/>
              </w:rPr>
              <w:t>-      EQUITY BANK et FINCA ont été identifiés. L’accord est déjà signé avec EQUITY</w:t>
            </w:r>
          </w:p>
          <w:p w14:paraId="01009BF5" w14:textId="77777777" w:rsidR="00AD5317" w:rsidRPr="00AD5317" w:rsidRDefault="00AD5317" w:rsidP="008F0DC8">
            <w:pPr>
              <w:spacing w:before="40" w:after="0" w:line="240" w:lineRule="auto"/>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L’identification des zones </w:t>
            </w:r>
            <w:r w:rsidRPr="00AD5317">
              <w:rPr>
                <w:rFonts w:asciiTheme="majorHAnsi" w:hAnsiTheme="majorHAnsi" w:cstheme="majorHAnsi"/>
                <w:color w:val="000000"/>
                <w:sz w:val="22"/>
                <w:szCs w:val="22"/>
              </w:rPr>
              <w:t>d’intervention</w:t>
            </w:r>
            <w:r w:rsidRPr="00AD5317">
              <w:rPr>
                <w:rFonts w:asciiTheme="majorHAnsi" w:hAnsiTheme="majorHAnsi" w:cstheme="majorHAnsi"/>
                <w:sz w:val="22"/>
                <w:szCs w:val="22"/>
              </w:rPr>
              <w:t xml:space="preserve"> pour la phase pilote est faite avec EQUITY et COETE GAZ </w:t>
            </w:r>
          </w:p>
        </w:tc>
        <w:tc>
          <w:tcPr>
            <w:tcW w:w="2125" w:type="dxa"/>
          </w:tcPr>
          <w:p w14:paraId="0F6BC83E"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1 Comité de pilotage microfinance mis en place pour 250 ménages</w:t>
            </w:r>
          </w:p>
        </w:tc>
        <w:tc>
          <w:tcPr>
            <w:tcW w:w="2552" w:type="dxa"/>
          </w:tcPr>
          <w:p w14:paraId="34EDBBE1"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Signature d’un accord de partenariat avec GLPGP </w:t>
            </w:r>
          </w:p>
          <w:p w14:paraId="1F4D856A"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Un Expert en Microfinance recruté</w:t>
            </w:r>
          </w:p>
          <w:p w14:paraId="7C03E718"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Méthodologie de la phase pilote Microfinance établie et harmonisée</w:t>
            </w:r>
          </w:p>
          <w:p w14:paraId="3CC57306"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sz w:val="22"/>
                <w:szCs w:val="22"/>
              </w:rPr>
            </w:pPr>
            <w:r w:rsidRPr="00AD5317">
              <w:rPr>
                <w:rFonts w:asciiTheme="majorHAnsi" w:hAnsiTheme="majorHAnsi" w:cstheme="majorHAnsi"/>
                <w:sz w:val="22"/>
                <w:szCs w:val="22"/>
              </w:rPr>
              <w:t xml:space="preserve">Accord Tripartite entre GLPGP-EQUITY BANK et COETE GAZ </w:t>
            </w:r>
          </w:p>
          <w:p w14:paraId="7DDA939A"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sz w:val="22"/>
                <w:szCs w:val="22"/>
              </w:rPr>
            </w:pPr>
            <w:r w:rsidRPr="00AD5317">
              <w:rPr>
                <w:rFonts w:asciiTheme="majorHAnsi" w:hAnsiTheme="majorHAnsi" w:cstheme="majorHAnsi"/>
                <w:sz w:val="22"/>
                <w:szCs w:val="22"/>
              </w:rPr>
              <w:t xml:space="preserve">Accord Tripartite en cours de négociation entre GLPGP-FINCA et SOGAZ </w:t>
            </w:r>
          </w:p>
          <w:p w14:paraId="455D86C3"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Formation des agents de EQUITY et COETE GAZ organisée</w:t>
            </w:r>
          </w:p>
        </w:tc>
        <w:tc>
          <w:tcPr>
            <w:tcW w:w="1140" w:type="dxa"/>
          </w:tcPr>
          <w:p w14:paraId="3007BE95"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80% </w:t>
            </w:r>
          </w:p>
        </w:tc>
        <w:tc>
          <w:tcPr>
            <w:tcW w:w="2128" w:type="dxa"/>
          </w:tcPr>
          <w:p w14:paraId="34272881"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Accord de partenariat signé entre GLPGP et UNCDF</w:t>
            </w:r>
          </w:p>
          <w:p w14:paraId="5D49B68D"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Rapport du plan pour l’intervention pilote sur la Microfinance établi</w:t>
            </w:r>
          </w:p>
          <w:p w14:paraId="6FED2952" w14:textId="77777777" w:rsidR="00AD5317" w:rsidRPr="00AD5317" w:rsidRDefault="00AD5317" w:rsidP="008F0DC8">
            <w:pPr>
              <w:spacing w:before="40"/>
              <w:rPr>
                <w:rFonts w:asciiTheme="majorHAnsi" w:eastAsia="Times New Roman" w:hAnsiTheme="majorHAnsi" w:cstheme="majorHAnsi"/>
                <w:sz w:val="22"/>
                <w:szCs w:val="22"/>
              </w:rPr>
            </w:pPr>
          </w:p>
        </w:tc>
        <w:tc>
          <w:tcPr>
            <w:tcW w:w="2344" w:type="dxa"/>
          </w:tcPr>
          <w:p w14:paraId="7857106B" w14:textId="77777777" w:rsidR="00AD5317" w:rsidRPr="00AD5317" w:rsidRDefault="00AD5317" w:rsidP="008F0DC8">
            <w:pPr>
              <w:spacing w:before="40"/>
              <w:rPr>
                <w:rFonts w:asciiTheme="majorHAnsi" w:eastAsia="Times New Roman" w:hAnsiTheme="majorHAnsi" w:cstheme="majorHAnsi"/>
                <w:sz w:val="22"/>
                <w:szCs w:val="22"/>
              </w:rPr>
            </w:pPr>
            <w:r w:rsidRPr="00AD5317">
              <w:rPr>
                <w:rFonts w:asciiTheme="majorHAnsi" w:hAnsiTheme="majorHAnsi" w:cstheme="majorHAnsi"/>
                <w:sz w:val="22"/>
                <w:szCs w:val="22"/>
              </w:rPr>
              <w:t xml:space="preserve">Lancement de la phase pilote de 250 ménages au premier trimestre 2021 </w:t>
            </w:r>
          </w:p>
        </w:tc>
      </w:tr>
      <w:tr w:rsidR="00AD5317" w:rsidRPr="00AD5317" w14:paraId="1C9B0D99" w14:textId="77777777" w:rsidTr="008F0DC8">
        <w:trPr>
          <w:trHeight w:val="20"/>
        </w:trPr>
        <w:tc>
          <w:tcPr>
            <w:tcW w:w="15704" w:type="dxa"/>
            <w:gridSpan w:val="10"/>
            <w:shd w:val="clear" w:color="auto" w:fill="D99594" w:themeFill="accent2" w:themeFillTint="99"/>
          </w:tcPr>
          <w:p w14:paraId="754614DB" w14:textId="77777777" w:rsidR="00AD5317" w:rsidRPr="00AD5317" w:rsidRDefault="00AD5317" w:rsidP="008F0DC8">
            <w:pPr>
              <w:rPr>
                <w:rFonts w:asciiTheme="majorHAnsi" w:hAnsiTheme="majorHAnsi" w:cstheme="majorHAnsi"/>
                <w:sz w:val="22"/>
                <w:szCs w:val="22"/>
              </w:rPr>
            </w:pPr>
            <w:r w:rsidRPr="00AD5317">
              <w:rPr>
                <w:rFonts w:asciiTheme="majorHAnsi" w:hAnsiTheme="majorHAnsi" w:cstheme="majorHAnsi"/>
                <w:b/>
                <w:sz w:val="22"/>
                <w:szCs w:val="22"/>
              </w:rPr>
              <w:t>Gestion et coordination d’ensemble du programme (axe transversal)</w:t>
            </w:r>
          </w:p>
        </w:tc>
      </w:tr>
      <w:tr w:rsidR="00AD5317" w:rsidRPr="00AD5317" w14:paraId="545A4774" w14:textId="77777777" w:rsidTr="008F0DC8">
        <w:trPr>
          <w:gridAfter w:val="1"/>
          <w:wAfter w:w="27" w:type="dxa"/>
          <w:trHeight w:val="20"/>
        </w:trPr>
        <w:tc>
          <w:tcPr>
            <w:tcW w:w="2633" w:type="dxa"/>
            <w:gridSpan w:val="3"/>
            <w:shd w:val="clear" w:color="auto" w:fill="auto"/>
            <w:vAlign w:val="center"/>
          </w:tcPr>
          <w:p w14:paraId="036559C3" w14:textId="77777777" w:rsidR="00AD5317" w:rsidRPr="00AD5317" w:rsidRDefault="00AD5317" w:rsidP="008F0DC8">
            <w:pPr>
              <w:jc w:val="left"/>
              <w:rPr>
                <w:rFonts w:asciiTheme="majorHAnsi" w:eastAsia="Times New Roman" w:hAnsiTheme="majorHAnsi" w:cstheme="majorHAnsi"/>
                <w:sz w:val="22"/>
                <w:szCs w:val="22"/>
              </w:rPr>
            </w:pPr>
            <w:r w:rsidRPr="00AD5317">
              <w:rPr>
                <w:rFonts w:asciiTheme="majorHAnsi" w:hAnsiTheme="majorHAnsi" w:cstheme="majorHAnsi"/>
                <w:sz w:val="22"/>
                <w:szCs w:val="22"/>
              </w:rPr>
              <w:t>Unité de gestion du programme (All team)</w:t>
            </w:r>
          </w:p>
        </w:tc>
        <w:tc>
          <w:tcPr>
            <w:tcW w:w="2755" w:type="dxa"/>
          </w:tcPr>
          <w:p w14:paraId="623143A3"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Le coordonnateur, l'expert énergie, l'expert en suivi et évaluation, l’analyste financier ainsi que le logisticien sont recrutés.</w:t>
            </w:r>
          </w:p>
          <w:p w14:paraId="16FCAE17"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p>
          <w:p w14:paraId="76AF7514"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Tenue du COPIL le 2 mars et le 1er septembre 2020</w:t>
            </w:r>
          </w:p>
          <w:p w14:paraId="442B8078"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p>
          <w:p w14:paraId="53EC4D57"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p>
        </w:tc>
        <w:tc>
          <w:tcPr>
            <w:tcW w:w="2125" w:type="dxa"/>
          </w:tcPr>
          <w:p w14:paraId="2B5FE2F7" w14:textId="77777777" w:rsidR="00AD5317" w:rsidRPr="00AD5317" w:rsidRDefault="00AD5317" w:rsidP="008F0DC8">
            <w:pP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L’unité de gestion du programme est opérationnelle</w:t>
            </w:r>
          </w:p>
          <w:p w14:paraId="1892E7D6" w14:textId="77777777" w:rsidR="00AD5317" w:rsidRPr="00AD5317" w:rsidRDefault="00AD5317" w:rsidP="008F0DC8">
            <w:pPr>
              <w:spacing w:before="40" w:after="0" w:line="240" w:lineRule="auto"/>
              <w:rPr>
                <w:rFonts w:asciiTheme="majorHAnsi" w:hAnsiTheme="majorHAnsi" w:cstheme="majorHAnsi"/>
                <w:color w:val="000000"/>
                <w:sz w:val="22"/>
                <w:szCs w:val="22"/>
              </w:rPr>
            </w:pPr>
          </w:p>
          <w:p w14:paraId="56D4C8DE" w14:textId="77777777" w:rsidR="00AD5317" w:rsidRPr="00AD5317" w:rsidRDefault="00AD5317" w:rsidP="008F0DC8">
            <w:pP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COPIL est tenue et le PTAB 2020 approuvé</w:t>
            </w:r>
          </w:p>
          <w:p w14:paraId="3C2ADB78" w14:textId="77777777" w:rsidR="00AD5317" w:rsidRPr="00AD5317" w:rsidRDefault="00AD5317" w:rsidP="008F0DC8">
            <w:pPr>
              <w:spacing w:before="40" w:after="0" w:line="240" w:lineRule="auto"/>
              <w:rPr>
                <w:rFonts w:asciiTheme="majorHAnsi" w:hAnsiTheme="majorHAnsi" w:cstheme="majorHAnsi"/>
                <w:color w:val="000000"/>
                <w:sz w:val="22"/>
                <w:szCs w:val="22"/>
              </w:rPr>
            </w:pPr>
          </w:p>
          <w:p w14:paraId="533256DF" w14:textId="77777777" w:rsidR="00AD5317" w:rsidRPr="00AD5317" w:rsidRDefault="00AD5317" w:rsidP="008F0DC8">
            <w:pPr>
              <w:spacing w:before="40" w:after="0" w:line="240" w:lineRule="auto"/>
              <w:rPr>
                <w:rFonts w:asciiTheme="majorHAnsi" w:hAnsiTheme="majorHAnsi" w:cstheme="majorHAnsi"/>
                <w:color w:val="000000"/>
                <w:sz w:val="22"/>
                <w:szCs w:val="22"/>
              </w:rPr>
            </w:pPr>
          </w:p>
          <w:p w14:paraId="4D3B7F67" w14:textId="77777777" w:rsidR="00AD5317" w:rsidRPr="00AD5317" w:rsidRDefault="00AD5317" w:rsidP="008F0DC8">
            <w:pPr>
              <w:spacing w:before="40" w:after="0" w:line="240" w:lineRule="auto"/>
              <w:rPr>
                <w:rFonts w:asciiTheme="majorHAnsi" w:hAnsiTheme="majorHAnsi" w:cstheme="majorHAnsi"/>
                <w:color w:val="000000"/>
                <w:sz w:val="22"/>
                <w:szCs w:val="22"/>
              </w:rPr>
            </w:pPr>
          </w:p>
          <w:p w14:paraId="7E937CD0" w14:textId="77777777" w:rsidR="00AD5317" w:rsidRPr="00AD5317" w:rsidRDefault="00AD5317" w:rsidP="008F0DC8">
            <w:pPr>
              <w:spacing w:before="40" w:after="0" w:line="240" w:lineRule="auto"/>
              <w:rPr>
                <w:rFonts w:asciiTheme="majorHAnsi" w:hAnsiTheme="majorHAnsi" w:cstheme="majorHAnsi"/>
                <w:color w:val="000000"/>
                <w:sz w:val="22"/>
                <w:szCs w:val="22"/>
              </w:rPr>
            </w:pPr>
          </w:p>
        </w:tc>
        <w:tc>
          <w:tcPr>
            <w:tcW w:w="2552" w:type="dxa"/>
          </w:tcPr>
          <w:p w14:paraId="7B283510" w14:textId="77777777" w:rsidR="00AD5317" w:rsidRPr="00AD5317" w:rsidRDefault="00AD5317" w:rsidP="008F0DC8">
            <w:pP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La mise en œuvre du programme est rendue facile grâce à la mise en place de  l’ensemble de l’unité de gestion du programme. </w:t>
            </w:r>
          </w:p>
          <w:p w14:paraId="5088B09B"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COPIL tenu et PTBA adopté</w:t>
            </w:r>
          </w:p>
        </w:tc>
        <w:tc>
          <w:tcPr>
            <w:tcW w:w="1140" w:type="dxa"/>
          </w:tcPr>
          <w:p w14:paraId="26EC05A6" w14:textId="77777777" w:rsidR="00AD5317" w:rsidRPr="00AD5317" w:rsidRDefault="00AD5317" w:rsidP="008F0DC8">
            <w:pP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80%</w:t>
            </w:r>
          </w:p>
        </w:tc>
        <w:tc>
          <w:tcPr>
            <w:tcW w:w="2128" w:type="dxa"/>
          </w:tcPr>
          <w:p w14:paraId="47A174E4" w14:textId="77777777" w:rsidR="00AD5317" w:rsidRPr="00AD5317" w:rsidRDefault="00AD5317" w:rsidP="008F0DC8">
            <w:pP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Les staffs recrutés sont identifiables :</w:t>
            </w:r>
          </w:p>
          <w:p w14:paraId="180E2287" w14:textId="77777777" w:rsidR="00AD5317" w:rsidRPr="00AD5317" w:rsidRDefault="00AD5317" w:rsidP="008F0DC8">
            <w:pPr>
              <w:pBdr>
                <w:top w:val="nil"/>
                <w:left w:val="nil"/>
                <w:bottom w:val="nil"/>
                <w:right w:val="nil"/>
                <w:between w:val="nil"/>
              </w:pBdr>
              <w:spacing w:before="40" w:after="0" w:line="240" w:lineRule="auto"/>
              <w:ind w:right="-108"/>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le coordonnateur : Kouadio Ngoran </w:t>
            </w:r>
          </w:p>
          <w:p w14:paraId="714F4465" w14:textId="77777777" w:rsidR="00AD5317" w:rsidRPr="00AD5317" w:rsidRDefault="00AD5317" w:rsidP="008F0DC8">
            <w:pPr>
              <w:pBdr>
                <w:top w:val="nil"/>
                <w:left w:val="nil"/>
                <w:bottom w:val="nil"/>
                <w:right w:val="nil"/>
                <w:between w:val="nil"/>
              </w:pBdr>
              <w:spacing w:before="40" w:after="0" w:line="240" w:lineRule="auto"/>
              <w:ind w:right="-108"/>
              <w:rPr>
                <w:rFonts w:asciiTheme="majorHAnsi" w:hAnsiTheme="majorHAnsi" w:cstheme="majorHAnsi"/>
                <w:color w:val="000000"/>
                <w:sz w:val="22"/>
                <w:szCs w:val="22"/>
              </w:rPr>
            </w:pPr>
            <w:r w:rsidRPr="00AD5317">
              <w:rPr>
                <w:rFonts w:asciiTheme="majorHAnsi" w:hAnsiTheme="majorHAnsi" w:cstheme="majorHAnsi"/>
                <w:color w:val="000000"/>
                <w:sz w:val="22"/>
                <w:szCs w:val="22"/>
              </w:rPr>
              <w:t>l'expert énergie : Yves Zawadi</w:t>
            </w:r>
          </w:p>
          <w:p w14:paraId="08FFCF1B" w14:textId="77777777" w:rsidR="00AD5317" w:rsidRPr="00AD5317" w:rsidRDefault="00AD5317" w:rsidP="008F0DC8">
            <w:pPr>
              <w:pBdr>
                <w:top w:val="nil"/>
                <w:left w:val="nil"/>
                <w:bottom w:val="nil"/>
                <w:right w:val="nil"/>
                <w:between w:val="nil"/>
              </w:pBdr>
              <w:spacing w:before="40" w:after="0" w:line="240" w:lineRule="auto"/>
              <w:ind w:right="-108"/>
              <w:rPr>
                <w:rFonts w:asciiTheme="majorHAnsi" w:hAnsiTheme="majorHAnsi" w:cstheme="majorHAnsi"/>
                <w:color w:val="000000"/>
                <w:sz w:val="22"/>
                <w:szCs w:val="22"/>
              </w:rPr>
            </w:pPr>
            <w:r w:rsidRPr="00AD5317">
              <w:rPr>
                <w:rFonts w:asciiTheme="majorHAnsi" w:hAnsiTheme="majorHAnsi" w:cstheme="majorHAnsi"/>
                <w:color w:val="000000"/>
                <w:sz w:val="22"/>
                <w:szCs w:val="22"/>
              </w:rPr>
              <w:t>l'expert en suivi et évaluation : Patient Kambale</w:t>
            </w:r>
          </w:p>
          <w:p w14:paraId="58B8EE63" w14:textId="77777777" w:rsidR="00AD5317" w:rsidRPr="00AD5317" w:rsidRDefault="00AD5317" w:rsidP="008F0DC8">
            <w:pPr>
              <w:pBdr>
                <w:top w:val="nil"/>
                <w:left w:val="nil"/>
                <w:bottom w:val="nil"/>
                <w:right w:val="nil"/>
                <w:between w:val="nil"/>
              </w:pBdr>
              <w:spacing w:before="40" w:after="0" w:line="240" w:lineRule="auto"/>
              <w:ind w:right="-108"/>
              <w:rPr>
                <w:rFonts w:asciiTheme="majorHAnsi" w:hAnsiTheme="majorHAnsi" w:cstheme="majorHAnsi"/>
                <w:color w:val="000000"/>
                <w:sz w:val="22"/>
                <w:szCs w:val="22"/>
              </w:rPr>
            </w:pPr>
            <w:r w:rsidRPr="00AD5317">
              <w:rPr>
                <w:rFonts w:asciiTheme="majorHAnsi" w:hAnsiTheme="majorHAnsi" w:cstheme="majorHAnsi"/>
                <w:color w:val="000000"/>
                <w:sz w:val="22"/>
                <w:szCs w:val="22"/>
              </w:rPr>
              <w:t>l’analyste financière: Lorraine Ngbanda</w:t>
            </w:r>
          </w:p>
          <w:p w14:paraId="499E32EB" w14:textId="77777777" w:rsidR="00AD5317" w:rsidRPr="00AD5317" w:rsidRDefault="00AD5317" w:rsidP="008F0DC8">
            <w:pPr>
              <w:pBdr>
                <w:top w:val="nil"/>
                <w:left w:val="nil"/>
                <w:bottom w:val="nil"/>
                <w:right w:val="nil"/>
                <w:between w:val="nil"/>
              </w:pBdr>
              <w:spacing w:before="40" w:after="0" w:line="240" w:lineRule="auto"/>
              <w:ind w:right="-108"/>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le logisticien Joël Mugisho  </w:t>
            </w:r>
          </w:p>
          <w:p w14:paraId="55142AE0" w14:textId="77777777" w:rsidR="00AD5317" w:rsidRPr="00AD5317" w:rsidRDefault="00AD5317" w:rsidP="008F0DC8">
            <w:pPr>
              <w:pBdr>
                <w:top w:val="nil"/>
                <w:left w:val="nil"/>
                <w:bottom w:val="nil"/>
                <w:right w:val="nil"/>
                <w:between w:val="nil"/>
              </w:pBdr>
              <w:spacing w:before="40" w:after="0" w:line="240" w:lineRule="auto"/>
              <w:ind w:right="-108"/>
              <w:rPr>
                <w:rFonts w:asciiTheme="majorHAnsi" w:hAnsiTheme="majorHAnsi" w:cstheme="majorHAnsi"/>
                <w:color w:val="000000"/>
                <w:sz w:val="22"/>
                <w:szCs w:val="22"/>
              </w:rPr>
            </w:pPr>
            <w:r w:rsidRPr="00AD5317">
              <w:rPr>
                <w:rFonts w:asciiTheme="majorHAnsi" w:hAnsiTheme="majorHAnsi" w:cstheme="majorHAnsi"/>
                <w:color w:val="000000"/>
                <w:sz w:val="22"/>
                <w:szCs w:val="22"/>
              </w:rPr>
              <w:t>le chauffeur : Célestin Ilunga</w:t>
            </w:r>
          </w:p>
          <w:p w14:paraId="01BDB47C" w14:textId="77777777" w:rsidR="00AD5317" w:rsidRPr="00AD5317" w:rsidRDefault="00AD5317" w:rsidP="008F0DC8">
            <w:pPr>
              <w:pBdr>
                <w:top w:val="nil"/>
                <w:left w:val="nil"/>
                <w:bottom w:val="nil"/>
                <w:right w:val="nil"/>
                <w:between w:val="nil"/>
              </w:pBdr>
              <w:spacing w:before="40" w:after="0" w:line="240" w:lineRule="auto"/>
              <w:rPr>
                <w:rFonts w:asciiTheme="majorHAnsi" w:hAnsiTheme="majorHAnsi" w:cstheme="majorHAnsi"/>
                <w:color w:val="000000"/>
                <w:sz w:val="22"/>
                <w:szCs w:val="22"/>
              </w:rPr>
            </w:pPr>
            <w:r w:rsidRPr="00AD5317">
              <w:rPr>
                <w:rFonts w:asciiTheme="majorHAnsi" w:hAnsiTheme="majorHAnsi" w:cstheme="majorHAnsi"/>
                <w:color w:val="000000"/>
                <w:sz w:val="22"/>
                <w:szCs w:val="22"/>
              </w:rPr>
              <w:t xml:space="preserve">Rapport du COPIL </w:t>
            </w:r>
          </w:p>
        </w:tc>
        <w:tc>
          <w:tcPr>
            <w:tcW w:w="2344" w:type="dxa"/>
          </w:tcPr>
          <w:p w14:paraId="65C1BC1B" w14:textId="77777777" w:rsidR="00AD5317" w:rsidRPr="00AD5317" w:rsidRDefault="00AD5317" w:rsidP="008F0DC8">
            <w:pPr>
              <w:rPr>
                <w:rFonts w:asciiTheme="majorHAnsi" w:hAnsiTheme="majorHAnsi" w:cstheme="majorHAnsi"/>
                <w:sz w:val="22"/>
                <w:szCs w:val="22"/>
              </w:rPr>
            </w:pPr>
          </w:p>
        </w:tc>
      </w:tr>
      <w:bookmarkEnd w:id="11"/>
    </w:tbl>
    <w:p w14:paraId="4F8E857A" w14:textId="29A37AA7" w:rsidR="00AD5317" w:rsidRDefault="00AD5317">
      <w:pPr>
        <w:spacing w:line="240" w:lineRule="auto"/>
        <w:rPr>
          <w:rFonts w:asciiTheme="majorHAnsi" w:hAnsiTheme="majorHAnsi" w:cstheme="majorHAnsi"/>
          <w:color w:val="000000"/>
          <w:sz w:val="22"/>
          <w:szCs w:val="22"/>
        </w:rPr>
      </w:pPr>
    </w:p>
    <w:p w14:paraId="7FA530A1" w14:textId="77777777" w:rsidR="00AD5317" w:rsidRPr="0090014B" w:rsidRDefault="00AD5317">
      <w:pPr>
        <w:spacing w:line="240" w:lineRule="auto"/>
        <w:rPr>
          <w:rFonts w:asciiTheme="majorHAnsi" w:hAnsiTheme="majorHAnsi" w:cstheme="majorHAnsi"/>
          <w:color w:val="000000"/>
          <w:sz w:val="22"/>
          <w:szCs w:val="22"/>
        </w:rPr>
      </w:pPr>
    </w:p>
    <w:p w14:paraId="31350718" w14:textId="77777777" w:rsidR="00C71504" w:rsidRPr="0090014B" w:rsidRDefault="00C71504">
      <w:pPr>
        <w:spacing w:line="240" w:lineRule="auto"/>
        <w:rPr>
          <w:rFonts w:asciiTheme="majorHAnsi" w:hAnsiTheme="majorHAnsi" w:cstheme="majorHAnsi"/>
          <w:color w:val="000000"/>
          <w:sz w:val="22"/>
          <w:szCs w:val="22"/>
        </w:rPr>
      </w:pPr>
    </w:p>
    <w:p w14:paraId="5A5DEB46" w14:textId="77777777" w:rsidR="00C71504" w:rsidRPr="0090014B" w:rsidRDefault="00C71504">
      <w:pPr>
        <w:spacing w:line="240" w:lineRule="auto"/>
        <w:rPr>
          <w:rFonts w:asciiTheme="majorHAnsi" w:hAnsiTheme="majorHAnsi" w:cstheme="majorHAnsi"/>
          <w:color w:val="000000"/>
          <w:sz w:val="22"/>
          <w:szCs w:val="22"/>
        </w:rPr>
      </w:pPr>
    </w:p>
    <w:p w14:paraId="6017C82D" w14:textId="77777777" w:rsidR="00C71504" w:rsidRPr="0090014B" w:rsidRDefault="00353AB7">
      <w:pPr>
        <w:pStyle w:val="Titre1"/>
        <w:numPr>
          <w:ilvl w:val="0"/>
          <w:numId w:val="11"/>
        </w:numPr>
        <w:rPr>
          <w:rFonts w:asciiTheme="majorHAnsi" w:hAnsiTheme="majorHAnsi" w:cstheme="majorHAnsi"/>
          <w:sz w:val="22"/>
          <w:szCs w:val="22"/>
        </w:rPr>
      </w:pPr>
      <w:bookmarkStart w:id="12" w:name="_heading=h.3rdcrjn" w:colFirst="0" w:colLast="0"/>
      <w:bookmarkEnd w:id="12"/>
      <w:r w:rsidRPr="0090014B">
        <w:rPr>
          <w:rFonts w:asciiTheme="majorHAnsi" w:hAnsiTheme="majorHAnsi" w:cstheme="majorHAnsi"/>
          <w:sz w:val="22"/>
          <w:szCs w:val="22"/>
        </w:rPr>
        <w:t>Etat d’avancement des résultats du Programme</w:t>
      </w:r>
    </w:p>
    <w:p w14:paraId="0B6747D5" w14:textId="77777777" w:rsidR="00C71504" w:rsidRPr="0090014B" w:rsidRDefault="00C71504">
      <w:pPr>
        <w:spacing w:line="240" w:lineRule="auto"/>
        <w:rPr>
          <w:rFonts w:asciiTheme="majorHAnsi" w:hAnsiTheme="majorHAnsi" w:cstheme="majorHAnsi"/>
          <w:sz w:val="22"/>
          <w:szCs w:val="22"/>
        </w:rPr>
      </w:pPr>
    </w:p>
    <w:p w14:paraId="143B75EC" w14:textId="77777777" w:rsidR="00C71504" w:rsidRPr="0090014B" w:rsidRDefault="00353AB7">
      <w:pPr>
        <w:spacing w:after="0"/>
        <w:ind w:left="-3" w:right="35" w:firstLine="10"/>
        <w:rPr>
          <w:rFonts w:asciiTheme="majorHAnsi" w:hAnsiTheme="majorHAnsi" w:cstheme="majorHAnsi"/>
          <w:color w:val="000000"/>
          <w:sz w:val="22"/>
          <w:szCs w:val="22"/>
        </w:rPr>
      </w:pPr>
      <w:r w:rsidRPr="0090014B">
        <w:rPr>
          <w:rFonts w:asciiTheme="majorHAnsi" w:hAnsiTheme="majorHAnsi" w:cstheme="majorHAnsi"/>
          <w:color w:val="000000"/>
          <w:sz w:val="22"/>
          <w:szCs w:val="22"/>
        </w:rPr>
        <w:t>Tableau 2 : Etat d’avancement des résultats du programme à la date du 30 juin 2020</w:t>
      </w:r>
    </w:p>
    <w:tbl>
      <w:tblPr>
        <w:tblStyle w:val="8"/>
        <w:tblW w:w="1587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2"/>
        <w:gridCol w:w="2665"/>
        <w:gridCol w:w="1094"/>
        <w:gridCol w:w="794"/>
        <w:gridCol w:w="1828"/>
        <w:gridCol w:w="23"/>
        <w:gridCol w:w="793"/>
        <w:gridCol w:w="814"/>
        <w:gridCol w:w="8"/>
        <w:gridCol w:w="768"/>
        <w:gridCol w:w="1067"/>
        <w:gridCol w:w="3118"/>
        <w:gridCol w:w="985"/>
        <w:gridCol w:w="8"/>
      </w:tblGrid>
      <w:tr w:rsidR="00AD5317" w:rsidRPr="004752F5" w14:paraId="6D007647" w14:textId="77777777" w:rsidTr="004752F5">
        <w:trPr>
          <w:gridAfter w:val="1"/>
          <w:wAfter w:w="8" w:type="dxa"/>
          <w:trHeight w:val="603"/>
          <w:tblHeader/>
        </w:trPr>
        <w:tc>
          <w:tcPr>
            <w:tcW w:w="1912" w:type="dxa"/>
            <w:vMerge w:val="restart"/>
            <w:shd w:val="clear" w:color="auto" w:fill="DDEBF7"/>
          </w:tcPr>
          <w:p w14:paraId="32821125" w14:textId="77777777" w:rsidR="00AD5317" w:rsidRPr="004752F5" w:rsidRDefault="00AD5317" w:rsidP="008F0DC8">
            <w:pPr>
              <w:ind w:left="0" w:right="0" w:firstLine="0"/>
              <w:jc w:val="left"/>
              <w:rPr>
                <w:rFonts w:asciiTheme="majorHAnsi" w:hAnsiTheme="majorHAnsi" w:cstheme="majorHAnsi"/>
                <w:b/>
                <w:color w:val="000000"/>
                <w:sz w:val="22"/>
                <w:szCs w:val="22"/>
              </w:rPr>
            </w:pPr>
            <w:proofErr w:type="spellStart"/>
            <w:r w:rsidRPr="004752F5">
              <w:rPr>
                <w:rFonts w:asciiTheme="majorHAnsi" w:hAnsiTheme="majorHAnsi" w:cstheme="majorHAnsi"/>
                <w:b/>
                <w:color w:val="000000"/>
                <w:sz w:val="22"/>
                <w:szCs w:val="22"/>
              </w:rPr>
              <w:t>Outcomes</w:t>
            </w:r>
            <w:proofErr w:type="spellEnd"/>
            <w:r w:rsidRPr="004752F5">
              <w:rPr>
                <w:rFonts w:asciiTheme="majorHAnsi" w:hAnsiTheme="majorHAnsi" w:cstheme="majorHAnsi"/>
                <w:b/>
                <w:color w:val="000000"/>
                <w:sz w:val="22"/>
                <w:szCs w:val="22"/>
              </w:rPr>
              <w:t xml:space="preserve"> et Outputs </w:t>
            </w:r>
          </w:p>
        </w:tc>
        <w:tc>
          <w:tcPr>
            <w:tcW w:w="2665" w:type="dxa"/>
            <w:vMerge w:val="restart"/>
            <w:shd w:val="clear" w:color="auto" w:fill="DDEBF7"/>
          </w:tcPr>
          <w:p w14:paraId="42D87A14" w14:textId="77777777" w:rsidR="00AD5317" w:rsidRPr="004752F5" w:rsidRDefault="00AD5317" w:rsidP="008F0DC8">
            <w:pPr>
              <w:ind w:left="0" w:right="0" w:firstLine="0"/>
              <w:jc w:val="left"/>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Indicateurs</w:t>
            </w:r>
          </w:p>
          <w:p w14:paraId="05D02F9B" w14:textId="77777777" w:rsidR="00AD5317" w:rsidRPr="004752F5" w:rsidRDefault="00AD5317" w:rsidP="008F0DC8">
            <w:pPr>
              <w:ind w:left="0" w:right="0" w:firstLine="10"/>
              <w:jc w:val="left"/>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 </w:t>
            </w:r>
          </w:p>
        </w:tc>
        <w:tc>
          <w:tcPr>
            <w:tcW w:w="3739" w:type="dxa"/>
            <w:gridSpan w:val="4"/>
            <w:shd w:val="clear" w:color="auto" w:fill="DDEBF7"/>
            <w:vAlign w:val="center"/>
          </w:tcPr>
          <w:p w14:paraId="1EBEF4B9" w14:textId="77777777" w:rsidR="00AD5317" w:rsidRPr="004752F5" w:rsidRDefault="00AD5317" w:rsidP="008F0DC8">
            <w:pPr>
              <w:ind w:left="0" w:right="0" w:firstLine="0"/>
              <w:jc w:val="center"/>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Baseline</w:t>
            </w:r>
          </w:p>
          <w:p w14:paraId="1EBF2584" w14:textId="77777777" w:rsidR="00AD5317" w:rsidRPr="004752F5" w:rsidRDefault="00AD5317" w:rsidP="008F0DC8">
            <w:pPr>
              <w:ind w:left="0" w:right="0" w:firstLine="0"/>
              <w:jc w:val="left"/>
              <w:rPr>
                <w:rFonts w:asciiTheme="majorHAnsi" w:hAnsiTheme="majorHAnsi" w:cstheme="majorHAnsi"/>
                <w:b/>
                <w:color w:val="000000"/>
                <w:sz w:val="22"/>
                <w:szCs w:val="22"/>
              </w:rPr>
            </w:pPr>
          </w:p>
        </w:tc>
        <w:tc>
          <w:tcPr>
            <w:tcW w:w="1615" w:type="dxa"/>
            <w:gridSpan w:val="3"/>
            <w:shd w:val="clear" w:color="auto" w:fill="A6A6A6"/>
            <w:vAlign w:val="center"/>
          </w:tcPr>
          <w:p w14:paraId="260EF74C" w14:textId="77777777" w:rsidR="00AD5317" w:rsidRPr="004752F5" w:rsidRDefault="00AD5317" w:rsidP="008F0DC8">
            <w:pPr>
              <w:ind w:left="0" w:right="0" w:firstLine="0"/>
              <w:jc w:val="center"/>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Cibles</w:t>
            </w:r>
          </w:p>
          <w:p w14:paraId="2731D6E2" w14:textId="77777777" w:rsidR="00AD5317" w:rsidRPr="004752F5" w:rsidRDefault="00AD5317" w:rsidP="008F0DC8">
            <w:pPr>
              <w:ind w:left="0" w:right="0" w:firstLine="0"/>
              <w:jc w:val="center"/>
              <w:rPr>
                <w:rFonts w:asciiTheme="majorHAnsi" w:hAnsiTheme="majorHAnsi" w:cstheme="majorHAnsi"/>
                <w:b/>
                <w:color w:val="000000"/>
                <w:sz w:val="22"/>
                <w:szCs w:val="22"/>
              </w:rPr>
            </w:pPr>
          </w:p>
        </w:tc>
        <w:tc>
          <w:tcPr>
            <w:tcW w:w="1835" w:type="dxa"/>
            <w:gridSpan w:val="2"/>
            <w:shd w:val="clear" w:color="auto" w:fill="F4B084"/>
            <w:vAlign w:val="center"/>
          </w:tcPr>
          <w:p w14:paraId="3E0D5F63" w14:textId="77777777" w:rsidR="00AD5317" w:rsidRPr="004752F5" w:rsidRDefault="00AD5317" w:rsidP="008F0DC8">
            <w:pPr>
              <w:ind w:left="0" w:right="0" w:firstLine="0"/>
              <w:jc w:val="center"/>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Résultats</w:t>
            </w:r>
          </w:p>
          <w:p w14:paraId="22113727" w14:textId="77777777" w:rsidR="00AD5317" w:rsidRPr="004752F5" w:rsidRDefault="00AD5317" w:rsidP="008F0DC8">
            <w:pPr>
              <w:ind w:left="0" w:right="0" w:firstLine="0"/>
              <w:jc w:val="center"/>
              <w:rPr>
                <w:rFonts w:asciiTheme="majorHAnsi" w:hAnsiTheme="majorHAnsi" w:cstheme="majorHAnsi"/>
                <w:b/>
                <w:color w:val="000000"/>
                <w:sz w:val="22"/>
                <w:szCs w:val="22"/>
              </w:rPr>
            </w:pPr>
          </w:p>
        </w:tc>
        <w:tc>
          <w:tcPr>
            <w:tcW w:w="3118" w:type="dxa"/>
            <w:shd w:val="clear" w:color="auto" w:fill="DDEBF7"/>
          </w:tcPr>
          <w:p w14:paraId="097D9303" w14:textId="77777777" w:rsidR="00AD5317" w:rsidRPr="004752F5" w:rsidRDefault="00AD5317" w:rsidP="008F0DC8">
            <w:pPr>
              <w:ind w:left="0" w:right="0" w:firstLine="0"/>
              <w:jc w:val="left"/>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Commentaires</w:t>
            </w:r>
          </w:p>
          <w:p w14:paraId="317D8447" w14:textId="77777777" w:rsidR="00AD5317" w:rsidRPr="004752F5" w:rsidRDefault="00AD5317" w:rsidP="008F0DC8">
            <w:pPr>
              <w:ind w:left="0" w:right="0" w:firstLine="10"/>
              <w:jc w:val="left"/>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 </w:t>
            </w:r>
          </w:p>
        </w:tc>
        <w:tc>
          <w:tcPr>
            <w:tcW w:w="985" w:type="dxa"/>
            <w:shd w:val="clear" w:color="auto" w:fill="C6E0B4"/>
          </w:tcPr>
          <w:p w14:paraId="37485563" w14:textId="77777777" w:rsidR="00AD5317" w:rsidRPr="004752F5" w:rsidRDefault="00AD5317" w:rsidP="00AD5317">
            <w:pPr>
              <w:ind w:left="0" w:right="-105" w:firstLine="0"/>
              <w:jc w:val="center"/>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Ajustement de la cible (cas échéant)</w:t>
            </w:r>
          </w:p>
        </w:tc>
      </w:tr>
      <w:tr w:rsidR="00AD5317" w:rsidRPr="004752F5" w14:paraId="0BA0FE82" w14:textId="77777777" w:rsidTr="004752F5">
        <w:trPr>
          <w:trHeight w:val="20"/>
          <w:tblHeader/>
        </w:trPr>
        <w:tc>
          <w:tcPr>
            <w:tcW w:w="1912" w:type="dxa"/>
            <w:vMerge/>
            <w:shd w:val="clear" w:color="auto" w:fill="DDEBF7"/>
          </w:tcPr>
          <w:p w14:paraId="45C66E4A"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
                <w:color w:val="000000"/>
                <w:sz w:val="22"/>
                <w:szCs w:val="22"/>
              </w:rPr>
            </w:pPr>
          </w:p>
        </w:tc>
        <w:tc>
          <w:tcPr>
            <w:tcW w:w="2665" w:type="dxa"/>
            <w:vMerge/>
            <w:shd w:val="clear" w:color="auto" w:fill="DDEBF7"/>
          </w:tcPr>
          <w:p w14:paraId="6881E752"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
                <w:color w:val="000000"/>
                <w:sz w:val="22"/>
                <w:szCs w:val="22"/>
              </w:rPr>
            </w:pPr>
          </w:p>
        </w:tc>
        <w:tc>
          <w:tcPr>
            <w:tcW w:w="1094" w:type="dxa"/>
            <w:shd w:val="clear" w:color="auto" w:fill="DDEBF7"/>
            <w:vAlign w:val="center"/>
          </w:tcPr>
          <w:p w14:paraId="5A9417D8" w14:textId="77777777" w:rsidR="00AD5317" w:rsidRPr="004752F5" w:rsidRDefault="00AD5317" w:rsidP="008F0DC8">
            <w:pPr>
              <w:ind w:left="0" w:right="0" w:firstLine="0"/>
              <w:jc w:val="left"/>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Valeur</w:t>
            </w:r>
          </w:p>
        </w:tc>
        <w:tc>
          <w:tcPr>
            <w:tcW w:w="794" w:type="dxa"/>
            <w:shd w:val="clear" w:color="auto" w:fill="DDEBF7"/>
            <w:vAlign w:val="center"/>
          </w:tcPr>
          <w:p w14:paraId="7E639840" w14:textId="77777777" w:rsidR="00AD5317" w:rsidRPr="004752F5" w:rsidRDefault="00AD5317" w:rsidP="008F0DC8">
            <w:pPr>
              <w:ind w:left="0" w:right="0" w:firstLine="0"/>
              <w:jc w:val="left"/>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Année</w:t>
            </w:r>
          </w:p>
        </w:tc>
        <w:tc>
          <w:tcPr>
            <w:tcW w:w="1828" w:type="dxa"/>
            <w:shd w:val="clear" w:color="auto" w:fill="DDEBF7"/>
            <w:vAlign w:val="center"/>
          </w:tcPr>
          <w:p w14:paraId="4DD4C6D6" w14:textId="77777777" w:rsidR="00AD5317" w:rsidRPr="004752F5" w:rsidRDefault="00AD5317" w:rsidP="008F0DC8">
            <w:pPr>
              <w:ind w:left="0" w:right="0" w:firstLine="0"/>
              <w:jc w:val="left"/>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Source</w:t>
            </w:r>
          </w:p>
        </w:tc>
        <w:tc>
          <w:tcPr>
            <w:tcW w:w="816" w:type="dxa"/>
            <w:gridSpan w:val="2"/>
            <w:shd w:val="clear" w:color="auto" w:fill="A6A6A6"/>
            <w:vAlign w:val="center"/>
          </w:tcPr>
          <w:p w14:paraId="76DCD5AF" w14:textId="77777777" w:rsidR="00AD5317" w:rsidRPr="004752F5" w:rsidRDefault="00AD5317" w:rsidP="008F0DC8">
            <w:pPr>
              <w:ind w:left="0" w:right="0" w:firstLine="0"/>
              <w:jc w:val="center"/>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2019</w:t>
            </w:r>
          </w:p>
        </w:tc>
        <w:tc>
          <w:tcPr>
            <w:tcW w:w="814" w:type="dxa"/>
            <w:shd w:val="clear" w:color="auto" w:fill="A6A6A6"/>
            <w:vAlign w:val="center"/>
          </w:tcPr>
          <w:p w14:paraId="10FE8187" w14:textId="77777777" w:rsidR="00AD5317" w:rsidRPr="004752F5" w:rsidRDefault="00AD5317" w:rsidP="008F0DC8">
            <w:pPr>
              <w:ind w:left="0" w:right="0" w:firstLine="0"/>
              <w:jc w:val="center"/>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2020</w:t>
            </w:r>
          </w:p>
        </w:tc>
        <w:tc>
          <w:tcPr>
            <w:tcW w:w="776" w:type="dxa"/>
            <w:gridSpan w:val="2"/>
            <w:shd w:val="clear" w:color="auto" w:fill="F4B084"/>
            <w:vAlign w:val="center"/>
          </w:tcPr>
          <w:p w14:paraId="0EBBE1B3" w14:textId="77777777" w:rsidR="00AD5317" w:rsidRPr="004752F5" w:rsidRDefault="00AD5317" w:rsidP="008F0DC8">
            <w:pPr>
              <w:ind w:left="0" w:right="0" w:firstLine="0"/>
              <w:jc w:val="center"/>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2019</w:t>
            </w:r>
          </w:p>
        </w:tc>
        <w:tc>
          <w:tcPr>
            <w:tcW w:w="1067" w:type="dxa"/>
            <w:shd w:val="clear" w:color="auto" w:fill="F4B084"/>
            <w:vAlign w:val="center"/>
          </w:tcPr>
          <w:p w14:paraId="58CE58B5" w14:textId="77777777" w:rsidR="00AD5317" w:rsidRPr="004752F5" w:rsidRDefault="00AD5317" w:rsidP="008F0DC8">
            <w:pPr>
              <w:ind w:left="0" w:right="0" w:firstLine="0"/>
              <w:jc w:val="center"/>
              <w:rPr>
                <w:rFonts w:asciiTheme="majorHAnsi" w:hAnsiTheme="majorHAnsi" w:cstheme="majorHAnsi"/>
                <w:b/>
                <w:color w:val="000000"/>
                <w:sz w:val="22"/>
                <w:szCs w:val="22"/>
              </w:rPr>
            </w:pPr>
            <w:r w:rsidRPr="004752F5">
              <w:rPr>
                <w:rFonts w:asciiTheme="majorHAnsi" w:hAnsiTheme="majorHAnsi" w:cstheme="majorHAnsi"/>
                <w:b/>
                <w:color w:val="000000"/>
                <w:sz w:val="22"/>
                <w:szCs w:val="22"/>
              </w:rPr>
              <w:t>2020</w:t>
            </w:r>
          </w:p>
        </w:tc>
        <w:tc>
          <w:tcPr>
            <w:tcW w:w="3118" w:type="dxa"/>
            <w:shd w:val="clear" w:color="auto" w:fill="DDEBF7"/>
          </w:tcPr>
          <w:p w14:paraId="7F2DF8EF"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
                <w:color w:val="000000"/>
                <w:sz w:val="22"/>
                <w:szCs w:val="22"/>
              </w:rPr>
            </w:pPr>
          </w:p>
        </w:tc>
        <w:tc>
          <w:tcPr>
            <w:tcW w:w="993" w:type="dxa"/>
            <w:gridSpan w:val="2"/>
            <w:shd w:val="clear" w:color="auto" w:fill="C6E0B4"/>
          </w:tcPr>
          <w:p w14:paraId="21B3D938"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
                <w:color w:val="000000"/>
                <w:sz w:val="22"/>
                <w:szCs w:val="22"/>
              </w:rPr>
            </w:pPr>
          </w:p>
        </w:tc>
      </w:tr>
      <w:tr w:rsidR="00AD5317" w:rsidRPr="004752F5" w14:paraId="06705437" w14:textId="77777777" w:rsidTr="004752F5">
        <w:trPr>
          <w:trHeight w:val="20"/>
        </w:trPr>
        <w:tc>
          <w:tcPr>
            <w:tcW w:w="1912" w:type="dxa"/>
            <w:vMerge w:val="restart"/>
            <w:shd w:val="clear" w:color="auto" w:fill="C5E0B3"/>
          </w:tcPr>
          <w:p w14:paraId="3A506771"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Impact : La   déforestation stabilisée et les émissions de gaz à effet de serre liés à la production consommation énergétique de cuisson, y compris le bois sont réduites.  </w:t>
            </w:r>
          </w:p>
        </w:tc>
        <w:tc>
          <w:tcPr>
            <w:tcW w:w="2665" w:type="dxa"/>
            <w:shd w:val="clear" w:color="auto" w:fill="C5E0B3"/>
          </w:tcPr>
          <w:p w14:paraId="399D25F4"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 Taux (en %) de réduction des pertes de forêt due à la production de bois-énergie (%)</w:t>
            </w:r>
          </w:p>
        </w:tc>
        <w:tc>
          <w:tcPr>
            <w:tcW w:w="1094" w:type="dxa"/>
            <w:shd w:val="clear" w:color="auto" w:fill="C5E0B3"/>
            <w:vAlign w:val="center"/>
          </w:tcPr>
          <w:p w14:paraId="5CC5DB8E"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794" w:type="dxa"/>
            <w:shd w:val="clear" w:color="auto" w:fill="C5E0B3"/>
            <w:vAlign w:val="center"/>
          </w:tcPr>
          <w:p w14:paraId="2D84AF3A"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1828" w:type="dxa"/>
            <w:shd w:val="clear" w:color="auto" w:fill="C5E0B3"/>
            <w:vAlign w:val="center"/>
          </w:tcPr>
          <w:p w14:paraId="56431956"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Rapports DIAF/SNSF</w:t>
            </w:r>
          </w:p>
        </w:tc>
        <w:tc>
          <w:tcPr>
            <w:tcW w:w="816" w:type="dxa"/>
            <w:gridSpan w:val="2"/>
            <w:shd w:val="clear" w:color="auto" w:fill="C5E0B3"/>
            <w:vAlign w:val="center"/>
          </w:tcPr>
          <w:p w14:paraId="672FED34" w14:textId="77777777" w:rsidR="00AD5317" w:rsidRPr="004752F5" w:rsidRDefault="00AD5317" w:rsidP="008F0DC8">
            <w:pPr>
              <w:ind w:left="0" w:right="0" w:firstLine="0"/>
              <w:jc w:val="center"/>
              <w:rPr>
                <w:rFonts w:asciiTheme="majorHAnsi" w:hAnsiTheme="majorHAnsi" w:cstheme="majorHAnsi"/>
                <w:bCs/>
                <w:color w:val="000000"/>
                <w:sz w:val="22"/>
                <w:szCs w:val="22"/>
              </w:rPr>
            </w:pPr>
          </w:p>
        </w:tc>
        <w:tc>
          <w:tcPr>
            <w:tcW w:w="814" w:type="dxa"/>
            <w:shd w:val="clear" w:color="auto" w:fill="C5E0B3"/>
            <w:vAlign w:val="center"/>
          </w:tcPr>
          <w:p w14:paraId="34ABD27C" w14:textId="77777777" w:rsidR="00AD5317" w:rsidRPr="004752F5" w:rsidRDefault="00AD5317" w:rsidP="008F0DC8">
            <w:pPr>
              <w:ind w:left="0" w:right="0" w:firstLine="0"/>
              <w:jc w:val="center"/>
              <w:rPr>
                <w:rFonts w:asciiTheme="majorHAnsi" w:hAnsiTheme="majorHAnsi" w:cstheme="majorHAnsi"/>
                <w:bCs/>
                <w:color w:val="000000"/>
                <w:sz w:val="22"/>
                <w:szCs w:val="22"/>
              </w:rPr>
            </w:pPr>
          </w:p>
        </w:tc>
        <w:tc>
          <w:tcPr>
            <w:tcW w:w="776" w:type="dxa"/>
            <w:gridSpan w:val="2"/>
            <w:shd w:val="clear" w:color="auto" w:fill="C5E0B3"/>
            <w:vAlign w:val="center"/>
          </w:tcPr>
          <w:p w14:paraId="3EB6BCC8"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C5E0B3"/>
            <w:vAlign w:val="center"/>
          </w:tcPr>
          <w:p w14:paraId="0375276A" w14:textId="77777777" w:rsidR="00AD5317" w:rsidRPr="004752F5" w:rsidRDefault="00AD5317" w:rsidP="008F0DC8">
            <w:pPr>
              <w:ind w:left="0" w:right="0" w:firstLine="0"/>
              <w:jc w:val="center"/>
              <w:rPr>
                <w:rFonts w:asciiTheme="majorHAnsi" w:hAnsiTheme="majorHAnsi" w:cstheme="majorHAnsi"/>
                <w:bCs/>
                <w:color w:val="000000"/>
                <w:sz w:val="22"/>
                <w:szCs w:val="22"/>
              </w:rPr>
            </w:pPr>
          </w:p>
        </w:tc>
        <w:tc>
          <w:tcPr>
            <w:tcW w:w="3118" w:type="dxa"/>
            <w:shd w:val="clear" w:color="auto" w:fill="C5E0B3"/>
          </w:tcPr>
          <w:p w14:paraId="4075D06B"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La valeur de base pour cet indicateur sera renseignée avec le concours du système national de surveillance des forêts. Et la cible finale sera mesurée à la fin du programme.</w:t>
            </w:r>
          </w:p>
        </w:tc>
        <w:tc>
          <w:tcPr>
            <w:tcW w:w="993" w:type="dxa"/>
            <w:gridSpan w:val="2"/>
            <w:shd w:val="clear" w:color="auto" w:fill="C5E0B3"/>
          </w:tcPr>
          <w:p w14:paraId="02C97A95"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5AE094E7" w14:textId="77777777" w:rsidTr="004752F5">
        <w:trPr>
          <w:trHeight w:val="20"/>
        </w:trPr>
        <w:tc>
          <w:tcPr>
            <w:tcW w:w="1912" w:type="dxa"/>
            <w:vMerge/>
            <w:shd w:val="clear" w:color="auto" w:fill="C5E0B3"/>
          </w:tcPr>
          <w:p w14:paraId="1E5B6A4C"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C5E0B3"/>
          </w:tcPr>
          <w:p w14:paraId="3409A571"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 Volume des émissions de GES liées à la production et la consommation énergétique de cuisson</w:t>
            </w:r>
          </w:p>
        </w:tc>
        <w:tc>
          <w:tcPr>
            <w:tcW w:w="1094" w:type="dxa"/>
            <w:shd w:val="clear" w:color="auto" w:fill="C5E0B3"/>
            <w:vAlign w:val="center"/>
          </w:tcPr>
          <w:p w14:paraId="711CA159"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794" w:type="dxa"/>
            <w:shd w:val="clear" w:color="auto" w:fill="C5E0B3"/>
            <w:vAlign w:val="center"/>
          </w:tcPr>
          <w:p w14:paraId="7266CBDA"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1828" w:type="dxa"/>
            <w:shd w:val="clear" w:color="auto" w:fill="C5E0B3"/>
            <w:vAlign w:val="center"/>
          </w:tcPr>
          <w:p w14:paraId="6CA75DCF"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Etudes de référence bois-énergie et GPL réalisées faite par CIRAD</w:t>
            </w:r>
          </w:p>
        </w:tc>
        <w:tc>
          <w:tcPr>
            <w:tcW w:w="816" w:type="dxa"/>
            <w:gridSpan w:val="2"/>
            <w:shd w:val="clear" w:color="auto" w:fill="C5E0B3"/>
            <w:vAlign w:val="center"/>
          </w:tcPr>
          <w:p w14:paraId="6BC6B287" w14:textId="77777777" w:rsidR="00AD5317" w:rsidRPr="004752F5" w:rsidRDefault="00AD5317" w:rsidP="008F0DC8">
            <w:pPr>
              <w:ind w:left="0" w:right="0" w:firstLine="0"/>
              <w:jc w:val="center"/>
              <w:rPr>
                <w:rFonts w:asciiTheme="majorHAnsi" w:hAnsiTheme="majorHAnsi" w:cstheme="majorHAnsi"/>
                <w:bCs/>
                <w:color w:val="000000"/>
                <w:sz w:val="22"/>
                <w:szCs w:val="22"/>
              </w:rPr>
            </w:pPr>
          </w:p>
        </w:tc>
        <w:tc>
          <w:tcPr>
            <w:tcW w:w="814" w:type="dxa"/>
            <w:shd w:val="clear" w:color="auto" w:fill="C5E0B3"/>
            <w:vAlign w:val="center"/>
          </w:tcPr>
          <w:p w14:paraId="40BBC746" w14:textId="77777777" w:rsidR="00AD5317" w:rsidRPr="004752F5" w:rsidRDefault="00AD5317" w:rsidP="008F0DC8">
            <w:pPr>
              <w:ind w:left="0" w:right="0" w:firstLine="0"/>
              <w:jc w:val="center"/>
              <w:rPr>
                <w:rFonts w:asciiTheme="majorHAnsi" w:hAnsiTheme="majorHAnsi" w:cstheme="majorHAnsi"/>
                <w:bCs/>
                <w:color w:val="000000"/>
                <w:sz w:val="22"/>
                <w:szCs w:val="22"/>
              </w:rPr>
            </w:pPr>
          </w:p>
        </w:tc>
        <w:tc>
          <w:tcPr>
            <w:tcW w:w="776" w:type="dxa"/>
            <w:gridSpan w:val="2"/>
            <w:shd w:val="clear" w:color="auto" w:fill="C5E0B3"/>
            <w:vAlign w:val="center"/>
          </w:tcPr>
          <w:p w14:paraId="7ED8A75C"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C5E0B3"/>
            <w:vAlign w:val="center"/>
          </w:tcPr>
          <w:p w14:paraId="589979F1" w14:textId="77777777" w:rsidR="00AD5317" w:rsidRPr="004752F5" w:rsidRDefault="00AD5317" w:rsidP="008F0DC8">
            <w:pPr>
              <w:ind w:left="0" w:right="0" w:firstLine="0"/>
              <w:jc w:val="center"/>
              <w:rPr>
                <w:rFonts w:asciiTheme="majorHAnsi" w:hAnsiTheme="majorHAnsi" w:cstheme="majorHAnsi"/>
                <w:bCs/>
                <w:color w:val="000000"/>
                <w:sz w:val="22"/>
                <w:szCs w:val="22"/>
              </w:rPr>
            </w:pPr>
          </w:p>
        </w:tc>
        <w:tc>
          <w:tcPr>
            <w:tcW w:w="3118" w:type="dxa"/>
            <w:shd w:val="clear" w:color="auto" w:fill="C5E0B3"/>
          </w:tcPr>
          <w:p w14:paraId="12E806C5"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L’indicateur sera enseigné dans les études de la filière bois-énergie qui est toujours en cours.</w:t>
            </w:r>
          </w:p>
        </w:tc>
        <w:tc>
          <w:tcPr>
            <w:tcW w:w="993" w:type="dxa"/>
            <w:gridSpan w:val="2"/>
            <w:shd w:val="clear" w:color="auto" w:fill="C5E0B3"/>
          </w:tcPr>
          <w:p w14:paraId="6A585C7A"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74427F06" w14:textId="77777777" w:rsidTr="004752F5">
        <w:trPr>
          <w:trHeight w:val="20"/>
        </w:trPr>
        <w:tc>
          <w:tcPr>
            <w:tcW w:w="1912" w:type="dxa"/>
            <w:vMerge/>
            <w:shd w:val="clear" w:color="auto" w:fill="C5E0B3"/>
          </w:tcPr>
          <w:p w14:paraId="74BD40ED"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C5E0B3"/>
          </w:tcPr>
          <w:p w14:paraId="1B70AA3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3. Taux de réduction des dépenses des ménages liées à l’énergie de cuisson dans les zones cibles</w:t>
            </w:r>
          </w:p>
        </w:tc>
        <w:tc>
          <w:tcPr>
            <w:tcW w:w="1094" w:type="dxa"/>
            <w:shd w:val="clear" w:color="auto" w:fill="C5E0B3"/>
            <w:vAlign w:val="center"/>
          </w:tcPr>
          <w:p w14:paraId="4C3F3CB9"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Kin 13%</w:t>
            </w:r>
          </w:p>
          <w:p w14:paraId="31097441" w14:textId="77777777" w:rsidR="00AD5317" w:rsidRPr="004752F5" w:rsidRDefault="00AD5317" w:rsidP="008F0DC8">
            <w:pPr>
              <w:ind w:left="0" w:right="0" w:firstLine="0"/>
              <w:jc w:val="left"/>
              <w:rPr>
                <w:rFonts w:asciiTheme="majorHAnsi" w:hAnsiTheme="majorHAnsi" w:cstheme="majorHAnsi"/>
                <w:bCs/>
                <w:color w:val="000000"/>
                <w:sz w:val="22"/>
                <w:szCs w:val="22"/>
              </w:rPr>
            </w:pPr>
            <w:proofErr w:type="spellStart"/>
            <w:r w:rsidRPr="004752F5">
              <w:rPr>
                <w:rFonts w:asciiTheme="majorHAnsi" w:hAnsiTheme="majorHAnsi" w:cstheme="majorHAnsi"/>
                <w:bCs/>
                <w:color w:val="000000"/>
                <w:sz w:val="22"/>
                <w:szCs w:val="22"/>
              </w:rPr>
              <w:t>Lub</w:t>
            </w:r>
            <w:proofErr w:type="spellEnd"/>
            <w:r w:rsidRPr="004752F5">
              <w:rPr>
                <w:rFonts w:asciiTheme="majorHAnsi" w:hAnsiTheme="majorHAnsi" w:cstheme="majorHAnsi"/>
                <w:bCs/>
                <w:color w:val="000000"/>
                <w:sz w:val="22"/>
                <w:szCs w:val="22"/>
              </w:rPr>
              <w:t xml:space="preserve"> 10%</w:t>
            </w:r>
          </w:p>
          <w:p w14:paraId="52BD9C6E" w14:textId="77777777" w:rsidR="00AD5317" w:rsidRPr="004752F5" w:rsidRDefault="00AD5317" w:rsidP="008F0DC8">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Bukavu 17%</w:t>
            </w:r>
          </w:p>
          <w:p w14:paraId="4F27185A" w14:textId="77777777" w:rsidR="00AD5317" w:rsidRPr="004752F5" w:rsidRDefault="00AD5317" w:rsidP="008F0DC8">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Goma 20%</w:t>
            </w:r>
          </w:p>
        </w:tc>
        <w:tc>
          <w:tcPr>
            <w:tcW w:w="794" w:type="dxa"/>
            <w:shd w:val="clear" w:color="auto" w:fill="C5E0B3"/>
            <w:vAlign w:val="center"/>
          </w:tcPr>
          <w:p w14:paraId="29DE203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C5E0B3"/>
            <w:vAlign w:val="center"/>
          </w:tcPr>
          <w:p w14:paraId="4986D0EC"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Etudes de référence bois-énergie et GPL réalisées par CIRAD</w:t>
            </w:r>
          </w:p>
        </w:tc>
        <w:tc>
          <w:tcPr>
            <w:tcW w:w="816" w:type="dxa"/>
            <w:gridSpan w:val="2"/>
            <w:shd w:val="clear" w:color="auto" w:fill="C5E0B3"/>
            <w:vAlign w:val="center"/>
          </w:tcPr>
          <w:p w14:paraId="5409B9A3" w14:textId="77777777" w:rsidR="00AD5317" w:rsidRPr="004752F5" w:rsidRDefault="00AD5317" w:rsidP="008F0DC8">
            <w:pPr>
              <w:ind w:left="0" w:right="0" w:firstLine="0"/>
              <w:jc w:val="center"/>
              <w:rPr>
                <w:rFonts w:asciiTheme="majorHAnsi" w:hAnsiTheme="majorHAnsi" w:cstheme="majorHAnsi"/>
                <w:bCs/>
                <w:color w:val="000000"/>
                <w:sz w:val="22"/>
                <w:szCs w:val="22"/>
              </w:rPr>
            </w:pPr>
          </w:p>
        </w:tc>
        <w:tc>
          <w:tcPr>
            <w:tcW w:w="814" w:type="dxa"/>
            <w:shd w:val="clear" w:color="auto" w:fill="C5E0B3"/>
            <w:vAlign w:val="center"/>
          </w:tcPr>
          <w:p w14:paraId="14237C22" w14:textId="77777777" w:rsidR="00AD5317" w:rsidRPr="004752F5" w:rsidRDefault="00AD5317" w:rsidP="008F0DC8">
            <w:pPr>
              <w:ind w:left="0" w:right="0" w:firstLine="0"/>
              <w:jc w:val="center"/>
              <w:rPr>
                <w:rFonts w:asciiTheme="majorHAnsi" w:hAnsiTheme="majorHAnsi" w:cstheme="majorHAnsi"/>
                <w:bCs/>
                <w:color w:val="000000"/>
                <w:sz w:val="22"/>
                <w:szCs w:val="22"/>
              </w:rPr>
            </w:pPr>
          </w:p>
        </w:tc>
        <w:tc>
          <w:tcPr>
            <w:tcW w:w="776" w:type="dxa"/>
            <w:gridSpan w:val="2"/>
            <w:shd w:val="clear" w:color="auto" w:fill="C5E0B3"/>
            <w:vAlign w:val="center"/>
          </w:tcPr>
          <w:p w14:paraId="305DD6A1"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C5E0B3"/>
            <w:vAlign w:val="center"/>
          </w:tcPr>
          <w:p w14:paraId="1AFFB3C2" w14:textId="77777777" w:rsidR="00AD5317" w:rsidRPr="004752F5" w:rsidRDefault="00AD5317" w:rsidP="008F0DC8">
            <w:pPr>
              <w:ind w:left="0" w:right="-248"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Kin 13%</w:t>
            </w:r>
          </w:p>
          <w:p w14:paraId="5E9FE813" w14:textId="77777777" w:rsidR="00AD5317" w:rsidRPr="004752F5" w:rsidRDefault="00AD5317" w:rsidP="008F0DC8">
            <w:pPr>
              <w:ind w:left="0" w:right="-248" w:firstLine="0"/>
              <w:jc w:val="left"/>
              <w:rPr>
                <w:rFonts w:asciiTheme="majorHAnsi" w:hAnsiTheme="majorHAnsi" w:cstheme="majorHAnsi"/>
                <w:bCs/>
                <w:color w:val="000000"/>
                <w:sz w:val="22"/>
                <w:szCs w:val="22"/>
              </w:rPr>
            </w:pPr>
            <w:proofErr w:type="spellStart"/>
            <w:r w:rsidRPr="004752F5">
              <w:rPr>
                <w:rFonts w:asciiTheme="majorHAnsi" w:hAnsiTheme="majorHAnsi" w:cstheme="majorHAnsi"/>
                <w:bCs/>
                <w:color w:val="000000"/>
                <w:sz w:val="22"/>
                <w:szCs w:val="22"/>
              </w:rPr>
              <w:t>Lub</w:t>
            </w:r>
            <w:proofErr w:type="spellEnd"/>
            <w:r w:rsidRPr="004752F5">
              <w:rPr>
                <w:rFonts w:asciiTheme="majorHAnsi" w:hAnsiTheme="majorHAnsi" w:cstheme="majorHAnsi"/>
                <w:bCs/>
                <w:color w:val="000000"/>
                <w:sz w:val="22"/>
                <w:szCs w:val="22"/>
              </w:rPr>
              <w:t xml:space="preserve"> 10%</w:t>
            </w:r>
          </w:p>
          <w:p w14:paraId="37970F7F" w14:textId="77777777" w:rsidR="00AD5317" w:rsidRPr="004752F5" w:rsidRDefault="00AD5317" w:rsidP="008F0DC8">
            <w:pPr>
              <w:ind w:left="0" w:right="-248"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Bukavu 17%</w:t>
            </w:r>
          </w:p>
          <w:p w14:paraId="393A58DF" w14:textId="77777777" w:rsidR="00AD5317" w:rsidRPr="004752F5" w:rsidRDefault="00AD5317" w:rsidP="008F0DC8">
            <w:pPr>
              <w:ind w:left="0" w:right="-248"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Goma 20%</w:t>
            </w:r>
          </w:p>
        </w:tc>
        <w:tc>
          <w:tcPr>
            <w:tcW w:w="3118" w:type="dxa"/>
            <w:shd w:val="clear" w:color="auto" w:fill="C5E0B3"/>
          </w:tcPr>
          <w:p w14:paraId="0E7045C5"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sz w:val="22"/>
                <w:szCs w:val="22"/>
              </w:rPr>
              <w:t xml:space="preserve">Les études de </w:t>
            </w:r>
            <w:proofErr w:type="spellStart"/>
            <w:r w:rsidRPr="004752F5">
              <w:rPr>
                <w:rFonts w:asciiTheme="majorHAnsi" w:hAnsiTheme="majorHAnsi" w:cstheme="majorHAnsi"/>
                <w:bCs/>
                <w:sz w:val="22"/>
                <w:szCs w:val="22"/>
              </w:rPr>
              <w:t>baseline</w:t>
            </w:r>
            <w:proofErr w:type="spellEnd"/>
            <w:r w:rsidRPr="004752F5">
              <w:rPr>
                <w:rFonts w:asciiTheme="majorHAnsi" w:hAnsiTheme="majorHAnsi" w:cstheme="majorHAnsi"/>
                <w:bCs/>
                <w:sz w:val="22"/>
                <w:szCs w:val="22"/>
              </w:rPr>
              <w:t xml:space="preserve"> de fin de programme nous donneront les taux de réduction globale.</w:t>
            </w:r>
            <w:r w:rsidRPr="004752F5">
              <w:rPr>
                <w:rFonts w:asciiTheme="majorHAnsi" w:hAnsiTheme="majorHAnsi" w:cstheme="majorHAnsi"/>
                <w:bCs/>
                <w:color w:val="000000"/>
                <w:sz w:val="22"/>
                <w:szCs w:val="22"/>
              </w:rPr>
              <w:t xml:space="preserve"> Nous l’avons aussi désagrégée pour voir la comparaison entre les </w:t>
            </w:r>
            <w:r w:rsidRPr="004752F5">
              <w:rPr>
                <w:rFonts w:asciiTheme="majorHAnsi" w:hAnsiTheme="majorHAnsi" w:cstheme="majorHAnsi"/>
                <w:bCs/>
                <w:sz w:val="22"/>
                <w:szCs w:val="22"/>
              </w:rPr>
              <w:t>différentes villes où</w:t>
            </w:r>
            <w:r w:rsidRPr="004752F5">
              <w:rPr>
                <w:rFonts w:asciiTheme="majorHAnsi" w:hAnsiTheme="majorHAnsi" w:cstheme="majorHAnsi"/>
                <w:bCs/>
                <w:color w:val="000000"/>
                <w:sz w:val="22"/>
                <w:szCs w:val="22"/>
              </w:rPr>
              <w:t xml:space="preserve"> sont exécutées les activités.</w:t>
            </w:r>
          </w:p>
        </w:tc>
        <w:tc>
          <w:tcPr>
            <w:tcW w:w="993" w:type="dxa"/>
            <w:gridSpan w:val="2"/>
            <w:shd w:val="clear" w:color="auto" w:fill="C5E0B3"/>
          </w:tcPr>
          <w:p w14:paraId="0431597B"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1AEECEAE" w14:textId="77777777" w:rsidTr="004752F5">
        <w:trPr>
          <w:trHeight w:val="864"/>
        </w:trPr>
        <w:tc>
          <w:tcPr>
            <w:tcW w:w="1912" w:type="dxa"/>
            <w:vMerge w:val="restart"/>
            <w:shd w:val="clear" w:color="auto" w:fill="C5E0B3"/>
          </w:tcPr>
          <w:p w14:paraId="361003FD" w14:textId="77777777" w:rsidR="00AD5317" w:rsidRPr="004752F5" w:rsidRDefault="00AD5317" w:rsidP="008F0DC8">
            <w:pPr>
              <w:ind w:left="0" w:right="0" w:firstLine="0"/>
              <w:jc w:val="left"/>
              <w:rPr>
                <w:rFonts w:asciiTheme="majorHAnsi" w:hAnsiTheme="majorHAnsi" w:cstheme="majorHAnsi"/>
                <w:bCs/>
                <w:color w:val="000000"/>
                <w:sz w:val="22"/>
                <w:szCs w:val="22"/>
              </w:rPr>
            </w:pPr>
            <w:proofErr w:type="spellStart"/>
            <w:r w:rsidRPr="004752F5">
              <w:rPr>
                <w:rFonts w:asciiTheme="majorHAnsi" w:hAnsiTheme="majorHAnsi" w:cstheme="majorHAnsi"/>
                <w:bCs/>
                <w:color w:val="000000"/>
                <w:sz w:val="22"/>
                <w:szCs w:val="22"/>
                <w:u w:val="single"/>
              </w:rPr>
              <w:t>Outcome</w:t>
            </w:r>
            <w:proofErr w:type="spellEnd"/>
            <w:r w:rsidRPr="004752F5">
              <w:rPr>
                <w:rFonts w:asciiTheme="majorHAnsi" w:hAnsiTheme="majorHAnsi" w:cstheme="majorHAnsi"/>
                <w:bCs/>
                <w:color w:val="000000"/>
                <w:sz w:val="22"/>
                <w:szCs w:val="22"/>
                <w:u w:val="single"/>
              </w:rPr>
              <w:t xml:space="preserve"> 1</w:t>
            </w:r>
            <w:r w:rsidRPr="004752F5">
              <w:rPr>
                <w:rFonts w:asciiTheme="majorHAnsi" w:hAnsiTheme="majorHAnsi" w:cstheme="majorHAnsi"/>
                <w:bCs/>
                <w:color w:val="000000"/>
                <w:sz w:val="22"/>
                <w:szCs w:val="22"/>
              </w:rPr>
              <w:t xml:space="preserve"> : Le gouvernement de la RDC et les consommateurs comprennent l’importance des combustibles propres et foyers améliorés</w:t>
            </w:r>
          </w:p>
        </w:tc>
        <w:tc>
          <w:tcPr>
            <w:tcW w:w="2665" w:type="dxa"/>
            <w:shd w:val="clear" w:color="auto" w:fill="C5E0B3"/>
          </w:tcPr>
          <w:p w14:paraId="1F75CFA9"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 Existence d’un mécanisme de coordination sur les énergies</w:t>
            </w:r>
          </w:p>
        </w:tc>
        <w:tc>
          <w:tcPr>
            <w:tcW w:w="1094" w:type="dxa"/>
            <w:shd w:val="clear" w:color="auto" w:fill="C5E0B3"/>
            <w:vAlign w:val="center"/>
          </w:tcPr>
          <w:p w14:paraId="05AC5C91"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C5E0B3"/>
            <w:vAlign w:val="center"/>
          </w:tcPr>
          <w:p w14:paraId="4067D5CE"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C5E0B3"/>
            <w:vAlign w:val="center"/>
          </w:tcPr>
          <w:p w14:paraId="6A822357"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 annuel d’activités du mécanisme de coordination du secteur ; Rapports de réunion</w:t>
            </w:r>
          </w:p>
        </w:tc>
        <w:tc>
          <w:tcPr>
            <w:tcW w:w="816" w:type="dxa"/>
            <w:gridSpan w:val="2"/>
            <w:shd w:val="clear" w:color="auto" w:fill="C5E0B3"/>
            <w:vAlign w:val="center"/>
          </w:tcPr>
          <w:p w14:paraId="1D92A2D7"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814" w:type="dxa"/>
            <w:shd w:val="clear" w:color="auto" w:fill="C5E0B3"/>
            <w:vAlign w:val="center"/>
          </w:tcPr>
          <w:p w14:paraId="1D7DCA9B"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1</w:t>
            </w:r>
          </w:p>
        </w:tc>
        <w:tc>
          <w:tcPr>
            <w:tcW w:w="776" w:type="dxa"/>
            <w:gridSpan w:val="2"/>
            <w:shd w:val="clear" w:color="auto" w:fill="C5E0B3"/>
            <w:vAlign w:val="center"/>
          </w:tcPr>
          <w:p w14:paraId="7DD24E22"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C5E0B3"/>
            <w:vAlign w:val="center"/>
          </w:tcPr>
          <w:p w14:paraId="080C668A"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C5E0B3"/>
          </w:tcPr>
          <w:p w14:paraId="5EC67D18" w14:textId="77777777" w:rsidR="00AD5317" w:rsidRPr="004752F5" w:rsidRDefault="00AD5317" w:rsidP="008F0DC8">
            <w:pPr>
              <w:pBdr>
                <w:top w:val="nil"/>
                <w:left w:val="nil"/>
                <w:bottom w:val="nil"/>
                <w:right w:val="nil"/>
                <w:between w:val="nil"/>
              </w:pBd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Un projet d’appui à la formation et restructuration de l’alliance congolaise pour les FA a été finalisé et sera mise en œuvre en 2021. Il y aura un groupe de travail FA et un autre sur le GPL qui seront établis </w:t>
            </w:r>
          </w:p>
        </w:tc>
        <w:tc>
          <w:tcPr>
            <w:tcW w:w="993" w:type="dxa"/>
            <w:gridSpan w:val="2"/>
            <w:shd w:val="clear" w:color="auto" w:fill="C5E0B3"/>
          </w:tcPr>
          <w:p w14:paraId="7FB9EE10"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021DDC4B" w14:textId="77777777" w:rsidTr="004752F5">
        <w:trPr>
          <w:trHeight w:val="20"/>
        </w:trPr>
        <w:tc>
          <w:tcPr>
            <w:tcW w:w="1912" w:type="dxa"/>
            <w:vMerge/>
            <w:shd w:val="clear" w:color="auto" w:fill="C5E0B3"/>
          </w:tcPr>
          <w:p w14:paraId="567BAE38"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C5E0B3"/>
          </w:tcPr>
          <w:p w14:paraId="61D77F5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2. Pourcentage de personnes supplémentaires ayant une compréhension des bénéfices de la cuisson propre (groupé par type d’énergie/foyer, </w:t>
            </w:r>
            <w:proofErr w:type="spellStart"/>
            <w:r w:rsidRPr="004752F5">
              <w:rPr>
                <w:rFonts w:asciiTheme="majorHAnsi" w:hAnsiTheme="majorHAnsi" w:cstheme="majorHAnsi"/>
                <w:bCs/>
                <w:color w:val="000000"/>
                <w:sz w:val="22"/>
                <w:szCs w:val="22"/>
              </w:rPr>
              <w:t>catég</w:t>
            </w:r>
            <w:proofErr w:type="spellEnd"/>
            <w:r w:rsidRPr="004752F5">
              <w:rPr>
                <w:rFonts w:asciiTheme="majorHAnsi" w:hAnsiTheme="majorHAnsi" w:cstheme="majorHAnsi"/>
                <w:bCs/>
                <w:color w:val="000000"/>
                <w:sz w:val="22"/>
                <w:szCs w:val="22"/>
              </w:rPr>
              <w:t>. d’utilisateurs et Genre) dans les zones cibles</w:t>
            </w:r>
          </w:p>
        </w:tc>
        <w:tc>
          <w:tcPr>
            <w:tcW w:w="1094" w:type="dxa"/>
            <w:shd w:val="clear" w:color="auto" w:fill="C5E0B3"/>
            <w:vAlign w:val="center"/>
          </w:tcPr>
          <w:p w14:paraId="233D4D7B"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794" w:type="dxa"/>
            <w:shd w:val="clear" w:color="auto" w:fill="C5E0B3"/>
            <w:vAlign w:val="center"/>
          </w:tcPr>
          <w:p w14:paraId="01D21A7D"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C5E0B3"/>
            <w:vAlign w:val="center"/>
          </w:tcPr>
          <w:p w14:paraId="744EE6B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Rapports d’enquête ou études de référence</w:t>
            </w:r>
          </w:p>
        </w:tc>
        <w:tc>
          <w:tcPr>
            <w:tcW w:w="816" w:type="dxa"/>
            <w:gridSpan w:val="2"/>
            <w:shd w:val="clear" w:color="auto" w:fill="C5E0B3"/>
            <w:vAlign w:val="center"/>
          </w:tcPr>
          <w:p w14:paraId="11F66C0E"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10%</w:t>
            </w:r>
          </w:p>
        </w:tc>
        <w:tc>
          <w:tcPr>
            <w:tcW w:w="814" w:type="dxa"/>
            <w:shd w:val="clear" w:color="auto" w:fill="C5E0B3"/>
            <w:vAlign w:val="center"/>
          </w:tcPr>
          <w:p w14:paraId="359C10A8"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30%</w:t>
            </w:r>
          </w:p>
        </w:tc>
        <w:tc>
          <w:tcPr>
            <w:tcW w:w="776" w:type="dxa"/>
            <w:gridSpan w:val="2"/>
            <w:shd w:val="clear" w:color="auto" w:fill="C5E0B3"/>
            <w:vAlign w:val="center"/>
          </w:tcPr>
          <w:p w14:paraId="3F37C004"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C5E0B3"/>
            <w:vAlign w:val="center"/>
          </w:tcPr>
          <w:p w14:paraId="58CE4220"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C5E0B3"/>
          </w:tcPr>
          <w:p w14:paraId="7BCBBC4F"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Ceci sera la conséquence des messages des communications </w:t>
            </w:r>
            <w:r w:rsidRPr="004752F5">
              <w:rPr>
                <w:rFonts w:asciiTheme="majorHAnsi" w:hAnsiTheme="majorHAnsi" w:cstheme="majorHAnsi"/>
                <w:bCs/>
                <w:sz w:val="22"/>
                <w:szCs w:val="22"/>
              </w:rPr>
              <w:t>sociales</w:t>
            </w:r>
            <w:r w:rsidRPr="004752F5">
              <w:rPr>
                <w:rFonts w:asciiTheme="majorHAnsi" w:hAnsiTheme="majorHAnsi" w:cstheme="majorHAnsi"/>
                <w:bCs/>
                <w:color w:val="000000"/>
                <w:sz w:val="22"/>
                <w:szCs w:val="22"/>
              </w:rPr>
              <w:t xml:space="preserve"> pour le changement des comportements dont le programme est au niveau du recrutement de la firme pour la mise en œuvre de la stratégie de communication validée en fin d’année.</w:t>
            </w:r>
          </w:p>
        </w:tc>
        <w:tc>
          <w:tcPr>
            <w:tcW w:w="993" w:type="dxa"/>
            <w:gridSpan w:val="2"/>
            <w:shd w:val="clear" w:color="auto" w:fill="C5E0B3"/>
          </w:tcPr>
          <w:p w14:paraId="5204181C"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4C722AFC" w14:textId="77777777" w:rsidTr="004752F5">
        <w:trPr>
          <w:trHeight w:val="793"/>
        </w:trPr>
        <w:tc>
          <w:tcPr>
            <w:tcW w:w="1912" w:type="dxa"/>
            <w:vMerge w:val="restart"/>
            <w:shd w:val="clear" w:color="auto" w:fill="FFF2CC"/>
          </w:tcPr>
          <w:p w14:paraId="4E98CEDC"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Output n°1.1 :</w:t>
            </w:r>
          </w:p>
          <w:p w14:paraId="5744AECE" w14:textId="77777777" w:rsidR="00AD5317" w:rsidRPr="004752F5" w:rsidRDefault="00AD5317" w:rsidP="008F0DC8">
            <w:pPr>
              <w:ind w:left="0" w:right="0" w:firstLine="1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Les programmes CAFI sont informés par des analyses approfondies de la production et de la consommation en énergie de cuisson, y compris le bois-énergie</w:t>
            </w:r>
          </w:p>
        </w:tc>
        <w:tc>
          <w:tcPr>
            <w:tcW w:w="2665" w:type="dxa"/>
            <w:shd w:val="clear" w:color="auto" w:fill="FFF2CC"/>
          </w:tcPr>
          <w:p w14:paraId="00F3005D"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1.1.1 Nombre d’Études bois-énergie et GPL réalisées permettant d’orienter l’action technique et politique (plaidoyer, politique, incubateur)</w:t>
            </w:r>
          </w:p>
        </w:tc>
        <w:tc>
          <w:tcPr>
            <w:tcW w:w="1094" w:type="dxa"/>
            <w:shd w:val="clear" w:color="auto" w:fill="FFF2CC"/>
            <w:vAlign w:val="center"/>
          </w:tcPr>
          <w:p w14:paraId="05619601"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794" w:type="dxa"/>
            <w:shd w:val="clear" w:color="auto" w:fill="FFF2CC"/>
            <w:vAlign w:val="center"/>
          </w:tcPr>
          <w:p w14:paraId="0BC449E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04540855"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Rapports d’enquête de l’étude de référence</w:t>
            </w:r>
          </w:p>
        </w:tc>
        <w:tc>
          <w:tcPr>
            <w:tcW w:w="816" w:type="dxa"/>
            <w:gridSpan w:val="2"/>
            <w:shd w:val="clear" w:color="auto" w:fill="FFF2CC"/>
            <w:vAlign w:val="center"/>
          </w:tcPr>
          <w:p w14:paraId="26D05E2F"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814" w:type="dxa"/>
            <w:shd w:val="clear" w:color="auto" w:fill="FFF2CC"/>
            <w:vAlign w:val="center"/>
          </w:tcPr>
          <w:p w14:paraId="22B9EAAD"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776" w:type="dxa"/>
            <w:gridSpan w:val="2"/>
            <w:shd w:val="clear" w:color="auto" w:fill="FFF2CC"/>
            <w:vAlign w:val="center"/>
          </w:tcPr>
          <w:p w14:paraId="516CC457"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54B5211C"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1</w:t>
            </w:r>
          </w:p>
        </w:tc>
        <w:tc>
          <w:tcPr>
            <w:tcW w:w="3118" w:type="dxa"/>
            <w:shd w:val="clear" w:color="auto" w:fill="FFF2CC"/>
          </w:tcPr>
          <w:p w14:paraId="43C41167"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Les études</w:t>
            </w:r>
            <w:r w:rsidRPr="004752F5">
              <w:rPr>
                <w:rFonts w:asciiTheme="majorHAnsi" w:hAnsiTheme="majorHAnsi" w:cstheme="majorHAnsi"/>
                <w:bCs/>
                <w:sz w:val="22"/>
                <w:szCs w:val="22"/>
              </w:rPr>
              <w:t xml:space="preserve"> </w:t>
            </w:r>
            <w:r w:rsidRPr="004752F5">
              <w:rPr>
                <w:rFonts w:asciiTheme="majorHAnsi" w:hAnsiTheme="majorHAnsi" w:cstheme="majorHAnsi"/>
                <w:bCs/>
                <w:color w:val="000000"/>
                <w:sz w:val="22"/>
                <w:szCs w:val="22"/>
              </w:rPr>
              <w:t>ont été effectuées.</w:t>
            </w:r>
          </w:p>
        </w:tc>
        <w:tc>
          <w:tcPr>
            <w:tcW w:w="993" w:type="dxa"/>
            <w:gridSpan w:val="2"/>
            <w:shd w:val="clear" w:color="auto" w:fill="FFF2CC"/>
          </w:tcPr>
          <w:p w14:paraId="53DC7B47"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26D688B7" w14:textId="77777777" w:rsidTr="004752F5">
        <w:trPr>
          <w:trHeight w:val="636"/>
        </w:trPr>
        <w:tc>
          <w:tcPr>
            <w:tcW w:w="1912" w:type="dxa"/>
            <w:vMerge/>
            <w:shd w:val="clear" w:color="auto" w:fill="FFF2CC"/>
          </w:tcPr>
          <w:p w14:paraId="52E7D75E"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FFF2CC"/>
          </w:tcPr>
          <w:p w14:paraId="233E187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1.1.2 Existence d’un Cadre fonctionnel de suivi du secteur bois-énergie/consommation énergie de cuisson</w:t>
            </w:r>
          </w:p>
        </w:tc>
        <w:tc>
          <w:tcPr>
            <w:tcW w:w="1094" w:type="dxa"/>
            <w:shd w:val="clear" w:color="auto" w:fill="FFF2CC"/>
            <w:vAlign w:val="center"/>
          </w:tcPr>
          <w:p w14:paraId="203DC64E"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794" w:type="dxa"/>
            <w:shd w:val="clear" w:color="auto" w:fill="FFF2CC"/>
            <w:vAlign w:val="center"/>
          </w:tcPr>
          <w:p w14:paraId="7CED6AD6"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3B287F0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 d’étude sur la mise en place du cadre de suivi, Compte rendu des réunions du cadre de suivi</w:t>
            </w:r>
          </w:p>
        </w:tc>
        <w:tc>
          <w:tcPr>
            <w:tcW w:w="816" w:type="dxa"/>
            <w:gridSpan w:val="2"/>
            <w:shd w:val="clear" w:color="auto" w:fill="FFF2CC"/>
            <w:vAlign w:val="center"/>
          </w:tcPr>
          <w:p w14:paraId="1B9E80AC"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814" w:type="dxa"/>
            <w:shd w:val="clear" w:color="auto" w:fill="FFF2CC"/>
            <w:vAlign w:val="center"/>
          </w:tcPr>
          <w:p w14:paraId="2ABAF863"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76" w:type="dxa"/>
            <w:gridSpan w:val="2"/>
            <w:shd w:val="clear" w:color="auto" w:fill="FFF2CC"/>
            <w:vAlign w:val="center"/>
          </w:tcPr>
          <w:p w14:paraId="61D7C6C1"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2DF0BD52"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FFF2CC"/>
          </w:tcPr>
          <w:p w14:paraId="079BB927"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La mise en place de </w:t>
            </w:r>
            <w:r w:rsidRPr="004752F5">
              <w:rPr>
                <w:rFonts w:asciiTheme="majorHAnsi" w:hAnsiTheme="majorHAnsi" w:cstheme="majorHAnsi"/>
                <w:bCs/>
                <w:sz w:val="22"/>
                <w:szCs w:val="22"/>
              </w:rPr>
              <w:t>c</w:t>
            </w:r>
            <w:r w:rsidRPr="004752F5">
              <w:rPr>
                <w:rFonts w:asciiTheme="majorHAnsi" w:hAnsiTheme="majorHAnsi" w:cstheme="majorHAnsi"/>
                <w:bCs/>
                <w:color w:val="000000"/>
                <w:sz w:val="22"/>
                <w:szCs w:val="22"/>
              </w:rPr>
              <w:t>e cadre n</w:t>
            </w:r>
            <w:r w:rsidRPr="004752F5">
              <w:rPr>
                <w:rFonts w:asciiTheme="majorHAnsi" w:hAnsiTheme="majorHAnsi" w:cstheme="majorHAnsi"/>
                <w:bCs/>
                <w:sz w:val="22"/>
                <w:szCs w:val="22"/>
              </w:rPr>
              <w:t xml:space="preserve">’a pas été possible il sera aligné avec la stratégie de cuisson propre en cours de préparation et dont le livrable est attendu en 2021 </w:t>
            </w:r>
          </w:p>
        </w:tc>
        <w:tc>
          <w:tcPr>
            <w:tcW w:w="993" w:type="dxa"/>
            <w:gridSpan w:val="2"/>
            <w:shd w:val="clear" w:color="auto" w:fill="FFF2CC"/>
          </w:tcPr>
          <w:p w14:paraId="7C1AAFC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w:t>
            </w:r>
          </w:p>
        </w:tc>
      </w:tr>
      <w:tr w:rsidR="00AD5317" w:rsidRPr="004752F5" w14:paraId="7690CB76" w14:textId="77777777" w:rsidTr="004752F5">
        <w:trPr>
          <w:trHeight w:val="20"/>
        </w:trPr>
        <w:tc>
          <w:tcPr>
            <w:tcW w:w="1912" w:type="dxa"/>
            <w:vMerge w:val="restart"/>
            <w:shd w:val="clear" w:color="auto" w:fill="auto"/>
          </w:tcPr>
          <w:p w14:paraId="0F478E1B"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1.2</w:t>
            </w:r>
          </w:p>
          <w:p w14:paraId="47234912" w14:textId="77777777" w:rsidR="00AD5317" w:rsidRPr="004752F5" w:rsidRDefault="00AD5317" w:rsidP="008F0DC8">
            <w:pPr>
              <w:ind w:left="0" w:right="0" w:firstLine="1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Le potentiel REDD+ lié au secteur de la micro-hydro (MCH) est étudié et évalué</w:t>
            </w:r>
          </w:p>
        </w:tc>
        <w:tc>
          <w:tcPr>
            <w:tcW w:w="2665" w:type="dxa"/>
            <w:shd w:val="clear" w:color="auto" w:fill="auto"/>
          </w:tcPr>
          <w:p w14:paraId="2FB71846"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1.2.1 Nombre d’études de faisabilité réalisées sur le potentiel des MCH</w:t>
            </w:r>
          </w:p>
        </w:tc>
        <w:tc>
          <w:tcPr>
            <w:tcW w:w="1094" w:type="dxa"/>
            <w:shd w:val="clear" w:color="auto" w:fill="FFFFFF"/>
            <w:vAlign w:val="center"/>
          </w:tcPr>
          <w:p w14:paraId="1E2AFC04"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auto"/>
            <w:vAlign w:val="center"/>
          </w:tcPr>
          <w:p w14:paraId="7212DCF9"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auto"/>
            <w:vAlign w:val="center"/>
          </w:tcPr>
          <w:p w14:paraId="58B42D26"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Rapports d’études de faisabilité, rapport d’activité</w:t>
            </w:r>
          </w:p>
        </w:tc>
        <w:tc>
          <w:tcPr>
            <w:tcW w:w="816" w:type="dxa"/>
            <w:gridSpan w:val="2"/>
            <w:shd w:val="clear" w:color="auto" w:fill="auto"/>
            <w:vAlign w:val="center"/>
          </w:tcPr>
          <w:p w14:paraId="1334EBD7"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w:t>
            </w:r>
          </w:p>
        </w:tc>
        <w:tc>
          <w:tcPr>
            <w:tcW w:w="814" w:type="dxa"/>
            <w:shd w:val="clear" w:color="auto" w:fill="auto"/>
            <w:vAlign w:val="center"/>
          </w:tcPr>
          <w:p w14:paraId="70485332"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w:t>
            </w:r>
          </w:p>
        </w:tc>
        <w:tc>
          <w:tcPr>
            <w:tcW w:w="776" w:type="dxa"/>
            <w:gridSpan w:val="2"/>
            <w:shd w:val="clear" w:color="auto" w:fill="auto"/>
            <w:vAlign w:val="center"/>
          </w:tcPr>
          <w:p w14:paraId="21AC98EE"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auto"/>
            <w:vAlign w:val="center"/>
          </w:tcPr>
          <w:p w14:paraId="7573AE5C"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auto"/>
          </w:tcPr>
          <w:p w14:paraId="71F4FFB2"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 firmes sont recrutées pour ces études qui sont déjà en cours et les résultats sont attendu d’ici à juin 2021</w:t>
            </w:r>
          </w:p>
        </w:tc>
        <w:tc>
          <w:tcPr>
            <w:tcW w:w="993" w:type="dxa"/>
            <w:gridSpan w:val="2"/>
            <w:shd w:val="clear" w:color="auto" w:fill="auto"/>
          </w:tcPr>
          <w:p w14:paraId="5F024EAA"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36B5D865" w14:textId="77777777" w:rsidTr="004752F5">
        <w:trPr>
          <w:trHeight w:val="20"/>
        </w:trPr>
        <w:tc>
          <w:tcPr>
            <w:tcW w:w="1912" w:type="dxa"/>
            <w:vMerge/>
            <w:shd w:val="clear" w:color="auto" w:fill="auto"/>
          </w:tcPr>
          <w:p w14:paraId="2BDA69CD"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auto"/>
          </w:tcPr>
          <w:p w14:paraId="7519A1BB"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1.2.2 Nombre de sites de MCH construits</w:t>
            </w:r>
          </w:p>
        </w:tc>
        <w:tc>
          <w:tcPr>
            <w:tcW w:w="1094" w:type="dxa"/>
            <w:shd w:val="clear" w:color="auto" w:fill="FFFFFF"/>
            <w:vAlign w:val="center"/>
          </w:tcPr>
          <w:p w14:paraId="735E6EF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auto"/>
            <w:vAlign w:val="center"/>
          </w:tcPr>
          <w:p w14:paraId="08D46A54"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auto"/>
            <w:vAlign w:val="center"/>
          </w:tcPr>
          <w:p w14:paraId="57FFD595"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 d’activités, Photos géoréférencées des sites de construction</w:t>
            </w:r>
          </w:p>
        </w:tc>
        <w:tc>
          <w:tcPr>
            <w:tcW w:w="816" w:type="dxa"/>
            <w:gridSpan w:val="2"/>
            <w:shd w:val="clear" w:color="auto" w:fill="auto"/>
            <w:vAlign w:val="center"/>
          </w:tcPr>
          <w:p w14:paraId="0CB19065"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814" w:type="dxa"/>
            <w:shd w:val="clear" w:color="auto" w:fill="auto"/>
            <w:vAlign w:val="center"/>
          </w:tcPr>
          <w:p w14:paraId="12FD2F50"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76" w:type="dxa"/>
            <w:gridSpan w:val="2"/>
            <w:shd w:val="clear" w:color="auto" w:fill="auto"/>
            <w:vAlign w:val="center"/>
          </w:tcPr>
          <w:p w14:paraId="160CC185"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auto"/>
            <w:vAlign w:val="center"/>
          </w:tcPr>
          <w:p w14:paraId="0268BA4D"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auto"/>
          </w:tcPr>
          <w:p w14:paraId="06BFCB2E"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Ce sont les études qui nous permettront de réaliser cet indicateur. </w:t>
            </w:r>
          </w:p>
        </w:tc>
        <w:tc>
          <w:tcPr>
            <w:tcW w:w="993" w:type="dxa"/>
            <w:gridSpan w:val="2"/>
            <w:shd w:val="clear" w:color="auto" w:fill="auto"/>
          </w:tcPr>
          <w:p w14:paraId="06E267D4"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2D44845B" w14:textId="77777777" w:rsidTr="004752F5">
        <w:trPr>
          <w:trHeight w:val="20"/>
        </w:trPr>
        <w:tc>
          <w:tcPr>
            <w:tcW w:w="1912" w:type="dxa"/>
            <w:vMerge/>
            <w:shd w:val="clear" w:color="auto" w:fill="auto"/>
          </w:tcPr>
          <w:p w14:paraId="793B6199"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auto"/>
          </w:tcPr>
          <w:p w14:paraId="761C2BC1"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1.2.3 Nombre de ménages ruraux supplémentaires disposant d’électricité issue des MCH</w:t>
            </w:r>
          </w:p>
        </w:tc>
        <w:tc>
          <w:tcPr>
            <w:tcW w:w="1094" w:type="dxa"/>
            <w:shd w:val="clear" w:color="auto" w:fill="FFFFFF"/>
            <w:vAlign w:val="center"/>
          </w:tcPr>
          <w:p w14:paraId="31C79103"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auto"/>
            <w:vAlign w:val="center"/>
          </w:tcPr>
          <w:p w14:paraId="5012EA5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auto"/>
            <w:vAlign w:val="center"/>
          </w:tcPr>
          <w:p w14:paraId="00B50C09"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Rapports activités programmes</w:t>
            </w:r>
          </w:p>
        </w:tc>
        <w:tc>
          <w:tcPr>
            <w:tcW w:w="816" w:type="dxa"/>
            <w:gridSpan w:val="2"/>
            <w:shd w:val="clear" w:color="auto" w:fill="auto"/>
            <w:vAlign w:val="center"/>
          </w:tcPr>
          <w:p w14:paraId="3C9B757C"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814" w:type="dxa"/>
            <w:shd w:val="clear" w:color="auto" w:fill="auto"/>
            <w:vAlign w:val="center"/>
          </w:tcPr>
          <w:p w14:paraId="32F6E313"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4000</w:t>
            </w:r>
          </w:p>
        </w:tc>
        <w:tc>
          <w:tcPr>
            <w:tcW w:w="776" w:type="dxa"/>
            <w:gridSpan w:val="2"/>
            <w:shd w:val="clear" w:color="auto" w:fill="auto"/>
            <w:vAlign w:val="center"/>
          </w:tcPr>
          <w:p w14:paraId="44722AB7"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auto"/>
            <w:vAlign w:val="center"/>
          </w:tcPr>
          <w:p w14:paraId="6ADD8E03"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auto"/>
          </w:tcPr>
          <w:p w14:paraId="509DF9A2"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 Une fois le MCH construit et entré en service, nous pourrons avoir les ménages disposant de l’électricité. </w:t>
            </w:r>
          </w:p>
        </w:tc>
        <w:tc>
          <w:tcPr>
            <w:tcW w:w="993" w:type="dxa"/>
            <w:gridSpan w:val="2"/>
            <w:shd w:val="clear" w:color="auto" w:fill="auto"/>
          </w:tcPr>
          <w:p w14:paraId="577E8F19"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w:t>
            </w:r>
          </w:p>
        </w:tc>
      </w:tr>
      <w:tr w:rsidR="00AD5317" w:rsidRPr="004752F5" w14:paraId="299B0EE7" w14:textId="77777777" w:rsidTr="004752F5">
        <w:trPr>
          <w:trHeight w:val="20"/>
        </w:trPr>
        <w:tc>
          <w:tcPr>
            <w:tcW w:w="1912" w:type="dxa"/>
            <w:vMerge w:val="restart"/>
            <w:shd w:val="clear" w:color="auto" w:fill="FFF2CC"/>
          </w:tcPr>
          <w:p w14:paraId="38965B7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Output 1.3 :</w:t>
            </w:r>
          </w:p>
          <w:p w14:paraId="7B3FDE36" w14:textId="77777777" w:rsidR="00AD5317" w:rsidRPr="004752F5" w:rsidRDefault="00AD5317" w:rsidP="008F0DC8">
            <w:pPr>
              <w:ind w:left="0" w:right="0" w:firstLine="1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Le leadership politique et les institutions techniques sont renforcés pour engager la RDC sur le chemin de sa transition énergétique vers la cuisson propre et créer un environnement favorable au marché tout en protégeant les consommateurs </w:t>
            </w:r>
          </w:p>
        </w:tc>
        <w:tc>
          <w:tcPr>
            <w:tcW w:w="2665" w:type="dxa"/>
            <w:shd w:val="clear" w:color="auto" w:fill="FFF2CC"/>
          </w:tcPr>
          <w:p w14:paraId="5C3CB2BB"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1.3.1. Nombre d’acteurs, publics et privés, formés sur la problématique des énergies propres de cuisson </w:t>
            </w:r>
            <w:r w:rsidRPr="004752F5">
              <w:rPr>
                <w:rFonts w:asciiTheme="majorHAnsi" w:hAnsiTheme="majorHAnsi" w:cstheme="majorHAnsi"/>
                <w:bCs/>
                <w:sz w:val="22"/>
                <w:szCs w:val="22"/>
              </w:rPr>
              <w:t>(bois-énergie,</w:t>
            </w:r>
            <w:r w:rsidRPr="004752F5">
              <w:rPr>
                <w:rFonts w:asciiTheme="majorHAnsi" w:hAnsiTheme="majorHAnsi" w:cstheme="majorHAnsi"/>
                <w:bCs/>
                <w:color w:val="000000"/>
                <w:sz w:val="22"/>
                <w:szCs w:val="22"/>
              </w:rPr>
              <w:t xml:space="preserve"> GPL, etc.) désagrégés par genre</w:t>
            </w:r>
          </w:p>
        </w:tc>
        <w:tc>
          <w:tcPr>
            <w:tcW w:w="1094" w:type="dxa"/>
            <w:shd w:val="clear" w:color="auto" w:fill="FFF2CC"/>
            <w:vAlign w:val="center"/>
          </w:tcPr>
          <w:p w14:paraId="1FA1862E"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FFF2CC"/>
            <w:vAlign w:val="center"/>
          </w:tcPr>
          <w:p w14:paraId="12A548D0"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69E70C95"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Rapports de formation, liste de présence</w:t>
            </w:r>
          </w:p>
        </w:tc>
        <w:tc>
          <w:tcPr>
            <w:tcW w:w="816" w:type="dxa"/>
            <w:gridSpan w:val="2"/>
            <w:shd w:val="clear" w:color="auto" w:fill="FFF2CC"/>
            <w:vAlign w:val="center"/>
          </w:tcPr>
          <w:p w14:paraId="5FDA92BC"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40</w:t>
            </w:r>
          </w:p>
        </w:tc>
        <w:tc>
          <w:tcPr>
            <w:tcW w:w="814" w:type="dxa"/>
            <w:shd w:val="clear" w:color="auto" w:fill="FFF2CC"/>
            <w:vAlign w:val="center"/>
          </w:tcPr>
          <w:p w14:paraId="5F3C11A2"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40</w:t>
            </w:r>
          </w:p>
        </w:tc>
        <w:tc>
          <w:tcPr>
            <w:tcW w:w="776" w:type="dxa"/>
            <w:gridSpan w:val="2"/>
            <w:shd w:val="clear" w:color="auto" w:fill="FFF2CC"/>
            <w:vAlign w:val="center"/>
          </w:tcPr>
          <w:p w14:paraId="1E7D5DCD"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4A84552B" w14:textId="77777777" w:rsidR="00AD5317" w:rsidRPr="004752F5" w:rsidRDefault="00AD5317" w:rsidP="008F0DC8">
            <w:pPr>
              <w:ind w:left="0" w:right="-106" w:firstLine="0"/>
              <w:rPr>
                <w:rFonts w:asciiTheme="majorHAnsi" w:hAnsiTheme="majorHAnsi" w:cstheme="majorHAnsi"/>
                <w:bCs/>
                <w:sz w:val="22"/>
                <w:szCs w:val="22"/>
              </w:rPr>
            </w:pPr>
            <w:r w:rsidRPr="004752F5">
              <w:rPr>
                <w:rFonts w:asciiTheme="majorHAnsi" w:hAnsiTheme="majorHAnsi" w:cstheme="majorHAnsi"/>
                <w:bCs/>
                <w:sz w:val="22"/>
                <w:szCs w:val="22"/>
              </w:rPr>
              <w:t>10 du Min. Hydro</w:t>
            </w:r>
          </w:p>
          <w:p w14:paraId="51C42857" w14:textId="77777777" w:rsidR="00AD5317" w:rsidRPr="004752F5" w:rsidRDefault="00AD5317" w:rsidP="008F0DC8">
            <w:pPr>
              <w:ind w:left="0" w:right="-106" w:firstLine="0"/>
              <w:rPr>
                <w:rFonts w:asciiTheme="majorHAnsi" w:hAnsiTheme="majorHAnsi" w:cstheme="majorHAnsi"/>
                <w:bCs/>
                <w:sz w:val="22"/>
                <w:szCs w:val="22"/>
              </w:rPr>
            </w:pPr>
            <w:r w:rsidRPr="004752F5">
              <w:rPr>
                <w:rFonts w:asciiTheme="majorHAnsi" w:hAnsiTheme="majorHAnsi" w:cstheme="majorHAnsi"/>
                <w:bCs/>
                <w:sz w:val="22"/>
                <w:szCs w:val="22"/>
              </w:rPr>
              <w:t>4 du secteur privé</w:t>
            </w:r>
          </w:p>
        </w:tc>
        <w:tc>
          <w:tcPr>
            <w:tcW w:w="3118" w:type="dxa"/>
            <w:shd w:val="clear" w:color="auto" w:fill="FFF2CC"/>
          </w:tcPr>
          <w:p w14:paraId="6D4C63A6"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sz w:val="22"/>
                <w:szCs w:val="22"/>
              </w:rPr>
              <w:t>Deux sessions d</w:t>
            </w:r>
            <w:r w:rsidRPr="004752F5">
              <w:rPr>
                <w:rFonts w:asciiTheme="majorHAnsi" w:hAnsiTheme="majorHAnsi" w:cstheme="majorHAnsi"/>
                <w:bCs/>
                <w:color w:val="000000"/>
                <w:sz w:val="22"/>
                <w:szCs w:val="22"/>
              </w:rPr>
              <w:t>e</w:t>
            </w:r>
            <w:r w:rsidRPr="004752F5">
              <w:rPr>
                <w:rFonts w:asciiTheme="majorHAnsi" w:hAnsiTheme="majorHAnsi" w:cstheme="majorHAnsi"/>
                <w:bCs/>
                <w:sz w:val="22"/>
                <w:szCs w:val="22"/>
              </w:rPr>
              <w:t xml:space="preserve"> </w:t>
            </w:r>
            <w:r w:rsidRPr="004752F5">
              <w:rPr>
                <w:rFonts w:asciiTheme="majorHAnsi" w:hAnsiTheme="majorHAnsi" w:cstheme="majorHAnsi"/>
                <w:bCs/>
                <w:color w:val="000000"/>
                <w:sz w:val="22"/>
                <w:szCs w:val="22"/>
              </w:rPr>
              <w:t xml:space="preserve">formations ont été </w:t>
            </w:r>
            <w:r w:rsidRPr="004752F5">
              <w:rPr>
                <w:rFonts w:asciiTheme="majorHAnsi" w:hAnsiTheme="majorHAnsi" w:cstheme="majorHAnsi"/>
                <w:bCs/>
                <w:sz w:val="22"/>
                <w:szCs w:val="22"/>
              </w:rPr>
              <w:t>effectués</w:t>
            </w:r>
            <w:r w:rsidRPr="004752F5">
              <w:rPr>
                <w:rFonts w:asciiTheme="majorHAnsi" w:hAnsiTheme="majorHAnsi" w:cstheme="majorHAnsi"/>
                <w:bCs/>
                <w:color w:val="000000"/>
                <w:sz w:val="22"/>
                <w:szCs w:val="22"/>
              </w:rPr>
              <w:t xml:space="preserve"> en novembre et déc</w:t>
            </w:r>
            <w:r w:rsidRPr="004752F5">
              <w:rPr>
                <w:rFonts w:asciiTheme="majorHAnsi" w:hAnsiTheme="majorHAnsi" w:cstheme="majorHAnsi"/>
                <w:bCs/>
                <w:sz w:val="22"/>
                <w:szCs w:val="22"/>
              </w:rPr>
              <w:t xml:space="preserve">embre un pour la réglementation et le Pré-master plan; </w:t>
            </w:r>
          </w:p>
        </w:tc>
        <w:tc>
          <w:tcPr>
            <w:tcW w:w="993" w:type="dxa"/>
            <w:gridSpan w:val="2"/>
            <w:shd w:val="clear" w:color="auto" w:fill="FFF2CC"/>
          </w:tcPr>
          <w:p w14:paraId="2697D38A"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053DE799" w14:textId="77777777" w:rsidTr="004752F5">
        <w:trPr>
          <w:trHeight w:val="20"/>
        </w:trPr>
        <w:tc>
          <w:tcPr>
            <w:tcW w:w="1912" w:type="dxa"/>
            <w:vMerge/>
            <w:shd w:val="clear" w:color="auto" w:fill="FFF2CC"/>
          </w:tcPr>
          <w:p w14:paraId="3C978F7B"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FFF2CC"/>
          </w:tcPr>
          <w:p w14:paraId="1D683A2D"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 1.3.2. Nombre de voyages d’échanges et d’études réalisées sur les énergies propres de cuisson, désagrégées par type </w:t>
            </w:r>
            <w:r w:rsidRPr="004752F5">
              <w:rPr>
                <w:rFonts w:asciiTheme="majorHAnsi" w:hAnsiTheme="majorHAnsi" w:cstheme="majorHAnsi"/>
                <w:bCs/>
                <w:sz w:val="22"/>
                <w:szCs w:val="22"/>
              </w:rPr>
              <w:t>(bois-énergie,</w:t>
            </w:r>
            <w:r w:rsidRPr="004752F5">
              <w:rPr>
                <w:rFonts w:asciiTheme="majorHAnsi" w:hAnsiTheme="majorHAnsi" w:cstheme="majorHAnsi"/>
                <w:bCs/>
                <w:color w:val="000000"/>
                <w:sz w:val="22"/>
                <w:szCs w:val="22"/>
              </w:rPr>
              <w:t xml:space="preserve"> GPL, etc.)</w:t>
            </w:r>
          </w:p>
        </w:tc>
        <w:tc>
          <w:tcPr>
            <w:tcW w:w="1094" w:type="dxa"/>
            <w:shd w:val="clear" w:color="auto" w:fill="FFF2CC"/>
            <w:vAlign w:val="center"/>
          </w:tcPr>
          <w:p w14:paraId="428C97AE"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FFF2CC"/>
            <w:vAlign w:val="center"/>
          </w:tcPr>
          <w:p w14:paraId="26A3C50E"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73CB7191"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Rapports de mission, compte rendu des visites d’échange</w:t>
            </w:r>
          </w:p>
        </w:tc>
        <w:tc>
          <w:tcPr>
            <w:tcW w:w="816" w:type="dxa"/>
            <w:gridSpan w:val="2"/>
            <w:shd w:val="clear" w:color="auto" w:fill="FFF2CC"/>
            <w:vAlign w:val="center"/>
          </w:tcPr>
          <w:p w14:paraId="5ED0AC74"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w:t>
            </w:r>
          </w:p>
        </w:tc>
        <w:tc>
          <w:tcPr>
            <w:tcW w:w="814" w:type="dxa"/>
            <w:shd w:val="clear" w:color="auto" w:fill="FFF2CC"/>
            <w:vAlign w:val="center"/>
          </w:tcPr>
          <w:p w14:paraId="0674C3D2"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w:t>
            </w:r>
          </w:p>
        </w:tc>
        <w:tc>
          <w:tcPr>
            <w:tcW w:w="776" w:type="dxa"/>
            <w:gridSpan w:val="2"/>
            <w:shd w:val="clear" w:color="auto" w:fill="FFF2CC"/>
            <w:vAlign w:val="center"/>
          </w:tcPr>
          <w:p w14:paraId="4889156C"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4E07AAAC"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FFF2CC"/>
          </w:tcPr>
          <w:p w14:paraId="172B6B8B" w14:textId="08BA65C0"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Les voyages d’échange aussi commenceront une fois la situation sanitaire maîtrisée.</w:t>
            </w:r>
            <w:r w:rsidR="00720A52" w:rsidRPr="004752F5">
              <w:rPr>
                <w:rFonts w:asciiTheme="majorHAnsi" w:hAnsiTheme="majorHAnsi" w:cstheme="majorHAnsi"/>
                <w:bCs/>
                <w:color w:val="000000"/>
                <w:sz w:val="22"/>
                <w:szCs w:val="22"/>
              </w:rPr>
              <w:t xml:space="preserve"> Nous envisageons de faire des rencontres et discussions entre les pays en ligne en prenant soin de bien préparer les équipes en avance</w:t>
            </w:r>
          </w:p>
        </w:tc>
        <w:tc>
          <w:tcPr>
            <w:tcW w:w="993" w:type="dxa"/>
            <w:gridSpan w:val="2"/>
            <w:shd w:val="clear" w:color="auto" w:fill="FFF2CC"/>
          </w:tcPr>
          <w:p w14:paraId="77C96BE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w:t>
            </w:r>
          </w:p>
        </w:tc>
      </w:tr>
      <w:tr w:rsidR="00AD5317" w:rsidRPr="004752F5" w14:paraId="17FD16EB" w14:textId="77777777" w:rsidTr="004752F5">
        <w:trPr>
          <w:trHeight w:val="20"/>
        </w:trPr>
        <w:tc>
          <w:tcPr>
            <w:tcW w:w="1912" w:type="dxa"/>
            <w:vMerge/>
            <w:shd w:val="clear" w:color="auto" w:fill="FFF2CC"/>
          </w:tcPr>
          <w:p w14:paraId="32EA882A"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FFF2CC"/>
          </w:tcPr>
          <w:p w14:paraId="6A7673D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1.3.3. Nombre de groupe inclusif de travail « </w:t>
            </w:r>
            <w:r w:rsidRPr="004752F5">
              <w:rPr>
                <w:rFonts w:asciiTheme="majorHAnsi" w:hAnsiTheme="majorHAnsi" w:cstheme="majorHAnsi"/>
                <w:bCs/>
                <w:sz w:val="22"/>
                <w:szCs w:val="22"/>
              </w:rPr>
              <w:t>Énergie</w:t>
            </w:r>
            <w:r w:rsidRPr="004752F5">
              <w:rPr>
                <w:rFonts w:asciiTheme="majorHAnsi" w:hAnsiTheme="majorHAnsi" w:cstheme="majorHAnsi"/>
                <w:bCs/>
                <w:color w:val="000000"/>
                <w:sz w:val="22"/>
                <w:szCs w:val="22"/>
              </w:rPr>
              <w:t xml:space="preserve"> de cuisson » fonctionnel</w:t>
            </w:r>
          </w:p>
        </w:tc>
        <w:tc>
          <w:tcPr>
            <w:tcW w:w="1094" w:type="dxa"/>
            <w:shd w:val="clear" w:color="auto" w:fill="FFF2CC"/>
            <w:vAlign w:val="center"/>
          </w:tcPr>
          <w:p w14:paraId="5D471556"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794" w:type="dxa"/>
            <w:shd w:val="clear" w:color="auto" w:fill="FFF2CC"/>
            <w:vAlign w:val="center"/>
          </w:tcPr>
          <w:p w14:paraId="0B0A655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28DEF0C2"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 annuel d’activités du réseau</w:t>
            </w:r>
          </w:p>
          <w:p w14:paraId="0BC70BC3"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Statuts des groupes de travail ; Rapports de réunion</w:t>
            </w:r>
          </w:p>
        </w:tc>
        <w:tc>
          <w:tcPr>
            <w:tcW w:w="816" w:type="dxa"/>
            <w:gridSpan w:val="2"/>
            <w:shd w:val="clear" w:color="auto" w:fill="FFF2CC"/>
            <w:vAlign w:val="center"/>
          </w:tcPr>
          <w:p w14:paraId="6E1ADDAD"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w:t>
            </w:r>
          </w:p>
        </w:tc>
        <w:tc>
          <w:tcPr>
            <w:tcW w:w="814" w:type="dxa"/>
            <w:shd w:val="clear" w:color="auto" w:fill="FFF2CC"/>
            <w:vAlign w:val="center"/>
          </w:tcPr>
          <w:p w14:paraId="17B72BA3"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2</w:t>
            </w:r>
          </w:p>
        </w:tc>
        <w:tc>
          <w:tcPr>
            <w:tcW w:w="776" w:type="dxa"/>
            <w:gridSpan w:val="2"/>
            <w:shd w:val="clear" w:color="auto" w:fill="FFF2CC"/>
            <w:vAlign w:val="center"/>
          </w:tcPr>
          <w:p w14:paraId="6911D45E"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6C0D1747"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FFF2CC"/>
          </w:tcPr>
          <w:p w14:paraId="4D42E5AB"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Le programme va ajouter le groupe GPL comme celui des foyers améliorés existe déjà.</w:t>
            </w:r>
          </w:p>
        </w:tc>
        <w:tc>
          <w:tcPr>
            <w:tcW w:w="993" w:type="dxa"/>
            <w:gridSpan w:val="2"/>
            <w:shd w:val="clear" w:color="auto" w:fill="FFF2CC"/>
          </w:tcPr>
          <w:p w14:paraId="1A71BA19"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18C508AC" w14:textId="77777777" w:rsidTr="004752F5">
        <w:trPr>
          <w:trHeight w:val="20"/>
        </w:trPr>
        <w:tc>
          <w:tcPr>
            <w:tcW w:w="1912" w:type="dxa"/>
            <w:vMerge/>
            <w:shd w:val="clear" w:color="auto" w:fill="FFF2CC"/>
          </w:tcPr>
          <w:p w14:paraId="6364F3EF"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FFF2CC"/>
          </w:tcPr>
          <w:p w14:paraId="32EF0B5D"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1.3.4. Nombre de projets d’investissement en appui au GPL développé</w:t>
            </w:r>
          </w:p>
        </w:tc>
        <w:tc>
          <w:tcPr>
            <w:tcW w:w="1094" w:type="dxa"/>
            <w:shd w:val="clear" w:color="auto" w:fill="FFF2CC"/>
            <w:vAlign w:val="center"/>
          </w:tcPr>
          <w:p w14:paraId="1793CC13"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794" w:type="dxa"/>
            <w:shd w:val="clear" w:color="auto" w:fill="FFF2CC"/>
            <w:vAlign w:val="center"/>
          </w:tcPr>
          <w:p w14:paraId="1C08ADDA"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1828" w:type="dxa"/>
            <w:shd w:val="clear" w:color="auto" w:fill="FFF2CC"/>
            <w:vAlign w:val="center"/>
          </w:tcPr>
          <w:p w14:paraId="14023979"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MOU GLPGP-gouvernement ; Rapports d’études</w:t>
            </w:r>
          </w:p>
        </w:tc>
        <w:tc>
          <w:tcPr>
            <w:tcW w:w="816" w:type="dxa"/>
            <w:gridSpan w:val="2"/>
            <w:shd w:val="clear" w:color="auto" w:fill="FFF2CC"/>
            <w:vAlign w:val="center"/>
          </w:tcPr>
          <w:p w14:paraId="3463900E"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814" w:type="dxa"/>
            <w:shd w:val="clear" w:color="auto" w:fill="FFF2CC"/>
            <w:vAlign w:val="center"/>
          </w:tcPr>
          <w:p w14:paraId="6A9A2C4B"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1</w:t>
            </w:r>
          </w:p>
        </w:tc>
        <w:tc>
          <w:tcPr>
            <w:tcW w:w="776" w:type="dxa"/>
            <w:gridSpan w:val="2"/>
            <w:shd w:val="clear" w:color="auto" w:fill="FFF2CC"/>
            <w:vAlign w:val="center"/>
          </w:tcPr>
          <w:p w14:paraId="37A236D4"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651E26F9"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FFF2CC"/>
          </w:tcPr>
          <w:p w14:paraId="50CA14FE"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Cette activité n’a pu être réalisée, elle suivra le plan directeur et les réglementations. </w:t>
            </w:r>
          </w:p>
        </w:tc>
        <w:tc>
          <w:tcPr>
            <w:tcW w:w="993" w:type="dxa"/>
            <w:gridSpan w:val="2"/>
            <w:shd w:val="clear" w:color="auto" w:fill="FFF2CC"/>
          </w:tcPr>
          <w:p w14:paraId="73943BBF"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55B554F2" w14:textId="77777777" w:rsidTr="004752F5">
        <w:trPr>
          <w:trHeight w:val="20"/>
        </w:trPr>
        <w:tc>
          <w:tcPr>
            <w:tcW w:w="1912" w:type="dxa"/>
            <w:vMerge w:val="restart"/>
            <w:shd w:val="clear" w:color="auto" w:fill="FFF2CC"/>
          </w:tcPr>
          <w:p w14:paraId="59EA72BE"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Output 1.4</w:t>
            </w:r>
          </w:p>
          <w:p w14:paraId="1240CF13" w14:textId="77777777" w:rsidR="00AD5317" w:rsidRPr="004752F5" w:rsidRDefault="00AD5317" w:rsidP="008F0DC8">
            <w:pPr>
              <w:ind w:left="0" w:right="0" w:firstLine="1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Le cadre légal, politique et </w:t>
            </w:r>
            <w:r w:rsidRPr="004752F5">
              <w:rPr>
                <w:rFonts w:asciiTheme="majorHAnsi" w:hAnsiTheme="majorHAnsi" w:cstheme="majorHAnsi"/>
                <w:bCs/>
                <w:sz w:val="22"/>
                <w:szCs w:val="22"/>
              </w:rPr>
              <w:t>réglementaire</w:t>
            </w:r>
            <w:r w:rsidRPr="004752F5">
              <w:rPr>
                <w:rFonts w:asciiTheme="majorHAnsi" w:hAnsiTheme="majorHAnsi" w:cstheme="majorHAnsi"/>
                <w:bCs/>
                <w:color w:val="000000"/>
                <w:sz w:val="22"/>
                <w:szCs w:val="22"/>
              </w:rPr>
              <w:t xml:space="preserve"> national portant sur le secteur de l’énergie volet bois énergie, volet GPL et autre source de combustible de </w:t>
            </w:r>
            <w:r w:rsidRPr="004752F5">
              <w:rPr>
                <w:rFonts w:asciiTheme="majorHAnsi" w:hAnsiTheme="majorHAnsi" w:cstheme="majorHAnsi"/>
                <w:bCs/>
                <w:sz w:val="22"/>
                <w:szCs w:val="22"/>
              </w:rPr>
              <w:t>substitutions,</w:t>
            </w:r>
            <w:r w:rsidRPr="004752F5">
              <w:rPr>
                <w:rFonts w:asciiTheme="majorHAnsi" w:hAnsiTheme="majorHAnsi" w:cstheme="majorHAnsi"/>
                <w:bCs/>
                <w:color w:val="000000"/>
                <w:sz w:val="22"/>
                <w:szCs w:val="22"/>
              </w:rPr>
              <w:t xml:space="preserve"> est opérationnel</w:t>
            </w:r>
          </w:p>
        </w:tc>
        <w:tc>
          <w:tcPr>
            <w:tcW w:w="2665" w:type="dxa"/>
            <w:shd w:val="clear" w:color="auto" w:fill="FFF2CC"/>
          </w:tcPr>
          <w:p w14:paraId="5B54BC8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1.4.1. Existence d’une Politique du sous-secteur bois-énergie (et cuisson propre) validée par les parties prenantes et assortie d’instruments de mise en œuvre</w:t>
            </w:r>
          </w:p>
        </w:tc>
        <w:tc>
          <w:tcPr>
            <w:tcW w:w="1094" w:type="dxa"/>
            <w:shd w:val="clear" w:color="auto" w:fill="FFF2CC"/>
            <w:vAlign w:val="center"/>
          </w:tcPr>
          <w:p w14:paraId="5CD182D3"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FFF2CC"/>
            <w:vAlign w:val="center"/>
          </w:tcPr>
          <w:p w14:paraId="6C94B530"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1FF7D8CB"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Document de politique du sous-secteur bois énergie, Rapports activités programme, Compte rendu des différents processus de consultation</w:t>
            </w:r>
          </w:p>
        </w:tc>
        <w:tc>
          <w:tcPr>
            <w:tcW w:w="816" w:type="dxa"/>
            <w:gridSpan w:val="2"/>
            <w:shd w:val="clear" w:color="auto" w:fill="FFF2CC"/>
            <w:vAlign w:val="center"/>
          </w:tcPr>
          <w:p w14:paraId="02449C05"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Draft de la politique sous-secteur bois-énergie</w:t>
            </w:r>
          </w:p>
        </w:tc>
        <w:tc>
          <w:tcPr>
            <w:tcW w:w="814" w:type="dxa"/>
            <w:shd w:val="clear" w:color="auto" w:fill="FFF2CC"/>
            <w:vAlign w:val="center"/>
          </w:tcPr>
          <w:p w14:paraId="1D222F1B"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Draft de la politique sous-secteur bois-énergie</w:t>
            </w:r>
          </w:p>
        </w:tc>
        <w:tc>
          <w:tcPr>
            <w:tcW w:w="776" w:type="dxa"/>
            <w:gridSpan w:val="2"/>
            <w:shd w:val="clear" w:color="auto" w:fill="FFF2CC"/>
            <w:vAlign w:val="center"/>
          </w:tcPr>
          <w:p w14:paraId="4375D6A2"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1AB7DBB2"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FFF2CC"/>
            <w:vAlign w:val="center"/>
          </w:tcPr>
          <w:p w14:paraId="1A740326"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Comme cible pour cette année, le programme compte finir le draft de la politique qu’il présentera au ministère de tutelle</w:t>
            </w:r>
            <w:r w:rsidRPr="004752F5">
              <w:rPr>
                <w:rFonts w:asciiTheme="majorHAnsi" w:hAnsiTheme="majorHAnsi" w:cstheme="majorHAnsi"/>
                <w:bCs/>
                <w:sz w:val="22"/>
                <w:szCs w:val="22"/>
              </w:rPr>
              <w:t xml:space="preserve"> à la fin du premier trimestre 2021.</w:t>
            </w:r>
          </w:p>
        </w:tc>
        <w:tc>
          <w:tcPr>
            <w:tcW w:w="993" w:type="dxa"/>
            <w:gridSpan w:val="2"/>
            <w:shd w:val="clear" w:color="auto" w:fill="FFF2CC"/>
          </w:tcPr>
          <w:p w14:paraId="6FA98738"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01BB2AF6" w14:textId="77777777" w:rsidTr="004752F5">
        <w:trPr>
          <w:trHeight w:val="20"/>
        </w:trPr>
        <w:tc>
          <w:tcPr>
            <w:tcW w:w="1912" w:type="dxa"/>
            <w:vMerge/>
            <w:shd w:val="clear" w:color="auto" w:fill="FFF2CC"/>
          </w:tcPr>
          <w:p w14:paraId="2888AD72"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FFF2CC"/>
          </w:tcPr>
          <w:p w14:paraId="1E72A69D"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1.4.2 Nombre de personnes (secteur public, secteur privé, société civile) impliquées dans les concertations pour l’élaboration et la mise en œuvre des </w:t>
            </w:r>
            <w:r w:rsidRPr="004752F5">
              <w:rPr>
                <w:rFonts w:asciiTheme="majorHAnsi" w:hAnsiTheme="majorHAnsi" w:cstheme="majorHAnsi"/>
                <w:bCs/>
                <w:sz w:val="22"/>
                <w:szCs w:val="22"/>
              </w:rPr>
              <w:t>réformes</w:t>
            </w:r>
            <w:r w:rsidRPr="004752F5">
              <w:rPr>
                <w:rFonts w:asciiTheme="majorHAnsi" w:hAnsiTheme="majorHAnsi" w:cstheme="majorHAnsi"/>
                <w:bCs/>
                <w:color w:val="000000"/>
                <w:sz w:val="22"/>
                <w:szCs w:val="22"/>
              </w:rPr>
              <w:t xml:space="preserve"> du secteur des énergies de cuisson (bois-énergie, GPL, etc.) désagrégé par genre</w:t>
            </w:r>
          </w:p>
        </w:tc>
        <w:tc>
          <w:tcPr>
            <w:tcW w:w="1094" w:type="dxa"/>
            <w:shd w:val="clear" w:color="auto" w:fill="FFF2CC"/>
            <w:vAlign w:val="center"/>
          </w:tcPr>
          <w:p w14:paraId="2F6E915B"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FFF2CC"/>
            <w:vAlign w:val="center"/>
          </w:tcPr>
          <w:p w14:paraId="3FCB0C00"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6B9841D3"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Compte rendu des ateliers de concertation, listes de présence des participants</w:t>
            </w:r>
          </w:p>
        </w:tc>
        <w:tc>
          <w:tcPr>
            <w:tcW w:w="816" w:type="dxa"/>
            <w:gridSpan w:val="2"/>
            <w:shd w:val="clear" w:color="auto" w:fill="FFF2CC"/>
            <w:vAlign w:val="center"/>
          </w:tcPr>
          <w:p w14:paraId="4B223616"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50</w:t>
            </w:r>
          </w:p>
        </w:tc>
        <w:tc>
          <w:tcPr>
            <w:tcW w:w="814" w:type="dxa"/>
            <w:shd w:val="clear" w:color="auto" w:fill="FFF2CC"/>
            <w:vAlign w:val="center"/>
          </w:tcPr>
          <w:p w14:paraId="7A81BC56" w14:textId="77777777" w:rsidR="00AD5317" w:rsidRPr="004752F5" w:rsidRDefault="00AD5317" w:rsidP="008F0DC8">
            <w:pPr>
              <w:ind w:left="0" w:right="0" w:firstLine="0"/>
              <w:jc w:val="center"/>
              <w:rPr>
                <w:rFonts w:asciiTheme="majorHAnsi" w:hAnsiTheme="majorHAnsi" w:cstheme="majorHAnsi"/>
                <w:bCs/>
                <w:color w:val="000000"/>
                <w:sz w:val="22"/>
                <w:szCs w:val="22"/>
              </w:rPr>
            </w:pPr>
          </w:p>
        </w:tc>
        <w:tc>
          <w:tcPr>
            <w:tcW w:w="776" w:type="dxa"/>
            <w:gridSpan w:val="2"/>
            <w:shd w:val="clear" w:color="auto" w:fill="FFF2CC"/>
            <w:vAlign w:val="center"/>
          </w:tcPr>
          <w:p w14:paraId="5E2320FB"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04B53333"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50</w:t>
            </w:r>
          </w:p>
        </w:tc>
        <w:tc>
          <w:tcPr>
            <w:tcW w:w="3118" w:type="dxa"/>
            <w:shd w:val="clear" w:color="auto" w:fill="FFF2CC"/>
            <w:vAlign w:val="center"/>
          </w:tcPr>
          <w:p w14:paraId="3679E23A"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Au fur et à mesure que les ateliers se dérouleront, nous documenterons cet indicateur.</w:t>
            </w:r>
          </w:p>
        </w:tc>
        <w:tc>
          <w:tcPr>
            <w:tcW w:w="993" w:type="dxa"/>
            <w:gridSpan w:val="2"/>
            <w:shd w:val="clear" w:color="auto" w:fill="FFF2CC"/>
          </w:tcPr>
          <w:p w14:paraId="7CE89579"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779EC9D2" w14:textId="77777777" w:rsidTr="004752F5">
        <w:trPr>
          <w:trHeight w:val="20"/>
        </w:trPr>
        <w:tc>
          <w:tcPr>
            <w:tcW w:w="1912" w:type="dxa"/>
            <w:vMerge/>
            <w:shd w:val="clear" w:color="auto" w:fill="FFF2CC"/>
          </w:tcPr>
          <w:p w14:paraId="046BD758"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FFF2CC"/>
          </w:tcPr>
          <w:p w14:paraId="3830F262"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1.4.3 Nombre de textes légaux et </w:t>
            </w:r>
            <w:r w:rsidRPr="004752F5">
              <w:rPr>
                <w:rFonts w:asciiTheme="majorHAnsi" w:hAnsiTheme="majorHAnsi" w:cstheme="majorHAnsi"/>
                <w:bCs/>
                <w:sz w:val="22"/>
                <w:szCs w:val="22"/>
              </w:rPr>
              <w:t>réglementaires,</w:t>
            </w:r>
            <w:r w:rsidRPr="004752F5">
              <w:rPr>
                <w:rFonts w:asciiTheme="majorHAnsi" w:hAnsiTheme="majorHAnsi" w:cstheme="majorHAnsi"/>
                <w:bCs/>
                <w:color w:val="000000"/>
                <w:sz w:val="22"/>
                <w:szCs w:val="22"/>
              </w:rPr>
              <w:t xml:space="preserve"> procédures administratives (i) rédigés (ii) présentés à consultation publique (iii) promulgué sur la gestion du sous-secteur GPL</w:t>
            </w:r>
          </w:p>
        </w:tc>
        <w:tc>
          <w:tcPr>
            <w:tcW w:w="1094" w:type="dxa"/>
            <w:shd w:val="clear" w:color="auto" w:fill="FFF2CC"/>
            <w:vAlign w:val="center"/>
          </w:tcPr>
          <w:p w14:paraId="48CF78E7"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FFF2CC"/>
            <w:vAlign w:val="center"/>
          </w:tcPr>
          <w:p w14:paraId="5A5E0245"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6389EE6D"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Rapports des ateliers, Journal Officiel (JO)</w:t>
            </w:r>
          </w:p>
        </w:tc>
        <w:tc>
          <w:tcPr>
            <w:tcW w:w="816" w:type="dxa"/>
            <w:gridSpan w:val="2"/>
            <w:shd w:val="clear" w:color="auto" w:fill="FFF2CC"/>
            <w:vAlign w:val="center"/>
          </w:tcPr>
          <w:p w14:paraId="3D8CB1E0"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Drafts de textes légaux et réglementaires de gestion du sous-secteur GPL</w:t>
            </w:r>
          </w:p>
        </w:tc>
        <w:tc>
          <w:tcPr>
            <w:tcW w:w="814" w:type="dxa"/>
            <w:shd w:val="clear" w:color="auto" w:fill="FFF2CC"/>
            <w:vAlign w:val="center"/>
          </w:tcPr>
          <w:p w14:paraId="5990B5E4"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Drafts de textes légaux et règlementaires de gestion du sous-secteur GPL</w:t>
            </w:r>
          </w:p>
        </w:tc>
        <w:tc>
          <w:tcPr>
            <w:tcW w:w="776" w:type="dxa"/>
            <w:gridSpan w:val="2"/>
            <w:shd w:val="clear" w:color="auto" w:fill="FFF2CC"/>
            <w:vAlign w:val="center"/>
          </w:tcPr>
          <w:p w14:paraId="1F9ECBAA"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29F7F873"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FFF2CC"/>
          </w:tcPr>
          <w:p w14:paraId="29031664"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Pré-plan directeur du GPL et la feuille de route pour les textes réglementaires. Ces documents sont attendus en 2021</w:t>
            </w:r>
          </w:p>
        </w:tc>
        <w:tc>
          <w:tcPr>
            <w:tcW w:w="993" w:type="dxa"/>
            <w:gridSpan w:val="2"/>
            <w:shd w:val="clear" w:color="auto" w:fill="FFF2CC"/>
          </w:tcPr>
          <w:p w14:paraId="767EC029"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591510F6" w14:textId="77777777" w:rsidTr="004752F5">
        <w:trPr>
          <w:trHeight w:val="20"/>
        </w:trPr>
        <w:tc>
          <w:tcPr>
            <w:tcW w:w="1912" w:type="dxa"/>
            <w:vMerge w:val="restart"/>
            <w:shd w:val="clear" w:color="auto" w:fill="FFF2CC"/>
          </w:tcPr>
          <w:p w14:paraId="21B170E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Output 1.5</w:t>
            </w:r>
          </w:p>
          <w:p w14:paraId="2F453240"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Une stratégie de communication multi-acteurs et multisectorielle est conçue, de manière participative pour répondre aux besoins spécifiques de chaque groupe, et est déployée</w:t>
            </w:r>
          </w:p>
        </w:tc>
        <w:tc>
          <w:tcPr>
            <w:tcW w:w="2665" w:type="dxa"/>
            <w:shd w:val="clear" w:color="auto" w:fill="FFF2CC"/>
          </w:tcPr>
          <w:p w14:paraId="0CA57D0C"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1.5.1 Existence d’une stratégie de marketing, pour les énergies de cuisson propres, basée sur le changement des comportements</w:t>
            </w:r>
          </w:p>
        </w:tc>
        <w:tc>
          <w:tcPr>
            <w:tcW w:w="1094" w:type="dxa"/>
            <w:shd w:val="clear" w:color="auto" w:fill="FFF2CC"/>
            <w:vAlign w:val="center"/>
          </w:tcPr>
          <w:p w14:paraId="43BAE6E3"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FFF2CC"/>
            <w:vAlign w:val="center"/>
          </w:tcPr>
          <w:p w14:paraId="74386EC6"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33FE99BE"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Document de stratégie marketing, Rapports activités programme</w:t>
            </w:r>
          </w:p>
        </w:tc>
        <w:tc>
          <w:tcPr>
            <w:tcW w:w="816" w:type="dxa"/>
            <w:gridSpan w:val="2"/>
            <w:shd w:val="clear" w:color="auto" w:fill="FFF2CC"/>
            <w:vAlign w:val="center"/>
          </w:tcPr>
          <w:p w14:paraId="495CD295"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814" w:type="dxa"/>
            <w:shd w:val="clear" w:color="auto" w:fill="FFF2CC"/>
            <w:vAlign w:val="center"/>
          </w:tcPr>
          <w:p w14:paraId="09077FB0"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76" w:type="dxa"/>
            <w:gridSpan w:val="2"/>
            <w:shd w:val="clear" w:color="auto" w:fill="FFF2CC"/>
            <w:vAlign w:val="center"/>
          </w:tcPr>
          <w:p w14:paraId="7FBA4971"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1</w:t>
            </w:r>
          </w:p>
        </w:tc>
        <w:tc>
          <w:tcPr>
            <w:tcW w:w="1067" w:type="dxa"/>
            <w:shd w:val="clear" w:color="auto" w:fill="FFF2CC"/>
            <w:vAlign w:val="center"/>
          </w:tcPr>
          <w:p w14:paraId="28A07155"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1</w:t>
            </w:r>
          </w:p>
        </w:tc>
        <w:tc>
          <w:tcPr>
            <w:tcW w:w="3118" w:type="dxa"/>
            <w:shd w:val="clear" w:color="auto" w:fill="FFF2CC"/>
          </w:tcPr>
          <w:p w14:paraId="2E289855"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Le programme</w:t>
            </w:r>
            <w:r w:rsidRPr="004752F5">
              <w:rPr>
                <w:rFonts w:asciiTheme="majorHAnsi" w:hAnsiTheme="majorHAnsi" w:cstheme="majorHAnsi"/>
                <w:bCs/>
                <w:sz w:val="22"/>
                <w:szCs w:val="22"/>
              </w:rPr>
              <w:t xml:space="preserve"> a</w:t>
            </w:r>
            <w:r w:rsidRPr="004752F5">
              <w:rPr>
                <w:rFonts w:asciiTheme="majorHAnsi" w:hAnsiTheme="majorHAnsi" w:cstheme="majorHAnsi"/>
                <w:bCs/>
                <w:color w:val="000000"/>
                <w:sz w:val="22"/>
                <w:szCs w:val="22"/>
              </w:rPr>
              <w:t xml:space="preserve"> recruté la firme qui a </w:t>
            </w:r>
            <w:r w:rsidRPr="004752F5">
              <w:rPr>
                <w:rFonts w:asciiTheme="majorHAnsi" w:hAnsiTheme="majorHAnsi" w:cstheme="majorHAnsi"/>
                <w:bCs/>
                <w:sz w:val="22"/>
                <w:szCs w:val="22"/>
              </w:rPr>
              <w:t>conçu</w:t>
            </w:r>
            <w:r w:rsidRPr="004752F5">
              <w:rPr>
                <w:rFonts w:asciiTheme="majorHAnsi" w:hAnsiTheme="majorHAnsi" w:cstheme="majorHAnsi"/>
                <w:bCs/>
                <w:color w:val="000000"/>
                <w:sz w:val="22"/>
                <w:szCs w:val="22"/>
              </w:rPr>
              <w:t xml:space="preserve"> la stratégie globale de communication sociale pour les changements des comportements</w:t>
            </w:r>
            <w:r w:rsidRPr="004752F5">
              <w:rPr>
                <w:rFonts w:asciiTheme="majorHAnsi" w:hAnsiTheme="majorHAnsi" w:cstheme="majorHAnsi"/>
                <w:bCs/>
                <w:sz w:val="22"/>
                <w:szCs w:val="22"/>
              </w:rPr>
              <w:t>. La finalisation de la stratégie est en cours et sera présentée aux parties prenantes en début du mois de janvier 2021.</w:t>
            </w:r>
          </w:p>
        </w:tc>
        <w:tc>
          <w:tcPr>
            <w:tcW w:w="993" w:type="dxa"/>
            <w:gridSpan w:val="2"/>
            <w:shd w:val="clear" w:color="auto" w:fill="FFF2CC"/>
          </w:tcPr>
          <w:p w14:paraId="6668AF2C"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261D60E3" w14:textId="77777777" w:rsidTr="004752F5">
        <w:trPr>
          <w:trHeight w:val="20"/>
        </w:trPr>
        <w:tc>
          <w:tcPr>
            <w:tcW w:w="1912" w:type="dxa"/>
            <w:vMerge/>
            <w:shd w:val="clear" w:color="auto" w:fill="FFF2CC"/>
          </w:tcPr>
          <w:p w14:paraId="18388F60"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FFF2CC"/>
          </w:tcPr>
          <w:p w14:paraId="4CE11FD4"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1.5.2 Nombre de personnes sensibilisées sur les énergies de cuisson propres (y compris bois-énergie et GPL) par type d’acteur et par genre (consommateurs, producteurs, acteurs publics, etc.)</w:t>
            </w:r>
          </w:p>
        </w:tc>
        <w:tc>
          <w:tcPr>
            <w:tcW w:w="1094" w:type="dxa"/>
            <w:shd w:val="clear" w:color="auto" w:fill="FFF2CC"/>
            <w:vAlign w:val="center"/>
          </w:tcPr>
          <w:p w14:paraId="738EEC91"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Inconnue</w:t>
            </w:r>
          </w:p>
        </w:tc>
        <w:tc>
          <w:tcPr>
            <w:tcW w:w="794" w:type="dxa"/>
            <w:shd w:val="clear" w:color="auto" w:fill="FFF2CC"/>
            <w:vAlign w:val="center"/>
          </w:tcPr>
          <w:p w14:paraId="4D166DBD"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707CB743"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Rapports d’enquête ou études de référence</w:t>
            </w:r>
          </w:p>
        </w:tc>
        <w:tc>
          <w:tcPr>
            <w:tcW w:w="816" w:type="dxa"/>
            <w:gridSpan w:val="2"/>
            <w:shd w:val="clear" w:color="auto" w:fill="FFF2CC"/>
            <w:vAlign w:val="center"/>
          </w:tcPr>
          <w:p w14:paraId="7B8F69BE" w14:textId="77777777" w:rsidR="00AD5317" w:rsidRPr="004752F5" w:rsidRDefault="00AD5317" w:rsidP="008F0DC8">
            <w:pPr>
              <w:ind w:left="0" w:right="0" w:firstLine="0"/>
              <w:jc w:val="center"/>
              <w:rPr>
                <w:rFonts w:asciiTheme="majorHAnsi" w:hAnsiTheme="majorHAnsi" w:cstheme="majorHAnsi"/>
                <w:bCs/>
                <w:color w:val="000000"/>
                <w:sz w:val="22"/>
                <w:szCs w:val="22"/>
              </w:rPr>
            </w:pPr>
          </w:p>
        </w:tc>
        <w:tc>
          <w:tcPr>
            <w:tcW w:w="814" w:type="dxa"/>
            <w:shd w:val="clear" w:color="auto" w:fill="FFF2CC"/>
            <w:vAlign w:val="center"/>
          </w:tcPr>
          <w:p w14:paraId="47D88726" w14:textId="77777777" w:rsidR="00AD5317" w:rsidRPr="004752F5" w:rsidRDefault="00AD5317" w:rsidP="008F0DC8">
            <w:pPr>
              <w:ind w:left="0" w:right="0" w:firstLine="0"/>
              <w:jc w:val="center"/>
              <w:rPr>
                <w:rFonts w:asciiTheme="majorHAnsi" w:hAnsiTheme="majorHAnsi" w:cstheme="majorHAnsi"/>
                <w:bCs/>
                <w:color w:val="000000"/>
                <w:sz w:val="22"/>
                <w:szCs w:val="22"/>
              </w:rPr>
            </w:pPr>
          </w:p>
        </w:tc>
        <w:tc>
          <w:tcPr>
            <w:tcW w:w="776" w:type="dxa"/>
            <w:gridSpan w:val="2"/>
            <w:shd w:val="clear" w:color="auto" w:fill="FFF2CC"/>
            <w:vAlign w:val="center"/>
          </w:tcPr>
          <w:p w14:paraId="58C590A6"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2E4B13F6"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0</w:t>
            </w:r>
          </w:p>
        </w:tc>
        <w:tc>
          <w:tcPr>
            <w:tcW w:w="3118" w:type="dxa"/>
            <w:shd w:val="clear" w:color="auto" w:fill="FFF2CC"/>
          </w:tcPr>
          <w:p w14:paraId="11498E2D"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Sera renseigné une fois les campagnes des CCC lancées pour voir l’impact des sensibilisations.</w:t>
            </w:r>
          </w:p>
        </w:tc>
        <w:tc>
          <w:tcPr>
            <w:tcW w:w="993" w:type="dxa"/>
            <w:gridSpan w:val="2"/>
            <w:shd w:val="clear" w:color="auto" w:fill="FFF2CC"/>
          </w:tcPr>
          <w:p w14:paraId="4DE0049A"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4752F5" w:rsidRPr="004752F5" w14:paraId="47367907" w14:textId="77777777" w:rsidTr="004752F5">
        <w:trPr>
          <w:trHeight w:val="20"/>
        </w:trPr>
        <w:tc>
          <w:tcPr>
            <w:tcW w:w="1912" w:type="dxa"/>
            <w:vMerge w:val="restart"/>
            <w:shd w:val="clear" w:color="auto" w:fill="C6E0B4"/>
          </w:tcPr>
          <w:p w14:paraId="501AAF3E" w14:textId="77777777" w:rsidR="004752F5" w:rsidRPr="004752F5" w:rsidRDefault="004752F5" w:rsidP="004752F5">
            <w:pPr>
              <w:ind w:left="0" w:right="0" w:firstLine="10"/>
              <w:jc w:val="left"/>
              <w:rPr>
                <w:rFonts w:asciiTheme="majorHAnsi" w:hAnsiTheme="majorHAnsi" w:cstheme="majorHAnsi"/>
                <w:bCs/>
                <w:color w:val="000000"/>
                <w:sz w:val="22"/>
                <w:szCs w:val="22"/>
                <w:u w:val="single"/>
              </w:rPr>
            </w:pPr>
            <w:proofErr w:type="spellStart"/>
            <w:r w:rsidRPr="004752F5">
              <w:rPr>
                <w:rFonts w:asciiTheme="majorHAnsi" w:hAnsiTheme="majorHAnsi" w:cstheme="majorHAnsi"/>
                <w:bCs/>
                <w:color w:val="000000"/>
                <w:sz w:val="22"/>
                <w:szCs w:val="22"/>
                <w:u w:val="single"/>
              </w:rPr>
              <w:t>Outcome</w:t>
            </w:r>
            <w:proofErr w:type="spellEnd"/>
            <w:r w:rsidRPr="004752F5">
              <w:rPr>
                <w:rFonts w:asciiTheme="majorHAnsi" w:hAnsiTheme="majorHAnsi" w:cstheme="majorHAnsi"/>
                <w:bCs/>
                <w:color w:val="000000"/>
                <w:sz w:val="22"/>
                <w:szCs w:val="22"/>
                <w:u w:val="single"/>
              </w:rPr>
              <w:t xml:space="preserve"> 2</w:t>
            </w:r>
            <w:r w:rsidRPr="004752F5">
              <w:rPr>
                <w:rFonts w:asciiTheme="majorHAnsi" w:hAnsiTheme="majorHAnsi" w:cstheme="majorHAnsi"/>
                <w:bCs/>
                <w:color w:val="000000"/>
                <w:sz w:val="22"/>
                <w:szCs w:val="22"/>
              </w:rPr>
              <w:t xml:space="preserve"> : Un marché local, économiquement viable, de production et de commercialisation d’énergie propre de cuisson (foyers améliorés et GPL) est développé</w:t>
            </w:r>
          </w:p>
        </w:tc>
        <w:tc>
          <w:tcPr>
            <w:tcW w:w="2665" w:type="dxa"/>
            <w:shd w:val="clear" w:color="auto" w:fill="C6E0B4"/>
          </w:tcPr>
          <w:p w14:paraId="2AC1C201"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 Nombre de nouveaux ménages utilisant les foyers améliorés comme source de cuisson dans les zones cibles</w:t>
            </w:r>
          </w:p>
        </w:tc>
        <w:tc>
          <w:tcPr>
            <w:tcW w:w="1094" w:type="dxa"/>
            <w:shd w:val="clear" w:color="auto" w:fill="C6E0B4"/>
            <w:vAlign w:val="center"/>
          </w:tcPr>
          <w:p w14:paraId="663C6A17"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Kinshasa 108</w:t>
            </w:r>
          </w:p>
          <w:p w14:paraId="36BEEA5E"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Lubumbashi 4</w:t>
            </w:r>
          </w:p>
          <w:p w14:paraId="5531F535" w14:textId="77777777" w:rsidR="004752F5" w:rsidRPr="004752F5" w:rsidRDefault="004752F5" w:rsidP="004752F5">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Bukavu 327</w:t>
            </w:r>
          </w:p>
          <w:p w14:paraId="7898E305" w14:textId="77777777" w:rsidR="004752F5" w:rsidRPr="004752F5" w:rsidRDefault="004752F5" w:rsidP="004752F5">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Goma 335</w:t>
            </w:r>
          </w:p>
        </w:tc>
        <w:tc>
          <w:tcPr>
            <w:tcW w:w="794" w:type="dxa"/>
            <w:shd w:val="clear" w:color="auto" w:fill="C6E0B4"/>
            <w:vAlign w:val="center"/>
          </w:tcPr>
          <w:p w14:paraId="1C4A1ED2" w14:textId="77777777" w:rsidR="004752F5" w:rsidRPr="004752F5" w:rsidRDefault="004752F5" w:rsidP="004752F5">
            <w:pPr>
              <w:ind w:left="0" w:right="0" w:firstLine="0"/>
              <w:jc w:val="left"/>
              <w:rPr>
                <w:rFonts w:asciiTheme="majorHAnsi" w:hAnsiTheme="majorHAnsi" w:cstheme="majorHAnsi"/>
                <w:bCs/>
                <w:color w:val="000000"/>
                <w:sz w:val="22"/>
                <w:szCs w:val="22"/>
                <w:u w:val="single"/>
              </w:rPr>
            </w:pPr>
            <w:r w:rsidRPr="004752F5">
              <w:rPr>
                <w:rFonts w:asciiTheme="majorHAnsi" w:hAnsiTheme="majorHAnsi" w:cstheme="majorHAnsi"/>
                <w:bCs/>
                <w:color w:val="000000"/>
                <w:sz w:val="22"/>
                <w:szCs w:val="22"/>
                <w:u w:val="single"/>
              </w:rPr>
              <w:t>2020</w:t>
            </w:r>
          </w:p>
        </w:tc>
        <w:tc>
          <w:tcPr>
            <w:tcW w:w="1828" w:type="dxa"/>
            <w:shd w:val="clear" w:color="auto" w:fill="C6E0B4"/>
            <w:vAlign w:val="center"/>
          </w:tcPr>
          <w:p w14:paraId="628D1642" w14:textId="77777777" w:rsidR="004752F5" w:rsidRPr="004752F5" w:rsidRDefault="004752F5" w:rsidP="004752F5">
            <w:pPr>
              <w:ind w:left="0" w:right="0" w:firstLine="0"/>
              <w:jc w:val="left"/>
              <w:rPr>
                <w:rFonts w:asciiTheme="majorHAnsi" w:hAnsiTheme="majorHAnsi" w:cstheme="majorHAnsi"/>
                <w:bCs/>
                <w:color w:val="000000"/>
                <w:sz w:val="22"/>
                <w:szCs w:val="22"/>
                <w:u w:val="single"/>
              </w:rPr>
            </w:pPr>
            <w:r w:rsidRPr="004752F5">
              <w:rPr>
                <w:rFonts w:asciiTheme="majorHAnsi" w:hAnsiTheme="majorHAnsi" w:cstheme="majorHAnsi"/>
                <w:bCs/>
                <w:color w:val="000000"/>
                <w:sz w:val="22"/>
                <w:szCs w:val="22"/>
              </w:rPr>
              <w:t>Etudes de référence bois-énergie et GPL réalisées faite par CIRAD</w:t>
            </w:r>
          </w:p>
        </w:tc>
        <w:tc>
          <w:tcPr>
            <w:tcW w:w="816" w:type="dxa"/>
            <w:gridSpan w:val="2"/>
            <w:shd w:val="clear" w:color="auto" w:fill="C6E0B4"/>
            <w:vAlign w:val="center"/>
          </w:tcPr>
          <w:p w14:paraId="599BD61D" w14:textId="77777777" w:rsidR="004752F5" w:rsidRPr="004752F5" w:rsidRDefault="004752F5" w:rsidP="004752F5">
            <w:pPr>
              <w:ind w:left="0" w:right="0" w:firstLine="0"/>
              <w:jc w:val="center"/>
              <w:rPr>
                <w:rFonts w:asciiTheme="majorHAnsi" w:hAnsiTheme="majorHAnsi" w:cstheme="majorHAnsi"/>
                <w:bCs/>
                <w:color w:val="000000"/>
                <w:sz w:val="22"/>
                <w:szCs w:val="22"/>
                <w:u w:val="single"/>
              </w:rPr>
            </w:pPr>
          </w:p>
        </w:tc>
        <w:tc>
          <w:tcPr>
            <w:tcW w:w="814" w:type="dxa"/>
            <w:shd w:val="clear" w:color="auto" w:fill="C6E0B4"/>
            <w:vAlign w:val="center"/>
          </w:tcPr>
          <w:p w14:paraId="4A720534" w14:textId="77777777" w:rsidR="004752F5" w:rsidRPr="004752F5" w:rsidRDefault="004752F5" w:rsidP="004752F5">
            <w:pPr>
              <w:ind w:left="0" w:right="0" w:firstLine="0"/>
              <w:jc w:val="center"/>
              <w:rPr>
                <w:rFonts w:asciiTheme="majorHAnsi" w:hAnsiTheme="majorHAnsi" w:cstheme="majorHAnsi"/>
                <w:bCs/>
                <w:color w:val="000000"/>
                <w:sz w:val="22"/>
                <w:szCs w:val="22"/>
                <w:u w:val="single"/>
              </w:rPr>
            </w:pPr>
          </w:p>
        </w:tc>
        <w:tc>
          <w:tcPr>
            <w:tcW w:w="776" w:type="dxa"/>
            <w:gridSpan w:val="2"/>
            <w:shd w:val="clear" w:color="auto" w:fill="C6E0B4"/>
            <w:vAlign w:val="center"/>
          </w:tcPr>
          <w:p w14:paraId="133E8099" w14:textId="77777777" w:rsidR="004752F5" w:rsidRPr="004752F5" w:rsidRDefault="004752F5" w:rsidP="004752F5">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C6E0B4"/>
            <w:vAlign w:val="center"/>
          </w:tcPr>
          <w:p w14:paraId="11AB236E"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Kinshasa 17154</w:t>
            </w:r>
          </w:p>
          <w:p w14:paraId="6D7AECF4"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Lubumbashi 2880</w:t>
            </w:r>
          </w:p>
          <w:p w14:paraId="1FE13D1C" w14:textId="77777777" w:rsidR="004752F5" w:rsidRPr="004752F5" w:rsidRDefault="004752F5" w:rsidP="004752F5">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Bukavu 4465</w:t>
            </w:r>
          </w:p>
          <w:p w14:paraId="55AAA5DF" w14:textId="1EF22760" w:rsidR="004752F5" w:rsidRPr="004752F5" w:rsidRDefault="004752F5" w:rsidP="004752F5">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Goma 5360</w:t>
            </w:r>
          </w:p>
        </w:tc>
        <w:tc>
          <w:tcPr>
            <w:tcW w:w="3118" w:type="dxa"/>
            <w:shd w:val="clear" w:color="auto" w:fill="C6E0B4"/>
          </w:tcPr>
          <w:p w14:paraId="0EAA4391" w14:textId="77777777" w:rsidR="004752F5" w:rsidRPr="004752F5" w:rsidRDefault="004752F5" w:rsidP="004752F5">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Nous mesurerons encore cet indicateur à mi-parcours.</w:t>
            </w:r>
          </w:p>
        </w:tc>
        <w:tc>
          <w:tcPr>
            <w:tcW w:w="993" w:type="dxa"/>
            <w:gridSpan w:val="2"/>
            <w:shd w:val="clear" w:color="auto" w:fill="C6E0B4"/>
          </w:tcPr>
          <w:p w14:paraId="34EEC634" w14:textId="77777777" w:rsidR="004752F5" w:rsidRPr="004752F5" w:rsidRDefault="004752F5" w:rsidP="004752F5">
            <w:pPr>
              <w:ind w:left="0" w:right="0" w:firstLine="0"/>
              <w:jc w:val="left"/>
              <w:rPr>
                <w:rFonts w:asciiTheme="majorHAnsi" w:hAnsiTheme="majorHAnsi" w:cstheme="majorHAnsi"/>
                <w:bCs/>
                <w:color w:val="000000"/>
                <w:sz w:val="22"/>
                <w:szCs w:val="22"/>
              </w:rPr>
            </w:pPr>
          </w:p>
        </w:tc>
      </w:tr>
      <w:tr w:rsidR="004752F5" w:rsidRPr="004752F5" w14:paraId="0C66D472" w14:textId="77777777" w:rsidTr="004752F5">
        <w:trPr>
          <w:trHeight w:val="20"/>
        </w:trPr>
        <w:tc>
          <w:tcPr>
            <w:tcW w:w="1912" w:type="dxa"/>
            <w:vMerge/>
            <w:shd w:val="clear" w:color="auto" w:fill="C6E0B4"/>
          </w:tcPr>
          <w:p w14:paraId="0FCDEDF8" w14:textId="77777777" w:rsidR="004752F5" w:rsidRPr="004752F5" w:rsidRDefault="004752F5" w:rsidP="004752F5">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C6E0B4"/>
          </w:tcPr>
          <w:p w14:paraId="6A2EF033"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 Nombre de ménages utilisant le GPL comme source de cuisson principale ou secondaire dans les zones cibles</w:t>
            </w:r>
          </w:p>
        </w:tc>
        <w:tc>
          <w:tcPr>
            <w:tcW w:w="1094" w:type="dxa"/>
            <w:shd w:val="clear" w:color="auto" w:fill="C6E0B4"/>
            <w:vAlign w:val="center"/>
          </w:tcPr>
          <w:p w14:paraId="25C1BBB5"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Kinshasa 29</w:t>
            </w:r>
          </w:p>
          <w:p w14:paraId="144AC6CE"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Lubumbashi 18</w:t>
            </w:r>
          </w:p>
          <w:p w14:paraId="13B97B38" w14:textId="77777777" w:rsidR="004752F5" w:rsidRPr="004752F5" w:rsidRDefault="004752F5" w:rsidP="004752F5">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Bukavu 4</w:t>
            </w:r>
          </w:p>
          <w:p w14:paraId="4DB8D787" w14:textId="77777777" w:rsidR="004752F5" w:rsidRPr="004752F5" w:rsidRDefault="004752F5" w:rsidP="004752F5">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Goma 36</w:t>
            </w:r>
          </w:p>
        </w:tc>
        <w:tc>
          <w:tcPr>
            <w:tcW w:w="794" w:type="dxa"/>
            <w:shd w:val="clear" w:color="auto" w:fill="C6E0B4"/>
            <w:vAlign w:val="center"/>
          </w:tcPr>
          <w:p w14:paraId="47313B1F"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C6E0B4"/>
            <w:vAlign w:val="center"/>
          </w:tcPr>
          <w:p w14:paraId="46B5EF60" w14:textId="77777777" w:rsidR="004752F5" w:rsidRPr="004752F5" w:rsidRDefault="004752F5" w:rsidP="004752F5">
            <w:pPr>
              <w:ind w:left="0" w:right="0" w:firstLine="0"/>
              <w:jc w:val="left"/>
              <w:rPr>
                <w:rFonts w:asciiTheme="majorHAnsi" w:hAnsiTheme="majorHAnsi" w:cstheme="majorHAnsi"/>
                <w:bCs/>
                <w:color w:val="000000"/>
                <w:sz w:val="22"/>
                <w:szCs w:val="22"/>
                <w:u w:val="single"/>
              </w:rPr>
            </w:pPr>
            <w:r w:rsidRPr="004752F5">
              <w:rPr>
                <w:rFonts w:asciiTheme="majorHAnsi" w:hAnsiTheme="majorHAnsi" w:cstheme="majorHAnsi"/>
                <w:bCs/>
                <w:color w:val="000000"/>
                <w:sz w:val="22"/>
                <w:szCs w:val="22"/>
              </w:rPr>
              <w:t>Etudes de référence bois-énergie et GPL réalisées faite par CIRAD</w:t>
            </w:r>
          </w:p>
        </w:tc>
        <w:tc>
          <w:tcPr>
            <w:tcW w:w="816" w:type="dxa"/>
            <w:gridSpan w:val="2"/>
            <w:shd w:val="clear" w:color="auto" w:fill="C6E0B4"/>
            <w:vAlign w:val="center"/>
          </w:tcPr>
          <w:p w14:paraId="4CAD0AEB" w14:textId="77777777" w:rsidR="004752F5" w:rsidRPr="004752F5" w:rsidRDefault="004752F5" w:rsidP="004752F5">
            <w:pPr>
              <w:ind w:left="0" w:right="0" w:firstLine="0"/>
              <w:jc w:val="center"/>
              <w:rPr>
                <w:rFonts w:asciiTheme="majorHAnsi" w:hAnsiTheme="majorHAnsi" w:cstheme="majorHAnsi"/>
                <w:bCs/>
                <w:color w:val="000000"/>
                <w:sz w:val="22"/>
                <w:szCs w:val="22"/>
                <w:u w:val="single"/>
              </w:rPr>
            </w:pPr>
          </w:p>
        </w:tc>
        <w:tc>
          <w:tcPr>
            <w:tcW w:w="814" w:type="dxa"/>
            <w:shd w:val="clear" w:color="auto" w:fill="C6E0B4"/>
            <w:vAlign w:val="center"/>
          </w:tcPr>
          <w:p w14:paraId="2588B96E" w14:textId="77777777" w:rsidR="004752F5" w:rsidRPr="004752F5" w:rsidRDefault="004752F5" w:rsidP="004752F5">
            <w:pPr>
              <w:ind w:left="0" w:right="0" w:firstLine="0"/>
              <w:jc w:val="center"/>
              <w:rPr>
                <w:rFonts w:asciiTheme="majorHAnsi" w:hAnsiTheme="majorHAnsi" w:cstheme="majorHAnsi"/>
                <w:bCs/>
                <w:color w:val="000000"/>
                <w:sz w:val="22"/>
                <w:szCs w:val="22"/>
                <w:u w:val="single"/>
              </w:rPr>
            </w:pPr>
          </w:p>
        </w:tc>
        <w:tc>
          <w:tcPr>
            <w:tcW w:w="776" w:type="dxa"/>
            <w:gridSpan w:val="2"/>
            <w:shd w:val="clear" w:color="auto" w:fill="C6E0B4"/>
            <w:vAlign w:val="center"/>
          </w:tcPr>
          <w:p w14:paraId="093E858F" w14:textId="77777777" w:rsidR="004752F5" w:rsidRPr="004752F5" w:rsidRDefault="004752F5" w:rsidP="004752F5">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C6E0B4"/>
            <w:vAlign w:val="center"/>
          </w:tcPr>
          <w:p w14:paraId="4ADD5D4C"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Kinshasa 3007</w:t>
            </w:r>
          </w:p>
          <w:p w14:paraId="29511B21"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Lubumbashi </w:t>
            </w:r>
          </w:p>
          <w:p w14:paraId="278A97C2" w14:textId="77777777" w:rsidR="004752F5" w:rsidRPr="004752F5" w:rsidRDefault="004752F5" w:rsidP="004752F5">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 xml:space="preserve">Bukavu </w:t>
            </w:r>
          </w:p>
          <w:p w14:paraId="7E61373A" w14:textId="0AECADFE" w:rsidR="004752F5" w:rsidRPr="004752F5" w:rsidRDefault="004752F5" w:rsidP="004752F5">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Goma 924</w:t>
            </w:r>
          </w:p>
        </w:tc>
        <w:tc>
          <w:tcPr>
            <w:tcW w:w="3118" w:type="dxa"/>
            <w:shd w:val="clear" w:color="auto" w:fill="C6E0B4"/>
          </w:tcPr>
          <w:p w14:paraId="7290B569" w14:textId="77777777" w:rsidR="004752F5" w:rsidRPr="004752F5" w:rsidRDefault="004752F5" w:rsidP="004752F5">
            <w:pPr>
              <w:ind w:left="0" w:right="0" w:firstLine="0"/>
              <w:rPr>
                <w:rFonts w:asciiTheme="majorHAnsi" w:hAnsiTheme="majorHAnsi" w:cstheme="majorHAnsi"/>
                <w:bCs/>
                <w:color w:val="000000"/>
                <w:sz w:val="22"/>
                <w:szCs w:val="22"/>
              </w:rPr>
            </w:pPr>
            <w:r w:rsidRPr="004752F5">
              <w:rPr>
                <w:rFonts w:asciiTheme="majorHAnsi" w:hAnsiTheme="majorHAnsi" w:cstheme="majorHAnsi"/>
                <w:bCs/>
                <w:sz w:val="22"/>
                <w:szCs w:val="22"/>
              </w:rPr>
              <w:t>Nous mesurerons encore cet indicateur à mi-parcours</w:t>
            </w:r>
          </w:p>
        </w:tc>
        <w:tc>
          <w:tcPr>
            <w:tcW w:w="993" w:type="dxa"/>
            <w:gridSpan w:val="2"/>
            <w:shd w:val="clear" w:color="auto" w:fill="C6E0B4"/>
          </w:tcPr>
          <w:p w14:paraId="348C7B66" w14:textId="77777777" w:rsidR="004752F5" w:rsidRPr="004752F5" w:rsidRDefault="004752F5" w:rsidP="004752F5">
            <w:pPr>
              <w:ind w:left="0" w:right="0" w:firstLine="0"/>
              <w:jc w:val="left"/>
              <w:rPr>
                <w:rFonts w:asciiTheme="majorHAnsi" w:hAnsiTheme="majorHAnsi" w:cstheme="majorHAnsi"/>
                <w:bCs/>
                <w:color w:val="000000"/>
                <w:sz w:val="22"/>
                <w:szCs w:val="22"/>
              </w:rPr>
            </w:pPr>
          </w:p>
        </w:tc>
      </w:tr>
      <w:tr w:rsidR="004752F5" w:rsidRPr="004752F5" w14:paraId="2C5CD305" w14:textId="77777777" w:rsidTr="004752F5">
        <w:trPr>
          <w:trHeight w:val="20"/>
        </w:trPr>
        <w:tc>
          <w:tcPr>
            <w:tcW w:w="1912" w:type="dxa"/>
            <w:vMerge/>
            <w:shd w:val="clear" w:color="auto" w:fill="C6E0B4"/>
          </w:tcPr>
          <w:p w14:paraId="5FF0CB77" w14:textId="77777777" w:rsidR="004752F5" w:rsidRPr="004752F5" w:rsidRDefault="004752F5" w:rsidP="004752F5">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C6E0B4"/>
          </w:tcPr>
          <w:p w14:paraId="33BA7AF5"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3. Proportion de la population de la RDC utilisant les sources d’énergie propre pour la cuisson, dans les zones cibles</w:t>
            </w:r>
          </w:p>
        </w:tc>
        <w:tc>
          <w:tcPr>
            <w:tcW w:w="1094" w:type="dxa"/>
            <w:shd w:val="clear" w:color="auto" w:fill="C6E0B4"/>
            <w:vAlign w:val="center"/>
          </w:tcPr>
          <w:p w14:paraId="140BE3F8"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Kinshasa 68%</w:t>
            </w:r>
          </w:p>
          <w:p w14:paraId="27356834"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Lubumbashi 26%</w:t>
            </w:r>
          </w:p>
          <w:p w14:paraId="46EB54D4" w14:textId="77777777" w:rsidR="004752F5" w:rsidRPr="004752F5" w:rsidRDefault="004752F5" w:rsidP="004752F5">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Bukavu 16%</w:t>
            </w:r>
          </w:p>
          <w:p w14:paraId="4D221CDC"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sz w:val="22"/>
                <w:szCs w:val="22"/>
              </w:rPr>
              <w:t>Goma 22,2%</w:t>
            </w:r>
          </w:p>
        </w:tc>
        <w:tc>
          <w:tcPr>
            <w:tcW w:w="794" w:type="dxa"/>
            <w:shd w:val="clear" w:color="auto" w:fill="C6E0B4"/>
            <w:vAlign w:val="center"/>
          </w:tcPr>
          <w:p w14:paraId="30BA0794"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C6E0B4"/>
            <w:vAlign w:val="center"/>
          </w:tcPr>
          <w:p w14:paraId="6BC18291" w14:textId="77777777" w:rsidR="004752F5" w:rsidRPr="004752F5" w:rsidRDefault="004752F5" w:rsidP="004752F5">
            <w:pPr>
              <w:ind w:left="0" w:right="0" w:firstLine="0"/>
              <w:jc w:val="left"/>
              <w:rPr>
                <w:rFonts w:asciiTheme="majorHAnsi" w:hAnsiTheme="majorHAnsi" w:cstheme="majorHAnsi"/>
                <w:bCs/>
                <w:color w:val="000000"/>
                <w:sz w:val="22"/>
                <w:szCs w:val="22"/>
                <w:u w:val="single"/>
              </w:rPr>
            </w:pPr>
            <w:r w:rsidRPr="004752F5">
              <w:rPr>
                <w:rFonts w:asciiTheme="majorHAnsi" w:hAnsiTheme="majorHAnsi" w:cstheme="majorHAnsi"/>
                <w:bCs/>
                <w:color w:val="000000"/>
                <w:sz w:val="22"/>
                <w:szCs w:val="22"/>
              </w:rPr>
              <w:t>Etudes de référence bois-énergie et GPL réalisées faite par CIRAD</w:t>
            </w:r>
          </w:p>
        </w:tc>
        <w:tc>
          <w:tcPr>
            <w:tcW w:w="816" w:type="dxa"/>
            <w:gridSpan w:val="2"/>
            <w:shd w:val="clear" w:color="auto" w:fill="C6E0B4"/>
            <w:vAlign w:val="center"/>
          </w:tcPr>
          <w:p w14:paraId="79BAF1A7" w14:textId="77777777" w:rsidR="004752F5" w:rsidRPr="004752F5" w:rsidRDefault="004752F5" w:rsidP="004752F5">
            <w:pPr>
              <w:ind w:left="0" w:right="0" w:firstLine="0"/>
              <w:jc w:val="center"/>
              <w:rPr>
                <w:rFonts w:asciiTheme="majorHAnsi" w:hAnsiTheme="majorHAnsi" w:cstheme="majorHAnsi"/>
                <w:bCs/>
                <w:color w:val="000000"/>
                <w:sz w:val="22"/>
                <w:szCs w:val="22"/>
                <w:u w:val="single"/>
              </w:rPr>
            </w:pPr>
          </w:p>
        </w:tc>
        <w:tc>
          <w:tcPr>
            <w:tcW w:w="814" w:type="dxa"/>
            <w:shd w:val="clear" w:color="auto" w:fill="C6E0B4"/>
            <w:vAlign w:val="center"/>
          </w:tcPr>
          <w:p w14:paraId="13D592F9" w14:textId="77777777" w:rsidR="004752F5" w:rsidRPr="004752F5" w:rsidRDefault="004752F5" w:rsidP="004752F5">
            <w:pPr>
              <w:ind w:left="0" w:right="0" w:firstLine="0"/>
              <w:jc w:val="center"/>
              <w:rPr>
                <w:rFonts w:asciiTheme="majorHAnsi" w:hAnsiTheme="majorHAnsi" w:cstheme="majorHAnsi"/>
                <w:bCs/>
                <w:color w:val="000000"/>
                <w:sz w:val="22"/>
                <w:szCs w:val="22"/>
                <w:u w:val="single"/>
              </w:rPr>
            </w:pPr>
          </w:p>
        </w:tc>
        <w:tc>
          <w:tcPr>
            <w:tcW w:w="776" w:type="dxa"/>
            <w:gridSpan w:val="2"/>
            <w:shd w:val="clear" w:color="auto" w:fill="C6E0B4"/>
            <w:vAlign w:val="center"/>
          </w:tcPr>
          <w:p w14:paraId="03742550" w14:textId="77777777" w:rsidR="004752F5" w:rsidRPr="004752F5" w:rsidRDefault="004752F5" w:rsidP="004752F5">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C6E0B4"/>
            <w:vAlign w:val="center"/>
          </w:tcPr>
          <w:p w14:paraId="3236326F" w14:textId="768A15D4" w:rsidR="00482380" w:rsidRPr="004752F5" w:rsidRDefault="004752F5" w:rsidP="00482380">
            <w:pPr>
              <w:ind w:left="0" w:right="0" w:firstLine="0"/>
              <w:jc w:val="left"/>
              <w:rPr>
                <w:rFonts w:asciiTheme="majorHAnsi" w:hAnsiTheme="majorHAnsi" w:cstheme="majorHAnsi"/>
                <w:bCs/>
                <w:color w:val="000000"/>
                <w:sz w:val="22"/>
                <w:szCs w:val="22"/>
              </w:rPr>
            </w:pPr>
            <w:r w:rsidRPr="00031858">
              <w:rPr>
                <w:rFonts w:asciiTheme="majorHAnsi" w:hAnsiTheme="majorHAnsi" w:cstheme="majorHAnsi"/>
                <w:bCs/>
                <w:color w:val="000000"/>
                <w:sz w:val="22"/>
                <w:szCs w:val="22"/>
              </w:rPr>
              <w:t xml:space="preserve"> </w:t>
            </w:r>
            <w:r w:rsidR="00482380" w:rsidRPr="004752F5">
              <w:rPr>
                <w:rFonts w:asciiTheme="majorHAnsi" w:hAnsiTheme="majorHAnsi" w:cstheme="majorHAnsi"/>
                <w:bCs/>
                <w:color w:val="000000"/>
                <w:sz w:val="22"/>
                <w:szCs w:val="22"/>
              </w:rPr>
              <w:t xml:space="preserve">Kinshasa </w:t>
            </w:r>
            <w:r w:rsidR="00C3204A">
              <w:rPr>
                <w:rFonts w:asciiTheme="majorHAnsi" w:hAnsiTheme="majorHAnsi" w:cstheme="majorHAnsi"/>
                <w:bCs/>
                <w:color w:val="000000"/>
                <w:sz w:val="22"/>
                <w:szCs w:val="22"/>
              </w:rPr>
              <w:t>0</w:t>
            </w:r>
            <w:r w:rsidR="008415EC">
              <w:rPr>
                <w:rFonts w:asciiTheme="majorHAnsi" w:hAnsiTheme="majorHAnsi" w:cstheme="majorHAnsi"/>
                <w:bCs/>
                <w:color w:val="000000"/>
                <w:sz w:val="22"/>
                <w:szCs w:val="22"/>
              </w:rPr>
              <w:t>,89</w:t>
            </w:r>
            <w:r w:rsidR="00482380" w:rsidRPr="004752F5">
              <w:rPr>
                <w:rFonts w:asciiTheme="majorHAnsi" w:hAnsiTheme="majorHAnsi" w:cstheme="majorHAnsi"/>
                <w:bCs/>
                <w:color w:val="000000"/>
                <w:sz w:val="22"/>
                <w:szCs w:val="22"/>
              </w:rPr>
              <w:t>%</w:t>
            </w:r>
          </w:p>
          <w:p w14:paraId="6439A5C9" w14:textId="4D79CFFD" w:rsidR="00482380" w:rsidRPr="004752F5" w:rsidRDefault="00482380" w:rsidP="00482380">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Lubumbashi </w:t>
            </w:r>
            <w:r w:rsidR="00C3204A">
              <w:rPr>
                <w:rFonts w:asciiTheme="majorHAnsi" w:hAnsiTheme="majorHAnsi" w:cstheme="majorHAnsi"/>
                <w:bCs/>
                <w:color w:val="000000"/>
                <w:sz w:val="22"/>
                <w:szCs w:val="22"/>
              </w:rPr>
              <w:t>0</w:t>
            </w:r>
            <w:r w:rsidR="008415EC">
              <w:rPr>
                <w:rFonts w:asciiTheme="majorHAnsi" w:hAnsiTheme="majorHAnsi" w:cstheme="majorHAnsi"/>
                <w:bCs/>
                <w:color w:val="000000"/>
                <w:sz w:val="22"/>
                <w:szCs w:val="22"/>
              </w:rPr>
              <w:t>,38</w:t>
            </w:r>
            <w:r w:rsidRPr="004752F5">
              <w:rPr>
                <w:rFonts w:asciiTheme="majorHAnsi" w:hAnsiTheme="majorHAnsi" w:cstheme="majorHAnsi"/>
                <w:bCs/>
                <w:color w:val="000000"/>
                <w:sz w:val="22"/>
                <w:szCs w:val="22"/>
              </w:rPr>
              <w:t>%</w:t>
            </w:r>
          </w:p>
          <w:p w14:paraId="129A0B94" w14:textId="552CF8C5" w:rsidR="00482380" w:rsidRPr="004752F5" w:rsidRDefault="00482380" w:rsidP="00482380">
            <w:pPr>
              <w:ind w:left="0" w:right="0" w:firstLine="0"/>
              <w:jc w:val="left"/>
              <w:rPr>
                <w:rFonts w:asciiTheme="majorHAnsi" w:hAnsiTheme="majorHAnsi" w:cstheme="majorHAnsi"/>
                <w:bCs/>
                <w:sz w:val="22"/>
                <w:szCs w:val="22"/>
              </w:rPr>
            </w:pPr>
            <w:r w:rsidRPr="004752F5">
              <w:rPr>
                <w:rFonts w:asciiTheme="majorHAnsi" w:hAnsiTheme="majorHAnsi" w:cstheme="majorHAnsi"/>
                <w:bCs/>
                <w:sz w:val="22"/>
                <w:szCs w:val="22"/>
              </w:rPr>
              <w:t xml:space="preserve">Bukavu </w:t>
            </w:r>
            <w:r w:rsidR="00C3204A">
              <w:rPr>
                <w:rFonts w:asciiTheme="majorHAnsi" w:hAnsiTheme="majorHAnsi" w:cstheme="majorHAnsi"/>
                <w:bCs/>
                <w:sz w:val="22"/>
                <w:szCs w:val="22"/>
              </w:rPr>
              <w:t>0</w:t>
            </w:r>
            <w:r w:rsidR="008415EC">
              <w:rPr>
                <w:rFonts w:asciiTheme="majorHAnsi" w:hAnsiTheme="majorHAnsi" w:cstheme="majorHAnsi"/>
                <w:bCs/>
                <w:sz w:val="22"/>
                <w:szCs w:val="22"/>
              </w:rPr>
              <w:t>,49</w:t>
            </w:r>
            <w:r w:rsidRPr="004752F5">
              <w:rPr>
                <w:rFonts w:asciiTheme="majorHAnsi" w:hAnsiTheme="majorHAnsi" w:cstheme="majorHAnsi"/>
                <w:bCs/>
                <w:sz w:val="22"/>
                <w:szCs w:val="22"/>
              </w:rPr>
              <w:t>%</w:t>
            </w:r>
          </w:p>
          <w:p w14:paraId="551552F2" w14:textId="2C47B86A" w:rsidR="004752F5" w:rsidRPr="00031858" w:rsidRDefault="00482380" w:rsidP="00482380">
            <w:pPr>
              <w:ind w:left="0" w:right="0" w:firstLine="0"/>
              <w:jc w:val="left"/>
              <w:rPr>
                <w:rFonts w:asciiTheme="majorHAnsi" w:hAnsiTheme="majorHAnsi" w:cstheme="majorHAnsi"/>
                <w:bCs/>
                <w:color w:val="000000"/>
                <w:sz w:val="22"/>
                <w:szCs w:val="22"/>
                <w:highlight w:val="yellow"/>
              </w:rPr>
            </w:pPr>
            <w:r w:rsidRPr="004752F5">
              <w:rPr>
                <w:rFonts w:asciiTheme="majorHAnsi" w:hAnsiTheme="majorHAnsi" w:cstheme="majorHAnsi"/>
                <w:bCs/>
                <w:sz w:val="22"/>
                <w:szCs w:val="22"/>
              </w:rPr>
              <w:t xml:space="preserve">Goma </w:t>
            </w:r>
            <w:r w:rsidR="00C3204A">
              <w:rPr>
                <w:rFonts w:asciiTheme="majorHAnsi" w:hAnsiTheme="majorHAnsi" w:cstheme="majorHAnsi"/>
                <w:bCs/>
                <w:sz w:val="22"/>
                <w:szCs w:val="22"/>
              </w:rPr>
              <w:t>0</w:t>
            </w:r>
            <w:r w:rsidR="008415EC">
              <w:rPr>
                <w:rFonts w:asciiTheme="majorHAnsi" w:hAnsiTheme="majorHAnsi" w:cstheme="majorHAnsi"/>
                <w:bCs/>
                <w:sz w:val="22"/>
                <w:szCs w:val="22"/>
              </w:rPr>
              <w:t>,31</w:t>
            </w:r>
            <w:r w:rsidRPr="004752F5">
              <w:rPr>
                <w:rFonts w:asciiTheme="majorHAnsi" w:hAnsiTheme="majorHAnsi" w:cstheme="majorHAnsi"/>
                <w:bCs/>
                <w:sz w:val="22"/>
                <w:szCs w:val="22"/>
              </w:rPr>
              <w:t>%</w:t>
            </w:r>
          </w:p>
        </w:tc>
        <w:tc>
          <w:tcPr>
            <w:tcW w:w="3118" w:type="dxa"/>
            <w:shd w:val="clear" w:color="auto" w:fill="C6E0B4"/>
          </w:tcPr>
          <w:p w14:paraId="66815E68" w14:textId="0A102FB8" w:rsidR="004752F5" w:rsidRDefault="004752F5" w:rsidP="00C3204A">
            <w:pPr>
              <w:ind w:left="0" w:right="0" w:firstLine="0"/>
              <w:jc w:val="left"/>
              <w:rPr>
                <w:rFonts w:asciiTheme="majorHAnsi" w:hAnsiTheme="majorHAnsi" w:cstheme="majorHAnsi"/>
                <w:bCs/>
                <w:color w:val="000000"/>
                <w:sz w:val="22"/>
                <w:szCs w:val="22"/>
                <w:highlight w:val="yellow"/>
              </w:rPr>
            </w:pPr>
            <w:r w:rsidRPr="00031858">
              <w:rPr>
                <w:rFonts w:asciiTheme="majorHAnsi" w:hAnsiTheme="majorHAnsi" w:cstheme="majorHAnsi"/>
                <w:bCs/>
                <w:color w:val="000000"/>
                <w:sz w:val="22"/>
                <w:szCs w:val="22"/>
                <w:highlight w:val="yellow"/>
              </w:rPr>
              <w:t xml:space="preserve">C’est le </w:t>
            </w:r>
            <w:r w:rsidR="009E03FB" w:rsidRPr="009E03FB">
              <w:rPr>
                <w:rFonts w:asciiTheme="majorHAnsi" w:hAnsiTheme="majorHAnsi" w:cstheme="majorHAnsi"/>
                <w:bCs/>
                <w:color w:val="000000"/>
                <w:sz w:val="22"/>
                <w:szCs w:val="22"/>
                <w:highlight w:val="yellow"/>
              </w:rPr>
              <w:t>n</w:t>
            </w:r>
            <w:r w:rsidR="009E03FB">
              <w:rPr>
                <w:rFonts w:asciiTheme="majorHAnsi" w:hAnsiTheme="majorHAnsi" w:cstheme="majorHAnsi"/>
                <w:bCs/>
                <w:color w:val="000000"/>
                <w:sz w:val="22"/>
                <w:szCs w:val="22"/>
                <w:highlight w:val="yellow"/>
              </w:rPr>
              <w:t>o</w:t>
            </w:r>
            <w:r w:rsidR="009E03FB" w:rsidRPr="009E03FB">
              <w:rPr>
                <w:rFonts w:asciiTheme="majorHAnsi" w:hAnsiTheme="majorHAnsi" w:cstheme="majorHAnsi"/>
                <w:bCs/>
                <w:color w:val="000000"/>
                <w:sz w:val="22"/>
                <w:szCs w:val="22"/>
                <w:highlight w:val="yellow"/>
              </w:rPr>
              <w:t>mbre</w:t>
            </w:r>
            <w:r w:rsidRPr="00031858">
              <w:rPr>
                <w:rFonts w:asciiTheme="majorHAnsi" w:hAnsiTheme="majorHAnsi" w:cstheme="majorHAnsi"/>
                <w:bCs/>
                <w:color w:val="000000"/>
                <w:sz w:val="22"/>
                <w:szCs w:val="22"/>
                <w:highlight w:val="yellow"/>
              </w:rPr>
              <w:t xml:space="preserve"> de ménages ayant utilisés </w:t>
            </w:r>
            <w:r w:rsidR="009E03FB">
              <w:rPr>
                <w:rFonts w:asciiTheme="majorHAnsi" w:hAnsiTheme="majorHAnsi" w:cstheme="majorHAnsi"/>
                <w:bCs/>
                <w:color w:val="000000"/>
                <w:sz w:val="22"/>
                <w:szCs w:val="22"/>
                <w:highlight w:val="yellow"/>
              </w:rPr>
              <w:t xml:space="preserve">à la fois </w:t>
            </w:r>
            <w:r w:rsidRPr="00031858">
              <w:rPr>
                <w:rFonts w:asciiTheme="majorHAnsi" w:hAnsiTheme="majorHAnsi" w:cstheme="majorHAnsi"/>
                <w:bCs/>
                <w:color w:val="000000"/>
                <w:sz w:val="22"/>
                <w:szCs w:val="22"/>
                <w:highlight w:val="yellow"/>
              </w:rPr>
              <w:t xml:space="preserve">les FA et le Gaz ramené à la population </w:t>
            </w:r>
            <w:r w:rsidR="00042FD2">
              <w:rPr>
                <w:rFonts w:asciiTheme="majorHAnsi" w:hAnsiTheme="majorHAnsi" w:cstheme="majorHAnsi"/>
                <w:bCs/>
                <w:color w:val="000000"/>
                <w:sz w:val="22"/>
                <w:szCs w:val="22"/>
                <w:highlight w:val="yellow"/>
              </w:rPr>
              <w:t>totale</w:t>
            </w:r>
            <w:r w:rsidR="00706B7C">
              <w:rPr>
                <w:rStyle w:val="Appelnotedebasdep"/>
                <w:rFonts w:asciiTheme="majorHAnsi" w:hAnsiTheme="majorHAnsi" w:cstheme="majorHAnsi"/>
                <w:bCs/>
                <w:color w:val="000000"/>
                <w:szCs w:val="22"/>
                <w:highlight w:val="yellow"/>
              </w:rPr>
              <w:footnoteReference w:id="4"/>
            </w:r>
            <w:r w:rsidR="00042FD2">
              <w:rPr>
                <w:rFonts w:asciiTheme="majorHAnsi" w:hAnsiTheme="majorHAnsi" w:cstheme="majorHAnsi"/>
                <w:bCs/>
                <w:color w:val="000000"/>
                <w:sz w:val="22"/>
                <w:szCs w:val="22"/>
                <w:highlight w:val="yellow"/>
              </w:rPr>
              <w:t xml:space="preserve"> </w:t>
            </w:r>
            <w:r w:rsidR="009E03FB">
              <w:rPr>
                <w:rFonts w:asciiTheme="majorHAnsi" w:hAnsiTheme="majorHAnsi" w:cstheme="majorHAnsi"/>
                <w:bCs/>
                <w:color w:val="000000"/>
                <w:sz w:val="22"/>
                <w:szCs w:val="22"/>
                <w:highlight w:val="yellow"/>
              </w:rPr>
              <w:t xml:space="preserve">des zones du programme </w:t>
            </w:r>
            <w:r w:rsidR="00C3204A">
              <w:rPr>
                <w:rFonts w:asciiTheme="majorHAnsi" w:hAnsiTheme="majorHAnsi" w:cstheme="majorHAnsi"/>
                <w:bCs/>
                <w:color w:val="000000"/>
                <w:sz w:val="22"/>
                <w:szCs w:val="22"/>
                <w:highlight w:val="yellow"/>
              </w:rPr>
              <w:t>avec</w:t>
            </w:r>
            <w:r w:rsidR="009E03FB">
              <w:rPr>
                <w:rFonts w:asciiTheme="majorHAnsi" w:hAnsiTheme="majorHAnsi" w:cstheme="majorHAnsi"/>
                <w:bCs/>
                <w:color w:val="000000"/>
                <w:sz w:val="22"/>
                <w:szCs w:val="22"/>
                <w:highlight w:val="yellow"/>
              </w:rPr>
              <w:t xml:space="preserve"> </w:t>
            </w:r>
            <w:r w:rsidRPr="00031858">
              <w:rPr>
                <w:rFonts w:asciiTheme="majorHAnsi" w:hAnsiTheme="majorHAnsi" w:cstheme="majorHAnsi"/>
                <w:bCs/>
                <w:color w:val="000000"/>
                <w:sz w:val="22"/>
                <w:szCs w:val="22"/>
                <w:highlight w:val="yellow"/>
              </w:rPr>
              <w:t xml:space="preserve">en moyenne </w:t>
            </w:r>
            <w:r w:rsidR="00925858">
              <w:rPr>
                <w:rFonts w:asciiTheme="majorHAnsi" w:hAnsiTheme="majorHAnsi" w:cstheme="majorHAnsi"/>
                <w:bCs/>
                <w:color w:val="000000"/>
                <w:sz w:val="22"/>
                <w:szCs w:val="22"/>
                <w:highlight w:val="yellow"/>
              </w:rPr>
              <w:t>5,2</w:t>
            </w:r>
            <w:r w:rsidRPr="00031858">
              <w:rPr>
                <w:rFonts w:asciiTheme="majorHAnsi" w:hAnsiTheme="majorHAnsi" w:cstheme="majorHAnsi"/>
                <w:bCs/>
                <w:color w:val="000000"/>
                <w:sz w:val="22"/>
                <w:szCs w:val="22"/>
                <w:highlight w:val="yellow"/>
              </w:rPr>
              <w:t xml:space="preserve"> personnes/ménage</w:t>
            </w:r>
            <w:r w:rsidR="00CB3AEA">
              <w:rPr>
                <w:rStyle w:val="Appelnotedebasdep"/>
                <w:rFonts w:asciiTheme="majorHAnsi" w:hAnsiTheme="majorHAnsi" w:cstheme="majorHAnsi"/>
                <w:bCs/>
                <w:color w:val="000000"/>
                <w:szCs w:val="22"/>
                <w:highlight w:val="yellow"/>
              </w:rPr>
              <w:footnoteReference w:id="5"/>
            </w:r>
            <w:r w:rsidR="009E03FB">
              <w:rPr>
                <w:rFonts w:asciiTheme="majorHAnsi" w:hAnsiTheme="majorHAnsi" w:cstheme="majorHAnsi"/>
                <w:bCs/>
                <w:color w:val="000000"/>
                <w:sz w:val="22"/>
                <w:szCs w:val="22"/>
                <w:highlight w:val="yellow"/>
              </w:rPr>
              <w:t>.</w:t>
            </w:r>
          </w:p>
          <w:p w14:paraId="6C86DC2E" w14:textId="77777777" w:rsidR="008415EC" w:rsidRDefault="008415EC" w:rsidP="00C3204A">
            <w:pPr>
              <w:ind w:left="0" w:right="0" w:firstLine="0"/>
              <w:jc w:val="left"/>
              <w:rPr>
                <w:rFonts w:asciiTheme="majorHAnsi" w:hAnsiTheme="majorHAnsi" w:cstheme="majorHAnsi"/>
                <w:bCs/>
                <w:color w:val="000000"/>
                <w:sz w:val="22"/>
                <w:szCs w:val="22"/>
                <w:highlight w:val="yellow"/>
              </w:rPr>
            </w:pPr>
          </w:p>
          <w:p w14:paraId="2E1BEA14" w14:textId="5C9F55B0" w:rsidR="008415EC" w:rsidRPr="00031858" w:rsidRDefault="008415EC" w:rsidP="00031858">
            <w:pPr>
              <w:ind w:left="0" w:right="0" w:firstLine="0"/>
              <w:jc w:val="left"/>
              <w:rPr>
                <w:rFonts w:asciiTheme="majorHAnsi" w:hAnsiTheme="majorHAnsi" w:cstheme="majorHAnsi"/>
                <w:bCs/>
                <w:color w:val="000000"/>
                <w:sz w:val="22"/>
                <w:szCs w:val="22"/>
                <w:highlight w:val="yellow"/>
              </w:rPr>
            </w:pPr>
            <w:r>
              <w:rPr>
                <w:rFonts w:asciiTheme="majorHAnsi" w:hAnsiTheme="majorHAnsi" w:cstheme="majorHAnsi"/>
                <w:bCs/>
                <w:color w:val="000000"/>
                <w:sz w:val="22"/>
                <w:szCs w:val="22"/>
                <w:highlight w:val="yellow"/>
              </w:rPr>
              <w:t xml:space="preserve">Ces valeurs ne tienne pas compte des populations utilisant </w:t>
            </w:r>
            <w:r w:rsidRPr="008A0F21">
              <w:rPr>
                <w:rFonts w:asciiTheme="majorHAnsi" w:hAnsiTheme="majorHAnsi" w:cstheme="majorHAnsi"/>
                <w:bCs/>
                <w:color w:val="000000"/>
                <w:sz w:val="22"/>
                <w:szCs w:val="22"/>
                <w:highlight w:val="yellow"/>
              </w:rPr>
              <w:t>l’électricité issue de la SNEL</w:t>
            </w:r>
            <w:r>
              <w:rPr>
                <w:rFonts w:asciiTheme="majorHAnsi" w:hAnsiTheme="majorHAnsi" w:cstheme="majorHAnsi"/>
                <w:bCs/>
                <w:color w:val="000000"/>
                <w:sz w:val="22"/>
                <w:szCs w:val="22"/>
                <w:highlight w:val="yellow"/>
              </w:rPr>
              <w:t>, qui est essentiellement de l’hydroélectricité</w:t>
            </w:r>
          </w:p>
        </w:tc>
        <w:tc>
          <w:tcPr>
            <w:tcW w:w="993" w:type="dxa"/>
            <w:gridSpan w:val="2"/>
            <w:shd w:val="clear" w:color="auto" w:fill="C6E0B4"/>
          </w:tcPr>
          <w:p w14:paraId="7FEFC4C6"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w:t>
            </w:r>
          </w:p>
        </w:tc>
      </w:tr>
      <w:tr w:rsidR="004752F5" w:rsidRPr="004752F5" w14:paraId="1C652F0B" w14:textId="77777777" w:rsidTr="004752F5">
        <w:trPr>
          <w:trHeight w:val="20"/>
        </w:trPr>
        <w:tc>
          <w:tcPr>
            <w:tcW w:w="1912" w:type="dxa"/>
            <w:vMerge/>
            <w:shd w:val="clear" w:color="auto" w:fill="C6E0B4"/>
          </w:tcPr>
          <w:p w14:paraId="001840A9" w14:textId="77777777" w:rsidR="004752F5" w:rsidRPr="004752F5" w:rsidRDefault="004752F5" w:rsidP="004752F5">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C6E0B4"/>
          </w:tcPr>
          <w:p w14:paraId="3D753EB4"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4. Nombre d’emplois directs et indirects créés</w:t>
            </w:r>
          </w:p>
        </w:tc>
        <w:tc>
          <w:tcPr>
            <w:tcW w:w="1094" w:type="dxa"/>
            <w:shd w:val="clear" w:color="auto" w:fill="C6E0B4"/>
            <w:vAlign w:val="center"/>
          </w:tcPr>
          <w:p w14:paraId="55F358C8" w14:textId="77777777" w:rsidR="004752F5" w:rsidRPr="004752F5" w:rsidRDefault="004752F5" w:rsidP="004752F5">
            <w:pPr>
              <w:ind w:left="0" w:right="0" w:firstLine="0"/>
              <w:jc w:val="left"/>
              <w:rPr>
                <w:rFonts w:asciiTheme="majorHAnsi" w:hAnsiTheme="majorHAnsi" w:cstheme="majorHAnsi"/>
                <w:bCs/>
                <w:color w:val="000000"/>
                <w:sz w:val="22"/>
                <w:szCs w:val="22"/>
                <w:u w:val="single"/>
              </w:rPr>
            </w:pPr>
          </w:p>
        </w:tc>
        <w:tc>
          <w:tcPr>
            <w:tcW w:w="794" w:type="dxa"/>
            <w:shd w:val="clear" w:color="auto" w:fill="C6E0B4"/>
            <w:vAlign w:val="center"/>
          </w:tcPr>
          <w:p w14:paraId="73A1CC84" w14:textId="77777777" w:rsidR="004752F5" w:rsidRPr="004752F5" w:rsidRDefault="004752F5" w:rsidP="004752F5">
            <w:pPr>
              <w:ind w:left="0" w:right="0" w:firstLine="0"/>
              <w:jc w:val="left"/>
              <w:rPr>
                <w:rFonts w:asciiTheme="majorHAnsi" w:hAnsiTheme="majorHAnsi" w:cstheme="majorHAnsi"/>
                <w:bCs/>
                <w:color w:val="000000"/>
                <w:sz w:val="22"/>
                <w:szCs w:val="22"/>
                <w:u w:val="single"/>
              </w:rPr>
            </w:pPr>
          </w:p>
        </w:tc>
        <w:tc>
          <w:tcPr>
            <w:tcW w:w="1828" w:type="dxa"/>
            <w:shd w:val="clear" w:color="auto" w:fill="C6E0B4"/>
            <w:vAlign w:val="center"/>
          </w:tcPr>
          <w:p w14:paraId="212FD852" w14:textId="77777777" w:rsidR="004752F5" w:rsidRPr="004752F5" w:rsidRDefault="004752F5" w:rsidP="004752F5">
            <w:pPr>
              <w:ind w:left="0" w:right="0" w:firstLine="0"/>
              <w:jc w:val="left"/>
              <w:rPr>
                <w:rFonts w:asciiTheme="majorHAnsi" w:hAnsiTheme="majorHAnsi" w:cstheme="majorHAnsi"/>
                <w:bCs/>
                <w:color w:val="000000"/>
                <w:sz w:val="22"/>
                <w:szCs w:val="22"/>
                <w:u w:val="single"/>
              </w:rPr>
            </w:pPr>
          </w:p>
        </w:tc>
        <w:tc>
          <w:tcPr>
            <w:tcW w:w="816" w:type="dxa"/>
            <w:gridSpan w:val="2"/>
            <w:shd w:val="clear" w:color="auto" w:fill="C6E0B4"/>
            <w:vAlign w:val="center"/>
          </w:tcPr>
          <w:p w14:paraId="438A78B6" w14:textId="77777777" w:rsidR="004752F5" w:rsidRPr="004752F5" w:rsidRDefault="004752F5" w:rsidP="004752F5">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79/100</w:t>
            </w:r>
          </w:p>
        </w:tc>
        <w:tc>
          <w:tcPr>
            <w:tcW w:w="814" w:type="dxa"/>
            <w:shd w:val="clear" w:color="auto" w:fill="C6E0B4"/>
            <w:vAlign w:val="center"/>
          </w:tcPr>
          <w:p w14:paraId="3245BD6D" w14:textId="77777777" w:rsidR="004752F5" w:rsidRPr="004752F5" w:rsidRDefault="004752F5" w:rsidP="004752F5">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52/74</w:t>
            </w:r>
          </w:p>
        </w:tc>
        <w:tc>
          <w:tcPr>
            <w:tcW w:w="776" w:type="dxa"/>
            <w:gridSpan w:val="2"/>
            <w:shd w:val="clear" w:color="auto" w:fill="C6E0B4"/>
            <w:vAlign w:val="center"/>
          </w:tcPr>
          <w:p w14:paraId="3880DA3C" w14:textId="77777777" w:rsidR="004752F5" w:rsidRPr="004752F5" w:rsidRDefault="004752F5" w:rsidP="004752F5">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C6E0B4"/>
            <w:vAlign w:val="center"/>
          </w:tcPr>
          <w:p w14:paraId="42410F41" w14:textId="34DBABD0"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190 emplois direct dont 94 femmes.</w:t>
            </w:r>
          </w:p>
        </w:tc>
        <w:tc>
          <w:tcPr>
            <w:tcW w:w="3118" w:type="dxa"/>
            <w:shd w:val="clear" w:color="auto" w:fill="C6E0B4"/>
            <w:vAlign w:val="center"/>
          </w:tcPr>
          <w:p w14:paraId="54F31A30"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53 emplois directs</w:t>
            </w:r>
          </w:p>
          <w:p w14:paraId="0D407AA8"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401 emplois indirects</w:t>
            </w:r>
          </w:p>
          <w:p w14:paraId="7DAE42FD" w14:textId="77777777" w:rsidR="004752F5" w:rsidRPr="004752F5" w:rsidRDefault="004752F5" w:rsidP="004752F5">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Sont escomptés dans le cadre des financements octroyés sous le fonds de défi à l’horizon 2022</w:t>
            </w:r>
          </w:p>
        </w:tc>
        <w:tc>
          <w:tcPr>
            <w:tcW w:w="993" w:type="dxa"/>
            <w:gridSpan w:val="2"/>
            <w:shd w:val="clear" w:color="auto" w:fill="C6E0B4"/>
          </w:tcPr>
          <w:p w14:paraId="214CDA73" w14:textId="77777777" w:rsidR="004752F5" w:rsidRPr="004752F5" w:rsidRDefault="004752F5" w:rsidP="004752F5">
            <w:pPr>
              <w:ind w:left="0" w:right="0" w:firstLine="0"/>
              <w:jc w:val="left"/>
              <w:rPr>
                <w:rFonts w:asciiTheme="majorHAnsi" w:hAnsiTheme="majorHAnsi" w:cstheme="majorHAnsi"/>
                <w:bCs/>
                <w:color w:val="000000"/>
                <w:sz w:val="22"/>
                <w:szCs w:val="22"/>
              </w:rPr>
            </w:pPr>
          </w:p>
        </w:tc>
      </w:tr>
      <w:tr w:rsidR="00AD5317" w:rsidRPr="004752F5" w14:paraId="5367FB13" w14:textId="77777777" w:rsidTr="004752F5">
        <w:trPr>
          <w:trHeight w:val="20"/>
        </w:trPr>
        <w:tc>
          <w:tcPr>
            <w:tcW w:w="1912" w:type="dxa"/>
            <w:vMerge w:val="restart"/>
            <w:shd w:val="clear" w:color="auto" w:fill="FFF2CC"/>
          </w:tcPr>
          <w:p w14:paraId="70CA747D" w14:textId="77777777" w:rsidR="00AD5317" w:rsidRPr="004752F5" w:rsidRDefault="00AD5317" w:rsidP="008F0DC8">
            <w:pPr>
              <w:ind w:left="0" w:right="0" w:firstLine="1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Output n°2.1 : Les opportunités et les besoins dans le secteur de la cuisson propre ont été identifiés et les acteurs sélectionnés en utilisant un processus de sélection compétitif basé sur l’aptitude au marché</w:t>
            </w:r>
          </w:p>
        </w:tc>
        <w:tc>
          <w:tcPr>
            <w:tcW w:w="2665" w:type="dxa"/>
            <w:shd w:val="clear" w:color="auto" w:fill="FFF2CC"/>
          </w:tcPr>
          <w:p w14:paraId="21E3C1CB"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2.1.1. Existence d’un mécanisme d’incubation des entreprises du secteur des FA, validé</w:t>
            </w:r>
          </w:p>
        </w:tc>
        <w:tc>
          <w:tcPr>
            <w:tcW w:w="1094" w:type="dxa"/>
            <w:shd w:val="clear" w:color="auto" w:fill="FFF2CC"/>
            <w:vAlign w:val="center"/>
          </w:tcPr>
          <w:p w14:paraId="398E4F41"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FFF2CC"/>
            <w:vAlign w:val="center"/>
          </w:tcPr>
          <w:p w14:paraId="2383478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2019</w:t>
            </w:r>
          </w:p>
        </w:tc>
        <w:tc>
          <w:tcPr>
            <w:tcW w:w="1828" w:type="dxa"/>
            <w:shd w:val="clear" w:color="auto" w:fill="FFF2CC"/>
            <w:vAlign w:val="center"/>
          </w:tcPr>
          <w:p w14:paraId="7E5BFAD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L’équipe du programme avec tous les consultants ayant été impliqués dans le processus.</w:t>
            </w:r>
          </w:p>
        </w:tc>
        <w:tc>
          <w:tcPr>
            <w:tcW w:w="816" w:type="dxa"/>
            <w:gridSpan w:val="2"/>
            <w:shd w:val="clear" w:color="auto" w:fill="FFF2CC"/>
            <w:vAlign w:val="center"/>
          </w:tcPr>
          <w:p w14:paraId="29B38438"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814" w:type="dxa"/>
            <w:shd w:val="clear" w:color="auto" w:fill="FFF2CC"/>
            <w:vAlign w:val="center"/>
          </w:tcPr>
          <w:p w14:paraId="66E4181B"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776" w:type="dxa"/>
            <w:gridSpan w:val="2"/>
            <w:shd w:val="clear" w:color="auto" w:fill="FFF2CC"/>
            <w:vAlign w:val="center"/>
          </w:tcPr>
          <w:p w14:paraId="577DB3C0"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1067" w:type="dxa"/>
            <w:shd w:val="clear" w:color="auto" w:fill="FFF2CC"/>
            <w:vAlign w:val="center"/>
          </w:tcPr>
          <w:p w14:paraId="0C65B4D4"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1</w:t>
            </w:r>
          </w:p>
        </w:tc>
        <w:tc>
          <w:tcPr>
            <w:tcW w:w="3118" w:type="dxa"/>
            <w:shd w:val="clear" w:color="auto" w:fill="FFF2CC"/>
          </w:tcPr>
          <w:p w14:paraId="34D6E7F5"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Le mécanisme a </w:t>
            </w:r>
            <w:r w:rsidRPr="004752F5">
              <w:rPr>
                <w:rFonts w:asciiTheme="majorHAnsi" w:hAnsiTheme="majorHAnsi" w:cstheme="majorHAnsi"/>
                <w:bCs/>
                <w:sz w:val="22"/>
                <w:szCs w:val="22"/>
              </w:rPr>
              <w:t>déjà été validé.</w:t>
            </w:r>
          </w:p>
        </w:tc>
        <w:tc>
          <w:tcPr>
            <w:tcW w:w="993" w:type="dxa"/>
            <w:gridSpan w:val="2"/>
            <w:shd w:val="clear" w:color="auto" w:fill="FFF2CC"/>
          </w:tcPr>
          <w:p w14:paraId="338D6BA9"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733D5625" w14:textId="77777777" w:rsidTr="004752F5">
        <w:trPr>
          <w:trHeight w:val="20"/>
        </w:trPr>
        <w:tc>
          <w:tcPr>
            <w:tcW w:w="1912" w:type="dxa"/>
            <w:vMerge/>
            <w:shd w:val="clear" w:color="auto" w:fill="FFF2CC"/>
          </w:tcPr>
          <w:p w14:paraId="5717E915"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FFF2CC"/>
          </w:tcPr>
          <w:p w14:paraId="4B55BB05"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2.1.2. Nombre d’entreprises de cuisson propre (producteurs et distributeurs) sélectionnées et évaluées par type (bois-énergie/GPL)</w:t>
            </w:r>
          </w:p>
        </w:tc>
        <w:tc>
          <w:tcPr>
            <w:tcW w:w="1094" w:type="dxa"/>
            <w:shd w:val="clear" w:color="auto" w:fill="FFF2CC"/>
            <w:vAlign w:val="center"/>
          </w:tcPr>
          <w:p w14:paraId="32F49A57"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Kinshasa 12 (2GPL)</w:t>
            </w:r>
          </w:p>
          <w:p w14:paraId="6CD1C82E"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Lubumbashi 5 (1GPL)</w:t>
            </w:r>
          </w:p>
          <w:p w14:paraId="46F97EF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Goma 13 (3GPL)</w:t>
            </w:r>
          </w:p>
          <w:p w14:paraId="6C8916CF"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Bukavu 3 (1GPL)</w:t>
            </w:r>
          </w:p>
        </w:tc>
        <w:tc>
          <w:tcPr>
            <w:tcW w:w="794" w:type="dxa"/>
            <w:shd w:val="clear" w:color="auto" w:fill="FFF2CC"/>
            <w:vAlign w:val="center"/>
          </w:tcPr>
          <w:p w14:paraId="623CE2CE"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2019</w:t>
            </w:r>
          </w:p>
        </w:tc>
        <w:tc>
          <w:tcPr>
            <w:tcW w:w="1828" w:type="dxa"/>
            <w:shd w:val="clear" w:color="auto" w:fill="FFF2CC"/>
            <w:vAlign w:val="center"/>
          </w:tcPr>
          <w:p w14:paraId="54D5F05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Etude du marché effectué par le programme</w:t>
            </w:r>
          </w:p>
        </w:tc>
        <w:tc>
          <w:tcPr>
            <w:tcW w:w="816" w:type="dxa"/>
            <w:gridSpan w:val="2"/>
            <w:shd w:val="clear" w:color="auto" w:fill="FFF2CC"/>
            <w:vAlign w:val="center"/>
          </w:tcPr>
          <w:p w14:paraId="2E72554F"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24/10</w:t>
            </w:r>
          </w:p>
        </w:tc>
        <w:tc>
          <w:tcPr>
            <w:tcW w:w="814" w:type="dxa"/>
            <w:shd w:val="clear" w:color="auto" w:fill="FFF2CC"/>
            <w:vAlign w:val="center"/>
          </w:tcPr>
          <w:p w14:paraId="733F7C68"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16/6</w:t>
            </w:r>
          </w:p>
        </w:tc>
        <w:tc>
          <w:tcPr>
            <w:tcW w:w="776" w:type="dxa"/>
            <w:gridSpan w:val="2"/>
            <w:shd w:val="clear" w:color="auto" w:fill="FFF2CC"/>
            <w:vAlign w:val="center"/>
          </w:tcPr>
          <w:p w14:paraId="65949146"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0F960F10"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46</w:t>
            </w:r>
          </w:p>
        </w:tc>
        <w:tc>
          <w:tcPr>
            <w:tcW w:w="3118" w:type="dxa"/>
            <w:shd w:val="clear" w:color="auto" w:fill="FFF2CC"/>
          </w:tcPr>
          <w:p w14:paraId="0ACC8A1E"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 Les entreprises évaluées l’ont été lors de l’étude du marché effectué par le programme conjoint en 2019. </w:t>
            </w:r>
          </w:p>
        </w:tc>
        <w:tc>
          <w:tcPr>
            <w:tcW w:w="993" w:type="dxa"/>
            <w:gridSpan w:val="2"/>
            <w:shd w:val="clear" w:color="auto" w:fill="FFF2CC"/>
          </w:tcPr>
          <w:p w14:paraId="63DB684E"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w:t>
            </w:r>
          </w:p>
        </w:tc>
      </w:tr>
      <w:tr w:rsidR="00AD5317" w:rsidRPr="004752F5" w14:paraId="6591F506" w14:textId="77777777" w:rsidTr="004752F5">
        <w:trPr>
          <w:trHeight w:val="20"/>
        </w:trPr>
        <w:tc>
          <w:tcPr>
            <w:tcW w:w="1912" w:type="dxa"/>
            <w:vMerge/>
            <w:shd w:val="clear" w:color="auto" w:fill="FFF2CC"/>
          </w:tcPr>
          <w:p w14:paraId="131EB32B"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FFF2CC"/>
          </w:tcPr>
          <w:p w14:paraId="1BCC377D"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2.1.3. Nombre d’accords de partenariat signé avec les entreprises de cuisson propre</w:t>
            </w:r>
          </w:p>
        </w:tc>
        <w:tc>
          <w:tcPr>
            <w:tcW w:w="1094" w:type="dxa"/>
            <w:shd w:val="clear" w:color="auto" w:fill="FFF2CC"/>
            <w:vAlign w:val="center"/>
          </w:tcPr>
          <w:p w14:paraId="0479791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FFF2CC"/>
            <w:vAlign w:val="center"/>
          </w:tcPr>
          <w:p w14:paraId="432780E2"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5D883EE8"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816" w:type="dxa"/>
            <w:gridSpan w:val="2"/>
            <w:shd w:val="clear" w:color="auto" w:fill="FFF2CC"/>
            <w:vAlign w:val="center"/>
          </w:tcPr>
          <w:p w14:paraId="4EE23E32"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5</w:t>
            </w:r>
          </w:p>
        </w:tc>
        <w:tc>
          <w:tcPr>
            <w:tcW w:w="814" w:type="dxa"/>
            <w:shd w:val="clear" w:color="auto" w:fill="FFF2CC"/>
            <w:vAlign w:val="center"/>
          </w:tcPr>
          <w:p w14:paraId="5878DDED"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3</w:t>
            </w:r>
          </w:p>
        </w:tc>
        <w:tc>
          <w:tcPr>
            <w:tcW w:w="776" w:type="dxa"/>
            <w:gridSpan w:val="2"/>
            <w:shd w:val="clear" w:color="auto" w:fill="FFF2CC"/>
            <w:vAlign w:val="center"/>
          </w:tcPr>
          <w:p w14:paraId="2FE6BE2A"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421A2EC5"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5</w:t>
            </w:r>
          </w:p>
        </w:tc>
        <w:tc>
          <w:tcPr>
            <w:tcW w:w="3118" w:type="dxa"/>
            <w:shd w:val="clear" w:color="auto" w:fill="FFF2CC"/>
          </w:tcPr>
          <w:p w14:paraId="0181096C"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sz w:val="22"/>
                <w:szCs w:val="22"/>
              </w:rPr>
              <w:t xml:space="preserve">Ces accords sont les résultats de la première fenêtre du fonds de défis. </w:t>
            </w:r>
          </w:p>
        </w:tc>
        <w:tc>
          <w:tcPr>
            <w:tcW w:w="993" w:type="dxa"/>
            <w:gridSpan w:val="2"/>
            <w:shd w:val="clear" w:color="auto" w:fill="FFF2CC"/>
          </w:tcPr>
          <w:p w14:paraId="4E531D25"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6A1AB86D" w14:textId="77777777" w:rsidTr="004752F5">
        <w:trPr>
          <w:trHeight w:val="20"/>
        </w:trPr>
        <w:tc>
          <w:tcPr>
            <w:tcW w:w="1912" w:type="dxa"/>
            <w:vMerge w:val="restart"/>
            <w:shd w:val="clear" w:color="auto" w:fill="FFF2CC"/>
          </w:tcPr>
          <w:p w14:paraId="2B71D1A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Output n° 2.2</w:t>
            </w:r>
          </w:p>
          <w:p w14:paraId="4884D1C7"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La viabilité du business et le marché durable des partenaires sélectionnés sont améliorés grâce aux services d’assistance technique (AT)</w:t>
            </w:r>
          </w:p>
        </w:tc>
        <w:tc>
          <w:tcPr>
            <w:tcW w:w="2665" w:type="dxa"/>
            <w:shd w:val="clear" w:color="auto" w:fill="FFF2CC"/>
          </w:tcPr>
          <w:p w14:paraId="2A709E87"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2.2.1 Nombre de personnes bénéficiant de l’assistance technique directe &amp; collective fournie (par type)</w:t>
            </w:r>
          </w:p>
        </w:tc>
        <w:tc>
          <w:tcPr>
            <w:tcW w:w="1094" w:type="dxa"/>
            <w:shd w:val="clear" w:color="auto" w:fill="FFF2CC"/>
            <w:vAlign w:val="center"/>
          </w:tcPr>
          <w:p w14:paraId="3D7E75B6"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FFF2CC"/>
            <w:vAlign w:val="center"/>
          </w:tcPr>
          <w:p w14:paraId="3776AAB3"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5E7F57DD"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816" w:type="dxa"/>
            <w:gridSpan w:val="2"/>
            <w:shd w:val="clear" w:color="auto" w:fill="FFF2CC"/>
            <w:vAlign w:val="center"/>
          </w:tcPr>
          <w:p w14:paraId="565A9406"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101/19</w:t>
            </w:r>
          </w:p>
        </w:tc>
        <w:tc>
          <w:tcPr>
            <w:tcW w:w="814" w:type="dxa"/>
            <w:shd w:val="clear" w:color="auto" w:fill="FFF2CC"/>
            <w:vAlign w:val="center"/>
          </w:tcPr>
          <w:p w14:paraId="6BED82BE"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29/67</w:t>
            </w:r>
          </w:p>
        </w:tc>
        <w:tc>
          <w:tcPr>
            <w:tcW w:w="776" w:type="dxa"/>
            <w:gridSpan w:val="2"/>
            <w:shd w:val="clear" w:color="auto" w:fill="FFF2CC"/>
            <w:vAlign w:val="center"/>
          </w:tcPr>
          <w:p w14:paraId="11BDA7B1"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33D6DDBC"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184</w:t>
            </w:r>
          </w:p>
        </w:tc>
        <w:tc>
          <w:tcPr>
            <w:tcW w:w="3118" w:type="dxa"/>
            <w:shd w:val="clear" w:color="auto" w:fill="FFF2CC"/>
          </w:tcPr>
          <w:p w14:paraId="5505441F"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sz w:val="22"/>
                <w:szCs w:val="22"/>
              </w:rPr>
              <w:t>Pour les 46 entreprises, environ 4 staffs ce qui nous donne 184 personnes ayant bénéficié de l’assistance technique.</w:t>
            </w:r>
          </w:p>
        </w:tc>
        <w:tc>
          <w:tcPr>
            <w:tcW w:w="993" w:type="dxa"/>
            <w:gridSpan w:val="2"/>
            <w:shd w:val="clear" w:color="auto" w:fill="FFF2CC"/>
          </w:tcPr>
          <w:p w14:paraId="46133666"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2856470E" w14:textId="77777777" w:rsidTr="004752F5">
        <w:trPr>
          <w:trHeight w:val="20"/>
        </w:trPr>
        <w:tc>
          <w:tcPr>
            <w:tcW w:w="1912" w:type="dxa"/>
            <w:vMerge/>
            <w:shd w:val="clear" w:color="auto" w:fill="FFF2CC"/>
          </w:tcPr>
          <w:p w14:paraId="1E22117B"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FFF2CC"/>
          </w:tcPr>
          <w:p w14:paraId="1C055408"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2.2.2. Taux d’augmentation des ventes de partenaires du projet</w:t>
            </w:r>
          </w:p>
        </w:tc>
        <w:tc>
          <w:tcPr>
            <w:tcW w:w="1094" w:type="dxa"/>
            <w:shd w:val="clear" w:color="auto" w:fill="FFF2CC"/>
            <w:vAlign w:val="center"/>
          </w:tcPr>
          <w:p w14:paraId="1375812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FFF2CC"/>
            <w:vAlign w:val="center"/>
          </w:tcPr>
          <w:p w14:paraId="1DE8DBF6"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094B2C96"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816" w:type="dxa"/>
            <w:gridSpan w:val="2"/>
            <w:shd w:val="clear" w:color="auto" w:fill="FFF2CC"/>
            <w:vAlign w:val="center"/>
          </w:tcPr>
          <w:p w14:paraId="23FA1D28"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10%</w:t>
            </w:r>
          </w:p>
        </w:tc>
        <w:tc>
          <w:tcPr>
            <w:tcW w:w="814" w:type="dxa"/>
            <w:shd w:val="clear" w:color="auto" w:fill="FFF2CC"/>
            <w:vAlign w:val="center"/>
          </w:tcPr>
          <w:p w14:paraId="4D3D56E1"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w:t>
            </w:r>
          </w:p>
        </w:tc>
        <w:tc>
          <w:tcPr>
            <w:tcW w:w="776" w:type="dxa"/>
            <w:gridSpan w:val="2"/>
            <w:shd w:val="clear" w:color="auto" w:fill="FFF2CC"/>
            <w:vAlign w:val="center"/>
          </w:tcPr>
          <w:p w14:paraId="453ADD4A"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7E483AC4"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3118" w:type="dxa"/>
            <w:shd w:val="clear" w:color="auto" w:fill="FFF2CC"/>
          </w:tcPr>
          <w:p w14:paraId="34037E12"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L’indicateur sera renseigné à partir de l’évaluation mi-parcours. Nous comparerons les ventes actuelles des acteurs avec celles qu’ils seront en train de fournir sur le marché. </w:t>
            </w:r>
          </w:p>
        </w:tc>
        <w:tc>
          <w:tcPr>
            <w:tcW w:w="993" w:type="dxa"/>
            <w:gridSpan w:val="2"/>
            <w:shd w:val="clear" w:color="auto" w:fill="FFF2CC"/>
          </w:tcPr>
          <w:p w14:paraId="05083E9A"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30963B62" w14:textId="77777777" w:rsidTr="004752F5">
        <w:trPr>
          <w:trHeight w:val="436"/>
        </w:trPr>
        <w:tc>
          <w:tcPr>
            <w:tcW w:w="1912" w:type="dxa"/>
            <w:vMerge/>
            <w:shd w:val="clear" w:color="auto" w:fill="FFF2CC"/>
          </w:tcPr>
          <w:p w14:paraId="10F0A4E7"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bookmarkStart w:id="13" w:name="_Hlk62627174"/>
          </w:p>
        </w:tc>
        <w:tc>
          <w:tcPr>
            <w:tcW w:w="2665" w:type="dxa"/>
            <w:shd w:val="clear" w:color="auto" w:fill="FFF2CC"/>
          </w:tcPr>
          <w:p w14:paraId="7AF2E9F6"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2.2.3 Nombre de foyers améliorés disséminés</w:t>
            </w:r>
          </w:p>
        </w:tc>
        <w:tc>
          <w:tcPr>
            <w:tcW w:w="1094" w:type="dxa"/>
            <w:shd w:val="clear" w:color="auto" w:fill="FFF2CC"/>
            <w:vAlign w:val="center"/>
          </w:tcPr>
          <w:p w14:paraId="54067D79"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794" w:type="dxa"/>
            <w:shd w:val="clear" w:color="auto" w:fill="FFF2CC"/>
            <w:vAlign w:val="center"/>
          </w:tcPr>
          <w:p w14:paraId="18087595"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1828" w:type="dxa"/>
            <w:shd w:val="clear" w:color="auto" w:fill="FFF2CC"/>
            <w:vAlign w:val="center"/>
          </w:tcPr>
          <w:p w14:paraId="17939AD1"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816" w:type="dxa"/>
            <w:gridSpan w:val="2"/>
            <w:shd w:val="clear" w:color="auto" w:fill="FFF2CC"/>
            <w:vAlign w:val="center"/>
          </w:tcPr>
          <w:p w14:paraId="14A6F48F"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2 500</w:t>
            </w:r>
          </w:p>
        </w:tc>
        <w:tc>
          <w:tcPr>
            <w:tcW w:w="814" w:type="dxa"/>
            <w:shd w:val="clear" w:color="auto" w:fill="FFF2CC"/>
            <w:vAlign w:val="center"/>
          </w:tcPr>
          <w:p w14:paraId="6400C101"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7700</w:t>
            </w:r>
          </w:p>
        </w:tc>
        <w:tc>
          <w:tcPr>
            <w:tcW w:w="776" w:type="dxa"/>
            <w:gridSpan w:val="2"/>
            <w:shd w:val="clear" w:color="auto" w:fill="FFF2CC"/>
            <w:vAlign w:val="center"/>
          </w:tcPr>
          <w:p w14:paraId="0BF91FE7"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6F49A0E7"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29 859</w:t>
            </w:r>
          </w:p>
        </w:tc>
        <w:tc>
          <w:tcPr>
            <w:tcW w:w="3118" w:type="dxa"/>
            <w:shd w:val="clear" w:color="auto" w:fill="FFF2CC"/>
          </w:tcPr>
          <w:p w14:paraId="76AEC2C3"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L’appui du programme aux entreprises a permis de réaliser directement ou indirectement ces ventes. Par ailleurs, avec le financement du fonds de défi, nous comptabiliseront plus de FA (64,200) au cours de l’année 2021 </w:t>
            </w:r>
          </w:p>
        </w:tc>
        <w:tc>
          <w:tcPr>
            <w:tcW w:w="993" w:type="dxa"/>
            <w:gridSpan w:val="2"/>
            <w:shd w:val="clear" w:color="auto" w:fill="FFF2CC"/>
          </w:tcPr>
          <w:p w14:paraId="2972B4FE"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bookmarkEnd w:id="13"/>
      <w:tr w:rsidR="00AD5317" w:rsidRPr="004752F5" w14:paraId="4ED243CA" w14:textId="77777777" w:rsidTr="004752F5">
        <w:trPr>
          <w:trHeight w:val="20"/>
        </w:trPr>
        <w:tc>
          <w:tcPr>
            <w:tcW w:w="1912" w:type="dxa"/>
            <w:vMerge w:val="restart"/>
            <w:shd w:val="clear" w:color="auto" w:fill="FFF2CC"/>
          </w:tcPr>
          <w:p w14:paraId="0E70E08B"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Output n° 2.3</w:t>
            </w:r>
          </w:p>
          <w:p w14:paraId="1B62E1FB"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Des mécanismes de financement pour la cuisson propre sont établis afin de répondre aux besoins de financement durable des entreprises partenaires</w:t>
            </w:r>
          </w:p>
        </w:tc>
        <w:tc>
          <w:tcPr>
            <w:tcW w:w="2665" w:type="dxa"/>
            <w:shd w:val="clear" w:color="auto" w:fill="FFF2CC"/>
          </w:tcPr>
          <w:p w14:paraId="3B84177A"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2.3.1. Volume des financements engagés / décaissés / décaissés, par type (don, prêts, etc.) et cible (entreprise, ménages, etc.) et Genre</w:t>
            </w:r>
          </w:p>
        </w:tc>
        <w:tc>
          <w:tcPr>
            <w:tcW w:w="1094" w:type="dxa"/>
            <w:shd w:val="clear" w:color="auto" w:fill="FFF2CC"/>
            <w:vAlign w:val="center"/>
          </w:tcPr>
          <w:p w14:paraId="55856D20"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794" w:type="dxa"/>
            <w:shd w:val="clear" w:color="auto" w:fill="FFF2CC"/>
            <w:vAlign w:val="center"/>
          </w:tcPr>
          <w:p w14:paraId="7AB83B3D"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2020</w:t>
            </w:r>
          </w:p>
        </w:tc>
        <w:tc>
          <w:tcPr>
            <w:tcW w:w="1828" w:type="dxa"/>
            <w:shd w:val="clear" w:color="auto" w:fill="FFF2CC"/>
            <w:vAlign w:val="center"/>
          </w:tcPr>
          <w:p w14:paraId="08C59278"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816" w:type="dxa"/>
            <w:gridSpan w:val="2"/>
            <w:shd w:val="clear" w:color="auto" w:fill="FFF2CC"/>
            <w:vAlign w:val="center"/>
          </w:tcPr>
          <w:p w14:paraId="1E90AA16"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6 </w:t>
            </w:r>
            <w:proofErr w:type="spellStart"/>
            <w:r w:rsidRPr="004752F5">
              <w:rPr>
                <w:rFonts w:asciiTheme="majorHAnsi" w:hAnsiTheme="majorHAnsi" w:cstheme="majorHAnsi"/>
                <w:bCs/>
                <w:color w:val="000000"/>
                <w:sz w:val="22"/>
                <w:szCs w:val="22"/>
              </w:rPr>
              <w:t>subv</w:t>
            </w:r>
            <w:proofErr w:type="spellEnd"/>
            <w:r w:rsidRPr="004752F5">
              <w:rPr>
                <w:rFonts w:asciiTheme="majorHAnsi" w:hAnsiTheme="majorHAnsi" w:cstheme="majorHAnsi"/>
                <w:bCs/>
                <w:color w:val="000000"/>
                <w:sz w:val="22"/>
                <w:szCs w:val="22"/>
              </w:rPr>
              <w:t>.</w:t>
            </w:r>
          </w:p>
          <w:p w14:paraId="2ED9D314"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 prêts</w:t>
            </w:r>
          </w:p>
        </w:tc>
        <w:tc>
          <w:tcPr>
            <w:tcW w:w="814" w:type="dxa"/>
            <w:shd w:val="clear" w:color="auto" w:fill="FFF2CC"/>
            <w:vAlign w:val="center"/>
          </w:tcPr>
          <w:p w14:paraId="75836BDF"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12 </w:t>
            </w:r>
            <w:proofErr w:type="spellStart"/>
            <w:r w:rsidRPr="004752F5">
              <w:rPr>
                <w:rFonts w:asciiTheme="majorHAnsi" w:hAnsiTheme="majorHAnsi" w:cstheme="majorHAnsi"/>
                <w:bCs/>
                <w:color w:val="000000"/>
                <w:sz w:val="22"/>
                <w:szCs w:val="22"/>
              </w:rPr>
              <w:t>subv</w:t>
            </w:r>
            <w:proofErr w:type="spellEnd"/>
            <w:r w:rsidRPr="004752F5">
              <w:rPr>
                <w:rFonts w:asciiTheme="majorHAnsi" w:hAnsiTheme="majorHAnsi" w:cstheme="majorHAnsi"/>
                <w:bCs/>
                <w:color w:val="000000"/>
                <w:sz w:val="22"/>
                <w:szCs w:val="22"/>
              </w:rPr>
              <w:t>.</w:t>
            </w:r>
          </w:p>
          <w:p w14:paraId="4DCE4066"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4 prêts</w:t>
            </w:r>
          </w:p>
        </w:tc>
        <w:tc>
          <w:tcPr>
            <w:tcW w:w="776" w:type="dxa"/>
            <w:gridSpan w:val="2"/>
            <w:shd w:val="clear" w:color="auto" w:fill="FFF2CC"/>
            <w:vAlign w:val="center"/>
          </w:tcPr>
          <w:p w14:paraId="7C896297"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3D983D62" w14:textId="77777777" w:rsidR="00AD5317" w:rsidRPr="004752F5" w:rsidRDefault="00AD5317" w:rsidP="008F0DC8">
            <w:pPr>
              <w:ind w:left="0" w:right="-11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 xml:space="preserve">5 </w:t>
            </w:r>
            <w:proofErr w:type="spellStart"/>
            <w:r w:rsidRPr="004752F5">
              <w:rPr>
                <w:rFonts w:asciiTheme="majorHAnsi" w:hAnsiTheme="majorHAnsi" w:cstheme="majorHAnsi"/>
                <w:bCs/>
                <w:color w:val="000000"/>
                <w:sz w:val="22"/>
                <w:szCs w:val="22"/>
              </w:rPr>
              <w:t>subv</w:t>
            </w:r>
            <w:proofErr w:type="spellEnd"/>
            <w:r w:rsidRPr="004752F5">
              <w:rPr>
                <w:rFonts w:asciiTheme="majorHAnsi" w:hAnsiTheme="majorHAnsi" w:cstheme="majorHAnsi"/>
                <w:bCs/>
                <w:color w:val="000000"/>
                <w:sz w:val="22"/>
                <w:szCs w:val="22"/>
              </w:rPr>
              <w:t xml:space="preserve">. </w:t>
            </w:r>
          </w:p>
          <w:p w14:paraId="14779C44" w14:textId="77777777" w:rsidR="00AD5317" w:rsidRPr="004752F5" w:rsidRDefault="00AD5317" w:rsidP="008F0DC8">
            <w:pPr>
              <w:ind w:left="0" w:right="-11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 prêts</w:t>
            </w:r>
          </w:p>
        </w:tc>
        <w:tc>
          <w:tcPr>
            <w:tcW w:w="3118" w:type="dxa"/>
            <w:shd w:val="clear" w:color="auto" w:fill="FFF2CC"/>
          </w:tcPr>
          <w:p w14:paraId="4BB29101"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Des entreprises ont leurs dossiers éligibles et seront financé au cours de l’année 2021</w:t>
            </w:r>
          </w:p>
        </w:tc>
        <w:tc>
          <w:tcPr>
            <w:tcW w:w="993" w:type="dxa"/>
            <w:gridSpan w:val="2"/>
            <w:shd w:val="clear" w:color="auto" w:fill="FFF2CC"/>
          </w:tcPr>
          <w:p w14:paraId="1C71A4F6"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r w:rsidR="00AD5317" w:rsidRPr="004752F5" w14:paraId="289CCFEC" w14:textId="77777777" w:rsidTr="004752F5">
        <w:trPr>
          <w:trHeight w:val="20"/>
        </w:trPr>
        <w:tc>
          <w:tcPr>
            <w:tcW w:w="1912" w:type="dxa"/>
            <w:vMerge/>
            <w:shd w:val="clear" w:color="auto" w:fill="FFF2CC"/>
          </w:tcPr>
          <w:p w14:paraId="737F6EBA" w14:textId="77777777" w:rsidR="00AD5317" w:rsidRPr="004752F5" w:rsidRDefault="00AD5317" w:rsidP="008F0DC8">
            <w:pPr>
              <w:widowControl w:val="0"/>
              <w:pBdr>
                <w:top w:val="nil"/>
                <w:left w:val="nil"/>
                <w:bottom w:val="nil"/>
                <w:right w:val="nil"/>
                <w:between w:val="nil"/>
              </w:pBdr>
              <w:spacing w:line="276" w:lineRule="auto"/>
              <w:ind w:left="0" w:right="0" w:firstLine="0"/>
              <w:jc w:val="left"/>
              <w:rPr>
                <w:rFonts w:asciiTheme="majorHAnsi" w:hAnsiTheme="majorHAnsi" w:cstheme="majorHAnsi"/>
                <w:bCs/>
                <w:color w:val="000000"/>
                <w:sz w:val="22"/>
                <w:szCs w:val="22"/>
              </w:rPr>
            </w:pPr>
          </w:p>
        </w:tc>
        <w:tc>
          <w:tcPr>
            <w:tcW w:w="2665" w:type="dxa"/>
            <w:shd w:val="clear" w:color="auto" w:fill="FFF2CC"/>
          </w:tcPr>
          <w:p w14:paraId="7AC7C74F" w14:textId="77777777" w:rsidR="00AD5317" w:rsidRPr="004752F5" w:rsidRDefault="00AD5317" w:rsidP="008F0DC8">
            <w:pPr>
              <w:ind w:left="0" w:right="0" w:firstLine="0"/>
              <w:jc w:val="left"/>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2.3.2. Nombre de nouveaux produits financiers énergétiques créés</w:t>
            </w:r>
          </w:p>
        </w:tc>
        <w:tc>
          <w:tcPr>
            <w:tcW w:w="1094" w:type="dxa"/>
            <w:shd w:val="clear" w:color="auto" w:fill="FFF2CC"/>
            <w:vAlign w:val="center"/>
          </w:tcPr>
          <w:p w14:paraId="5D3617B6"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794" w:type="dxa"/>
            <w:shd w:val="clear" w:color="auto" w:fill="FFF2CC"/>
            <w:vAlign w:val="center"/>
          </w:tcPr>
          <w:p w14:paraId="7F387E40"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1828" w:type="dxa"/>
            <w:shd w:val="clear" w:color="auto" w:fill="FFF2CC"/>
            <w:vAlign w:val="center"/>
          </w:tcPr>
          <w:p w14:paraId="355054FD"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c>
          <w:tcPr>
            <w:tcW w:w="816" w:type="dxa"/>
            <w:gridSpan w:val="2"/>
            <w:shd w:val="clear" w:color="auto" w:fill="FFF2CC"/>
            <w:vAlign w:val="center"/>
          </w:tcPr>
          <w:p w14:paraId="65D92B93"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2</w:t>
            </w:r>
          </w:p>
        </w:tc>
        <w:tc>
          <w:tcPr>
            <w:tcW w:w="814" w:type="dxa"/>
            <w:shd w:val="clear" w:color="auto" w:fill="FFF2CC"/>
            <w:vAlign w:val="center"/>
          </w:tcPr>
          <w:p w14:paraId="5769930C"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1</w:t>
            </w:r>
          </w:p>
        </w:tc>
        <w:tc>
          <w:tcPr>
            <w:tcW w:w="776" w:type="dxa"/>
            <w:gridSpan w:val="2"/>
            <w:shd w:val="clear" w:color="auto" w:fill="FFF2CC"/>
            <w:vAlign w:val="center"/>
          </w:tcPr>
          <w:p w14:paraId="083B1BBD"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color w:val="000000"/>
                <w:sz w:val="22"/>
                <w:szCs w:val="22"/>
              </w:rPr>
              <w:t>0</w:t>
            </w:r>
          </w:p>
        </w:tc>
        <w:tc>
          <w:tcPr>
            <w:tcW w:w="1067" w:type="dxa"/>
            <w:shd w:val="clear" w:color="auto" w:fill="FFF2CC"/>
            <w:vAlign w:val="center"/>
          </w:tcPr>
          <w:p w14:paraId="5EA3D61C" w14:textId="77777777" w:rsidR="00AD5317" w:rsidRPr="004752F5" w:rsidRDefault="00AD5317" w:rsidP="008F0DC8">
            <w:pPr>
              <w:ind w:left="0" w:right="0" w:firstLine="0"/>
              <w:jc w:val="center"/>
              <w:rPr>
                <w:rFonts w:asciiTheme="majorHAnsi" w:hAnsiTheme="majorHAnsi" w:cstheme="majorHAnsi"/>
                <w:bCs/>
                <w:color w:val="000000"/>
                <w:sz w:val="22"/>
                <w:szCs w:val="22"/>
              </w:rPr>
            </w:pPr>
            <w:r w:rsidRPr="004752F5">
              <w:rPr>
                <w:rFonts w:asciiTheme="majorHAnsi" w:hAnsiTheme="majorHAnsi" w:cstheme="majorHAnsi"/>
                <w:bCs/>
                <w:sz w:val="22"/>
                <w:szCs w:val="22"/>
              </w:rPr>
              <w:t>2</w:t>
            </w:r>
          </w:p>
        </w:tc>
        <w:tc>
          <w:tcPr>
            <w:tcW w:w="3118" w:type="dxa"/>
            <w:shd w:val="clear" w:color="auto" w:fill="FFF2CC"/>
          </w:tcPr>
          <w:p w14:paraId="4E59CFB4" w14:textId="77777777" w:rsidR="00AD5317" w:rsidRPr="004752F5" w:rsidRDefault="00AD5317" w:rsidP="008F0DC8">
            <w:pPr>
              <w:ind w:left="0" w:right="0" w:firstLine="0"/>
              <w:rPr>
                <w:rFonts w:asciiTheme="majorHAnsi" w:hAnsiTheme="majorHAnsi" w:cstheme="majorHAnsi"/>
                <w:bCs/>
                <w:color w:val="000000"/>
                <w:sz w:val="22"/>
                <w:szCs w:val="22"/>
              </w:rPr>
            </w:pPr>
            <w:r w:rsidRPr="004752F5">
              <w:rPr>
                <w:rFonts w:asciiTheme="majorHAnsi" w:hAnsiTheme="majorHAnsi" w:cstheme="majorHAnsi"/>
                <w:bCs/>
                <w:sz w:val="22"/>
                <w:szCs w:val="22"/>
              </w:rPr>
              <w:t xml:space="preserve">Le crédit de UNCDF ainsi que celui d’EQUITY </w:t>
            </w:r>
          </w:p>
        </w:tc>
        <w:tc>
          <w:tcPr>
            <w:tcW w:w="993" w:type="dxa"/>
            <w:gridSpan w:val="2"/>
            <w:shd w:val="clear" w:color="auto" w:fill="FFF2CC"/>
          </w:tcPr>
          <w:p w14:paraId="66821CEE" w14:textId="77777777" w:rsidR="00AD5317" w:rsidRPr="004752F5" w:rsidRDefault="00AD5317" w:rsidP="008F0DC8">
            <w:pPr>
              <w:ind w:left="0" w:right="0" w:firstLine="0"/>
              <w:jc w:val="left"/>
              <w:rPr>
                <w:rFonts w:asciiTheme="majorHAnsi" w:hAnsiTheme="majorHAnsi" w:cstheme="majorHAnsi"/>
                <w:bCs/>
                <w:color w:val="000000"/>
                <w:sz w:val="22"/>
                <w:szCs w:val="22"/>
              </w:rPr>
            </w:pPr>
          </w:p>
        </w:tc>
      </w:tr>
    </w:tbl>
    <w:p w14:paraId="64A49730" w14:textId="77777777" w:rsidR="00C71504" w:rsidRPr="0090014B" w:rsidRDefault="00353AB7">
      <w:pPr>
        <w:spacing w:after="0" w:line="250" w:lineRule="auto"/>
        <w:ind w:left="0" w:right="0" w:firstLine="0"/>
        <w:rPr>
          <w:rFonts w:asciiTheme="majorHAnsi" w:hAnsiTheme="majorHAnsi" w:cstheme="majorHAnsi"/>
          <w:color w:val="D9D9D9"/>
          <w:sz w:val="22"/>
          <w:szCs w:val="22"/>
        </w:rPr>
        <w:sectPr w:rsidR="00C71504" w:rsidRPr="0090014B">
          <w:pgSz w:w="16840" w:h="11900" w:orient="landscape"/>
          <w:pgMar w:top="1576" w:right="1962" w:bottom="1559" w:left="1491" w:header="1021" w:footer="1117" w:gutter="0"/>
          <w:cols w:space="720"/>
        </w:sectPr>
      </w:pPr>
      <w:r w:rsidRPr="0090014B">
        <w:rPr>
          <w:rFonts w:asciiTheme="majorHAnsi" w:hAnsiTheme="majorHAnsi" w:cstheme="majorHAnsi"/>
          <w:i/>
          <w:color w:val="D9D9D9"/>
          <w:sz w:val="22"/>
          <w:szCs w:val="22"/>
        </w:rPr>
        <w:t xml:space="preserve">. </w:t>
      </w:r>
    </w:p>
    <w:p w14:paraId="1948EF92" w14:textId="77777777" w:rsidR="00C71504" w:rsidRPr="0090014B" w:rsidRDefault="00353AB7">
      <w:pPr>
        <w:pStyle w:val="Titre1"/>
        <w:numPr>
          <w:ilvl w:val="0"/>
          <w:numId w:val="11"/>
        </w:numPr>
        <w:rPr>
          <w:rFonts w:asciiTheme="majorHAnsi" w:hAnsiTheme="majorHAnsi" w:cstheme="majorHAnsi"/>
          <w:sz w:val="22"/>
          <w:szCs w:val="22"/>
        </w:rPr>
      </w:pPr>
      <w:bookmarkStart w:id="14" w:name="_heading=h.26in1rg" w:colFirst="0" w:colLast="0"/>
      <w:bookmarkEnd w:id="14"/>
      <w:r w:rsidRPr="0090014B">
        <w:rPr>
          <w:rFonts w:asciiTheme="majorHAnsi" w:hAnsiTheme="majorHAnsi" w:cstheme="majorHAnsi"/>
          <w:sz w:val="22"/>
          <w:szCs w:val="22"/>
        </w:rPr>
        <w:t>Contribution du programme à l’atteinte des Indicateurs harmonisés FONAREDD-CAFI</w:t>
      </w:r>
    </w:p>
    <w:p w14:paraId="1E1B736E" w14:textId="77777777" w:rsidR="00C71504" w:rsidRPr="0090014B" w:rsidRDefault="00353AB7">
      <w:pPr>
        <w:spacing w:after="0" w:line="259" w:lineRule="auto"/>
        <w:ind w:left="0" w:right="0" w:firstLine="0"/>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Tableau 3 - Progrès vers les indicateurs CAFI couverts par le programme.</w:t>
      </w:r>
    </w:p>
    <w:p w14:paraId="1E281011" w14:textId="77777777" w:rsidR="00C71504" w:rsidRPr="0090014B" w:rsidRDefault="00C71504">
      <w:pPr>
        <w:spacing w:after="0" w:line="259" w:lineRule="auto"/>
        <w:ind w:left="0" w:right="0" w:firstLine="0"/>
        <w:jc w:val="left"/>
        <w:rPr>
          <w:rFonts w:asciiTheme="majorHAnsi" w:hAnsiTheme="majorHAnsi" w:cstheme="majorHAnsi"/>
          <w:color w:val="000000"/>
          <w:sz w:val="22"/>
          <w:szCs w:val="22"/>
        </w:rPr>
      </w:pPr>
    </w:p>
    <w:tbl>
      <w:tblPr>
        <w:tblStyle w:val="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1559"/>
        <w:gridCol w:w="1559"/>
        <w:gridCol w:w="1135"/>
        <w:gridCol w:w="1560"/>
      </w:tblGrid>
      <w:tr w:rsidR="00C71504" w:rsidRPr="0090014B" w14:paraId="0A4ECA72" w14:textId="77777777">
        <w:trPr>
          <w:trHeight w:val="292"/>
        </w:trPr>
        <w:tc>
          <w:tcPr>
            <w:tcW w:w="3538" w:type="dxa"/>
            <w:shd w:val="clear" w:color="auto" w:fill="D9E2F3"/>
            <w:vAlign w:val="center"/>
          </w:tcPr>
          <w:p w14:paraId="01FD0C22"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color w:val="000000"/>
                <w:sz w:val="22"/>
                <w:szCs w:val="22"/>
              </w:rPr>
              <w:t>Indicateur révisé</w:t>
            </w:r>
          </w:p>
        </w:tc>
        <w:tc>
          <w:tcPr>
            <w:tcW w:w="1559" w:type="dxa"/>
            <w:shd w:val="clear" w:color="auto" w:fill="D9E2F3"/>
            <w:vAlign w:val="center"/>
          </w:tcPr>
          <w:p w14:paraId="63C7316B"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color w:val="000000"/>
                <w:sz w:val="22"/>
                <w:szCs w:val="22"/>
              </w:rPr>
              <w:t>Ligne de base en RDC (ou date à laquelle elle sera renseignée)</w:t>
            </w:r>
          </w:p>
        </w:tc>
        <w:tc>
          <w:tcPr>
            <w:tcW w:w="1559" w:type="dxa"/>
            <w:shd w:val="clear" w:color="auto" w:fill="D9E2F3"/>
            <w:vAlign w:val="center"/>
          </w:tcPr>
          <w:p w14:paraId="6BBFB122"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color w:val="000000"/>
                <w:sz w:val="22"/>
                <w:szCs w:val="22"/>
              </w:rPr>
              <w:t xml:space="preserve">Cible (LOI ou programme approuvé) </w:t>
            </w:r>
          </w:p>
        </w:tc>
        <w:tc>
          <w:tcPr>
            <w:tcW w:w="1135" w:type="dxa"/>
            <w:shd w:val="clear" w:color="auto" w:fill="D9E2F3"/>
            <w:vAlign w:val="center"/>
          </w:tcPr>
          <w:p w14:paraId="33FB5F56"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color w:val="000000"/>
                <w:sz w:val="22"/>
                <w:szCs w:val="22"/>
              </w:rPr>
              <w:t xml:space="preserve">Fréquence de </w:t>
            </w:r>
            <w:proofErr w:type="spellStart"/>
            <w:r w:rsidRPr="0090014B">
              <w:rPr>
                <w:rFonts w:asciiTheme="majorHAnsi" w:hAnsiTheme="majorHAnsi" w:cstheme="majorHAnsi"/>
                <w:color w:val="000000"/>
                <w:sz w:val="22"/>
                <w:szCs w:val="22"/>
              </w:rPr>
              <w:t>reporting</w:t>
            </w:r>
            <w:proofErr w:type="spellEnd"/>
            <w:r w:rsidRPr="0090014B">
              <w:rPr>
                <w:rFonts w:asciiTheme="majorHAnsi" w:hAnsiTheme="majorHAnsi" w:cstheme="majorHAnsi"/>
                <w:color w:val="000000"/>
                <w:sz w:val="22"/>
                <w:szCs w:val="22"/>
              </w:rPr>
              <w:t xml:space="preserve"> </w:t>
            </w:r>
          </w:p>
        </w:tc>
        <w:tc>
          <w:tcPr>
            <w:tcW w:w="1560" w:type="dxa"/>
            <w:shd w:val="clear" w:color="auto" w:fill="D9E2F3"/>
            <w:vAlign w:val="center"/>
          </w:tcPr>
          <w:p w14:paraId="4D8534FE"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color w:val="000000"/>
                <w:sz w:val="22"/>
                <w:szCs w:val="22"/>
              </w:rPr>
              <w:t>Progrès réalisé</w:t>
            </w:r>
          </w:p>
        </w:tc>
      </w:tr>
      <w:tr w:rsidR="00C71504" w:rsidRPr="0090014B" w14:paraId="59088600" w14:textId="77777777">
        <w:trPr>
          <w:trHeight w:val="421"/>
        </w:trPr>
        <w:tc>
          <w:tcPr>
            <w:tcW w:w="9351" w:type="dxa"/>
            <w:gridSpan w:val="5"/>
            <w:shd w:val="clear" w:color="auto" w:fill="auto"/>
            <w:vAlign w:val="center"/>
          </w:tcPr>
          <w:p w14:paraId="0BB9268C"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Effet 1 : Le gouvernement de la RDC et les consommateurs comprennent l’importance des combustibles propres et foyers améliorés</w:t>
            </w:r>
          </w:p>
        </w:tc>
      </w:tr>
      <w:tr w:rsidR="00C71504" w:rsidRPr="0090014B" w14:paraId="68CFE091" w14:textId="77777777">
        <w:trPr>
          <w:trHeight w:val="292"/>
        </w:trPr>
        <w:tc>
          <w:tcPr>
            <w:tcW w:w="3538" w:type="dxa"/>
            <w:shd w:val="clear" w:color="auto" w:fill="auto"/>
            <w:vAlign w:val="center"/>
          </w:tcPr>
          <w:p w14:paraId="3709903B"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Indicateur 1. Existence d’un mécanisme de coordination sur les énergies</w:t>
            </w:r>
          </w:p>
        </w:tc>
        <w:tc>
          <w:tcPr>
            <w:tcW w:w="1559" w:type="dxa"/>
            <w:shd w:val="clear" w:color="auto" w:fill="auto"/>
            <w:vAlign w:val="center"/>
          </w:tcPr>
          <w:p w14:paraId="04EF064C"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Draft des documents de base du mécanisme de coordination (2020)</w:t>
            </w:r>
          </w:p>
        </w:tc>
        <w:tc>
          <w:tcPr>
            <w:tcW w:w="1559" w:type="dxa"/>
            <w:shd w:val="clear" w:color="auto" w:fill="auto"/>
            <w:vAlign w:val="center"/>
          </w:tcPr>
          <w:p w14:paraId="60D1436F"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1 mécanisme avec 2 groupes dont le GPL + autres secteurs cuisson propre</w:t>
            </w:r>
          </w:p>
        </w:tc>
        <w:tc>
          <w:tcPr>
            <w:tcW w:w="1135" w:type="dxa"/>
            <w:shd w:val="clear" w:color="auto" w:fill="auto"/>
            <w:vAlign w:val="center"/>
          </w:tcPr>
          <w:p w14:paraId="5714F182"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Annuel</w:t>
            </w:r>
          </w:p>
        </w:tc>
        <w:tc>
          <w:tcPr>
            <w:tcW w:w="1560" w:type="dxa"/>
            <w:shd w:val="clear" w:color="auto" w:fill="auto"/>
            <w:vAlign w:val="center"/>
          </w:tcPr>
          <w:p w14:paraId="5981EF8D"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w:t>
            </w:r>
          </w:p>
        </w:tc>
      </w:tr>
      <w:tr w:rsidR="00C71504" w:rsidRPr="0090014B" w14:paraId="3D270364" w14:textId="77777777">
        <w:trPr>
          <w:trHeight w:val="292"/>
        </w:trPr>
        <w:tc>
          <w:tcPr>
            <w:tcW w:w="3538" w:type="dxa"/>
            <w:shd w:val="clear" w:color="auto" w:fill="auto"/>
            <w:vAlign w:val="center"/>
          </w:tcPr>
          <w:p w14:paraId="09E70D8B"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xml:space="preserve">Indicateur 2. Pourcentage de personnes supplémentaires ayant une compréhension des bénéfices de la cuisson propre (groupé par type d’énergie/foyer, </w:t>
            </w:r>
            <w:proofErr w:type="spellStart"/>
            <w:r w:rsidRPr="0090014B">
              <w:rPr>
                <w:rFonts w:asciiTheme="majorHAnsi" w:hAnsiTheme="majorHAnsi" w:cstheme="majorHAnsi"/>
                <w:sz w:val="22"/>
                <w:szCs w:val="22"/>
              </w:rPr>
              <w:t>catég</w:t>
            </w:r>
            <w:proofErr w:type="spellEnd"/>
            <w:r w:rsidRPr="0090014B">
              <w:rPr>
                <w:rFonts w:asciiTheme="majorHAnsi" w:hAnsiTheme="majorHAnsi" w:cstheme="majorHAnsi"/>
                <w:sz w:val="22"/>
                <w:szCs w:val="22"/>
              </w:rPr>
              <w:t>. d’utilisateur et Genre) dans les zones cibles</w:t>
            </w:r>
          </w:p>
        </w:tc>
        <w:tc>
          <w:tcPr>
            <w:tcW w:w="1559" w:type="dxa"/>
            <w:shd w:val="clear" w:color="auto" w:fill="auto"/>
            <w:vAlign w:val="center"/>
          </w:tcPr>
          <w:p w14:paraId="7FFF526D"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2020</w:t>
            </w:r>
          </w:p>
        </w:tc>
        <w:tc>
          <w:tcPr>
            <w:tcW w:w="1559" w:type="dxa"/>
            <w:shd w:val="clear" w:color="auto" w:fill="auto"/>
            <w:vAlign w:val="center"/>
          </w:tcPr>
          <w:p w14:paraId="010A2400"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30%</w:t>
            </w:r>
          </w:p>
        </w:tc>
        <w:tc>
          <w:tcPr>
            <w:tcW w:w="1135" w:type="dxa"/>
            <w:shd w:val="clear" w:color="auto" w:fill="auto"/>
            <w:vAlign w:val="center"/>
          </w:tcPr>
          <w:p w14:paraId="7D13C5F9"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xml:space="preserve"> Début et fin programme </w:t>
            </w:r>
          </w:p>
        </w:tc>
        <w:tc>
          <w:tcPr>
            <w:tcW w:w="1560" w:type="dxa"/>
            <w:shd w:val="clear" w:color="auto" w:fill="auto"/>
            <w:vAlign w:val="center"/>
          </w:tcPr>
          <w:p w14:paraId="7A9EE794"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Cette valeur sera déterminée après les études de fin.</w:t>
            </w:r>
          </w:p>
        </w:tc>
      </w:tr>
      <w:tr w:rsidR="00C71504" w:rsidRPr="0090014B" w14:paraId="20C9FEF4" w14:textId="77777777">
        <w:trPr>
          <w:trHeight w:val="421"/>
        </w:trPr>
        <w:tc>
          <w:tcPr>
            <w:tcW w:w="9351" w:type="dxa"/>
            <w:gridSpan w:val="5"/>
            <w:shd w:val="clear" w:color="auto" w:fill="auto"/>
            <w:vAlign w:val="center"/>
          </w:tcPr>
          <w:p w14:paraId="1CB9D917"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Produit 1.1 : Les programmes CAFI sont informés par des analyses approfondies de la production et de la consommation en énergie de cuisson, y compris le bois-énergie</w:t>
            </w:r>
          </w:p>
        </w:tc>
      </w:tr>
      <w:tr w:rsidR="00C71504" w:rsidRPr="0090014B" w14:paraId="2E474A8D" w14:textId="77777777">
        <w:trPr>
          <w:trHeight w:val="292"/>
        </w:trPr>
        <w:tc>
          <w:tcPr>
            <w:tcW w:w="3538" w:type="dxa"/>
            <w:shd w:val="clear" w:color="auto" w:fill="auto"/>
            <w:vAlign w:val="center"/>
          </w:tcPr>
          <w:p w14:paraId="0046A7F1"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Indicateur 1.1.1 Nombre d’Études bois-énergie et GPL réalisées permettant d’orienter l’action technique et politique (plaidoyer, politique, incubateur)</w:t>
            </w:r>
          </w:p>
        </w:tc>
        <w:tc>
          <w:tcPr>
            <w:tcW w:w="1559" w:type="dxa"/>
            <w:shd w:val="clear" w:color="auto" w:fill="auto"/>
            <w:vAlign w:val="center"/>
          </w:tcPr>
          <w:p w14:paraId="31A57F1A"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Études anciennes et incomplètes</w:t>
            </w:r>
          </w:p>
        </w:tc>
        <w:tc>
          <w:tcPr>
            <w:tcW w:w="1559" w:type="dxa"/>
            <w:shd w:val="clear" w:color="auto" w:fill="auto"/>
            <w:vAlign w:val="center"/>
          </w:tcPr>
          <w:p w14:paraId="3509C4EA"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2 études exhaustives sur bois énergie et GPL</w:t>
            </w:r>
          </w:p>
        </w:tc>
        <w:tc>
          <w:tcPr>
            <w:tcW w:w="1135" w:type="dxa"/>
            <w:shd w:val="clear" w:color="auto" w:fill="auto"/>
            <w:vAlign w:val="center"/>
          </w:tcPr>
          <w:p w14:paraId="52D41D46"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Données disponibles pour début et fin programme</w:t>
            </w:r>
          </w:p>
        </w:tc>
        <w:tc>
          <w:tcPr>
            <w:tcW w:w="1560" w:type="dxa"/>
            <w:shd w:val="clear" w:color="auto" w:fill="auto"/>
            <w:vAlign w:val="center"/>
          </w:tcPr>
          <w:p w14:paraId="2E73DF39"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La première étude a pris fin. La seconde sera effective à partir de janvier 2021.</w:t>
            </w:r>
          </w:p>
        </w:tc>
      </w:tr>
      <w:tr w:rsidR="00C71504" w:rsidRPr="0090014B" w14:paraId="7A0F09D9" w14:textId="77777777">
        <w:trPr>
          <w:trHeight w:val="558"/>
        </w:trPr>
        <w:tc>
          <w:tcPr>
            <w:tcW w:w="3538" w:type="dxa"/>
            <w:shd w:val="clear" w:color="auto" w:fill="auto"/>
            <w:vAlign w:val="center"/>
          </w:tcPr>
          <w:p w14:paraId="0003C996"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Indicateur 1.1.2 Existence d’un Cadre fonctionnel de suivi du secteur bois-énergie/consommation énergie de cuisson</w:t>
            </w:r>
          </w:p>
        </w:tc>
        <w:tc>
          <w:tcPr>
            <w:tcW w:w="1559" w:type="dxa"/>
            <w:shd w:val="clear" w:color="auto" w:fill="auto"/>
            <w:vAlign w:val="center"/>
          </w:tcPr>
          <w:p w14:paraId="2C59221C"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Cadre de suivi du secteur Bois-énergie inexistant (2020)</w:t>
            </w:r>
          </w:p>
        </w:tc>
        <w:tc>
          <w:tcPr>
            <w:tcW w:w="1559" w:type="dxa"/>
            <w:shd w:val="clear" w:color="auto" w:fill="auto"/>
            <w:vAlign w:val="center"/>
          </w:tcPr>
          <w:p w14:paraId="727E62DD"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Cadre de suivi du secteur bois-énergie mis en place avec des outils de suivi validés</w:t>
            </w:r>
          </w:p>
        </w:tc>
        <w:tc>
          <w:tcPr>
            <w:tcW w:w="1135" w:type="dxa"/>
            <w:shd w:val="clear" w:color="auto" w:fill="auto"/>
            <w:vAlign w:val="center"/>
          </w:tcPr>
          <w:p w14:paraId="75A3A604"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xml:space="preserve">Annuel </w:t>
            </w:r>
          </w:p>
        </w:tc>
        <w:tc>
          <w:tcPr>
            <w:tcW w:w="1560" w:type="dxa"/>
            <w:shd w:val="clear" w:color="auto" w:fill="auto"/>
            <w:vAlign w:val="center"/>
          </w:tcPr>
          <w:p w14:paraId="2224D513"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Les travaux de mise en place de ce cadre seront amorcés après les études de base. Ce cadre sera donc établi en 2021</w:t>
            </w:r>
            <w:r w:rsidR="00E23DE1" w:rsidRPr="0090014B">
              <w:rPr>
                <w:rFonts w:asciiTheme="majorHAnsi" w:hAnsiTheme="majorHAnsi" w:cstheme="majorHAnsi"/>
                <w:sz w:val="22"/>
                <w:szCs w:val="22"/>
              </w:rPr>
              <w:t>.</w:t>
            </w:r>
          </w:p>
        </w:tc>
      </w:tr>
      <w:tr w:rsidR="00C71504" w:rsidRPr="0090014B" w14:paraId="61B1B9A2" w14:textId="77777777">
        <w:trPr>
          <w:trHeight w:val="632"/>
        </w:trPr>
        <w:tc>
          <w:tcPr>
            <w:tcW w:w="9351" w:type="dxa"/>
            <w:gridSpan w:val="5"/>
            <w:shd w:val="clear" w:color="auto" w:fill="auto"/>
            <w:vAlign w:val="center"/>
          </w:tcPr>
          <w:p w14:paraId="2DF9C2C5"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Effet 2 : Un marché local, économiquement viable, de production et de commercialisation d’énergie propre de cuisson (foyers améliorés et GPL) est développé</w:t>
            </w:r>
          </w:p>
        </w:tc>
      </w:tr>
      <w:tr w:rsidR="00C71504" w:rsidRPr="0090014B" w14:paraId="67F395F1" w14:textId="77777777">
        <w:trPr>
          <w:trHeight w:val="292"/>
        </w:trPr>
        <w:tc>
          <w:tcPr>
            <w:tcW w:w="3538" w:type="dxa"/>
            <w:shd w:val="clear" w:color="auto" w:fill="auto"/>
            <w:vAlign w:val="center"/>
          </w:tcPr>
          <w:p w14:paraId="7A2B7349"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Indicateur 1. Nombre de nouveaux ménages utilisant les foyers améliorés comme source de cuisson dans les zones cibles</w:t>
            </w:r>
          </w:p>
        </w:tc>
        <w:tc>
          <w:tcPr>
            <w:tcW w:w="1559" w:type="dxa"/>
            <w:shd w:val="clear" w:color="auto" w:fill="auto"/>
            <w:vAlign w:val="center"/>
          </w:tcPr>
          <w:p w14:paraId="6FF2A5E3"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Kinshasa 108</w:t>
            </w:r>
          </w:p>
          <w:p w14:paraId="4AD2E4BC"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xml:space="preserve">Lubumbashi 4 </w:t>
            </w:r>
          </w:p>
          <w:p w14:paraId="179DD019"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Bukavu 327</w:t>
            </w:r>
          </w:p>
          <w:p w14:paraId="1C4513B8"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Goma 335(2020)</w:t>
            </w:r>
          </w:p>
        </w:tc>
        <w:tc>
          <w:tcPr>
            <w:tcW w:w="1559" w:type="dxa"/>
            <w:shd w:val="clear" w:color="auto" w:fill="auto"/>
            <w:vAlign w:val="center"/>
          </w:tcPr>
          <w:p w14:paraId="21123C02"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A déterminer</w:t>
            </w:r>
          </w:p>
        </w:tc>
        <w:tc>
          <w:tcPr>
            <w:tcW w:w="1135" w:type="dxa"/>
            <w:shd w:val="clear" w:color="auto" w:fill="auto"/>
            <w:vAlign w:val="center"/>
          </w:tcPr>
          <w:p w14:paraId="5394DB1D"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Début et fin programme</w:t>
            </w:r>
          </w:p>
        </w:tc>
        <w:tc>
          <w:tcPr>
            <w:tcW w:w="1560" w:type="dxa"/>
            <w:shd w:val="clear" w:color="auto" w:fill="auto"/>
            <w:vAlign w:val="center"/>
          </w:tcPr>
          <w:p w14:paraId="10A6BED4" w14:textId="77777777" w:rsidR="00C71504" w:rsidRPr="0090014B" w:rsidRDefault="00C71504">
            <w:pPr>
              <w:ind w:left="0" w:right="0" w:firstLine="0"/>
              <w:jc w:val="left"/>
              <w:rPr>
                <w:rFonts w:asciiTheme="majorHAnsi" w:hAnsiTheme="majorHAnsi" w:cstheme="majorHAnsi"/>
                <w:sz w:val="22"/>
                <w:szCs w:val="22"/>
              </w:rPr>
            </w:pPr>
          </w:p>
        </w:tc>
      </w:tr>
      <w:tr w:rsidR="00C71504" w:rsidRPr="0090014B" w14:paraId="381FBC8B" w14:textId="77777777">
        <w:trPr>
          <w:trHeight w:val="292"/>
        </w:trPr>
        <w:tc>
          <w:tcPr>
            <w:tcW w:w="3538" w:type="dxa"/>
            <w:shd w:val="clear" w:color="auto" w:fill="auto"/>
            <w:vAlign w:val="center"/>
          </w:tcPr>
          <w:p w14:paraId="06CC30F8"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Indicateur 2. Nombre de ménages utilisant le GPL comme source de cuisson principale ou secondaire dans les zones cibles</w:t>
            </w:r>
          </w:p>
        </w:tc>
        <w:tc>
          <w:tcPr>
            <w:tcW w:w="1559" w:type="dxa"/>
            <w:shd w:val="clear" w:color="auto" w:fill="auto"/>
            <w:vAlign w:val="center"/>
          </w:tcPr>
          <w:p w14:paraId="627F5B94"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Kinshasa 29 Lubumbashi 18          Bukavu 4</w:t>
            </w:r>
          </w:p>
          <w:p w14:paraId="4AE93387"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Goma 36 (2020)</w:t>
            </w:r>
          </w:p>
        </w:tc>
        <w:tc>
          <w:tcPr>
            <w:tcW w:w="1559" w:type="dxa"/>
            <w:shd w:val="clear" w:color="auto" w:fill="auto"/>
            <w:vAlign w:val="center"/>
          </w:tcPr>
          <w:p w14:paraId="6F6A980F"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A déterminer</w:t>
            </w:r>
          </w:p>
        </w:tc>
        <w:tc>
          <w:tcPr>
            <w:tcW w:w="1135" w:type="dxa"/>
            <w:shd w:val="clear" w:color="auto" w:fill="auto"/>
            <w:vAlign w:val="center"/>
          </w:tcPr>
          <w:p w14:paraId="6758655E"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Début et fin programme</w:t>
            </w:r>
          </w:p>
        </w:tc>
        <w:tc>
          <w:tcPr>
            <w:tcW w:w="1560" w:type="dxa"/>
            <w:shd w:val="clear" w:color="auto" w:fill="auto"/>
            <w:vAlign w:val="center"/>
          </w:tcPr>
          <w:p w14:paraId="4535B2F8" w14:textId="77777777" w:rsidR="00C71504" w:rsidRPr="0090014B" w:rsidRDefault="00C71504">
            <w:pPr>
              <w:ind w:left="0" w:right="0" w:firstLine="0"/>
              <w:jc w:val="left"/>
              <w:rPr>
                <w:rFonts w:asciiTheme="majorHAnsi" w:hAnsiTheme="majorHAnsi" w:cstheme="majorHAnsi"/>
                <w:sz w:val="22"/>
                <w:szCs w:val="22"/>
              </w:rPr>
            </w:pPr>
          </w:p>
        </w:tc>
      </w:tr>
      <w:tr w:rsidR="00C71504" w:rsidRPr="0090014B" w14:paraId="6C92DA62" w14:textId="77777777">
        <w:trPr>
          <w:trHeight w:val="292"/>
        </w:trPr>
        <w:tc>
          <w:tcPr>
            <w:tcW w:w="3538" w:type="dxa"/>
            <w:shd w:val="clear" w:color="auto" w:fill="auto"/>
            <w:vAlign w:val="center"/>
          </w:tcPr>
          <w:p w14:paraId="34910247"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Indicateur 3. Proportion de la population de la RDC utilisant les sources d’énergie propre pour la cuisson, dans les zones cibles</w:t>
            </w:r>
          </w:p>
        </w:tc>
        <w:tc>
          <w:tcPr>
            <w:tcW w:w="1559" w:type="dxa"/>
            <w:shd w:val="clear" w:color="auto" w:fill="auto"/>
            <w:vAlign w:val="center"/>
          </w:tcPr>
          <w:p w14:paraId="3A113935"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Kinshasa 68% Lubumbashi 26%</w:t>
            </w:r>
          </w:p>
          <w:p w14:paraId="41CC70CF"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Bukavu 16%</w:t>
            </w:r>
          </w:p>
          <w:p w14:paraId="5B1084C6"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Goma 22,2%</w:t>
            </w:r>
          </w:p>
        </w:tc>
        <w:tc>
          <w:tcPr>
            <w:tcW w:w="1559" w:type="dxa"/>
            <w:shd w:val="clear" w:color="auto" w:fill="auto"/>
            <w:vAlign w:val="center"/>
          </w:tcPr>
          <w:p w14:paraId="23C27606"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A déterminer</w:t>
            </w:r>
          </w:p>
        </w:tc>
        <w:tc>
          <w:tcPr>
            <w:tcW w:w="1135" w:type="dxa"/>
            <w:shd w:val="clear" w:color="auto" w:fill="auto"/>
            <w:vAlign w:val="center"/>
          </w:tcPr>
          <w:p w14:paraId="763692B4"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Début et fin programme</w:t>
            </w:r>
          </w:p>
        </w:tc>
        <w:tc>
          <w:tcPr>
            <w:tcW w:w="1560" w:type="dxa"/>
            <w:shd w:val="clear" w:color="auto" w:fill="auto"/>
            <w:vAlign w:val="center"/>
          </w:tcPr>
          <w:p w14:paraId="26A6EB05" w14:textId="77777777" w:rsidR="00C71504" w:rsidRPr="0090014B" w:rsidRDefault="00C71504">
            <w:pPr>
              <w:ind w:left="0" w:right="0" w:firstLine="0"/>
              <w:jc w:val="left"/>
              <w:rPr>
                <w:rFonts w:asciiTheme="majorHAnsi" w:hAnsiTheme="majorHAnsi" w:cstheme="majorHAnsi"/>
                <w:sz w:val="22"/>
                <w:szCs w:val="22"/>
              </w:rPr>
            </w:pPr>
          </w:p>
        </w:tc>
      </w:tr>
      <w:tr w:rsidR="00C71504" w:rsidRPr="0090014B" w14:paraId="100040FE" w14:textId="77777777">
        <w:trPr>
          <w:trHeight w:val="292"/>
        </w:trPr>
        <w:tc>
          <w:tcPr>
            <w:tcW w:w="3538" w:type="dxa"/>
            <w:shd w:val="clear" w:color="auto" w:fill="auto"/>
            <w:vAlign w:val="center"/>
          </w:tcPr>
          <w:p w14:paraId="58D0CAF3"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Indicateur 4. Nombre d’emplois directs et indirects créés</w:t>
            </w:r>
          </w:p>
        </w:tc>
        <w:tc>
          <w:tcPr>
            <w:tcW w:w="1559" w:type="dxa"/>
            <w:shd w:val="clear" w:color="auto" w:fill="auto"/>
            <w:vAlign w:val="center"/>
          </w:tcPr>
          <w:p w14:paraId="5D06B51A"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0 (2020)</w:t>
            </w:r>
          </w:p>
        </w:tc>
        <w:tc>
          <w:tcPr>
            <w:tcW w:w="1559" w:type="dxa"/>
            <w:shd w:val="clear" w:color="auto" w:fill="auto"/>
            <w:vAlign w:val="center"/>
          </w:tcPr>
          <w:p w14:paraId="655E84B4"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131/184</w:t>
            </w:r>
          </w:p>
        </w:tc>
        <w:tc>
          <w:tcPr>
            <w:tcW w:w="1135" w:type="dxa"/>
            <w:shd w:val="clear" w:color="auto" w:fill="auto"/>
            <w:vAlign w:val="center"/>
          </w:tcPr>
          <w:p w14:paraId="7615DA8F"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Début et fin programme</w:t>
            </w:r>
          </w:p>
        </w:tc>
        <w:tc>
          <w:tcPr>
            <w:tcW w:w="1560" w:type="dxa"/>
            <w:shd w:val="clear" w:color="auto" w:fill="auto"/>
            <w:vAlign w:val="center"/>
          </w:tcPr>
          <w:p w14:paraId="3F6E92BD"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Il sera déterminé à partir 2021 avec les entreprises ayant obtenu les subventions par les fonds de défis.</w:t>
            </w:r>
          </w:p>
        </w:tc>
      </w:tr>
      <w:tr w:rsidR="00C71504" w:rsidRPr="0090014B" w14:paraId="063DC012" w14:textId="77777777">
        <w:trPr>
          <w:trHeight w:val="625"/>
        </w:trPr>
        <w:tc>
          <w:tcPr>
            <w:tcW w:w="9351" w:type="dxa"/>
            <w:gridSpan w:val="5"/>
            <w:shd w:val="clear" w:color="auto" w:fill="auto"/>
            <w:vAlign w:val="center"/>
          </w:tcPr>
          <w:p w14:paraId="74CA0C10"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Produit 2.2 La viabilité du business et le marché durable des partenaires sélectionnés sont améliorés grâce aux services d’assistance technique (AT)</w:t>
            </w:r>
          </w:p>
        </w:tc>
      </w:tr>
      <w:tr w:rsidR="00C71504" w:rsidRPr="0090014B" w14:paraId="2823636B" w14:textId="77777777">
        <w:trPr>
          <w:trHeight w:val="89"/>
        </w:trPr>
        <w:tc>
          <w:tcPr>
            <w:tcW w:w="3538" w:type="dxa"/>
            <w:shd w:val="clear" w:color="auto" w:fill="auto"/>
            <w:vAlign w:val="center"/>
          </w:tcPr>
          <w:p w14:paraId="09FE2891"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Indicateur 2.2.3 Nombre de foyers améliorés disséminés</w:t>
            </w:r>
          </w:p>
        </w:tc>
        <w:tc>
          <w:tcPr>
            <w:tcW w:w="1559" w:type="dxa"/>
            <w:shd w:val="clear" w:color="auto" w:fill="auto"/>
            <w:vAlign w:val="center"/>
          </w:tcPr>
          <w:p w14:paraId="7666F4BA"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0 (2020)</w:t>
            </w:r>
          </w:p>
        </w:tc>
        <w:tc>
          <w:tcPr>
            <w:tcW w:w="1559" w:type="dxa"/>
            <w:shd w:val="clear" w:color="auto" w:fill="auto"/>
            <w:vAlign w:val="center"/>
          </w:tcPr>
          <w:p w14:paraId="66C76A4C"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7700</w:t>
            </w:r>
          </w:p>
        </w:tc>
        <w:tc>
          <w:tcPr>
            <w:tcW w:w="1135" w:type="dxa"/>
            <w:shd w:val="clear" w:color="auto" w:fill="auto"/>
            <w:vAlign w:val="center"/>
          </w:tcPr>
          <w:p w14:paraId="0B45C0A7"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Annuelle</w:t>
            </w:r>
          </w:p>
        </w:tc>
        <w:tc>
          <w:tcPr>
            <w:tcW w:w="1560" w:type="dxa"/>
            <w:shd w:val="clear" w:color="auto" w:fill="auto"/>
            <w:vAlign w:val="center"/>
          </w:tcPr>
          <w:p w14:paraId="0DFC6E62"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xml:space="preserve">Les ventes des entreprises nous renseigneront sur cet indicateur. </w:t>
            </w:r>
          </w:p>
        </w:tc>
      </w:tr>
    </w:tbl>
    <w:p w14:paraId="70A9D416" w14:textId="77777777" w:rsidR="00C71504" w:rsidRPr="0090014B" w:rsidRDefault="00C71504">
      <w:pPr>
        <w:spacing w:after="0" w:line="259" w:lineRule="auto"/>
        <w:ind w:left="0" w:right="0" w:firstLine="0"/>
        <w:jc w:val="left"/>
        <w:rPr>
          <w:rFonts w:asciiTheme="majorHAnsi" w:hAnsiTheme="majorHAnsi" w:cstheme="majorHAnsi"/>
          <w:color w:val="000000"/>
          <w:sz w:val="22"/>
          <w:szCs w:val="22"/>
        </w:rPr>
      </w:pPr>
    </w:p>
    <w:p w14:paraId="13ABE825" w14:textId="77777777" w:rsidR="00BE5538" w:rsidRDefault="00353AB7">
      <w:pPr>
        <w:spacing w:after="0" w:line="259" w:lineRule="auto"/>
        <w:ind w:left="0" w:right="0" w:firstLine="0"/>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Les perspectives décrites dans le tableau ci-dessus  </w:t>
      </w:r>
      <w:r w:rsidRPr="0090014B">
        <w:rPr>
          <w:rFonts w:asciiTheme="majorHAnsi" w:hAnsiTheme="majorHAnsi" w:cstheme="majorHAnsi"/>
          <w:sz w:val="22"/>
          <w:szCs w:val="22"/>
        </w:rPr>
        <w:t>montrent</w:t>
      </w:r>
      <w:r w:rsidRPr="0090014B">
        <w:rPr>
          <w:rFonts w:asciiTheme="majorHAnsi" w:hAnsiTheme="majorHAnsi" w:cstheme="majorHAnsi"/>
          <w:color w:val="000000"/>
          <w:sz w:val="22"/>
          <w:szCs w:val="22"/>
        </w:rPr>
        <w:t xml:space="preserve"> un bon progrès du programme. En effet, la plupart des </w:t>
      </w:r>
      <w:r w:rsidR="00940B75">
        <w:rPr>
          <w:rFonts w:asciiTheme="majorHAnsi" w:hAnsiTheme="majorHAnsi" w:cstheme="majorHAnsi"/>
          <w:color w:val="000000"/>
          <w:sz w:val="22"/>
          <w:szCs w:val="22"/>
        </w:rPr>
        <w:t xml:space="preserve">mécanismes </w:t>
      </w:r>
      <w:r w:rsidRPr="0090014B">
        <w:rPr>
          <w:rFonts w:asciiTheme="majorHAnsi" w:hAnsiTheme="majorHAnsi" w:cstheme="majorHAnsi"/>
          <w:color w:val="000000"/>
          <w:sz w:val="22"/>
          <w:szCs w:val="22"/>
        </w:rPr>
        <w:t xml:space="preserve">devant permettre l’atteinte des </w:t>
      </w:r>
      <w:r w:rsidRPr="0090014B">
        <w:rPr>
          <w:rFonts w:asciiTheme="majorHAnsi" w:hAnsiTheme="majorHAnsi" w:cstheme="majorHAnsi"/>
          <w:sz w:val="22"/>
          <w:szCs w:val="22"/>
        </w:rPr>
        <w:t>jalons</w:t>
      </w:r>
      <w:r w:rsidRPr="0090014B">
        <w:rPr>
          <w:rFonts w:asciiTheme="majorHAnsi" w:hAnsiTheme="majorHAnsi" w:cstheme="majorHAnsi"/>
          <w:color w:val="000000"/>
          <w:sz w:val="22"/>
          <w:szCs w:val="22"/>
        </w:rPr>
        <w:t xml:space="preserve"> CAFI </w:t>
      </w:r>
      <w:r w:rsidR="00940B75">
        <w:rPr>
          <w:rFonts w:asciiTheme="majorHAnsi" w:hAnsiTheme="majorHAnsi" w:cstheme="majorHAnsi"/>
          <w:color w:val="000000"/>
          <w:sz w:val="22"/>
          <w:szCs w:val="22"/>
        </w:rPr>
        <w:t xml:space="preserve">ont été mis en place </w:t>
      </w:r>
      <w:r w:rsidRPr="0090014B">
        <w:rPr>
          <w:rFonts w:asciiTheme="majorHAnsi" w:hAnsiTheme="majorHAnsi" w:cstheme="majorHAnsi"/>
          <w:color w:val="000000"/>
          <w:sz w:val="22"/>
          <w:szCs w:val="22"/>
        </w:rPr>
        <w:t xml:space="preserve">notamment </w:t>
      </w:r>
      <w:r w:rsidR="00940B75">
        <w:rPr>
          <w:rFonts w:asciiTheme="majorHAnsi" w:hAnsiTheme="majorHAnsi" w:cstheme="majorHAnsi"/>
          <w:color w:val="000000"/>
          <w:sz w:val="22"/>
          <w:szCs w:val="22"/>
        </w:rPr>
        <w:t>le</w:t>
      </w:r>
      <w:r w:rsidRPr="0090014B">
        <w:rPr>
          <w:rFonts w:asciiTheme="majorHAnsi" w:hAnsiTheme="majorHAnsi" w:cstheme="majorHAnsi"/>
          <w:color w:val="000000"/>
          <w:sz w:val="22"/>
          <w:szCs w:val="22"/>
        </w:rPr>
        <w:t xml:space="preserve"> fonds de défi </w:t>
      </w:r>
      <w:r w:rsidR="00940B75">
        <w:rPr>
          <w:rFonts w:asciiTheme="majorHAnsi" w:hAnsiTheme="majorHAnsi" w:cstheme="majorHAnsi"/>
          <w:color w:val="000000"/>
          <w:sz w:val="22"/>
          <w:szCs w:val="22"/>
        </w:rPr>
        <w:t>qui a</w:t>
      </w:r>
      <w:r w:rsidRPr="0090014B">
        <w:rPr>
          <w:rFonts w:asciiTheme="majorHAnsi" w:hAnsiTheme="majorHAnsi" w:cstheme="majorHAnsi"/>
          <w:color w:val="000000"/>
          <w:sz w:val="22"/>
          <w:szCs w:val="22"/>
        </w:rPr>
        <w:t xml:space="preserve"> octro</w:t>
      </w:r>
      <w:r w:rsidR="00940B75">
        <w:rPr>
          <w:rFonts w:asciiTheme="majorHAnsi" w:hAnsiTheme="majorHAnsi" w:cstheme="majorHAnsi"/>
          <w:color w:val="000000"/>
          <w:sz w:val="22"/>
          <w:szCs w:val="22"/>
        </w:rPr>
        <w:t>yé l</w:t>
      </w:r>
      <w:r w:rsidRPr="0090014B">
        <w:rPr>
          <w:rFonts w:asciiTheme="majorHAnsi" w:hAnsiTheme="majorHAnsi" w:cstheme="majorHAnsi"/>
          <w:color w:val="000000"/>
          <w:sz w:val="22"/>
          <w:szCs w:val="22"/>
        </w:rPr>
        <w:t>es premi</w:t>
      </w:r>
      <w:r w:rsidR="00940B75">
        <w:rPr>
          <w:rFonts w:asciiTheme="majorHAnsi" w:hAnsiTheme="majorHAnsi" w:cstheme="majorHAnsi"/>
          <w:color w:val="000000"/>
          <w:sz w:val="22"/>
          <w:szCs w:val="22"/>
        </w:rPr>
        <w:t>e</w:t>
      </w:r>
      <w:r w:rsidRPr="0090014B">
        <w:rPr>
          <w:rFonts w:asciiTheme="majorHAnsi" w:hAnsiTheme="majorHAnsi" w:cstheme="majorHAnsi"/>
          <w:color w:val="000000"/>
          <w:sz w:val="22"/>
          <w:szCs w:val="22"/>
        </w:rPr>
        <w:t>rs fonds à hauteur de USD 682,000 au</w:t>
      </w:r>
      <w:r w:rsidR="00E23DE1" w:rsidRPr="0090014B">
        <w:rPr>
          <w:rFonts w:asciiTheme="majorHAnsi" w:hAnsiTheme="majorHAnsi" w:cstheme="majorHAnsi"/>
          <w:color w:val="000000"/>
          <w:sz w:val="22"/>
          <w:szCs w:val="22"/>
        </w:rPr>
        <w:t>x</w:t>
      </w:r>
      <w:r w:rsidRPr="0090014B">
        <w:rPr>
          <w:rFonts w:asciiTheme="majorHAnsi" w:hAnsiTheme="majorHAnsi" w:cstheme="majorHAnsi"/>
          <w:color w:val="000000"/>
          <w:sz w:val="22"/>
          <w:szCs w:val="22"/>
        </w:rPr>
        <w:t xml:space="preserve"> entreprises pour la promotion des foyers améliorés et le GPL. </w:t>
      </w:r>
      <w:r w:rsidR="00940B75">
        <w:rPr>
          <w:rFonts w:asciiTheme="majorHAnsi" w:hAnsiTheme="majorHAnsi" w:cstheme="majorHAnsi"/>
          <w:color w:val="000000"/>
          <w:sz w:val="22"/>
          <w:szCs w:val="22"/>
        </w:rPr>
        <w:t>Néanmoins,</w:t>
      </w:r>
      <w:r w:rsidR="00BE5538">
        <w:rPr>
          <w:rFonts w:asciiTheme="majorHAnsi" w:hAnsiTheme="majorHAnsi" w:cstheme="majorHAnsi"/>
          <w:color w:val="000000"/>
          <w:sz w:val="22"/>
          <w:szCs w:val="22"/>
        </w:rPr>
        <w:t xml:space="preserve"> </w:t>
      </w:r>
      <w:r w:rsidR="00940B75">
        <w:rPr>
          <w:rFonts w:asciiTheme="majorHAnsi" w:hAnsiTheme="majorHAnsi" w:cstheme="majorHAnsi"/>
          <w:color w:val="000000"/>
          <w:sz w:val="22"/>
          <w:szCs w:val="22"/>
        </w:rPr>
        <w:t>l</w:t>
      </w:r>
      <w:r w:rsidR="00940B75" w:rsidRPr="00940B75">
        <w:rPr>
          <w:rFonts w:asciiTheme="majorHAnsi" w:hAnsiTheme="majorHAnsi" w:cstheme="majorHAnsi"/>
          <w:color w:val="000000"/>
          <w:sz w:val="22"/>
          <w:szCs w:val="22"/>
        </w:rPr>
        <w:t>’appui du programme aux entreprises a permis de réaliser directement ou indirectement 29 859</w:t>
      </w:r>
      <w:r w:rsidR="00940B75">
        <w:rPr>
          <w:rFonts w:asciiTheme="majorHAnsi" w:hAnsiTheme="majorHAnsi" w:cstheme="majorHAnsi"/>
          <w:color w:val="000000"/>
          <w:sz w:val="22"/>
          <w:szCs w:val="22"/>
        </w:rPr>
        <w:t xml:space="preserve"> </w:t>
      </w:r>
      <w:r w:rsidR="00940B75" w:rsidRPr="00940B75">
        <w:rPr>
          <w:rFonts w:asciiTheme="majorHAnsi" w:hAnsiTheme="majorHAnsi" w:cstheme="majorHAnsi"/>
          <w:color w:val="000000"/>
          <w:sz w:val="22"/>
          <w:szCs w:val="22"/>
        </w:rPr>
        <w:t>ventes</w:t>
      </w:r>
      <w:r w:rsidR="00BE5538">
        <w:rPr>
          <w:rFonts w:asciiTheme="majorHAnsi" w:hAnsiTheme="majorHAnsi" w:cstheme="majorHAnsi"/>
          <w:color w:val="000000"/>
          <w:sz w:val="22"/>
          <w:szCs w:val="22"/>
        </w:rPr>
        <w:t xml:space="preserve"> de foyers améliorés.</w:t>
      </w:r>
      <w:r w:rsidR="00940B75" w:rsidRPr="00940B75">
        <w:rPr>
          <w:rFonts w:asciiTheme="majorHAnsi" w:hAnsiTheme="majorHAnsi" w:cstheme="majorHAnsi"/>
          <w:color w:val="000000"/>
          <w:sz w:val="22"/>
          <w:szCs w:val="22"/>
        </w:rPr>
        <w:t xml:space="preserve"> </w:t>
      </w:r>
      <w:r w:rsidR="00BE5538">
        <w:rPr>
          <w:rFonts w:asciiTheme="majorHAnsi" w:hAnsiTheme="majorHAnsi" w:cstheme="majorHAnsi"/>
          <w:color w:val="000000"/>
          <w:sz w:val="22"/>
          <w:szCs w:val="22"/>
        </w:rPr>
        <w:t xml:space="preserve">Il est attendus une distribution directe de </w:t>
      </w:r>
      <w:r w:rsidR="00BE5538" w:rsidRPr="00940B75">
        <w:rPr>
          <w:rFonts w:asciiTheme="majorHAnsi" w:hAnsiTheme="majorHAnsi" w:cstheme="majorHAnsi"/>
          <w:color w:val="000000"/>
          <w:sz w:val="22"/>
          <w:szCs w:val="22"/>
        </w:rPr>
        <w:t>64,200</w:t>
      </w:r>
      <w:r w:rsidR="00BE5538">
        <w:rPr>
          <w:rFonts w:asciiTheme="majorHAnsi" w:hAnsiTheme="majorHAnsi" w:cstheme="majorHAnsi"/>
          <w:color w:val="000000"/>
          <w:sz w:val="22"/>
          <w:szCs w:val="22"/>
        </w:rPr>
        <w:t xml:space="preserve"> de foyers améliorés au cours d’ici à 2022 par les entreprises sous le fonds de défi.</w:t>
      </w:r>
    </w:p>
    <w:p w14:paraId="5F14D50C" w14:textId="77777777" w:rsidR="00C71504" w:rsidRPr="0090014B" w:rsidRDefault="00353AB7">
      <w:pPr>
        <w:pStyle w:val="Titre1"/>
        <w:numPr>
          <w:ilvl w:val="0"/>
          <w:numId w:val="11"/>
        </w:numPr>
        <w:rPr>
          <w:rFonts w:asciiTheme="majorHAnsi" w:hAnsiTheme="majorHAnsi" w:cstheme="majorHAnsi"/>
          <w:sz w:val="22"/>
          <w:szCs w:val="22"/>
        </w:rPr>
      </w:pPr>
      <w:bookmarkStart w:id="15" w:name="_heading=h.lnxbz9" w:colFirst="0" w:colLast="0"/>
      <w:bookmarkEnd w:id="15"/>
      <w:r w:rsidRPr="0090014B">
        <w:rPr>
          <w:rFonts w:asciiTheme="majorHAnsi" w:hAnsiTheme="majorHAnsi" w:cstheme="majorHAnsi"/>
          <w:sz w:val="22"/>
          <w:szCs w:val="22"/>
        </w:rPr>
        <w:t>Contribution du programme à l’atteinte des jalons de la Lettre d’intention</w:t>
      </w:r>
    </w:p>
    <w:p w14:paraId="3D3E0CD2" w14:textId="0E7C26FA" w:rsidR="00C71504" w:rsidRDefault="00353AB7">
      <w:pPr>
        <w:spacing w:after="0" w:line="240" w:lineRule="auto"/>
        <w:ind w:left="0" w:right="0" w:firstLine="0"/>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Tableau 4 - Progrès vers les Jalons de la LOI </w:t>
      </w:r>
    </w:p>
    <w:tbl>
      <w:tblPr>
        <w:tblStyle w:val="6"/>
        <w:tblW w:w="9629" w:type="dxa"/>
        <w:tblInd w:w="0" w:type="dxa"/>
        <w:tblLayout w:type="fixed"/>
        <w:tblLook w:val="0400" w:firstRow="0" w:lastRow="0" w:firstColumn="0" w:lastColumn="0" w:noHBand="0" w:noVBand="1"/>
      </w:tblPr>
      <w:tblGrid>
        <w:gridCol w:w="360"/>
        <w:gridCol w:w="780"/>
        <w:gridCol w:w="2111"/>
        <w:gridCol w:w="2551"/>
        <w:gridCol w:w="1843"/>
        <w:gridCol w:w="1984"/>
      </w:tblGrid>
      <w:tr w:rsidR="00AD5317" w:rsidRPr="00AD5317" w14:paraId="1278B9A6" w14:textId="77777777" w:rsidTr="008F0DC8">
        <w:trPr>
          <w:trHeight w:val="20"/>
        </w:trPr>
        <w:tc>
          <w:tcPr>
            <w:tcW w:w="9629" w:type="dxa"/>
            <w:gridSpan w:val="6"/>
            <w:tcBorders>
              <w:top w:val="single" w:sz="8" w:space="0" w:color="000000"/>
              <w:left w:val="single" w:sz="8" w:space="0" w:color="000000"/>
              <w:bottom w:val="single" w:sz="8" w:space="0" w:color="000000"/>
              <w:right w:val="single" w:sz="8" w:space="0" w:color="000000"/>
            </w:tcBorders>
            <w:shd w:val="clear" w:color="auto" w:fill="8EAADB"/>
            <w:vAlign w:val="center"/>
          </w:tcPr>
          <w:p w14:paraId="4C4BC95C" w14:textId="77777777" w:rsidR="00AD5317" w:rsidRPr="00AD5317" w:rsidRDefault="00AD5317" w:rsidP="00AD5317">
            <w:pPr>
              <w:ind w:left="0" w:right="0" w:firstLine="0"/>
              <w:jc w:val="center"/>
              <w:rPr>
                <w:rFonts w:asciiTheme="majorHAnsi" w:hAnsiTheme="majorHAnsi" w:cstheme="majorHAnsi"/>
                <w:b/>
                <w:sz w:val="22"/>
                <w:szCs w:val="22"/>
              </w:rPr>
            </w:pPr>
            <w:r w:rsidRPr="00AD5317">
              <w:rPr>
                <w:rFonts w:asciiTheme="majorHAnsi" w:hAnsiTheme="majorHAnsi" w:cstheme="majorHAnsi"/>
                <w:b/>
                <w:sz w:val="22"/>
                <w:szCs w:val="22"/>
              </w:rPr>
              <w:t>Période de Janvier à décembre 2020</w:t>
            </w:r>
          </w:p>
        </w:tc>
      </w:tr>
      <w:tr w:rsidR="00AD5317" w:rsidRPr="00AD5317" w14:paraId="7C775E0F" w14:textId="77777777" w:rsidTr="00AD5317">
        <w:trPr>
          <w:trHeight w:val="24"/>
        </w:trPr>
        <w:tc>
          <w:tcPr>
            <w:tcW w:w="360" w:type="dxa"/>
            <w:tcBorders>
              <w:top w:val="nil"/>
              <w:left w:val="single" w:sz="8" w:space="0" w:color="000000"/>
              <w:bottom w:val="nil"/>
              <w:right w:val="single" w:sz="8" w:space="0" w:color="000000"/>
            </w:tcBorders>
            <w:shd w:val="clear" w:color="auto" w:fill="8EAADB"/>
            <w:vAlign w:val="center"/>
          </w:tcPr>
          <w:p w14:paraId="3C76C602" w14:textId="77777777" w:rsidR="00AD5317" w:rsidRPr="00AD5317" w:rsidRDefault="00AD5317" w:rsidP="00AD5317">
            <w:pPr>
              <w:ind w:left="0" w:right="0" w:firstLine="0"/>
              <w:jc w:val="left"/>
              <w:rPr>
                <w:rFonts w:asciiTheme="majorHAnsi" w:hAnsiTheme="majorHAnsi" w:cstheme="majorHAnsi"/>
                <w:b/>
                <w:sz w:val="22"/>
                <w:szCs w:val="22"/>
              </w:rPr>
            </w:pPr>
            <w:r w:rsidRPr="00AD5317">
              <w:rPr>
                <w:rFonts w:asciiTheme="majorHAnsi" w:hAnsiTheme="majorHAnsi" w:cstheme="majorHAnsi"/>
                <w:b/>
                <w:sz w:val="22"/>
                <w:szCs w:val="22"/>
              </w:rPr>
              <w:t>N°</w:t>
            </w:r>
          </w:p>
        </w:tc>
        <w:tc>
          <w:tcPr>
            <w:tcW w:w="780" w:type="dxa"/>
            <w:tcBorders>
              <w:top w:val="nil"/>
              <w:left w:val="nil"/>
              <w:bottom w:val="nil"/>
              <w:right w:val="single" w:sz="8" w:space="0" w:color="000000"/>
            </w:tcBorders>
            <w:shd w:val="clear" w:color="auto" w:fill="8EAADB"/>
            <w:vAlign w:val="center"/>
          </w:tcPr>
          <w:p w14:paraId="3397171D" w14:textId="77777777" w:rsidR="00AD5317" w:rsidRPr="00AD5317" w:rsidRDefault="00AD5317" w:rsidP="00AD5317">
            <w:pPr>
              <w:ind w:left="0" w:right="0" w:firstLine="0"/>
              <w:jc w:val="left"/>
              <w:rPr>
                <w:rFonts w:asciiTheme="majorHAnsi" w:hAnsiTheme="majorHAnsi" w:cstheme="majorHAnsi"/>
                <w:b/>
                <w:sz w:val="22"/>
                <w:szCs w:val="22"/>
              </w:rPr>
            </w:pPr>
            <w:r w:rsidRPr="00AD5317">
              <w:rPr>
                <w:rFonts w:asciiTheme="majorHAnsi" w:hAnsiTheme="majorHAnsi" w:cstheme="majorHAnsi"/>
                <w:b/>
                <w:sz w:val="22"/>
                <w:szCs w:val="22"/>
              </w:rPr>
              <w:t>Descriptif du Jalon</w:t>
            </w:r>
          </w:p>
        </w:tc>
        <w:tc>
          <w:tcPr>
            <w:tcW w:w="2111" w:type="dxa"/>
            <w:tcBorders>
              <w:top w:val="nil"/>
              <w:left w:val="nil"/>
              <w:bottom w:val="nil"/>
              <w:right w:val="single" w:sz="8" w:space="0" w:color="000000"/>
            </w:tcBorders>
            <w:shd w:val="clear" w:color="auto" w:fill="8EAADB"/>
            <w:vAlign w:val="center"/>
          </w:tcPr>
          <w:p w14:paraId="465E8BF3" w14:textId="77777777" w:rsidR="00AD5317" w:rsidRPr="00AD5317" w:rsidRDefault="00AD5317" w:rsidP="00AD5317">
            <w:pPr>
              <w:ind w:left="0" w:right="0" w:firstLine="0"/>
              <w:jc w:val="left"/>
              <w:rPr>
                <w:rFonts w:asciiTheme="majorHAnsi" w:hAnsiTheme="majorHAnsi" w:cstheme="majorHAnsi"/>
                <w:b/>
                <w:sz w:val="22"/>
                <w:szCs w:val="22"/>
              </w:rPr>
            </w:pPr>
            <w:r w:rsidRPr="00AD5317">
              <w:rPr>
                <w:rFonts w:asciiTheme="majorHAnsi" w:hAnsiTheme="majorHAnsi" w:cstheme="majorHAnsi"/>
                <w:b/>
                <w:sz w:val="22"/>
                <w:szCs w:val="22"/>
              </w:rPr>
              <w:t>Objectifs</w:t>
            </w:r>
          </w:p>
        </w:tc>
        <w:tc>
          <w:tcPr>
            <w:tcW w:w="2551" w:type="dxa"/>
            <w:tcBorders>
              <w:top w:val="nil"/>
              <w:left w:val="nil"/>
              <w:bottom w:val="nil"/>
              <w:right w:val="single" w:sz="8" w:space="0" w:color="000000"/>
            </w:tcBorders>
            <w:shd w:val="clear" w:color="auto" w:fill="8EAADB"/>
            <w:vAlign w:val="center"/>
          </w:tcPr>
          <w:p w14:paraId="342BD001" w14:textId="77777777" w:rsidR="00AD5317" w:rsidRPr="00AD5317" w:rsidRDefault="00AD5317" w:rsidP="00AD5317">
            <w:pPr>
              <w:ind w:left="0" w:right="0" w:firstLine="0"/>
              <w:jc w:val="left"/>
              <w:rPr>
                <w:rFonts w:asciiTheme="majorHAnsi" w:hAnsiTheme="majorHAnsi" w:cstheme="majorHAnsi"/>
                <w:b/>
                <w:sz w:val="22"/>
                <w:szCs w:val="22"/>
              </w:rPr>
            </w:pPr>
            <w:r w:rsidRPr="00AD5317">
              <w:rPr>
                <w:rFonts w:asciiTheme="majorHAnsi" w:hAnsiTheme="majorHAnsi" w:cstheme="majorHAnsi"/>
                <w:b/>
                <w:sz w:val="22"/>
                <w:szCs w:val="22"/>
              </w:rPr>
              <w:t xml:space="preserve">Progrès accomplis </w:t>
            </w:r>
          </w:p>
        </w:tc>
        <w:tc>
          <w:tcPr>
            <w:tcW w:w="1843" w:type="dxa"/>
            <w:tcBorders>
              <w:top w:val="nil"/>
              <w:left w:val="nil"/>
              <w:bottom w:val="nil"/>
              <w:right w:val="single" w:sz="8" w:space="0" w:color="000000"/>
            </w:tcBorders>
            <w:shd w:val="clear" w:color="auto" w:fill="8EAADB"/>
            <w:vAlign w:val="center"/>
          </w:tcPr>
          <w:p w14:paraId="0FD79154" w14:textId="77777777" w:rsidR="00AD5317" w:rsidRPr="00AD5317" w:rsidRDefault="00AD5317" w:rsidP="00AD5317">
            <w:pPr>
              <w:ind w:left="0" w:right="0" w:firstLine="0"/>
              <w:jc w:val="left"/>
              <w:rPr>
                <w:rFonts w:asciiTheme="majorHAnsi" w:hAnsiTheme="majorHAnsi" w:cstheme="majorHAnsi"/>
                <w:b/>
                <w:sz w:val="22"/>
                <w:szCs w:val="22"/>
              </w:rPr>
            </w:pPr>
            <w:r w:rsidRPr="00AD5317">
              <w:rPr>
                <w:rFonts w:asciiTheme="majorHAnsi" w:hAnsiTheme="majorHAnsi" w:cstheme="majorHAnsi"/>
                <w:b/>
                <w:sz w:val="22"/>
                <w:szCs w:val="22"/>
              </w:rPr>
              <w:t>Points d’attention particulière</w:t>
            </w:r>
          </w:p>
        </w:tc>
        <w:tc>
          <w:tcPr>
            <w:tcW w:w="1984" w:type="dxa"/>
            <w:tcBorders>
              <w:top w:val="nil"/>
              <w:left w:val="nil"/>
              <w:bottom w:val="nil"/>
              <w:right w:val="single" w:sz="8" w:space="0" w:color="000000"/>
            </w:tcBorders>
            <w:shd w:val="clear" w:color="auto" w:fill="8EAADB"/>
            <w:vAlign w:val="center"/>
          </w:tcPr>
          <w:p w14:paraId="5BEF0A9F" w14:textId="77777777" w:rsidR="00AD5317" w:rsidRPr="00AD5317" w:rsidRDefault="00AD5317" w:rsidP="00AD5317">
            <w:pPr>
              <w:ind w:left="0" w:right="0" w:firstLine="0"/>
              <w:jc w:val="left"/>
              <w:rPr>
                <w:rFonts w:asciiTheme="majorHAnsi" w:hAnsiTheme="majorHAnsi" w:cstheme="majorHAnsi"/>
                <w:b/>
                <w:sz w:val="22"/>
                <w:szCs w:val="22"/>
              </w:rPr>
            </w:pPr>
            <w:r w:rsidRPr="00AD5317">
              <w:rPr>
                <w:rFonts w:asciiTheme="majorHAnsi" w:hAnsiTheme="majorHAnsi" w:cstheme="majorHAnsi"/>
                <w:b/>
                <w:sz w:val="22"/>
                <w:szCs w:val="22"/>
              </w:rPr>
              <w:t>Solutions proposées</w:t>
            </w:r>
          </w:p>
        </w:tc>
      </w:tr>
      <w:tr w:rsidR="00AD5317" w:rsidRPr="00AD5317" w14:paraId="3781DC1B" w14:textId="77777777" w:rsidTr="008F0DC8">
        <w:trPr>
          <w:trHeight w:val="2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05FA9" w14:textId="77777777" w:rsidR="00AD5317" w:rsidRPr="00AD5317" w:rsidRDefault="00AD5317" w:rsidP="00AD5317">
            <w:pPr>
              <w:ind w:left="0" w:right="0" w:firstLine="0"/>
              <w:jc w:val="left"/>
              <w:rPr>
                <w:rFonts w:asciiTheme="majorHAnsi" w:hAnsiTheme="majorHAnsi" w:cstheme="majorHAnsi"/>
                <w:b/>
                <w:sz w:val="22"/>
                <w:szCs w:val="22"/>
              </w:rPr>
            </w:pPr>
            <w:r w:rsidRPr="00AD5317">
              <w:rPr>
                <w:rFonts w:asciiTheme="majorHAnsi" w:hAnsiTheme="majorHAnsi" w:cstheme="majorHAnsi"/>
                <w:b/>
                <w:sz w:val="22"/>
                <w:szCs w:val="22"/>
              </w:rPr>
              <w:t>1</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2E4293C3"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jalon 2018 (1)</w:t>
            </w:r>
          </w:p>
        </w:tc>
        <w:tc>
          <w:tcPr>
            <w:tcW w:w="2111" w:type="dxa"/>
            <w:tcBorders>
              <w:top w:val="single" w:sz="4" w:space="0" w:color="000000"/>
              <w:left w:val="nil"/>
              <w:bottom w:val="single" w:sz="4" w:space="0" w:color="000000"/>
              <w:right w:val="single" w:sz="4" w:space="0" w:color="000000"/>
            </w:tcBorders>
            <w:shd w:val="clear" w:color="auto" w:fill="auto"/>
            <w:vAlign w:val="center"/>
          </w:tcPr>
          <w:p w14:paraId="4B2B709D"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Réaliser les études de faisabilité sur les énergies de substitution au bois-énergie</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5C8C0988" w14:textId="77777777" w:rsidR="00AD5317" w:rsidRPr="00AD5317" w:rsidRDefault="00AD5317" w:rsidP="00AD5317">
            <w:pPr>
              <w:ind w:right="0"/>
              <w:jc w:val="left"/>
              <w:rPr>
                <w:rFonts w:asciiTheme="majorHAnsi" w:hAnsiTheme="majorHAnsi" w:cstheme="majorHAnsi"/>
                <w:sz w:val="22"/>
                <w:szCs w:val="22"/>
              </w:rPr>
            </w:pPr>
            <w:r w:rsidRPr="00AD5317">
              <w:rPr>
                <w:rFonts w:asciiTheme="majorHAnsi" w:hAnsiTheme="majorHAnsi" w:cstheme="majorHAnsi"/>
                <w:sz w:val="22"/>
                <w:szCs w:val="22"/>
              </w:rPr>
              <w:t>Réalisé à travers les analyses abondantes fournies dans le document du programme, en plus de l’atlas des énergies renouvelables déjà produit par la RDC avec l’appui du PNUD</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03567FBA"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A377"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N/A</w:t>
            </w:r>
          </w:p>
        </w:tc>
      </w:tr>
      <w:tr w:rsidR="00AD5317" w:rsidRPr="00AD5317" w14:paraId="6972C41C" w14:textId="77777777" w:rsidTr="008F0DC8">
        <w:trPr>
          <w:trHeight w:val="2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5C36A" w14:textId="77777777" w:rsidR="00AD5317" w:rsidRPr="00AD5317" w:rsidRDefault="00AD5317" w:rsidP="00AD5317">
            <w:pPr>
              <w:ind w:left="0" w:right="0" w:firstLine="0"/>
              <w:jc w:val="left"/>
              <w:rPr>
                <w:rFonts w:asciiTheme="majorHAnsi" w:hAnsiTheme="majorHAnsi" w:cstheme="majorHAnsi"/>
                <w:b/>
                <w:sz w:val="22"/>
                <w:szCs w:val="22"/>
              </w:rPr>
            </w:pPr>
            <w:r w:rsidRPr="00AD5317">
              <w:rPr>
                <w:rFonts w:asciiTheme="majorHAnsi" w:hAnsiTheme="majorHAnsi" w:cstheme="majorHAnsi"/>
                <w:b/>
                <w:sz w:val="22"/>
                <w:szCs w:val="22"/>
              </w:rPr>
              <w:t>2</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0886778D"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jalon 2018 (2)</w:t>
            </w:r>
          </w:p>
        </w:tc>
        <w:tc>
          <w:tcPr>
            <w:tcW w:w="2111" w:type="dxa"/>
            <w:tcBorders>
              <w:top w:val="single" w:sz="4" w:space="0" w:color="000000"/>
              <w:left w:val="nil"/>
              <w:bottom w:val="single" w:sz="4" w:space="0" w:color="000000"/>
              <w:right w:val="single" w:sz="4" w:space="0" w:color="000000"/>
            </w:tcBorders>
            <w:shd w:val="clear" w:color="auto" w:fill="auto"/>
            <w:vAlign w:val="center"/>
          </w:tcPr>
          <w:p w14:paraId="29A51EFC"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Réalisation des études de référence dans les zones cibles par les programmes intégrés sur la production, la consommation et l’efficacité énergétique dans l’utilisation de la ressource «bois-énergie»</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3EA27D51" w14:textId="77777777" w:rsidR="00AD5317" w:rsidRPr="00AD5317" w:rsidRDefault="00AD5317" w:rsidP="00AD5317">
            <w:pPr>
              <w:ind w:right="0"/>
              <w:jc w:val="left"/>
              <w:rPr>
                <w:rFonts w:asciiTheme="majorHAnsi" w:hAnsiTheme="majorHAnsi" w:cstheme="majorHAnsi"/>
                <w:sz w:val="22"/>
                <w:szCs w:val="22"/>
              </w:rPr>
            </w:pPr>
            <w:r w:rsidRPr="00AD5317">
              <w:rPr>
                <w:rFonts w:asciiTheme="majorHAnsi" w:hAnsiTheme="majorHAnsi" w:cstheme="majorHAnsi"/>
                <w:sz w:val="22"/>
                <w:szCs w:val="22"/>
              </w:rPr>
              <w:t>Les études de référence ont été entièrement réalisées à Kinshasa, Lubumbashi, Goma et Bukavu.</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AAE691C"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Il reste la présentation des résultats et la formation des animateurs de PIREDD-O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34B77"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les besoins en formations des PIREDD-O ont été sollicités.</w:t>
            </w:r>
          </w:p>
        </w:tc>
      </w:tr>
      <w:tr w:rsidR="00AD5317" w:rsidRPr="00AD5317" w14:paraId="7ECFD712" w14:textId="77777777" w:rsidTr="008F0DC8">
        <w:trPr>
          <w:trHeight w:val="2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42A1"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3</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3A3B203C"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Jalons 2020 (1)</w:t>
            </w:r>
          </w:p>
        </w:tc>
        <w:tc>
          <w:tcPr>
            <w:tcW w:w="2111" w:type="dxa"/>
            <w:tcBorders>
              <w:top w:val="single" w:sz="4" w:space="0" w:color="000000"/>
              <w:left w:val="nil"/>
              <w:bottom w:val="single" w:sz="4" w:space="0" w:color="000000"/>
              <w:right w:val="single" w:sz="4" w:space="0" w:color="000000"/>
            </w:tcBorders>
            <w:shd w:val="clear" w:color="auto" w:fill="auto"/>
            <w:vAlign w:val="center"/>
          </w:tcPr>
          <w:p w14:paraId="0950807B"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Réviser la politique énergétique en y incluant le volet « bois-énergie »</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705DAAA0" w14:textId="77777777" w:rsidR="00AD5317" w:rsidRPr="00AD5317" w:rsidRDefault="00AD5317" w:rsidP="00AD5317">
            <w:pPr>
              <w:ind w:right="0"/>
              <w:jc w:val="left"/>
              <w:rPr>
                <w:rFonts w:asciiTheme="majorHAnsi" w:hAnsiTheme="majorHAnsi" w:cstheme="majorHAnsi"/>
                <w:sz w:val="22"/>
                <w:szCs w:val="22"/>
              </w:rPr>
            </w:pPr>
            <w:r w:rsidRPr="00AD5317">
              <w:rPr>
                <w:rFonts w:asciiTheme="majorHAnsi" w:hAnsiTheme="majorHAnsi" w:cstheme="majorHAnsi"/>
                <w:sz w:val="22"/>
                <w:szCs w:val="22"/>
              </w:rPr>
              <w:t>une feuille de route pour l’élaboration de la politique nationale de l’énergie et la stratégie de cuisson propre élaborée et validée</w:t>
            </w:r>
          </w:p>
          <w:p w14:paraId="5467A1F4" w14:textId="77777777" w:rsidR="00AD5317" w:rsidRPr="00AD5317" w:rsidRDefault="00AD5317" w:rsidP="00AD5317">
            <w:pPr>
              <w:ind w:right="0"/>
              <w:jc w:val="left"/>
              <w:rPr>
                <w:rFonts w:asciiTheme="majorHAnsi" w:hAnsiTheme="majorHAnsi" w:cstheme="majorHAnsi"/>
                <w:sz w:val="22"/>
                <w:szCs w:val="22"/>
              </w:rPr>
            </w:pPr>
            <w:r w:rsidRPr="00AD5317">
              <w:rPr>
                <w:rFonts w:asciiTheme="majorHAnsi" w:hAnsiTheme="majorHAnsi" w:cstheme="majorHAnsi"/>
                <w:sz w:val="22"/>
                <w:szCs w:val="22"/>
              </w:rPr>
              <w:t>Mise en route de l’équipe de consultant avec la production des rapports de démarrage.</w:t>
            </w:r>
          </w:p>
          <w:p w14:paraId="26BCE1C9" w14:textId="77777777" w:rsidR="00AD5317" w:rsidRPr="00AD5317" w:rsidRDefault="00AD5317" w:rsidP="00AD5317">
            <w:pPr>
              <w:ind w:right="0"/>
              <w:jc w:val="left"/>
              <w:rPr>
                <w:rFonts w:asciiTheme="majorHAnsi" w:hAnsiTheme="majorHAnsi" w:cstheme="majorHAnsi"/>
                <w:sz w:val="22"/>
                <w:szCs w:val="22"/>
              </w:rPr>
            </w:pPr>
            <w:r w:rsidRPr="00AD5317">
              <w:rPr>
                <w:rFonts w:asciiTheme="majorHAnsi" w:hAnsiTheme="majorHAnsi" w:cstheme="majorHAnsi"/>
                <w:sz w:val="22"/>
                <w:szCs w:val="22"/>
              </w:rPr>
              <w:t>Démarrage de la collecte de données et d’information pour le diagnostic sectoriel en vue de l’élaboration de ladite politique.</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372EB52F"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 xml:space="preserve">Il n’existe pas de politique nationale d’énergie. En revanche, il existe une politique du sous-secteur de l’électricité seulement. Le délai de ce jalon est passé.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9ABC3"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 xml:space="preserve">Le Ministère a ainsi recommandé qu’une politique nationale soit élaborée avec un volet cuisson propre et une stratégie sur la cuisson propre. </w:t>
            </w:r>
          </w:p>
          <w:p w14:paraId="406F0998"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Le COPIL a recommandé le report de ce jalon à fin 2021. Une demande officielle a été adressée au SE FONAREDD à cet effet.</w:t>
            </w:r>
          </w:p>
        </w:tc>
      </w:tr>
      <w:tr w:rsidR="00AD5317" w:rsidRPr="00AD5317" w14:paraId="325084B8" w14:textId="77777777" w:rsidTr="008F0DC8">
        <w:trPr>
          <w:trHeight w:val="2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B8FD"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4</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2D1787AB"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jalon 2020 (2)</w:t>
            </w:r>
          </w:p>
        </w:tc>
        <w:tc>
          <w:tcPr>
            <w:tcW w:w="2111" w:type="dxa"/>
            <w:tcBorders>
              <w:top w:val="single" w:sz="4" w:space="0" w:color="000000"/>
              <w:left w:val="nil"/>
              <w:bottom w:val="single" w:sz="4" w:space="0" w:color="000000"/>
              <w:right w:val="single" w:sz="4" w:space="0" w:color="000000"/>
            </w:tcBorders>
            <w:shd w:val="clear" w:color="auto" w:fill="auto"/>
            <w:vAlign w:val="center"/>
          </w:tcPr>
          <w:p w14:paraId="7ABC8914"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diffusion et utilisation par 10% des ménages Kinois des foyers améliorés</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2DE3BBED" w14:textId="77777777" w:rsidR="00AD5317" w:rsidRPr="00AD5317" w:rsidRDefault="00AD5317" w:rsidP="00AD5317">
            <w:pPr>
              <w:ind w:right="0"/>
              <w:jc w:val="left"/>
              <w:rPr>
                <w:rFonts w:asciiTheme="majorHAnsi" w:hAnsiTheme="majorHAnsi" w:cstheme="majorHAnsi"/>
                <w:sz w:val="22"/>
                <w:szCs w:val="22"/>
              </w:rPr>
            </w:pPr>
            <w:r w:rsidRPr="00AD5317">
              <w:rPr>
                <w:rFonts w:asciiTheme="majorHAnsi" w:hAnsiTheme="majorHAnsi" w:cstheme="majorHAnsi"/>
                <w:bCs/>
                <w:color w:val="000000"/>
                <w:sz w:val="22"/>
                <w:szCs w:val="22"/>
              </w:rPr>
              <w:t xml:space="preserve">29 859 </w:t>
            </w:r>
            <w:r w:rsidRPr="00AD5317">
              <w:rPr>
                <w:rFonts w:asciiTheme="majorHAnsi" w:hAnsiTheme="majorHAnsi" w:cstheme="majorHAnsi"/>
                <w:sz w:val="22"/>
                <w:szCs w:val="22"/>
              </w:rPr>
              <w:t>foyers distribués.</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14AD5016"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Le suivi et évaluation des entreprises partenaires sera renforcé pour la comptabilisation des ventes et distributions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1F6D" w14:textId="77777777" w:rsidR="00AD5317" w:rsidRPr="00AD5317" w:rsidRDefault="00AD5317" w:rsidP="00AD5317">
            <w:pPr>
              <w:ind w:left="0" w:right="0" w:firstLine="0"/>
              <w:jc w:val="left"/>
              <w:rPr>
                <w:rFonts w:asciiTheme="majorHAnsi" w:hAnsiTheme="majorHAnsi" w:cstheme="majorHAnsi"/>
                <w:sz w:val="22"/>
                <w:szCs w:val="22"/>
              </w:rPr>
            </w:pPr>
            <w:r w:rsidRPr="00AD5317">
              <w:rPr>
                <w:rFonts w:asciiTheme="majorHAnsi" w:hAnsiTheme="majorHAnsi" w:cstheme="majorHAnsi"/>
                <w:sz w:val="22"/>
                <w:szCs w:val="22"/>
              </w:rPr>
              <w:t>L’opérationnalisation du fonds de défi et des campagnes de communications boosteront la diffusion et l’adoption des foyers améliorés et de kits GPL soit  64 200 (FA) et 1425 (GPL)</w:t>
            </w:r>
          </w:p>
        </w:tc>
      </w:tr>
    </w:tbl>
    <w:p w14:paraId="760B3A97" w14:textId="77777777" w:rsidR="00C71504" w:rsidRPr="0090014B" w:rsidRDefault="00C71504" w:rsidP="00AD5317">
      <w:pPr>
        <w:ind w:left="0" w:firstLine="0"/>
        <w:rPr>
          <w:rFonts w:asciiTheme="majorHAnsi" w:hAnsiTheme="majorHAnsi" w:cstheme="majorHAnsi"/>
          <w:sz w:val="22"/>
          <w:szCs w:val="22"/>
        </w:rPr>
      </w:pPr>
    </w:p>
    <w:p w14:paraId="27D3A1FA" w14:textId="77777777" w:rsidR="00C71504" w:rsidRPr="0090014B" w:rsidRDefault="00353AB7">
      <w:pPr>
        <w:pStyle w:val="Titre1"/>
        <w:numPr>
          <w:ilvl w:val="0"/>
          <w:numId w:val="11"/>
        </w:numPr>
        <w:rPr>
          <w:rFonts w:asciiTheme="majorHAnsi" w:hAnsiTheme="majorHAnsi" w:cstheme="majorHAnsi"/>
          <w:sz w:val="22"/>
          <w:szCs w:val="22"/>
        </w:rPr>
      </w:pPr>
      <w:bookmarkStart w:id="16" w:name="_heading=h.35nkun2" w:colFirst="0" w:colLast="0"/>
      <w:bookmarkEnd w:id="16"/>
      <w:r w:rsidRPr="0090014B">
        <w:rPr>
          <w:rFonts w:asciiTheme="majorHAnsi" w:hAnsiTheme="majorHAnsi" w:cstheme="majorHAnsi"/>
          <w:sz w:val="22"/>
          <w:szCs w:val="22"/>
        </w:rPr>
        <w:t>Exécution financière</w:t>
      </w:r>
    </w:p>
    <w:p w14:paraId="7CF9B5AE" w14:textId="77777777" w:rsidR="00C71504" w:rsidRPr="0090014B" w:rsidRDefault="00353AB7">
      <w:pPr>
        <w:numPr>
          <w:ilvl w:val="0"/>
          <w:numId w:val="2"/>
        </w:numPr>
        <w:pBdr>
          <w:top w:val="nil"/>
          <w:left w:val="nil"/>
          <w:bottom w:val="nil"/>
          <w:right w:val="nil"/>
          <w:between w:val="nil"/>
        </w:pBdr>
        <w:spacing w:after="8" w:line="259" w:lineRule="auto"/>
        <w:ind w:right="0"/>
        <w:jc w:val="left"/>
        <w:rPr>
          <w:rFonts w:asciiTheme="majorHAnsi" w:hAnsiTheme="majorHAnsi" w:cstheme="majorHAnsi"/>
          <w:i/>
          <w:sz w:val="22"/>
          <w:szCs w:val="22"/>
        </w:rPr>
      </w:pPr>
      <w:r w:rsidRPr="0090014B">
        <w:rPr>
          <w:rFonts w:asciiTheme="majorHAnsi" w:hAnsiTheme="majorHAnsi" w:cstheme="majorHAnsi"/>
          <w:i/>
          <w:color w:val="000000"/>
          <w:sz w:val="22"/>
          <w:szCs w:val="22"/>
        </w:rPr>
        <w:t xml:space="preserve">Sur les transferts reçus, indiquer le niveau de décaissement global ainsi que le niveau de décaissement annuel en incluant le budget prévisionnel pour l’année et le décaissement effectif. </w:t>
      </w:r>
    </w:p>
    <w:p w14:paraId="12BBC774" w14:textId="4A2C1D85" w:rsidR="00C71504" w:rsidRDefault="00353AB7">
      <w:pPr>
        <w:spacing w:after="8" w:line="259" w:lineRule="auto"/>
        <w:ind w:left="10" w:right="0" w:firstLine="0"/>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Tableau 5 - Taux de </w:t>
      </w:r>
      <w:proofErr w:type="spellStart"/>
      <w:r w:rsidRPr="0090014B">
        <w:rPr>
          <w:rFonts w:asciiTheme="majorHAnsi" w:hAnsiTheme="majorHAnsi" w:cstheme="majorHAnsi"/>
          <w:color w:val="000000"/>
          <w:sz w:val="22"/>
          <w:szCs w:val="22"/>
        </w:rPr>
        <w:t>delivery</w:t>
      </w:r>
      <w:proofErr w:type="spellEnd"/>
      <w:r w:rsidRPr="0090014B">
        <w:rPr>
          <w:rFonts w:asciiTheme="majorHAnsi" w:hAnsiTheme="majorHAnsi" w:cstheme="majorHAnsi"/>
          <w:color w:val="000000"/>
          <w:sz w:val="22"/>
          <w:szCs w:val="22"/>
        </w:rPr>
        <w:t xml:space="preserve"> du Programme.</w:t>
      </w:r>
    </w:p>
    <w:p w14:paraId="19755B59" w14:textId="463E2B9D" w:rsidR="00BE5538" w:rsidRDefault="00BE5538">
      <w:pPr>
        <w:spacing w:after="8" w:line="259" w:lineRule="auto"/>
        <w:ind w:left="10" w:right="0" w:firstLine="0"/>
        <w:jc w:val="left"/>
        <w:rPr>
          <w:rFonts w:asciiTheme="majorHAnsi" w:hAnsiTheme="majorHAnsi" w:cstheme="majorHAnsi"/>
          <w:color w:val="000000"/>
          <w:sz w:val="22"/>
          <w:szCs w:val="22"/>
        </w:rPr>
      </w:pPr>
    </w:p>
    <w:p w14:paraId="5A1C0E69" w14:textId="77777777" w:rsidR="00BE5538" w:rsidRDefault="00BE5538">
      <w:pPr>
        <w:spacing w:after="8" w:line="259" w:lineRule="auto"/>
        <w:ind w:left="10" w:right="0" w:firstLine="0"/>
        <w:jc w:val="left"/>
        <w:rPr>
          <w:rFonts w:asciiTheme="majorHAnsi" w:hAnsiTheme="majorHAnsi" w:cstheme="majorHAnsi"/>
          <w:color w:val="000000"/>
          <w:sz w:val="22"/>
          <w:szCs w:val="22"/>
        </w:rPr>
      </w:pPr>
    </w:p>
    <w:p w14:paraId="17E939C5" w14:textId="29A7A623" w:rsidR="00AD5317" w:rsidRDefault="00051A29">
      <w:pPr>
        <w:spacing w:after="8" w:line="259" w:lineRule="auto"/>
        <w:ind w:left="10" w:right="0" w:firstLine="0"/>
        <w:jc w:val="left"/>
        <w:rPr>
          <w:rFonts w:asciiTheme="majorHAnsi" w:hAnsiTheme="majorHAnsi" w:cstheme="majorHAnsi"/>
          <w:color w:val="000000"/>
          <w:sz w:val="22"/>
          <w:szCs w:val="22"/>
        </w:rPr>
      </w:pPr>
      <w:r w:rsidRPr="00E51DBC">
        <w:rPr>
          <w:noProof/>
        </w:rPr>
        <w:drawing>
          <wp:inline distT="0" distB="0" distL="0" distR="0" wp14:anchorId="1F9D6655" wp14:editId="4E46FB98">
            <wp:extent cx="5565140" cy="7107555"/>
            <wp:effectExtent l="57150" t="57150" r="111760" b="11239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5140" cy="7107555"/>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396CF4E9" w14:textId="77777777" w:rsidR="00AD5317" w:rsidRPr="0090014B" w:rsidRDefault="00AD5317">
      <w:pPr>
        <w:spacing w:after="8" w:line="259" w:lineRule="auto"/>
        <w:ind w:left="10" w:right="0" w:firstLine="0"/>
        <w:jc w:val="left"/>
        <w:rPr>
          <w:rFonts w:asciiTheme="majorHAnsi" w:hAnsiTheme="majorHAnsi" w:cstheme="majorHAnsi"/>
          <w:color w:val="000000"/>
          <w:sz w:val="22"/>
          <w:szCs w:val="22"/>
        </w:rPr>
      </w:pPr>
    </w:p>
    <w:p w14:paraId="49965B69" w14:textId="77777777" w:rsidR="00C71504" w:rsidRPr="0090014B" w:rsidRDefault="00C71504">
      <w:pPr>
        <w:spacing w:after="0" w:line="256" w:lineRule="auto"/>
        <w:ind w:left="180" w:right="0" w:hanging="180"/>
        <w:jc w:val="left"/>
        <w:rPr>
          <w:rFonts w:asciiTheme="majorHAnsi" w:hAnsiTheme="majorHAnsi" w:cstheme="majorHAnsi"/>
          <w:i/>
          <w:sz w:val="22"/>
          <w:szCs w:val="22"/>
        </w:rPr>
      </w:pPr>
    </w:p>
    <w:p w14:paraId="283DB0D3" w14:textId="77777777" w:rsidR="00C71504" w:rsidRPr="0090014B" w:rsidRDefault="00C71504">
      <w:pPr>
        <w:spacing w:after="0" w:line="256" w:lineRule="auto"/>
        <w:ind w:left="180" w:right="0" w:hanging="180"/>
        <w:jc w:val="left"/>
        <w:rPr>
          <w:rFonts w:asciiTheme="majorHAnsi" w:hAnsiTheme="majorHAnsi" w:cstheme="majorHAnsi"/>
          <w:i/>
          <w:sz w:val="22"/>
          <w:szCs w:val="22"/>
        </w:rPr>
      </w:pPr>
    </w:p>
    <w:p w14:paraId="61B554C9" w14:textId="77777777" w:rsidR="00C71504" w:rsidRPr="0090014B" w:rsidRDefault="00353AB7">
      <w:pPr>
        <w:spacing w:before="120" w:after="0" w:line="259" w:lineRule="auto"/>
        <w:ind w:right="0"/>
        <w:rPr>
          <w:rFonts w:asciiTheme="majorHAnsi" w:hAnsiTheme="majorHAnsi" w:cstheme="majorHAnsi"/>
          <w:sz w:val="22"/>
          <w:szCs w:val="22"/>
        </w:rPr>
      </w:pPr>
      <w:r w:rsidRPr="0090014B">
        <w:rPr>
          <w:rFonts w:asciiTheme="majorHAnsi" w:hAnsiTheme="majorHAnsi" w:cstheme="majorHAnsi"/>
          <w:sz w:val="22"/>
          <w:szCs w:val="22"/>
        </w:rPr>
        <w:t>*La colonne (c ) relève l'utilisation des ressources au 31 décembre 2020.</w:t>
      </w:r>
      <w:r w:rsidRPr="0090014B">
        <w:rPr>
          <w:rFonts w:asciiTheme="majorHAnsi" w:hAnsiTheme="majorHAnsi" w:cstheme="majorHAnsi"/>
          <w:sz w:val="22"/>
          <w:szCs w:val="22"/>
        </w:rPr>
        <w:tab/>
      </w:r>
      <w:r w:rsidRPr="0090014B">
        <w:rPr>
          <w:rFonts w:asciiTheme="majorHAnsi" w:hAnsiTheme="majorHAnsi" w:cstheme="majorHAnsi"/>
          <w:sz w:val="22"/>
          <w:szCs w:val="22"/>
        </w:rPr>
        <w:tab/>
      </w:r>
      <w:r w:rsidRPr="0090014B">
        <w:rPr>
          <w:rFonts w:asciiTheme="majorHAnsi" w:hAnsiTheme="majorHAnsi" w:cstheme="majorHAnsi"/>
          <w:sz w:val="22"/>
          <w:szCs w:val="22"/>
        </w:rPr>
        <w:tab/>
      </w:r>
    </w:p>
    <w:p w14:paraId="04827D76" w14:textId="77777777" w:rsidR="00C71504" w:rsidRPr="0090014B" w:rsidRDefault="00353AB7">
      <w:pPr>
        <w:spacing w:before="120" w:after="0" w:line="259" w:lineRule="auto"/>
        <w:ind w:right="0"/>
        <w:rPr>
          <w:rFonts w:asciiTheme="majorHAnsi" w:hAnsiTheme="majorHAnsi" w:cstheme="majorHAnsi"/>
          <w:sz w:val="22"/>
          <w:szCs w:val="22"/>
        </w:rPr>
      </w:pPr>
      <w:r w:rsidRPr="0090014B">
        <w:rPr>
          <w:rFonts w:asciiTheme="majorHAnsi" w:hAnsiTheme="majorHAnsi" w:cstheme="majorHAnsi"/>
          <w:sz w:val="22"/>
          <w:szCs w:val="22"/>
        </w:rPr>
        <w:t>Activité 1.1. Dépassement de 2%. Du fait de l'évolution des activités des partenaires, un réaménagement du budget a dû être fait afin de combiner certaines activités de collecte de données. Cela n'a pas d'impact sur l'enveloppe globale des contrats signés avec ces partenaires.</w:t>
      </w:r>
    </w:p>
    <w:p w14:paraId="1D13D490" w14:textId="3679A7FE" w:rsidR="00C71504" w:rsidRPr="0090014B" w:rsidRDefault="00353AB7">
      <w:pPr>
        <w:spacing w:before="120" w:after="0" w:line="259" w:lineRule="auto"/>
        <w:ind w:right="0"/>
        <w:rPr>
          <w:rFonts w:asciiTheme="majorHAnsi" w:hAnsiTheme="majorHAnsi" w:cstheme="majorHAnsi"/>
          <w:sz w:val="22"/>
          <w:szCs w:val="22"/>
        </w:rPr>
      </w:pPr>
      <w:r w:rsidRPr="00086DDD">
        <w:rPr>
          <w:rFonts w:asciiTheme="majorHAnsi" w:hAnsiTheme="majorHAnsi" w:cstheme="majorHAnsi"/>
          <w:sz w:val="22"/>
          <w:szCs w:val="22"/>
        </w:rPr>
        <w:t xml:space="preserve">Activité 1.2. Volet MCH. Il s'agit de la signature des 2 contrats de réalisation d'études de faisabilité </w:t>
      </w:r>
      <w:r w:rsidR="00877902" w:rsidRPr="00086DDD">
        <w:rPr>
          <w:rFonts w:asciiTheme="majorHAnsi" w:hAnsiTheme="majorHAnsi" w:cstheme="majorHAnsi"/>
          <w:sz w:val="22"/>
          <w:szCs w:val="22"/>
        </w:rPr>
        <w:t xml:space="preserve">dont le budget estimé </w:t>
      </w:r>
      <w:r w:rsidR="006776DC">
        <w:rPr>
          <w:rFonts w:asciiTheme="majorHAnsi" w:hAnsiTheme="majorHAnsi" w:cstheme="majorHAnsi"/>
          <w:sz w:val="22"/>
          <w:szCs w:val="22"/>
        </w:rPr>
        <w:t xml:space="preserve">dans le PTA </w:t>
      </w:r>
      <w:r w:rsidR="00877902" w:rsidRPr="00086DDD">
        <w:rPr>
          <w:rFonts w:asciiTheme="majorHAnsi" w:hAnsiTheme="majorHAnsi" w:cstheme="majorHAnsi"/>
          <w:sz w:val="22"/>
          <w:szCs w:val="22"/>
        </w:rPr>
        <w:t>était en dessous des offres retenues</w:t>
      </w:r>
      <w:r w:rsidRPr="00086DDD">
        <w:rPr>
          <w:rFonts w:asciiTheme="majorHAnsi" w:hAnsiTheme="majorHAnsi" w:cstheme="majorHAnsi"/>
          <w:sz w:val="22"/>
          <w:szCs w:val="22"/>
        </w:rPr>
        <w:t>.</w:t>
      </w:r>
    </w:p>
    <w:p w14:paraId="1CCE50BC" w14:textId="77777777" w:rsidR="00C71504" w:rsidRPr="0090014B" w:rsidRDefault="00C71504">
      <w:pPr>
        <w:spacing w:before="120" w:after="0" w:line="259" w:lineRule="auto"/>
        <w:ind w:right="0"/>
        <w:rPr>
          <w:rFonts w:asciiTheme="majorHAnsi" w:hAnsiTheme="majorHAnsi" w:cstheme="majorHAnsi"/>
          <w:sz w:val="22"/>
          <w:szCs w:val="22"/>
        </w:rPr>
      </w:pPr>
    </w:p>
    <w:p w14:paraId="31FC0D85" w14:textId="77777777" w:rsidR="00C71504" w:rsidRPr="0090014B" w:rsidRDefault="00353AB7">
      <w:pPr>
        <w:numPr>
          <w:ilvl w:val="0"/>
          <w:numId w:val="2"/>
        </w:numPr>
        <w:pBdr>
          <w:top w:val="nil"/>
          <w:left w:val="nil"/>
          <w:bottom w:val="nil"/>
          <w:right w:val="nil"/>
          <w:between w:val="nil"/>
        </w:pBdr>
        <w:spacing w:after="8" w:line="259" w:lineRule="auto"/>
        <w:ind w:right="0"/>
        <w:jc w:val="left"/>
        <w:rPr>
          <w:rFonts w:asciiTheme="majorHAnsi" w:hAnsiTheme="majorHAnsi" w:cstheme="majorHAnsi"/>
          <w:i/>
          <w:color w:val="000000"/>
          <w:sz w:val="22"/>
          <w:szCs w:val="22"/>
        </w:rPr>
      </w:pPr>
      <w:r w:rsidRPr="0090014B">
        <w:rPr>
          <w:rFonts w:asciiTheme="majorHAnsi" w:hAnsiTheme="majorHAnsi" w:cstheme="majorHAnsi"/>
          <w:i/>
          <w:color w:val="000000"/>
          <w:sz w:val="22"/>
          <w:szCs w:val="22"/>
        </w:rPr>
        <w:t>Lister les ALE ou PLE avec lesquelles des contrats ont été signés, indiquer la thématique, la responsabilité et le budget assigné à chacune d’elle. Si les procédures de l’agence le permettent, joindre une copie du contrat.</w:t>
      </w:r>
    </w:p>
    <w:p w14:paraId="2D9F7D43" w14:textId="77777777" w:rsidR="00C71504" w:rsidRPr="0090014B" w:rsidRDefault="00353AB7">
      <w:pPr>
        <w:spacing w:before="240" w:after="240" w:line="259" w:lineRule="auto"/>
        <w:ind w:left="380" w:right="0" w:firstLine="0"/>
        <w:jc w:val="left"/>
        <w:rPr>
          <w:rFonts w:asciiTheme="majorHAnsi" w:hAnsiTheme="majorHAnsi" w:cstheme="majorHAnsi"/>
          <w:sz w:val="22"/>
          <w:szCs w:val="22"/>
        </w:rPr>
      </w:pPr>
      <w:r w:rsidRPr="0090014B">
        <w:rPr>
          <w:rFonts w:asciiTheme="majorHAnsi" w:hAnsiTheme="majorHAnsi" w:cstheme="majorHAnsi"/>
          <w:sz w:val="22"/>
          <w:szCs w:val="22"/>
        </w:rPr>
        <w:t xml:space="preserve">Tableau 6 - </w:t>
      </w:r>
      <w:r w:rsidR="005A7959" w:rsidRPr="0090014B">
        <w:rPr>
          <w:rFonts w:asciiTheme="majorHAnsi" w:hAnsiTheme="majorHAnsi" w:cstheme="majorHAnsi"/>
          <w:sz w:val="22"/>
          <w:szCs w:val="22"/>
        </w:rPr>
        <w:t>s</w:t>
      </w:r>
      <w:r w:rsidRPr="0090014B">
        <w:rPr>
          <w:rFonts w:asciiTheme="majorHAnsi" w:hAnsiTheme="majorHAnsi" w:cstheme="majorHAnsi"/>
          <w:sz w:val="22"/>
          <w:szCs w:val="22"/>
        </w:rPr>
        <w:t>uivi des contrats des ALE/PLE.</w:t>
      </w:r>
    </w:p>
    <w:p w14:paraId="5A9533ED" w14:textId="77777777" w:rsidR="00C71504" w:rsidRPr="0090014B" w:rsidRDefault="00353AB7">
      <w:pPr>
        <w:spacing w:before="240" w:after="240" w:line="259" w:lineRule="auto"/>
        <w:ind w:left="380" w:right="0" w:firstLine="0"/>
        <w:jc w:val="left"/>
        <w:rPr>
          <w:rFonts w:asciiTheme="majorHAnsi" w:hAnsiTheme="majorHAnsi" w:cstheme="majorHAnsi"/>
          <w:sz w:val="22"/>
          <w:szCs w:val="22"/>
        </w:rPr>
      </w:pPr>
      <w:r w:rsidRPr="0090014B">
        <w:rPr>
          <w:rFonts w:asciiTheme="majorHAnsi" w:hAnsiTheme="majorHAnsi" w:cstheme="majorHAnsi"/>
          <w:b/>
          <w:sz w:val="22"/>
          <w:szCs w:val="22"/>
        </w:rPr>
        <w:t>Non applicable</w:t>
      </w:r>
    </w:p>
    <w:p w14:paraId="28F5FAF8" w14:textId="77777777" w:rsidR="00C71504" w:rsidRPr="0090014B" w:rsidRDefault="00353AB7">
      <w:pPr>
        <w:spacing w:before="240" w:after="240" w:line="259" w:lineRule="auto"/>
        <w:ind w:left="0" w:right="0" w:firstLine="0"/>
        <w:jc w:val="left"/>
        <w:rPr>
          <w:rFonts w:asciiTheme="majorHAnsi" w:hAnsiTheme="majorHAnsi" w:cstheme="majorHAnsi"/>
          <w:i/>
          <w:color w:val="D9D9D9"/>
          <w:sz w:val="22"/>
          <w:szCs w:val="22"/>
        </w:rPr>
      </w:pPr>
      <w:r w:rsidRPr="0090014B">
        <w:rPr>
          <w:rFonts w:asciiTheme="majorHAnsi" w:hAnsiTheme="majorHAnsi" w:cstheme="majorHAnsi"/>
          <w:i/>
          <w:sz w:val="22"/>
          <w:szCs w:val="22"/>
        </w:rPr>
        <w:t>c) Fournir des informations sur la gestion financière, l’approvisionnement et les ressources humaines (si applicable) :</w:t>
      </w:r>
    </w:p>
    <w:p w14:paraId="7FA9B6D5" w14:textId="77777777" w:rsidR="00C71504" w:rsidRPr="0090014B" w:rsidRDefault="00353AB7">
      <w:pPr>
        <w:spacing w:after="0" w:line="256" w:lineRule="auto"/>
        <w:ind w:left="0" w:right="0" w:firstLine="0"/>
        <w:rPr>
          <w:rFonts w:asciiTheme="majorHAnsi" w:hAnsiTheme="majorHAnsi" w:cstheme="majorHAnsi"/>
          <w:sz w:val="22"/>
          <w:szCs w:val="22"/>
        </w:rPr>
      </w:pPr>
      <w:r w:rsidRPr="0090014B">
        <w:rPr>
          <w:rFonts w:asciiTheme="majorHAnsi" w:hAnsiTheme="majorHAnsi" w:cstheme="majorHAnsi"/>
          <w:sz w:val="22"/>
          <w:szCs w:val="22"/>
        </w:rPr>
        <w:t>En termes d’approvisionnement, les dépenses actuelles sont en lien avec les prévisions. Toutes les acquisitions pour la 1</w:t>
      </w:r>
      <w:r w:rsidRPr="0090014B">
        <w:rPr>
          <w:rFonts w:asciiTheme="majorHAnsi" w:hAnsiTheme="majorHAnsi" w:cstheme="majorHAnsi"/>
          <w:sz w:val="22"/>
          <w:szCs w:val="22"/>
          <w:vertAlign w:val="superscript"/>
        </w:rPr>
        <w:t>ère</w:t>
      </w:r>
      <w:r w:rsidRPr="0090014B">
        <w:rPr>
          <w:rFonts w:asciiTheme="majorHAnsi" w:hAnsiTheme="majorHAnsi" w:cstheme="majorHAnsi"/>
          <w:sz w:val="22"/>
          <w:szCs w:val="22"/>
        </w:rPr>
        <w:t xml:space="preserve"> phase du projet ont été réalisées.</w:t>
      </w:r>
    </w:p>
    <w:p w14:paraId="2CD8192B" w14:textId="77777777" w:rsidR="00C71504" w:rsidRPr="0090014B" w:rsidRDefault="00353AB7">
      <w:pPr>
        <w:spacing w:after="0" w:line="256" w:lineRule="auto"/>
        <w:ind w:left="0" w:right="0" w:firstLine="0"/>
        <w:rPr>
          <w:rFonts w:asciiTheme="majorHAnsi" w:hAnsiTheme="majorHAnsi" w:cstheme="majorHAnsi"/>
          <w:sz w:val="22"/>
          <w:szCs w:val="22"/>
        </w:rPr>
      </w:pPr>
      <w:r w:rsidRPr="0090014B">
        <w:rPr>
          <w:rFonts w:asciiTheme="majorHAnsi" w:hAnsiTheme="majorHAnsi" w:cstheme="majorHAnsi"/>
          <w:sz w:val="22"/>
          <w:szCs w:val="22"/>
        </w:rPr>
        <w:t>En termes de ressources humaines, toute l’équipe de projet est recrutée.</w:t>
      </w:r>
    </w:p>
    <w:p w14:paraId="794A4FF9" w14:textId="77777777" w:rsidR="00C71504" w:rsidRPr="0090014B" w:rsidRDefault="00353AB7">
      <w:pPr>
        <w:spacing w:after="0" w:line="256" w:lineRule="auto"/>
        <w:ind w:left="0" w:right="0" w:firstLine="0"/>
        <w:rPr>
          <w:rFonts w:asciiTheme="majorHAnsi" w:hAnsiTheme="majorHAnsi" w:cstheme="majorHAnsi"/>
          <w:sz w:val="22"/>
          <w:szCs w:val="22"/>
        </w:rPr>
      </w:pPr>
      <w:r w:rsidRPr="0090014B">
        <w:rPr>
          <w:rFonts w:asciiTheme="majorHAnsi" w:hAnsiTheme="majorHAnsi" w:cstheme="majorHAnsi"/>
          <w:sz w:val="22"/>
          <w:szCs w:val="22"/>
        </w:rPr>
        <w:t>Certaines dépenses du projet ont connu du retard du fait du COVID19 (plus de détails sont donnés dans le narratif du présent rapport).</w:t>
      </w:r>
    </w:p>
    <w:p w14:paraId="32EAFCFE" w14:textId="77777777" w:rsidR="00C71504" w:rsidRPr="0090014B" w:rsidRDefault="00353AB7">
      <w:pPr>
        <w:spacing w:before="240" w:after="240" w:line="259" w:lineRule="auto"/>
        <w:ind w:left="0" w:right="0" w:firstLine="0"/>
        <w:rPr>
          <w:rFonts w:asciiTheme="majorHAnsi" w:hAnsiTheme="majorHAnsi" w:cstheme="majorHAnsi"/>
          <w:i/>
          <w:sz w:val="22"/>
          <w:szCs w:val="22"/>
        </w:rPr>
      </w:pPr>
      <w:r w:rsidRPr="0090014B">
        <w:rPr>
          <w:rFonts w:asciiTheme="majorHAnsi" w:hAnsiTheme="majorHAnsi" w:cstheme="majorHAnsi"/>
          <w:i/>
          <w:sz w:val="22"/>
          <w:szCs w:val="22"/>
        </w:rPr>
        <w:t>d) Indiquer si le programme REDD+ a mobilisé des ressources supplémentaires ou des interventions d’autres partenaires</w:t>
      </w:r>
    </w:p>
    <w:p w14:paraId="7BF867B9" w14:textId="77777777" w:rsidR="00C71504" w:rsidRPr="0090014B" w:rsidRDefault="00353AB7">
      <w:pPr>
        <w:spacing w:after="0" w:line="256" w:lineRule="auto"/>
        <w:ind w:left="0" w:right="0" w:firstLine="0"/>
        <w:rPr>
          <w:rFonts w:asciiTheme="majorHAnsi" w:hAnsiTheme="majorHAnsi" w:cstheme="majorHAnsi"/>
          <w:sz w:val="22"/>
          <w:szCs w:val="22"/>
        </w:rPr>
      </w:pPr>
      <w:r w:rsidRPr="0090014B">
        <w:rPr>
          <w:rFonts w:asciiTheme="majorHAnsi" w:hAnsiTheme="majorHAnsi" w:cstheme="majorHAnsi"/>
          <w:sz w:val="22"/>
          <w:szCs w:val="22"/>
        </w:rPr>
        <w:t>Dans le volet développement de la politique énergétique, le programme s’est rapproché du Secrétariat Général à l’Energie qui a mis ensemble tous les partenaires qui travaillent sur la question afin de mutualiser les efforts et les ressources pour l’élaboration de ladite politique.</w:t>
      </w:r>
    </w:p>
    <w:p w14:paraId="03B0210B" w14:textId="77777777" w:rsidR="00C71504" w:rsidRPr="0090014B" w:rsidRDefault="00353AB7">
      <w:pPr>
        <w:spacing w:after="0" w:line="256" w:lineRule="auto"/>
        <w:ind w:right="0"/>
        <w:rPr>
          <w:rFonts w:asciiTheme="majorHAnsi" w:hAnsiTheme="majorHAnsi" w:cstheme="majorHAnsi"/>
          <w:sz w:val="22"/>
          <w:szCs w:val="22"/>
        </w:rPr>
      </w:pPr>
      <w:r w:rsidRPr="0090014B">
        <w:rPr>
          <w:rFonts w:asciiTheme="majorHAnsi" w:hAnsiTheme="majorHAnsi" w:cstheme="majorHAnsi"/>
          <w:sz w:val="22"/>
          <w:szCs w:val="22"/>
        </w:rPr>
        <w:t>En complément de l’appui fourni par le programme, 650.000$ ont été mobilisé</w:t>
      </w:r>
      <w:r w:rsidR="00E23DE1" w:rsidRPr="0090014B">
        <w:rPr>
          <w:rFonts w:asciiTheme="majorHAnsi" w:hAnsiTheme="majorHAnsi" w:cstheme="majorHAnsi"/>
          <w:sz w:val="22"/>
          <w:szCs w:val="22"/>
        </w:rPr>
        <w:t>s</w:t>
      </w:r>
      <w:r w:rsidRPr="0090014B">
        <w:rPr>
          <w:rFonts w:asciiTheme="majorHAnsi" w:hAnsiTheme="majorHAnsi" w:cstheme="majorHAnsi"/>
          <w:sz w:val="22"/>
          <w:szCs w:val="22"/>
        </w:rPr>
        <w:t xml:space="preserve"> sous forme de prêts pour les entreprise</w:t>
      </w:r>
      <w:r w:rsidR="00E23DE1" w:rsidRPr="0090014B">
        <w:rPr>
          <w:rFonts w:asciiTheme="majorHAnsi" w:hAnsiTheme="majorHAnsi" w:cstheme="majorHAnsi"/>
          <w:sz w:val="22"/>
          <w:szCs w:val="22"/>
        </w:rPr>
        <w:t>s</w:t>
      </w:r>
      <w:r w:rsidRPr="0090014B">
        <w:rPr>
          <w:rFonts w:asciiTheme="majorHAnsi" w:hAnsiTheme="majorHAnsi" w:cstheme="majorHAnsi"/>
          <w:sz w:val="22"/>
          <w:szCs w:val="22"/>
        </w:rPr>
        <w:t xml:space="preserve"> ALTECH et BBOXX auprès de SIDA, BOOSTER, FMO, NORAD  et KOICA. Ces prêts sont octroyés par UNCDF à partir du Programme  Cleanstart et du programme LDCIP avec la contribution de l’équipe du programme.</w:t>
      </w:r>
    </w:p>
    <w:p w14:paraId="16F047CA" w14:textId="77777777" w:rsidR="00C71504" w:rsidRPr="0090014B" w:rsidRDefault="00C71504">
      <w:pPr>
        <w:spacing w:after="0" w:line="256" w:lineRule="auto"/>
        <w:ind w:left="0" w:right="0" w:firstLine="0"/>
        <w:rPr>
          <w:rFonts w:asciiTheme="majorHAnsi" w:hAnsiTheme="majorHAnsi" w:cstheme="majorHAnsi"/>
          <w:sz w:val="22"/>
          <w:szCs w:val="22"/>
        </w:rPr>
      </w:pPr>
    </w:p>
    <w:p w14:paraId="1AFECAFB" w14:textId="77777777" w:rsidR="00C71504" w:rsidRPr="0090014B" w:rsidRDefault="00353AB7">
      <w:pPr>
        <w:spacing w:before="240" w:after="240" w:line="259" w:lineRule="auto"/>
        <w:ind w:left="0" w:right="0" w:firstLine="0"/>
        <w:jc w:val="left"/>
        <w:rPr>
          <w:rFonts w:asciiTheme="majorHAnsi" w:hAnsiTheme="majorHAnsi" w:cstheme="majorHAnsi"/>
          <w:i/>
          <w:sz w:val="22"/>
          <w:szCs w:val="22"/>
        </w:rPr>
      </w:pPr>
      <w:r w:rsidRPr="0090014B">
        <w:rPr>
          <w:rFonts w:asciiTheme="majorHAnsi" w:hAnsiTheme="majorHAnsi" w:cstheme="majorHAnsi"/>
          <w:i/>
          <w:sz w:val="22"/>
          <w:szCs w:val="22"/>
        </w:rPr>
        <w:t xml:space="preserve">e) </w:t>
      </w:r>
      <w:r w:rsidRPr="0090014B">
        <w:rPr>
          <w:rFonts w:asciiTheme="majorHAnsi" w:hAnsiTheme="majorHAnsi" w:cstheme="majorHAnsi"/>
          <w:sz w:val="22"/>
          <w:szCs w:val="22"/>
        </w:rPr>
        <w:t xml:space="preserve"> </w:t>
      </w:r>
      <w:r w:rsidRPr="0090014B">
        <w:rPr>
          <w:rFonts w:asciiTheme="majorHAnsi" w:hAnsiTheme="majorHAnsi" w:cstheme="majorHAnsi"/>
          <w:i/>
          <w:sz w:val="22"/>
          <w:szCs w:val="22"/>
        </w:rPr>
        <w:t>Indiquer s’il y a eu des audits et quels sont leurs résultats ; si la politique de l’agence le permet, joindre le rapport d’audit en annexe ;</w:t>
      </w:r>
    </w:p>
    <w:p w14:paraId="3BBDB44F" w14:textId="40D233EC" w:rsidR="00C71504" w:rsidRPr="0090014B" w:rsidRDefault="00353AB7" w:rsidP="0090014B">
      <w:pPr>
        <w:spacing w:after="0" w:line="256" w:lineRule="auto"/>
        <w:ind w:left="0" w:right="0" w:firstLine="0"/>
        <w:rPr>
          <w:rFonts w:asciiTheme="majorHAnsi" w:hAnsiTheme="majorHAnsi" w:cstheme="majorHAnsi"/>
          <w:sz w:val="22"/>
          <w:szCs w:val="22"/>
        </w:rPr>
      </w:pPr>
      <w:r w:rsidRPr="0090014B">
        <w:rPr>
          <w:rFonts w:asciiTheme="majorHAnsi" w:hAnsiTheme="majorHAnsi" w:cstheme="majorHAnsi"/>
          <w:sz w:val="22"/>
          <w:szCs w:val="22"/>
        </w:rPr>
        <w:t>Pas d’audit à ce jour. Cependant, en raison de l’importance du portefeuille, le programme pourrait être sélectionné par</w:t>
      </w:r>
      <w:r w:rsidR="00DF3B06" w:rsidRPr="0090014B">
        <w:rPr>
          <w:rFonts w:asciiTheme="majorHAnsi" w:hAnsiTheme="majorHAnsi" w:cstheme="majorHAnsi"/>
          <w:sz w:val="22"/>
          <w:szCs w:val="22"/>
        </w:rPr>
        <w:t>mi</w:t>
      </w:r>
      <w:r w:rsidRPr="0090014B">
        <w:rPr>
          <w:rFonts w:asciiTheme="majorHAnsi" w:hAnsiTheme="majorHAnsi" w:cstheme="majorHAnsi"/>
          <w:sz w:val="22"/>
          <w:szCs w:val="22"/>
        </w:rPr>
        <w:t xml:space="preserve"> les projets </w:t>
      </w:r>
      <w:r w:rsidR="00DF3B06" w:rsidRPr="0090014B">
        <w:rPr>
          <w:rFonts w:asciiTheme="majorHAnsi" w:hAnsiTheme="majorHAnsi" w:cstheme="majorHAnsi"/>
          <w:sz w:val="22"/>
          <w:szCs w:val="22"/>
        </w:rPr>
        <w:t xml:space="preserve">DIM </w:t>
      </w:r>
      <w:r w:rsidRPr="0090014B">
        <w:rPr>
          <w:rFonts w:asciiTheme="majorHAnsi" w:hAnsiTheme="majorHAnsi" w:cstheme="majorHAnsi"/>
          <w:sz w:val="22"/>
          <w:szCs w:val="22"/>
        </w:rPr>
        <w:t>à auditer en 2021 (audit programme)</w:t>
      </w:r>
      <w:r w:rsidR="00DF3B06" w:rsidRPr="0090014B">
        <w:rPr>
          <w:rFonts w:asciiTheme="majorHAnsi" w:hAnsiTheme="majorHAnsi" w:cstheme="majorHAnsi"/>
          <w:sz w:val="22"/>
          <w:szCs w:val="22"/>
        </w:rPr>
        <w:t>. Cette sélection est faite par le Bureau d’audit et d’investigation (OAI) du PNUD et ne dépend pas du bureau pays.</w:t>
      </w:r>
    </w:p>
    <w:p w14:paraId="77BB0C38" w14:textId="77777777" w:rsidR="00C71504" w:rsidRPr="0090014B" w:rsidRDefault="00353AB7">
      <w:pPr>
        <w:spacing w:before="240" w:after="240" w:line="259" w:lineRule="auto"/>
        <w:ind w:left="0" w:right="0" w:firstLine="0"/>
        <w:jc w:val="left"/>
        <w:rPr>
          <w:rFonts w:asciiTheme="majorHAnsi" w:hAnsiTheme="majorHAnsi" w:cstheme="majorHAnsi"/>
          <w:i/>
          <w:sz w:val="22"/>
          <w:szCs w:val="22"/>
        </w:rPr>
      </w:pPr>
      <w:r w:rsidRPr="0090014B">
        <w:rPr>
          <w:rFonts w:asciiTheme="majorHAnsi" w:hAnsiTheme="majorHAnsi" w:cstheme="majorHAnsi"/>
          <w:i/>
          <w:sz w:val="22"/>
          <w:szCs w:val="22"/>
        </w:rPr>
        <w:t>f) Veuillez indiquer des éventuelles révisions au budget du programme</w:t>
      </w:r>
    </w:p>
    <w:p w14:paraId="5DD0B229" w14:textId="77777777" w:rsidR="00C71504" w:rsidRPr="0090014B" w:rsidRDefault="00353AB7">
      <w:pPr>
        <w:spacing w:after="0" w:line="256" w:lineRule="auto"/>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xml:space="preserve">En raison de la COVID19, le programme a revu ses ambitions de </w:t>
      </w:r>
      <w:proofErr w:type="spellStart"/>
      <w:r w:rsidRPr="0090014B">
        <w:rPr>
          <w:rFonts w:asciiTheme="majorHAnsi" w:hAnsiTheme="majorHAnsi" w:cstheme="majorHAnsi"/>
          <w:sz w:val="22"/>
          <w:szCs w:val="22"/>
        </w:rPr>
        <w:t>delivery</w:t>
      </w:r>
      <w:proofErr w:type="spellEnd"/>
      <w:r w:rsidRPr="0090014B">
        <w:rPr>
          <w:rFonts w:asciiTheme="majorHAnsi" w:hAnsiTheme="majorHAnsi" w:cstheme="majorHAnsi"/>
          <w:sz w:val="22"/>
          <w:szCs w:val="22"/>
        </w:rPr>
        <w:t xml:space="preserve"> 2020 à la baisse (-862 791,08 USD soit - 315 722 par UNCDF et  – 547, 069.08 par PNUD). </w:t>
      </w:r>
    </w:p>
    <w:p w14:paraId="2A4FA570" w14:textId="77777777" w:rsidR="00C71504" w:rsidRPr="0090014B" w:rsidRDefault="00353AB7">
      <w:pPr>
        <w:spacing w:before="240" w:after="240" w:line="259" w:lineRule="auto"/>
        <w:ind w:left="0" w:right="0" w:firstLine="0"/>
        <w:jc w:val="left"/>
        <w:rPr>
          <w:rFonts w:asciiTheme="majorHAnsi" w:hAnsiTheme="majorHAnsi" w:cstheme="majorHAnsi"/>
          <w:i/>
          <w:sz w:val="22"/>
          <w:szCs w:val="22"/>
        </w:rPr>
      </w:pPr>
      <w:r w:rsidRPr="0090014B">
        <w:rPr>
          <w:rFonts w:asciiTheme="majorHAnsi" w:hAnsiTheme="majorHAnsi" w:cstheme="majorHAnsi"/>
          <w:i/>
          <w:sz w:val="22"/>
          <w:szCs w:val="22"/>
        </w:rPr>
        <w:t>g)       Analyse du coût du programme de l’exercice suivant le tableau 7.</w:t>
      </w:r>
    </w:p>
    <w:p w14:paraId="4C8A8BA9" w14:textId="77777777" w:rsidR="00C71504" w:rsidRPr="0090014B" w:rsidRDefault="00353AB7">
      <w:pPr>
        <w:spacing w:before="240" w:after="240" w:line="276" w:lineRule="auto"/>
        <w:ind w:left="0" w:right="0" w:firstLine="0"/>
        <w:jc w:val="left"/>
        <w:rPr>
          <w:rFonts w:asciiTheme="majorHAnsi" w:hAnsiTheme="majorHAnsi" w:cstheme="majorHAnsi"/>
          <w:b/>
          <w:i/>
          <w:sz w:val="22"/>
          <w:szCs w:val="22"/>
        </w:rPr>
      </w:pPr>
      <w:r w:rsidRPr="0090014B">
        <w:rPr>
          <w:rFonts w:asciiTheme="majorHAnsi" w:hAnsiTheme="majorHAnsi" w:cstheme="majorHAnsi"/>
          <w:i/>
          <w:sz w:val="22"/>
          <w:szCs w:val="22"/>
        </w:rPr>
        <w:t>Tableau 7 – Répartition des coûts du programme.</w:t>
      </w:r>
    </w:p>
    <w:tbl>
      <w:tblPr>
        <w:tblStyle w:val="4"/>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85"/>
        <w:gridCol w:w="3135"/>
        <w:gridCol w:w="1620"/>
        <w:gridCol w:w="1020"/>
        <w:gridCol w:w="2655"/>
      </w:tblGrid>
      <w:tr w:rsidR="00C71504" w:rsidRPr="0090014B" w14:paraId="7AD95036" w14:textId="77777777">
        <w:trPr>
          <w:trHeight w:val="680"/>
        </w:trPr>
        <w:tc>
          <w:tcPr>
            <w:tcW w:w="585"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7A1CA14A" w14:textId="77777777" w:rsidR="00C71504" w:rsidRPr="0090014B" w:rsidRDefault="00353AB7">
            <w:pPr>
              <w:spacing w:line="276" w:lineRule="auto"/>
              <w:ind w:left="140" w:right="0" w:firstLine="0"/>
              <w:jc w:val="left"/>
              <w:rPr>
                <w:rFonts w:asciiTheme="majorHAnsi" w:eastAsia="Arial Narrow" w:hAnsiTheme="majorHAnsi" w:cstheme="majorHAnsi"/>
                <w:b/>
                <w:i/>
                <w:sz w:val="22"/>
                <w:szCs w:val="22"/>
              </w:rPr>
            </w:pPr>
            <w:r w:rsidRPr="0090014B">
              <w:rPr>
                <w:rFonts w:asciiTheme="majorHAnsi" w:eastAsia="Arial Narrow" w:hAnsiTheme="majorHAnsi" w:cstheme="majorHAnsi"/>
                <w:b/>
                <w:i/>
                <w:sz w:val="22"/>
                <w:szCs w:val="22"/>
              </w:rPr>
              <w:t>N°</w:t>
            </w:r>
          </w:p>
        </w:tc>
        <w:tc>
          <w:tcPr>
            <w:tcW w:w="3135"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37649E5A" w14:textId="77777777" w:rsidR="00C71504" w:rsidRPr="0090014B" w:rsidRDefault="00353AB7">
            <w:pPr>
              <w:spacing w:line="276" w:lineRule="auto"/>
              <w:ind w:left="140" w:right="0" w:firstLine="0"/>
              <w:jc w:val="left"/>
              <w:rPr>
                <w:rFonts w:asciiTheme="majorHAnsi" w:eastAsia="Arial Narrow" w:hAnsiTheme="majorHAnsi" w:cstheme="majorHAnsi"/>
                <w:b/>
                <w:i/>
                <w:sz w:val="22"/>
                <w:szCs w:val="22"/>
              </w:rPr>
            </w:pPr>
            <w:r w:rsidRPr="0090014B">
              <w:rPr>
                <w:rFonts w:asciiTheme="majorHAnsi" w:eastAsia="Arial Narrow" w:hAnsiTheme="majorHAnsi" w:cstheme="majorHAnsi"/>
                <w:b/>
                <w:i/>
                <w:sz w:val="22"/>
                <w:szCs w:val="22"/>
              </w:rPr>
              <w:t>Description</w:t>
            </w:r>
          </w:p>
        </w:tc>
        <w:tc>
          <w:tcPr>
            <w:tcW w:w="1620"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2A1BAFF3" w14:textId="77777777" w:rsidR="00C71504" w:rsidRPr="0090014B" w:rsidRDefault="00353AB7">
            <w:pPr>
              <w:spacing w:line="276" w:lineRule="auto"/>
              <w:ind w:left="140" w:right="0" w:firstLine="0"/>
              <w:jc w:val="left"/>
              <w:rPr>
                <w:rFonts w:asciiTheme="majorHAnsi" w:eastAsia="Arial Narrow" w:hAnsiTheme="majorHAnsi" w:cstheme="majorHAnsi"/>
                <w:b/>
                <w:i/>
                <w:sz w:val="22"/>
                <w:szCs w:val="22"/>
              </w:rPr>
            </w:pPr>
            <w:r w:rsidRPr="0090014B">
              <w:rPr>
                <w:rFonts w:asciiTheme="majorHAnsi" w:eastAsia="Arial Narrow" w:hAnsiTheme="majorHAnsi" w:cstheme="majorHAnsi"/>
                <w:b/>
                <w:i/>
                <w:sz w:val="22"/>
                <w:szCs w:val="22"/>
              </w:rPr>
              <w:t>Montant en USD</w:t>
            </w:r>
          </w:p>
        </w:tc>
        <w:tc>
          <w:tcPr>
            <w:tcW w:w="1020"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0339BB2C" w14:textId="77777777" w:rsidR="00C71504" w:rsidRPr="0090014B" w:rsidRDefault="00353AB7">
            <w:pPr>
              <w:spacing w:line="276" w:lineRule="auto"/>
              <w:ind w:left="140" w:right="0" w:firstLine="0"/>
              <w:jc w:val="left"/>
              <w:rPr>
                <w:rFonts w:asciiTheme="majorHAnsi" w:eastAsia="Arial Narrow" w:hAnsiTheme="majorHAnsi" w:cstheme="majorHAnsi"/>
                <w:b/>
                <w:i/>
                <w:sz w:val="22"/>
                <w:szCs w:val="22"/>
              </w:rPr>
            </w:pPr>
            <w:r w:rsidRPr="0090014B">
              <w:rPr>
                <w:rFonts w:asciiTheme="majorHAnsi" w:eastAsia="Arial Narrow" w:hAnsiTheme="majorHAnsi" w:cstheme="majorHAnsi"/>
                <w:b/>
                <w:i/>
                <w:sz w:val="22"/>
                <w:szCs w:val="22"/>
              </w:rPr>
              <w:t>%</w:t>
            </w:r>
          </w:p>
        </w:tc>
        <w:tc>
          <w:tcPr>
            <w:tcW w:w="2655"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58CE3BCF" w14:textId="77777777" w:rsidR="00C71504" w:rsidRPr="0090014B" w:rsidRDefault="00353AB7">
            <w:pPr>
              <w:spacing w:line="276" w:lineRule="auto"/>
              <w:ind w:left="140" w:right="0" w:firstLine="0"/>
              <w:jc w:val="left"/>
              <w:rPr>
                <w:rFonts w:asciiTheme="majorHAnsi" w:eastAsia="Arial Narrow" w:hAnsiTheme="majorHAnsi" w:cstheme="majorHAnsi"/>
                <w:b/>
                <w:i/>
                <w:sz w:val="22"/>
                <w:szCs w:val="22"/>
              </w:rPr>
            </w:pPr>
            <w:r w:rsidRPr="0090014B">
              <w:rPr>
                <w:rFonts w:asciiTheme="majorHAnsi" w:eastAsia="Arial Narrow" w:hAnsiTheme="majorHAnsi" w:cstheme="majorHAnsi"/>
                <w:b/>
                <w:i/>
                <w:sz w:val="22"/>
                <w:szCs w:val="22"/>
              </w:rPr>
              <w:t>Commentaires</w:t>
            </w:r>
          </w:p>
        </w:tc>
      </w:tr>
      <w:tr w:rsidR="00C71504" w:rsidRPr="0090014B" w14:paraId="122FC6EC" w14:textId="77777777">
        <w:trPr>
          <w:trHeight w:val="366"/>
        </w:trPr>
        <w:tc>
          <w:tcPr>
            <w:tcW w:w="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E71A8E"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1.</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25F2AC01"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Activités du programme*</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69BD63EC" w14:textId="77777777" w:rsidR="00C71504" w:rsidRPr="0090014B" w:rsidRDefault="00353AB7">
            <w:pPr>
              <w:spacing w:line="256" w:lineRule="auto"/>
              <w:ind w:left="200" w:right="0" w:firstLine="0"/>
              <w:jc w:val="left"/>
              <w:rPr>
                <w:rFonts w:asciiTheme="majorHAnsi" w:hAnsiTheme="majorHAnsi" w:cstheme="majorHAnsi"/>
                <w:i/>
                <w:sz w:val="22"/>
                <w:szCs w:val="22"/>
              </w:rPr>
            </w:pPr>
            <w:r w:rsidRPr="0090014B">
              <w:rPr>
                <w:rFonts w:asciiTheme="majorHAnsi" w:hAnsiTheme="majorHAnsi" w:cstheme="majorHAnsi"/>
                <w:i/>
                <w:sz w:val="22"/>
                <w:szCs w:val="22"/>
              </w:rPr>
              <w:t>2 742 927</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21AF5277"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77.66 %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5DFB7120" w14:textId="77777777" w:rsidR="00C71504" w:rsidRPr="0090014B" w:rsidRDefault="00353AB7">
            <w:pPr>
              <w:spacing w:line="256" w:lineRule="auto"/>
              <w:ind w:left="160" w:right="0" w:firstLine="0"/>
              <w:jc w:val="left"/>
              <w:rPr>
                <w:rFonts w:asciiTheme="majorHAnsi" w:hAnsiTheme="majorHAnsi" w:cstheme="majorHAnsi"/>
                <w:i/>
                <w:sz w:val="22"/>
                <w:szCs w:val="22"/>
              </w:rPr>
            </w:pPr>
            <w:r w:rsidRPr="0090014B">
              <w:rPr>
                <w:rFonts w:asciiTheme="majorHAnsi" w:hAnsiTheme="majorHAnsi" w:cstheme="majorHAnsi"/>
                <w:i/>
                <w:sz w:val="22"/>
                <w:szCs w:val="22"/>
              </w:rPr>
              <w:t>*Y compris Monitoring</w:t>
            </w:r>
          </w:p>
        </w:tc>
      </w:tr>
      <w:tr w:rsidR="00C71504" w:rsidRPr="0090014B" w14:paraId="0070101D" w14:textId="77777777">
        <w:trPr>
          <w:trHeight w:val="270"/>
        </w:trPr>
        <w:tc>
          <w:tcPr>
            <w:tcW w:w="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EF0D99"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2.</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66E97375"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Equipement</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24FF3748"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 xml:space="preserve">  106 920</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6DF88E95"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 xml:space="preserve">  3%</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7382EAA1"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 xml:space="preserve"> </w:t>
            </w:r>
          </w:p>
        </w:tc>
      </w:tr>
      <w:tr w:rsidR="00C71504" w:rsidRPr="0090014B" w14:paraId="46601B16" w14:textId="77777777">
        <w:trPr>
          <w:trHeight w:val="300"/>
        </w:trPr>
        <w:tc>
          <w:tcPr>
            <w:tcW w:w="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26D21E"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3.</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7A57C1D5"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Fonctionnement</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13B3F421"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684 430</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79A95141"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19.30 %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6F9F1E73" w14:textId="77777777" w:rsidR="00C71504" w:rsidRPr="0090014B" w:rsidRDefault="00353AB7">
            <w:pPr>
              <w:spacing w:line="256" w:lineRule="auto"/>
              <w:ind w:left="140" w:right="0" w:firstLine="0"/>
              <w:jc w:val="left"/>
              <w:rPr>
                <w:rFonts w:asciiTheme="majorHAnsi" w:hAnsiTheme="majorHAnsi" w:cstheme="majorHAnsi"/>
                <w:i/>
                <w:sz w:val="22"/>
                <w:szCs w:val="22"/>
              </w:rPr>
            </w:pPr>
            <w:r w:rsidRPr="0090014B">
              <w:rPr>
                <w:rFonts w:asciiTheme="majorHAnsi" w:hAnsiTheme="majorHAnsi" w:cstheme="majorHAnsi"/>
                <w:i/>
                <w:sz w:val="22"/>
                <w:szCs w:val="22"/>
              </w:rPr>
              <w:t>* y compris GMS</w:t>
            </w:r>
          </w:p>
        </w:tc>
      </w:tr>
    </w:tbl>
    <w:p w14:paraId="6FFBF7D3" w14:textId="77777777" w:rsidR="00C71504" w:rsidRPr="0090014B" w:rsidRDefault="00353AB7">
      <w:pPr>
        <w:spacing w:before="240" w:after="240" w:line="259" w:lineRule="auto"/>
        <w:ind w:left="0" w:right="0" w:firstLine="0"/>
        <w:jc w:val="left"/>
        <w:rPr>
          <w:rFonts w:asciiTheme="majorHAnsi" w:hAnsiTheme="majorHAnsi" w:cstheme="majorHAnsi"/>
          <w:i/>
          <w:sz w:val="22"/>
          <w:szCs w:val="22"/>
        </w:rPr>
      </w:pPr>
      <w:r w:rsidRPr="0090014B">
        <w:rPr>
          <w:rFonts w:asciiTheme="majorHAnsi" w:hAnsiTheme="majorHAnsi" w:cstheme="majorHAnsi"/>
          <w:i/>
          <w:sz w:val="22"/>
          <w:szCs w:val="22"/>
        </w:rPr>
        <w:t xml:space="preserve"> h)</w:t>
      </w:r>
      <w:r w:rsidRPr="0090014B">
        <w:rPr>
          <w:rFonts w:asciiTheme="majorHAnsi" w:hAnsiTheme="majorHAnsi" w:cstheme="majorHAnsi"/>
          <w:sz w:val="22"/>
          <w:szCs w:val="22"/>
        </w:rPr>
        <w:t xml:space="preserve">       </w:t>
      </w:r>
      <w:r w:rsidRPr="0090014B">
        <w:rPr>
          <w:rFonts w:asciiTheme="majorHAnsi" w:hAnsiTheme="majorHAnsi" w:cstheme="majorHAnsi"/>
          <w:i/>
          <w:sz w:val="22"/>
          <w:szCs w:val="22"/>
        </w:rPr>
        <w:t>Indiquer si le compte a été audité ou non pendant la période sous examen. Si oui, mentionner la période et dans la mesure du possible les autres données nécessaires liées à cet audit.</w:t>
      </w:r>
    </w:p>
    <w:p w14:paraId="305F5BE1" w14:textId="77777777" w:rsidR="00C71504" w:rsidRPr="0090014B" w:rsidRDefault="00353AB7">
      <w:pPr>
        <w:spacing w:before="240" w:after="240" w:line="259" w:lineRule="auto"/>
        <w:ind w:left="0" w:right="0" w:firstLine="0"/>
        <w:jc w:val="left"/>
        <w:rPr>
          <w:rFonts w:asciiTheme="majorHAnsi" w:hAnsiTheme="majorHAnsi" w:cstheme="majorHAnsi"/>
          <w:i/>
          <w:sz w:val="22"/>
          <w:szCs w:val="22"/>
        </w:rPr>
      </w:pPr>
      <w:r w:rsidRPr="0090014B">
        <w:rPr>
          <w:rFonts w:asciiTheme="majorHAnsi" w:hAnsiTheme="majorHAnsi" w:cstheme="majorHAnsi"/>
          <w:i/>
          <w:sz w:val="22"/>
          <w:szCs w:val="22"/>
        </w:rPr>
        <w:t>NON. Le compte n’a pas été audité pendant la période sous examen.</w:t>
      </w:r>
    </w:p>
    <w:p w14:paraId="555494E3" w14:textId="77777777" w:rsidR="00C71504" w:rsidRPr="0090014B" w:rsidRDefault="00C71504">
      <w:pPr>
        <w:ind w:left="10" w:firstLine="0"/>
        <w:rPr>
          <w:rFonts w:asciiTheme="majorHAnsi" w:hAnsiTheme="majorHAnsi" w:cstheme="majorHAnsi"/>
          <w:sz w:val="22"/>
          <w:szCs w:val="22"/>
        </w:rPr>
      </w:pPr>
    </w:p>
    <w:p w14:paraId="28E0B39D" w14:textId="77777777" w:rsidR="00C71504" w:rsidRPr="0090014B" w:rsidRDefault="00353AB7">
      <w:pPr>
        <w:pStyle w:val="Titre1"/>
        <w:numPr>
          <w:ilvl w:val="0"/>
          <w:numId w:val="11"/>
        </w:numPr>
        <w:rPr>
          <w:rFonts w:asciiTheme="majorHAnsi" w:hAnsiTheme="majorHAnsi" w:cstheme="majorHAnsi"/>
          <w:sz w:val="22"/>
          <w:szCs w:val="22"/>
        </w:rPr>
      </w:pPr>
      <w:bookmarkStart w:id="17" w:name="_heading=h.1ksv4uv" w:colFirst="0" w:colLast="0"/>
      <w:bookmarkEnd w:id="17"/>
      <w:r w:rsidRPr="0090014B">
        <w:rPr>
          <w:rFonts w:asciiTheme="majorHAnsi" w:hAnsiTheme="majorHAnsi" w:cstheme="majorHAnsi"/>
          <w:sz w:val="22"/>
          <w:szCs w:val="22"/>
        </w:rPr>
        <w:t>Gestion participative</w:t>
      </w:r>
    </w:p>
    <w:p w14:paraId="4F575E22" w14:textId="11792051" w:rsidR="00DF3B06" w:rsidRPr="0090014B" w:rsidRDefault="00E755B1">
      <w:pPr>
        <w:spacing w:after="160" w:line="259" w:lineRule="auto"/>
        <w:ind w:left="0" w:firstLine="0"/>
        <w:rPr>
          <w:rFonts w:asciiTheme="majorHAnsi" w:hAnsiTheme="majorHAnsi" w:cstheme="majorHAnsi"/>
          <w:color w:val="000000"/>
          <w:sz w:val="22"/>
          <w:szCs w:val="22"/>
        </w:rPr>
      </w:pPr>
      <w:r>
        <w:rPr>
          <w:rFonts w:asciiTheme="majorHAnsi" w:hAnsiTheme="majorHAnsi" w:cstheme="majorHAnsi"/>
          <w:color w:val="000000"/>
          <w:sz w:val="22"/>
          <w:szCs w:val="22"/>
        </w:rPr>
        <w:t>L</w:t>
      </w:r>
      <w:r w:rsidRPr="0090014B">
        <w:rPr>
          <w:rFonts w:asciiTheme="majorHAnsi" w:hAnsiTheme="majorHAnsi" w:cstheme="majorHAnsi"/>
          <w:color w:val="000000"/>
          <w:sz w:val="22"/>
          <w:szCs w:val="22"/>
        </w:rPr>
        <w:t xml:space="preserve">a mise en œuvre </w:t>
      </w:r>
      <w:r w:rsidR="00877902" w:rsidRPr="0090014B">
        <w:rPr>
          <w:rFonts w:asciiTheme="majorHAnsi" w:hAnsiTheme="majorHAnsi" w:cstheme="majorHAnsi"/>
          <w:color w:val="000000"/>
          <w:sz w:val="22"/>
          <w:szCs w:val="22"/>
        </w:rPr>
        <w:t>Le programme énergie FONAREDD</w:t>
      </w:r>
      <w:r>
        <w:rPr>
          <w:rFonts w:asciiTheme="majorHAnsi" w:hAnsiTheme="majorHAnsi" w:cstheme="majorHAnsi"/>
          <w:color w:val="000000"/>
          <w:sz w:val="22"/>
          <w:szCs w:val="22"/>
        </w:rPr>
        <w:t xml:space="preserve">, </w:t>
      </w:r>
      <w:r w:rsidRPr="0090014B">
        <w:rPr>
          <w:rFonts w:asciiTheme="majorHAnsi" w:hAnsiTheme="majorHAnsi" w:cstheme="majorHAnsi"/>
          <w:color w:val="000000"/>
          <w:sz w:val="22"/>
          <w:szCs w:val="22"/>
        </w:rPr>
        <w:t>au regard de la nature même des activités</w:t>
      </w:r>
      <w:r>
        <w:rPr>
          <w:rFonts w:asciiTheme="majorHAnsi" w:hAnsiTheme="majorHAnsi" w:cstheme="majorHAnsi"/>
          <w:color w:val="000000"/>
          <w:sz w:val="22"/>
          <w:szCs w:val="22"/>
        </w:rPr>
        <w:t>,</w:t>
      </w:r>
      <w:r w:rsidR="00877902" w:rsidRPr="0090014B">
        <w:rPr>
          <w:rFonts w:asciiTheme="majorHAnsi" w:hAnsiTheme="majorHAnsi" w:cstheme="majorHAnsi"/>
          <w:color w:val="000000"/>
          <w:sz w:val="22"/>
          <w:szCs w:val="22"/>
        </w:rPr>
        <w:t xml:space="preserve"> repose </w:t>
      </w:r>
      <w:r>
        <w:rPr>
          <w:rFonts w:asciiTheme="majorHAnsi" w:hAnsiTheme="majorHAnsi" w:cstheme="majorHAnsi"/>
          <w:color w:val="000000"/>
          <w:sz w:val="22"/>
          <w:szCs w:val="22"/>
        </w:rPr>
        <w:t xml:space="preserve">essentiellement </w:t>
      </w:r>
      <w:r w:rsidR="00877902" w:rsidRPr="0090014B">
        <w:rPr>
          <w:rFonts w:asciiTheme="majorHAnsi" w:hAnsiTheme="majorHAnsi" w:cstheme="majorHAnsi"/>
          <w:color w:val="000000"/>
          <w:sz w:val="22"/>
          <w:szCs w:val="22"/>
        </w:rPr>
        <w:t>sur une approche participative</w:t>
      </w:r>
      <w:r>
        <w:rPr>
          <w:rFonts w:asciiTheme="majorHAnsi" w:hAnsiTheme="majorHAnsi" w:cstheme="majorHAnsi"/>
          <w:color w:val="000000"/>
          <w:sz w:val="22"/>
          <w:szCs w:val="22"/>
        </w:rPr>
        <w:t>,</w:t>
      </w:r>
      <w:r w:rsidR="00877902" w:rsidRPr="0090014B">
        <w:rPr>
          <w:rFonts w:asciiTheme="majorHAnsi" w:hAnsiTheme="majorHAnsi" w:cstheme="majorHAnsi"/>
          <w:color w:val="000000"/>
          <w:sz w:val="22"/>
          <w:szCs w:val="22"/>
        </w:rPr>
        <w:t xml:space="preserve"> </w:t>
      </w:r>
      <w:r w:rsidR="0090014B">
        <w:rPr>
          <w:rFonts w:asciiTheme="majorHAnsi" w:hAnsiTheme="majorHAnsi" w:cstheme="majorHAnsi"/>
          <w:color w:val="000000"/>
          <w:sz w:val="22"/>
          <w:szCs w:val="22"/>
        </w:rPr>
        <w:t xml:space="preserve">avec </w:t>
      </w:r>
      <w:r>
        <w:rPr>
          <w:rFonts w:asciiTheme="majorHAnsi" w:hAnsiTheme="majorHAnsi" w:cstheme="majorHAnsi"/>
          <w:color w:val="000000"/>
          <w:sz w:val="22"/>
          <w:szCs w:val="22"/>
        </w:rPr>
        <w:t xml:space="preserve">entre autres, </w:t>
      </w:r>
      <w:r w:rsidR="0090014B">
        <w:rPr>
          <w:rFonts w:asciiTheme="majorHAnsi" w:hAnsiTheme="majorHAnsi" w:cstheme="majorHAnsi"/>
          <w:color w:val="000000"/>
          <w:sz w:val="22"/>
          <w:szCs w:val="22"/>
        </w:rPr>
        <w:t>les</w:t>
      </w:r>
      <w:r w:rsidR="00877902" w:rsidRPr="0090014B">
        <w:rPr>
          <w:rFonts w:asciiTheme="majorHAnsi" w:hAnsiTheme="majorHAnsi" w:cstheme="majorHAnsi"/>
          <w:color w:val="000000"/>
          <w:sz w:val="22"/>
          <w:szCs w:val="22"/>
        </w:rPr>
        <w:t xml:space="preserve"> acteurs du gouvernement</w:t>
      </w:r>
      <w:r w:rsidR="0090014B">
        <w:rPr>
          <w:rFonts w:asciiTheme="majorHAnsi" w:hAnsiTheme="majorHAnsi" w:cstheme="majorHAnsi"/>
          <w:color w:val="000000"/>
          <w:sz w:val="22"/>
          <w:szCs w:val="22"/>
        </w:rPr>
        <w:t xml:space="preserve"> (Ministères des ressources hydrauliques et électricité, Environnement, Hydrocarbures, Plan et Financement etc.</w:t>
      </w:r>
      <w:r>
        <w:rPr>
          <w:rFonts w:asciiTheme="majorHAnsi" w:hAnsiTheme="majorHAnsi" w:cstheme="majorHAnsi"/>
          <w:color w:val="000000"/>
          <w:sz w:val="22"/>
          <w:szCs w:val="22"/>
        </w:rPr>
        <w:t>)</w:t>
      </w:r>
      <w:r w:rsidR="00877902" w:rsidRPr="0090014B">
        <w:rPr>
          <w:rFonts w:asciiTheme="majorHAnsi" w:hAnsiTheme="majorHAnsi" w:cstheme="majorHAnsi"/>
          <w:color w:val="000000"/>
          <w:sz w:val="22"/>
          <w:szCs w:val="22"/>
        </w:rPr>
        <w:t xml:space="preserve">, de secteur privé </w:t>
      </w:r>
      <w:r>
        <w:rPr>
          <w:rFonts w:asciiTheme="majorHAnsi" w:hAnsiTheme="majorHAnsi" w:cstheme="majorHAnsi"/>
          <w:color w:val="000000"/>
          <w:sz w:val="22"/>
          <w:szCs w:val="22"/>
        </w:rPr>
        <w:t xml:space="preserve">(entreprise œuvrant dans les foyers améliorés, le Gaz (SOGAZ, COET GAZ, BBOX etc.), </w:t>
      </w:r>
      <w:proofErr w:type="spellStart"/>
      <w:r>
        <w:rPr>
          <w:rFonts w:asciiTheme="majorHAnsi" w:hAnsiTheme="majorHAnsi" w:cstheme="majorHAnsi"/>
          <w:color w:val="000000"/>
          <w:sz w:val="22"/>
          <w:szCs w:val="22"/>
        </w:rPr>
        <w:t>Equity</w:t>
      </w:r>
      <w:proofErr w:type="spellEnd"/>
      <w:r>
        <w:rPr>
          <w:rFonts w:asciiTheme="majorHAnsi" w:hAnsiTheme="majorHAnsi" w:cstheme="majorHAnsi"/>
          <w:color w:val="000000"/>
          <w:sz w:val="22"/>
          <w:szCs w:val="22"/>
        </w:rPr>
        <w:t xml:space="preserve"> Bank FINCA etc.,) </w:t>
      </w:r>
      <w:r w:rsidR="00877902" w:rsidRPr="0090014B">
        <w:rPr>
          <w:rFonts w:asciiTheme="majorHAnsi" w:hAnsiTheme="majorHAnsi" w:cstheme="majorHAnsi"/>
          <w:color w:val="000000"/>
          <w:sz w:val="22"/>
          <w:szCs w:val="22"/>
        </w:rPr>
        <w:t xml:space="preserve">de la société civile </w:t>
      </w:r>
      <w:r>
        <w:rPr>
          <w:rFonts w:asciiTheme="majorHAnsi" w:hAnsiTheme="majorHAnsi" w:cstheme="majorHAnsi"/>
          <w:color w:val="000000"/>
          <w:sz w:val="22"/>
          <w:szCs w:val="22"/>
        </w:rPr>
        <w:t xml:space="preserve">(GTCRR, CORAP, ACFAC, ACERD) </w:t>
      </w:r>
      <w:r w:rsidR="00877902" w:rsidRPr="0090014B">
        <w:rPr>
          <w:rFonts w:asciiTheme="majorHAnsi" w:hAnsiTheme="majorHAnsi" w:cstheme="majorHAnsi"/>
          <w:color w:val="000000"/>
          <w:sz w:val="22"/>
          <w:szCs w:val="22"/>
        </w:rPr>
        <w:t>et de recherche</w:t>
      </w:r>
      <w:r>
        <w:rPr>
          <w:rFonts w:asciiTheme="majorHAnsi" w:hAnsiTheme="majorHAnsi" w:cstheme="majorHAnsi"/>
          <w:color w:val="000000"/>
          <w:sz w:val="22"/>
          <w:szCs w:val="22"/>
        </w:rPr>
        <w:t xml:space="preserve"> (Université de Kinshasa, Université de Lubumbashi)</w:t>
      </w:r>
      <w:r w:rsidR="00877902" w:rsidRPr="0090014B">
        <w:rPr>
          <w:rFonts w:asciiTheme="majorHAnsi" w:hAnsiTheme="majorHAnsi" w:cstheme="majorHAnsi"/>
          <w:color w:val="000000"/>
          <w:sz w:val="22"/>
          <w:szCs w:val="22"/>
        </w:rPr>
        <w:t xml:space="preserve">. </w:t>
      </w:r>
    </w:p>
    <w:p w14:paraId="65C31EDB" w14:textId="1ADB4225" w:rsidR="00C71504" w:rsidRPr="0090014B" w:rsidRDefault="00353AB7">
      <w:pPr>
        <w:spacing w:after="160" w:line="259" w:lineRule="auto"/>
        <w:ind w:left="0" w:firstLine="0"/>
        <w:rPr>
          <w:rFonts w:asciiTheme="majorHAnsi" w:hAnsiTheme="majorHAnsi" w:cstheme="majorHAnsi"/>
          <w:sz w:val="22"/>
          <w:szCs w:val="22"/>
        </w:rPr>
      </w:pPr>
      <w:r w:rsidRPr="0090014B">
        <w:rPr>
          <w:rFonts w:asciiTheme="majorHAnsi" w:hAnsiTheme="majorHAnsi" w:cstheme="majorHAnsi"/>
          <w:color w:val="000000"/>
          <w:sz w:val="22"/>
          <w:szCs w:val="22"/>
        </w:rPr>
        <w:t xml:space="preserve">Dans </w:t>
      </w:r>
      <w:r w:rsidR="00877902" w:rsidRPr="0090014B">
        <w:rPr>
          <w:rFonts w:asciiTheme="majorHAnsi" w:hAnsiTheme="majorHAnsi" w:cstheme="majorHAnsi"/>
          <w:color w:val="000000"/>
          <w:sz w:val="22"/>
          <w:szCs w:val="22"/>
        </w:rPr>
        <w:t>ainsi que</w:t>
      </w:r>
      <w:r w:rsidRPr="0090014B">
        <w:rPr>
          <w:rFonts w:asciiTheme="majorHAnsi" w:hAnsiTheme="majorHAnsi" w:cstheme="majorHAnsi"/>
          <w:color w:val="000000"/>
          <w:sz w:val="22"/>
          <w:szCs w:val="22"/>
        </w:rPr>
        <w:t xml:space="preserve"> les études de référence </w:t>
      </w:r>
      <w:r w:rsidR="005A7959" w:rsidRPr="0090014B">
        <w:rPr>
          <w:rFonts w:asciiTheme="majorHAnsi" w:hAnsiTheme="majorHAnsi" w:cstheme="majorHAnsi"/>
          <w:color w:val="000000"/>
          <w:sz w:val="22"/>
          <w:szCs w:val="22"/>
        </w:rPr>
        <w:t xml:space="preserve">ont été </w:t>
      </w:r>
      <w:r w:rsidRPr="0090014B">
        <w:rPr>
          <w:rFonts w:asciiTheme="majorHAnsi" w:hAnsiTheme="majorHAnsi" w:cstheme="majorHAnsi"/>
          <w:color w:val="000000"/>
          <w:sz w:val="22"/>
          <w:szCs w:val="22"/>
        </w:rPr>
        <w:t xml:space="preserve">essentiellement </w:t>
      </w:r>
      <w:r w:rsidRPr="0090014B">
        <w:rPr>
          <w:rFonts w:asciiTheme="majorHAnsi" w:hAnsiTheme="majorHAnsi" w:cstheme="majorHAnsi"/>
          <w:sz w:val="22"/>
          <w:szCs w:val="22"/>
        </w:rPr>
        <w:t xml:space="preserve">basées sur les enquêtes à grand public à Lubumbashi et à Bukavu auprès de plus de 1200 personnes. </w:t>
      </w:r>
    </w:p>
    <w:p w14:paraId="0983B5F7" w14:textId="77777777" w:rsidR="00C71504" w:rsidRPr="0090014B" w:rsidRDefault="00353AB7">
      <w:pPr>
        <w:spacing w:after="160" w:line="259" w:lineRule="auto"/>
        <w:ind w:left="0" w:firstLine="0"/>
        <w:rPr>
          <w:rFonts w:asciiTheme="majorHAnsi" w:hAnsiTheme="majorHAnsi" w:cstheme="majorHAnsi"/>
          <w:sz w:val="22"/>
          <w:szCs w:val="22"/>
        </w:rPr>
      </w:pPr>
      <w:r w:rsidRPr="0090014B">
        <w:rPr>
          <w:rFonts w:asciiTheme="majorHAnsi" w:hAnsiTheme="majorHAnsi" w:cstheme="majorHAnsi"/>
          <w:sz w:val="22"/>
          <w:szCs w:val="22"/>
        </w:rPr>
        <w:t xml:space="preserve">Par ailleurs, le programme d’incubation a mené des consultations avec 53 entreprises de foyers améliorés et de gaz (GPL) et partager les résultats des analyses  des plateformes telles que le GTCRR, ACFCA, ACERD, REPROFCA, etc. couvrant des centaines d’acteurs individuels et regroupés actifs dans le secteur de cuisson propre en RDC. </w:t>
      </w:r>
    </w:p>
    <w:p w14:paraId="1CE8889E" w14:textId="77777777" w:rsidR="00C71504" w:rsidRPr="0090014B" w:rsidRDefault="00353AB7">
      <w:pPr>
        <w:spacing w:after="160" w:line="259" w:lineRule="auto"/>
        <w:ind w:left="0" w:firstLine="0"/>
        <w:rPr>
          <w:rFonts w:asciiTheme="majorHAnsi" w:hAnsiTheme="majorHAnsi" w:cstheme="majorHAnsi"/>
          <w:sz w:val="22"/>
          <w:szCs w:val="22"/>
        </w:rPr>
      </w:pPr>
      <w:r w:rsidRPr="0090014B">
        <w:rPr>
          <w:rFonts w:asciiTheme="majorHAnsi" w:hAnsiTheme="majorHAnsi" w:cstheme="majorHAnsi"/>
          <w:sz w:val="22"/>
          <w:szCs w:val="22"/>
        </w:rPr>
        <w:t>L’élaboration de la feuille de route pour la formulation de la politique nationale de l’énergie et la stratégie de cuisson propre enclenchée en avril 2020 a vu la participation de plus de 100 experts nationaux. Par ailleurs, les activités de présentation de l’avant</w:t>
      </w:r>
      <w:r w:rsidR="00E23DE1" w:rsidRPr="0090014B">
        <w:rPr>
          <w:rFonts w:asciiTheme="majorHAnsi" w:hAnsiTheme="majorHAnsi" w:cstheme="majorHAnsi"/>
          <w:sz w:val="22"/>
          <w:szCs w:val="22"/>
        </w:rPr>
        <w:t>-</w:t>
      </w:r>
      <w:r w:rsidRPr="0090014B">
        <w:rPr>
          <w:rFonts w:asciiTheme="majorHAnsi" w:hAnsiTheme="majorHAnsi" w:cstheme="majorHAnsi"/>
          <w:sz w:val="22"/>
          <w:szCs w:val="22"/>
        </w:rPr>
        <w:t>plan directeur du GPL et de l’étude de la modélisation de l’impact du déploiement du GPL ont impliqu</w:t>
      </w:r>
      <w:r w:rsidR="005A7959" w:rsidRPr="0090014B">
        <w:rPr>
          <w:rFonts w:asciiTheme="majorHAnsi" w:hAnsiTheme="majorHAnsi" w:cstheme="majorHAnsi"/>
          <w:sz w:val="22"/>
          <w:szCs w:val="22"/>
        </w:rPr>
        <w:t>é</w:t>
      </w:r>
      <w:r w:rsidRPr="0090014B">
        <w:rPr>
          <w:rFonts w:asciiTheme="majorHAnsi" w:hAnsiTheme="majorHAnsi" w:cstheme="majorHAnsi"/>
          <w:sz w:val="22"/>
          <w:szCs w:val="22"/>
        </w:rPr>
        <w:t xml:space="preserve"> divers experts nationaux des ministères de l’environnement, des ressources hydrauliques et électricité, des hydrocarbures, de la société civile (CORAP, GTCRR, ACFCA), du secteur privé</w:t>
      </w:r>
      <w:r w:rsidR="005A7959" w:rsidRPr="0090014B">
        <w:rPr>
          <w:rFonts w:asciiTheme="majorHAnsi" w:hAnsiTheme="majorHAnsi" w:cstheme="majorHAnsi"/>
          <w:sz w:val="22"/>
          <w:szCs w:val="22"/>
        </w:rPr>
        <w:t>,</w:t>
      </w:r>
      <w:r w:rsidRPr="0090014B">
        <w:rPr>
          <w:rFonts w:asciiTheme="majorHAnsi" w:hAnsiTheme="majorHAnsi" w:cstheme="majorHAnsi"/>
          <w:sz w:val="22"/>
          <w:szCs w:val="22"/>
        </w:rPr>
        <w:t xml:space="preserve"> etc. Cet effort continuera lors des consultations pour sur le diagnostic du secteur.</w:t>
      </w:r>
    </w:p>
    <w:p w14:paraId="1FCDDE9B" w14:textId="77777777" w:rsidR="00C71504" w:rsidRPr="0090014B" w:rsidRDefault="00353AB7">
      <w:pPr>
        <w:tabs>
          <w:tab w:val="left" w:pos="5220"/>
        </w:tabs>
        <w:ind w:left="0" w:firstLine="0"/>
        <w:rPr>
          <w:rFonts w:asciiTheme="majorHAnsi" w:hAnsiTheme="majorHAnsi" w:cstheme="majorHAnsi"/>
          <w:sz w:val="22"/>
          <w:szCs w:val="22"/>
        </w:rPr>
      </w:pPr>
      <w:r w:rsidRPr="0090014B">
        <w:rPr>
          <w:rFonts w:asciiTheme="majorHAnsi" w:hAnsiTheme="majorHAnsi" w:cstheme="majorHAnsi"/>
          <w:sz w:val="22"/>
          <w:szCs w:val="22"/>
        </w:rPr>
        <w:t xml:space="preserve">Le guide méthodologique de consultation produit et disséminé par le GTCRR a été remis à tous les consultants en mission sur le programme pour orienter toutes consultations dans le cadre du processus d’élaboration de la politique énergétique afin d’assurer l’appropriation par l’ensemble des parties prenantes. </w:t>
      </w:r>
    </w:p>
    <w:p w14:paraId="37E1A58B" w14:textId="77777777" w:rsidR="00C71504" w:rsidRPr="0090014B" w:rsidRDefault="00C71504">
      <w:pPr>
        <w:spacing w:line="240" w:lineRule="auto"/>
        <w:ind w:left="0" w:firstLine="0"/>
        <w:rPr>
          <w:rFonts w:asciiTheme="majorHAnsi" w:hAnsiTheme="majorHAnsi" w:cstheme="majorHAnsi"/>
          <w:sz w:val="22"/>
          <w:szCs w:val="22"/>
        </w:rPr>
      </w:pPr>
    </w:p>
    <w:p w14:paraId="6698990A" w14:textId="77777777" w:rsidR="00C71504" w:rsidRPr="0090014B" w:rsidRDefault="00353AB7">
      <w:pPr>
        <w:pStyle w:val="Titre1"/>
        <w:numPr>
          <w:ilvl w:val="0"/>
          <w:numId w:val="11"/>
        </w:numPr>
        <w:rPr>
          <w:rFonts w:asciiTheme="majorHAnsi" w:hAnsiTheme="majorHAnsi" w:cstheme="majorHAnsi"/>
          <w:sz w:val="22"/>
          <w:szCs w:val="22"/>
        </w:rPr>
      </w:pPr>
      <w:bookmarkStart w:id="18" w:name="_heading=h.44sinio" w:colFirst="0" w:colLast="0"/>
      <w:bookmarkEnd w:id="18"/>
      <w:r w:rsidRPr="0090014B">
        <w:rPr>
          <w:rFonts w:asciiTheme="majorHAnsi" w:hAnsiTheme="majorHAnsi" w:cstheme="majorHAnsi"/>
          <w:sz w:val="22"/>
          <w:szCs w:val="22"/>
        </w:rPr>
        <w:t>Termes transversaux</w:t>
      </w:r>
    </w:p>
    <w:p w14:paraId="073402C8" w14:textId="77777777" w:rsidR="00C71504" w:rsidRPr="0090014B" w:rsidRDefault="00353AB7">
      <w:pPr>
        <w:pStyle w:val="Titre2"/>
        <w:numPr>
          <w:ilvl w:val="1"/>
          <w:numId w:val="11"/>
        </w:numPr>
        <w:rPr>
          <w:rFonts w:asciiTheme="majorHAnsi" w:hAnsiTheme="majorHAnsi" w:cstheme="majorHAnsi"/>
          <w:sz w:val="22"/>
          <w:szCs w:val="22"/>
        </w:rPr>
      </w:pPr>
      <w:bookmarkStart w:id="19" w:name="_heading=h.2jxsxqh" w:colFirst="0" w:colLast="0"/>
      <w:bookmarkEnd w:id="19"/>
      <w:r w:rsidRPr="0090014B">
        <w:rPr>
          <w:rFonts w:asciiTheme="majorHAnsi" w:hAnsiTheme="majorHAnsi" w:cstheme="majorHAnsi"/>
          <w:sz w:val="22"/>
          <w:szCs w:val="22"/>
        </w:rPr>
        <w:t>Gouvernance </w:t>
      </w:r>
    </w:p>
    <w:p w14:paraId="715B6694" w14:textId="77777777" w:rsidR="00C71504" w:rsidRPr="0090014B" w:rsidRDefault="00C71504">
      <w:pPr>
        <w:pBdr>
          <w:top w:val="nil"/>
          <w:left w:val="nil"/>
          <w:bottom w:val="nil"/>
          <w:right w:val="nil"/>
          <w:between w:val="nil"/>
        </w:pBdr>
        <w:spacing w:after="0" w:line="240" w:lineRule="auto"/>
        <w:rPr>
          <w:rFonts w:asciiTheme="majorHAnsi" w:hAnsiTheme="majorHAnsi" w:cstheme="majorHAnsi"/>
          <w:color w:val="000000"/>
          <w:sz w:val="22"/>
          <w:szCs w:val="22"/>
        </w:rPr>
      </w:pPr>
    </w:p>
    <w:p w14:paraId="5A7B373F" w14:textId="77777777" w:rsidR="00C71504" w:rsidRPr="0090014B" w:rsidRDefault="00353AB7">
      <w:pPr>
        <w:spacing w:before="240" w:after="240"/>
        <w:ind w:left="0" w:right="0" w:firstLine="0"/>
        <w:rPr>
          <w:rFonts w:asciiTheme="majorHAnsi" w:hAnsiTheme="majorHAnsi" w:cstheme="majorHAnsi"/>
          <w:sz w:val="22"/>
          <w:szCs w:val="22"/>
        </w:rPr>
      </w:pPr>
      <w:r w:rsidRPr="0090014B">
        <w:rPr>
          <w:rFonts w:asciiTheme="majorHAnsi" w:hAnsiTheme="majorHAnsi" w:cstheme="majorHAnsi"/>
          <w:sz w:val="22"/>
          <w:szCs w:val="22"/>
        </w:rPr>
        <w:t xml:space="preserve">Le COPIL 2019 du programme s’est tenu le 2 mars 2020, dans les locaux du PNUD avec la participation de 26 membres statutaires. Il a été adopté un budget de USD 3 534 277 au titre de l’année 2020. Une seconde réunion du COPIL s’est tenue le 1er </w:t>
      </w:r>
      <w:r w:rsidR="005A7959" w:rsidRPr="0090014B">
        <w:rPr>
          <w:rFonts w:asciiTheme="majorHAnsi" w:hAnsiTheme="majorHAnsi" w:cstheme="majorHAnsi"/>
          <w:sz w:val="22"/>
          <w:szCs w:val="22"/>
        </w:rPr>
        <w:t>s</w:t>
      </w:r>
      <w:r w:rsidRPr="0090014B">
        <w:rPr>
          <w:rFonts w:asciiTheme="majorHAnsi" w:hAnsiTheme="majorHAnsi" w:cstheme="majorHAnsi"/>
          <w:sz w:val="22"/>
          <w:szCs w:val="22"/>
        </w:rPr>
        <w:t xml:space="preserve">eptembre 2020 pour évaluer la mise œuvre à mi-parcours de PTA 2020 et formuler les recommandations idoines pour faire avancer le programme. Un comité d’investissement du fonds de défi de 11 membres a été formellement établi à partir des nominations des membres par les différentes structures. </w:t>
      </w:r>
    </w:p>
    <w:p w14:paraId="440352EA" w14:textId="77777777" w:rsidR="00C71504" w:rsidRPr="0090014B" w:rsidRDefault="00353AB7">
      <w:pPr>
        <w:pStyle w:val="Titre2"/>
        <w:numPr>
          <w:ilvl w:val="1"/>
          <w:numId w:val="11"/>
        </w:numPr>
        <w:rPr>
          <w:rFonts w:asciiTheme="majorHAnsi" w:hAnsiTheme="majorHAnsi" w:cstheme="majorHAnsi"/>
          <w:sz w:val="22"/>
          <w:szCs w:val="22"/>
        </w:rPr>
      </w:pPr>
      <w:bookmarkStart w:id="20" w:name="_heading=h.z337ya" w:colFirst="0" w:colLast="0"/>
      <w:bookmarkEnd w:id="20"/>
      <w:r w:rsidRPr="0090014B">
        <w:rPr>
          <w:rFonts w:asciiTheme="majorHAnsi" w:hAnsiTheme="majorHAnsi" w:cstheme="majorHAnsi"/>
          <w:sz w:val="22"/>
          <w:szCs w:val="22"/>
        </w:rPr>
        <w:t>Genre</w:t>
      </w:r>
    </w:p>
    <w:p w14:paraId="4E90AB7B" w14:textId="77777777" w:rsidR="00C71504" w:rsidRPr="0090014B" w:rsidRDefault="00C71504">
      <w:pPr>
        <w:pBdr>
          <w:top w:val="nil"/>
          <w:left w:val="nil"/>
          <w:bottom w:val="nil"/>
          <w:right w:val="nil"/>
          <w:between w:val="nil"/>
        </w:pBdr>
        <w:spacing w:after="0" w:line="240" w:lineRule="auto"/>
        <w:rPr>
          <w:rFonts w:asciiTheme="majorHAnsi" w:hAnsiTheme="majorHAnsi" w:cstheme="majorHAnsi"/>
          <w:color w:val="000000"/>
          <w:sz w:val="22"/>
          <w:szCs w:val="22"/>
        </w:rPr>
      </w:pPr>
    </w:p>
    <w:p w14:paraId="1F0F6AAC" w14:textId="77777777" w:rsidR="00C71504" w:rsidRPr="0090014B" w:rsidRDefault="00353AB7">
      <w:pPr>
        <w:spacing w:line="240" w:lineRule="auto"/>
        <w:rPr>
          <w:rFonts w:asciiTheme="majorHAnsi" w:hAnsiTheme="majorHAnsi" w:cstheme="majorHAnsi"/>
          <w:sz w:val="22"/>
          <w:szCs w:val="22"/>
        </w:rPr>
      </w:pPr>
      <w:r w:rsidRPr="0090014B">
        <w:rPr>
          <w:rFonts w:asciiTheme="majorHAnsi" w:hAnsiTheme="majorHAnsi" w:cstheme="majorHAnsi"/>
          <w:sz w:val="22"/>
          <w:szCs w:val="22"/>
        </w:rPr>
        <w:t>Tableau 8 - Suivi des aspects Genre.</w:t>
      </w:r>
    </w:p>
    <w:p w14:paraId="2D7C0BEC" w14:textId="77777777" w:rsidR="00C71504" w:rsidRPr="0090014B" w:rsidRDefault="00C71504">
      <w:pPr>
        <w:spacing w:line="240" w:lineRule="auto"/>
        <w:rPr>
          <w:rFonts w:asciiTheme="majorHAnsi" w:hAnsiTheme="majorHAnsi" w:cstheme="majorHAnsi"/>
          <w:sz w:val="22"/>
          <w:szCs w:val="22"/>
        </w:rPr>
      </w:pPr>
    </w:p>
    <w:tbl>
      <w:tblPr>
        <w:tblStyle w:val="3"/>
        <w:tblW w:w="87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27"/>
        <w:gridCol w:w="2189"/>
        <w:gridCol w:w="1708"/>
        <w:gridCol w:w="1553"/>
        <w:gridCol w:w="1892"/>
      </w:tblGrid>
      <w:tr w:rsidR="00C71504" w:rsidRPr="0090014B" w14:paraId="30B8642B" w14:textId="77777777">
        <w:trPr>
          <w:trHeight w:val="564"/>
        </w:trPr>
        <w:tc>
          <w:tcPr>
            <w:tcW w:w="1427" w:type="dxa"/>
            <w:shd w:val="clear" w:color="auto" w:fill="B4C6E7"/>
            <w:tcMar>
              <w:top w:w="100" w:type="dxa"/>
              <w:left w:w="100" w:type="dxa"/>
              <w:bottom w:w="100" w:type="dxa"/>
              <w:right w:w="100" w:type="dxa"/>
            </w:tcMar>
          </w:tcPr>
          <w:p w14:paraId="0AE2227F" w14:textId="77777777" w:rsidR="00C71504" w:rsidRPr="0090014B" w:rsidRDefault="00353AB7">
            <w:pPr>
              <w:ind w:left="0" w:right="0" w:firstLine="0"/>
              <w:rPr>
                <w:rFonts w:asciiTheme="majorHAnsi" w:hAnsiTheme="majorHAnsi" w:cstheme="majorHAnsi"/>
                <w:b/>
                <w:sz w:val="22"/>
                <w:szCs w:val="22"/>
              </w:rPr>
            </w:pPr>
            <w:r w:rsidRPr="0090014B">
              <w:rPr>
                <w:rFonts w:asciiTheme="majorHAnsi" w:hAnsiTheme="majorHAnsi" w:cstheme="majorHAnsi"/>
                <w:b/>
                <w:sz w:val="22"/>
                <w:szCs w:val="22"/>
              </w:rPr>
              <w:t>Critère</w:t>
            </w:r>
          </w:p>
        </w:tc>
        <w:tc>
          <w:tcPr>
            <w:tcW w:w="2189" w:type="dxa"/>
            <w:shd w:val="clear" w:color="auto" w:fill="B4C6E7"/>
            <w:tcMar>
              <w:top w:w="100" w:type="dxa"/>
              <w:left w:w="100" w:type="dxa"/>
              <w:bottom w:w="100" w:type="dxa"/>
              <w:right w:w="100" w:type="dxa"/>
            </w:tcMar>
          </w:tcPr>
          <w:p w14:paraId="205219BC" w14:textId="77777777" w:rsidR="00C71504" w:rsidRPr="0090014B" w:rsidRDefault="00353AB7">
            <w:pPr>
              <w:ind w:left="0" w:right="0" w:firstLine="0"/>
              <w:rPr>
                <w:rFonts w:asciiTheme="majorHAnsi" w:hAnsiTheme="majorHAnsi" w:cstheme="majorHAnsi"/>
                <w:b/>
                <w:sz w:val="22"/>
                <w:szCs w:val="22"/>
              </w:rPr>
            </w:pPr>
            <w:r w:rsidRPr="0090014B">
              <w:rPr>
                <w:rFonts w:asciiTheme="majorHAnsi" w:hAnsiTheme="majorHAnsi" w:cstheme="majorHAnsi"/>
                <w:b/>
                <w:sz w:val="22"/>
                <w:szCs w:val="22"/>
              </w:rPr>
              <w:t>Actions prises pour intégrer l’aspect genre</w:t>
            </w:r>
          </w:p>
        </w:tc>
        <w:tc>
          <w:tcPr>
            <w:tcW w:w="1708" w:type="dxa"/>
            <w:shd w:val="clear" w:color="auto" w:fill="B4C6E7"/>
            <w:tcMar>
              <w:top w:w="100" w:type="dxa"/>
              <w:left w:w="100" w:type="dxa"/>
              <w:bottom w:w="100" w:type="dxa"/>
              <w:right w:w="100" w:type="dxa"/>
            </w:tcMar>
          </w:tcPr>
          <w:p w14:paraId="08B21299" w14:textId="77777777" w:rsidR="00C71504" w:rsidRPr="0090014B" w:rsidRDefault="00353AB7">
            <w:pPr>
              <w:ind w:left="0" w:right="0" w:firstLine="0"/>
              <w:rPr>
                <w:rFonts w:asciiTheme="majorHAnsi" w:hAnsiTheme="majorHAnsi" w:cstheme="majorHAnsi"/>
                <w:b/>
                <w:sz w:val="22"/>
                <w:szCs w:val="22"/>
              </w:rPr>
            </w:pPr>
            <w:r w:rsidRPr="0090014B">
              <w:rPr>
                <w:rFonts w:asciiTheme="majorHAnsi" w:hAnsiTheme="majorHAnsi" w:cstheme="majorHAnsi"/>
                <w:b/>
                <w:sz w:val="22"/>
                <w:szCs w:val="22"/>
              </w:rPr>
              <w:t>Résultats</w:t>
            </w:r>
          </w:p>
        </w:tc>
        <w:tc>
          <w:tcPr>
            <w:tcW w:w="1553" w:type="dxa"/>
            <w:shd w:val="clear" w:color="auto" w:fill="B4C6E7"/>
            <w:tcMar>
              <w:top w:w="100" w:type="dxa"/>
              <w:left w:w="100" w:type="dxa"/>
              <w:bottom w:w="100" w:type="dxa"/>
              <w:right w:w="100" w:type="dxa"/>
            </w:tcMar>
          </w:tcPr>
          <w:p w14:paraId="32802E22" w14:textId="77777777" w:rsidR="00C71504" w:rsidRPr="0090014B" w:rsidRDefault="00353AB7">
            <w:pPr>
              <w:ind w:left="0" w:right="0" w:firstLine="0"/>
              <w:rPr>
                <w:rFonts w:asciiTheme="majorHAnsi" w:hAnsiTheme="majorHAnsi" w:cstheme="majorHAnsi"/>
                <w:sz w:val="22"/>
                <w:szCs w:val="22"/>
              </w:rPr>
            </w:pPr>
            <w:r w:rsidRPr="0090014B">
              <w:rPr>
                <w:rFonts w:asciiTheme="majorHAnsi" w:hAnsiTheme="majorHAnsi" w:cstheme="majorHAnsi"/>
                <w:b/>
                <w:sz w:val="22"/>
                <w:szCs w:val="22"/>
              </w:rPr>
              <w:t>Coût en USD</w:t>
            </w:r>
          </w:p>
        </w:tc>
        <w:tc>
          <w:tcPr>
            <w:tcW w:w="1892" w:type="dxa"/>
            <w:shd w:val="clear" w:color="auto" w:fill="B4C6E7"/>
            <w:tcMar>
              <w:top w:w="100" w:type="dxa"/>
              <w:left w:w="100" w:type="dxa"/>
              <w:bottom w:w="100" w:type="dxa"/>
              <w:right w:w="100" w:type="dxa"/>
            </w:tcMar>
          </w:tcPr>
          <w:p w14:paraId="7A768AD1" w14:textId="77777777" w:rsidR="00C71504" w:rsidRPr="0090014B" w:rsidRDefault="00353AB7">
            <w:pPr>
              <w:ind w:left="0" w:right="0" w:firstLine="0"/>
              <w:rPr>
                <w:rFonts w:asciiTheme="majorHAnsi" w:hAnsiTheme="majorHAnsi" w:cstheme="majorHAnsi"/>
                <w:b/>
                <w:sz w:val="22"/>
                <w:szCs w:val="22"/>
              </w:rPr>
            </w:pPr>
            <w:r w:rsidRPr="0090014B">
              <w:rPr>
                <w:rFonts w:asciiTheme="majorHAnsi" w:hAnsiTheme="majorHAnsi" w:cstheme="majorHAnsi"/>
                <w:b/>
                <w:sz w:val="22"/>
                <w:szCs w:val="22"/>
              </w:rPr>
              <w:t>Défis affrontés</w:t>
            </w:r>
          </w:p>
        </w:tc>
      </w:tr>
      <w:tr w:rsidR="00C71504" w:rsidRPr="0090014B" w14:paraId="231CCA04" w14:textId="77777777">
        <w:trPr>
          <w:trHeight w:val="2045"/>
        </w:trPr>
        <w:tc>
          <w:tcPr>
            <w:tcW w:w="1427" w:type="dxa"/>
            <w:vMerge w:val="restart"/>
            <w:tcMar>
              <w:top w:w="100" w:type="dxa"/>
              <w:left w:w="100" w:type="dxa"/>
              <w:bottom w:w="100" w:type="dxa"/>
              <w:right w:w="100" w:type="dxa"/>
            </w:tcMar>
          </w:tcPr>
          <w:p w14:paraId="2CE7A35C" w14:textId="77777777" w:rsidR="00C71504" w:rsidRPr="0090014B" w:rsidRDefault="00353AB7">
            <w:pPr>
              <w:ind w:left="0" w:right="0" w:firstLine="0"/>
              <w:rPr>
                <w:rFonts w:asciiTheme="majorHAnsi" w:hAnsiTheme="majorHAnsi" w:cstheme="majorHAnsi"/>
                <w:sz w:val="22"/>
                <w:szCs w:val="22"/>
              </w:rPr>
            </w:pPr>
            <w:r w:rsidRPr="0090014B">
              <w:rPr>
                <w:rFonts w:asciiTheme="majorHAnsi" w:hAnsiTheme="majorHAnsi" w:cstheme="majorHAnsi"/>
                <w:sz w:val="22"/>
                <w:szCs w:val="22"/>
              </w:rPr>
              <w:t>Mise en œuvre/Activités</w:t>
            </w:r>
          </w:p>
        </w:tc>
        <w:tc>
          <w:tcPr>
            <w:tcW w:w="2189" w:type="dxa"/>
            <w:tcMar>
              <w:top w:w="100" w:type="dxa"/>
              <w:left w:w="100" w:type="dxa"/>
              <w:bottom w:w="100" w:type="dxa"/>
              <w:right w:w="100" w:type="dxa"/>
            </w:tcMar>
          </w:tcPr>
          <w:p w14:paraId="4D72BCD0" w14:textId="77777777" w:rsidR="00C71504" w:rsidRPr="0090014B" w:rsidRDefault="00353AB7">
            <w:pPr>
              <w:spacing w:line="276" w:lineRule="auto"/>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xml:space="preserve">Planification participative et consultative pour la prise de décision </w:t>
            </w:r>
          </w:p>
          <w:p w14:paraId="45C260D6" w14:textId="77777777" w:rsidR="00C71504" w:rsidRPr="0090014B" w:rsidRDefault="00C71504">
            <w:pPr>
              <w:spacing w:line="276" w:lineRule="auto"/>
              <w:ind w:left="0" w:right="0" w:firstLine="0"/>
              <w:jc w:val="left"/>
              <w:rPr>
                <w:rFonts w:asciiTheme="majorHAnsi" w:hAnsiTheme="majorHAnsi" w:cstheme="majorHAnsi"/>
                <w:sz w:val="22"/>
                <w:szCs w:val="22"/>
              </w:rPr>
            </w:pPr>
          </w:p>
          <w:p w14:paraId="4D09D373" w14:textId="77777777" w:rsidR="00C71504" w:rsidRPr="0090014B" w:rsidRDefault="005A7959">
            <w:pPr>
              <w:spacing w:line="276" w:lineRule="auto"/>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E</w:t>
            </w:r>
            <w:r w:rsidR="00353AB7" w:rsidRPr="0090014B">
              <w:rPr>
                <w:rFonts w:asciiTheme="majorHAnsi" w:hAnsiTheme="majorHAnsi" w:cstheme="majorHAnsi"/>
                <w:sz w:val="22"/>
                <w:szCs w:val="22"/>
              </w:rPr>
              <w:t>ncouragement est toujours fait dans les courriers de sollicitation.</w:t>
            </w:r>
          </w:p>
        </w:tc>
        <w:tc>
          <w:tcPr>
            <w:tcW w:w="1708" w:type="dxa"/>
            <w:tcMar>
              <w:top w:w="100" w:type="dxa"/>
              <w:left w:w="100" w:type="dxa"/>
              <w:bottom w:w="100" w:type="dxa"/>
              <w:right w:w="100" w:type="dxa"/>
            </w:tcMar>
          </w:tcPr>
          <w:p w14:paraId="0D01B73A"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Le comité d’investissement est présidé par une femme du secteur privé.</w:t>
            </w:r>
          </w:p>
          <w:p w14:paraId="15DED462"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7 membres sur 11 du comité sont des femmes.</w:t>
            </w:r>
          </w:p>
        </w:tc>
        <w:tc>
          <w:tcPr>
            <w:tcW w:w="1553" w:type="dxa"/>
            <w:tcMar>
              <w:top w:w="100" w:type="dxa"/>
              <w:left w:w="100" w:type="dxa"/>
              <w:bottom w:w="100" w:type="dxa"/>
              <w:right w:w="100" w:type="dxa"/>
            </w:tcMar>
          </w:tcPr>
          <w:p w14:paraId="208682CE"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0</w:t>
            </w:r>
          </w:p>
          <w:p w14:paraId="6354CC16"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xml:space="preserve"> </w:t>
            </w:r>
          </w:p>
        </w:tc>
        <w:tc>
          <w:tcPr>
            <w:tcW w:w="1892" w:type="dxa"/>
            <w:tcMar>
              <w:top w:w="100" w:type="dxa"/>
              <w:left w:w="100" w:type="dxa"/>
              <w:bottom w:w="100" w:type="dxa"/>
              <w:right w:w="100" w:type="dxa"/>
            </w:tcMar>
          </w:tcPr>
          <w:p w14:paraId="47264B1F"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xml:space="preserve">Impossibilité d’influencer la nomination de femmes dans les différents comités sous le programme. Néanmoins, un encouragement est toujours fait dans les courriers de sollicitation. </w:t>
            </w:r>
          </w:p>
        </w:tc>
      </w:tr>
      <w:tr w:rsidR="00C71504" w:rsidRPr="0090014B" w14:paraId="4FC55B1B" w14:textId="77777777">
        <w:trPr>
          <w:trHeight w:val="2300"/>
        </w:trPr>
        <w:tc>
          <w:tcPr>
            <w:tcW w:w="1427" w:type="dxa"/>
            <w:vMerge/>
            <w:tcMar>
              <w:top w:w="100" w:type="dxa"/>
              <w:left w:w="100" w:type="dxa"/>
              <w:bottom w:w="100" w:type="dxa"/>
              <w:right w:w="100" w:type="dxa"/>
            </w:tcMar>
          </w:tcPr>
          <w:p w14:paraId="227EC88E" w14:textId="77777777" w:rsidR="00C71504" w:rsidRPr="0090014B" w:rsidRDefault="00C71504">
            <w:pPr>
              <w:widowControl w:val="0"/>
              <w:pBdr>
                <w:top w:val="nil"/>
                <w:left w:val="nil"/>
                <w:bottom w:val="nil"/>
                <w:right w:val="nil"/>
                <w:between w:val="nil"/>
              </w:pBdr>
              <w:spacing w:line="276" w:lineRule="auto"/>
              <w:ind w:left="0" w:right="0" w:firstLine="0"/>
              <w:jc w:val="left"/>
              <w:rPr>
                <w:rFonts w:asciiTheme="majorHAnsi" w:hAnsiTheme="majorHAnsi" w:cstheme="majorHAnsi"/>
                <w:sz w:val="22"/>
                <w:szCs w:val="22"/>
              </w:rPr>
            </w:pPr>
          </w:p>
        </w:tc>
        <w:tc>
          <w:tcPr>
            <w:tcW w:w="2189" w:type="dxa"/>
            <w:shd w:val="clear" w:color="auto" w:fill="auto"/>
            <w:tcMar>
              <w:top w:w="100" w:type="dxa"/>
              <w:left w:w="100" w:type="dxa"/>
              <w:bottom w:w="100" w:type="dxa"/>
              <w:right w:w="100" w:type="dxa"/>
            </w:tcMar>
          </w:tcPr>
          <w:p w14:paraId="74E0C5E7" w14:textId="77777777" w:rsidR="00C71504" w:rsidRPr="0090014B" w:rsidRDefault="00353AB7">
            <w:pPr>
              <w:spacing w:line="276" w:lineRule="auto"/>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Améliorer les capacités des femmes à travers leur implication, en tant que consommateurs et ainsi faire progresser leur influence dans la prise de décision</w:t>
            </w:r>
          </w:p>
        </w:tc>
        <w:tc>
          <w:tcPr>
            <w:tcW w:w="1708" w:type="dxa"/>
            <w:shd w:val="clear" w:color="auto" w:fill="auto"/>
            <w:tcMar>
              <w:top w:w="100" w:type="dxa"/>
              <w:left w:w="100" w:type="dxa"/>
              <w:bottom w:w="100" w:type="dxa"/>
              <w:right w:w="100" w:type="dxa"/>
            </w:tcMar>
          </w:tcPr>
          <w:p w14:paraId="6E151258"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Forte participation des femmes dans les activités de test de cuisson contrôlé (80%)</w:t>
            </w:r>
          </w:p>
        </w:tc>
        <w:tc>
          <w:tcPr>
            <w:tcW w:w="1553" w:type="dxa"/>
            <w:shd w:val="clear" w:color="auto" w:fill="auto"/>
            <w:tcMar>
              <w:top w:w="100" w:type="dxa"/>
              <w:left w:w="100" w:type="dxa"/>
              <w:bottom w:w="100" w:type="dxa"/>
              <w:right w:w="100" w:type="dxa"/>
            </w:tcMar>
          </w:tcPr>
          <w:p w14:paraId="396DBBAC"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4 834,28</w:t>
            </w:r>
          </w:p>
        </w:tc>
        <w:tc>
          <w:tcPr>
            <w:tcW w:w="1892" w:type="dxa"/>
            <w:shd w:val="clear" w:color="auto" w:fill="auto"/>
            <w:tcMar>
              <w:top w:w="100" w:type="dxa"/>
              <w:left w:w="100" w:type="dxa"/>
              <w:bottom w:w="100" w:type="dxa"/>
              <w:right w:w="100" w:type="dxa"/>
            </w:tcMar>
          </w:tcPr>
          <w:p w14:paraId="41C57925"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Changer leur croyance est l’un de défis sur lequel les campagnes de sensibilisation pour le changement de comportement pourront travailler très fort.</w:t>
            </w:r>
          </w:p>
        </w:tc>
      </w:tr>
      <w:tr w:rsidR="00C71504" w:rsidRPr="0090014B" w14:paraId="60BFA67A" w14:textId="77777777" w:rsidTr="0095523B">
        <w:trPr>
          <w:trHeight w:val="1998"/>
        </w:trPr>
        <w:tc>
          <w:tcPr>
            <w:tcW w:w="1427" w:type="dxa"/>
            <w:vMerge w:val="restart"/>
            <w:shd w:val="clear" w:color="auto" w:fill="auto"/>
            <w:tcMar>
              <w:top w:w="100" w:type="dxa"/>
              <w:left w:w="100" w:type="dxa"/>
              <w:bottom w:w="100" w:type="dxa"/>
              <w:right w:w="100" w:type="dxa"/>
            </w:tcMar>
          </w:tcPr>
          <w:p w14:paraId="6144EC67" w14:textId="77777777" w:rsidR="00C71504" w:rsidRPr="0090014B" w:rsidRDefault="00353AB7">
            <w:pPr>
              <w:ind w:left="0" w:right="0" w:firstLine="0"/>
              <w:rPr>
                <w:rFonts w:asciiTheme="majorHAnsi" w:hAnsiTheme="majorHAnsi" w:cstheme="majorHAnsi"/>
                <w:sz w:val="22"/>
                <w:szCs w:val="22"/>
              </w:rPr>
            </w:pPr>
            <w:r w:rsidRPr="0090014B">
              <w:rPr>
                <w:rFonts w:asciiTheme="majorHAnsi" w:hAnsiTheme="majorHAnsi" w:cstheme="majorHAnsi"/>
                <w:sz w:val="22"/>
                <w:szCs w:val="22"/>
              </w:rPr>
              <w:t>Suivi-évaluation</w:t>
            </w:r>
          </w:p>
        </w:tc>
        <w:tc>
          <w:tcPr>
            <w:tcW w:w="2189" w:type="dxa"/>
            <w:shd w:val="clear" w:color="auto" w:fill="auto"/>
            <w:tcMar>
              <w:top w:w="100" w:type="dxa"/>
              <w:left w:w="100" w:type="dxa"/>
              <w:bottom w:w="100" w:type="dxa"/>
              <w:right w:w="100" w:type="dxa"/>
            </w:tcMar>
          </w:tcPr>
          <w:p w14:paraId="2C2E2434" w14:textId="77777777" w:rsidR="00C71504" w:rsidRPr="0090014B" w:rsidRDefault="00353AB7">
            <w:pPr>
              <w:spacing w:line="276" w:lineRule="auto"/>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Le programme a des indicateurs d'objectifs sexo-spécifiques spécifiques, qui comprennent la collecte de données ventilées par sexe</w:t>
            </w:r>
          </w:p>
        </w:tc>
        <w:tc>
          <w:tcPr>
            <w:tcW w:w="1708" w:type="dxa"/>
            <w:shd w:val="clear" w:color="auto" w:fill="auto"/>
            <w:tcMar>
              <w:top w:w="100" w:type="dxa"/>
              <w:left w:w="100" w:type="dxa"/>
              <w:bottom w:w="100" w:type="dxa"/>
              <w:right w:w="100" w:type="dxa"/>
            </w:tcMar>
          </w:tcPr>
          <w:p w14:paraId="012FB13E"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Bon nombre d’indicateurs prennent en compte l’aspect genre que nous suivons de près.</w:t>
            </w:r>
          </w:p>
        </w:tc>
        <w:tc>
          <w:tcPr>
            <w:tcW w:w="1553" w:type="dxa"/>
            <w:shd w:val="clear" w:color="auto" w:fill="auto"/>
            <w:tcMar>
              <w:top w:w="100" w:type="dxa"/>
              <w:left w:w="100" w:type="dxa"/>
              <w:bottom w:w="100" w:type="dxa"/>
              <w:right w:w="100" w:type="dxa"/>
            </w:tcMar>
          </w:tcPr>
          <w:p w14:paraId="1DAF3C8A"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0</w:t>
            </w:r>
          </w:p>
        </w:tc>
        <w:tc>
          <w:tcPr>
            <w:tcW w:w="1892" w:type="dxa"/>
            <w:shd w:val="clear" w:color="auto" w:fill="auto"/>
            <w:tcMar>
              <w:top w:w="100" w:type="dxa"/>
              <w:left w:w="100" w:type="dxa"/>
              <w:bottom w:w="100" w:type="dxa"/>
              <w:right w:w="100" w:type="dxa"/>
            </w:tcMar>
          </w:tcPr>
          <w:p w14:paraId="66B249A2"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 xml:space="preserve"> </w:t>
            </w:r>
          </w:p>
        </w:tc>
      </w:tr>
      <w:tr w:rsidR="00C71504" w:rsidRPr="0090014B" w14:paraId="5E48A692" w14:textId="77777777">
        <w:trPr>
          <w:trHeight w:val="2300"/>
        </w:trPr>
        <w:tc>
          <w:tcPr>
            <w:tcW w:w="1427" w:type="dxa"/>
            <w:vMerge/>
            <w:shd w:val="clear" w:color="auto" w:fill="auto"/>
            <w:tcMar>
              <w:top w:w="100" w:type="dxa"/>
              <w:left w:w="100" w:type="dxa"/>
              <w:bottom w:w="100" w:type="dxa"/>
              <w:right w:w="100" w:type="dxa"/>
            </w:tcMar>
          </w:tcPr>
          <w:p w14:paraId="33627794" w14:textId="77777777" w:rsidR="00C71504" w:rsidRPr="0090014B" w:rsidRDefault="00C71504">
            <w:pPr>
              <w:widowControl w:val="0"/>
              <w:pBdr>
                <w:top w:val="nil"/>
                <w:left w:val="nil"/>
                <w:bottom w:val="nil"/>
                <w:right w:val="nil"/>
                <w:between w:val="nil"/>
              </w:pBdr>
              <w:spacing w:line="276" w:lineRule="auto"/>
              <w:ind w:left="0" w:right="0" w:firstLine="0"/>
              <w:jc w:val="left"/>
              <w:rPr>
                <w:rFonts w:asciiTheme="majorHAnsi" w:hAnsiTheme="majorHAnsi" w:cstheme="majorHAnsi"/>
                <w:sz w:val="22"/>
                <w:szCs w:val="22"/>
              </w:rPr>
            </w:pPr>
          </w:p>
        </w:tc>
        <w:tc>
          <w:tcPr>
            <w:tcW w:w="2189" w:type="dxa"/>
            <w:shd w:val="clear" w:color="auto" w:fill="auto"/>
            <w:tcMar>
              <w:top w:w="100" w:type="dxa"/>
              <w:left w:w="100" w:type="dxa"/>
              <w:bottom w:w="100" w:type="dxa"/>
              <w:right w:w="100" w:type="dxa"/>
            </w:tcMar>
          </w:tcPr>
          <w:p w14:paraId="639239C3" w14:textId="77777777" w:rsidR="00C71504" w:rsidRPr="0090014B" w:rsidRDefault="00353AB7">
            <w:pPr>
              <w:spacing w:line="276" w:lineRule="auto"/>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Il a aussi un solide mécanisme de suivi et d'évaluation pour opérer et faire progresser l'intégration de la dimension de genre et l'équité sociale.</w:t>
            </w:r>
          </w:p>
        </w:tc>
        <w:tc>
          <w:tcPr>
            <w:tcW w:w="1708" w:type="dxa"/>
            <w:shd w:val="clear" w:color="auto" w:fill="auto"/>
            <w:tcMar>
              <w:top w:w="100" w:type="dxa"/>
              <w:left w:w="100" w:type="dxa"/>
              <w:bottom w:w="100" w:type="dxa"/>
              <w:right w:w="100" w:type="dxa"/>
            </w:tcMar>
          </w:tcPr>
          <w:p w14:paraId="7BBED53D"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Dans toutes les évaluations, nous tenons compte des aspects spécifiques lié</w:t>
            </w:r>
            <w:r w:rsidR="005A7959" w:rsidRPr="0090014B">
              <w:rPr>
                <w:rFonts w:asciiTheme="majorHAnsi" w:hAnsiTheme="majorHAnsi" w:cstheme="majorHAnsi"/>
                <w:sz w:val="22"/>
                <w:szCs w:val="22"/>
              </w:rPr>
              <w:t>s</w:t>
            </w:r>
            <w:r w:rsidRPr="0090014B">
              <w:rPr>
                <w:rFonts w:asciiTheme="majorHAnsi" w:hAnsiTheme="majorHAnsi" w:cstheme="majorHAnsi"/>
                <w:sz w:val="22"/>
                <w:szCs w:val="22"/>
              </w:rPr>
              <w:t xml:space="preserve"> à l’inclusion du genre pour s’assurer que nous ne laissons rien de côté.</w:t>
            </w:r>
          </w:p>
        </w:tc>
        <w:tc>
          <w:tcPr>
            <w:tcW w:w="1553" w:type="dxa"/>
            <w:shd w:val="clear" w:color="auto" w:fill="auto"/>
            <w:tcMar>
              <w:top w:w="100" w:type="dxa"/>
              <w:left w:w="100" w:type="dxa"/>
              <w:bottom w:w="100" w:type="dxa"/>
              <w:right w:w="100" w:type="dxa"/>
            </w:tcMar>
          </w:tcPr>
          <w:p w14:paraId="63077879"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0</w:t>
            </w:r>
          </w:p>
        </w:tc>
        <w:tc>
          <w:tcPr>
            <w:tcW w:w="1892" w:type="dxa"/>
            <w:shd w:val="clear" w:color="auto" w:fill="auto"/>
            <w:tcMar>
              <w:top w:w="100" w:type="dxa"/>
              <w:left w:w="100" w:type="dxa"/>
              <w:bottom w:w="100" w:type="dxa"/>
              <w:right w:w="100" w:type="dxa"/>
            </w:tcMar>
          </w:tcPr>
          <w:p w14:paraId="30A5A8C7" w14:textId="77777777" w:rsidR="00C71504" w:rsidRPr="0090014B" w:rsidRDefault="00353AB7">
            <w:pPr>
              <w:ind w:left="0" w:right="0" w:firstLine="0"/>
              <w:jc w:val="left"/>
              <w:rPr>
                <w:rFonts w:asciiTheme="majorHAnsi" w:hAnsiTheme="majorHAnsi" w:cstheme="majorHAnsi"/>
                <w:sz w:val="22"/>
                <w:szCs w:val="22"/>
              </w:rPr>
            </w:pPr>
            <w:r w:rsidRPr="0090014B">
              <w:rPr>
                <w:rFonts w:asciiTheme="majorHAnsi" w:hAnsiTheme="majorHAnsi" w:cstheme="majorHAnsi"/>
                <w:sz w:val="22"/>
                <w:szCs w:val="22"/>
              </w:rPr>
              <w:t>RAS</w:t>
            </w:r>
          </w:p>
        </w:tc>
      </w:tr>
    </w:tbl>
    <w:p w14:paraId="242B056F" w14:textId="77777777" w:rsidR="00C71504" w:rsidRPr="0090014B" w:rsidRDefault="00C71504">
      <w:pPr>
        <w:spacing w:line="240" w:lineRule="auto"/>
        <w:rPr>
          <w:rFonts w:asciiTheme="majorHAnsi" w:hAnsiTheme="majorHAnsi" w:cstheme="majorHAnsi"/>
          <w:sz w:val="22"/>
          <w:szCs w:val="22"/>
        </w:rPr>
      </w:pPr>
    </w:p>
    <w:p w14:paraId="217C375C" w14:textId="77777777" w:rsidR="00C71504" w:rsidRPr="0090014B" w:rsidRDefault="00C71504">
      <w:pPr>
        <w:spacing w:line="240" w:lineRule="auto"/>
        <w:rPr>
          <w:rFonts w:asciiTheme="majorHAnsi" w:hAnsiTheme="majorHAnsi" w:cstheme="majorHAnsi"/>
          <w:sz w:val="22"/>
          <w:szCs w:val="22"/>
        </w:rPr>
      </w:pPr>
    </w:p>
    <w:p w14:paraId="35649B90" w14:textId="77777777" w:rsidR="00C71504" w:rsidRPr="0090014B" w:rsidRDefault="00353AB7">
      <w:pPr>
        <w:pStyle w:val="Titre2"/>
        <w:numPr>
          <w:ilvl w:val="1"/>
          <w:numId w:val="11"/>
        </w:numPr>
        <w:rPr>
          <w:rFonts w:asciiTheme="majorHAnsi" w:hAnsiTheme="majorHAnsi" w:cstheme="majorHAnsi"/>
          <w:sz w:val="22"/>
          <w:szCs w:val="22"/>
        </w:rPr>
      </w:pPr>
      <w:bookmarkStart w:id="21" w:name="_heading=h.3j2qqm3" w:colFirst="0" w:colLast="0"/>
      <w:bookmarkEnd w:id="21"/>
      <w:r w:rsidRPr="0090014B">
        <w:rPr>
          <w:rFonts w:asciiTheme="majorHAnsi" w:hAnsiTheme="majorHAnsi" w:cstheme="majorHAnsi"/>
          <w:sz w:val="22"/>
          <w:szCs w:val="22"/>
        </w:rPr>
        <w:t xml:space="preserve">Peuples Autochtones </w:t>
      </w:r>
    </w:p>
    <w:p w14:paraId="6FB0C6AA" w14:textId="77777777" w:rsidR="00C71504" w:rsidRPr="0090014B" w:rsidRDefault="00353AB7">
      <w:pPr>
        <w:rPr>
          <w:rFonts w:asciiTheme="majorHAnsi" w:hAnsiTheme="majorHAnsi" w:cstheme="majorHAnsi"/>
          <w:sz w:val="22"/>
          <w:szCs w:val="22"/>
        </w:rPr>
      </w:pPr>
      <w:r w:rsidRPr="0090014B">
        <w:rPr>
          <w:rFonts w:asciiTheme="majorHAnsi" w:hAnsiTheme="majorHAnsi" w:cstheme="majorHAnsi"/>
          <w:sz w:val="22"/>
          <w:szCs w:val="22"/>
        </w:rPr>
        <w:t>Dans le cadre du programme d’incubation et le fonds de défi, toutes les mesures sont prises pour s’assurer du respect des droits des peuples autochtones et de leur implication dans les projets, lorsque cela est possible, notamment dans le prélèvement des matières premières pour la fabrication, distribution des foyers améliorés et autres technologies.</w:t>
      </w:r>
    </w:p>
    <w:p w14:paraId="6BC2626A" w14:textId="77777777" w:rsidR="00C71504" w:rsidRPr="0090014B" w:rsidRDefault="00C71504">
      <w:pPr>
        <w:rPr>
          <w:rFonts w:asciiTheme="majorHAnsi" w:hAnsiTheme="majorHAnsi" w:cstheme="majorHAnsi"/>
          <w:sz w:val="22"/>
          <w:szCs w:val="22"/>
        </w:rPr>
      </w:pPr>
    </w:p>
    <w:p w14:paraId="1B4663B0" w14:textId="77777777" w:rsidR="00C71504" w:rsidRPr="0090014B" w:rsidRDefault="00353AB7">
      <w:pPr>
        <w:pStyle w:val="Titre2"/>
        <w:numPr>
          <w:ilvl w:val="1"/>
          <w:numId w:val="11"/>
        </w:numPr>
        <w:rPr>
          <w:rFonts w:asciiTheme="majorHAnsi" w:hAnsiTheme="majorHAnsi" w:cstheme="majorHAnsi"/>
          <w:sz w:val="22"/>
          <w:szCs w:val="22"/>
        </w:rPr>
      </w:pPr>
      <w:bookmarkStart w:id="22" w:name="_heading=h.1y810tw" w:colFirst="0" w:colLast="0"/>
      <w:bookmarkEnd w:id="22"/>
      <w:r w:rsidRPr="0090014B">
        <w:rPr>
          <w:rFonts w:asciiTheme="majorHAnsi" w:hAnsiTheme="majorHAnsi" w:cstheme="majorHAnsi"/>
          <w:sz w:val="22"/>
          <w:szCs w:val="22"/>
        </w:rPr>
        <w:t>Autres groupes sociaux (Jeunes, mineurs, etc.)</w:t>
      </w:r>
    </w:p>
    <w:p w14:paraId="766B0F0E" w14:textId="77777777" w:rsidR="00C71504" w:rsidRPr="0090014B" w:rsidRDefault="00353AB7">
      <w:pPr>
        <w:tabs>
          <w:tab w:val="left" w:pos="5220"/>
        </w:tabs>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La considération du genre s’est fortement illustrée pendant cette période de rapportage. Le secteur de la cuisson propre est de nature dominé par les femmes, jeunes tout au long de la </w:t>
      </w:r>
      <w:r w:rsidRPr="0090014B">
        <w:rPr>
          <w:rFonts w:asciiTheme="majorHAnsi" w:hAnsiTheme="majorHAnsi" w:cstheme="majorHAnsi"/>
          <w:sz w:val="22"/>
          <w:szCs w:val="22"/>
        </w:rPr>
        <w:t>chaîne</w:t>
      </w:r>
      <w:r w:rsidRPr="0090014B">
        <w:rPr>
          <w:rFonts w:asciiTheme="majorHAnsi" w:hAnsiTheme="majorHAnsi" w:cstheme="majorHAnsi"/>
          <w:color w:val="000000"/>
          <w:sz w:val="22"/>
          <w:szCs w:val="22"/>
        </w:rPr>
        <w:t xml:space="preserve"> de la filière, ce qui les place au cœur de toutes les activités du programme. C’est dans cette perspective que cette exigence a été fait</w:t>
      </w:r>
      <w:r w:rsidR="005A7959" w:rsidRPr="0090014B">
        <w:rPr>
          <w:rFonts w:asciiTheme="majorHAnsi" w:hAnsiTheme="majorHAnsi" w:cstheme="majorHAnsi"/>
          <w:color w:val="000000"/>
          <w:sz w:val="22"/>
          <w:szCs w:val="22"/>
        </w:rPr>
        <w:t>e</w:t>
      </w:r>
      <w:r w:rsidRPr="0090014B">
        <w:rPr>
          <w:rFonts w:asciiTheme="majorHAnsi" w:hAnsiTheme="majorHAnsi" w:cstheme="majorHAnsi"/>
          <w:color w:val="000000"/>
          <w:sz w:val="22"/>
          <w:szCs w:val="22"/>
        </w:rPr>
        <w:t xml:space="preserve"> dans tous les termes de références pour le recrutement des consultants et partenaires de mise en œuvre stratégie. Ainsi, lors des enquêtes </w:t>
      </w:r>
      <w:r w:rsidRPr="0090014B">
        <w:rPr>
          <w:rFonts w:asciiTheme="majorHAnsi" w:hAnsiTheme="majorHAnsi" w:cstheme="majorHAnsi"/>
          <w:sz w:val="22"/>
          <w:szCs w:val="22"/>
        </w:rPr>
        <w:t>menées,</w:t>
      </w:r>
      <w:r w:rsidRPr="0090014B">
        <w:rPr>
          <w:rFonts w:asciiTheme="majorHAnsi" w:hAnsiTheme="majorHAnsi" w:cstheme="majorHAnsi"/>
          <w:color w:val="000000"/>
          <w:sz w:val="22"/>
          <w:szCs w:val="22"/>
        </w:rPr>
        <w:t xml:space="preserve"> 89,3 % des enquêtés sont des femmes à Lubumbashi. </w:t>
      </w:r>
    </w:p>
    <w:p w14:paraId="042D8E2A" w14:textId="77777777" w:rsidR="00C71504" w:rsidRPr="0090014B" w:rsidRDefault="00C71504">
      <w:pPr>
        <w:rPr>
          <w:rFonts w:asciiTheme="majorHAnsi" w:hAnsiTheme="majorHAnsi" w:cstheme="majorHAnsi"/>
          <w:sz w:val="22"/>
          <w:szCs w:val="22"/>
        </w:rPr>
      </w:pPr>
    </w:p>
    <w:p w14:paraId="62B3A152" w14:textId="77777777" w:rsidR="00C71504" w:rsidRPr="0090014B" w:rsidRDefault="00353AB7">
      <w:pPr>
        <w:pStyle w:val="Titre2"/>
        <w:numPr>
          <w:ilvl w:val="1"/>
          <w:numId w:val="11"/>
        </w:numPr>
        <w:rPr>
          <w:rFonts w:asciiTheme="majorHAnsi" w:hAnsiTheme="majorHAnsi" w:cstheme="majorHAnsi"/>
          <w:sz w:val="22"/>
          <w:szCs w:val="22"/>
        </w:rPr>
      </w:pPr>
      <w:bookmarkStart w:id="23" w:name="_heading=h.4i7ojhp" w:colFirst="0" w:colLast="0"/>
      <w:bookmarkEnd w:id="23"/>
      <w:r w:rsidRPr="0090014B">
        <w:rPr>
          <w:rFonts w:asciiTheme="majorHAnsi" w:hAnsiTheme="majorHAnsi" w:cstheme="majorHAnsi"/>
          <w:sz w:val="22"/>
          <w:szCs w:val="22"/>
        </w:rPr>
        <w:t>Respect de normes environnementale et sociale</w:t>
      </w:r>
    </w:p>
    <w:p w14:paraId="2040AC3F" w14:textId="77777777" w:rsidR="00C71504" w:rsidRPr="0090014B" w:rsidRDefault="00C71504">
      <w:pPr>
        <w:pBdr>
          <w:top w:val="nil"/>
          <w:left w:val="nil"/>
          <w:bottom w:val="nil"/>
          <w:right w:val="nil"/>
          <w:between w:val="nil"/>
        </w:pBdr>
        <w:spacing w:after="0" w:line="240" w:lineRule="auto"/>
        <w:rPr>
          <w:rFonts w:asciiTheme="majorHAnsi" w:hAnsiTheme="majorHAnsi" w:cstheme="majorHAnsi"/>
          <w:color w:val="000000"/>
          <w:sz w:val="22"/>
          <w:szCs w:val="22"/>
        </w:rPr>
      </w:pPr>
    </w:p>
    <w:p w14:paraId="6C1C9E1D" w14:textId="77777777" w:rsidR="00C71504" w:rsidRPr="0090014B" w:rsidRDefault="00353AB7">
      <w:pPr>
        <w:rPr>
          <w:rFonts w:asciiTheme="majorHAnsi" w:hAnsiTheme="majorHAnsi" w:cstheme="majorHAnsi"/>
          <w:sz w:val="22"/>
          <w:szCs w:val="22"/>
        </w:rPr>
      </w:pPr>
      <w:r w:rsidRPr="0090014B">
        <w:rPr>
          <w:rFonts w:asciiTheme="majorHAnsi" w:hAnsiTheme="majorHAnsi" w:cstheme="majorHAnsi"/>
          <w:sz w:val="22"/>
          <w:szCs w:val="22"/>
        </w:rPr>
        <w:t>Les activités conduites à ce jour ne sont pas de nature à impact</w:t>
      </w:r>
      <w:r w:rsidR="005A7959" w:rsidRPr="0090014B">
        <w:rPr>
          <w:rFonts w:asciiTheme="majorHAnsi" w:hAnsiTheme="majorHAnsi" w:cstheme="majorHAnsi"/>
          <w:sz w:val="22"/>
          <w:szCs w:val="22"/>
        </w:rPr>
        <w:t>er</w:t>
      </w:r>
      <w:r w:rsidRPr="0090014B">
        <w:rPr>
          <w:rFonts w:asciiTheme="majorHAnsi" w:hAnsiTheme="majorHAnsi" w:cstheme="majorHAnsi"/>
          <w:sz w:val="22"/>
          <w:szCs w:val="22"/>
        </w:rPr>
        <w:t xml:space="preserve"> directement l’environnement. Toutefois, le PNUD et UNCDF font de la sauvegarde de l’environnement une priorité dans toutes leurs interventions. Les programmes et projets du PNUD respectent les objectifs et exigences des </w:t>
      </w:r>
      <w:hyperlink r:id="rId25">
        <w:r w:rsidRPr="0090014B">
          <w:rPr>
            <w:rFonts w:asciiTheme="majorHAnsi" w:hAnsiTheme="majorHAnsi" w:cstheme="majorHAnsi"/>
            <w:color w:val="0563C1"/>
            <w:sz w:val="22"/>
            <w:szCs w:val="22"/>
            <w:u w:val="single"/>
          </w:rPr>
          <w:t>normes environnementales et sociales (NES)</w:t>
        </w:r>
      </w:hyperlink>
      <w:r w:rsidRPr="0090014B">
        <w:rPr>
          <w:rFonts w:asciiTheme="majorHAnsi" w:hAnsiTheme="majorHAnsi" w:cstheme="majorHAnsi"/>
          <w:sz w:val="22"/>
          <w:szCs w:val="22"/>
        </w:rPr>
        <w:t>. Les NES ont pour but de : a) renforcer les résultats sociaux et environnementaux des projets et programmes du PNUD ; b) éviter des impacts néfastes sur les personnes et l’environnement ; c) minimiser, atténuer et gérer les impacts néfastes dans les cas où il est impossible de les éviter ; d) renforcer les capacités du PNUD et de ses partenaires  à gérer les risques sociaux et environnementaux ; et e) assurer une participation complète et effective des parties prenantes, y compris par un mécanisme visant à répondre aux plaintes provenant des personnes affectées par le projet.</w:t>
      </w:r>
    </w:p>
    <w:p w14:paraId="20EAA557" w14:textId="77777777" w:rsidR="00C71504" w:rsidRPr="0090014B" w:rsidRDefault="00C71504">
      <w:pPr>
        <w:rPr>
          <w:rFonts w:asciiTheme="majorHAnsi" w:hAnsiTheme="majorHAnsi" w:cstheme="majorHAnsi"/>
          <w:color w:val="000000"/>
          <w:sz w:val="22"/>
          <w:szCs w:val="22"/>
        </w:rPr>
      </w:pPr>
    </w:p>
    <w:p w14:paraId="64D5B62C" w14:textId="77777777" w:rsidR="00C71504" w:rsidRPr="0090014B" w:rsidRDefault="00353AB7">
      <w:pPr>
        <w:pStyle w:val="Titre2"/>
        <w:numPr>
          <w:ilvl w:val="1"/>
          <w:numId w:val="5"/>
        </w:numPr>
        <w:rPr>
          <w:rFonts w:asciiTheme="majorHAnsi" w:hAnsiTheme="majorHAnsi" w:cstheme="majorHAnsi"/>
          <w:sz w:val="22"/>
          <w:szCs w:val="22"/>
        </w:rPr>
      </w:pPr>
      <w:bookmarkStart w:id="24" w:name="_heading=h.2xcytpi" w:colFirst="0" w:colLast="0"/>
      <w:bookmarkEnd w:id="24"/>
      <w:r w:rsidRPr="0090014B">
        <w:rPr>
          <w:rFonts w:asciiTheme="majorHAnsi" w:hAnsiTheme="majorHAnsi" w:cstheme="majorHAnsi"/>
          <w:sz w:val="22"/>
          <w:szCs w:val="22"/>
        </w:rPr>
        <w:t>Etude d’impact environnementale et sociale</w:t>
      </w:r>
    </w:p>
    <w:p w14:paraId="75BA9F55" w14:textId="77777777" w:rsidR="00C71504" w:rsidRPr="0090014B" w:rsidRDefault="00C71504">
      <w:pPr>
        <w:pBdr>
          <w:top w:val="nil"/>
          <w:left w:val="nil"/>
          <w:bottom w:val="nil"/>
          <w:right w:val="nil"/>
          <w:between w:val="nil"/>
        </w:pBdr>
        <w:spacing w:after="0" w:line="240" w:lineRule="auto"/>
        <w:rPr>
          <w:rFonts w:asciiTheme="majorHAnsi" w:hAnsiTheme="majorHAnsi" w:cstheme="majorHAnsi"/>
          <w:color w:val="000000"/>
          <w:sz w:val="22"/>
          <w:szCs w:val="22"/>
        </w:rPr>
      </w:pPr>
    </w:p>
    <w:p w14:paraId="137F688F" w14:textId="77777777" w:rsidR="00C71504" w:rsidRPr="0090014B" w:rsidRDefault="00353AB7">
      <w:pPr>
        <w:rPr>
          <w:rFonts w:asciiTheme="majorHAnsi" w:hAnsiTheme="majorHAnsi" w:cstheme="majorHAnsi"/>
          <w:i/>
          <w:color w:val="000000"/>
          <w:sz w:val="22"/>
          <w:szCs w:val="22"/>
        </w:rPr>
      </w:pPr>
      <w:r w:rsidRPr="0090014B">
        <w:rPr>
          <w:rFonts w:asciiTheme="majorHAnsi" w:hAnsiTheme="majorHAnsi" w:cstheme="majorHAnsi"/>
          <w:i/>
          <w:color w:val="000000"/>
          <w:sz w:val="22"/>
          <w:szCs w:val="22"/>
        </w:rPr>
        <w:t xml:space="preserve">Une telle étude a-t-elle été réalisée au cours de ou avant la période sous-examen ? </w:t>
      </w:r>
    </w:p>
    <w:p w14:paraId="19DADFFD" w14:textId="77777777" w:rsidR="00C71504" w:rsidRPr="0090014B" w:rsidRDefault="00C71504">
      <w:pPr>
        <w:rPr>
          <w:rFonts w:asciiTheme="majorHAnsi" w:hAnsiTheme="majorHAnsi" w:cstheme="majorHAnsi"/>
          <w:i/>
          <w:color w:val="000000"/>
          <w:sz w:val="22"/>
          <w:szCs w:val="22"/>
        </w:rPr>
      </w:pPr>
    </w:p>
    <w:p w14:paraId="7CCF9C90" w14:textId="77777777" w:rsidR="00C71504" w:rsidRPr="0090014B" w:rsidRDefault="00353AB7">
      <w:pPr>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NON. </w:t>
      </w:r>
    </w:p>
    <w:p w14:paraId="43B62E3B" w14:textId="77777777" w:rsidR="00C71504" w:rsidRPr="0090014B" w:rsidRDefault="00C71504">
      <w:pPr>
        <w:ind w:left="0" w:firstLine="0"/>
        <w:rPr>
          <w:rFonts w:asciiTheme="majorHAnsi" w:hAnsiTheme="majorHAnsi" w:cstheme="majorHAnsi"/>
          <w:sz w:val="22"/>
          <w:szCs w:val="22"/>
        </w:rPr>
      </w:pPr>
    </w:p>
    <w:p w14:paraId="3F187941" w14:textId="77777777" w:rsidR="00C71504" w:rsidRPr="0090014B" w:rsidRDefault="00353AB7">
      <w:pPr>
        <w:pStyle w:val="Titre2"/>
        <w:numPr>
          <w:ilvl w:val="1"/>
          <w:numId w:val="5"/>
        </w:numPr>
        <w:rPr>
          <w:rFonts w:asciiTheme="majorHAnsi" w:hAnsiTheme="majorHAnsi" w:cstheme="majorHAnsi"/>
          <w:sz w:val="22"/>
          <w:szCs w:val="22"/>
        </w:rPr>
      </w:pPr>
      <w:bookmarkStart w:id="25" w:name="_heading=h.1ci93xb" w:colFirst="0" w:colLast="0"/>
      <w:bookmarkEnd w:id="25"/>
      <w:r w:rsidRPr="0090014B">
        <w:rPr>
          <w:rFonts w:asciiTheme="majorHAnsi" w:hAnsiTheme="majorHAnsi" w:cstheme="majorHAnsi"/>
          <w:sz w:val="22"/>
          <w:szCs w:val="22"/>
        </w:rPr>
        <w:t>Mesures prises afin d’assurer le respect de chacune des sauvegardes</w:t>
      </w:r>
    </w:p>
    <w:p w14:paraId="28F09B11" w14:textId="77777777" w:rsidR="00C71504" w:rsidRPr="0090014B" w:rsidRDefault="00C71504">
      <w:pPr>
        <w:pBdr>
          <w:top w:val="nil"/>
          <w:left w:val="nil"/>
          <w:bottom w:val="nil"/>
          <w:right w:val="nil"/>
          <w:between w:val="nil"/>
        </w:pBdr>
        <w:spacing w:after="0" w:line="240" w:lineRule="auto"/>
        <w:rPr>
          <w:rFonts w:asciiTheme="majorHAnsi" w:hAnsiTheme="majorHAnsi" w:cstheme="majorHAnsi"/>
          <w:color w:val="000000"/>
          <w:sz w:val="22"/>
          <w:szCs w:val="22"/>
        </w:rPr>
      </w:pPr>
    </w:p>
    <w:p w14:paraId="31799698" w14:textId="77777777" w:rsidR="00C71504" w:rsidRPr="0090014B" w:rsidRDefault="00353AB7">
      <w:pPr>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Tableau 9 - Suivi des mesures/principes de sauvegardes. </w:t>
      </w:r>
    </w:p>
    <w:p w14:paraId="209320A2" w14:textId="77777777" w:rsidR="00C71504" w:rsidRPr="0090014B" w:rsidRDefault="00C71504">
      <w:pPr>
        <w:rPr>
          <w:rFonts w:asciiTheme="majorHAnsi" w:hAnsiTheme="majorHAnsi" w:cstheme="majorHAnsi"/>
          <w:color w:val="000000"/>
          <w:sz w:val="22"/>
          <w:szCs w:val="22"/>
        </w:rPr>
      </w:pPr>
    </w:p>
    <w:p w14:paraId="4757B168" w14:textId="77777777" w:rsidR="00C71504" w:rsidRPr="0090014B" w:rsidRDefault="00353AB7">
      <w:pPr>
        <w:rPr>
          <w:rFonts w:asciiTheme="majorHAnsi" w:hAnsiTheme="majorHAnsi" w:cstheme="majorHAnsi"/>
          <w:color w:val="000000"/>
          <w:sz w:val="22"/>
          <w:szCs w:val="22"/>
        </w:rPr>
      </w:pPr>
      <w:r w:rsidRPr="0090014B">
        <w:rPr>
          <w:rFonts w:asciiTheme="majorHAnsi" w:hAnsiTheme="majorHAnsi" w:cstheme="majorHAnsi"/>
          <w:color w:val="000000"/>
          <w:sz w:val="22"/>
          <w:szCs w:val="22"/>
        </w:rPr>
        <w:t>N/A</w:t>
      </w:r>
    </w:p>
    <w:p w14:paraId="0A3DB25C" w14:textId="77777777" w:rsidR="00C71504" w:rsidRPr="0090014B" w:rsidRDefault="00353AB7">
      <w:pPr>
        <w:pStyle w:val="Titre1"/>
        <w:numPr>
          <w:ilvl w:val="0"/>
          <w:numId w:val="11"/>
        </w:numPr>
        <w:rPr>
          <w:rFonts w:asciiTheme="majorHAnsi" w:hAnsiTheme="majorHAnsi" w:cstheme="majorHAnsi"/>
          <w:sz w:val="22"/>
          <w:szCs w:val="22"/>
        </w:rPr>
      </w:pPr>
      <w:bookmarkStart w:id="26" w:name="_heading=h.3whwml4" w:colFirst="0" w:colLast="0"/>
      <w:bookmarkEnd w:id="26"/>
      <w:r w:rsidRPr="0090014B">
        <w:rPr>
          <w:rFonts w:asciiTheme="majorHAnsi" w:hAnsiTheme="majorHAnsi" w:cstheme="majorHAnsi"/>
          <w:sz w:val="22"/>
          <w:szCs w:val="22"/>
        </w:rPr>
        <w:t>Gestion des risques</w:t>
      </w:r>
    </w:p>
    <w:p w14:paraId="7BF02326" w14:textId="77777777" w:rsidR="00C71504" w:rsidRPr="0090014B" w:rsidRDefault="00C71504">
      <w:pPr>
        <w:pBdr>
          <w:top w:val="nil"/>
          <w:left w:val="nil"/>
          <w:bottom w:val="nil"/>
          <w:right w:val="nil"/>
          <w:between w:val="nil"/>
        </w:pBdr>
        <w:spacing w:after="0" w:line="240" w:lineRule="auto"/>
        <w:rPr>
          <w:rFonts w:asciiTheme="majorHAnsi" w:hAnsiTheme="majorHAnsi" w:cstheme="majorHAnsi"/>
          <w:color w:val="000000"/>
          <w:sz w:val="22"/>
          <w:szCs w:val="22"/>
        </w:rPr>
      </w:pPr>
    </w:p>
    <w:p w14:paraId="46815DB1" w14:textId="77777777" w:rsidR="00C71504" w:rsidRPr="0090014B" w:rsidRDefault="00353AB7">
      <w:pPr>
        <w:spacing w:line="240" w:lineRule="auto"/>
        <w:rPr>
          <w:rFonts w:asciiTheme="majorHAnsi" w:hAnsiTheme="majorHAnsi" w:cstheme="majorHAnsi"/>
          <w:sz w:val="22"/>
          <w:szCs w:val="22"/>
        </w:rPr>
      </w:pPr>
      <w:r w:rsidRPr="0090014B">
        <w:rPr>
          <w:rFonts w:asciiTheme="majorHAnsi" w:hAnsiTheme="majorHAnsi" w:cstheme="majorHAnsi"/>
          <w:sz w:val="22"/>
          <w:szCs w:val="22"/>
        </w:rPr>
        <w:t xml:space="preserve">Tableau </w:t>
      </w:r>
      <w:r w:rsidRPr="0090014B">
        <w:rPr>
          <w:rFonts w:asciiTheme="majorHAnsi" w:hAnsiTheme="majorHAnsi" w:cstheme="majorHAnsi"/>
          <w:color w:val="000000"/>
          <w:sz w:val="22"/>
          <w:szCs w:val="22"/>
        </w:rPr>
        <w:t>10 </w:t>
      </w:r>
      <w:r w:rsidRPr="0090014B">
        <w:rPr>
          <w:rFonts w:asciiTheme="majorHAnsi" w:hAnsiTheme="majorHAnsi" w:cstheme="majorHAnsi"/>
          <w:sz w:val="22"/>
          <w:szCs w:val="22"/>
        </w:rPr>
        <w:t>- Gestion des risques.</w:t>
      </w:r>
    </w:p>
    <w:p w14:paraId="6BF436ED" w14:textId="77777777" w:rsidR="00C71504" w:rsidRPr="0090014B" w:rsidRDefault="00C71504">
      <w:pPr>
        <w:spacing w:line="240" w:lineRule="auto"/>
        <w:rPr>
          <w:rFonts w:asciiTheme="majorHAnsi" w:hAnsiTheme="majorHAnsi" w:cstheme="majorHAnsi"/>
          <w:sz w:val="22"/>
          <w:szCs w:val="22"/>
        </w:rPr>
      </w:pPr>
    </w:p>
    <w:tbl>
      <w:tblPr>
        <w:tblStyle w:val="2"/>
        <w:tblW w:w="9214" w:type="dxa"/>
        <w:tblInd w:w="-5" w:type="dxa"/>
        <w:tblLayout w:type="fixed"/>
        <w:tblLook w:val="0400" w:firstRow="0" w:lastRow="0" w:firstColumn="0" w:lastColumn="0" w:noHBand="0" w:noVBand="1"/>
      </w:tblPr>
      <w:tblGrid>
        <w:gridCol w:w="1518"/>
        <w:gridCol w:w="1370"/>
        <w:gridCol w:w="960"/>
        <w:gridCol w:w="2815"/>
        <w:gridCol w:w="1321"/>
        <w:gridCol w:w="1230"/>
      </w:tblGrid>
      <w:tr w:rsidR="00C71504" w:rsidRPr="0090014B" w14:paraId="29A18E5B" w14:textId="77777777" w:rsidTr="00C728AC">
        <w:trPr>
          <w:trHeight w:val="300"/>
        </w:trPr>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2EC03F5" w14:textId="77777777" w:rsidR="00C71504" w:rsidRPr="0090014B" w:rsidRDefault="00353AB7">
            <w:pPr>
              <w:rPr>
                <w:rFonts w:asciiTheme="majorHAnsi" w:hAnsiTheme="majorHAnsi" w:cstheme="majorHAnsi"/>
                <w:b/>
                <w:color w:val="000000"/>
                <w:sz w:val="22"/>
                <w:szCs w:val="22"/>
              </w:rPr>
            </w:pPr>
            <w:r w:rsidRPr="0090014B">
              <w:rPr>
                <w:rFonts w:asciiTheme="majorHAnsi" w:hAnsiTheme="majorHAnsi" w:cstheme="majorHAnsi"/>
                <w:b/>
                <w:color w:val="000000"/>
                <w:sz w:val="22"/>
                <w:szCs w:val="22"/>
              </w:rPr>
              <w:t>Identification des risques</w:t>
            </w:r>
          </w:p>
        </w:tc>
        <w:tc>
          <w:tcPr>
            <w:tcW w:w="5366" w:type="dxa"/>
            <w:gridSpan w:val="3"/>
            <w:tcBorders>
              <w:top w:val="single" w:sz="4" w:space="0" w:color="000000"/>
              <w:left w:val="nil"/>
              <w:bottom w:val="single" w:sz="4" w:space="0" w:color="000000"/>
              <w:right w:val="single" w:sz="4" w:space="0" w:color="000000"/>
            </w:tcBorders>
            <w:shd w:val="clear" w:color="auto" w:fill="auto"/>
            <w:vAlign w:val="bottom"/>
          </w:tcPr>
          <w:p w14:paraId="03608A2D" w14:textId="77777777" w:rsidR="00C71504" w:rsidRPr="0090014B" w:rsidRDefault="00353AB7">
            <w:pPr>
              <w:jc w:val="center"/>
              <w:rPr>
                <w:rFonts w:asciiTheme="majorHAnsi" w:hAnsiTheme="majorHAnsi" w:cstheme="majorHAnsi"/>
                <w:b/>
                <w:color w:val="000000"/>
                <w:sz w:val="22"/>
                <w:szCs w:val="22"/>
              </w:rPr>
            </w:pPr>
            <w:r w:rsidRPr="0090014B">
              <w:rPr>
                <w:rFonts w:asciiTheme="majorHAnsi" w:hAnsiTheme="majorHAnsi" w:cstheme="majorHAnsi"/>
                <w:b/>
                <w:color w:val="000000"/>
                <w:sz w:val="22"/>
                <w:szCs w:val="22"/>
              </w:rPr>
              <w:t>Traitement du risque</w:t>
            </w:r>
          </w:p>
        </w:tc>
      </w:tr>
      <w:tr w:rsidR="00C71504" w:rsidRPr="0090014B" w14:paraId="6DD71B53" w14:textId="77777777" w:rsidTr="00C728AC">
        <w:trPr>
          <w:trHeight w:val="510"/>
        </w:trPr>
        <w:tc>
          <w:tcPr>
            <w:tcW w:w="1518" w:type="dxa"/>
            <w:tcBorders>
              <w:top w:val="nil"/>
              <w:left w:val="single" w:sz="4" w:space="0" w:color="000000"/>
              <w:bottom w:val="single" w:sz="4" w:space="0" w:color="000000"/>
              <w:right w:val="single" w:sz="4" w:space="0" w:color="000000"/>
            </w:tcBorders>
            <w:shd w:val="clear" w:color="auto" w:fill="auto"/>
          </w:tcPr>
          <w:p w14:paraId="35DF00C4"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Description du risque</w:t>
            </w:r>
          </w:p>
        </w:tc>
        <w:tc>
          <w:tcPr>
            <w:tcW w:w="1370" w:type="dxa"/>
            <w:tcBorders>
              <w:top w:val="nil"/>
              <w:left w:val="nil"/>
              <w:bottom w:val="single" w:sz="4" w:space="0" w:color="000000"/>
              <w:right w:val="single" w:sz="4" w:space="0" w:color="000000"/>
            </w:tcBorders>
            <w:shd w:val="clear" w:color="auto" w:fill="auto"/>
          </w:tcPr>
          <w:p w14:paraId="472D3286"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Période d'identification</w:t>
            </w:r>
          </w:p>
        </w:tc>
        <w:tc>
          <w:tcPr>
            <w:tcW w:w="960" w:type="dxa"/>
            <w:tcBorders>
              <w:top w:val="nil"/>
              <w:left w:val="nil"/>
              <w:bottom w:val="single" w:sz="4" w:space="0" w:color="000000"/>
              <w:right w:val="single" w:sz="4" w:space="0" w:color="000000"/>
            </w:tcBorders>
            <w:shd w:val="clear" w:color="auto" w:fill="auto"/>
          </w:tcPr>
          <w:p w14:paraId="2BF817EC"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Catégorie de risque</w:t>
            </w:r>
          </w:p>
        </w:tc>
        <w:tc>
          <w:tcPr>
            <w:tcW w:w="2815" w:type="dxa"/>
            <w:tcBorders>
              <w:top w:val="nil"/>
              <w:left w:val="nil"/>
              <w:bottom w:val="single" w:sz="4" w:space="0" w:color="000000"/>
              <w:right w:val="single" w:sz="4" w:space="0" w:color="000000"/>
            </w:tcBorders>
            <w:shd w:val="clear" w:color="auto" w:fill="auto"/>
          </w:tcPr>
          <w:p w14:paraId="67BA7905"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Action(s)</w:t>
            </w:r>
          </w:p>
        </w:tc>
        <w:tc>
          <w:tcPr>
            <w:tcW w:w="1321" w:type="dxa"/>
            <w:tcBorders>
              <w:top w:val="nil"/>
              <w:left w:val="nil"/>
              <w:bottom w:val="single" w:sz="4" w:space="0" w:color="000000"/>
              <w:right w:val="single" w:sz="4" w:space="0" w:color="000000"/>
            </w:tcBorders>
            <w:shd w:val="clear" w:color="auto" w:fill="auto"/>
          </w:tcPr>
          <w:p w14:paraId="77C1AF2C"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Responsabilité</w:t>
            </w:r>
          </w:p>
        </w:tc>
        <w:tc>
          <w:tcPr>
            <w:tcW w:w="1230" w:type="dxa"/>
            <w:tcBorders>
              <w:top w:val="nil"/>
              <w:left w:val="nil"/>
              <w:bottom w:val="single" w:sz="4" w:space="0" w:color="000000"/>
              <w:right w:val="single" w:sz="4" w:space="0" w:color="000000"/>
            </w:tcBorders>
            <w:shd w:val="clear" w:color="auto" w:fill="auto"/>
          </w:tcPr>
          <w:p w14:paraId="5C6A1C93"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Date limite</w:t>
            </w:r>
          </w:p>
        </w:tc>
      </w:tr>
      <w:tr w:rsidR="00C71504" w:rsidRPr="0090014B" w14:paraId="7D2B223B" w14:textId="77777777" w:rsidTr="00C728AC">
        <w:trPr>
          <w:trHeight w:val="255"/>
        </w:trPr>
        <w:tc>
          <w:tcPr>
            <w:tcW w:w="1518" w:type="dxa"/>
            <w:tcBorders>
              <w:top w:val="nil"/>
              <w:left w:val="single" w:sz="4" w:space="0" w:color="000000"/>
              <w:bottom w:val="single" w:sz="4" w:space="0" w:color="000000"/>
              <w:right w:val="single" w:sz="4" w:space="0" w:color="000000"/>
            </w:tcBorders>
            <w:shd w:val="clear" w:color="auto" w:fill="auto"/>
          </w:tcPr>
          <w:p w14:paraId="70403CE1" w14:textId="77777777" w:rsidR="00C71504" w:rsidRPr="0090014B" w:rsidRDefault="00353AB7">
            <w:pPr>
              <w:ind w:left="0" w:firstLine="0"/>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Retard dans l’atteinte des jalons </w:t>
            </w:r>
          </w:p>
        </w:tc>
        <w:tc>
          <w:tcPr>
            <w:tcW w:w="1370" w:type="dxa"/>
            <w:tcBorders>
              <w:top w:val="nil"/>
              <w:left w:val="single" w:sz="4" w:space="0" w:color="000000"/>
              <w:bottom w:val="single" w:sz="4" w:space="0" w:color="000000"/>
              <w:right w:val="single" w:sz="4" w:space="0" w:color="000000"/>
            </w:tcBorders>
            <w:shd w:val="clear" w:color="auto" w:fill="auto"/>
          </w:tcPr>
          <w:p w14:paraId="6B6C7C25"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Mars-avril</w:t>
            </w:r>
          </w:p>
        </w:tc>
        <w:tc>
          <w:tcPr>
            <w:tcW w:w="960" w:type="dxa"/>
            <w:tcBorders>
              <w:top w:val="nil"/>
              <w:left w:val="single" w:sz="4" w:space="0" w:color="000000"/>
              <w:bottom w:val="single" w:sz="4" w:space="0" w:color="000000"/>
              <w:right w:val="single" w:sz="4" w:space="0" w:color="000000"/>
            </w:tcBorders>
            <w:shd w:val="clear" w:color="auto" w:fill="auto"/>
          </w:tcPr>
          <w:p w14:paraId="3BE393BF"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générale </w:t>
            </w:r>
          </w:p>
        </w:tc>
        <w:tc>
          <w:tcPr>
            <w:tcW w:w="2815" w:type="dxa"/>
            <w:tcBorders>
              <w:top w:val="nil"/>
              <w:left w:val="nil"/>
              <w:bottom w:val="single" w:sz="4" w:space="0" w:color="000000"/>
              <w:right w:val="single" w:sz="4" w:space="0" w:color="000000"/>
            </w:tcBorders>
            <w:shd w:val="clear" w:color="auto" w:fill="auto"/>
          </w:tcPr>
          <w:p w14:paraId="24A7ED6A"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Révision du PTAB 2020 pour ne se focalis</w:t>
            </w:r>
            <w:r w:rsidR="005A7959" w:rsidRPr="0090014B">
              <w:rPr>
                <w:rFonts w:asciiTheme="majorHAnsi" w:hAnsiTheme="majorHAnsi" w:cstheme="majorHAnsi"/>
                <w:color w:val="000000"/>
                <w:sz w:val="22"/>
                <w:szCs w:val="22"/>
              </w:rPr>
              <w:t>er</w:t>
            </w:r>
            <w:r w:rsidRPr="0090014B">
              <w:rPr>
                <w:rFonts w:asciiTheme="majorHAnsi" w:hAnsiTheme="majorHAnsi" w:cstheme="majorHAnsi"/>
                <w:color w:val="000000"/>
                <w:sz w:val="22"/>
                <w:szCs w:val="22"/>
              </w:rPr>
              <w:t xml:space="preserve"> que sur les activités clés permettant d’atteindre les jalons  </w:t>
            </w:r>
          </w:p>
        </w:tc>
        <w:tc>
          <w:tcPr>
            <w:tcW w:w="1321" w:type="dxa"/>
            <w:tcBorders>
              <w:top w:val="nil"/>
              <w:left w:val="nil"/>
              <w:bottom w:val="single" w:sz="4" w:space="0" w:color="000000"/>
              <w:right w:val="single" w:sz="4" w:space="0" w:color="000000"/>
            </w:tcBorders>
            <w:shd w:val="clear" w:color="auto" w:fill="auto"/>
          </w:tcPr>
          <w:p w14:paraId="594BCBFB"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PNUD-UNCDF</w:t>
            </w:r>
          </w:p>
          <w:p w14:paraId="4BDD392B"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CIRAD </w:t>
            </w:r>
          </w:p>
          <w:p w14:paraId="00E7106D"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GLPGP</w:t>
            </w:r>
          </w:p>
        </w:tc>
        <w:tc>
          <w:tcPr>
            <w:tcW w:w="1230" w:type="dxa"/>
            <w:tcBorders>
              <w:top w:val="nil"/>
              <w:left w:val="nil"/>
              <w:bottom w:val="single" w:sz="4" w:space="0" w:color="000000"/>
              <w:right w:val="single" w:sz="4" w:space="0" w:color="000000"/>
            </w:tcBorders>
            <w:shd w:val="clear" w:color="auto" w:fill="auto"/>
          </w:tcPr>
          <w:p w14:paraId="3B6DC4FE"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avril 2020 </w:t>
            </w:r>
          </w:p>
        </w:tc>
      </w:tr>
      <w:tr w:rsidR="00C71504" w:rsidRPr="0090014B" w14:paraId="144AF042" w14:textId="77777777" w:rsidTr="00C728AC">
        <w:trPr>
          <w:trHeight w:val="255"/>
        </w:trPr>
        <w:tc>
          <w:tcPr>
            <w:tcW w:w="1518" w:type="dxa"/>
            <w:vMerge w:val="restart"/>
            <w:tcBorders>
              <w:top w:val="nil"/>
              <w:left w:val="single" w:sz="4" w:space="0" w:color="000000"/>
              <w:bottom w:val="single" w:sz="4" w:space="0" w:color="000000"/>
              <w:right w:val="single" w:sz="4" w:space="0" w:color="000000"/>
            </w:tcBorders>
            <w:shd w:val="clear" w:color="auto" w:fill="auto"/>
          </w:tcPr>
          <w:p w14:paraId="7ACD348E"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Non déploiement du partenaire GPLGP en RDC</w:t>
            </w:r>
          </w:p>
        </w:tc>
        <w:tc>
          <w:tcPr>
            <w:tcW w:w="1370" w:type="dxa"/>
            <w:vMerge w:val="restart"/>
            <w:tcBorders>
              <w:top w:val="nil"/>
              <w:left w:val="single" w:sz="4" w:space="0" w:color="000000"/>
              <w:bottom w:val="single" w:sz="4" w:space="0" w:color="000000"/>
              <w:right w:val="single" w:sz="4" w:space="0" w:color="000000"/>
            </w:tcBorders>
            <w:shd w:val="clear" w:color="auto" w:fill="auto"/>
          </w:tcPr>
          <w:p w14:paraId="2D6626FF"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Avril -juin</w:t>
            </w:r>
          </w:p>
        </w:tc>
        <w:tc>
          <w:tcPr>
            <w:tcW w:w="960" w:type="dxa"/>
            <w:vMerge w:val="restart"/>
            <w:tcBorders>
              <w:top w:val="nil"/>
              <w:left w:val="single" w:sz="4" w:space="0" w:color="000000"/>
              <w:bottom w:val="single" w:sz="4" w:space="0" w:color="000000"/>
              <w:right w:val="single" w:sz="4" w:space="0" w:color="000000"/>
            </w:tcBorders>
            <w:shd w:val="clear" w:color="auto" w:fill="auto"/>
          </w:tcPr>
          <w:p w14:paraId="42F2BE68"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générale</w:t>
            </w:r>
          </w:p>
        </w:tc>
        <w:tc>
          <w:tcPr>
            <w:tcW w:w="2815" w:type="dxa"/>
            <w:tcBorders>
              <w:top w:val="nil"/>
              <w:left w:val="nil"/>
              <w:bottom w:val="single" w:sz="4" w:space="0" w:color="000000"/>
              <w:right w:val="single" w:sz="4" w:space="0" w:color="000000"/>
            </w:tcBorders>
            <w:shd w:val="clear" w:color="auto" w:fill="auto"/>
          </w:tcPr>
          <w:p w14:paraId="757F7757"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Signature d’accord seulement sur les activités possibles à réaliser à distance pour l’année 2020</w:t>
            </w:r>
          </w:p>
        </w:tc>
        <w:tc>
          <w:tcPr>
            <w:tcW w:w="1321" w:type="dxa"/>
            <w:tcBorders>
              <w:top w:val="nil"/>
              <w:left w:val="nil"/>
              <w:bottom w:val="single" w:sz="4" w:space="0" w:color="000000"/>
              <w:right w:val="single" w:sz="4" w:space="0" w:color="000000"/>
            </w:tcBorders>
            <w:shd w:val="clear" w:color="auto" w:fill="auto"/>
          </w:tcPr>
          <w:p w14:paraId="36124376"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PNUD</w:t>
            </w:r>
          </w:p>
          <w:p w14:paraId="75B2CD45"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UNCDF</w:t>
            </w:r>
          </w:p>
          <w:p w14:paraId="6779D43D"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GLPGP</w:t>
            </w:r>
          </w:p>
        </w:tc>
        <w:tc>
          <w:tcPr>
            <w:tcW w:w="1230" w:type="dxa"/>
            <w:tcBorders>
              <w:top w:val="nil"/>
              <w:left w:val="nil"/>
              <w:bottom w:val="single" w:sz="4" w:space="0" w:color="000000"/>
              <w:right w:val="single" w:sz="4" w:space="0" w:color="000000"/>
            </w:tcBorders>
            <w:shd w:val="clear" w:color="auto" w:fill="auto"/>
          </w:tcPr>
          <w:p w14:paraId="47D011E2"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Avril 2020</w:t>
            </w:r>
          </w:p>
        </w:tc>
      </w:tr>
      <w:tr w:rsidR="00C71504" w:rsidRPr="0090014B" w14:paraId="787D336E" w14:textId="77777777" w:rsidTr="00C728AC">
        <w:trPr>
          <w:trHeight w:val="255"/>
        </w:trPr>
        <w:tc>
          <w:tcPr>
            <w:tcW w:w="1518" w:type="dxa"/>
            <w:vMerge/>
            <w:tcBorders>
              <w:top w:val="nil"/>
              <w:left w:val="single" w:sz="4" w:space="0" w:color="000000"/>
              <w:bottom w:val="single" w:sz="4" w:space="0" w:color="000000"/>
              <w:right w:val="single" w:sz="4" w:space="0" w:color="000000"/>
            </w:tcBorders>
            <w:shd w:val="clear" w:color="auto" w:fill="auto"/>
          </w:tcPr>
          <w:p w14:paraId="19EFCFB2" w14:textId="77777777" w:rsidR="00C71504" w:rsidRPr="0090014B" w:rsidRDefault="00C71504">
            <w:pPr>
              <w:widowControl w:val="0"/>
              <w:pBdr>
                <w:top w:val="nil"/>
                <w:left w:val="nil"/>
                <w:bottom w:val="nil"/>
                <w:right w:val="nil"/>
                <w:between w:val="nil"/>
              </w:pBdr>
              <w:spacing w:line="276" w:lineRule="auto"/>
              <w:ind w:left="0" w:right="0" w:firstLine="0"/>
              <w:jc w:val="left"/>
              <w:rPr>
                <w:rFonts w:asciiTheme="majorHAnsi" w:hAnsiTheme="majorHAnsi" w:cstheme="majorHAnsi"/>
                <w:color w:val="000000"/>
                <w:sz w:val="22"/>
                <w:szCs w:val="22"/>
              </w:rPr>
            </w:pPr>
          </w:p>
        </w:tc>
        <w:tc>
          <w:tcPr>
            <w:tcW w:w="1370" w:type="dxa"/>
            <w:vMerge/>
            <w:tcBorders>
              <w:top w:val="nil"/>
              <w:left w:val="single" w:sz="4" w:space="0" w:color="000000"/>
              <w:bottom w:val="single" w:sz="4" w:space="0" w:color="000000"/>
              <w:right w:val="single" w:sz="4" w:space="0" w:color="000000"/>
            </w:tcBorders>
            <w:shd w:val="clear" w:color="auto" w:fill="auto"/>
          </w:tcPr>
          <w:p w14:paraId="1FFFB097" w14:textId="77777777" w:rsidR="00C71504" w:rsidRPr="0090014B" w:rsidRDefault="00C71504">
            <w:pPr>
              <w:widowControl w:val="0"/>
              <w:pBdr>
                <w:top w:val="nil"/>
                <w:left w:val="nil"/>
                <w:bottom w:val="nil"/>
                <w:right w:val="nil"/>
                <w:between w:val="nil"/>
              </w:pBdr>
              <w:spacing w:line="276" w:lineRule="auto"/>
              <w:ind w:left="0" w:right="0" w:firstLine="0"/>
              <w:jc w:val="left"/>
              <w:rPr>
                <w:rFonts w:asciiTheme="majorHAnsi" w:hAnsiTheme="majorHAnsi" w:cstheme="majorHAnsi"/>
                <w:color w:val="000000"/>
                <w:sz w:val="22"/>
                <w:szCs w:val="22"/>
              </w:rPr>
            </w:pPr>
          </w:p>
        </w:tc>
        <w:tc>
          <w:tcPr>
            <w:tcW w:w="960" w:type="dxa"/>
            <w:vMerge/>
            <w:tcBorders>
              <w:top w:val="nil"/>
              <w:left w:val="single" w:sz="4" w:space="0" w:color="000000"/>
              <w:bottom w:val="single" w:sz="4" w:space="0" w:color="000000"/>
              <w:right w:val="single" w:sz="4" w:space="0" w:color="000000"/>
            </w:tcBorders>
            <w:shd w:val="clear" w:color="auto" w:fill="auto"/>
          </w:tcPr>
          <w:p w14:paraId="2F264AED" w14:textId="77777777" w:rsidR="00C71504" w:rsidRPr="0090014B" w:rsidRDefault="00C71504">
            <w:pPr>
              <w:widowControl w:val="0"/>
              <w:pBdr>
                <w:top w:val="nil"/>
                <w:left w:val="nil"/>
                <w:bottom w:val="nil"/>
                <w:right w:val="nil"/>
                <w:between w:val="nil"/>
              </w:pBdr>
              <w:spacing w:line="276" w:lineRule="auto"/>
              <w:ind w:left="0" w:right="0" w:firstLine="0"/>
              <w:jc w:val="left"/>
              <w:rPr>
                <w:rFonts w:asciiTheme="majorHAnsi" w:hAnsiTheme="majorHAnsi" w:cstheme="majorHAnsi"/>
                <w:color w:val="000000"/>
                <w:sz w:val="22"/>
                <w:szCs w:val="22"/>
              </w:rPr>
            </w:pPr>
          </w:p>
        </w:tc>
        <w:tc>
          <w:tcPr>
            <w:tcW w:w="2815" w:type="dxa"/>
            <w:tcBorders>
              <w:top w:val="nil"/>
              <w:left w:val="nil"/>
              <w:bottom w:val="single" w:sz="4" w:space="0" w:color="000000"/>
              <w:right w:val="single" w:sz="4" w:space="0" w:color="000000"/>
            </w:tcBorders>
            <w:shd w:val="clear" w:color="auto" w:fill="auto"/>
          </w:tcPr>
          <w:p w14:paraId="6B15372B"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Recrutement d’un coordonnateur des activités du partenaire basé à Kinshasa</w:t>
            </w:r>
          </w:p>
        </w:tc>
        <w:tc>
          <w:tcPr>
            <w:tcW w:w="1321" w:type="dxa"/>
            <w:tcBorders>
              <w:top w:val="nil"/>
              <w:left w:val="nil"/>
              <w:bottom w:val="single" w:sz="4" w:space="0" w:color="000000"/>
              <w:right w:val="single" w:sz="4" w:space="0" w:color="000000"/>
            </w:tcBorders>
            <w:shd w:val="clear" w:color="auto" w:fill="auto"/>
          </w:tcPr>
          <w:p w14:paraId="27F25AFE"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GLPGP</w:t>
            </w:r>
          </w:p>
        </w:tc>
        <w:tc>
          <w:tcPr>
            <w:tcW w:w="1230" w:type="dxa"/>
            <w:tcBorders>
              <w:top w:val="nil"/>
              <w:left w:val="nil"/>
              <w:bottom w:val="single" w:sz="4" w:space="0" w:color="000000"/>
              <w:right w:val="single" w:sz="4" w:space="0" w:color="000000"/>
            </w:tcBorders>
            <w:shd w:val="clear" w:color="auto" w:fill="auto"/>
          </w:tcPr>
          <w:p w14:paraId="17998B2E"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Juillet 2020</w:t>
            </w:r>
          </w:p>
        </w:tc>
      </w:tr>
      <w:tr w:rsidR="00C71504" w:rsidRPr="0090014B" w14:paraId="7AC40DD5" w14:textId="77777777" w:rsidTr="00C728AC">
        <w:trPr>
          <w:trHeight w:val="255"/>
        </w:trPr>
        <w:tc>
          <w:tcPr>
            <w:tcW w:w="1518" w:type="dxa"/>
            <w:vMerge/>
            <w:tcBorders>
              <w:top w:val="nil"/>
              <w:left w:val="single" w:sz="4" w:space="0" w:color="000000"/>
              <w:bottom w:val="single" w:sz="4" w:space="0" w:color="000000"/>
              <w:right w:val="single" w:sz="4" w:space="0" w:color="000000"/>
            </w:tcBorders>
            <w:shd w:val="clear" w:color="auto" w:fill="auto"/>
          </w:tcPr>
          <w:p w14:paraId="762B0D5A" w14:textId="77777777" w:rsidR="00C71504" w:rsidRPr="0090014B" w:rsidRDefault="00C71504">
            <w:pPr>
              <w:widowControl w:val="0"/>
              <w:pBdr>
                <w:top w:val="nil"/>
                <w:left w:val="nil"/>
                <w:bottom w:val="nil"/>
                <w:right w:val="nil"/>
                <w:between w:val="nil"/>
              </w:pBdr>
              <w:spacing w:line="276" w:lineRule="auto"/>
              <w:ind w:left="0" w:right="0" w:firstLine="0"/>
              <w:jc w:val="left"/>
              <w:rPr>
                <w:rFonts w:asciiTheme="majorHAnsi" w:hAnsiTheme="majorHAnsi" w:cstheme="majorHAnsi"/>
                <w:color w:val="000000"/>
                <w:sz w:val="22"/>
                <w:szCs w:val="22"/>
              </w:rPr>
            </w:pPr>
          </w:p>
        </w:tc>
        <w:tc>
          <w:tcPr>
            <w:tcW w:w="1370" w:type="dxa"/>
            <w:vMerge/>
            <w:tcBorders>
              <w:top w:val="nil"/>
              <w:left w:val="single" w:sz="4" w:space="0" w:color="000000"/>
              <w:bottom w:val="single" w:sz="4" w:space="0" w:color="000000"/>
              <w:right w:val="single" w:sz="4" w:space="0" w:color="000000"/>
            </w:tcBorders>
            <w:shd w:val="clear" w:color="auto" w:fill="auto"/>
          </w:tcPr>
          <w:p w14:paraId="6CAC226A" w14:textId="77777777" w:rsidR="00C71504" w:rsidRPr="0090014B" w:rsidRDefault="00C71504">
            <w:pPr>
              <w:widowControl w:val="0"/>
              <w:pBdr>
                <w:top w:val="nil"/>
                <w:left w:val="nil"/>
                <w:bottom w:val="nil"/>
                <w:right w:val="nil"/>
                <w:between w:val="nil"/>
              </w:pBdr>
              <w:spacing w:line="276" w:lineRule="auto"/>
              <w:ind w:left="0" w:right="0" w:firstLine="0"/>
              <w:jc w:val="left"/>
              <w:rPr>
                <w:rFonts w:asciiTheme="majorHAnsi" w:hAnsiTheme="majorHAnsi" w:cstheme="majorHAnsi"/>
                <w:color w:val="000000"/>
                <w:sz w:val="22"/>
                <w:szCs w:val="22"/>
              </w:rPr>
            </w:pPr>
          </w:p>
        </w:tc>
        <w:tc>
          <w:tcPr>
            <w:tcW w:w="960" w:type="dxa"/>
            <w:vMerge/>
            <w:tcBorders>
              <w:top w:val="nil"/>
              <w:left w:val="single" w:sz="4" w:space="0" w:color="000000"/>
              <w:bottom w:val="single" w:sz="4" w:space="0" w:color="000000"/>
              <w:right w:val="single" w:sz="4" w:space="0" w:color="000000"/>
            </w:tcBorders>
            <w:shd w:val="clear" w:color="auto" w:fill="auto"/>
          </w:tcPr>
          <w:p w14:paraId="22B12BEE" w14:textId="77777777" w:rsidR="00C71504" w:rsidRPr="0090014B" w:rsidRDefault="00C71504">
            <w:pPr>
              <w:widowControl w:val="0"/>
              <w:pBdr>
                <w:top w:val="nil"/>
                <w:left w:val="nil"/>
                <w:bottom w:val="nil"/>
                <w:right w:val="nil"/>
                <w:between w:val="nil"/>
              </w:pBdr>
              <w:spacing w:line="276" w:lineRule="auto"/>
              <w:ind w:left="0" w:right="0" w:firstLine="0"/>
              <w:jc w:val="left"/>
              <w:rPr>
                <w:rFonts w:asciiTheme="majorHAnsi" w:hAnsiTheme="majorHAnsi" w:cstheme="majorHAnsi"/>
                <w:color w:val="000000"/>
                <w:sz w:val="22"/>
                <w:szCs w:val="22"/>
              </w:rPr>
            </w:pPr>
          </w:p>
        </w:tc>
        <w:tc>
          <w:tcPr>
            <w:tcW w:w="2815" w:type="dxa"/>
            <w:tcBorders>
              <w:top w:val="nil"/>
              <w:left w:val="nil"/>
              <w:bottom w:val="single" w:sz="4" w:space="0" w:color="000000"/>
              <w:right w:val="single" w:sz="4" w:space="0" w:color="000000"/>
            </w:tcBorders>
            <w:shd w:val="clear" w:color="auto" w:fill="auto"/>
          </w:tcPr>
          <w:p w14:paraId="01EF00D6" w14:textId="090FB5E5"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Anticipation sur l’élaboration des documents qui pourront être soumis à consultation une fois les restrictions de réunions présentielles seront assouplies</w:t>
            </w:r>
          </w:p>
        </w:tc>
        <w:tc>
          <w:tcPr>
            <w:tcW w:w="1321" w:type="dxa"/>
            <w:tcBorders>
              <w:top w:val="nil"/>
              <w:left w:val="nil"/>
              <w:bottom w:val="single" w:sz="4" w:space="0" w:color="000000"/>
              <w:right w:val="single" w:sz="4" w:space="0" w:color="000000"/>
            </w:tcBorders>
            <w:shd w:val="clear" w:color="auto" w:fill="auto"/>
          </w:tcPr>
          <w:p w14:paraId="48FFCE22"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GLPGP</w:t>
            </w:r>
          </w:p>
        </w:tc>
        <w:tc>
          <w:tcPr>
            <w:tcW w:w="1230" w:type="dxa"/>
            <w:tcBorders>
              <w:top w:val="nil"/>
              <w:left w:val="nil"/>
              <w:bottom w:val="single" w:sz="4" w:space="0" w:color="000000"/>
              <w:right w:val="single" w:sz="4" w:space="0" w:color="000000"/>
            </w:tcBorders>
            <w:shd w:val="clear" w:color="auto" w:fill="auto"/>
          </w:tcPr>
          <w:p w14:paraId="1893D7A2"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Août 2020</w:t>
            </w:r>
          </w:p>
        </w:tc>
      </w:tr>
      <w:tr w:rsidR="00C71504" w:rsidRPr="0090014B" w14:paraId="51E07334" w14:textId="77777777" w:rsidTr="00C728AC">
        <w:trPr>
          <w:trHeight w:val="255"/>
        </w:trPr>
        <w:tc>
          <w:tcPr>
            <w:tcW w:w="1518" w:type="dxa"/>
            <w:tcBorders>
              <w:top w:val="nil"/>
              <w:left w:val="single" w:sz="4" w:space="0" w:color="000000"/>
              <w:bottom w:val="single" w:sz="4" w:space="0" w:color="000000"/>
              <w:right w:val="single" w:sz="4" w:space="0" w:color="000000"/>
            </w:tcBorders>
            <w:shd w:val="clear" w:color="auto" w:fill="auto"/>
          </w:tcPr>
          <w:p w14:paraId="4E53961F" w14:textId="7AD22ADF"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Suspension des missions et organisation de réunions/ateliers</w:t>
            </w:r>
          </w:p>
        </w:tc>
        <w:tc>
          <w:tcPr>
            <w:tcW w:w="1370" w:type="dxa"/>
            <w:tcBorders>
              <w:top w:val="nil"/>
              <w:left w:val="single" w:sz="4" w:space="0" w:color="000000"/>
              <w:bottom w:val="single" w:sz="4" w:space="0" w:color="000000"/>
              <w:right w:val="single" w:sz="4" w:space="0" w:color="000000"/>
            </w:tcBorders>
            <w:shd w:val="clear" w:color="auto" w:fill="auto"/>
          </w:tcPr>
          <w:p w14:paraId="77B2F2E8"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 Avril-juin</w:t>
            </w:r>
          </w:p>
        </w:tc>
        <w:tc>
          <w:tcPr>
            <w:tcW w:w="960" w:type="dxa"/>
            <w:tcBorders>
              <w:top w:val="nil"/>
              <w:left w:val="single" w:sz="4" w:space="0" w:color="000000"/>
              <w:bottom w:val="single" w:sz="4" w:space="0" w:color="000000"/>
              <w:right w:val="single" w:sz="4" w:space="0" w:color="000000"/>
            </w:tcBorders>
            <w:shd w:val="clear" w:color="auto" w:fill="auto"/>
          </w:tcPr>
          <w:p w14:paraId="271DB1B5"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voyage</w:t>
            </w:r>
          </w:p>
        </w:tc>
        <w:tc>
          <w:tcPr>
            <w:tcW w:w="2815" w:type="dxa"/>
            <w:tcBorders>
              <w:top w:val="nil"/>
              <w:left w:val="nil"/>
              <w:bottom w:val="single" w:sz="4" w:space="0" w:color="000000"/>
              <w:right w:val="single" w:sz="4" w:space="0" w:color="000000"/>
            </w:tcBorders>
            <w:shd w:val="clear" w:color="auto" w:fill="auto"/>
          </w:tcPr>
          <w:p w14:paraId="3937374F" w14:textId="77777777" w:rsidR="00C71504" w:rsidRPr="0090014B" w:rsidRDefault="00353AB7">
            <w:pPr>
              <w:ind w:left="0" w:firstLine="0"/>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Organisation de réunion en ligne </w:t>
            </w:r>
          </w:p>
        </w:tc>
        <w:tc>
          <w:tcPr>
            <w:tcW w:w="1321" w:type="dxa"/>
            <w:tcBorders>
              <w:top w:val="nil"/>
              <w:left w:val="nil"/>
              <w:bottom w:val="single" w:sz="4" w:space="0" w:color="000000"/>
              <w:right w:val="single" w:sz="4" w:space="0" w:color="000000"/>
            </w:tcBorders>
            <w:shd w:val="clear" w:color="auto" w:fill="auto"/>
          </w:tcPr>
          <w:p w14:paraId="1651A147"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PNUD-UNCDF</w:t>
            </w:r>
          </w:p>
        </w:tc>
        <w:tc>
          <w:tcPr>
            <w:tcW w:w="1230" w:type="dxa"/>
            <w:tcBorders>
              <w:top w:val="nil"/>
              <w:left w:val="nil"/>
              <w:bottom w:val="single" w:sz="4" w:space="0" w:color="000000"/>
              <w:right w:val="single" w:sz="4" w:space="0" w:color="000000"/>
            </w:tcBorders>
            <w:shd w:val="clear" w:color="auto" w:fill="auto"/>
          </w:tcPr>
          <w:p w14:paraId="54A4D085"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 Avril – jusqu’à nouvel ordre</w:t>
            </w:r>
          </w:p>
        </w:tc>
      </w:tr>
      <w:tr w:rsidR="00FF535B" w:rsidRPr="0090014B" w14:paraId="0E9519E9" w14:textId="77777777" w:rsidTr="00C728AC">
        <w:trPr>
          <w:trHeight w:val="255"/>
        </w:trPr>
        <w:tc>
          <w:tcPr>
            <w:tcW w:w="1518" w:type="dxa"/>
            <w:tcBorders>
              <w:top w:val="nil"/>
              <w:left w:val="single" w:sz="4" w:space="0" w:color="000000"/>
              <w:bottom w:val="single" w:sz="4" w:space="0" w:color="000000"/>
              <w:right w:val="single" w:sz="4" w:space="0" w:color="000000"/>
            </w:tcBorders>
            <w:shd w:val="clear" w:color="auto" w:fill="auto"/>
          </w:tcPr>
          <w:p w14:paraId="0A881D6E" w14:textId="77777777" w:rsidR="00FF535B" w:rsidRPr="0090014B" w:rsidRDefault="00FF535B" w:rsidP="008F0DC8">
            <w:pPr>
              <w:jc w:val="left"/>
              <w:rPr>
                <w:rFonts w:asciiTheme="majorHAnsi" w:hAnsiTheme="majorHAnsi" w:cstheme="majorHAnsi"/>
                <w:color w:val="000000"/>
                <w:sz w:val="22"/>
                <w:szCs w:val="22"/>
              </w:rPr>
            </w:pPr>
            <w:r w:rsidRPr="00FF535B">
              <w:rPr>
                <w:rFonts w:asciiTheme="majorHAnsi" w:hAnsiTheme="majorHAnsi" w:cstheme="majorHAnsi"/>
                <w:sz w:val="22"/>
                <w:szCs w:val="22"/>
              </w:rPr>
              <w:t>Non prise en compte de certains aspects du bois-énergie à cause de son encrage institutionnel à cheval sur différents Ministères (Environnement, Energie).</w:t>
            </w:r>
          </w:p>
        </w:tc>
        <w:tc>
          <w:tcPr>
            <w:tcW w:w="1370" w:type="dxa"/>
            <w:tcBorders>
              <w:top w:val="nil"/>
              <w:left w:val="single" w:sz="4" w:space="0" w:color="000000"/>
              <w:bottom w:val="single" w:sz="4" w:space="0" w:color="000000"/>
              <w:right w:val="single" w:sz="4" w:space="0" w:color="000000"/>
            </w:tcBorders>
            <w:shd w:val="clear" w:color="auto" w:fill="auto"/>
          </w:tcPr>
          <w:p w14:paraId="22DDAEEC" w14:textId="77777777" w:rsidR="00FF535B" w:rsidRPr="0090014B" w:rsidRDefault="00FF535B" w:rsidP="008F0DC8">
            <w:pPr>
              <w:jc w:val="left"/>
              <w:rPr>
                <w:rFonts w:asciiTheme="majorHAnsi" w:hAnsiTheme="majorHAnsi" w:cstheme="majorHAnsi"/>
                <w:color w:val="000000"/>
                <w:sz w:val="22"/>
                <w:szCs w:val="22"/>
              </w:rPr>
            </w:pPr>
            <w:r>
              <w:rPr>
                <w:rFonts w:asciiTheme="majorHAnsi" w:hAnsiTheme="majorHAnsi" w:cstheme="majorHAnsi"/>
                <w:color w:val="000000"/>
                <w:sz w:val="22"/>
                <w:szCs w:val="22"/>
              </w:rPr>
              <w:t>Juillet 2020</w:t>
            </w:r>
          </w:p>
        </w:tc>
        <w:tc>
          <w:tcPr>
            <w:tcW w:w="960" w:type="dxa"/>
            <w:tcBorders>
              <w:top w:val="nil"/>
              <w:left w:val="single" w:sz="4" w:space="0" w:color="000000"/>
              <w:bottom w:val="single" w:sz="4" w:space="0" w:color="000000"/>
              <w:right w:val="single" w:sz="4" w:space="0" w:color="000000"/>
            </w:tcBorders>
            <w:shd w:val="clear" w:color="auto" w:fill="auto"/>
          </w:tcPr>
          <w:p w14:paraId="2D8C62C9" w14:textId="77777777" w:rsidR="00FF535B" w:rsidRPr="0090014B" w:rsidRDefault="00FF535B" w:rsidP="008F0DC8">
            <w:pPr>
              <w:jc w:val="left"/>
              <w:rPr>
                <w:rFonts w:asciiTheme="majorHAnsi" w:hAnsiTheme="majorHAnsi" w:cstheme="majorHAnsi"/>
                <w:color w:val="000000"/>
                <w:sz w:val="22"/>
                <w:szCs w:val="22"/>
              </w:rPr>
            </w:pPr>
            <w:r>
              <w:rPr>
                <w:rFonts w:asciiTheme="majorHAnsi" w:hAnsiTheme="majorHAnsi" w:cstheme="majorHAnsi"/>
                <w:color w:val="000000"/>
                <w:sz w:val="22"/>
                <w:szCs w:val="22"/>
              </w:rPr>
              <w:t>institutionnelle</w:t>
            </w:r>
          </w:p>
        </w:tc>
        <w:tc>
          <w:tcPr>
            <w:tcW w:w="2815" w:type="dxa"/>
            <w:tcBorders>
              <w:top w:val="nil"/>
              <w:left w:val="nil"/>
              <w:bottom w:val="single" w:sz="4" w:space="0" w:color="000000"/>
              <w:right w:val="single" w:sz="4" w:space="0" w:color="000000"/>
            </w:tcBorders>
            <w:shd w:val="clear" w:color="auto" w:fill="auto"/>
          </w:tcPr>
          <w:p w14:paraId="7DB684B2" w14:textId="33653D31" w:rsidR="00FF535B" w:rsidRPr="0090014B" w:rsidRDefault="00FF535B" w:rsidP="008F0DC8">
            <w:pPr>
              <w:rPr>
                <w:rFonts w:asciiTheme="majorHAnsi" w:hAnsiTheme="majorHAnsi" w:cstheme="majorHAnsi"/>
                <w:color w:val="000000"/>
                <w:sz w:val="22"/>
                <w:szCs w:val="22"/>
              </w:rPr>
            </w:pPr>
            <w:r>
              <w:rPr>
                <w:rFonts w:asciiTheme="majorHAnsi" w:hAnsiTheme="majorHAnsi" w:cstheme="majorHAnsi"/>
                <w:sz w:val="22"/>
                <w:szCs w:val="22"/>
              </w:rPr>
              <w:t>Création d’un cadre de collaboration effective à travers le comité de pilotage politique et le comité technique de processus d’élaboration de la politique nationale de l’énergie et de la stratégie de cuisson propre</w:t>
            </w:r>
          </w:p>
          <w:p w14:paraId="5E0D8C09" w14:textId="77777777" w:rsidR="00FF535B" w:rsidRPr="0090014B" w:rsidRDefault="00FF535B" w:rsidP="008F0DC8">
            <w:pPr>
              <w:ind w:left="0" w:firstLine="0"/>
              <w:jc w:val="left"/>
              <w:rPr>
                <w:rFonts w:asciiTheme="majorHAnsi" w:hAnsiTheme="majorHAnsi" w:cstheme="majorHAnsi"/>
                <w:color w:val="000000"/>
                <w:sz w:val="22"/>
                <w:szCs w:val="22"/>
              </w:rPr>
            </w:pPr>
          </w:p>
        </w:tc>
        <w:tc>
          <w:tcPr>
            <w:tcW w:w="1321" w:type="dxa"/>
            <w:tcBorders>
              <w:top w:val="nil"/>
              <w:left w:val="nil"/>
              <w:bottom w:val="single" w:sz="4" w:space="0" w:color="000000"/>
              <w:right w:val="single" w:sz="4" w:space="0" w:color="000000"/>
            </w:tcBorders>
            <w:shd w:val="clear" w:color="auto" w:fill="auto"/>
          </w:tcPr>
          <w:p w14:paraId="48C21A59" w14:textId="77777777" w:rsidR="00FF535B" w:rsidRDefault="00FF535B" w:rsidP="008F0DC8">
            <w:pPr>
              <w:jc w:val="left"/>
              <w:rPr>
                <w:rFonts w:asciiTheme="majorHAnsi" w:hAnsiTheme="majorHAnsi" w:cstheme="majorHAnsi"/>
                <w:color w:val="000000"/>
                <w:sz w:val="22"/>
                <w:szCs w:val="22"/>
              </w:rPr>
            </w:pPr>
            <w:r>
              <w:rPr>
                <w:rFonts w:asciiTheme="majorHAnsi" w:hAnsiTheme="majorHAnsi" w:cstheme="majorHAnsi"/>
                <w:color w:val="000000"/>
                <w:sz w:val="22"/>
                <w:szCs w:val="22"/>
              </w:rPr>
              <w:t xml:space="preserve">PNUD </w:t>
            </w:r>
          </w:p>
          <w:p w14:paraId="5979A372" w14:textId="77777777" w:rsidR="00FF535B" w:rsidRDefault="00FF535B" w:rsidP="008F0DC8">
            <w:pPr>
              <w:jc w:val="left"/>
              <w:rPr>
                <w:rFonts w:asciiTheme="majorHAnsi" w:hAnsiTheme="majorHAnsi" w:cstheme="majorHAnsi"/>
                <w:color w:val="000000"/>
                <w:sz w:val="22"/>
                <w:szCs w:val="22"/>
              </w:rPr>
            </w:pPr>
            <w:r>
              <w:rPr>
                <w:rFonts w:asciiTheme="majorHAnsi" w:hAnsiTheme="majorHAnsi" w:cstheme="majorHAnsi"/>
                <w:color w:val="000000"/>
                <w:sz w:val="22"/>
                <w:szCs w:val="22"/>
              </w:rPr>
              <w:t>MRHE</w:t>
            </w:r>
          </w:p>
          <w:p w14:paraId="2A802176" w14:textId="77777777" w:rsidR="00FF535B" w:rsidRPr="0090014B" w:rsidRDefault="00FF535B" w:rsidP="008F0DC8">
            <w:pPr>
              <w:jc w:val="left"/>
              <w:rPr>
                <w:rFonts w:asciiTheme="majorHAnsi" w:hAnsiTheme="majorHAnsi" w:cstheme="majorHAnsi"/>
                <w:color w:val="000000"/>
                <w:sz w:val="22"/>
                <w:szCs w:val="22"/>
              </w:rPr>
            </w:pPr>
            <w:r>
              <w:rPr>
                <w:rFonts w:asciiTheme="majorHAnsi" w:hAnsiTheme="majorHAnsi" w:cstheme="majorHAnsi"/>
                <w:color w:val="000000"/>
                <w:sz w:val="22"/>
                <w:szCs w:val="22"/>
              </w:rPr>
              <w:t>MEDD</w:t>
            </w:r>
          </w:p>
        </w:tc>
        <w:tc>
          <w:tcPr>
            <w:tcW w:w="1230" w:type="dxa"/>
            <w:tcBorders>
              <w:top w:val="nil"/>
              <w:left w:val="nil"/>
              <w:bottom w:val="single" w:sz="4" w:space="0" w:color="000000"/>
              <w:right w:val="single" w:sz="4" w:space="0" w:color="000000"/>
            </w:tcBorders>
            <w:shd w:val="clear" w:color="auto" w:fill="auto"/>
          </w:tcPr>
          <w:p w14:paraId="10906591" w14:textId="77777777" w:rsidR="00FF535B" w:rsidRPr="0090014B" w:rsidRDefault="00FF535B" w:rsidP="008F0DC8">
            <w:pPr>
              <w:jc w:val="left"/>
              <w:rPr>
                <w:rFonts w:asciiTheme="majorHAnsi" w:hAnsiTheme="majorHAnsi" w:cstheme="majorHAnsi"/>
                <w:color w:val="000000"/>
                <w:sz w:val="22"/>
                <w:szCs w:val="22"/>
              </w:rPr>
            </w:pPr>
            <w:r>
              <w:rPr>
                <w:rFonts w:asciiTheme="majorHAnsi" w:hAnsiTheme="majorHAnsi" w:cstheme="majorHAnsi"/>
                <w:color w:val="000000"/>
                <w:sz w:val="22"/>
                <w:szCs w:val="22"/>
              </w:rPr>
              <w:t>Tout au long du processus politique</w:t>
            </w:r>
          </w:p>
        </w:tc>
      </w:tr>
      <w:tr w:rsidR="00C71504" w:rsidRPr="0090014B" w14:paraId="6DC167A1" w14:textId="77777777" w:rsidTr="00C728AC">
        <w:trPr>
          <w:trHeight w:val="255"/>
        </w:trPr>
        <w:tc>
          <w:tcPr>
            <w:tcW w:w="1518" w:type="dxa"/>
            <w:tcBorders>
              <w:top w:val="single" w:sz="4" w:space="0" w:color="000000"/>
              <w:left w:val="single" w:sz="4" w:space="0" w:color="000000"/>
              <w:bottom w:val="single" w:sz="4" w:space="0" w:color="auto"/>
              <w:right w:val="single" w:sz="4" w:space="0" w:color="000000"/>
            </w:tcBorders>
            <w:shd w:val="clear" w:color="auto" w:fill="auto"/>
          </w:tcPr>
          <w:p w14:paraId="7DB26C7C" w14:textId="77777777" w:rsidR="00C71504" w:rsidRPr="0090014B" w:rsidRDefault="00353AB7">
            <w:pPr>
              <w:ind w:left="0" w:firstLine="0"/>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Faible qualité de livrable sur le GPL</w:t>
            </w:r>
          </w:p>
        </w:tc>
        <w:tc>
          <w:tcPr>
            <w:tcW w:w="1370" w:type="dxa"/>
            <w:tcBorders>
              <w:top w:val="single" w:sz="4" w:space="0" w:color="000000"/>
              <w:left w:val="single" w:sz="4" w:space="0" w:color="000000"/>
              <w:bottom w:val="single" w:sz="4" w:space="0" w:color="auto"/>
              <w:right w:val="single" w:sz="4" w:space="0" w:color="000000"/>
            </w:tcBorders>
            <w:shd w:val="clear" w:color="auto" w:fill="auto"/>
          </w:tcPr>
          <w:p w14:paraId="40F8C809"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Octobre 2020</w:t>
            </w:r>
          </w:p>
        </w:tc>
        <w:tc>
          <w:tcPr>
            <w:tcW w:w="960" w:type="dxa"/>
            <w:tcBorders>
              <w:top w:val="single" w:sz="4" w:space="0" w:color="000000"/>
              <w:left w:val="single" w:sz="4" w:space="0" w:color="000000"/>
              <w:bottom w:val="single" w:sz="4" w:space="0" w:color="auto"/>
              <w:right w:val="single" w:sz="4" w:space="0" w:color="000000"/>
            </w:tcBorders>
            <w:shd w:val="clear" w:color="auto" w:fill="auto"/>
          </w:tcPr>
          <w:p w14:paraId="231EC5D5"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technique</w:t>
            </w:r>
          </w:p>
        </w:tc>
        <w:tc>
          <w:tcPr>
            <w:tcW w:w="2815" w:type="dxa"/>
            <w:tcBorders>
              <w:top w:val="single" w:sz="4" w:space="0" w:color="000000"/>
              <w:left w:val="single" w:sz="4" w:space="0" w:color="000000"/>
              <w:bottom w:val="single" w:sz="4" w:space="0" w:color="auto"/>
              <w:right w:val="single" w:sz="4" w:space="0" w:color="000000"/>
            </w:tcBorders>
            <w:shd w:val="clear" w:color="auto" w:fill="auto"/>
          </w:tcPr>
          <w:p w14:paraId="6E983792" w14:textId="77777777" w:rsidR="00C71504" w:rsidRPr="0090014B" w:rsidRDefault="00353AB7">
            <w:pPr>
              <w:ind w:left="0" w:firstLine="0"/>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Exiger que les livrable</w:t>
            </w:r>
            <w:r w:rsidR="005A7959" w:rsidRPr="0090014B">
              <w:rPr>
                <w:rFonts w:asciiTheme="majorHAnsi" w:hAnsiTheme="majorHAnsi" w:cstheme="majorHAnsi"/>
                <w:color w:val="000000"/>
                <w:sz w:val="22"/>
                <w:szCs w:val="22"/>
              </w:rPr>
              <w:t>s</w:t>
            </w:r>
            <w:r w:rsidRPr="0090014B">
              <w:rPr>
                <w:rFonts w:asciiTheme="majorHAnsi" w:hAnsiTheme="majorHAnsi" w:cstheme="majorHAnsi"/>
                <w:color w:val="000000"/>
                <w:sz w:val="22"/>
                <w:szCs w:val="22"/>
              </w:rPr>
              <w:t xml:space="preserve"> soient absolument soumis à consultation des partie</w:t>
            </w:r>
            <w:r w:rsidR="005A7959" w:rsidRPr="0090014B">
              <w:rPr>
                <w:rFonts w:asciiTheme="majorHAnsi" w:hAnsiTheme="majorHAnsi" w:cstheme="majorHAnsi"/>
                <w:color w:val="000000"/>
                <w:sz w:val="22"/>
                <w:szCs w:val="22"/>
              </w:rPr>
              <w:t>s</w:t>
            </w:r>
            <w:r w:rsidRPr="0090014B">
              <w:rPr>
                <w:rFonts w:asciiTheme="majorHAnsi" w:hAnsiTheme="majorHAnsi" w:cstheme="majorHAnsi"/>
                <w:color w:val="000000"/>
                <w:sz w:val="22"/>
                <w:szCs w:val="22"/>
              </w:rPr>
              <w:t xml:space="preserve"> prenantes </w:t>
            </w:r>
          </w:p>
        </w:tc>
        <w:tc>
          <w:tcPr>
            <w:tcW w:w="1321" w:type="dxa"/>
            <w:tcBorders>
              <w:top w:val="single" w:sz="4" w:space="0" w:color="000000"/>
              <w:left w:val="single" w:sz="4" w:space="0" w:color="000000"/>
              <w:bottom w:val="single" w:sz="4" w:space="0" w:color="auto"/>
              <w:right w:val="single" w:sz="4" w:space="0" w:color="000000"/>
            </w:tcBorders>
            <w:shd w:val="clear" w:color="auto" w:fill="auto"/>
          </w:tcPr>
          <w:p w14:paraId="6098C8E9"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PNUD-UNCDF-GLPGP</w:t>
            </w:r>
          </w:p>
        </w:tc>
        <w:tc>
          <w:tcPr>
            <w:tcW w:w="1230" w:type="dxa"/>
            <w:tcBorders>
              <w:top w:val="single" w:sz="4" w:space="0" w:color="000000"/>
              <w:left w:val="single" w:sz="4" w:space="0" w:color="000000"/>
              <w:bottom w:val="single" w:sz="4" w:space="0" w:color="auto"/>
              <w:right w:val="single" w:sz="4" w:space="0" w:color="000000"/>
            </w:tcBorders>
            <w:shd w:val="clear" w:color="auto" w:fill="auto"/>
          </w:tcPr>
          <w:p w14:paraId="606069A2" w14:textId="77777777" w:rsidR="00C71504" w:rsidRPr="0090014B" w:rsidRDefault="00353AB7">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Tout au long du contrat</w:t>
            </w:r>
          </w:p>
        </w:tc>
      </w:tr>
      <w:tr w:rsidR="00C728AC" w:rsidRPr="0090014B" w14:paraId="24DFB2F7" w14:textId="77777777" w:rsidTr="00C728AC">
        <w:tblPrEx>
          <w:tblLook w:val="04A0" w:firstRow="1" w:lastRow="0" w:firstColumn="1" w:lastColumn="0" w:noHBand="0" w:noVBand="1"/>
        </w:tblPrEx>
        <w:trPr>
          <w:trHeight w:val="255"/>
        </w:trPr>
        <w:tc>
          <w:tcPr>
            <w:tcW w:w="1518" w:type="dxa"/>
            <w:tcBorders>
              <w:top w:val="single" w:sz="4" w:space="0" w:color="auto"/>
              <w:left w:val="single" w:sz="4" w:space="0" w:color="auto"/>
              <w:bottom w:val="single" w:sz="4" w:space="0" w:color="auto"/>
              <w:right w:val="single" w:sz="4" w:space="0" w:color="auto"/>
            </w:tcBorders>
          </w:tcPr>
          <w:p w14:paraId="5AF24F24" w14:textId="77777777" w:rsidR="00C728AC" w:rsidRPr="0090014B" w:rsidRDefault="00C728AC" w:rsidP="00602166">
            <w:pPr>
              <w:ind w:left="0" w:firstLine="0"/>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Retard des activités sur le volet GPL en cas de suspension de partenariat avec GLPGP</w:t>
            </w:r>
          </w:p>
        </w:tc>
        <w:tc>
          <w:tcPr>
            <w:tcW w:w="1370" w:type="dxa"/>
            <w:tcBorders>
              <w:top w:val="single" w:sz="4" w:space="0" w:color="auto"/>
              <w:left w:val="single" w:sz="4" w:space="0" w:color="auto"/>
              <w:bottom w:val="single" w:sz="4" w:space="0" w:color="auto"/>
              <w:right w:val="single" w:sz="4" w:space="0" w:color="auto"/>
            </w:tcBorders>
          </w:tcPr>
          <w:p w14:paraId="1CD30986" w14:textId="77777777" w:rsidR="00C728AC" w:rsidRPr="0090014B" w:rsidRDefault="00C728AC" w:rsidP="00602166">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Novembre 2020</w:t>
            </w:r>
          </w:p>
        </w:tc>
        <w:tc>
          <w:tcPr>
            <w:tcW w:w="960" w:type="dxa"/>
            <w:tcBorders>
              <w:top w:val="single" w:sz="4" w:space="0" w:color="auto"/>
              <w:left w:val="single" w:sz="4" w:space="0" w:color="auto"/>
              <w:bottom w:val="single" w:sz="4" w:space="0" w:color="auto"/>
              <w:right w:val="single" w:sz="4" w:space="0" w:color="auto"/>
            </w:tcBorders>
          </w:tcPr>
          <w:p w14:paraId="67210D4E" w14:textId="77777777" w:rsidR="00C728AC" w:rsidRPr="0090014B" w:rsidRDefault="00C728AC" w:rsidP="00602166">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contractuel</w:t>
            </w:r>
          </w:p>
        </w:tc>
        <w:tc>
          <w:tcPr>
            <w:tcW w:w="2815" w:type="dxa"/>
            <w:tcBorders>
              <w:top w:val="single" w:sz="4" w:space="0" w:color="auto"/>
              <w:left w:val="single" w:sz="4" w:space="0" w:color="auto"/>
              <w:bottom w:val="single" w:sz="4" w:space="0" w:color="auto"/>
              <w:right w:val="single" w:sz="4" w:space="0" w:color="auto"/>
            </w:tcBorders>
          </w:tcPr>
          <w:p w14:paraId="7A0848F1" w14:textId="77777777" w:rsidR="00C728AC" w:rsidRPr="0090014B" w:rsidRDefault="00C728AC" w:rsidP="00602166">
            <w:pPr>
              <w:ind w:left="0" w:firstLine="0"/>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Conduite d’un spot check pour vérifier la conformité des opérations du partenaire vis-à-vis des principes des procédures du système des Nations Unies</w:t>
            </w:r>
          </w:p>
        </w:tc>
        <w:tc>
          <w:tcPr>
            <w:tcW w:w="1321" w:type="dxa"/>
            <w:tcBorders>
              <w:top w:val="single" w:sz="4" w:space="0" w:color="auto"/>
              <w:left w:val="single" w:sz="4" w:space="0" w:color="auto"/>
              <w:bottom w:val="single" w:sz="4" w:space="0" w:color="auto"/>
              <w:right w:val="single" w:sz="4" w:space="0" w:color="auto"/>
            </w:tcBorders>
          </w:tcPr>
          <w:p w14:paraId="2AE33D10" w14:textId="77777777" w:rsidR="00C728AC" w:rsidRPr="0090014B" w:rsidRDefault="00C728AC" w:rsidP="00602166">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PNUD-UNCDF</w:t>
            </w:r>
          </w:p>
        </w:tc>
        <w:tc>
          <w:tcPr>
            <w:tcW w:w="1230" w:type="dxa"/>
            <w:tcBorders>
              <w:top w:val="single" w:sz="4" w:space="0" w:color="auto"/>
              <w:left w:val="single" w:sz="4" w:space="0" w:color="auto"/>
              <w:bottom w:val="single" w:sz="4" w:space="0" w:color="auto"/>
              <w:right w:val="single" w:sz="4" w:space="0" w:color="auto"/>
            </w:tcBorders>
          </w:tcPr>
          <w:p w14:paraId="6AAA5DDC" w14:textId="77777777" w:rsidR="00C728AC" w:rsidRPr="0090014B" w:rsidRDefault="00C728AC" w:rsidP="00602166">
            <w:pPr>
              <w:jc w:val="left"/>
              <w:rPr>
                <w:rFonts w:asciiTheme="majorHAnsi" w:hAnsiTheme="majorHAnsi" w:cstheme="majorHAnsi"/>
                <w:color w:val="000000"/>
                <w:sz w:val="22"/>
                <w:szCs w:val="22"/>
              </w:rPr>
            </w:pPr>
            <w:r w:rsidRPr="0090014B">
              <w:rPr>
                <w:rFonts w:asciiTheme="majorHAnsi" w:hAnsiTheme="majorHAnsi" w:cstheme="majorHAnsi"/>
                <w:color w:val="000000"/>
                <w:sz w:val="22"/>
                <w:szCs w:val="22"/>
              </w:rPr>
              <w:t>Décembre 2020 – janvier 2021</w:t>
            </w:r>
          </w:p>
        </w:tc>
      </w:tr>
    </w:tbl>
    <w:p w14:paraId="2FB18E64" w14:textId="77777777" w:rsidR="00C71504" w:rsidRPr="0090014B" w:rsidRDefault="00C71504">
      <w:pPr>
        <w:rPr>
          <w:rFonts w:asciiTheme="majorHAnsi" w:hAnsiTheme="majorHAnsi" w:cstheme="majorHAnsi"/>
          <w:sz w:val="22"/>
          <w:szCs w:val="22"/>
        </w:rPr>
      </w:pPr>
    </w:p>
    <w:p w14:paraId="49B05264" w14:textId="77777777" w:rsidR="00C71504" w:rsidRPr="0090014B" w:rsidRDefault="00353AB7">
      <w:pPr>
        <w:pStyle w:val="Titre1"/>
        <w:numPr>
          <w:ilvl w:val="0"/>
          <w:numId w:val="11"/>
        </w:numPr>
        <w:rPr>
          <w:rFonts w:asciiTheme="majorHAnsi" w:hAnsiTheme="majorHAnsi" w:cstheme="majorHAnsi"/>
          <w:sz w:val="22"/>
          <w:szCs w:val="22"/>
        </w:rPr>
      </w:pPr>
      <w:bookmarkStart w:id="27" w:name="_heading=h.2bn6wsx" w:colFirst="0" w:colLast="0"/>
      <w:bookmarkEnd w:id="27"/>
      <w:r w:rsidRPr="0090014B">
        <w:rPr>
          <w:rFonts w:asciiTheme="majorHAnsi" w:hAnsiTheme="majorHAnsi" w:cstheme="majorHAnsi"/>
          <w:sz w:val="22"/>
          <w:szCs w:val="22"/>
        </w:rPr>
        <w:t>Illustration narrative spécifique</w:t>
      </w:r>
    </w:p>
    <w:p w14:paraId="4DABEF3F" w14:textId="5524AB73" w:rsidR="00C71504" w:rsidRPr="0090014B" w:rsidRDefault="00353AB7" w:rsidP="00C728AC">
      <w:pPr>
        <w:spacing w:after="27" w:line="242" w:lineRule="auto"/>
        <w:ind w:right="35"/>
        <w:rPr>
          <w:rFonts w:asciiTheme="majorHAnsi" w:hAnsiTheme="majorHAnsi" w:cstheme="majorHAnsi"/>
          <w:sz w:val="22"/>
          <w:szCs w:val="22"/>
        </w:rPr>
      </w:pPr>
      <w:r w:rsidRPr="0090014B">
        <w:rPr>
          <w:rFonts w:asciiTheme="majorHAnsi" w:hAnsiTheme="majorHAnsi" w:cstheme="majorHAnsi"/>
          <w:sz w:val="22"/>
          <w:szCs w:val="22"/>
        </w:rPr>
        <w:t>Sous la période de rapportage, le programme a seulement procédé au recrutement des experts/consultants requis pour la conduite des activités. Toutefois, des activités de grande envergure sont planifiées dans le semestre prochain sur le changement de comportement des populations pour l’adoption des foyers améliorés, le gaz (GPL) et surtout l’élaboration de la politique nationale de l’énergie y compris la stratégie de cuisson propre en RDC. Ces interventions permettront de contribuer à la réussite de processus REDD+ en RDC.</w:t>
      </w:r>
    </w:p>
    <w:p w14:paraId="58062AB0" w14:textId="77777777" w:rsidR="00C71504" w:rsidRPr="0090014B" w:rsidRDefault="00C71504">
      <w:pPr>
        <w:spacing w:line="240" w:lineRule="auto"/>
        <w:rPr>
          <w:rFonts w:asciiTheme="majorHAnsi" w:hAnsiTheme="majorHAnsi" w:cstheme="majorHAnsi"/>
          <w:sz w:val="22"/>
          <w:szCs w:val="22"/>
        </w:rPr>
      </w:pPr>
    </w:p>
    <w:p w14:paraId="7FA083DD" w14:textId="77777777" w:rsidR="00C71504" w:rsidRPr="0090014B" w:rsidRDefault="00353AB7">
      <w:pPr>
        <w:pStyle w:val="Titre1"/>
        <w:numPr>
          <w:ilvl w:val="0"/>
          <w:numId w:val="11"/>
        </w:numPr>
        <w:rPr>
          <w:rFonts w:asciiTheme="majorHAnsi" w:hAnsiTheme="majorHAnsi" w:cstheme="majorHAnsi"/>
          <w:sz w:val="22"/>
          <w:szCs w:val="22"/>
        </w:rPr>
      </w:pPr>
      <w:bookmarkStart w:id="28" w:name="_heading=h.qsh70q" w:colFirst="0" w:colLast="0"/>
      <w:bookmarkEnd w:id="28"/>
      <w:r w:rsidRPr="0090014B">
        <w:rPr>
          <w:rFonts w:asciiTheme="majorHAnsi" w:hAnsiTheme="majorHAnsi" w:cstheme="majorHAnsi"/>
          <w:sz w:val="22"/>
          <w:szCs w:val="22"/>
        </w:rPr>
        <w:t>Modalités de suivi</w:t>
      </w:r>
    </w:p>
    <w:p w14:paraId="4BEFC4FF" w14:textId="77777777" w:rsidR="00C71504" w:rsidRPr="0090014B" w:rsidRDefault="00353AB7">
      <w:pPr>
        <w:pBdr>
          <w:top w:val="nil"/>
          <w:left w:val="nil"/>
          <w:bottom w:val="nil"/>
          <w:right w:val="nil"/>
          <w:between w:val="nil"/>
        </w:pBdr>
        <w:spacing w:after="0" w:line="240" w:lineRule="auto"/>
        <w:ind w:left="0" w:right="0" w:firstLine="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Le système de suivi et évaluation est animé par l’équipe du Programme, à travers un spécialiste. L’équipe travaille et rend compte à la coordination du programme et bénéficie de l’assistance ainsi que du soutien de l’unité de suivi et évaluation du bureau pays PNUD. Les grandes activités du suivi et évaluation sont : la collecte des données de base au début du programme, </w:t>
      </w:r>
      <w:r w:rsidR="005A7959" w:rsidRPr="0090014B">
        <w:rPr>
          <w:rFonts w:asciiTheme="majorHAnsi" w:hAnsiTheme="majorHAnsi" w:cstheme="majorHAnsi"/>
          <w:color w:val="000000"/>
          <w:sz w:val="22"/>
          <w:szCs w:val="22"/>
        </w:rPr>
        <w:t>s</w:t>
      </w:r>
      <w:r w:rsidRPr="0090014B">
        <w:rPr>
          <w:rFonts w:asciiTheme="majorHAnsi" w:hAnsiTheme="majorHAnsi" w:cstheme="majorHAnsi"/>
          <w:color w:val="000000"/>
          <w:sz w:val="22"/>
          <w:szCs w:val="22"/>
        </w:rPr>
        <w:t>uivi du progrès vers les résultats qui se fait selon les fréquences de collecte pour chaque indicateur, les missions de visites conjointes de suivi des activités du programme avec différentes parties prenantes, le Suivi et gestion des risques qui se fait à travers une matrice de gestion des risques au sein du programme, l’apprentissage aussi est programmé pour capturer les connaissances ainsi que toutes les bonnes pratiques liées à l’exécution du programme avec une fréquence annuelle, l’assurance qualité aussi pour chaque année, les revues internes et ajustements chaque semestre, le rapportage du programme, la revue du programme par le comité de pilotage chaque année ainsi que les évaluations externes au début et à la fin du programme pour juger les résultats sur base des 5 critères de l’OCDE à savoir l’efficience, efficacité, pertinence, impact et durabilité.</w:t>
      </w:r>
    </w:p>
    <w:p w14:paraId="48655376" w14:textId="77777777" w:rsidR="00C71504" w:rsidRPr="0090014B" w:rsidRDefault="00C71504">
      <w:pPr>
        <w:pBdr>
          <w:top w:val="nil"/>
          <w:left w:val="nil"/>
          <w:bottom w:val="nil"/>
          <w:right w:val="nil"/>
          <w:between w:val="nil"/>
        </w:pBdr>
        <w:spacing w:after="0" w:line="240" w:lineRule="auto"/>
        <w:ind w:left="0" w:right="0" w:firstLine="0"/>
        <w:rPr>
          <w:rFonts w:asciiTheme="majorHAnsi" w:hAnsiTheme="majorHAnsi" w:cstheme="majorHAnsi"/>
          <w:color w:val="000000"/>
          <w:sz w:val="22"/>
          <w:szCs w:val="22"/>
        </w:rPr>
      </w:pPr>
    </w:p>
    <w:p w14:paraId="723FB420" w14:textId="77777777" w:rsidR="00C71504" w:rsidRPr="0090014B" w:rsidRDefault="00353AB7">
      <w:pPr>
        <w:pBdr>
          <w:top w:val="nil"/>
          <w:left w:val="nil"/>
          <w:bottom w:val="nil"/>
          <w:right w:val="nil"/>
          <w:between w:val="nil"/>
        </w:pBdr>
        <w:spacing w:after="0" w:line="240" w:lineRule="auto"/>
        <w:ind w:left="0" w:right="0" w:firstLine="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Pour suivre l’évolution du programme, le Plan de Travail Annuel et le tableau de suivi des indicateurs de performance avec un calendrier sont les outils </w:t>
      </w:r>
      <w:r w:rsidRPr="0090014B">
        <w:rPr>
          <w:rFonts w:asciiTheme="majorHAnsi" w:hAnsiTheme="majorHAnsi" w:cstheme="majorHAnsi"/>
          <w:sz w:val="22"/>
          <w:szCs w:val="22"/>
        </w:rPr>
        <w:t>mis en place.</w:t>
      </w:r>
      <w:r w:rsidRPr="0090014B">
        <w:rPr>
          <w:rFonts w:asciiTheme="majorHAnsi" w:hAnsiTheme="majorHAnsi" w:cstheme="majorHAnsi"/>
          <w:color w:val="000000"/>
          <w:sz w:val="22"/>
          <w:szCs w:val="22"/>
        </w:rPr>
        <w:t xml:space="preserve"> Ces outils nous permettent de suivre de près les activités en nous alertant sur les deadlines à respecter et comment ajuster pour rattraper les retards probables. Pour renseigner les données quantitatives, nous sommes en train de mettre en place une solution en ligne qui sera utilisé</w:t>
      </w:r>
      <w:r w:rsidR="005A7959" w:rsidRPr="0090014B">
        <w:rPr>
          <w:rFonts w:asciiTheme="majorHAnsi" w:hAnsiTheme="majorHAnsi" w:cstheme="majorHAnsi"/>
          <w:color w:val="000000"/>
          <w:sz w:val="22"/>
          <w:szCs w:val="22"/>
        </w:rPr>
        <w:t>e</w:t>
      </w:r>
      <w:r w:rsidRPr="0090014B">
        <w:rPr>
          <w:rFonts w:asciiTheme="majorHAnsi" w:hAnsiTheme="majorHAnsi" w:cstheme="majorHAnsi"/>
          <w:color w:val="000000"/>
          <w:sz w:val="22"/>
          <w:szCs w:val="22"/>
        </w:rPr>
        <w:t xml:space="preserve"> par tous les partenaires afin de faciliter leurs transmissions en temps réel. </w:t>
      </w:r>
    </w:p>
    <w:p w14:paraId="10EE1CCC" w14:textId="77777777" w:rsidR="00C71504" w:rsidRPr="0090014B" w:rsidRDefault="00C71504">
      <w:pPr>
        <w:spacing w:after="8" w:line="259" w:lineRule="auto"/>
        <w:ind w:right="0"/>
        <w:rPr>
          <w:rFonts w:asciiTheme="majorHAnsi" w:hAnsiTheme="majorHAnsi" w:cstheme="majorHAnsi"/>
          <w:sz w:val="22"/>
          <w:szCs w:val="22"/>
        </w:rPr>
      </w:pPr>
    </w:p>
    <w:p w14:paraId="19D38A9D" w14:textId="77777777" w:rsidR="00C71504" w:rsidRPr="0090014B" w:rsidRDefault="00353AB7">
      <w:pPr>
        <w:spacing w:after="8" w:line="259" w:lineRule="auto"/>
        <w:ind w:right="0"/>
        <w:rPr>
          <w:rFonts w:asciiTheme="majorHAnsi" w:hAnsiTheme="majorHAnsi" w:cstheme="majorHAnsi"/>
          <w:color w:val="000000"/>
          <w:sz w:val="22"/>
          <w:szCs w:val="22"/>
        </w:rPr>
      </w:pPr>
      <w:r w:rsidRPr="0090014B">
        <w:rPr>
          <w:rFonts w:asciiTheme="majorHAnsi" w:hAnsiTheme="majorHAnsi" w:cstheme="majorHAnsi"/>
          <w:sz w:val="22"/>
          <w:szCs w:val="22"/>
        </w:rPr>
        <w:t>Le budget annuel 2020 du suivi et évaluation représentent USD 180 00, y compris le personnel de suivi-évaluation soit 5 % du budget annuel. Le montant total alloué aux études de références est estimé à USD 619 004 soit 17,5% du budget annuel</w:t>
      </w:r>
      <w:r w:rsidRPr="0090014B">
        <w:rPr>
          <w:rFonts w:asciiTheme="majorHAnsi" w:hAnsiTheme="majorHAnsi" w:cstheme="majorHAnsi"/>
          <w:color w:val="000000"/>
          <w:sz w:val="22"/>
          <w:szCs w:val="22"/>
        </w:rPr>
        <w:t>.</w:t>
      </w:r>
    </w:p>
    <w:p w14:paraId="63796DF8" w14:textId="77777777" w:rsidR="00C71504" w:rsidRPr="0090014B" w:rsidRDefault="00C71504">
      <w:pPr>
        <w:spacing w:after="0" w:line="240" w:lineRule="auto"/>
        <w:ind w:left="0" w:right="0" w:firstLine="0"/>
        <w:jc w:val="left"/>
        <w:rPr>
          <w:rFonts w:asciiTheme="majorHAnsi" w:eastAsia="Noto Sans Symbols" w:hAnsiTheme="majorHAnsi" w:cstheme="majorHAnsi"/>
          <w:sz w:val="22"/>
          <w:szCs w:val="22"/>
        </w:rPr>
      </w:pPr>
    </w:p>
    <w:p w14:paraId="447CA121" w14:textId="77777777" w:rsidR="00C71504" w:rsidRPr="0090014B" w:rsidRDefault="00353AB7">
      <w:pPr>
        <w:spacing w:after="8" w:line="259" w:lineRule="auto"/>
        <w:ind w:right="0"/>
        <w:rPr>
          <w:rFonts w:asciiTheme="majorHAnsi" w:hAnsiTheme="majorHAnsi" w:cstheme="majorHAnsi"/>
          <w:b/>
          <w:sz w:val="22"/>
          <w:szCs w:val="22"/>
        </w:rPr>
      </w:pPr>
      <w:r w:rsidRPr="0090014B">
        <w:rPr>
          <w:rFonts w:asciiTheme="majorHAnsi" w:hAnsiTheme="majorHAnsi" w:cstheme="majorHAnsi"/>
          <w:b/>
          <w:sz w:val="22"/>
          <w:szCs w:val="22"/>
        </w:rPr>
        <w:t>Travail des structures de gouvernance :</w:t>
      </w:r>
    </w:p>
    <w:p w14:paraId="7C3E4740" w14:textId="77777777" w:rsidR="00C71504" w:rsidRPr="0090014B" w:rsidRDefault="00353AB7">
      <w:pPr>
        <w:numPr>
          <w:ilvl w:val="0"/>
          <w:numId w:val="9"/>
        </w:numPr>
        <w:pBdr>
          <w:top w:val="nil"/>
          <w:left w:val="nil"/>
          <w:bottom w:val="nil"/>
          <w:right w:val="nil"/>
          <w:between w:val="nil"/>
        </w:pBdr>
        <w:spacing w:after="0" w:line="259" w:lineRule="auto"/>
        <w:ind w:right="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Le Comité de pilotage assure la supervision et fournit la direction stratégique, et dispose d'un pouvoir de décision ; </w:t>
      </w:r>
    </w:p>
    <w:p w14:paraId="7C406166" w14:textId="77777777" w:rsidR="00C71504" w:rsidRPr="0090014B" w:rsidRDefault="00353AB7">
      <w:pPr>
        <w:numPr>
          <w:ilvl w:val="0"/>
          <w:numId w:val="9"/>
        </w:numPr>
        <w:pBdr>
          <w:top w:val="nil"/>
          <w:left w:val="nil"/>
          <w:bottom w:val="nil"/>
          <w:right w:val="nil"/>
          <w:between w:val="nil"/>
        </w:pBdr>
        <w:spacing w:after="0" w:line="259" w:lineRule="auto"/>
        <w:ind w:right="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La partie nationale participe au mécanisme de gouvernance, par exemple en co-dirigeant le Comité de pilotage. Dans le cas du programme Energie, les agences d’exécution, le FONAREDD, les principaux bailleurs, la société civile et le secteur privé devraient par ailleurs participer à la coordination et la supervision du programme. </w:t>
      </w:r>
    </w:p>
    <w:p w14:paraId="4CE58FB3" w14:textId="77777777" w:rsidR="00C71504" w:rsidRPr="0090014B" w:rsidRDefault="00353AB7">
      <w:pPr>
        <w:numPr>
          <w:ilvl w:val="0"/>
          <w:numId w:val="9"/>
        </w:numPr>
        <w:pBdr>
          <w:top w:val="nil"/>
          <w:left w:val="nil"/>
          <w:bottom w:val="nil"/>
          <w:right w:val="nil"/>
          <w:between w:val="nil"/>
        </w:pBdr>
        <w:spacing w:after="0" w:line="259" w:lineRule="auto"/>
        <w:ind w:right="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Le PNUD, en tant qu’Agence pivot, est responsable de la coordination d’ensemble des aspects programmatiques, en synergie étroite avec UNCDF et autres partenaires au programme ; </w:t>
      </w:r>
    </w:p>
    <w:p w14:paraId="1DC6936E" w14:textId="77777777" w:rsidR="00C71504" w:rsidRPr="0090014B" w:rsidRDefault="00353AB7">
      <w:pPr>
        <w:numPr>
          <w:ilvl w:val="0"/>
          <w:numId w:val="9"/>
        </w:numPr>
        <w:pBdr>
          <w:top w:val="nil"/>
          <w:left w:val="nil"/>
          <w:bottom w:val="nil"/>
          <w:right w:val="nil"/>
          <w:between w:val="nil"/>
        </w:pBdr>
        <w:spacing w:after="0" w:line="259" w:lineRule="auto"/>
        <w:ind w:right="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Le bureau du fonds d’affectation multi partenaires (FAMP), en tant qu’Agent Administratif, est responsable de la gestion financière ; </w:t>
      </w:r>
    </w:p>
    <w:p w14:paraId="6612AEC9" w14:textId="77777777" w:rsidR="00C71504" w:rsidRPr="0090014B" w:rsidRDefault="00353AB7">
      <w:pPr>
        <w:numPr>
          <w:ilvl w:val="0"/>
          <w:numId w:val="9"/>
        </w:numPr>
        <w:pBdr>
          <w:top w:val="nil"/>
          <w:left w:val="nil"/>
          <w:bottom w:val="nil"/>
          <w:right w:val="nil"/>
          <w:between w:val="nil"/>
        </w:pBdr>
        <w:spacing w:after="8" w:line="259" w:lineRule="auto"/>
        <w:ind w:right="0"/>
        <w:rPr>
          <w:rFonts w:asciiTheme="majorHAnsi" w:hAnsiTheme="majorHAnsi" w:cstheme="majorHAnsi"/>
          <w:color w:val="000000"/>
          <w:sz w:val="22"/>
          <w:szCs w:val="22"/>
        </w:rPr>
      </w:pPr>
      <w:r w:rsidRPr="0090014B">
        <w:rPr>
          <w:rFonts w:asciiTheme="majorHAnsi" w:hAnsiTheme="majorHAnsi" w:cstheme="majorHAnsi"/>
          <w:color w:val="000000"/>
          <w:sz w:val="22"/>
          <w:szCs w:val="22"/>
        </w:rPr>
        <w:t xml:space="preserve">Chaque organisation des Nations Unies participante (PNUD, UNCDF) a la responsabilité programmatique et financière des fonds qui lui ont été versés ; </w:t>
      </w:r>
    </w:p>
    <w:p w14:paraId="75C84E53" w14:textId="77777777" w:rsidR="00C71504" w:rsidRPr="0090014B" w:rsidRDefault="00C71504">
      <w:pPr>
        <w:spacing w:after="8" w:line="259" w:lineRule="auto"/>
        <w:ind w:right="0"/>
        <w:rPr>
          <w:rFonts w:asciiTheme="majorHAnsi" w:hAnsiTheme="majorHAnsi" w:cstheme="majorHAnsi"/>
          <w:sz w:val="22"/>
          <w:szCs w:val="22"/>
        </w:rPr>
      </w:pPr>
    </w:p>
    <w:p w14:paraId="2071C947" w14:textId="77777777" w:rsidR="00C71504" w:rsidRPr="0090014B" w:rsidRDefault="00353AB7">
      <w:pPr>
        <w:ind w:left="0" w:right="35" w:firstLine="0"/>
        <w:rPr>
          <w:rFonts w:asciiTheme="majorHAnsi" w:hAnsiTheme="majorHAnsi" w:cstheme="majorHAnsi"/>
          <w:color w:val="000000"/>
          <w:sz w:val="22"/>
          <w:szCs w:val="22"/>
        </w:rPr>
      </w:pPr>
      <w:r w:rsidRPr="0090014B">
        <w:rPr>
          <w:rFonts w:asciiTheme="majorHAnsi" w:hAnsiTheme="majorHAnsi" w:cstheme="majorHAnsi"/>
          <w:color w:val="000000"/>
          <w:sz w:val="22"/>
          <w:szCs w:val="22"/>
        </w:rPr>
        <w:t>Tableau 11 - Etat d’avancement du plan de suivi du programme.</w:t>
      </w:r>
    </w:p>
    <w:tbl>
      <w:tblPr>
        <w:tblStyle w:val="1"/>
        <w:tblW w:w="9130" w:type="dxa"/>
        <w:tblInd w:w="-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2185"/>
        <w:gridCol w:w="796"/>
        <w:gridCol w:w="796"/>
        <w:gridCol w:w="956"/>
        <w:gridCol w:w="1137"/>
        <w:gridCol w:w="3260"/>
      </w:tblGrid>
      <w:tr w:rsidR="00C71504" w:rsidRPr="0090014B" w14:paraId="458B4020" w14:textId="77777777">
        <w:tc>
          <w:tcPr>
            <w:tcW w:w="2185" w:type="dxa"/>
            <w:shd w:val="clear" w:color="auto" w:fill="B4C6E7"/>
          </w:tcPr>
          <w:p w14:paraId="48437DD6" w14:textId="77777777" w:rsidR="00C71504" w:rsidRPr="0090014B" w:rsidRDefault="00353AB7">
            <w:pPr>
              <w:ind w:left="0" w:right="35" w:firstLine="0"/>
              <w:rPr>
                <w:rFonts w:asciiTheme="majorHAnsi" w:eastAsia="Calibri" w:hAnsiTheme="majorHAnsi" w:cstheme="majorHAnsi"/>
                <w:b/>
                <w:color w:val="000000"/>
                <w:sz w:val="22"/>
                <w:szCs w:val="22"/>
              </w:rPr>
            </w:pPr>
            <w:r w:rsidRPr="0090014B">
              <w:rPr>
                <w:rFonts w:asciiTheme="majorHAnsi" w:eastAsia="Calibri" w:hAnsiTheme="majorHAnsi" w:cstheme="majorHAnsi"/>
                <w:b/>
                <w:color w:val="000000"/>
                <w:sz w:val="22"/>
                <w:szCs w:val="22"/>
              </w:rPr>
              <w:t>Activité de suivi et évaluation</w:t>
            </w:r>
          </w:p>
        </w:tc>
        <w:tc>
          <w:tcPr>
            <w:tcW w:w="796" w:type="dxa"/>
            <w:shd w:val="clear" w:color="auto" w:fill="B4C6E7"/>
          </w:tcPr>
          <w:p w14:paraId="603F5ACC" w14:textId="77777777" w:rsidR="00C71504" w:rsidRPr="0090014B" w:rsidRDefault="00353AB7">
            <w:pPr>
              <w:ind w:left="0" w:right="35" w:firstLine="0"/>
              <w:rPr>
                <w:rFonts w:asciiTheme="majorHAnsi" w:eastAsia="Calibri" w:hAnsiTheme="majorHAnsi" w:cstheme="majorHAnsi"/>
                <w:b/>
                <w:color w:val="000000"/>
                <w:sz w:val="22"/>
                <w:szCs w:val="22"/>
              </w:rPr>
            </w:pPr>
            <w:r w:rsidRPr="0090014B">
              <w:rPr>
                <w:rFonts w:asciiTheme="majorHAnsi" w:eastAsia="Calibri" w:hAnsiTheme="majorHAnsi" w:cstheme="majorHAnsi"/>
                <w:b/>
                <w:color w:val="000000"/>
                <w:sz w:val="22"/>
                <w:szCs w:val="22"/>
              </w:rPr>
              <w:t>Nombre prévu</w:t>
            </w:r>
          </w:p>
        </w:tc>
        <w:tc>
          <w:tcPr>
            <w:tcW w:w="796" w:type="dxa"/>
            <w:shd w:val="clear" w:color="auto" w:fill="B4C6E7"/>
          </w:tcPr>
          <w:p w14:paraId="798B3F10" w14:textId="77777777" w:rsidR="00C71504" w:rsidRPr="0090014B" w:rsidRDefault="00353AB7">
            <w:pPr>
              <w:ind w:left="0" w:right="35" w:firstLine="0"/>
              <w:rPr>
                <w:rFonts w:asciiTheme="majorHAnsi" w:eastAsia="Calibri" w:hAnsiTheme="majorHAnsi" w:cstheme="majorHAnsi"/>
                <w:b/>
                <w:color w:val="000000"/>
                <w:sz w:val="22"/>
                <w:szCs w:val="22"/>
              </w:rPr>
            </w:pPr>
            <w:r w:rsidRPr="0090014B">
              <w:rPr>
                <w:rFonts w:asciiTheme="majorHAnsi" w:eastAsia="Calibri" w:hAnsiTheme="majorHAnsi" w:cstheme="majorHAnsi"/>
                <w:b/>
                <w:color w:val="000000"/>
                <w:sz w:val="22"/>
                <w:szCs w:val="22"/>
              </w:rPr>
              <w:t>Nombre réalisé</w:t>
            </w:r>
          </w:p>
        </w:tc>
        <w:tc>
          <w:tcPr>
            <w:tcW w:w="956" w:type="dxa"/>
            <w:shd w:val="clear" w:color="auto" w:fill="B4C6E7"/>
          </w:tcPr>
          <w:p w14:paraId="6DFF4BC9" w14:textId="77777777" w:rsidR="00C71504" w:rsidRPr="0090014B" w:rsidRDefault="00353AB7">
            <w:pPr>
              <w:ind w:left="0" w:right="35" w:firstLine="0"/>
              <w:rPr>
                <w:rFonts w:asciiTheme="majorHAnsi" w:eastAsia="Calibri" w:hAnsiTheme="majorHAnsi" w:cstheme="majorHAnsi"/>
                <w:b/>
                <w:color w:val="000000"/>
                <w:sz w:val="22"/>
                <w:szCs w:val="22"/>
              </w:rPr>
            </w:pPr>
            <w:r w:rsidRPr="0090014B">
              <w:rPr>
                <w:rFonts w:asciiTheme="majorHAnsi" w:eastAsia="Calibri" w:hAnsiTheme="majorHAnsi" w:cstheme="majorHAnsi"/>
                <w:b/>
                <w:color w:val="000000"/>
                <w:sz w:val="22"/>
                <w:szCs w:val="22"/>
              </w:rPr>
              <w:t>Taux de réalisation</w:t>
            </w:r>
          </w:p>
        </w:tc>
        <w:tc>
          <w:tcPr>
            <w:tcW w:w="1137" w:type="dxa"/>
            <w:shd w:val="clear" w:color="auto" w:fill="B4C6E7"/>
          </w:tcPr>
          <w:p w14:paraId="760B4B56" w14:textId="77777777" w:rsidR="00C71504" w:rsidRPr="0090014B" w:rsidRDefault="00353AB7">
            <w:pPr>
              <w:ind w:left="0" w:right="35" w:firstLine="0"/>
              <w:rPr>
                <w:rFonts w:asciiTheme="majorHAnsi" w:eastAsia="Calibri" w:hAnsiTheme="majorHAnsi" w:cstheme="majorHAnsi"/>
                <w:b/>
                <w:color w:val="000000"/>
                <w:sz w:val="22"/>
                <w:szCs w:val="22"/>
              </w:rPr>
            </w:pPr>
            <w:r w:rsidRPr="0090014B">
              <w:rPr>
                <w:rFonts w:asciiTheme="majorHAnsi" w:eastAsia="Calibri" w:hAnsiTheme="majorHAnsi" w:cstheme="majorHAnsi"/>
                <w:b/>
                <w:color w:val="000000"/>
                <w:sz w:val="22"/>
                <w:szCs w:val="22"/>
              </w:rPr>
              <w:t>Coûts en USD/Budget</w:t>
            </w:r>
          </w:p>
        </w:tc>
        <w:tc>
          <w:tcPr>
            <w:tcW w:w="3260" w:type="dxa"/>
            <w:shd w:val="clear" w:color="auto" w:fill="B4C6E7"/>
          </w:tcPr>
          <w:p w14:paraId="2A56230C" w14:textId="77777777" w:rsidR="00C71504" w:rsidRPr="0090014B" w:rsidRDefault="00353AB7">
            <w:pPr>
              <w:ind w:left="0" w:right="35" w:firstLine="0"/>
              <w:rPr>
                <w:rFonts w:asciiTheme="majorHAnsi" w:eastAsia="Calibri" w:hAnsiTheme="majorHAnsi" w:cstheme="majorHAnsi"/>
                <w:b/>
                <w:color w:val="000000"/>
                <w:sz w:val="22"/>
                <w:szCs w:val="22"/>
              </w:rPr>
            </w:pPr>
            <w:r w:rsidRPr="0090014B">
              <w:rPr>
                <w:rFonts w:asciiTheme="majorHAnsi" w:eastAsia="Calibri" w:hAnsiTheme="majorHAnsi" w:cstheme="majorHAnsi"/>
                <w:b/>
                <w:color w:val="000000"/>
                <w:sz w:val="22"/>
                <w:szCs w:val="22"/>
              </w:rPr>
              <w:t xml:space="preserve">Résultats et leçons tirées </w:t>
            </w:r>
          </w:p>
        </w:tc>
      </w:tr>
      <w:tr w:rsidR="00C71504" w:rsidRPr="0090014B" w14:paraId="10E5392B" w14:textId="77777777">
        <w:tc>
          <w:tcPr>
            <w:tcW w:w="2185" w:type="dxa"/>
          </w:tcPr>
          <w:p w14:paraId="0A27F162"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Missions de suivi terrain</w:t>
            </w:r>
          </w:p>
        </w:tc>
        <w:tc>
          <w:tcPr>
            <w:tcW w:w="796" w:type="dxa"/>
          </w:tcPr>
          <w:p w14:paraId="3963E357"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9</w:t>
            </w:r>
          </w:p>
        </w:tc>
        <w:tc>
          <w:tcPr>
            <w:tcW w:w="796" w:type="dxa"/>
          </w:tcPr>
          <w:p w14:paraId="481556EC"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0</w:t>
            </w:r>
          </w:p>
        </w:tc>
        <w:tc>
          <w:tcPr>
            <w:tcW w:w="956" w:type="dxa"/>
          </w:tcPr>
          <w:p w14:paraId="75B47F29"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0%</w:t>
            </w:r>
          </w:p>
        </w:tc>
        <w:tc>
          <w:tcPr>
            <w:tcW w:w="1137" w:type="dxa"/>
          </w:tcPr>
          <w:p w14:paraId="287F4986"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72000</w:t>
            </w:r>
          </w:p>
        </w:tc>
        <w:tc>
          <w:tcPr>
            <w:tcW w:w="3260" w:type="dxa"/>
          </w:tcPr>
          <w:p w14:paraId="36345673"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La situation sanitaire actuelle ne nous a pas permis de réaliser ces missions.</w:t>
            </w:r>
          </w:p>
        </w:tc>
      </w:tr>
      <w:tr w:rsidR="00C71504" w:rsidRPr="0090014B" w14:paraId="1DF05984" w14:textId="77777777">
        <w:tc>
          <w:tcPr>
            <w:tcW w:w="2185" w:type="dxa"/>
          </w:tcPr>
          <w:p w14:paraId="44CEF3B9"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Réunions</w:t>
            </w:r>
          </w:p>
        </w:tc>
        <w:tc>
          <w:tcPr>
            <w:tcW w:w="796" w:type="dxa"/>
          </w:tcPr>
          <w:p w14:paraId="5268D686"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30</w:t>
            </w:r>
          </w:p>
        </w:tc>
        <w:tc>
          <w:tcPr>
            <w:tcW w:w="796" w:type="dxa"/>
          </w:tcPr>
          <w:p w14:paraId="1AFAB61D"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8</w:t>
            </w:r>
          </w:p>
        </w:tc>
        <w:tc>
          <w:tcPr>
            <w:tcW w:w="956" w:type="dxa"/>
          </w:tcPr>
          <w:p w14:paraId="1F292B70"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26,6%</w:t>
            </w:r>
          </w:p>
        </w:tc>
        <w:tc>
          <w:tcPr>
            <w:tcW w:w="1137" w:type="dxa"/>
          </w:tcPr>
          <w:p w14:paraId="0974244F"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0</w:t>
            </w:r>
          </w:p>
        </w:tc>
        <w:tc>
          <w:tcPr>
            <w:tcW w:w="3260" w:type="dxa"/>
          </w:tcPr>
          <w:p w14:paraId="47A19C27"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Les réunions du programme se tiennent deux fois par mois, cette année nous avons prévu 4 académies TERA, 4 réunions pour le Fond de défis ainsi que 4 de réunion sur la politique énergétique</w:t>
            </w:r>
          </w:p>
        </w:tc>
      </w:tr>
      <w:tr w:rsidR="00C71504" w:rsidRPr="0090014B" w14:paraId="3A70727B" w14:textId="77777777">
        <w:tc>
          <w:tcPr>
            <w:tcW w:w="2185" w:type="dxa"/>
          </w:tcPr>
          <w:p w14:paraId="28A6CC29"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Rapports</w:t>
            </w:r>
          </w:p>
        </w:tc>
        <w:tc>
          <w:tcPr>
            <w:tcW w:w="796" w:type="dxa"/>
          </w:tcPr>
          <w:p w14:paraId="21F30502"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2</w:t>
            </w:r>
          </w:p>
        </w:tc>
        <w:tc>
          <w:tcPr>
            <w:tcW w:w="796" w:type="dxa"/>
          </w:tcPr>
          <w:p w14:paraId="0313D57A" w14:textId="6BAE25C1" w:rsidR="00C71504" w:rsidRPr="0090014B" w:rsidRDefault="007B0584">
            <w:pPr>
              <w:ind w:left="0" w:right="35" w:firstLine="0"/>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w:t>
            </w:r>
          </w:p>
        </w:tc>
        <w:tc>
          <w:tcPr>
            <w:tcW w:w="956" w:type="dxa"/>
          </w:tcPr>
          <w:p w14:paraId="2AF16231" w14:textId="12EB4C63" w:rsidR="00C71504" w:rsidRPr="0090014B" w:rsidRDefault="007B0584">
            <w:pPr>
              <w:ind w:left="0" w:right="35" w:firstLine="0"/>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100</w:t>
            </w:r>
            <w:r w:rsidR="00353AB7" w:rsidRPr="0090014B">
              <w:rPr>
                <w:rFonts w:asciiTheme="majorHAnsi" w:eastAsia="Calibri" w:hAnsiTheme="majorHAnsi" w:cstheme="majorHAnsi"/>
                <w:color w:val="000000"/>
                <w:sz w:val="22"/>
                <w:szCs w:val="22"/>
              </w:rPr>
              <w:t>%</w:t>
            </w:r>
          </w:p>
        </w:tc>
        <w:tc>
          <w:tcPr>
            <w:tcW w:w="1137" w:type="dxa"/>
          </w:tcPr>
          <w:p w14:paraId="0950C67A"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0</w:t>
            </w:r>
          </w:p>
        </w:tc>
        <w:tc>
          <w:tcPr>
            <w:tcW w:w="3260" w:type="dxa"/>
          </w:tcPr>
          <w:p w14:paraId="7ADAE42C"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Rapport semestriel et annuel.</w:t>
            </w:r>
          </w:p>
        </w:tc>
      </w:tr>
      <w:tr w:rsidR="00C71504" w:rsidRPr="0090014B" w14:paraId="3AC55B0A" w14:textId="77777777">
        <w:tc>
          <w:tcPr>
            <w:tcW w:w="2185" w:type="dxa"/>
          </w:tcPr>
          <w:p w14:paraId="06E4B453"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Revu</w:t>
            </w:r>
            <w:r w:rsidR="005A7959" w:rsidRPr="0090014B">
              <w:rPr>
                <w:rFonts w:asciiTheme="majorHAnsi" w:eastAsia="Calibri" w:hAnsiTheme="majorHAnsi" w:cstheme="majorHAnsi"/>
                <w:color w:val="000000"/>
                <w:sz w:val="22"/>
                <w:szCs w:val="22"/>
              </w:rPr>
              <w:t>e</w:t>
            </w:r>
            <w:r w:rsidRPr="0090014B">
              <w:rPr>
                <w:rFonts w:asciiTheme="majorHAnsi" w:eastAsia="Calibri" w:hAnsiTheme="majorHAnsi" w:cstheme="majorHAnsi"/>
                <w:color w:val="000000"/>
                <w:sz w:val="22"/>
                <w:szCs w:val="22"/>
              </w:rPr>
              <w:t>s techniques</w:t>
            </w:r>
          </w:p>
        </w:tc>
        <w:tc>
          <w:tcPr>
            <w:tcW w:w="796" w:type="dxa"/>
          </w:tcPr>
          <w:p w14:paraId="0EE68D40"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11</w:t>
            </w:r>
          </w:p>
        </w:tc>
        <w:tc>
          <w:tcPr>
            <w:tcW w:w="796" w:type="dxa"/>
          </w:tcPr>
          <w:p w14:paraId="3DC59376"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0</w:t>
            </w:r>
          </w:p>
        </w:tc>
        <w:tc>
          <w:tcPr>
            <w:tcW w:w="956" w:type="dxa"/>
          </w:tcPr>
          <w:p w14:paraId="5FB6ED15"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0%</w:t>
            </w:r>
          </w:p>
        </w:tc>
        <w:tc>
          <w:tcPr>
            <w:tcW w:w="1137" w:type="dxa"/>
          </w:tcPr>
          <w:p w14:paraId="07B228F5"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20 000</w:t>
            </w:r>
          </w:p>
        </w:tc>
        <w:tc>
          <w:tcPr>
            <w:tcW w:w="3260" w:type="dxa"/>
          </w:tcPr>
          <w:p w14:paraId="58D9E8D0"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En attente des livrables pour effectuer les revu</w:t>
            </w:r>
            <w:r w:rsidR="005A7959" w:rsidRPr="0090014B">
              <w:rPr>
                <w:rFonts w:asciiTheme="majorHAnsi" w:eastAsia="Calibri" w:hAnsiTheme="majorHAnsi" w:cstheme="majorHAnsi"/>
                <w:color w:val="000000"/>
                <w:sz w:val="22"/>
                <w:szCs w:val="22"/>
              </w:rPr>
              <w:t>e</w:t>
            </w:r>
            <w:r w:rsidRPr="0090014B">
              <w:rPr>
                <w:rFonts w:asciiTheme="majorHAnsi" w:eastAsia="Calibri" w:hAnsiTheme="majorHAnsi" w:cstheme="majorHAnsi"/>
                <w:color w:val="000000"/>
                <w:sz w:val="22"/>
                <w:szCs w:val="22"/>
              </w:rPr>
              <w:t>s techniques</w:t>
            </w:r>
          </w:p>
        </w:tc>
      </w:tr>
      <w:tr w:rsidR="00C71504" w:rsidRPr="0090014B" w14:paraId="1EA73FDD" w14:textId="77777777">
        <w:tc>
          <w:tcPr>
            <w:tcW w:w="2185" w:type="dxa"/>
          </w:tcPr>
          <w:p w14:paraId="4042628E"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Evaluations externes</w:t>
            </w:r>
          </w:p>
        </w:tc>
        <w:tc>
          <w:tcPr>
            <w:tcW w:w="796" w:type="dxa"/>
          </w:tcPr>
          <w:p w14:paraId="4DCBA5D8"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1</w:t>
            </w:r>
          </w:p>
        </w:tc>
        <w:tc>
          <w:tcPr>
            <w:tcW w:w="796" w:type="dxa"/>
          </w:tcPr>
          <w:p w14:paraId="18A63B85" w14:textId="161A124A" w:rsidR="00C71504" w:rsidRPr="0090014B" w:rsidRDefault="007B0584">
            <w:pPr>
              <w:ind w:left="0" w:right="35" w:firstLine="0"/>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0</w:t>
            </w:r>
          </w:p>
        </w:tc>
        <w:tc>
          <w:tcPr>
            <w:tcW w:w="956" w:type="dxa"/>
          </w:tcPr>
          <w:p w14:paraId="3C460DF2"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0%</w:t>
            </w:r>
          </w:p>
        </w:tc>
        <w:tc>
          <w:tcPr>
            <w:tcW w:w="1137" w:type="dxa"/>
          </w:tcPr>
          <w:p w14:paraId="6691D255"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25 000</w:t>
            </w:r>
          </w:p>
        </w:tc>
        <w:tc>
          <w:tcPr>
            <w:tcW w:w="3260" w:type="dxa"/>
          </w:tcPr>
          <w:p w14:paraId="033EE36B"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 xml:space="preserve">Sera effectué sous instruction du SE FONAREDD </w:t>
            </w:r>
          </w:p>
        </w:tc>
      </w:tr>
      <w:tr w:rsidR="00C71504" w:rsidRPr="0090014B" w14:paraId="2DDBE525" w14:textId="77777777">
        <w:tc>
          <w:tcPr>
            <w:tcW w:w="2185" w:type="dxa"/>
          </w:tcPr>
          <w:p w14:paraId="1149B969"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Collecte des données</w:t>
            </w:r>
          </w:p>
        </w:tc>
        <w:tc>
          <w:tcPr>
            <w:tcW w:w="796" w:type="dxa"/>
          </w:tcPr>
          <w:p w14:paraId="545ABD7F"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4</w:t>
            </w:r>
          </w:p>
        </w:tc>
        <w:tc>
          <w:tcPr>
            <w:tcW w:w="796" w:type="dxa"/>
          </w:tcPr>
          <w:p w14:paraId="38248E80"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0</w:t>
            </w:r>
          </w:p>
        </w:tc>
        <w:tc>
          <w:tcPr>
            <w:tcW w:w="956" w:type="dxa"/>
          </w:tcPr>
          <w:p w14:paraId="6D7B8469"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0%</w:t>
            </w:r>
          </w:p>
        </w:tc>
        <w:tc>
          <w:tcPr>
            <w:tcW w:w="1137" w:type="dxa"/>
          </w:tcPr>
          <w:p w14:paraId="3693AE06"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11 000</w:t>
            </w:r>
          </w:p>
        </w:tc>
        <w:tc>
          <w:tcPr>
            <w:tcW w:w="3260" w:type="dxa"/>
          </w:tcPr>
          <w:p w14:paraId="5A87FC03"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La récolte des données de routine trimestrielle n’a pas eu lieu à la suite des restrictions de déplacement dues à la pandémie.</w:t>
            </w:r>
          </w:p>
        </w:tc>
      </w:tr>
      <w:tr w:rsidR="00C71504" w:rsidRPr="0090014B" w14:paraId="54E58565" w14:textId="77777777">
        <w:tc>
          <w:tcPr>
            <w:tcW w:w="2185" w:type="dxa"/>
          </w:tcPr>
          <w:p w14:paraId="67F27F0D" w14:textId="77777777" w:rsidR="00C71504" w:rsidRPr="0090014B" w:rsidRDefault="00353AB7">
            <w:pPr>
              <w:ind w:left="0" w:right="35" w:firstLine="0"/>
              <w:jc w:val="left"/>
              <w:rPr>
                <w:rFonts w:asciiTheme="majorHAnsi" w:eastAsia="Calibri" w:hAnsiTheme="majorHAnsi" w:cstheme="majorHAnsi"/>
                <w:color w:val="000000"/>
                <w:sz w:val="22"/>
                <w:szCs w:val="22"/>
              </w:rPr>
            </w:pPr>
            <w:r w:rsidRPr="0090014B">
              <w:rPr>
                <w:rFonts w:asciiTheme="majorHAnsi" w:hAnsiTheme="majorHAnsi" w:cstheme="majorHAnsi"/>
                <w:sz w:val="22"/>
                <w:szCs w:val="22"/>
              </w:rPr>
              <w:t>Tenue du COPIL</w:t>
            </w:r>
          </w:p>
        </w:tc>
        <w:tc>
          <w:tcPr>
            <w:tcW w:w="796" w:type="dxa"/>
          </w:tcPr>
          <w:p w14:paraId="5D0101EB" w14:textId="67DE1B66" w:rsidR="00C71504" w:rsidRPr="0090014B" w:rsidRDefault="007B0584">
            <w:pPr>
              <w:ind w:left="0" w:right="35" w:firstLine="0"/>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w:t>
            </w:r>
          </w:p>
        </w:tc>
        <w:tc>
          <w:tcPr>
            <w:tcW w:w="796" w:type="dxa"/>
          </w:tcPr>
          <w:p w14:paraId="0AB3794E" w14:textId="633E6E61" w:rsidR="00C71504" w:rsidRPr="0090014B" w:rsidRDefault="0050111D">
            <w:pPr>
              <w:ind w:left="0" w:right="35" w:firstLine="0"/>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w:t>
            </w:r>
          </w:p>
        </w:tc>
        <w:tc>
          <w:tcPr>
            <w:tcW w:w="956" w:type="dxa"/>
          </w:tcPr>
          <w:p w14:paraId="22414C27" w14:textId="4ECE030D" w:rsidR="00C71504" w:rsidRPr="0090014B" w:rsidRDefault="007B0584">
            <w:pPr>
              <w:ind w:left="0" w:right="35" w:firstLine="0"/>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100</w:t>
            </w:r>
            <w:r w:rsidR="00353AB7" w:rsidRPr="0090014B">
              <w:rPr>
                <w:rFonts w:asciiTheme="majorHAnsi" w:eastAsia="Calibri" w:hAnsiTheme="majorHAnsi" w:cstheme="majorHAnsi"/>
                <w:color w:val="000000"/>
                <w:sz w:val="22"/>
                <w:szCs w:val="22"/>
              </w:rPr>
              <w:t>%</w:t>
            </w:r>
          </w:p>
        </w:tc>
        <w:tc>
          <w:tcPr>
            <w:tcW w:w="1137" w:type="dxa"/>
          </w:tcPr>
          <w:p w14:paraId="3E132B17"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1500</w:t>
            </w:r>
          </w:p>
        </w:tc>
        <w:tc>
          <w:tcPr>
            <w:tcW w:w="3260" w:type="dxa"/>
          </w:tcPr>
          <w:p w14:paraId="0068F0AB" w14:textId="11EB8BD5"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La première réunion de COPIL nous a permis d’adopter le Plan de Travail Annuel.</w:t>
            </w:r>
            <w:r w:rsidR="007B0584">
              <w:rPr>
                <w:rFonts w:asciiTheme="majorHAnsi" w:eastAsia="Calibri" w:hAnsiTheme="majorHAnsi" w:cstheme="majorHAnsi"/>
                <w:color w:val="000000"/>
                <w:sz w:val="22"/>
                <w:szCs w:val="22"/>
              </w:rPr>
              <w:t xml:space="preserve"> La seconde nous a permis de faire une revue à mi-parcours des réalisations du PTA.</w:t>
            </w:r>
          </w:p>
        </w:tc>
      </w:tr>
      <w:tr w:rsidR="00C71504" w:rsidRPr="0090014B" w14:paraId="480A9426" w14:textId="77777777">
        <w:tc>
          <w:tcPr>
            <w:tcW w:w="2185" w:type="dxa"/>
            <w:vAlign w:val="bottom"/>
          </w:tcPr>
          <w:p w14:paraId="043B5328" w14:textId="77777777" w:rsidR="00C71504" w:rsidRPr="0090014B" w:rsidRDefault="00353AB7">
            <w:pPr>
              <w:ind w:left="0" w:right="35" w:firstLine="0"/>
              <w:rPr>
                <w:rFonts w:asciiTheme="majorHAnsi" w:hAnsiTheme="majorHAnsi" w:cstheme="majorHAnsi"/>
                <w:sz w:val="22"/>
                <w:szCs w:val="22"/>
              </w:rPr>
            </w:pPr>
            <w:r w:rsidRPr="0090014B">
              <w:rPr>
                <w:rFonts w:asciiTheme="majorHAnsi" w:hAnsiTheme="majorHAnsi" w:cstheme="majorHAnsi"/>
                <w:sz w:val="22"/>
                <w:szCs w:val="22"/>
              </w:rPr>
              <w:t>Prise en compte des recommandations du COPIL</w:t>
            </w:r>
          </w:p>
        </w:tc>
        <w:tc>
          <w:tcPr>
            <w:tcW w:w="796" w:type="dxa"/>
          </w:tcPr>
          <w:p w14:paraId="72F1D0C3"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2</w:t>
            </w:r>
          </w:p>
        </w:tc>
        <w:tc>
          <w:tcPr>
            <w:tcW w:w="796" w:type="dxa"/>
          </w:tcPr>
          <w:p w14:paraId="41E2C1A0" w14:textId="5057F23F" w:rsidR="00C71504" w:rsidRPr="0090014B" w:rsidRDefault="007B0584">
            <w:pPr>
              <w:ind w:left="0" w:right="35" w:firstLine="0"/>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w:t>
            </w:r>
          </w:p>
        </w:tc>
        <w:tc>
          <w:tcPr>
            <w:tcW w:w="956" w:type="dxa"/>
          </w:tcPr>
          <w:p w14:paraId="332AE979" w14:textId="58F543A3" w:rsidR="00C71504" w:rsidRPr="0090014B" w:rsidRDefault="00563DAF">
            <w:pPr>
              <w:ind w:left="0" w:right="35" w:firstLine="0"/>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10</w:t>
            </w:r>
            <w:r w:rsidRPr="0090014B">
              <w:rPr>
                <w:rFonts w:asciiTheme="majorHAnsi" w:eastAsia="Calibri" w:hAnsiTheme="majorHAnsi" w:cstheme="majorHAnsi"/>
                <w:color w:val="000000"/>
                <w:sz w:val="22"/>
                <w:szCs w:val="22"/>
              </w:rPr>
              <w:t>0</w:t>
            </w:r>
            <w:r w:rsidR="00353AB7" w:rsidRPr="0090014B">
              <w:rPr>
                <w:rFonts w:asciiTheme="majorHAnsi" w:eastAsia="Calibri" w:hAnsiTheme="majorHAnsi" w:cstheme="majorHAnsi"/>
                <w:color w:val="000000"/>
                <w:sz w:val="22"/>
                <w:szCs w:val="22"/>
              </w:rPr>
              <w:t>%</w:t>
            </w:r>
          </w:p>
        </w:tc>
        <w:tc>
          <w:tcPr>
            <w:tcW w:w="1137" w:type="dxa"/>
          </w:tcPr>
          <w:p w14:paraId="104B9257"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0</w:t>
            </w:r>
          </w:p>
        </w:tc>
        <w:tc>
          <w:tcPr>
            <w:tcW w:w="3260" w:type="dxa"/>
          </w:tcPr>
          <w:p w14:paraId="3E39BCBE" w14:textId="54309B81" w:rsidR="00C71504" w:rsidRPr="0090014B" w:rsidRDefault="007B0584">
            <w:pPr>
              <w:ind w:left="0" w:right="35" w:firstLine="0"/>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La première</w:t>
            </w:r>
            <w:r w:rsidR="00353AB7" w:rsidRPr="0090014B">
              <w:rPr>
                <w:rFonts w:asciiTheme="majorHAnsi" w:eastAsia="Calibri" w:hAnsiTheme="majorHAnsi" w:cstheme="majorHAnsi"/>
                <w:color w:val="000000"/>
                <w:sz w:val="22"/>
                <w:szCs w:val="22"/>
              </w:rPr>
              <w:t xml:space="preserve"> a eu lieu après le COPIL d’adoption du PTA</w:t>
            </w:r>
            <w:r>
              <w:rPr>
                <w:rFonts w:asciiTheme="majorHAnsi" w:eastAsia="Calibri" w:hAnsiTheme="majorHAnsi" w:cstheme="majorHAnsi"/>
                <w:color w:val="000000"/>
                <w:sz w:val="22"/>
                <w:szCs w:val="22"/>
              </w:rPr>
              <w:t> ; la seconde après celui de mi-parcours</w:t>
            </w:r>
            <w:r w:rsidR="00353AB7" w:rsidRPr="0090014B">
              <w:rPr>
                <w:rFonts w:asciiTheme="majorHAnsi" w:eastAsia="Calibri" w:hAnsiTheme="majorHAnsi" w:cstheme="majorHAnsi"/>
                <w:color w:val="000000"/>
                <w:sz w:val="22"/>
                <w:szCs w:val="22"/>
              </w:rPr>
              <w:t>.</w:t>
            </w:r>
          </w:p>
        </w:tc>
      </w:tr>
      <w:tr w:rsidR="00C71504" w:rsidRPr="0090014B" w14:paraId="61268AA0" w14:textId="77777777">
        <w:tc>
          <w:tcPr>
            <w:tcW w:w="2185" w:type="dxa"/>
          </w:tcPr>
          <w:p w14:paraId="58E24873" w14:textId="77777777" w:rsidR="00C71504" w:rsidRPr="0090014B" w:rsidRDefault="00353AB7">
            <w:pPr>
              <w:ind w:left="0" w:right="35" w:firstLine="0"/>
              <w:jc w:val="left"/>
              <w:rPr>
                <w:rFonts w:asciiTheme="majorHAnsi" w:hAnsiTheme="majorHAnsi" w:cstheme="majorHAnsi"/>
                <w:sz w:val="22"/>
                <w:szCs w:val="22"/>
              </w:rPr>
            </w:pPr>
            <w:r w:rsidRPr="0090014B">
              <w:rPr>
                <w:rFonts w:asciiTheme="majorHAnsi" w:hAnsiTheme="majorHAnsi" w:cstheme="majorHAnsi"/>
                <w:sz w:val="22"/>
                <w:szCs w:val="22"/>
              </w:rPr>
              <w:t>Réunion de différentes plateformes</w:t>
            </w:r>
          </w:p>
        </w:tc>
        <w:tc>
          <w:tcPr>
            <w:tcW w:w="796" w:type="dxa"/>
          </w:tcPr>
          <w:p w14:paraId="7C024B06"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10</w:t>
            </w:r>
          </w:p>
        </w:tc>
        <w:tc>
          <w:tcPr>
            <w:tcW w:w="796" w:type="dxa"/>
          </w:tcPr>
          <w:p w14:paraId="7F0530EB"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22</w:t>
            </w:r>
          </w:p>
        </w:tc>
        <w:tc>
          <w:tcPr>
            <w:tcW w:w="956" w:type="dxa"/>
          </w:tcPr>
          <w:p w14:paraId="05329E70"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220%</w:t>
            </w:r>
          </w:p>
        </w:tc>
        <w:tc>
          <w:tcPr>
            <w:tcW w:w="1137" w:type="dxa"/>
          </w:tcPr>
          <w:p w14:paraId="01F4D3EE" w14:textId="77777777" w:rsidR="00C71504" w:rsidRPr="0090014B" w:rsidRDefault="00353AB7">
            <w:pPr>
              <w:ind w:left="0" w:right="35" w:firstLine="0"/>
              <w:rPr>
                <w:rFonts w:asciiTheme="majorHAnsi" w:eastAsia="Calibri" w:hAnsiTheme="majorHAnsi" w:cstheme="majorHAnsi"/>
                <w:color w:val="000000"/>
                <w:sz w:val="22"/>
                <w:szCs w:val="22"/>
              </w:rPr>
            </w:pPr>
            <w:r w:rsidRPr="0090014B">
              <w:rPr>
                <w:rFonts w:asciiTheme="majorHAnsi" w:eastAsia="Calibri" w:hAnsiTheme="majorHAnsi" w:cstheme="majorHAnsi"/>
                <w:color w:val="000000"/>
                <w:sz w:val="22"/>
                <w:szCs w:val="22"/>
              </w:rPr>
              <w:t>0</w:t>
            </w:r>
          </w:p>
        </w:tc>
        <w:tc>
          <w:tcPr>
            <w:tcW w:w="3260" w:type="dxa"/>
          </w:tcPr>
          <w:p w14:paraId="28730F81" w14:textId="7461391A" w:rsidR="00C71504" w:rsidRPr="0090014B" w:rsidRDefault="007B0584">
            <w:pPr>
              <w:ind w:left="0" w:right="35" w:firstLine="0"/>
              <w:rPr>
                <w:rFonts w:asciiTheme="majorHAnsi" w:eastAsia="Calibri" w:hAnsiTheme="majorHAnsi" w:cstheme="majorHAnsi"/>
                <w:color w:val="000000"/>
                <w:sz w:val="22"/>
                <w:szCs w:val="22"/>
              </w:rPr>
            </w:pPr>
            <w:r w:rsidRPr="007B0584">
              <w:rPr>
                <w:rFonts w:asciiTheme="majorHAnsi" w:eastAsia="Calibri" w:hAnsiTheme="majorHAnsi" w:cstheme="majorHAnsi"/>
                <w:color w:val="000000"/>
                <w:sz w:val="22"/>
                <w:szCs w:val="22"/>
              </w:rPr>
              <w:t>Le programme a pris part à d'autres plateformes du secteur de l'énergie comme: ANSER, ACFCA, ACERD, PTF Energie, etc.</w:t>
            </w:r>
          </w:p>
        </w:tc>
      </w:tr>
    </w:tbl>
    <w:p w14:paraId="1EA106E6" w14:textId="77777777" w:rsidR="00C71504" w:rsidRPr="0090014B" w:rsidRDefault="00C71504">
      <w:pPr>
        <w:rPr>
          <w:rFonts w:asciiTheme="majorHAnsi" w:hAnsiTheme="majorHAnsi" w:cstheme="majorHAnsi"/>
          <w:sz w:val="22"/>
          <w:szCs w:val="22"/>
        </w:rPr>
      </w:pPr>
    </w:p>
    <w:p w14:paraId="2292792D" w14:textId="77777777" w:rsidR="00C71504" w:rsidRPr="0090014B" w:rsidRDefault="00353AB7">
      <w:pPr>
        <w:rPr>
          <w:rFonts w:asciiTheme="majorHAnsi" w:hAnsiTheme="majorHAnsi" w:cstheme="majorHAnsi"/>
          <w:i/>
          <w:color w:val="000000"/>
          <w:sz w:val="22"/>
          <w:szCs w:val="22"/>
        </w:rPr>
      </w:pPr>
      <w:r w:rsidRPr="0090014B">
        <w:rPr>
          <w:rFonts w:asciiTheme="majorHAnsi" w:hAnsiTheme="majorHAnsi" w:cstheme="majorHAnsi"/>
          <w:i/>
          <w:sz w:val="22"/>
          <w:szCs w:val="22"/>
        </w:rPr>
        <w:t>N</w:t>
      </w:r>
      <w:r w:rsidRPr="0090014B">
        <w:rPr>
          <w:rFonts w:asciiTheme="majorHAnsi" w:hAnsiTheme="majorHAnsi" w:cstheme="majorHAnsi"/>
          <w:i/>
          <w:color w:val="000000"/>
          <w:sz w:val="22"/>
          <w:szCs w:val="22"/>
        </w:rPr>
        <w:t>.B. : Veuillez fournir vos éventuelles remarques sur la gouvernance du programme, y compris des défis et leçons apprises.</w:t>
      </w:r>
    </w:p>
    <w:p w14:paraId="683F8218" w14:textId="77777777" w:rsidR="00C71504" w:rsidRPr="0090014B" w:rsidRDefault="00C71504">
      <w:pPr>
        <w:spacing w:line="240" w:lineRule="auto"/>
        <w:rPr>
          <w:rFonts w:asciiTheme="majorHAnsi" w:hAnsiTheme="majorHAnsi" w:cstheme="majorHAnsi"/>
          <w:sz w:val="22"/>
          <w:szCs w:val="22"/>
        </w:rPr>
      </w:pPr>
    </w:p>
    <w:p w14:paraId="676ECF3F" w14:textId="77777777" w:rsidR="00C71504" w:rsidRPr="0090014B" w:rsidRDefault="00353AB7">
      <w:pPr>
        <w:pStyle w:val="Titre1"/>
        <w:numPr>
          <w:ilvl w:val="0"/>
          <w:numId w:val="11"/>
        </w:numPr>
        <w:rPr>
          <w:rFonts w:asciiTheme="majorHAnsi" w:hAnsiTheme="majorHAnsi" w:cstheme="majorHAnsi"/>
          <w:sz w:val="22"/>
          <w:szCs w:val="22"/>
        </w:rPr>
      </w:pPr>
      <w:bookmarkStart w:id="29" w:name="_heading=h.3as4poj" w:colFirst="0" w:colLast="0"/>
      <w:bookmarkEnd w:id="29"/>
      <w:r w:rsidRPr="0090014B">
        <w:rPr>
          <w:rFonts w:asciiTheme="majorHAnsi" w:hAnsiTheme="majorHAnsi" w:cstheme="majorHAnsi"/>
          <w:sz w:val="22"/>
          <w:szCs w:val="22"/>
        </w:rPr>
        <w:t>Révisions programmatiques (le cas échéant)</w:t>
      </w:r>
    </w:p>
    <w:p w14:paraId="21119FBF" w14:textId="77777777" w:rsidR="00C71504" w:rsidRPr="0090014B" w:rsidRDefault="00353AB7">
      <w:pPr>
        <w:spacing w:after="0" w:line="240" w:lineRule="auto"/>
        <w:ind w:left="0" w:right="0" w:firstLine="0"/>
        <w:rPr>
          <w:rFonts w:asciiTheme="majorHAnsi" w:hAnsiTheme="majorHAnsi" w:cstheme="majorHAnsi"/>
          <w:sz w:val="22"/>
          <w:szCs w:val="22"/>
        </w:rPr>
      </w:pPr>
      <w:r w:rsidRPr="0090014B">
        <w:rPr>
          <w:rFonts w:asciiTheme="majorHAnsi" w:hAnsiTheme="majorHAnsi" w:cstheme="majorHAnsi"/>
          <w:sz w:val="22"/>
          <w:szCs w:val="22"/>
        </w:rPr>
        <w:t>Avec la pandémie du COVID-19, des mesures ont été prises au niveau des Organisations des Nations Unies y compris le PNUD et l’UNCDF. C’est dans ce cadre qu’une révision interne des plans de travail budgétaires a eu lieu pour se rapprocher le plus de la capacité réelle de décaissement. Ainsi, les activités programmées pour 2020 ont été révisées avec une incidence budgétaire de USD</w:t>
      </w:r>
      <w:r w:rsidRPr="0090014B">
        <w:rPr>
          <w:rFonts w:asciiTheme="majorHAnsi" w:hAnsiTheme="majorHAnsi" w:cstheme="majorHAnsi"/>
          <w:color w:val="000000"/>
          <w:sz w:val="22"/>
          <w:szCs w:val="22"/>
        </w:rPr>
        <w:t xml:space="preserve"> -862 791,08</w:t>
      </w:r>
      <w:r w:rsidRPr="0090014B">
        <w:rPr>
          <w:rFonts w:asciiTheme="majorHAnsi" w:hAnsiTheme="majorHAnsi" w:cstheme="majorHAnsi"/>
          <w:sz w:val="22"/>
          <w:szCs w:val="22"/>
        </w:rPr>
        <w:t>. Le PTA Révisé est joint en Annexe. Cependant, pour le besoin de ce rapport, nous rapportons sur le budget approuvé au COPIL du 02 mars 2020.</w:t>
      </w:r>
    </w:p>
    <w:p w14:paraId="3C2A1F87" w14:textId="77777777" w:rsidR="00C71504" w:rsidRPr="0090014B" w:rsidRDefault="00C71504">
      <w:pPr>
        <w:pBdr>
          <w:top w:val="nil"/>
          <w:left w:val="nil"/>
          <w:bottom w:val="nil"/>
          <w:right w:val="nil"/>
          <w:between w:val="nil"/>
        </w:pBdr>
        <w:spacing w:line="240" w:lineRule="auto"/>
        <w:ind w:left="730" w:firstLine="0"/>
        <w:rPr>
          <w:rFonts w:asciiTheme="majorHAnsi" w:hAnsiTheme="majorHAnsi" w:cstheme="majorHAnsi"/>
          <w:color w:val="000000"/>
          <w:sz w:val="22"/>
          <w:szCs w:val="22"/>
        </w:rPr>
      </w:pPr>
    </w:p>
    <w:p w14:paraId="37086046" w14:textId="77777777" w:rsidR="00C71504" w:rsidRPr="0090014B" w:rsidRDefault="00353AB7">
      <w:pPr>
        <w:pStyle w:val="Titre1"/>
        <w:numPr>
          <w:ilvl w:val="0"/>
          <w:numId w:val="11"/>
        </w:numPr>
        <w:rPr>
          <w:rFonts w:asciiTheme="majorHAnsi" w:hAnsiTheme="majorHAnsi" w:cstheme="majorHAnsi"/>
          <w:sz w:val="22"/>
          <w:szCs w:val="22"/>
        </w:rPr>
      </w:pPr>
      <w:bookmarkStart w:id="30" w:name="_heading=h.1pxezwc" w:colFirst="0" w:colLast="0"/>
      <w:bookmarkEnd w:id="30"/>
      <w:r w:rsidRPr="0090014B">
        <w:rPr>
          <w:rFonts w:asciiTheme="majorHAnsi" w:hAnsiTheme="majorHAnsi" w:cstheme="majorHAnsi"/>
          <w:sz w:val="22"/>
          <w:szCs w:val="22"/>
        </w:rPr>
        <w:t>Auto-évaluation du programme</w:t>
      </w:r>
    </w:p>
    <w:p w14:paraId="57623C4A" w14:textId="77777777" w:rsidR="00C71504" w:rsidRPr="0090014B" w:rsidRDefault="00353AB7">
      <w:pPr>
        <w:spacing w:line="240" w:lineRule="auto"/>
        <w:ind w:left="10" w:firstLine="0"/>
        <w:rPr>
          <w:rFonts w:asciiTheme="majorHAnsi" w:hAnsiTheme="majorHAnsi" w:cstheme="majorHAnsi"/>
          <w:i/>
          <w:color w:val="000000"/>
          <w:sz w:val="22"/>
          <w:szCs w:val="22"/>
        </w:rPr>
      </w:pPr>
      <w:r w:rsidRPr="0090014B">
        <w:rPr>
          <w:rFonts w:asciiTheme="majorHAnsi" w:hAnsiTheme="majorHAnsi" w:cstheme="majorHAnsi"/>
          <w:i/>
          <w:color w:val="000000"/>
          <w:sz w:val="22"/>
          <w:szCs w:val="22"/>
        </w:rPr>
        <w:t>Sur la base des critères de performance mis à disposition par le Secrétariat Exécutif du FONAREDD merci de bien vouloir passer en revue l’évaluation de votre programme pour la période sous-examen.</w:t>
      </w:r>
    </w:p>
    <w:p w14:paraId="6EAFBB12" w14:textId="77777777" w:rsidR="00C71504" w:rsidRPr="0090014B" w:rsidRDefault="00C71504">
      <w:pPr>
        <w:spacing w:line="240" w:lineRule="auto"/>
        <w:ind w:left="10" w:firstLine="0"/>
        <w:rPr>
          <w:rFonts w:asciiTheme="majorHAnsi" w:hAnsiTheme="majorHAnsi" w:cstheme="majorHAnsi"/>
          <w:sz w:val="22"/>
          <w:szCs w:val="22"/>
        </w:rPr>
      </w:pPr>
    </w:p>
    <w:p w14:paraId="66A899B9" w14:textId="77777777" w:rsidR="00C71504" w:rsidRPr="0090014B" w:rsidRDefault="00353AB7">
      <w:pPr>
        <w:spacing w:line="240" w:lineRule="auto"/>
        <w:ind w:left="10" w:firstLine="0"/>
        <w:rPr>
          <w:rFonts w:asciiTheme="majorHAnsi" w:hAnsiTheme="majorHAnsi" w:cstheme="majorHAnsi"/>
          <w:sz w:val="22"/>
          <w:szCs w:val="22"/>
        </w:rPr>
      </w:pPr>
      <w:r w:rsidRPr="0090014B">
        <w:rPr>
          <w:rFonts w:asciiTheme="majorHAnsi" w:hAnsiTheme="majorHAnsi" w:cstheme="majorHAnsi"/>
          <w:sz w:val="22"/>
          <w:szCs w:val="22"/>
        </w:rPr>
        <w:t>Critères non encore mis à la disposition du programme par le SE FONAREDD.</w:t>
      </w:r>
    </w:p>
    <w:p w14:paraId="6D1E3588" w14:textId="77777777" w:rsidR="00C71504" w:rsidRPr="0090014B" w:rsidRDefault="00353AB7">
      <w:pPr>
        <w:pStyle w:val="Titre1"/>
        <w:numPr>
          <w:ilvl w:val="0"/>
          <w:numId w:val="11"/>
        </w:numPr>
        <w:rPr>
          <w:rFonts w:asciiTheme="majorHAnsi" w:hAnsiTheme="majorHAnsi" w:cstheme="majorHAnsi"/>
          <w:sz w:val="22"/>
          <w:szCs w:val="22"/>
        </w:rPr>
      </w:pPr>
      <w:bookmarkStart w:id="31" w:name="_heading=h.49x2ik5" w:colFirst="0" w:colLast="0"/>
      <w:bookmarkEnd w:id="31"/>
      <w:r w:rsidRPr="0090014B">
        <w:rPr>
          <w:rFonts w:asciiTheme="majorHAnsi" w:hAnsiTheme="majorHAnsi" w:cstheme="majorHAnsi"/>
          <w:sz w:val="22"/>
          <w:szCs w:val="22"/>
        </w:rPr>
        <w:t>Difficultés rencontrées et mesures prises</w:t>
      </w:r>
    </w:p>
    <w:p w14:paraId="3AF88EC1" w14:textId="77777777" w:rsidR="00C71504" w:rsidRPr="0090014B" w:rsidRDefault="00353AB7">
      <w:pPr>
        <w:rPr>
          <w:rFonts w:asciiTheme="majorHAnsi" w:hAnsiTheme="majorHAnsi" w:cstheme="majorHAnsi"/>
          <w:sz w:val="22"/>
          <w:szCs w:val="22"/>
        </w:rPr>
      </w:pPr>
      <w:r w:rsidRPr="0090014B">
        <w:rPr>
          <w:rFonts w:asciiTheme="majorHAnsi" w:hAnsiTheme="majorHAnsi" w:cstheme="majorHAnsi"/>
          <w:sz w:val="22"/>
          <w:szCs w:val="22"/>
        </w:rPr>
        <w:t>Les difficultés majeures rencontrées sont l’impossibilité de conduire les enquêtes terrain entre mars et août 2020 pour la finalisation des études de référence avec les restrictions de voyages internationaux et nationaux  du fait de la pandémie de COVID19. Ces restrictions n’ont pas parmi à GPLGP de se rendre à Kinshasa pour la conduite des activités sur le GPL à temps. Il faut souligner aussi l’impossibilité d’organiser des ateliers ou consultations sur l’élaboration de la politique nationale énergétique de la RDC pendant la même période.</w:t>
      </w:r>
    </w:p>
    <w:p w14:paraId="6C894EC3" w14:textId="77777777" w:rsidR="00C71504" w:rsidRPr="0090014B" w:rsidRDefault="00353AB7">
      <w:pPr>
        <w:rPr>
          <w:rFonts w:asciiTheme="majorHAnsi" w:hAnsiTheme="majorHAnsi" w:cstheme="majorHAnsi"/>
          <w:sz w:val="22"/>
          <w:szCs w:val="22"/>
        </w:rPr>
      </w:pPr>
      <w:r w:rsidRPr="0090014B">
        <w:rPr>
          <w:rFonts w:asciiTheme="majorHAnsi" w:hAnsiTheme="majorHAnsi" w:cstheme="majorHAnsi"/>
          <w:sz w:val="22"/>
          <w:szCs w:val="22"/>
        </w:rPr>
        <w:t xml:space="preserve">Les mesures prises sont la révision du plan de travail d’abord avec les partenaires de mise en œuvre (CIRAD/GLPGP) ensuite le plan de travail général du programme en tenant compte des risques causés par la maladie. De plus, toutes les réunions ont été organisées en ligne, souvent avec des difficultés pour certains partenaires liés à la connexion internet. </w:t>
      </w:r>
    </w:p>
    <w:p w14:paraId="6A9F8812" w14:textId="77777777" w:rsidR="00C71504" w:rsidRPr="0090014B" w:rsidRDefault="00353AB7">
      <w:pPr>
        <w:pStyle w:val="Titre1"/>
        <w:numPr>
          <w:ilvl w:val="0"/>
          <w:numId w:val="11"/>
        </w:numPr>
        <w:rPr>
          <w:rFonts w:asciiTheme="majorHAnsi" w:hAnsiTheme="majorHAnsi" w:cstheme="majorHAnsi"/>
          <w:sz w:val="22"/>
          <w:szCs w:val="22"/>
        </w:rPr>
      </w:pPr>
      <w:bookmarkStart w:id="32" w:name="_heading=h.2p2csry" w:colFirst="0" w:colLast="0"/>
      <w:bookmarkEnd w:id="32"/>
      <w:r w:rsidRPr="0090014B">
        <w:rPr>
          <w:rFonts w:asciiTheme="majorHAnsi" w:hAnsiTheme="majorHAnsi" w:cstheme="majorHAnsi"/>
          <w:sz w:val="22"/>
          <w:szCs w:val="22"/>
        </w:rPr>
        <w:t>Défis et leçons apprises dans la mise en œuvre du programme</w:t>
      </w:r>
    </w:p>
    <w:p w14:paraId="053416D9" w14:textId="77777777" w:rsidR="00C71504" w:rsidRPr="0090014B" w:rsidRDefault="00353AB7">
      <w:pPr>
        <w:rPr>
          <w:rFonts w:asciiTheme="majorHAnsi" w:hAnsiTheme="majorHAnsi" w:cstheme="majorHAnsi"/>
          <w:sz w:val="22"/>
          <w:szCs w:val="22"/>
        </w:rPr>
      </w:pPr>
      <w:r w:rsidRPr="0090014B">
        <w:rPr>
          <w:rFonts w:asciiTheme="majorHAnsi" w:hAnsiTheme="majorHAnsi" w:cstheme="majorHAnsi"/>
          <w:sz w:val="22"/>
          <w:szCs w:val="22"/>
        </w:rPr>
        <w:t>Le défi majeur reste la survenance de la pandémie COVID-19 et ce qu’elle a entraîné comme restructuration/ perturbation des mouvements de personnes et des biens. Vis-à-vis du programme, la COVID-19 a affecté la mobilité des partenaires et consultants internationaux qui n’ont pas pu  se déplacer à cause des restrictions de voyage encore en vigueur en RDC. En revanche, il a été clairement établi la pertinence et l’avantage des nouvelles technologies de l’information et de la communication (TIC) qui permettent de tenir des réunions et formation</w:t>
      </w:r>
      <w:r w:rsidR="005A7959" w:rsidRPr="0090014B">
        <w:rPr>
          <w:rFonts w:asciiTheme="majorHAnsi" w:hAnsiTheme="majorHAnsi" w:cstheme="majorHAnsi"/>
          <w:sz w:val="22"/>
          <w:szCs w:val="22"/>
        </w:rPr>
        <w:t>s</w:t>
      </w:r>
      <w:r w:rsidRPr="0090014B">
        <w:rPr>
          <w:rFonts w:asciiTheme="majorHAnsi" w:hAnsiTheme="majorHAnsi" w:cstheme="majorHAnsi"/>
          <w:sz w:val="22"/>
          <w:szCs w:val="22"/>
        </w:rPr>
        <w:t xml:space="preserve"> virtuelles. Toutefois, ces outils montrent leur faiblesse du fait de la connectivité parfois trop insatisfaisante.</w:t>
      </w:r>
    </w:p>
    <w:p w14:paraId="3A5D436C" w14:textId="77777777" w:rsidR="00C71504" w:rsidRPr="0090014B" w:rsidRDefault="00353AB7">
      <w:pPr>
        <w:pStyle w:val="Titre1"/>
        <w:numPr>
          <w:ilvl w:val="0"/>
          <w:numId w:val="11"/>
        </w:numPr>
        <w:rPr>
          <w:rFonts w:asciiTheme="majorHAnsi" w:hAnsiTheme="majorHAnsi" w:cstheme="majorHAnsi"/>
          <w:sz w:val="22"/>
          <w:szCs w:val="22"/>
        </w:rPr>
      </w:pPr>
      <w:bookmarkStart w:id="33" w:name="_heading=h.147n2zr" w:colFirst="0" w:colLast="0"/>
      <w:bookmarkEnd w:id="33"/>
      <w:r w:rsidRPr="0090014B">
        <w:rPr>
          <w:rFonts w:asciiTheme="majorHAnsi" w:hAnsiTheme="majorHAnsi" w:cstheme="majorHAnsi"/>
          <w:sz w:val="22"/>
          <w:szCs w:val="22"/>
        </w:rPr>
        <w:t>Conclusion et recommandations</w:t>
      </w:r>
    </w:p>
    <w:p w14:paraId="26F04FBE" w14:textId="77777777" w:rsidR="00C71504" w:rsidRPr="00AD5317" w:rsidRDefault="00353AB7" w:rsidP="00AD5317">
      <w:pPr>
        <w:rPr>
          <w:rFonts w:asciiTheme="majorHAnsi" w:hAnsiTheme="majorHAnsi" w:cstheme="majorHAnsi"/>
          <w:sz w:val="22"/>
          <w:szCs w:val="22"/>
        </w:rPr>
      </w:pPr>
      <w:r w:rsidRPr="00AD5317">
        <w:rPr>
          <w:rFonts w:asciiTheme="majorHAnsi" w:hAnsiTheme="majorHAnsi" w:cstheme="majorHAnsi"/>
          <w:sz w:val="22"/>
          <w:szCs w:val="22"/>
        </w:rPr>
        <w:t xml:space="preserve">Au cours de cette période de rapportage, janvier-décembre 2020, le programme de consommation durable et substitution partielle au bois-énergie a fait un progrès dans la mise en œuvre des activités du programme. Celles-ci s’articulent autour des études de références et de modélisation de l’impact du GPL, de la politique énergétique, de l'opérationnalisation du fonds de défi pour l’appui du secteur privé du marché de la cuisson propre en RDC ainsi que des aspects administratifs  et de gouvernance du programme. </w:t>
      </w:r>
    </w:p>
    <w:p w14:paraId="6C2FE6C4" w14:textId="77777777" w:rsidR="00C71504" w:rsidRPr="00AD5317" w:rsidRDefault="00353AB7">
      <w:pPr>
        <w:rPr>
          <w:rFonts w:asciiTheme="majorHAnsi" w:hAnsiTheme="majorHAnsi" w:cstheme="majorHAnsi"/>
          <w:sz w:val="22"/>
          <w:szCs w:val="22"/>
        </w:rPr>
      </w:pPr>
      <w:r w:rsidRPr="00AD5317">
        <w:rPr>
          <w:rFonts w:asciiTheme="majorHAnsi" w:hAnsiTheme="majorHAnsi" w:cstheme="majorHAnsi"/>
          <w:sz w:val="22"/>
          <w:szCs w:val="22"/>
        </w:rPr>
        <w:t xml:space="preserve">Les résultats intermédiaires présentés ci-haut rassurent de la bonne trajectoire du programme pour l’atteinte des jalons CAFI y compris les objectifs du programme. Nonobstant, la pandémie de COVID-19 qui refait surface,  les dispositions ont été prises pour minimiser les risques liés à la crise sanitaire sur le programme. </w:t>
      </w:r>
    </w:p>
    <w:p w14:paraId="04B4D6A2" w14:textId="77777777" w:rsidR="00353AB7" w:rsidRPr="0090014B" w:rsidRDefault="00353AB7">
      <w:pPr>
        <w:rPr>
          <w:rFonts w:asciiTheme="majorHAnsi" w:hAnsiTheme="majorHAnsi" w:cstheme="majorHAnsi"/>
          <w:sz w:val="22"/>
          <w:szCs w:val="22"/>
        </w:rPr>
      </w:pPr>
      <w:r w:rsidRPr="0090014B">
        <w:rPr>
          <w:rFonts w:asciiTheme="majorHAnsi" w:hAnsiTheme="majorHAnsi" w:cstheme="majorHAnsi"/>
          <w:sz w:val="22"/>
          <w:szCs w:val="22"/>
        </w:rPr>
        <w:br w:type="page"/>
      </w:r>
    </w:p>
    <w:p w14:paraId="289AA7D8" w14:textId="19E68654" w:rsidR="00C71504" w:rsidRPr="00AD5317" w:rsidRDefault="007107DE">
      <w:pPr>
        <w:spacing w:after="17" w:line="240" w:lineRule="auto"/>
        <w:ind w:left="0" w:right="0" w:firstLine="0"/>
        <w:jc w:val="left"/>
        <w:rPr>
          <w:rFonts w:asciiTheme="majorHAnsi" w:hAnsiTheme="majorHAnsi" w:cstheme="majorHAnsi"/>
          <w:sz w:val="22"/>
          <w:szCs w:val="22"/>
        </w:rPr>
      </w:pPr>
      <w:hyperlink r:id="rId26" w:history="1">
        <w:r w:rsidR="00353AB7" w:rsidRPr="0050111D">
          <w:rPr>
            <w:rStyle w:val="Lienhypertexte"/>
            <w:rFonts w:asciiTheme="majorHAnsi" w:hAnsiTheme="majorHAnsi" w:cstheme="majorHAnsi"/>
            <w:sz w:val="22"/>
            <w:szCs w:val="22"/>
          </w:rPr>
          <w:t>Annexes</w:t>
        </w:r>
      </w:hyperlink>
      <w:r w:rsidR="00353AB7" w:rsidRPr="00AD5317">
        <w:rPr>
          <w:rFonts w:asciiTheme="majorHAnsi" w:hAnsiTheme="majorHAnsi" w:cstheme="majorHAnsi"/>
          <w:sz w:val="22"/>
          <w:szCs w:val="22"/>
        </w:rPr>
        <w:t xml:space="preserve"> (</w:t>
      </w:r>
      <w:r w:rsidR="0050111D">
        <w:rPr>
          <w:rFonts w:asciiTheme="majorHAnsi" w:hAnsiTheme="majorHAnsi" w:cstheme="majorHAnsi"/>
          <w:sz w:val="22"/>
          <w:szCs w:val="22"/>
        </w:rPr>
        <w:t>accessible</w:t>
      </w:r>
      <w:r w:rsidR="00BA716B">
        <w:rPr>
          <w:rFonts w:asciiTheme="majorHAnsi" w:hAnsiTheme="majorHAnsi" w:cstheme="majorHAnsi"/>
          <w:sz w:val="22"/>
          <w:szCs w:val="22"/>
        </w:rPr>
        <w:t>s en cliquant sur annexes</w:t>
      </w:r>
      <w:r w:rsidR="00353AB7" w:rsidRPr="00AD5317">
        <w:rPr>
          <w:rFonts w:asciiTheme="majorHAnsi" w:hAnsiTheme="majorHAnsi" w:cstheme="majorHAnsi"/>
          <w:sz w:val="22"/>
          <w:szCs w:val="22"/>
        </w:rPr>
        <w:t>)</w:t>
      </w:r>
    </w:p>
    <w:p w14:paraId="5025DCA3" w14:textId="77777777" w:rsidR="00353AB7" w:rsidRPr="00AD5317" w:rsidRDefault="00353AB7" w:rsidP="00353AB7">
      <w:pPr>
        <w:pStyle w:val="Paragraphedeliste"/>
        <w:numPr>
          <w:ilvl w:val="0"/>
          <w:numId w:val="12"/>
        </w:numPr>
        <w:spacing w:after="17" w:line="240" w:lineRule="auto"/>
        <w:ind w:right="0"/>
        <w:jc w:val="left"/>
        <w:rPr>
          <w:rFonts w:asciiTheme="majorHAnsi" w:hAnsiTheme="majorHAnsi" w:cstheme="majorHAnsi"/>
          <w:sz w:val="22"/>
        </w:rPr>
      </w:pPr>
      <w:r w:rsidRPr="00AD5317">
        <w:rPr>
          <w:rFonts w:asciiTheme="majorHAnsi" w:hAnsiTheme="majorHAnsi" w:cstheme="majorHAnsi"/>
          <w:sz w:val="22"/>
        </w:rPr>
        <w:t>Rapports des études de références (enquêtes ménages et usagers productifs) pour les villes de Kinshasa, Lubumbashi, Goma et Bukavu</w:t>
      </w:r>
    </w:p>
    <w:p w14:paraId="578E4AE1" w14:textId="77777777" w:rsidR="00353AB7" w:rsidRPr="00AD5317" w:rsidRDefault="00353AB7" w:rsidP="00353AB7">
      <w:pPr>
        <w:pStyle w:val="Paragraphedeliste"/>
        <w:numPr>
          <w:ilvl w:val="0"/>
          <w:numId w:val="12"/>
        </w:numPr>
        <w:spacing w:after="17" w:line="240" w:lineRule="auto"/>
        <w:ind w:right="0"/>
        <w:jc w:val="left"/>
        <w:rPr>
          <w:rFonts w:asciiTheme="majorHAnsi" w:hAnsiTheme="majorHAnsi" w:cstheme="majorHAnsi"/>
          <w:sz w:val="22"/>
        </w:rPr>
      </w:pPr>
      <w:r w:rsidRPr="00AD5317">
        <w:rPr>
          <w:rFonts w:asciiTheme="majorHAnsi" w:hAnsiTheme="majorHAnsi" w:cstheme="majorHAnsi"/>
          <w:sz w:val="22"/>
        </w:rPr>
        <w:t>Note méthodologique de l’étude de modélisation de l’impact du déploiement du GPL  à Kinshasa</w:t>
      </w:r>
    </w:p>
    <w:p w14:paraId="08DB88A3" w14:textId="77777777" w:rsidR="00353AB7" w:rsidRPr="00AD5317" w:rsidRDefault="00353AB7" w:rsidP="00353AB7">
      <w:pPr>
        <w:pStyle w:val="Paragraphedeliste"/>
        <w:numPr>
          <w:ilvl w:val="0"/>
          <w:numId w:val="12"/>
        </w:numPr>
        <w:spacing w:after="17" w:line="240" w:lineRule="auto"/>
        <w:ind w:right="0"/>
        <w:jc w:val="left"/>
        <w:rPr>
          <w:rFonts w:asciiTheme="majorHAnsi" w:hAnsiTheme="majorHAnsi" w:cstheme="majorHAnsi"/>
          <w:sz w:val="22"/>
        </w:rPr>
      </w:pPr>
      <w:r w:rsidRPr="00AD5317">
        <w:rPr>
          <w:rFonts w:asciiTheme="majorHAnsi" w:hAnsiTheme="majorHAnsi" w:cstheme="majorHAnsi"/>
          <w:sz w:val="22"/>
        </w:rPr>
        <w:t>Feuille de route validée de l’élaboration de la politique nationale de l’énergie et de la stratégie de cuisson propre</w:t>
      </w:r>
    </w:p>
    <w:p w14:paraId="69158218" w14:textId="77777777" w:rsidR="00353AB7" w:rsidRPr="00AD5317" w:rsidRDefault="00353AB7" w:rsidP="00353AB7">
      <w:pPr>
        <w:pStyle w:val="Paragraphedeliste"/>
        <w:numPr>
          <w:ilvl w:val="0"/>
          <w:numId w:val="12"/>
        </w:numPr>
        <w:spacing w:after="17" w:line="240" w:lineRule="auto"/>
        <w:ind w:right="0"/>
        <w:jc w:val="left"/>
        <w:rPr>
          <w:rFonts w:asciiTheme="majorHAnsi" w:hAnsiTheme="majorHAnsi" w:cstheme="majorHAnsi"/>
          <w:sz w:val="22"/>
        </w:rPr>
      </w:pPr>
      <w:r w:rsidRPr="00AD5317">
        <w:rPr>
          <w:rFonts w:asciiTheme="majorHAnsi" w:hAnsiTheme="majorHAnsi" w:cstheme="majorHAnsi"/>
          <w:sz w:val="22"/>
        </w:rPr>
        <w:t>Pré-Master Plan (avant plan directeur) du GPL</w:t>
      </w:r>
    </w:p>
    <w:p w14:paraId="792CCB5A" w14:textId="2F2F75E6" w:rsidR="00353AB7" w:rsidRPr="00623856" w:rsidRDefault="00623856" w:rsidP="00602166">
      <w:pPr>
        <w:pStyle w:val="Paragraphedeliste"/>
        <w:numPr>
          <w:ilvl w:val="0"/>
          <w:numId w:val="12"/>
        </w:numPr>
        <w:spacing w:after="17" w:line="240" w:lineRule="auto"/>
        <w:ind w:right="0"/>
        <w:jc w:val="left"/>
        <w:rPr>
          <w:rFonts w:asciiTheme="majorHAnsi" w:hAnsiTheme="majorHAnsi" w:cstheme="majorHAnsi"/>
          <w:sz w:val="22"/>
        </w:rPr>
      </w:pPr>
      <w:r>
        <w:rPr>
          <w:rFonts w:asciiTheme="majorHAnsi" w:hAnsiTheme="majorHAnsi" w:cstheme="majorHAnsi"/>
          <w:sz w:val="22"/>
        </w:rPr>
        <w:t xml:space="preserve">Draft </w:t>
      </w:r>
      <w:r w:rsidRPr="00623856">
        <w:rPr>
          <w:rFonts w:asciiTheme="majorHAnsi" w:hAnsiTheme="majorHAnsi" w:cstheme="majorHAnsi"/>
          <w:sz w:val="22"/>
        </w:rPr>
        <w:t>Plan de la Réglementation</w:t>
      </w:r>
      <w:r>
        <w:rPr>
          <w:rFonts w:asciiTheme="majorHAnsi" w:hAnsiTheme="majorHAnsi" w:cstheme="majorHAnsi"/>
          <w:sz w:val="22"/>
        </w:rPr>
        <w:t xml:space="preserve"> d</w:t>
      </w:r>
      <w:r w:rsidRPr="00623856">
        <w:rPr>
          <w:rFonts w:asciiTheme="majorHAnsi" w:hAnsiTheme="majorHAnsi" w:cstheme="majorHAnsi"/>
          <w:sz w:val="22"/>
        </w:rPr>
        <w:t xml:space="preserve">e la </w:t>
      </w:r>
      <w:r>
        <w:rPr>
          <w:rFonts w:asciiTheme="majorHAnsi" w:hAnsiTheme="majorHAnsi" w:cstheme="majorHAnsi"/>
          <w:sz w:val="22"/>
        </w:rPr>
        <w:t>d</w:t>
      </w:r>
      <w:r w:rsidRPr="00623856">
        <w:rPr>
          <w:rFonts w:asciiTheme="majorHAnsi" w:hAnsiTheme="majorHAnsi" w:cstheme="majorHAnsi"/>
          <w:sz w:val="22"/>
        </w:rPr>
        <w:t xml:space="preserve">istribution de GPL </w:t>
      </w:r>
    </w:p>
    <w:p w14:paraId="46822678" w14:textId="77777777" w:rsidR="00353AB7" w:rsidRPr="00AD5317" w:rsidRDefault="00353AB7" w:rsidP="00353AB7">
      <w:pPr>
        <w:pStyle w:val="Paragraphedeliste"/>
        <w:numPr>
          <w:ilvl w:val="0"/>
          <w:numId w:val="12"/>
        </w:numPr>
        <w:spacing w:after="17" w:line="240" w:lineRule="auto"/>
        <w:ind w:right="0"/>
        <w:jc w:val="left"/>
        <w:rPr>
          <w:rFonts w:asciiTheme="majorHAnsi" w:hAnsiTheme="majorHAnsi" w:cstheme="majorHAnsi"/>
          <w:sz w:val="22"/>
        </w:rPr>
      </w:pPr>
      <w:r w:rsidRPr="00AD5317">
        <w:rPr>
          <w:rFonts w:asciiTheme="majorHAnsi" w:hAnsiTheme="majorHAnsi" w:cstheme="majorHAnsi"/>
          <w:sz w:val="22"/>
        </w:rPr>
        <w:t>Draft de la stratégie de communication</w:t>
      </w:r>
    </w:p>
    <w:p w14:paraId="0A0A9D4B" w14:textId="77777777" w:rsidR="00353AB7" w:rsidRPr="00AD5317" w:rsidRDefault="00353AB7" w:rsidP="00353AB7">
      <w:pPr>
        <w:pStyle w:val="Paragraphedeliste"/>
        <w:numPr>
          <w:ilvl w:val="0"/>
          <w:numId w:val="12"/>
        </w:numPr>
        <w:spacing w:after="17" w:line="240" w:lineRule="auto"/>
        <w:ind w:right="0"/>
        <w:jc w:val="left"/>
        <w:rPr>
          <w:rFonts w:asciiTheme="majorHAnsi" w:hAnsiTheme="majorHAnsi" w:cstheme="majorHAnsi"/>
          <w:sz w:val="22"/>
        </w:rPr>
      </w:pPr>
      <w:r w:rsidRPr="00AD5317">
        <w:rPr>
          <w:rFonts w:asciiTheme="majorHAnsi" w:hAnsiTheme="majorHAnsi" w:cstheme="majorHAnsi"/>
          <w:sz w:val="22"/>
        </w:rPr>
        <w:t>Rapport du Comité d’investissement  du fonds de défi</w:t>
      </w:r>
    </w:p>
    <w:p w14:paraId="5440F59A" w14:textId="77777777" w:rsidR="00353AB7" w:rsidRPr="00AD5317" w:rsidRDefault="00353AB7" w:rsidP="00353AB7">
      <w:pPr>
        <w:spacing w:after="17" w:line="240" w:lineRule="auto"/>
        <w:ind w:left="360" w:right="0" w:firstLine="0"/>
        <w:jc w:val="left"/>
        <w:rPr>
          <w:rFonts w:asciiTheme="majorHAnsi" w:hAnsiTheme="majorHAnsi" w:cstheme="majorHAnsi"/>
          <w:sz w:val="22"/>
          <w:szCs w:val="22"/>
        </w:rPr>
      </w:pPr>
    </w:p>
    <w:sectPr w:rsidR="00353AB7" w:rsidRPr="00AD5317">
      <w:pgSz w:w="11900" w:h="16840"/>
      <w:pgMar w:top="1961" w:right="1557" w:bottom="1493" w:left="1579" w:header="1020" w:footer="1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BD5AE" w14:textId="77777777" w:rsidR="007107DE" w:rsidRDefault="007107DE">
      <w:pPr>
        <w:spacing w:after="0" w:line="240" w:lineRule="auto"/>
      </w:pPr>
      <w:r>
        <w:separator/>
      </w:r>
    </w:p>
  </w:endnote>
  <w:endnote w:type="continuationSeparator" w:id="0">
    <w:p w14:paraId="03DFE279" w14:textId="77777777" w:rsidR="007107DE" w:rsidRDefault="0071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276A" w14:textId="77777777" w:rsidR="009E03FB" w:rsidRDefault="009E03F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F80D" w14:textId="77777777" w:rsidR="009E03FB" w:rsidRDefault="009E03F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4BFC504" w14:textId="77777777" w:rsidR="009E03FB" w:rsidRDefault="009E03FB">
    <w:pPr>
      <w:pBdr>
        <w:top w:val="nil"/>
        <w:left w:val="nil"/>
        <w:bottom w:val="nil"/>
        <w:right w:val="nil"/>
        <w:between w:val="nil"/>
      </w:pBdr>
      <w:tabs>
        <w:tab w:val="center" w:pos="4536"/>
        <w:tab w:val="right" w:pos="9072"/>
      </w:tabs>
      <w:spacing w:after="0" w:line="240" w:lineRule="auto"/>
      <w:rPr>
        <w:color w:val="C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1A9E9" w14:textId="77777777" w:rsidR="009E03FB" w:rsidRDefault="009E03F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8B5C7" w14:textId="77777777" w:rsidR="007107DE" w:rsidRDefault="007107DE">
      <w:pPr>
        <w:spacing w:after="0" w:line="240" w:lineRule="auto"/>
      </w:pPr>
      <w:r>
        <w:separator/>
      </w:r>
    </w:p>
  </w:footnote>
  <w:footnote w:type="continuationSeparator" w:id="0">
    <w:p w14:paraId="22433267" w14:textId="77777777" w:rsidR="007107DE" w:rsidRDefault="007107DE">
      <w:pPr>
        <w:spacing w:after="0" w:line="240" w:lineRule="auto"/>
      </w:pPr>
      <w:r>
        <w:continuationSeparator/>
      </w:r>
    </w:p>
  </w:footnote>
  <w:footnote w:id="1">
    <w:p w14:paraId="6C71DC76" w14:textId="77777777" w:rsidR="009E03FB" w:rsidRDefault="009E03F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Taux de décaissement de la première tranche du budget total du programme.</w:t>
      </w:r>
    </w:p>
  </w:footnote>
  <w:footnote w:id="2">
    <w:p w14:paraId="2EB57461" w14:textId="56FED4A1" w:rsidR="009E03FB" w:rsidRPr="0026066C" w:rsidRDefault="009E03FB">
      <w:pPr>
        <w:pStyle w:val="Notedebasdepage"/>
      </w:pPr>
      <w:r>
        <w:rPr>
          <w:rStyle w:val="Appelnotedebasdep"/>
        </w:rPr>
        <w:footnoteRef/>
      </w:r>
      <w:r>
        <w:t xml:space="preserve"> Ces valeurs ne sont pas cumulatives. Un ménage utilise plusieurs sources d’énergies à la fois. </w:t>
      </w:r>
    </w:p>
  </w:footnote>
  <w:footnote w:id="3">
    <w:p w14:paraId="672383FD" w14:textId="77777777" w:rsidR="009E03FB" w:rsidRDefault="009E03F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Contexte lié à la période sous-examen (semestre/année).</w:t>
      </w:r>
    </w:p>
  </w:footnote>
  <w:footnote w:id="4">
    <w:p w14:paraId="789D8FBB" w14:textId="597F14A9" w:rsidR="00706B7C" w:rsidRPr="00706B7C" w:rsidRDefault="00706B7C">
      <w:pPr>
        <w:pStyle w:val="Notedebasdepage"/>
      </w:pPr>
      <w:r>
        <w:rPr>
          <w:rStyle w:val="Appelnotedebasdep"/>
        </w:rPr>
        <w:footnoteRef/>
      </w:r>
      <w:r>
        <w:t xml:space="preserve"> </w:t>
      </w:r>
      <w:hyperlink r:id="rId1" w:history="1">
        <w:r w:rsidR="00031858" w:rsidRPr="0027505D">
          <w:rPr>
            <w:rStyle w:val="Lienhypertexte"/>
          </w:rPr>
          <w:t>https://www.populationdata.net/pays/republique-democratique-du-congo/</w:t>
        </w:r>
      </w:hyperlink>
      <w:r w:rsidR="00031858">
        <w:t xml:space="preserve"> </w:t>
      </w:r>
    </w:p>
  </w:footnote>
  <w:footnote w:id="5">
    <w:p w14:paraId="7EDFB4F3" w14:textId="79F8F38C" w:rsidR="009E03FB" w:rsidRPr="00031858" w:rsidRDefault="009E03FB">
      <w:pPr>
        <w:pStyle w:val="Notedebasdepage"/>
        <w:rPr>
          <w:lang w:val="fr-FR"/>
        </w:rPr>
      </w:pPr>
      <w:r>
        <w:rPr>
          <w:rStyle w:val="Appelnotedebasdep"/>
        </w:rPr>
        <w:footnoteRef/>
      </w:r>
      <w:r>
        <w:t xml:space="preserve"> </w:t>
      </w:r>
      <w:hyperlink r:id="rId2" w:history="1">
        <w:r w:rsidRPr="00F86801">
          <w:rPr>
            <w:rStyle w:val="Lienhypertexte"/>
          </w:rPr>
          <w:t>https://www.unicef.org/drcongo/media/2731/file/COD-MICS2018-Resume.pdf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542E" w14:textId="77777777" w:rsidR="009E03FB" w:rsidRDefault="009E03F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B5CCE" w14:textId="77777777" w:rsidR="009E03FB" w:rsidRDefault="009E03FB">
    <w:pPr>
      <w:pBdr>
        <w:top w:val="nil"/>
        <w:left w:val="nil"/>
        <w:bottom w:val="nil"/>
        <w:right w:val="nil"/>
        <w:between w:val="nil"/>
      </w:pBdr>
      <w:tabs>
        <w:tab w:val="center" w:pos="4536"/>
        <w:tab w:val="right" w:pos="9072"/>
      </w:tabs>
      <w:spacing w:after="0" w:line="240" w:lineRule="auto"/>
      <w:jc w:val="right"/>
      <w:rPr>
        <w:i/>
        <w:color w:val="000000"/>
      </w:rPr>
    </w:pPr>
    <w:r>
      <w:rPr>
        <w:i/>
        <w:color w:val="000000"/>
      </w:rPr>
      <w:t>Canevas de rapport des AE – Programmes Energie FONAREDD – Janvier-</w:t>
    </w:r>
    <w:r>
      <w:rPr>
        <w:i/>
      </w:rPr>
      <w:t>décembre</w:t>
    </w:r>
    <w:r>
      <w:rPr>
        <w:i/>
        <w:color w:val="000000"/>
      </w:rPr>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2DF9" w14:textId="77777777" w:rsidR="009E03FB" w:rsidRDefault="009E03FB">
    <w:pPr>
      <w:keepNext/>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9509A"/>
    <w:multiLevelType w:val="multilevel"/>
    <w:tmpl w:val="F3048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BC4C0B"/>
    <w:multiLevelType w:val="multilevel"/>
    <w:tmpl w:val="F7844048"/>
    <w:lvl w:ilvl="0">
      <w:start w:val="1"/>
      <w:numFmt w:val="lowerLetter"/>
      <w:lvlText w:val="%1)"/>
      <w:lvlJc w:val="left"/>
      <w:pPr>
        <w:ind w:left="370" w:hanging="360"/>
      </w:pPr>
      <w:rPr>
        <w:color w:val="000000"/>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 w15:restartNumberingAfterBreak="0">
    <w:nsid w:val="2FFF03C0"/>
    <w:multiLevelType w:val="multilevel"/>
    <w:tmpl w:val="01C8A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444A7D"/>
    <w:multiLevelType w:val="multilevel"/>
    <w:tmpl w:val="C652C33A"/>
    <w:lvl w:ilvl="0">
      <w:start w:val="1"/>
      <w:numFmt w:val="bullet"/>
      <w:lvlText w:val="-"/>
      <w:lvlJc w:val="left"/>
      <w:pPr>
        <w:ind w:left="730" w:hanging="360"/>
      </w:pPr>
      <w:rPr>
        <w:rFonts w:ascii="Calibri" w:eastAsia="Calibri" w:hAnsi="Calibri" w:cs="Calibri"/>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4" w15:restartNumberingAfterBreak="0">
    <w:nsid w:val="338D6982"/>
    <w:multiLevelType w:val="hybridMultilevel"/>
    <w:tmpl w:val="A3B832BE"/>
    <w:lvl w:ilvl="0" w:tplc="E4728F58">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5" w15:restartNumberingAfterBreak="0">
    <w:nsid w:val="46E20907"/>
    <w:multiLevelType w:val="multilevel"/>
    <w:tmpl w:val="F320AE36"/>
    <w:lvl w:ilvl="0">
      <w:start w:val="1"/>
      <w:numFmt w:val="decimal"/>
      <w:lvlText w:val="%1."/>
      <w:lvlJc w:val="left"/>
      <w:pPr>
        <w:ind w:left="360" w:hanging="360"/>
      </w:pPr>
    </w:lvl>
    <w:lvl w:ilvl="1">
      <w:start w:val="1"/>
      <w:numFmt w:val="decimal"/>
      <w:lvlText w:val="%1.%2."/>
      <w:lvlJc w:val="left"/>
      <w:pPr>
        <w:ind w:left="730" w:hanging="720"/>
      </w:pPr>
    </w:lvl>
    <w:lvl w:ilvl="2">
      <w:start w:val="1"/>
      <w:numFmt w:val="decimal"/>
      <w:lvlText w:val="%1.%2.%3."/>
      <w:lvlJc w:val="left"/>
      <w:pPr>
        <w:ind w:left="738" w:hanging="720"/>
      </w:pPr>
    </w:lvl>
    <w:lvl w:ilvl="3">
      <w:start w:val="1"/>
      <w:numFmt w:val="decimal"/>
      <w:lvlText w:val="%1.%2.%3.%4."/>
      <w:lvlJc w:val="left"/>
      <w:pPr>
        <w:ind w:left="1106" w:hanging="1080"/>
      </w:pPr>
    </w:lvl>
    <w:lvl w:ilvl="4">
      <w:start w:val="1"/>
      <w:numFmt w:val="decimal"/>
      <w:lvlText w:val="%1.%2.%3.%4.%5."/>
      <w:lvlJc w:val="left"/>
      <w:pPr>
        <w:ind w:left="1114" w:hanging="1080"/>
      </w:pPr>
    </w:lvl>
    <w:lvl w:ilvl="5">
      <w:start w:val="1"/>
      <w:numFmt w:val="decimal"/>
      <w:lvlText w:val="%1.%2.%3.%4.%5.%6."/>
      <w:lvlJc w:val="left"/>
      <w:pPr>
        <w:ind w:left="1482" w:hanging="1440"/>
      </w:pPr>
    </w:lvl>
    <w:lvl w:ilvl="6">
      <w:start w:val="1"/>
      <w:numFmt w:val="decimal"/>
      <w:lvlText w:val="%1.%2.%3.%4.%5.%6.%7."/>
      <w:lvlJc w:val="left"/>
      <w:pPr>
        <w:ind w:left="1490" w:hanging="1440"/>
      </w:pPr>
    </w:lvl>
    <w:lvl w:ilvl="7">
      <w:start w:val="1"/>
      <w:numFmt w:val="decimal"/>
      <w:lvlText w:val="%1.%2.%3.%4.%5.%6.%7.%8."/>
      <w:lvlJc w:val="left"/>
      <w:pPr>
        <w:ind w:left="1858" w:hanging="1800"/>
      </w:pPr>
    </w:lvl>
    <w:lvl w:ilvl="8">
      <w:start w:val="1"/>
      <w:numFmt w:val="decimal"/>
      <w:lvlText w:val="%1.%2.%3.%4.%5.%6.%7.%8.%9."/>
      <w:lvlJc w:val="left"/>
      <w:pPr>
        <w:ind w:left="1866" w:hanging="1800"/>
      </w:pPr>
    </w:lvl>
  </w:abstractNum>
  <w:abstractNum w:abstractNumId="6" w15:restartNumberingAfterBreak="0">
    <w:nsid w:val="57825BD1"/>
    <w:multiLevelType w:val="multilevel"/>
    <w:tmpl w:val="702E0014"/>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7" w15:restartNumberingAfterBreak="0">
    <w:nsid w:val="684D3003"/>
    <w:multiLevelType w:val="multilevel"/>
    <w:tmpl w:val="446A07CC"/>
    <w:lvl w:ilvl="0">
      <w:start w:val="1"/>
      <w:numFmt w:val="decimal"/>
      <w:lvlText w:val="%1."/>
      <w:lvlJc w:val="left"/>
      <w:pPr>
        <w:ind w:left="362" w:hanging="360"/>
      </w:pPr>
    </w:lvl>
    <w:lvl w:ilvl="1">
      <w:start w:val="1"/>
      <w:numFmt w:val="lowerLetter"/>
      <w:lvlText w:val="%2)"/>
      <w:lvlJc w:val="left"/>
      <w:pPr>
        <w:ind w:left="730" w:hanging="720"/>
      </w:pPr>
    </w:lvl>
    <w:lvl w:ilvl="2">
      <w:start w:val="1"/>
      <w:numFmt w:val="decimal"/>
      <w:lvlText w:val="%1.%2.%3."/>
      <w:lvlJc w:val="left"/>
      <w:pPr>
        <w:ind w:left="738" w:hanging="720"/>
      </w:pPr>
    </w:lvl>
    <w:lvl w:ilvl="3">
      <w:start w:val="1"/>
      <w:numFmt w:val="decimal"/>
      <w:lvlText w:val="%1.%2.%3.%4."/>
      <w:lvlJc w:val="left"/>
      <w:pPr>
        <w:ind w:left="1106" w:hanging="1080"/>
      </w:pPr>
    </w:lvl>
    <w:lvl w:ilvl="4">
      <w:start w:val="1"/>
      <w:numFmt w:val="decimal"/>
      <w:lvlText w:val="%1.%2.%3.%4.%5."/>
      <w:lvlJc w:val="left"/>
      <w:pPr>
        <w:ind w:left="1114" w:hanging="1080"/>
      </w:pPr>
    </w:lvl>
    <w:lvl w:ilvl="5">
      <w:start w:val="1"/>
      <w:numFmt w:val="decimal"/>
      <w:lvlText w:val="%1.%2.%3.%4.%5.%6."/>
      <w:lvlJc w:val="left"/>
      <w:pPr>
        <w:ind w:left="1482" w:hanging="1440"/>
      </w:pPr>
    </w:lvl>
    <w:lvl w:ilvl="6">
      <w:start w:val="1"/>
      <w:numFmt w:val="decimal"/>
      <w:lvlText w:val="%1.%2.%3.%4.%5.%6.%7."/>
      <w:lvlJc w:val="left"/>
      <w:pPr>
        <w:ind w:left="1490" w:hanging="1440"/>
      </w:pPr>
    </w:lvl>
    <w:lvl w:ilvl="7">
      <w:start w:val="1"/>
      <w:numFmt w:val="decimal"/>
      <w:lvlText w:val="%1.%2.%3.%4.%5.%6.%7.%8."/>
      <w:lvlJc w:val="left"/>
      <w:pPr>
        <w:ind w:left="1858" w:hanging="1800"/>
      </w:pPr>
    </w:lvl>
    <w:lvl w:ilvl="8">
      <w:start w:val="1"/>
      <w:numFmt w:val="decimal"/>
      <w:lvlText w:val="%1.%2.%3.%4.%5.%6.%7.%8.%9."/>
      <w:lvlJc w:val="left"/>
      <w:pPr>
        <w:ind w:left="1866" w:hanging="1800"/>
      </w:pPr>
    </w:lvl>
  </w:abstractNum>
  <w:abstractNum w:abstractNumId="8" w15:restartNumberingAfterBreak="0">
    <w:nsid w:val="6C944968"/>
    <w:multiLevelType w:val="multilevel"/>
    <w:tmpl w:val="BFE447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C07C64"/>
    <w:multiLevelType w:val="multilevel"/>
    <w:tmpl w:val="B04AAA8C"/>
    <w:lvl w:ilvl="0">
      <w:start w:val="30"/>
      <w:numFmt w:val="bullet"/>
      <w:lvlText w:val="-"/>
      <w:lvlJc w:val="left"/>
      <w:pPr>
        <w:ind w:left="370" w:hanging="360"/>
      </w:pPr>
      <w:rPr>
        <w:rFonts w:ascii="Calibri" w:eastAsia="Calibri" w:hAnsi="Calibri" w:cs="Calibri"/>
        <w:sz w:val="22"/>
        <w:szCs w:val="22"/>
      </w:rPr>
    </w:lvl>
    <w:lvl w:ilvl="1">
      <w:start w:val="1"/>
      <w:numFmt w:val="bullet"/>
      <w:lvlText w:val="o"/>
      <w:lvlJc w:val="left"/>
      <w:pPr>
        <w:ind w:left="1090" w:hanging="360"/>
      </w:pPr>
      <w:rPr>
        <w:rFonts w:ascii="Courier New" w:eastAsia="Courier New" w:hAnsi="Courier New" w:cs="Courier New"/>
      </w:rPr>
    </w:lvl>
    <w:lvl w:ilvl="2">
      <w:start w:val="1"/>
      <w:numFmt w:val="bullet"/>
      <w:lvlText w:val="▪"/>
      <w:lvlJc w:val="left"/>
      <w:pPr>
        <w:ind w:left="1810" w:hanging="360"/>
      </w:pPr>
      <w:rPr>
        <w:rFonts w:ascii="Noto Sans Symbols" w:eastAsia="Noto Sans Symbols" w:hAnsi="Noto Sans Symbols" w:cs="Noto Sans Symbols"/>
      </w:rPr>
    </w:lvl>
    <w:lvl w:ilvl="3">
      <w:start w:val="1"/>
      <w:numFmt w:val="bullet"/>
      <w:lvlText w:val="●"/>
      <w:lvlJc w:val="left"/>
      <w:pPr>
        <w:ind w:left="2530" w:hanging="360"/>
      </w:pPr>
      <w:rPr>
        <w:rFonts w:ascii="Noto Sans Symbols" w:eastAsia="Noto Sans Symbols" w:hAnsi="Noto Sans Symbols" w:cs="Noto Sans Symbols"/>
      </w:rPr>
    </w:lvl>
    <w:lvl w:ilvl="4">
      <w:start w:val="1"/>
      <w:numFmt w:val="bullet"/>
      <w:lvlText w:val="o"/>
      <w:lvlJc w:val="left"/>
      <w:pPr>
        <w:ind w:left="3250" w:hanging="360"/>
      </w:pPr>
      <w:rPr>
        <w:rFonts w:ascii="Courier New" w:eastAsia="Courier New" w:hAnsi="Courier New" w:cs="Courier New"/>
      </w:rPr>
    </w:lvl>
    <w:lvl w:ilvl="5">
      <w:start w:val="1"/>
      <w:numFmt w:val="bullet"/>
      <w:lvlText w:val="▪"/>
      <w:lvlJc w:val="left"/>
      <w:pPr>
        <w:ind w:left="3970" w:hanging="360"/>
      </w:pPr>
      <w:rPr>
        <w:rFonts w:ascii="Noto Sans Symbols" w:eastAsia="Noto Sans Symbols" w:hAnsi="Noto Sans Symbols" w:cs="Noto Sans Symbols"/>
      </w:rPr>
    </w:lvl>
    <w:lvl w:ilvl="6">
      <w:start w:val="1"/>
      <w:numFmt w:val="bullet"/>
      <w:lvlText w:val="●"/>
      <w:lvlJc w:val="left"/>
      <w:pPr>
        <w:ind w:left="4690" w:hanging="360"/>
      </w:pPr>
      <w:rPr>
        <w:rFonts w:ascii="Noto Sans Symbols" w:eastAsia="Noto Sans Symbols" w:hAnsi="Noto Sans Symbols" w:cs="Noto Sans Symbols"/>
      </w:rPr>
    </w:lvl>
    <w:lvl w:ilvl="7">
      <w:start w:val="1"/>
      <w:numFmt w:val="bullet"/>
      <w:lvlText w:val="o"/>
      <w:lvlJc w:val="left"/>
      <w:pPr>
        <w:ind w:left="5410" w:hanging="360"/>
      </w:pPr>
      <w:rPr>
        <w:rFonts w:ascii="Courier New" w:eastAsia="Courier New" w:hAnsi="Courier New" w:cs="Courier New"/>
      </w:rPr>
    </w:lvl>
    <w:lvl w:ilvl="8">
      <w:start w:val="1"/>
      <w:numFmt w:val="bullet"/>
      <w:lvlText w:val="▪"/>
      <w:lvlJc w:val="left"/>
      <w:pPr>
        <w:ind w:left="6130" w:hanging="360"/>
      </w:pPr>
      <w:rPr>
        <w:rFonts w:ascii="Noto Sans Symbols" w:eastAsia="Noto Sans Symbols" w:hAnsi="Noto Sans Symbols" w:cs="Noto Sans Symbols"/>
      </w:rPr>
    </w:lvl>
  </w:abstractNum>
  <w:abstractNum w:abstractNumId="10" w15:restartNumberingAfterBreak="0">
    <w:nsid w:val="7B7E6499"/>
    <w:multiLevelType w:val="multilevel"/>
    <w:tmpl w:val="1B0025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3D251F"/>
    <w:multiLevelType w:val="multilevel"/>
    <w:tmpl w:val="972C0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
  </w:num>
  <w:num w:numId="3">
    <w:abstractNumId w:val="3"/>
  </w:num>
  <w:num w:numId="4">
    <w:abstractNumId w:val="11"/>
  </w:num>
  <w:num w:numId="5">
    <w:abstractNumId w:val="7"/>
  </w:num>
  <w:num w:numId="6">
    <w:abstractNumId w:val="2"/>
  </w:num>
  <w:num w:numId="7">
    <w:abstractNumId w:val="8"/>
  </w:num>
  <w:num w:numId="8">
    <w:abstractNumId w:val="10"/>
  </w:num>
  <w:num w:numId="9">
    <w:abstractNumId w:val="6"/>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04"/>
    <w:rsid w:val="00031858"/>
    <w:rsid w:val="00042069"/>
    <w:rsid w:val="00042FD2"/>
    <w:rsid w:val="00051A29"/>
    <w:rsid w:val="00086DDD"/>
    <w:rsid w:val="000C705A"/>
    <w:rsid w:val="000D173D"/>
    <w:rsid w:val="00194DB6"/>
    <w:rsid w:val="00201D1D"/>
    <w:rsid w:val="002230DE"/>
    <w:rsid w:val="0022492B"/>
    <w:rsid w:val="00234866"/>
    <w:rsid w:val="0026066C"/>
    <w:rsid w:val="0029448C"/>
    <w:rsid w:val="00297D89"/>
    <w:rsid w:val="002A5C48"/>
    <w:rsid w:val="002F13BC"/>
    <w:rsid w:val="00353AB7"/>
    <w:rsid w:val="003A41DF"/>
    <w:rsid w:val="003C08DB"/>
    <w:rsid w:val="004752F5"/>
    <w:rsid w:val="00482380"/>
    <w:rsid w:val="00486C16"/>
    <w:rsid w:val="004D309F"/>
    <w:rsid w:val="0050111D"/>
    <w:rsid w:val="00527B42"/>
    <w:rsid w:val="00536EDC"/>
    <w:rsid w:val="0054659D"/>
    <w:rsid w:val="00563DAF"/>
    <w:rsid w:val="0057228D"/>
    <w:rsid w:val="00591FC5"/>
    <w:rsid w:val="005A7959"/>
    <w:rsid w:val="00602166"/>
    <w:rsid w:val="00623856"/>
    <w:rsid w:val="00673E1A"/>
    <w:rsid w:val="006776DC"/>
    <w:rsid w:val="006F7E89"/>
    <w:rsid w:val="00706B7C"/>
    <w:rsid w:val="007107DE"/>
    <w:rsid w:val="00720A52"/>
    <w:rsid w:val="007B0584"/>
    <w:rsid w:val="007D5288"/>
    <w:rsid w:val="008336C9"/>
    <w:rsid w:val="008415EC"/>
    <w:rsid w:val="008477F7"/>
    <w:rsid w:val="00877902"/>
    <w:rsid w:val="008B3FE8"/>
    <w:rsid w:val="008F0DC8"/>
    <w:rsid w:val="0090014B"/>
    <w:rsid w:val="00925858"/>
    <w:rsid w:val="00940B75"/>
    <w:rsid w:val="0095523B"/>
    <w:rsid w:val="00994107"/>
    <w:rsid w:val="009C3740"/>
    <w:rsid w:val="009D6C55"/>
    <w:rsid w:val="009E03FB"/>
    <w:rsid w:val="009E25F8"/>
    <w:rsid w:val="00A41C05"/>
    <w:rsid w:val="00AA2AA8"/>
    <w:rsid w:val="00AD0FC1"/>
    <w:rsid w:val="00AD5317"/>
    <w:rsid w:val="00AE2869"/>
    <w:rsid w:val="00BA277B"/>
    <w:rsid w:val="00BA716B"/>
    <w:rsid w:val="00BC673B"/>
    <w:rsid w:val="00BE5538"/>
    <w:rsid w:val="00C306B1"/>
    <w:rsid w:val="00C3204A"/>
    <w:rsid w:val="00C71504"/>
    <w:rsid w:val="00C728AC"/>
    <w:rsid w:val="00C96668"/>
    <w:rsid w:val="00CB3AEA"/>
    <w:rsid w:val="00D7692A"/>
    <w:rsid w:val="00DF3B06"/>
    <w:rsid w:val="00E23DE1"/>
    <w:rsid w:val="00E47BD1"/>
    <w:rsid w:val="00E755B1"/>
    <w:rsid w:val="00EA7692"/>
    <w:rsid w:val="00FB658E"/>
    <w:rsid w:val="00FD4992"/>
    <w:rsid w:val="00FF535B"/>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5905"/>
  <w15:docId w15:val="{CB56B78E-05A8-477E-84CA-F4F2D94A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fr-FR" w:eastAsia="fr-CD" w:bidi="ar-SA"/>
      </w:rPr>
    </w:rPrDefault>
    <w:pPrDefault>
      <w:pPr>
        <w:spacing w:after="5" w:line="271" w:lineRule="auto"/>
        <w:ind w:left="20" w:right="28"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80"/>
  </w:style>
  <w:style w:type="paragraph" w:styleId="Titre1">
    <w:name w:val="heading 1"/>
    <w:basedOn w:val="Normal"/>
    <w:next w:val="Normal"/>
    <w:uiPriority w:val="9"/>
    <w:qFormat/>
    <w:pPr>
      <w:keepNext/>
      <w:keepLines/>
      <w:pBdr>
        <w:top w:val="nil"/>
        <w:left w:val="nil"/>
        <w:bottom w:val="nil"/>
        <w:right w:val="nil"/>
        <w:between w:val="nil"/>
      </w:pBdr>
      <w:spacing w:before="120" w:after="125" w:line="268" w:lineRule="auto"/>
      <w:ind w:left="12" w:right="0"/>
      <w:jc w:val="left"/>
      <w:outlineLvl w:val="0"/>
    </w:pPr>
    <w:rPr>
      <w:b/>
      <w:color w:val="0070C0"/>
      <w:sz w:val="25"/>
      <w:szCs w:val="25"/>
    </w:rPr>
  </w:style>
  <w:style w:type="paragraph" w:styleId="Titre2">
    <w:name w:val="heading 2"/>
    <w:basedOn w:val="Normal"/>
    <w:next w:val="Normal"/>
    <w:uiPriority w:val="9"/>
    <w:unhideWhenUsed/>
    <w:qFormat/>
    <w:pPr>
      <w:keepNext/>
      <w:keepLines/>
      <w:spacing w:before="40" w:after="0"/>
      <w:outlineLvl w:val="1"/>
    </w:pPr>
    <w:rPr>
      <w:color w:val="2F5496"/>
      <w:sz w:val="26"/>
      <w:szCs w:val="26"/>
    </w:rPr>
  </w:style>
  <w:style w:type="paragraph" w:styleId="Titre3">
    <w:name w:val="heading 3"/>
    <w:basedOn w:val="Normal"/>
    <w:next w:val="Normal"/>
    <w:uiPriority w:val="9"/>
    <w:semiHidden/>
    <w:unhideWhenUsed/>
    <w:qFormat/>
    <w:pPr>
      <w:keepNext/>
      <w:keepLines/>
      <w:spacing w:before="40" w:after="0"/>
      <w:outlineLvl w:val="2"/>
    </w:pPr>
    <w:rPr>
      <w:color w:val="1F3863"/>
      <w:sz w:val="24"/>
      <w:szCs w:val="24"/>
    </w:rPr>
  </w:style>
  <w:style w:type="paragraph" w:styleId="Titre4">
    <w:name w:val="heading 4"/>
    <w:basedOn w:val="Normal"/>
    <w:next w:val="Normal"/>
    <w:uiPriority w:val="9"/>
    <w:semiHidden/>
    <w:unhideWhenUsed/>
    <w:qFormat/>
    <w:pPr>
      <w:keepNext/>
      <w:keepLines/>
      <w:pBdr>
        <w:top w:val="nil"/>
        <w:left w:val="nil"/>
        <w:bottom w:val="nil"/>
        <w:right w:val="nil"/>
        <w:between w:val="nil"/>
      </w:pBdr>
      <w:spacing w:after="10" w:line="268" w:lineRule="auto"/>
      <w:ind w:left="10" w:right="0"/>
      <w:jc w:val="left"/>
      <w:outlineLvl w:val="3"/>
    </w:pPr>
    <w:rPr>
      <w:b/>
      <w:color w:val="000000"/>
    </w:rPr>
  </w:style>
  <w:style w:type="paragraph" w:styleId="Titre5">
    <w:name w:val="heading 5"/>
    <w:basedOn w:val="Normal"/>
    <w:next w:val="Normal"/>
    <w:uiPriority w:val="9"/>
    <w:semiHidden/>
    <w:unhideWhenUsed/>
    <w:qFormat/>
    <w:pPr>
      <w:keepNext/>
      <w:keepLines/>
      <w:pBdr>
        <w:top w:val="nil"/>
        <w:left w:val="nil"/>
        <w:bottom w:val="nil"/>
        <w:right w:val="nil"/>
        <w:between w:val="nil"/>
      </w:pBdr>
      <w:spacing w:after="10" w:line="268" w:lineRule="auto"/>
      <w:ind w:left="10" w:right="0"/>
      <w:jc w:val="left"/>
      <w:outlineLvl w:val="4"/>
    </w:pPr>
    <w:rPr>
      <w:b/>
      <w:color w:val="000000"/>
    </w:rPr>
  </w:style>
  <w:style w:type="paragraph" w:styleId="Titre6">
    <w:name w:val="heading 6"/>
    <w:basedOn w:val="Normal"/>
    <w:next w:val="Normal"/>
    <w:uiPriority w:val="9"/>
    <w:semiHidden/>
    <w:unhideWhenUsed/>
    <w:qFormat/>
    <w:pPr>
      <w:keepNext/>
      <w:keepLines/>
      <w:spacing w:before="40" w:after="0"/>
      <w:outlineLvl w:val="5"/>
    </w:pPr>
    <w:rPr>
      <w:color w:val="1F38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5">
    <w:name w:val="25"/>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0"/>
    <w:tblPr>
      <w:tblStyleRowBandSize w:val="1"/>
      <w:tblStyleColBandSize w:val="1"/>
      <w:tblCellMar>
        <w:top w:w="15" w:type="dxa"/>
        <w:left w:w="115" w:type="dxa"/>
        <w:bottom w:w="15" w:type="dxa"/>
        <w:right w:w="115" w:type="dxa"/>
      </w:tblCellMar>
    </w:tblPr>
  </w:style>
  <w:style w:type="table" w:customStyle="1" w:styleId="21">
    <w:name w:val="21"/>
    <w:basedOn w:val="TableNormal10"/>
    <w:tblPr>
      <w:tblStyleRowBandSize w:val="1"/>
      <w:tblStyleColBandSize w:val="1"/>
      <w:tblCellMar>
        <w:left w:w="70" w:type="dxa"/>
        <w:right w:w="70" w:type="dxa"/>
      </w:tblCellMar>
    </w:tblPr>
  </w:style>
  <w:style w:type="table" w:customStyle="1" w:styleId="20">
    <w:name w:val="20"/>
    <w:basedOn w:val="TableNormal10"/>
    <w:tblPr>
      <w:tblStyleRowBandSize w:val="1"/>
      <w:tblStyleColBandSize w:val="1"/>
      <w:tblCellMar>
        <w:left w:w="70" w:type="dxa"/>
        <w:right w:w="70" w:type="dxa"/>
      </w:tblCellMar>
    </w:tblPr>
  </w:style>
  <w:style w:type="table" w:customStyle="1" w:styleId="19">
    <w:name w:val="19"/>
    <w:basedOn w:val="TableNormal10"/>
    <w:tblPr>
      <w:tblStyleRowBandSize w:val="1"/>
      <w:tblStyleColBandSize w:val="1"/>
      <w:tblCellMar>
        <w:left w:w="70" w:type="dxa"/>
        <w:right w:w="70" w:type="dxa"/>
      </w:tblCellMar>
    </w:tblPr>
  </w:style>
  <w:style w:type="table" w:customStyle="1" w:styleId="18">
    <w:name w:val="18"/>
    <w:basedOn w:val="TableNormal10"/>
    <w:tblPr>
      <w:tblStyleRowBandSize w:val="1"/>
      <w:tblStyleColBandSize w:val="1"/>
      <w:tblCellMar>
        <w:top w:w="100" w:type="dxa"/>
        <w:left w:w="100" w:type="dxa"/>
        <w:bottom w:w="100" w:type="dxa"/>
        <w:right w:w="100" w:type="dxa"/>
      </w:tblCellMar>
    </w:tblPr>
  </w:style>
  <w:style w:type="table" w:customStyle="1" w:styleId="17">
    <w:name w:val="17"/>
    <w:basedOn w:val="TableNormal10"/>
    <w:tblPr>
      <w:tblStyleRowBandSize w:val="1"/>
      <w:tblStyleColBandSize w:val="1"/>
      <w:tblCellMar>
        <w:top w:w="100" w:type="dxa"/>
        <w:left w:w="100" w:type="dxa"/>
        <w:bottom w:w="100" w:type="dxa"/>
        <w:right w:w="100" w:type="dxa"/>
      </w:tblCellMar>
    </w:tblPr>
  </w:style>
  <w:style w:type="table" w:customStyle="1" w:styleId="16">
    <w:name w:val="16"/>
    <w:basedOn w:val="TableNormal10"/>
    <w:tblPr>
      <w:tblStyleRowBandSize w:val="1"/>
      <w:tblStyleColBandSize w:val="1"/>
      <w:tblCellMar>
        <w:top w:w="100" w:type="dxa"/>
        <w:left w:w="100" w:type="dxa"/>
        <w:bottom w:w="100" w:type="dxa"/>
        <w:right w:w="100" w:type="dxa"/>
      </w:tblCellMar>
    </w:tblPr>
  </w:style>
  <w:style w:type="table" w:customStyle="1" w:styleId="15">
    <w:name w:val="15"/>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A01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0159"/>
    <w:rPr>
      <w:rFonts w:ascii="Segoe UI" w:hAnsi="Segoe UI" w:cs="Segoe UI"/>
      <w:sz w:val="18"/>
      <w:szCs w:val="18"/>
    </w:rPr>
  </w:style>
  <w:style w:type="paragraph" w:styleId="Paragraphedeliste">
    <w:name w:val="List Paragraph"/>
    <w:aliases w:val="Listes,List Paragraph (bulleted list),Bullet 1 List,Indent Paragraph,References,Liste couleur - Accent 111,List Paragraph1,Dot pt,Bullet Points,List Paragraph Char Char Char,Indicator Text,Numbered Para 1,Bullet 1,MAIN CONTENT"/>
    <w:basedOn w:val="Normal"/>
    <w:link w:val="ParagraphedelisteCar"/>
    <w:uiPriority w:val="34"/>
    <w:qFormat/>
    <w:rsid w:val="005A0159"/>
    <w:pPr>
      <w:ind w:left="720"/>
      <w:contextualSpacing/>
    </w:pPr>
    <w:rPr>
      <w:color w:val="000000"/>
      <w:szCs w:val="22"/>
      <w:lang w:val="fr-CD"/>
    </w:rPr>
  </w:style>
  <w:style w:type="character" w:styleId="Lienhypertexte">
    <w:name w:val="Hyperlink"/>
    <w:basedOn w:val="Policepardfaut"/>
    <w:uiPriority w:val="99"/>
    <w:unhideWhenUsed/>
    <w:rsid w:val="005A0159"/>
    <w:rPr>
      <w:color w:val="0000FF" w:themeColor="hyperlink"/>
      <w:u w:val="single"/>
    </w:rPr>
  </w:style>
  <w:style w:type="paragraph" w:styleId="Notedebasdepage">
    <w:name w:val="footnote text"/>
    <w:basedOn w:val="Normal"/>
    <w:link w:val="NotedebasdepageCar"/>
    <w:uiPriority w:val="99"/>
    <w:semiHidden/>
    <w:unhideWhenUsed/>
    <w:rsid w:val="005A0159"/>
    <w:pPr>
      <w:spacing w:after="0" w:line="240" w:lineRule="auto"/>
    </w:pPr>
    <w:rPr>
      <w:color w:val="000000"/>
      <w:sz w:val="20"/>
      <w:szCs w:val="20"/>
      <w:lang w:val="fr-CD"/>
    </w:rPr>
  </w:style>
  <w:style w:type="character" w:customStyle="1" w:styleId="NotedebasdepageCar">
    <w:name w:val="Note de bas de page Car"/>
    <w:basedOn w:val="Policepardfaut"/>
    <w:link w:val="Notedebasdepage"/>
    <w:uiPriority w:val="99"/>
    <w:semiHidden/>
    <w:rsid w:val="005A0159"/>
    <w:rPr>
      <w:color w:val="000000"/>
      <w:sz w:val="20"/>
      <w:szCs w:val="20"/>
      <w:lang w:val="fr-CD"/>
    </w:rPr>
  </w:style>
  <w:style w:type="character" w:styleId="Appelnotedebasdep">
    <w:name w:val="footnote reference"/>
    <w:semiHidden/>
    <w:rsid w:val="005A0159"/>
    <w:rPr>
      <w:i/>
      <w:iCs/>
      <w:sz w:val="20"/>
      <w:vertAlign w:val="superscript"/>
      <w:lang w:val="fr-FR" w:eastAsia="fr-FR"/>
    </w:rPr>
  </w:style>
  <w:style w:type="table" w:styleId="Grilledutableau">
    <w:name w:val="Table Grid"/>
    <w:basedOn w:val="TableauNormal"/>
    <w:uiPriority w:val="39"/>
    <w:rsid w:val="005A0159"/>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es Car,List Paragraph (bulleted list) Car,Bullet 1 List Car,Indent Paragraph Car,References Car,Liste couleur - Accent 111 Car,List Paragraph1 Car,Dot pt Car,Bullet Points Car,List Paragraph Char Char Char Car,Bullet 1 Car"/>
    <w:link w:val="Paragraphedeliste"/>
    <w:uiPriority w:val="34"/>
    <w:qFormat/>
    <w:locked/>
    <w:rsid w:val="005A0159"/>
    <w:rPr>
      <w:color w:val="000000"/>
      <w:szCs w:val="22"/>
      <w:lang w:val="fr-CD"/>
    </w:rPr>
  </w:style>
  <w:style w:type="paragraph" w:styleId="Objetducommentaire">
    <w:name w:val="annotation subject"/>
    <w:basedOn w:val="Commentaire"/>
    <w:next w:val="Commentaire"/>
    <w:link w:val="ObjetducommentaireCar"/>
    <w:uiPriority w:val="99"/>
    <w:semiHidden/>
    <w:unhideWhenUsed/>
    <w:rsid w:val="00A066DD"/>
    <w:rPr>
      <w:b/>
      <w:bCs/>
    </w:rPr>
  </w:style>
  <w:style w:type="character" w:customStyle="1" w:styleId="ObjetducommentaireCar">
    <w:name w:val="Objet du commentaire Car"/>
    <w:basedOn w:val="CommentaireCar"/>
    <w:link w:val="Objetducommentaire"/>
    <w:uiPriority w:val="99"/>
    <w:semiHidden/>
    <w:rsid w:val="00A066DD"/>
    <w:rPr>
      <w:b/>
      <w:bCs/>
      <w:sz w:val="20"/>
      <w:szCs w:val="20"/>
    </w:rPr>
  </w:style>
  <w:style w:type="character" w:styleId="Mentionnonrsolue">
    <w:name w:val="Unresolved Mention"/>
    <w:basedOn w:val="Policepardfaut"/>
    <w:uiPriority w:val="99"/>
    <w:semiHidden/>
    <w:unhideWhenUsed/>
    <w:rsid w:val="000532E9"/>
    <w:rPr>
      <w:color w:val="605E5C"/>
      <w:shd w:val="clear" w:color="auto" w:fill="E1DFDD"/>
    </w:rPr>
  </w:style>
  <w:style w:type="table" w:customStyle="1" w:styleId="12">
    <w:name w:val="12"/>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11">
    <w:name w:val="11"/>
    <w:basedOn w:val="TableNormal10"/>
    <w:pPr>
      <w:spacing w:after="0" w:line="240" w:lineRule="auto"/>
      <w:ind w:left="0" w:right="0" w:firstLine="0"/>
      <w:jc w:val="left"/>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10">
    <w:name w:val="10"/>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9">
    <w:name w:val="9"/>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8">
    <w:name w:val="8"/>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7">
    <w:name w:val="7"/>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6">
    <w:name w:val="6"/>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5">
    <w:name w:val="5"/>
    <w:basedOn w:val="TableNormal10"/>
    <w:tblPr>
      <w:tblStyleRowBandSize w:val="1"/>
      <w:tblStyleColBandSize w:val="1"/>
      <w:tblCellMar>
        <w:left w:w="70" w:type="dxa"/>
        <w:right w:w="70" w:type="dxa"/>
      </w:tblCellMar>
    </w:tblPr>
  </w:style>
  <w:style w:type="table" w:customStyle="1" w:styleId="4">
    <w:name w:val="4"/>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3">
    <w:name w:val="3"/>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2">
    <w:name w:val="2"/>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1">
    <w:name w:val="1"/>
    <w:basedOn w:val="TableNormal1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Rvision">
    <w:name w:val="Revision"/>
    <w:hidden/>
    <w:uiPriority w:val="99"/>
    <w:semiHidden/>
    <w:rsid w:val="007D5288"/>
    <w:pPr>
      <w:spacing w:after="0" w:line="240" w:lineRule="auto"/>
      <w:ind w:left="0" w:right="0" w:firstLine="0"/>
      <w:jc w:val="left"/>
    </w:pPr>
  </w:style>
  <w:style w:type="character" w:styleId="Lienhypertextesuivivisit">
    <w:name w:val="FollowedHyperlink"/>
    <w:basedOn w:val="Policepardfaut"/>
    <w:uiPriority w:val="99"/>
    <w:semiHidden/>
    <w:unhideWhenUsed/>
    <w:rsid w:val="00C32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37966">
      <w:bodyDiv w:val="1"/>
      <w:marLeft w:val="0"/>
      <w:marRight w:val="0"/>
      <w:marTop w:val="0"/>
      <w:marBottom w:val="0"/>
      <w:divBdr>
        <w:top w:val="none" w:sz="0" w:space="0" w:color="auto"/>
        <w:left w:val="none" w:sz="0" w:space="0" w:color="auto"/>
        <w:bottom w:val="none" w:sz="0" w:space="0" w:color="auto"/>
        <w:right w:val="none" w:sz="0" w:space="0" w:color="auto"/>
      </w:divBdr>
    </w:div>
    <w:div w:id="162480138">
      <w:bodyDiv w:val="1"/>
      <w:marLeft w:val="0"/>
      <w:marRight w:val="0"/>
      <w:marTop w:val="0"/>
      <w:marBottom w:val="0"/>
      <w:divBdr>
        <w:top w:val="none" w:sz="0" w:space="0" w:color="auto"/>
        <w:left w:val="none" w:sz="0" w:space="0" w:color="auto"/>
        <w:bottom w:val="none" w:sz="0" w:space="0" w:color="auto"/>
        <w:right w:val="none" w:sz="0" w:space="0" w:color="auto"/>
      </w:divBdr>
    </w:div>
    <w:div w:id="176969044">
      <w:bodyDiv w:val="1"/>
      <w:marLeft w:val="0"/>
      <w:marRight w:val="0"/>
      <w:marTop w:val="0"/>
      <w:marBottom w:val="0"/>
      <w:divBdr>
        <w:top w:val="none" w:sz="0" w:space="0" w:color="auto"/>
        <w:left w:val="none" w:sz="0" w:space="0" w:color="auto"/>
        <w:bottom w:val="none" w:sz="0" w:space="0" w:color="auto"/>
        <w:right w:val="none" w:sz="0" w:space="0" w:color="auto"/>
      </w:divBdr>
    </w:div>
    <w:div w:id="536745397">
      <w:bodyDiv w:val="1"/>
      <w:marLeft w:val="0"/>
      <w:marRight w:val="0"/>
      <w:marTop w:val="0"/>
      <w:marBottom w:val="0"/>
      <w:divBdr>
        <w:top w:val="none" w:sz="0" w:space="0" w:color="auto"/>
        <w:left w:val="none" w:sz="0" w:space="0" w:color="auto"/>
        <w:bottom w:val="none" w:sz="0" w:space="0" w:color="auto"/>
        <w:right w:val="none" w:sz="0" w:space="0" w:color="auto"/>
      </w:divBdr>
    </w:div>
    <w:div w:id="1055084126">
      <w:bodyDiv w:val="1"/>
      <w:marLeft w:val="0"/>
      <w:marRight w:val="0"/>
      <w:marTop w:val="0"/>
      <w:marBottom w:val="0"/>
      <w:divBdr>
        <w:top w:val="none" w:sz="0" w:space="0" w:color="auto"/>
        <w:left w:val="none" w:sz="0" w:space="0" w:color="auto"/>
        <w:bottom w:val="none" w:sz="0" w:space="0" w:color="auto"/>
        <w:right w:val="none" w:sz="0" w:space="0" w:color="auto"/>
      </w:divBdr>
    </w:div>
    <w:div w:id="208359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hyperlink" Target="https://www.dropbox.com/sh/lke0nmo8blbp6s6/AAB-Q0fRPZswSByYiyCoy6bEa?dl=0"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www.undp.org/content/undp/en/home/librarypage/operations1/undp-social-and-environmental-standards.html" TargetMode="External"/><Relationship Id="rId2" Type="http://schemas.openxmlformats.org/officeDocument/2006/relationships/customXml" Target="../customXml/item2.xml"/><Relationship Id="rId16" Type="http://schemas.openxmlformats.org/officeDocument/2006/relationships/hyperlink" Target="mailto:registry.cd@undp.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hyperlink" Target="mailto:registry.cd@undp.org" TargetMode="External"/><Relationship Id="rId23" Type="http://schemas.openxmlformats.org/officeDocument/2006/relationships/hyperlink" Target="https://www.uncdf.org/fr/article/5769/le-programme-dincubation/fonds-de-dfis-pour-la-cuisson-propre-en-rdc" TargetMode="Externa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ominic.sam@undp.org" TargetMode="External"/><Relationship Id="rId22" Type="http://schemas.openxmlformats.org/officeDocument/2006/relationships/footer" Target="foot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icef.org/drcongo/media/2731/file/COD-MICS2018-Resume.pdf" TargetMode="External"/><Relationship Id="rId1" Type="http://schemas.openxmlformats.org/officeDocument/2006/relationships/hyperlink" Target="https://www.populationdata.net/pays/republique-democratique-du-co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3jj2rt3IL4w3VVqz/3TUXo951Q==">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5FA38F-DF5F-4F63-B4C4-77ECB612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12015</Words>
  <Characters>66085</Characters>
  <Application>Microsoft Office Word</Application>
  <DocSecurity>0</DocSecurity>
  <Lines>550</Lines>
  <Paragraphs>155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Kouadio Ngoran</dc:creator>
  <cp:keywords/>
  <dc:description/>
  <cp:lastModifiedBy>Dolly Kenga</cp:lastModifiedBy>
  <cp:revision>2</cp:revision>
  <cp:lastPrinted>2021-02-08T11:55:00Z</cp:lastPrinted>
  <dcterms:created xsi:type="dcterms:W3CDTF">2021-03-31T11:19:00Z</dcterms:created>
  <dcterms:modified xsi:type="dcterms:W3CDTF">2021-03-31T11:19:00Z</dcterms:modified>
</cp:coreProperties>
</file>