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05F00" w14:textId="77777777" w:rsidR="00272BF8" w:rsidRPr="003E2544" w:rsidRDefault="00272BF8" w:rsidP="00467001">
      <w:pPr>
        <w:pStyle w:val="Heading2"/>
        <w:spacing w:line="240" w:lineRule="auto"/>
        <w:jc w:val="center"/>
      </w:pPr>
      <w:r w:rsidRPr="003E2544">
        <w:t>A. COVER PAGE</w:t>
      </w:r>
    </w:p>
    <w:p w14:paraId="535CDC43" w14:textId="77777777" w:rsidR="00272BF8" w:rsidRPr="003E2544" w:rsidRDefault="00272BF8" w:rsidP="00245274">
      <w:pPr>
        <w:spacing w:line="240" w:lineRule="auto"/>
        <w:rPr>
          <w:rFonts w:ascii="Verdana" w:eastAsia="Calibri" w:hAnsi="Verdana" w:cs="Times New Roman"/>
          <w:i/>
          <w:color w:val="000000" w:themeColor="text1"/>
          <w:sz w:val="20"/>
          <w:szCs w:val="20"/>
        </w:rPr>
      </w:pPr>
    </w:p>
    <w:p w14:paraId="2C7AD547" w14:textId="77777777" w:rsidR="00272BF8" w:rsidRPr="003E2544" w:rsidRDefault="00272BF8" w:rsidP="00245274">
      <w:pPr>
        <w:spacing w:line="240" w:lineRule="auto"/>
        <w:rPr>
          <w:rFonts w:ascii="Verdana" w:eastAsia="Calibri" w:hAnsi="Verdana" w:cs="Times New Roman"/>
          <w:color w:val="000000" w:themeColor="text1"/>
          <w:sz w:val="20"/>
          <w:szCs w:val="20"/>
        </w:rPr>
      </w:pPr>
      <w:r w:rsidRPr="003E2544">
        <w:rPr>
          <w:rFonts w:ascii="Verdana" w:eastAsia="Calibri" w:hAnsi="Verdana" w:cs="Times New Roman"/>
          <w:b/>
          <w:bCs/>
          <w:color w:val="000000" w:themeColor="text1"/>
          <w:sz w:val="20"/>
          <w:szCs w:val="20"/>
        </w:rPr>
        <w:t>1. Fund Name</w:t>
      </w:r>
      <w:r w:rsidRPr="003E2544">
        <w:rPr>
          <w:rFonts w:ascii="Verdana" w:eastAsia="Calibri" w:hAnsi="Verdana" w:cs="Times New Roman"/>
          <w:color w:val="000000" w:themeColor="text1"/>
          <w:sz w:val="20"/>
          <w:szCs w:val="20"/>
        </w:rPr>
        <w:t>: Joint SDG Fund</w:t>
      </w:r>
    </w:p>
    <w:p w14:paraId="7F54BD96" w14:textId="77777777" w:rsidR="00272BF8" w:rsidRPr="003E2544" w:rsidRDefault="00272BF8" w:rsidP="00245274">
      <w:pPr>
        <w:spacing w:line="240" w:lineRule="auto"/>
        <w:rPr>
          <w:rFonts w:ascii="Verdana" w:eastAsia="Calibri" w:hAnsi="Verdana" w:cs="Times New Roman"/>
          <w:i/>
          <w:color w:val="000000" w:themeColor="text1"/>
          <w:sz w:val="20"/>
          <w:szCs w:val="20"/>
        </w:rPr>
      </w:pPr>
    </w:p>
    <w:p w14:paraId="70FA178E" w14:textId="5231E9D4" w:rsidR="00272BF8" w:rsidRPr="003E2544" w:rsidRDefault="00272BF8" w:rsidP="00245274">
      <w:pPr>
        <w:spacing w:line="240" w:lineRule="auto"/>
        <w:rPr>
          <w:rFonts w:ascii="Verdana" w:eastAsia="Calibri" w:hAnsi="Verdana" w:cs="Times New Roman"/>
          <w:i/>
          <w:color w:val="C45911" w:themeColor="accent2" w:themeShade="BF"/>
          <w:sz w:val="20"/>
          <w:szCs w:val="20"/>
        </w:rPr>
      </w:pPr>
      <w:r w:rsidRPr="003E2544">
        <w:rPr>
          <w:rFonts w:ascii="Verdana" w:eastAsia="Times New Roman" w:hAnsi="Verdana" w:cs="Times New Roman"/>
          <w:b/>
          <w:bCs/>
          <w:color w:val="000000" w:themeColor="text1"/>
          <w:sz w:val="20"/>
          <w:szCs w:val="20"/>
          <w:lang w:eastAsia="en-GB"/>
        </w:rPr>
        <w:t>2. MPTFO Project Reference Number</w:t>
      </w:r>
    </w:p>
    <w:p w14:paraId="45668A5D" w14:textId="77777777" w:rsidR="00272BF8" w:rsidRPr="003E2544" w:rsidRDefault="00272BF8" w:rsidP="00245274">
      <w:pPr>
        <w:spacing w:line="240" w:lineRule="auto"/>
        <w:rPr>
          <w:rFonts w:ascii="Verdana" w:eastAsia="Times New Roman" w:hAnsi="Verdana" w:cs="Times New Roman"/>
          <w:i/>
          <w:color w:val="000000" w:themeColor="text1"/>
          <w:sz w:val="20"/>
          <w:szCs w:val="20"/>
          <w:lang w:eastAsia="en-GB"/>
        </w:rPr>
      </w:pPr>
    </w:p>
    <w:p w14:paraId="09D6DB4B" w14:textId="22E02801" w:rsidR="00272BF8" w:rsidRPr="003E2544" w:rsidRDefault="00272BF8" w:rsidP="00245274">
      <w:pPr>
        <w:spacing w:line="240" w:lineRule="auto"/>
        <w:rPr>
          <w:rFonts w:ascii="Verdana" w:eastAsia="Times New Roman" w:hAnsi="Verdana" w:cs="Times New Roman"/>
          <w:i/>
          <w:iCs/>
          <w:color w:val="C45911" w:themeColor="accent2" w:themeShade="BF"/>
          <w:sz w:val="20"/>
          <w:szCs w:val="20"/>
          <w:lang w:eastAsia="en-GB"/>
        </w:rPr>
      </w:pPr>
      <w:r w:rsidRPr="003E2544">
        <w:rPr>
          <w:rFonts w:ascii="Verdana" w:eastAsia="Times New Roman" w:hAnsi="Verdana" w:cs="Times New Roman"/>
          <w:b/>
          <w:bCs/>
          <w:color w:val="000000" w:themeColor="text1"/>
          <w:sz w:val="20"/>
          <w:szCs w:val="20"/>
          <w:lang w:eastAsia="en-GB"/>
        </w:rPr>
        <w:t xml:space="preserve">3. Joint </w:t>
      </w:r>
      <w:r w:rsidR="005712F8">
        <w:rPr>
          <w:rFonts w:ascii="Verdana" w:eastAsia="Times New Roman" w:hAnsi="Verdana" w:cs="Times New Roman"/>
          <w:b/>
          <w:bCs/>
          <w:color w:val="000000" w:themeColor="text1"/>
          <w:sz w:val="20"/>
          <w:szCs w:val="20"/>
          <w:lang w:eastAsia="en-GB"/>
        </w:rPr>
        <w:t>P</w:t>
      </w:r>
      <w:r w:rsidRPr="003E2544">
        <w:rPr>
          <w:rFonts w:ascii="Verdana" w:eastAsia="Times New Roman" w:hAnsi="Verdana" w:cs="Times New Roman"/>
          <w:b/>
          <w:bCs/>
          <w:color w:val="000000" w:themeColor="text1"/>
          <w:sz w:val="20"/>
          <w:szCs w:val="20"/>
          <w:lang w:eastAsia="en-GB"/>
        </w:rPr>
        <w:t>rogramme title</w:t>
      </w:r>
      <w:r w:rsidRPr="003E2544">
        <w:rPr>
          <w:rFonts w:ascii="Verdana" w:eastAsia="Times New Roman" w:hAnsi="Verdana" w:cs="Times New Roman"/>
          <w:i/>
          <w:iCs/>
          <w:color w:val="000000" w:themeColor="text1"/>
          <w:sz w:val="20"/>
          <w:szCs w:val="20"/>
          <w:lang w:eastAsia="en-GB"/>
        </w:rPr>
        <w:t xml:space="preserve"> </w:t>
      </w:r>
    </w:p>
    <w:p w14:paraId="76D61638" w14:textId="5EE46177" w:rsidR="00930670" w:rsidRPr="003E2544" w:rsidRDefault="00930670" w:rsidP="00245274">
      <w:pPr>
        <w:spacing w:line="240" w:lineRule="auto"/>
        <w:rPr>
          <w:rFonts w:ascii="Verdana" w:eastAsia="Times New Roman" w:hAnsi="Verdana" w:cs="Times New Roman"/>
          <w:i/>
          <w:color w:val="C45911" w:themeColor="accent2" w:themeShade="BF"/>
          <w:sz w:val="20"/>
          <w:szCs w:val="20"/>
          <w:lang w:eastAsia="en-GB"/>
        </w:rPr>
      </w:pPr>
    </w:p>
    <w:p w14:paraId="4DA30828" w14:textId="5271D2B2" w:rsidR="00045956" w:rsidRPr="003E2544" w:rsidRDefault="00045956" w:rsidP="00245274">
      <w:pPr>
        <w:spacing w:line="240" w:lineRule="auto"/>
        <w:rPr>
          <w:rFonts w:ascii="Verdana" w:eastAsia="Times New Roman" w:hAnsi="Verdana" w:cs="Times New Roman"/>
          <w:sz w:val="20"/>
          <w:szCs w:val="20"/>
          <w:lang w:eastAsia="en-GB"/>
        </w:rPr>
      </w:pPr>
      <w:r w:rsidRPr="003E2544">
        <w:rPr>
          <w:rFonts w:ascii="Verdana" w:eastAsia="Times New Roman" w:hAnsi="Verdana" w:cs="Times New Roman"/>
          <w:sz w:val="20"/>
          <w:szCs w:val="20"/>
          <w:lang w:eastAsia="en-GB"/>
        </w:rPr>
        <w:t xml:space="preserve">Strengthened </w:t>
      </w:r>
      <w:r w:rsidR="00FF44C0" w:rsidRPr="003E2544">
        <w:rPr>
          <w:rFonts w:ascii="Verdana" w:eastAsia="Times New Roman" w:hAnsi="Verdana" w:cs="Times New Roman"/>
          <w:color w:val="000000" w:themeColor="text1"/>
          <w:sz w:val="20"/>
          <w:szCs w:val="20"/>
          <w:lang w:eastAsia="en-GB"/>
        </w:rPr>
        <w:t>national</w:t>
      </w:r>
      <w:r w:rsidR="00FF44C0" w:rsidRPr="003E2544">
        <w:rPr>
          <w:rFonts w:ascii="Verdana" w:eastAsia="Times New Roman" w:hAnsi="Verdana" w:cs="Times New Roman"/>
          <w:sz w:val="20"/>
          <w:szCs w:val="20"/>
          <w:lang w:eastAsia="en-GB"/>
        </w:rPr>
        <w:t xml:space="preserve"> and </w:t>
      </w:r>
      <w:r w:rsidRPr="003E2544">
        <w:rPr>
          <w:rFonts w:ascii="Verdana" w:eastAsia="Times New Roman" w:hAnsi="Verdana" w:cs="Times New Roman"/>
          <w:sz w:val="20"/>
          <w:szCs w:val="20"/>
          <w:lang w:eastAsia="en-GB"/>
        </w:rPr>
        <w:t xml:space="preserve">subnational </w:t>
      </w:r>
      <w:r w:rsidR="00932605" w:rsidRPr="003E2544">
        <w:rPr>
          <w:rFonts w:ascii="Verdana" w:eastAsia="Times New Roman" w:hAnsi="Verdana" w:cs="Times New Roman"/>
          <w:sz w:val="20"/>
          <w:szCs w:val="20"/>
          <w:lang w:eastAsia="en-GB"/>
        </w:rPr>
        <w:t>p</w:t>
      </w:r>
      <w:r w:rsidR="00693FDA" w:rsidRPr="003E2544">
        <w:rPr>
          <w:rFonts w:ascii="Verdana" w:eastAsia="Times New Roman" w:hAnsi="Verdana" w:cs="Times New Roman"/>
          <w:sz w:val="20"/>
          <w:szCs w:val="20"/>
          <w:lang w:eastAsia="en-GB"/>
        </w:rPr>
        <w:t>ublic financ</w:t>
      </w:r>
      <w:r w:rsidR="0072744E" w:rsidRPr="003E2544">
        <w:rPr>
          <w:rFonts w:ascii="Verdana" w:eastAsia="Times New Roman" w:hAnsi="Verdana" w:cs="Times New Roman"/>
          <w:sz w:val="20"/>
          <w:szCs w:val="20"/>
          <w:lang w:eastAsia="en-GB"/>
        </w:rPr>
        <w:t>ial</w:t>
      </w:r>
      <w:r w:rsidR="00693FDA" w:rsidRPr="003E2544">
        <w:rPr>
          <w:rFonts w:ascii="Verdana" w:eastAsia="Times New Roman" w:hAnsi="Verdana" w:cs="Times New Roman"/>
          <w:sz w:val="20"/>
          <w:szCs w:val="20"/>
          <w:lang w:eastAsia="en-GB"/>
        </w:rPr>
        <w:t xml:space="preserve"> management (</w:t>
      </w:r>
      <w:r w:rsidRPr="003E2544">
        <w:rPr>
          <w:rFonts w:ascii="Verdana" w:eastAsia="Times New Roman" w:hAnsi="Verdana" w:cs="Times New Roman"/>
          <w:sz w:val="20"/>
          <w:szCs w:val="20"/>
          <w:lang w:eastAsia="en-GB"/>
        </w:rPr>
        <w:t>PFM</w:t>
      </w:r>
      <w:r w:rsidR="00693FDA" w:rsidRPr="003E2544">
        <w:rPr>
          <w:rFonts w:ascii="Verdana" w:eastAsia="Times New Roman" w:hAnsi="Verdana" w:cs="Times New Roman"/>
          <w:sz w:val="20"/>
          <w:szCs w:val="20"/>
          <w:lang w:eastAsia="en-GB"/>
        </w:rPr>
        <w:t>)</w:t>
      </w:r>
      <w:r w:rsidRPr="003E2544">
        <w:rPr>
          <w:rFonts w:ascii="Verdana" w:eastAsia="Times New Roman" w:hAnsi="Verdana" w:cs="Times New Roman"/>
          <w:sz w:val="20"/>
          <w:szCs w:val="20"/>
          <w:lang w:eastAsia="en-GB"/>
        </w:rPr>
        <w:t xml:space="preserve"> mechanism</w:t>
      </w:r>
      <w:r w:rsidR="00582E32" w:rsidRPr="003E2544">
        <w:rPr>
          <w:rFonts w:ascii="Verdana" w:eastAsia="Times New Roman" w:hAnsi="Verdana" w:cs="Times New Roman"/>
          <w:sz w:val="20"/>
          <w:szCs w:val="20"/>
          <w:lang w:eastAsia="en-GB"/>
        </w:rPr>
        <w:t>s</w:t>
      </w:r>
      <w:r w:rsidRPr="003E2544">
        <w:rPr>
          <w:rFonts w:ascii="Verdana" w:eastAsia="Times New Roman" w:hAnsi="Verdana" w:cs="Times New Roman"/>
          <w:sz w:val="20"/>
          <w:szCs w:val="20"/>
          <w:lang w:eastAsia="en-GB"/>
        </w:rPr>
        <w:t xml:space="preserve"> in South Sudan </w:t>
      </w:r>
      <w:r w:rsidR="00582E32" w:rsidRPr="003E2544">
        <w:rPr>
          <w:rFonts w:ascii="Verdana" w:eastAsia="Times New Roman" w:hAnsi="Verdana" w:cs="Times New Roman"/>
          <w:sz w:val="20"/>
          <w:szCs w:val="20"/>
          <w:lang w:eastAsia="en-GB"/>
        </w:rPr>
        <w:t xml:space="preserve">for </w:t>
      </w:r>
      <w:r w:rsidRPr="003E2544">
        <w:rPr>
          <w:rFonts w:ascii="Verdana" w:eastAsia="Times New Roman" w:hAnsi="Verdana" w:cs="Times New Roman"/>
          <w:sz w:val="20"/>
          <w:szCs w:val="20"/>
          <w:lang w:eastAsia="en-GB"/>
        </w:rPr>
        <w:t xml:space="preserve">increased budget allocations </w:t>
      </w:r>
      <w:r w:rsidR="002E5809" w:rsidRPr="003E2544">
        <w:rPr>
          <w:rFonts w:ascii="Verdana" w:eastAsia="Times New Roman" w:hAnsi="Verdana" w:cs="Times New Roman"/>
          <w:sz w:val="20"/>
          <w:szCs w:val="20"/>
          <w:lang w:eastAsia="en-GB"/>
        </w:rPr>
        <w:t>to</w:t>
      </w:r>
      <w:r w:rsidR="00582E32" w:rsidRPr="003E2544">
        <w:rPr>
          <w:rFonts w:ascii="Verdana" w:eastAsia="Times New Roman" w:hAnsi="Verdana" w:cs="Times New Roman"/>
          <w:sz w:val="20"/>
          <w:szCs w:val="20"/>
          <w:lang w:eastAsia="en-GB"/>
        </w:rPr>
        <w:t xml:space="preserve"> social service sectors </w:t>
      </w:r>
    </w:p>
    <w:p w14:paraId="06FA1783" w14:textId="77777777" w:rsidR="00582E32" w:rsidRPr="003E2544" w:rsidRDefault="00582E32" w:rsidP="00245274">
      <w:pPr>
        <w:spacing w:line="240" w:lineRule="auto"/>
        <w:rPr>
          <w:rFonts w:ascii="Verdana" w:hAnsi="Verdana"/>
          <w:sz w:val="20"/>
          <w:szCs w:val="20"/>
        </w:rPr>
      </w:pPr>
    </w:p>
    <w:p w14:paraId="3FF28156" w14:textId="537095B4" w:rsidR="00272BF8" w:rsidRPr="003E2544" w:rsidRDefault="00272BF8" w:rsidP="00245274">
      <w:pPr>
        <w:spacing w:line="240" w:lineRule="auto"/>
        <w:rPr>
          <w:rFonts w:ascii="Verdana" w:eastAsia="Times New Roman" w:hAnsi="Verdana" w:cs="Times New Roman"/>
          <w:i/>
          <w:color w:val="C45911" w:themeColor="accent2" w:themeShade="BF"/>
          <w:sz w:val="20"/>
          <w:szCs w:val="20"/>
          <w:lang w:eastAsia="en-GB"/>
        </w:rPr>
      </w:pPr>
      <w:r w:rsidRPr="003E2544">
        <w:rPr>
          <w:rFonts w:ascii="Verdana" w:eastAsia="Times New Roman" w:hAnsi="Verdana" w:cs="Times New Roman"/>
          <w:b/>
          <w:bCs/>
          <w:color w:val="000000" w:themeColor="text1"/>
          <w:sz w:val="20"/>
          <w:szCs w:val="20"/>
          <w:lang w:eastAsia="en-GB"/>
        </w:rPr>
        <w:t>4. Short title</w:t>
      </w:r>
      <w:r w:rsidRPr="003E2544">
        <w:rPr>
          <w:rFonts w:ascii="Verdana" w:eastAsia="Times New Roman" w:hAnsi="Verdana" w:cs="Times New Roman"/>
          <w:i/>
          <w:color w:val="C45911" w:themeColor="accent2" w:themeShade="BF"/>
          <w:sz w:val="20"/>
          <w:szCs w:val="20"/>
          <w:lang w:eastAsia="en-GB"/>
        </w:rPr>
        <w:t xml:space="preserve"> </w:t>
      </w:r>
    </w:p>
    <w:p w14:paraId="29528D93" w14:textId="77777777" w:rsidR="00C64B72" w:rsidRPr="003E2544" w:rsidRDefault="00C64B72" w:rsidP="00245274">
      <w:pPr>
        <w:spacing w:line="240" w:lineRule="auto"/>
        <w:rPr>
          <w:rFonts w:ascii="Verdana" w:eastAsia="Times New Roman" w:hAnsi="Verdana" w:cs="Times New Roman"/>
          <w:i/>
          <w:iCs/>
          <w:color w:val="000000" w:themeColor="text1"/>
          <w:sz w:val="20"/>
          <w:szCs w:val="20"/>
          <w:lang w:eastAsia="en-GB"/>
        </w:rPr>
      </w:pPr>
    </w:p>
    <w:p w14:paraId="4B34BB3A" w14:textId="326E2225" w:rsidR="002A1228" w:rsidRPr="003E2544" w:rsidRDefault="002A1228" w:rsidP="00245274">
      <w:pPr>
        <w:spacing w:line="240" w:lineRule="auto"/>
        <w:rPr>
          <w:rFonts w:ascii="Verdana" w:eastAsia="Times New Roman" w:hAnsi="Verdana" w:cs="Times New Roman"/>
          <w:i/>
          <w:iCs/>
          <w:color w:val="000000" w:themeColor="text1"/>
          <w:sz w:val="20"/>
          <w:szCs w:val="20"/>
          <w:lang w:eastAsia="en-GB"/>
        </w:rPr>
      </w:pPr>
      <w:r w:rsidRPr="003E2544">
        <w:rPr>
          <w:rFonts w:ascii="Verdana" w:eastAsia="Times New Roman" w:hAnsi="Verdana" w:cs="Times New Roman"/>
          <w:i/>
          <w:iCs/>
          <w:color w:val="000000" w:themeColor="text1"/>
          <w:sz w:val="20"/>
          <w:szCs w:val="20"/>
          <w:lang w:eastAsia="en-GB"/>
        </w:rPr>
        <w:t xml:space="preserve">Subnational PFM in South Sudan </w:t>
      </w:r>
    </w:p>
    <w:p w14:paraId="44AB8F14" w14:textId="77777777" w:rsidR="002A1228" w:rsidRPr="003E2544" w:rsidRDefault="002A1228" w:rsidP="00245274">
      <w:pPr>
        <w:spacing w:line="240" w:lineRule="auto"/>
        <w:rPr>
          <w:rFonts w:ascii="Verdana" w:eastAsia="Times New Roman" w:hAnsi="Verdana" w:cs="Times New Roman"/>
          <w:i/>
          <w:color w:val="000000" w:themeColor="text1"/>
          <w:sz w:val="20"/>
          <w:szCs w:val="20"/>
          <w:lang w:eastAsia="en-GB"/>
        </w:rPr>
      </w:pPr>
    </w:p>
    <w:p w14:paraId="40A0A5E2" w14:textId="1F3AE31A" w:rsidR="00272BF8" w:rsidRPr="003E2544" w:rsidRDefault="00272BF8" w:rsidP="00245274">
      <w:pPr>
        <w:spacing w:line="240" w:lineRule="auto"/>
        <w:rPr>
          <w:rFonts w:ascii="Verdana" w:eastAsia="Calibri" w:hAnsi="Verdana" w:cs="Times New Roman"/>
          <w:b/>
          <w:bCs/>
          <w:iCs/>
          <w:color w:val="000000" w:themeColor="text1"/>
          <w:sz w:val="20"/>
          <w:szCs w:val="20"/>
        </w:rPr>
      </w:pPr>
      <w:r w:rsidRPr="003E2544">
        <w:rPr>
          <w:rFonts w:ascii="Verdana" w:eastAsia="Calibri" w:hAnsi="Verdana" w:cs="Times New Roman"/>
          <w:b/>
          <w:bCs/>
          <w:color w:val="000000" w:themeColor="text1"/>
          <w:sz w:val="20"/>
          <w:szCs w:val="20"/>
        </w:rPr>
        <w:t>5. Country and region</w:t>
      </w:r>
      <w:r w:rsidR="009C1268" w:rsidRPr="003E2544">
        <w:rPr>
          <w:rFonts w:ascii="Verdana" w:eastAsia="Calibri" w:hAnsi="Verdana" w:cs="Times New Roman"/>
          <w:b/>
          <w:bCs/>
          <w:color w:val="000000" w:themeColor="text1"/>
          <w:sz w:val="20"/>
          <w:szCs w:val="20"/>
        </w:rPr>
        <w:t xml:space="preserve">: </w:t>
      </w:r>
      <w:r w:rsidR="009C1268" w:rsidRPr="003E2544">
        <w:rPr>
          <w:rFonts w:ascii="Verdana" w:eastAsia="Calibri" w:hAnsi="Verdana" w:cs="Times New Roman"/>
          <w:color w:val="000000" w:themeColor="text1"/>
          <w:sz w:val="20"/>
          <w:szCs w:val="20"/>
        </w:rPr>
        <w:t>South Sudan, Eastern Africa</w:t>
      </w:r>
    </w:p>
    <w:p w14:paraId="6E089E86" w14:textId="77777777" w:rsidR="00272BF8" w:rsidRPr="003E2544" w:rsidRDefault="00272BF8" w:rsidP="00245274">
      <w:pPr>
        <w:spacing w:line="240" w:lineRule="auto"/>
        <w:rPr>
          <w:rFonts w:ascii="Verdana" w:eastAsia="Calibri" w:hAnsi="Verdana" w:cs="Times New Roman"/>
          <w:b/>
          <w:bCs/>
          <w:iCs/>
          <w:color w:val="000000" w:themeColor="text1"/>
          <w:sz w:val="20"/>
          <w:szCs w:val="20"/>
        </w:rPr>
      </w:pPr>
      <w:r w:rsidRPr="003E2544">
        <w:rPr>
          <w:rFonts w:ascii="Verdana" w:eastAsia="Calibri" w:hAnsi="Verdana" w:cs="Times New Roman"/>
          <w:b/>
          <w:bCs/>
          <w:iCs/>
          <w:color w:val="000000" w:themeColor="text1"/>
          <w:sz w:val="20"/>
          <w:szCs w:val="20"/>
        </w:rPr>
        <w:t xml:space="preserve"> </w:t>
      </w:r>
    </w:p>
    <w:p w14:paraId="5BB66933" w14:textId="212BFD00" w:rsidR="00272BF8" w:rsidRPr="003E2544" w:rsidRDefault="00272BF8" w:rsidP="00245274">
      <w:pPr>
        <w:spacing w:line="240" w:lineRule="auto"/>
        <w:rPr>
          <w:rFonts w:ascii="Verdana" w:eastAsia="Times New Roman" w:hAnsi="Verdana" w:cs="Times New Roman"/>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 xml:space="preserve">6. Resident Coordinator </w:t>
      </w:r>
    </w:p>
    <w:p w14:paraId="18B15D31" w14:textId="7BA8B60A" w:rsidR="00AC5126" w:rsidRPr="003E2544" w:rsidRDefault="0083491E" w:rsidP="00245274">
      <w:pPr>
        <w:spacing w:line="240" w:lineRule="auto"/>
        <w:rPr>
          <w:rFonts w:ascii="Verdana" w:eastAsia="Times New Roman" w:hAnsi="Verdana" w:cs="Times New Roman"/>
          <w:color w:val="000000" w:themeColor="text1"/>
          <w:sz w:val="20"/>
          <w:szCs w:val="20"/>
          <w:lang w:eastAsia="en-GB"/>
        </w:rPr>
      </w:pPr>
      <w:r w:rsidRPr="003E2544">
        <w:rPr>
          <w:rFonts w:ascii="Verdana" w:eastAsia="Times New Roman" w:hAnsi="Verdana" w:cs="Times New Roman"/>
          <w:color w:val="000000" w:themeColor="text1"/>
          <w:sz w:val="20"/>
          <w:szCs w:val="20"/>
          <w:lang w:eastAsia="en-GB"/>
        </w:rPr>
        <w:t>Alain Noud</w:t>
      </w:r>
      <w:r w:rsidR="695FA649" w:rsidRPr="003E2544">
        <w:rPr>
          <w:rFonts w:ascii="Verdana" w:eastAsia="Times New Roman" w:hAnsi="Verdana" w:cs="Times New Roman"/>
          <w:color w:val="000000" w:themeColor="text1"/>
          <w:sz w:val="20"/>
          <w:szCs w:val="20"/>
          <w:lang w:eastAsia="en-GB"/>
        </w:rPr>
        <w:t>éh</w:t>
      </w:r>
      <w:r w:rsidR="00217FAA" w:rsidRPr="003E2544">
        <w:rPr>
          <w:rFonts w:ascii="Verdana" w:eastAsia="Times New Roman" w:hAnsi="Verdana" w:cs="Times New Roman"/>
          <w:color w:val="000000" w:themeColor="text1"/>
          <w:sz w:val="20"/>
          <w:szCs w:val="20"/>
          <w:lang w:eastAsia="en-GB"/>
        </w:rPr>
        <w:t xml:space="preserve">ou, Deputy Special Representative of the Secretary General, Resident Coordinator and </w:t>
      </w:r>
      <w:r w:rsidR="00B153CF" w:rsidRPr="003E2544">
        <w:rPr>
          <w:rFonts w:ascii="Verdana" w:eastAsia="Times New Roman" w:hAnsi="Verdana" w:cs="Times New Roman"/>
          <w:color w:val="000000" w:themeColor="text1"/>
          <w:sz w:val="20"/>
          <w:szCs w:val="20"/>
          <w:lang w:eastAsia="en-GB"/>
        </w:rPr>
        <w:t xml:space="preserve">Humanitarian Coordinator </w:t>
      </w:r>
    </w:p>
    <w:p w14:paraId="7FEEA05E" w14:textId="77777777" w:rsidR="00272BF8" w:rsidRPr="003E2544" w:rsidRDefault="00272BF8" w:rsidP="00245274">
      <w:pPr>
        <w:spacing w:line="240" w:lineRule="auto"/>
        <w:rPr>
          <w:rFonts w:ascii="Verdana" w:eastAsia="Times New Roman" w:hAnsi="Verdana" w:cs="Times New Roman"/>
          <w:color w:val="000000" w:themeColor="text1"/>
          <w:sz w:val="20"/>
          <w:szCs w:val="20"/>
          <w:lang w:eastAsia="en-GB"/>
        </w:rPr>
      </w:pPr>
    </w:p>
    <w:p w14:paraId="008B23FF" w14:textId="2F959DFA" w:rsidR="00272BF8" w:rsidRPr="003E2544" w:rsidRDefault="00272BF8" w:rsidP="00245274">
      <w:pPr>
        <w:spacing w:line="240" w:lineRule="auto"/>
        <w:rPr>
          <w:rFonts w:ascii="Verdana" w:eastAsia="Times New Roman" w:hAnsi="Verdana" w:cs="Times New Roman"/>
          <w:i/>
          <w:iCs/>
          <w:color w:val="C45911" w:themeColor="accent2" w:themeShade="BF"/>
          <w:sz w:val="20"/>
          <w:szCs w:val="20"/>
          <w:lang w:eastAsia="en-GB"/>
        </w:rPr>
      </w:pPr>
      <w:r w:rsidRPr="003E2544">
        <w:rPr>
          <w:rFonts w:ascii="Verdana" w:eastAsia="Times New Roman" w:hAnsi="Verdana" w:cs="Times New Roman"/>
          <w:b/>
          <w:bCs/>
          <w:color w:val="000000" w:themeColor="text1"/>
          <w:sz w:val="20"/>
          <w:szCs w:val="20"/>
          <w:lang w:eastAsia="en-GB"/>
        </w:rPr>
        <w:t>7. UN Joint programme focal point</w:t>
      </w:r>
    </w:p>
    <w:p w14:paraId="4590FBA3" w14:textId="213A3C8E" w:rsidR="59E2431B" w:rsidRPr="003E2544" w:rsidRDefault="59E2431B" w:rsidP="00245274">
      <w:pPr>
        <w:spacing w:line="240" w:lineRule="auto"/>
        <w:rPr>
          <w:rFonts w:ascii="Verdana" w:eastAsia="Times New Roman" w:hAnsi="Verdana" w:cs="Times New Roman"/>
          <w:i/>
          <w:iCs/>
          <w:color w:val="C45911" w:themeColor="accent2" w:themeShade="BF"/>
          <w:sz w:val="20"/>
          <w:szCs w:val="20"/>
          <w:lang w:eastAsia="en-GB"/>
        </w:rPr>
      </w:pPr>
      <w:r w:rsidRPr="003E2544">
        <w:rPr>
          <w:rFonts w:ascii="Verdana" w:eastAsia="Times New Roman" w:hAnsi="Verdana" w:cs="Times New Roman"/>
          <w:i/>
          <w:iCs/>
          <w:sz w:val="20"/>
          <w:szCs w:val="20"/>
          <w:lang w:eastAsia="en-GB"/>
        </w:rPr>
        <w:t xml:space="preserve">Elliman </w:t>
      </w:r>
      <w:r w:rsidR="4931192F" w:rsidRPr="003E2544">
        <w:rPr>
          <w:rFonts w:ascii="Verdana" w:eastAsia="Times New Roman" w:hAnsi="Verdana" w:cs="Times New Roman"/>
          <w:i/>
          <w:iCs/>
          <w:sz w:val="20"/>
          <w:szCs w:val="20"/>
          <w:lang w:eastAsia="en-GB"/>
        </w:rPr>
        <w:t>Jagne, Deputy</w:t>
      </w:r>
      <w:r w:rsidR="001F71DB" w:rsidRPr="003E2544">
        <w:rPr>
          <w:rFonts w:ascii="Verdana" w:eastAsia="Times New Roman" w:hAnsi="Verdana" w:cs="Times New Roman"/>
          <w:i/>
          <w:iCs/>
          <w:sz w:val="20"/>
          <w:szCs w:val="20"/>
          <w:lang w:eastAsia="en-GB"/>
        </w:rPr>
        <w:t xml:space="preserve"> Resident Representative</w:t>
      </w:r>
      <w:r w:rsidR="4931192F" w:rsidRPr="003E2544">
        <w:rPr>
          <w:rFonts w:ascii="Verdana" w:eastAsia="Times New Roman" w:hAnsi="Verdana" w:cs="Times New Roman"/>
          <w:i/>
          <w:iCs/>
          <w:sz w:val="20"/>
          <w:szCs w:val="20"/>
          <w:lang w:eastAsia="en-GB"/>
        </w:rPr>
        <w:t xml:space="preserve">, </w:t>
      </w:r>
      <w:r w:rsidR="001F71DB" w:rsidRPr="003E2544">
        <w:rPr>
          <w:rFonts w:ascii="Verdana" w:eastAsia="Times New Roman" w:hAnsi="Verdana" w:cs="Times New Roman"/>
          <w:i/>
          <w:iCs/>
          <w:sz w:val="20"/>
          <w:szCs w:val="20"/>
          <w:lang w:eastAsia="en-GB"/>
        </w:rPr>
        <w:t>Programmes</w:t>
      </w:r>
      <w:r w:rsidR="4931192F" w:rsidRPr="003E2544">
        <w:rPr>
          <w:rFonts w:ascii="Verdana" w:eastAsia="Times New Roman" w:hAnsi="Verdana" w:cs="Times New Roman"/>
          <w:i/>
          <w:iCs/>
          <w:sz w:val="20"/>
          <w:szCs w:val="20"/>
          <w:lang w:eastAsia="en-GB"/>
        </w:rPr>
        <w:t xml:space="preserve">, UNDP </w:t>
      </w:r>
      <w:hyperlink r:id="rId11" w:history="1">
        <w:r w:rsidR="4931192F" w:rsidRPr="003E2544">
          <w:rPr>
            <w:rStyle w:val="Hyperlink"/>
            <w:rFonts w:ascii="Verdana" w:eastAsia="Times New Roman" w:hAnsi="Verdana" w:cs="Times New Roman"/>
            <w:i/>
            <w:iCs/>
            <w:color w:val="C45911" w:themeColor="accent2" w:themeShade="BF"/>
            <w:sz w:val="20"/>
            <w:szCs w:val="20"/>
            <w:lang w:eastAsia="en-GB"/>
          </w:rPr>
          <w:t>elliman.jagne@undp.org</w:t>
        </w:r>
      </w:hyperlink>
    </w:p>
    <w:p w14:paraId="796F4410" w14:textId="012B165E" w:rsidR="4931192F" w:rsidRPr="003E2544" w:rsidRDefault="4931192F" w:rsidP="00245274">
      <w:pPr>
        <w:spacing w:line="240" w:lineRule="auto"/>
        <w:rPr>
          <w:rStyle w:val="Hyperlink"/>
          <w:rFonts w:ascii="Verdana" w:eastAsia="Times New Roman" w:hAnsi="Verdana" w:cs="Times New Roman"/>
          <w:i/>
          <w:iCs/>
          <w:color w:val="C45911" w:themeColor="accent2" w:themeShade="BF"/>
          <w:sz w:val="20"/>
          <w:szCs w:val="20"/>
          <w:u w:val="none"/>
          <w:lang w:eastAsia="en-GB"/>
        </w:rPr>
      </w:pPr>
      <w:r w:rsidRPr="003E2544">
        <w:rPr>
          <w:rStyle w:val="Hyperlink"/>
          <w:rFonts w:ascii="Verdana" w:eastAsia="Times New Roman" w:hAnsi="Verdana" w:cs="Times New Roman"/>
          <w:i/>
          <w:iCs/>
          <w:color w:val="auto"/>
          <w:sz w:val="20"/>
          <w:szCs w:val="20"/>
          <w:u w:val="none"/>
          <w:lang w:eastAsia="en-GB"/>
        </w:rPr>
        <w:t xml:space="preserve">Andrea Suley, Deputy Representative, UNICEF </w:t>
      </w:r>
      <w:hyperlink r:id="rId12" w:history="1">
        <w:r w:rsidRPr="003E2544">
          <w:rPr>
            <w:rStyle w:val="Hyperlink"/>
            <w:rFonts w:ascii="Verdana" w:eastAsia="Times New Roman" w:hAnsi="Verdana" w:cs="Times New Roman"/>
            <w:i/>
            <w:iCs/>
            <w:color w:val="C45911" w:themeColor="accent2" w:themeShade="BF"/>
            <w:sz w:val="20"/>
            <w:szCs w:val="20"/>
            <w:lang w:eastAsia="en-GB"/>
          </w:rPr>
          <w:t>asuley@unicef.org</w:t>
        </w:r>
      </w:hyperlink>
      <w:r w:rsidRPr="003E2544">
        <w:rPr>
          <w:rStyle w:val="Hyperlink"/>
          <w:rFonts w:ascii="Verdana" w:eastAsia="Times New Roman" w:hAnsi="Verdana" w:cs="Times New Roman"/>
          <w:i/>
          <w:iCs/>
          <w:color w:val="auto"/>
          <w:sz w:val="20"/>
          <w:szCs w:val="20"/>
          <w:lang w:eastAsia="en-GB"/>
        </w:rPr>
        <w:t xml:space="preserve"> </w:t>
      </w:r>
    </w:p>
    <w:p w14:paraId="74F0AC33" w14:textId="77777777" w:rsidR="00272BF8" w:rsidRPr="003E2544" w:rsidRDefault="00272BF8" w:rsidP="00245274">
      <w:pPr>
        <w:spacing w:line="240" w:lineRule="auto"/>
        <w:rPr>
          <w:rFonts w:ascii="Verdana" w:eastAsia="Times New Roman" w:hAnsi="Verdana" w:cs="Times New Roman"/>
          <w:color w:val="000000" w:themeColor="text1"/>
          <w:sz w:val="20"/>
          <w:szCs w:val="20"/>
          <w:u w:val="single"/>
          <w:lang w:eastAsia="en-GB"/>
        </w:rPr>
      </w:pPr>
    </w:p>
    <w:p w14:paraId="500B1411" w14:textId="19DA4369" w:rsidR="00272BF8" w:rsidRPr="003E2544" w:rsidRDefault="00272BF8" w:rsidP="00245274">
      <w:pPr>
        <w:spacing w:line="240" w:lineRule="auto"/>
        <w:rPr>
          <w:rFonts w:ascii="Verdana" w:eastAsia="Times New Roman" w:hAnsi="Verdana" w:cs="Times New Roman"/>
          <w:i/>
          <w:iCs/>
          <w:color w:val="C45911" w:themeColor="accent2" w:themeShade="BF"/>
          <w:sz w:val="20"/>
          <w:szCs w:val="20"/>
          <w:lang w:eastAsia="en-GB"/>
        </w:rPr>
      </w:pPr>
      <w:r w:rsidRPr="003E2544">
        <w:rPr>
          <w:rFonts w:ascii="Verdana" w:eastAsia="Times New Roman" w:hAnsi="Verdana" w:cs="Times New Roman"/>
          <w:b/>
          <w:bCs/>
          <w:color w:val="000000" w:themeColor="text1"/>
          <w:sz w:val="20"/>
          <w:szCs w:val="20"/>
          <w:lang w:eastAsia="en-GB"/>
        </w:rPr>
        <w:t xml:space="preserve">8. Government </w:t>
      </w:r>
      <w:r w:rsidR="70951C04" w:rsidRPr="003E2544">
        <w:rPr>
          <w:rFonts w:ascii="Verdana" w:eastAsia="Times New Roman" w:hAnsi="Verdana" w:cs="Times New Roman"/>
          <w:b/>
          <w:bCs/>
          <w:color w:val="000000" w:themeColor="text1"/>
          <w:sz w:val="20"/>
          <w:szCs w:val="20"/>
          <w:lang w:eastAsia="en-GB"/>
        </w:rPr>
        <w:t>Joint programme</w:t>
      </w:r>
      <w:r w:rsidRPr="003E2544">
        <w:rPr>
          <w:rFonts w:ascii="Verdana" w:eastAsia="Times New Roman" w:hAnsi="Verdana" w:cs="Times New Roman"/>
          <w:b/>
          <w:bCs/>
          <w:color w:val="000000" w:themeColor="text1"/>
          <w:sz w:val="20"/>
          <w:szCs w:val="20"/>
          <w:lang w:eastAsia="en-GB"/>
        </w:rPr>
        <w:t xml:space="preserve"> focal point</w:t>
      </w:r>
      <w:r w:rsidRPr="003E2544">
        <w:rPr>
          <w:rFonts w:ascii="Verdana" w:eastAsia="Times New Roman" w:hAnsi="Verdana" w:cs="Times New Roman"/>
          <w:color w:val="000000" w:themeColor="text1"/>
          <w:sz w:val="20"/>
          <w:szCs w:val="20"/>
          <w:lang w:eastAsia="en-GB"/>
        </w:rPr>
        <w:t xml:space="preserve"> </w:t>
      </w:r>
    </w:p>
    <w:p w14:paraId="77483656" w14:textId="085450B8" w:rsidR="00582E32" w:rsidRPr="003E2544" w:rsidRDefault="1E5B3B0C" w:rsidP="00245274">
      <w:pPr>
        <w:spacing w:line="240" w:lineRule="auto"/>
        <w:rPr>
          <w:rFonts w:ascii="Verdana" w:eastAsia="Times New Roman" w:hAnsi="Verdana" w:cs="Times New Roman"/>
          <w:i/>
          <w:iCs/>
          <w:sz w:val="20"/>
          <w:szCs w:val="20"/>
          <w:lang w:eastAsia="en-GB"/>
        </w:rPr>
      </w:pPr>
      <w:r w:rsidRPr="003E2544">
        <w:rPr>
          <w:rFonts w:ascii="Verdana" w:eastAsia="Times New Roman" w:hAnsi="Verdana" w:cs="Times New Roman"/>
          <w:i/>
          <w:iCs/>
          <w:sz w:val="20"/>
          <w:szCs w:val="20"/>
          <w:lang w:eastAsia="en-GB"/>
        </w:rPr>
        <w:t xml:space="preserve">Ocum Genes Karlo, </w:t>
      </w:r>
      <w:r w:rsidR="61446202" w:rsidRPr="003E2544">
        <w:rPr>
          <w:rFonts w:ascii="Verdana" w:eastAsia="Times New Roman" w:hAnsi="Verdana" w:cs="Times New Roman"/>
          <w:i/>
          <w:iCs/>
          <w:sz w:val="20"/>
          <w:szCs w:val="20"/>
          <w:lang w:eastAsia="en-GB"/>
        </w:rPr>
        <w:t>Under-Secretary</w:t>
      </w:r>
      <w:r w:rsidR="5BA68371" w:rsidRPr="003E2544">
        <w:rPr>
          <w:rFonts w:ascii="Verdana" w:eastAsia="Times New Roman" w:hAnsi="Verdana" w:cs="Times New Roman"/>
          <w:i/>
          <w:iCs/>
          <w:sz w:val="20"/>
          <w:szCs w:val="20"/>
          <w:lang w:eastAsia="en-GB"/>
        </w:rPr>
        <w:t xml:space="preserve"> for Planning, Ministry of Finance and Planning (MoFP)</w:t>
      </w:r>
    </w:p>
    <w:p w14:paraId="74FC8181" w14:textId="4A8F5F49" w:rsidR="0F75E0B6" w:rsidRPr="003E2544" w:rsidRDefault="007D2ED2" w:rsidP="00245274">
      <w:pPr>
        <w:spacing w:line="240" w:lineRule="auto"/>
        <w:rPr>
          <w:rStyle w:val="Hyperlink"/>
          <w:rFonts w:eastAsia="Times New Roman" w:cs="Times New Roman"/>
          <w:i/>
          <w:iCs/>
          <w:color w:val="C45911" w:themeColor="accent2" w:themeShade="BF"/>
          <w:lang w:eastAsia="en-GB"/>
        </w:rPr>
      </w:pPr>
      <w:hyperlink r:id="rId13" w:history="1">
        <w:r w:rsidR="0018332F" w:rsidRPr="003E2544">
          <w:rPr>
            <w:rStyle w:val="Hyperlink"/>
            <w:rFonts w:ascii="Verdana" w:eastAsia="Times New Roman" w:hAnsi="Verdana" w:cs="Times New Roman"/>
            <w:i/>
            <w:iCs/>
            <w:color w:val="C45911" w:themeColor="accent2" w:themeShade="BF"/>
            <w:sz w:val="20"/>
            <w:szCs w:val="20"/>
            <w:lang w:eastAsia="en-GB"/>
          </w:rPr>
          <w:t>ocumkarlo@gmail.com</w:t>
        </w:r>
      </w:hyperlink>
    </w:p>
    <w:p w14:paraId="540DB900" w14:textId="77777777" w:rsidR="00272BF8" w:rsidRPr="003E2544" w:rsidRDefault="00272BF8" w:rsidP="00245274">
      <w:pPr>
        <w:spacing w:line="240" w:lineRule="auto"/>
        <w:rPr>
          <w:rFonts w:ascii="Verdana" w:hAnsi="Verdana"/>
          <w:color w:val="000000" w:themeColor="text1"/>
          <w:sz w:val="20"/>
          <w:szCs w:val="20"/>
          <w:u w:val="single"/>
        </w:rPr>
      </w:pPr>
    </w:p>
    <w:p w14:paraId="2D7F1343" w14:textId="6558C079" w:rsidR="00272BF8" w:rsidRPr="003E2544" w:rsidRDefault="00272BF8" w:rsidP="00245274">
      <w:pPr>
        <w:spacing w:line="240" w:lineRule="auto"/>
        <w:rPr>
          <w:rFonts w:ascii="Verdana" w:eastAsia="Times New Roman" w:hAnsi="Verdana" w:cs="Times New Roman"/>
          <w:i/>
          <w:color w:val="C45911" w:themeColor="accent2" w:themeShade="BF"/>
          <w:sz w:val="20"/>
          <w:szCs w:val="20"/>
          <w:lang w:eastAsia="en-GB"/>
        </w:rPr>
      </w:pPr>
      <w:r w:rsidRPr="003E2544">
        <w:rPr>
          <w:rFonts w:ascii="Verdana" w:eastAsia="Times New Roman" w:hAnsi="Verdana" w:cs="Times New Roman"/>
          <w:b/>
          <w:bCs/>
          <w:color w:val="000000" w:themeColor="text1"/>
          <w:sz w:val="20"/>
          <w:szCs w:val="20"/>
          <w:lang w:eastAsia="en-GB"/>
        </w:rPr>
        <w:t>9. Short description</w:t>
      </w:r>
      <w:r w:rsidRPr="003E2544">
        <w:rPr>
          <w:rFonts w:ascii="Verdana" w:eastAsia="Times New Roman" w:hAnsi="Verdana" w:cs="Times New Roman"/>
          <w:color w:val="000000" w:themeColor="text1"/>
          <w:sz w:val="20"/>
          <w:szCs w:val="20"/>
          <w:lang w:eastAsia="en-GB"/>
        </w:rPr>
        <w:t>:</w:t>
      </w:r>
    </w:p>
    <w:p w14:paraId="7CF980DB" w14:textId="77777777" w:rsidR="00B42A26" w:rsidRPr="003E2544" w:rsidRDefault="00B42A26" w:rsidP="00245274">
      <w:pPr>
        <w:spacing w:line="240" w:lineRule="auto"/>
        <w:jc w:val="both"/>
        <w:rPr>
          <w:rFonts w:ascii="Verdana" w:hAnsi="Verdana"/>
          <w:sz w:val="20"/>
          <w:szCs w:val="20"/>
        </w:rPr>
      </w:pPr>
    </w:p>
    <w:p w14:paraId="17FF4356" w14:textId="61CB5024" w:rsidR="009C6289" w:rsidRPr="003E2544" w:rsidRDefault="00366C7A" w:rsidP="00245274">
      <w:pPr>
        <w:spacing w:line="240" w:lineRule="auto"/>
        <w:jc w:val="both"/>
        <w:rPr>
          <w:rFonts w:ascii="Verdana" w:hAnsi="Verdana"/>
          <w:sz w:val="20"/>
          <w:szCs w:val="20"/>
        </w:rPr>
      </w:pPr>
      <w:r w:rsidRPr="003E2544">
        <w:rPr>
          <w:rFonts w:ascii="Verdana" w:hAnsi="Verdana"/>
          <w:sz w:val="20"/>
          <w:szCs w:val="20"/>
        </w:rPr>
        <w:t>South Sudan</w:t>
      </w:r>
      <w:r w:rsidR="009C6289" w:rsidRPr="003E2544">
        <w:rPr>
          <w:rFonts w:ascii="Verdana" w:hAnsi="Verdana"/>
          <w:sz w:val="20"/>
          <w:szCs w:val="20"/>
        </w:rPr>
        <w:t>’s</w:t>
      </w:r>
      <w:r w:rsidR="00A84FB9" w:rsidRPr="003E2544">
        <w:rPr>
          <w:rFonts w:ascii="Verdana" w:hAnsi="Verdana"/>
          <w:sz w:val="20"/>
          <w:szCs w:val="20"/>
        </w:rPr>
        <w:t xml:space="preserve"> development indicators have greatly deteriorated</w:t>
      </w:r>
      <w:r w:rsidR="00B42A26" w:rsidRPr="003E2544">
        <w:rPr>
          <w:rFonts w:ascii="Verdana" w:hAnsi="Verdana"/>
          <w:sz w:val="20"/>
          <w:szCs w:val="20"/>
        </w:rPr>
        <w:t xml:space="preserve"> due to ongoing conflict since the country’s independence. M</w:t>
      </w:r>
      <w:r w:rsidR="000D4962" w:rsidRPr="003E2544">
        <w:rPr>
          <w:rFonts w:ascii="Verdana" w:hAnsi="Verdana"/>
          <w:sz w:val="20"/>
          <w:szCs w:val="20"/>
        </w:rPr>
        <w:t xml:space="preserve">ost of the population </w:t>
      </w:r>
      <w:r w:rsidR="00B42A26" w:rsidRPr="003E2544">
        <w:rPr>
          <w:rFonts w:ascii="Verdana" w:hAnsi="Verdana"/>
          <w:sz w:val="20"/>
          <w:szCs w:val="20"/>
        </w:rPr>
        <w:t xml:space="preserve">live </w:t>
      </w:r>
      <w:r w:rsidR="000D4962" w:rsidRPr="003E2544">
        <w:rPr>
          <w:rFonts w:ascii="Verdana" w:hAnsi="Verdana"/>
          <w:sz w:val="20"/>
          <w:szCs w:val="20"/>
        </w:rPr>
        <w:t>in abject poverty</w:t>
      </w:r>
      <w:r w:rsidR="00B42A26" w:rsidRPr="003E2544">
        <w:rPr>
          <w:rFonts w:ascii="Verdana" w:hAnsi="Verdana"/>
          <w:sz w:val="20"/>
          <w:szCs w:val="20"/>
        </w:rPr>
        <w:t>, face hunger and the threat of violence,</w:t>
      </w:r>
      <w:r w:rsidR="000D4962" w:rsidRPr="003E2544">
        <w:rPr>
          <w:rFonts w:ascii="Verdana" w:hAnsi="Verdana"/>
          <w:sz w:val="20"/>
          <w:szCs w:val="20"/>
        </w:rPr>
        <w:t xml:space="preserve"> and lack</w:t>
      </w:r>
      <w:r w:rsidR="00B42A26" w:rsidRPr="003E2544">
        <w:rPr>
          <w:rFonts w:ascii="Verdana" w:hAnsi="Verdana"/>
          <w:sz w:val="20"/>
          <w:szCs w:val="20"/>
        </w:rPr>
        <w:t xml:space="preserve"> </w:t>
      </w:r>
      <w:r w:rsidR="000D4962" w:rsidRPr="003E2544">
        <w:rPr>
          <w:rFonts w:ascii="Verdana" w:hAnsi="Verdana"/>
          <w:sz w:val="20"/>
          <w:szCs w:val="20"/>
        </w:rPr>
        <w:t xml:space="preserve">basic public services. </w:t>
      </w:r>
      <w:r w:rsidR="00B42A26" w:rsidRPr="00467001">
        <w:rPr>
          <w:rFonts w:ascii="Verdana" w:hAnsi="Verdana"/>
          <w:sz w:val="20"/>
          <w:szCs w:val="20"/>
        </w:rPr>
        <w:t>Government funding to social sectors has declined</w:t>
      </w:r>
      <w:r w:rsidR="00B42A26" w:rsidRPr="004E4955">
        <w:rPr>
          <w:rFonts w:ascii="Verdana" w:hAnsi="Verdana"/>
          <w:sz w:val="20"/>
          <w:szCs w:val="20"/>
        </w:rPr>
        <w:t xml:space="preserve">. </w:t>
      </w:r>
      <w:r w:rsidR="7A097330" w:rsidRPr="003E2544">
        <w:rPr>
          <w:rFonts w:ascii="Verdana" w:hAnsi="Verdana"/>
          <w:sz w:val="20"/>
          <w:szCs w:val="20"/>
        </w:rPr>
        <w:t>T</w:t>
      </w:r>
      <w:r w:rsidR="34CED5CB" w:rsidRPr="003E2544">
        <w:rPr>
          <w:rFonts w:ascii="Verdana" w:hAnsi="Verdana"/>
          <w:sz w:val="20"/>
          <w:szCs w:val="20"/>
        </w:rPr>
        <w:t>h</w:t>
      </w:r>
      <w:r w:rsidRPr="003E2544">
        <w:rPr>
          <w:rFonts w:ascii="Verdana" w:hAnsi="Verdana"/>
          <w:sz w:val="20"/>
          <w:szCs w:val="20"/>
        </w:rPr>
        <w:t>is</w:t>
      </w:r>
      <w:r w:rsidR="34CED5CB" w:rsidRPr="003E2544">
        <w:rPr>
          <w:rFonts w:ascii="Verdana" w:hAnsi="Verdana"/>
          <w:sz w:val="20"/>
          <w:szCs w:val="20"/>
        </w:rPr>
        <w:t xml:space="preserve"> </w:t>
      </w:r>
      <w:r w:rsidR="595CD6BC" w:rsidRPr="003E2544">
        <w:rPr>
          <w:rFonts w:ascii="Verdana" w:hAnsi="Verdana"/>
          <w:sz w:val="20"/>
          <w:szCs w:val="20"/>
        </w:rPr>
        <w:t>J</w:t>
      </w:r>
      <w:r w:rsidR="470226E2" w:rsidRPr="003E2544">
        <w:rPr>
          <w:rFonts w:ascii="Verdana" w:hAnsi="Verdana"/>
          <w:sz w:val="20"/>
          <w:szCs w:val="20"/>
        </w:rPr>
        <w:t xml:space="preserve">oint </w:t>
      </w:r>
      <w:r w:rsidR="595CD6BC" w:rsidRPr="003E2544">
        <w:rPr>
          <w:rFonts w:ascii="Verdana" w:hAnsi="Verdana"/>
          <w:sz w:val="20"/>
          <w:szCs w:val="20"/>
        </w:rPr>
        <w:t>P</w:t>
      </w:r>
      <w:r w:rsidR="5DD8ADA1" w:rsidRPr="003E2544">
        <w:rPr>
          <w:rFonts w:ascii="Verdana" w:hAnsi="Verdana"/>
          <w:sz w:val="20"/>
          <w:szCs w:val="20"/>
        </w:rPr>
        <w:t>rogramme</w:t>
      </w:r>
      <w:r w:rsidR="34CED5CB" w:rsidRPr="003E2544">
        <w:rPr>
          <w:rFonts w:ascii="Verdana" w:hAnsi="Verdana"/>
          <w:sz w:val="20"/>
          <w:szCs w:val="20"/>
        </w:rPr>
        <w:t xml:space="preserve"> (JP) will </w:t>
      </w:r>
      <w:r w:rsidR="28257A79" w:rsidRPr="003E2544">
        <w:rPr>
          <w:rFonts w:ascii="Verdana" w:hAnsi="Verdana"/>
          <w:sz w:val="20"/>
          <w:szCs w:val="20"/>
        </w:rPr>
        <w:t xml:space="preserve">strengthen the capacity of </w:t>
      </w:r>
      <w:r w:rsidR="53BD0CFC" w:rsidRPr="003E2544">
        <w:rPr>
          <w:rFonts w:ascii="Verdana" w:hAnsi="Verdana"/>
          <w:sz w:val="20"/>
          <w:szCs w:val="20"/>
        </w:rPr>
        <w:t xml:space="preserve">Revenue Authorities </w:t>
      </w:r>
      <w:r w:rsidR="28257A79" w:rsidRPr="003E2544">
        <w:rPr>
          <w:rFonts w:ascii="Verdana" w:hAnsi="Verdana"/>
          <w:sz w:val="20"/>
          <w:szCs w:val="20"/>
        </w:rPr>
        <w:t xml:space="preserve">to </w:t>
      </w:r>
      <w:r w:rsidR="27A963C6" w:rsidRPr="003E2544">
        <w:rPr>
          <w:rFonts w:ascii="Verdana" w:hAnsi="Verdana"/>
          <w:sz w:val="20"/>
          <w:szCs w:val="20"/>
        </w:rPr>
        <w:t>increase</w:t>
      </w:r>
      <w:r w:rsidR="28257A79" w:rsidRPr="003E2544">
        <w:rPr>
          <w:rFonts w:ascii="Verdana" w:hAnsi="Verdana"/>
          <w:sz w:val="20"/>
          <w:szCs w:val="20"/>
        </w:rPr>
        <w:t xml:space="preserve"> tax revenue </w:t>
      </w:r>
      <w:r w:rsidR="27A963C6" w:rsidRPr="003E2544">
        <w:rPr>
          <w:rFonts w:ascii="Verdana" w:hAnsi="Verdana"/>
          <w:sz w:val="20"/>
          <w:szCs w:val="20"/>
        </w:rPr>
        <w:t xml:space="preserve">by </w:t>
      </w:r>
      <w:r w:rsidR="41422C8D" w:rsidRPr="003E2544">
        <w:rPr>
          <w:rFonts w:ascii="Verdana" w:hAnsi="Verdana"/>
          <w:sz w:val="20"/>
          <w:szCs w:val="20"/>
        </w:rPr>
        <w:t>15% in</w:t>
      </w:r>
      <w:r w:rsidR="7A097330" w:rsidRPr="003E2544">
        <w:rPr>
          <w:rFonts w:ascii="Verdana" w:hAnsi="Verdana"/>
          <w:sz w:val="20"/>
          <w:szCs w:val="20"/>
        </w:rPr>
        <w:t xml:space="preserve"> </w:t>
      </w:r>
      <w:r w:rsidR="41422C8D" w:rsidRPr="003E2544">
        <w:rPr>
          <w:rFonts w:ascii="Verdana" w:hAnsi="Verdana"/>
          <w:sz w:val="20"/>
          <w:szCs w:val="20"/>
        </w:rPr>
        <w:t>three target states</w:t>
      </w:r>
      <w:r w:rsidR="0B43C133" w:rsidRPr="003E2544">
        <w:rPr>
          <w:rFonts w:ascii="Verdana" w:hAnsi="Verdana"/>
          <w:sz w:val="20"/>
          <w:szCs w:val="20"/>
        </w:rPr>
        <w:t xml:space="preserve"> </w:t>
      </w:r>
      <w:r w:rsidR="7A097330" w:rsidRPr="003E2544">
        <w:rPr>
          <w:rFonts w:ascii="Verdana" w:hAnsi="Verdana"/>
          <w:sz w:val="20"/>
          <w:szCs w:val="20"/>
        </w:rPr>
        <w:t>of</w:t>
      </w:r>
      <w:r w:rsidR="7F6FBFA4" w:rsidRPr="003E2544">
        <w:rPr>
          <w:rFonts w:ascii="Verdana" w:hAnsi="Verdana"/>
          <w:sz w:val="20"/>
          <w:szCs w:val="20"/>
        </w:rPr>
        <w:t xml:space="preserve"> Central Equatoria, Western Equatoria and Northern Bahr el Ghazal</w:t>
      </w:r>
      <w:r w:rsidR="000C6268" w:rsidRPr="003E2544">
        <w:rPr>
          <w:rFonts w:ascii="Verdana" w:hAnsi="Verdana"/>
          <w:sz w:val="20"/>
          <w:szCs w:val="20"/>
          <w:vertAlign w:val="superscript"/>
        </w:rPr>
        <w:footnoteReference w:id="2"/>
      </w:r>
      <w:r w:rsidR="52D90EA6" w:rsidRPr="003E2544">
        <w:rPr>
          <w:rFonts w:ascii="Verdana" w:hAnsi="Verdana"/>
          <w:sz w:val="20"/>
          <w:szCs w:val="20"/>
        </w:rPr>
        <w:t xml:space="preserve"> where UNDP ha</w:t>
      </w:r>
      <w:r w:rsidR="0DA8FFC6" w:rsidRPr="003E2544">
        <w:rPr>
          <w:rFonts w:ascii="Verdana" w:hAnsi="Verdana"/>
          <w:sz w:val="20"/>
          <w:szCs w:val="20"/>
        </w:rPr>
        <w:t xml:space="preserve">s </w:t>
      </w:r>
      <w:r w:rsidR="52D90EA6" w:rsidRPr="003E2544">
        <w:rPr>
          <w:rFonts w:ascii="Verdana" w:hAnsi="Verdana"/>
          <w:sz w:val="20"/>
          <w:szCs w:val="20"/>
        </w:rPr>
        <w:t xml:space="preserve">been </w:t>
      </w:r>
      <w:r w:rsidR="07CF7DF3" w:rsidRPr="003E2544">
        <w:rPr>
          <w:rFonts w:ascii="Verdana" w:hAnsi="Verdana"/>
          <w:sz w:val="20"/>
          <w:szCs w:val="20"/>
        </w:rPr>
        <w:t xml:space="preserve">providing support </w:t>
      </w:r>
      <w:r w:rsidR="52D90EA6" w:rsidRPr="003E2544">
        <w:rPr>
          <w:rFonts w:ascii="Verdana" w:hAnsi="Verdana"/>
          <w:sz w:val="20"/>
          <w:szCs w:val="20"/>
        </w:rPr>
        <w:t>since</w:t>
      </w:r>
      <w:r w:rsidR="19483843" w:rsidRPr="003E2544">
        <w:rPr>
          <w:rFonts w:ascii="Verdana" w:hAnsi="Verdana"/>
          <w:sz w:val="20"/>
          <w:szCs w:val="20"/>
        </w:rPr>
        <w:t xml:space="preserve"> 2016</w:t>
      </w:r>
      <w:r w:rsidR="6D7020A5" w:rsidRPr="003E2544">
        <w:rPr>
          <w:rFonts w:ascii="Verdana" w:hAnsi="Verdana"/>
          <w:sz w:val="20"/>
          <w:szCs w:val="20"/>
        </w:rPr>
        <w:t xml:space="preserve">. </w:t>
      </w:r>
      <w:r w:rsidR="00366CBB" w:rsidRPr="003E2544">
        <w:rPr>
          <w:rFonts w:ascii="Verdana" w:hAnsi="Verdana"/>
          <w:sz w:val="20"/>
          <w:szCs w:val="20"/>
        </w:rPr>
        <w:t xml:space="preserve">Support will be replicated and scaled to the other seven states after the successful conclusion of this programme. </w:t>
      </w:r>
      <w:r w:rsidR="009C6289" w:rsidRPr="003E2544">
        <w:rPr>
          <w:rFonts w:ascii="Verdana" w:hAnsi="Verdana"/>
          <w:sz w:val="20"/>
          <w:szCs w:val="20"/>
        </w:rPr>
        <w:t>The JP will primarily contribute to the following Sustainable Development Goals (SDGs):</w:t>
      </w:r>
    </w:p>
    <w:p w14:paraId="640D74FF" w14:textId="1399AF7C" w:rsidR="009C6289" w:rsidRPr="00467001" w:rsidRDefault="7AE777BD" w:rsidP="00467001">
      <w:pPr>
        <w:pStyle w:val="ListParagraph"/>
        <w:numPr>
          <w:ilvl w:val="0"/>
          <w:numId w:val="78"/>
        </w:numPr>
        <w:spacing w:line="240" w:lineRule="auto"/>
        <w:rPr>
          <w:rFonts w:ascii="Verdana" w:hAnsi="Verdana"/>
          <w:sz w:val="20"/>
          <w:szCs w:val="20"/>
        </w:rPr>
      </w:pPr>
      <w:r w:rsidRPr="00467001">
        <w:rPr>
          <w:rFonts w:ascii="Verdana" w:hAnsi="Verdana"/>
          <w:b/>
          <w:bCs/>
          <w:sz w:val="20"/>
          <w:szCs w:val="20"/>
          <w:lang w:val="en-US"/>
        </w:rPr>
        <w:t>S</w:t>
      </w:r>
      <w:r w:rsidR="0B43C133" w:rsidRPr="00467001">
        <w:rPr>
          <w:rFonts w:ascii="Verdana" w:hAnsi="Verdana"/>
          <w:b/>
          <w:bCs/>
          <w:sz w:val="20"/>
          <w:szCs w:val="20"/>
          <w:lang w:val="en-US"/>
        </w:rPr>
        <w:t>DG 17</w:t>
      </w:r>
      <w:r w:rsidR="009C6289" w:rsidRPr="00467001">
        <w:rPr>
          <w:rFonts w:ascii="Verdana" w:hAnsi="Verdana"/>
          <w:b/>
          <w:bCs/>
          <w:sz w:val="20"/>
          <w:szCs w:val="20"/>
          <w:lang w:val="en-US"/>
        </w:rPr>
        <w:t xml:space="preserve">, </w:t>
      </w:r>
      <w:r w:rsidR="795B8DBC" w:rsidRPr="00467001">
        <w:rPr>
          <w:rFonts w:ascii="Verdana" w:hAnsi="Verdana"/>
          <w:b/>
          <w:bCs/>
          <w:sz w:val="20"/>
          <w:szCs w:val="20"/>
          <w:lang w:val="en-US"/>
        </w:rPr>
        <w:t>T</w:t>
      </w:r>
      <w:r w:rsidR="0B43C133" w:rsidRPr="00467001">
        <w:rPr>
          <w:rFonts w:ascii="Verdana" w:hAnsi="Verdana"/>
          <w:b/>
          <w:bCs/>
          <w:sz w:val="20"/>
          <w:szCs w:val="20"/>
          <w:lang w:val="en-US"/>
        </w:rPr>
        <w:t>arget 17.1</w:t>
      </w:r>
      <w:r w:rsidR="009C6289" w:rsidRPr="00467001">
        <w:rPr>
          <w:rFonts w:ascii="Verdana" w:hAnsi="Verdana"/>
          <w:b/>
          <w:bCs/>
          <w:sz w:val="20"/>
          <w:szCs w:val="20"/>
          <w:lang w:val="en-US"/>
        </w:rPr>
        <w:t>:</w:t>
      </w:r>
      <w:r w:rsidR="5AB6AB9C" w:rsidRPr="00467001">
        <w:rPr>
          <w:rFonts w:ascii="Verdana" w:hAnsi="Verdana"/>
          <w:sz w:val="20"/>
          <w:szCs w:val="20"/>
          <w:lang w:val="en-US"/>
        </w:rPr>
        <w:t xml:space="preserve"> </w:t>
      </w:r>
      <w:r w:rsidR="6A52B83A" w:rsidRPr="00467001">
        <w:rPr>
          <w:rFonts w:ascii="Verdana" w:hAnsi="Verdana"/>
          <w:sz w:val="20"/>
          <w:szCs w:val="20"/>
          <w:lang w:val="en-US"/>
        </w:rPr>
        <w:t>Strengthen domestic resource mobilization</w:t>
      </w:r>
      <w:r w:rsidR="009C6289" w:rsidRPr="00467001">
        <w:rPr>
          <w:rFonts w:ascii="Verdana" w:hAnsi="Verdana"/>
          <w:sz w:val="20"/>
          <w:szCs w:val="20"/>
          <w:lang w:val="en-US"/>
        </w:rPr>
        <w:t>.</w:t>
      </w:r>
    </w:p>
    <w:p w14:paraId="6EA2D433" w14:textId="0136BBC7" w:rsidR="009C6289" w:rsidRPr="00467001" w:rsidRDefault="00597291" w:rsidP="00467001">
      <w:pPr>
        <w:pStyle w:val="ListParagraph"/>
        <w:numPr>
          <w:ilvl w:val="0"/>
          <w:numId w:val="78"/>
        </w:numPr>
        <w:spacing w:line="240" w:lineRule="auto"/>
        <w:rPr>
          <w:rFonts w:ascii="Verdana" w:hAnsi="Verdana"/>
          <w:sz w:val="20"/>
          <w:szCs w:val="20"/>
        </w:rPr>
      </w:pPr>
      <w:r w:rsidRPr="00467001">
        <w:rPr>
          <w:rFonts w:ascii="Verdana" w:hAnsi="Verdana"/>
          <w:b/>
          <w:bCs/>
          <w:sz w:val="20"/>
          <w:szCs w:val="20"/>
          <w:lang w:val="en-US"/>
        </w:rPr>
        <w:t>SDG 16</w:t>
      </w:r>
      <w:r w:rsidR="009C6289" w:rsidRPr="00467001">
        <w:rPr>
          <w:rFonts w:ascii="Verdana" w:hAnsi="Verdana"/>
          <w:b/>
          <w:bCs/>
          <w:sz w:val="20"/>
          <w:szCs w:val="20"/>
          <w:lang w:val="en-US"/>
        </w:rPr>
        <w:t xml:space="preserve">, </w:t>
      </w:r>
      <w:r w:rsidRPr="00467001">
        <w:rPr>
          <w:rFonts w:ascii="Verdana" w:hAnsi="Verdana"/>
          <w:b/>
          <w:bCs/>
          <w:sz w:val="20"/>
          <w:szCs w:val="20"/>
          <w:lang w:val="en-US"/>
        </w:rPr>
        <w:t>Target 16.6</w:t>
      </w:r>
      <w:r w:rsidR="009C6289" w:rsidRPr="00467001">
        <w:rPr>
          <w:rFonts w:ascii="Verdana" w:hAnsi="Verdana"/>
          <w:b/>
          <w:bCs/>
          <w:sz w:val="20"/>
          <w:szCs w:val="20"/>
          <w:lang w:val="en-US"/>
        </w:rPr>
        <w:t>:</w:t>
      </w:r>
      <w:r w:rsidR="009C6289" w:rsidRPr="00467001">
        <w:rPr>
          <w:rFonts w:ascii="Verdana" w:hAnsi="Verdana"/>
          <w:sz w:val="20"/>
          <w:szCs w:val="20"/>
          <w:lang w:val="en-US"/>
        </w:rPr>
        <w:t xml:space="preserve"> </w:t>
      </w:r>
      <w:r w:rsidRPr="00467001">
        <w:rPr>
          <w:rFonts w:ascii="Verdana" w:hAnsi="Verdana"/>
          <w:sz w:val="20"/>
          <w:szCs w:val="20"/>
          <w:lang w:val="en-US"/>
        </w:rPr>
        <w:t>Develop effective, accountable and transparent institutions at all levels</w:t>
      </w:r>
      <w:r w:rsidR="009C6289" w:rsidRPr="00467001">
        <w:rPr>
          <w:rFonts w:ascii="Verdana" w:hAnsi="Verdana"/>
          <w:sz w:val="20"/>
          <w:szCs w:val="20"/>
          <w:lang w:val="en-US"/>
        </w:rPr>
        <w:t>.</w:t>
      </w:r>
    </w:p>
    <w:p w14:paraId="6850C99D" w14:textId="7CDEF4C3" w:rsidR="00366CBB" w:rsidRDefault="009D3197" w:rsidP="00245274">
      <w:pPr>
        <w:spacing w:line="240" w:lineRule="auto"/>
        <w:jc w:val="both"/>
        <w:rPr>
          <w:rFonts w:ascii="Verdana" w:hAnsi="Verdana"/>
          <w:sz w:val="20"/>
          <w:szCs w:val="20"/>
        </w:rPr>
      </w:pPr>
      <w:r w:rsidRPr="003455B0">
        <w:rPr>
          <w:rFonts w:ascii="Verdana" w:hAnsi="Verdana"/>
          <w:sz w:val="20"/>
          <w:szCs w:val="20"/>
        </w:rPr>
        <w:t xml:space="preserve">The action will also contribute to SDG 5 Gender Equality, and SDG 10 Reduced Inequality. </w:t>
      </w:r>
      <w:r w:rsidR="009C6289" w:rsidRPr="003E2544">
        <w:rPr>
          <w:rFonts w:ascii="Verdana" w:hAnsi="Verdana"/>
          <w:sz w:val="20"/>
          <w:szCs w:val="20"/>
        </w:rPr>
        <w:t xml:space="preserve">The above will be achieved </w:t>
      </w:r>
      <w:r w:rsidR="00597291" w:rsidRPr="003E2544">
        <w:rPr>
          <w:rFonts w:ascii="Verdana" w:hAnsi="Verdana"/>
          <w:sz w:val="20"/>
          <w:szCs w:val="20"/>
        </w:rPr>
        <w:t xml:space="preserve">by </w:t>
      </w:r>
      <w:r w:rsidR="4C5FDCC5" w:rsidRPr="003E2544">
        <w:rPr>
          <w:rFonts w:ascii="Verdana" w:hAnsi="Verdana"/>
          <w:sz w:val="20"/>
          <w:szCs w:val="20"/>
        </w:rPr>
        <w:t>build</w:t>
      </w:r>
      <w:r w:rsidR="00597291" w:rsidRPr="003E2544">
        <w:rPr>
          <w:rFonts w:ascii="Verdana" w:hAnsi="Verdana"/>
          <w:sz w:val="20"/>
          <w:szCs w:val="20"/>
        </w:rPr>
        <w:t>ing</w:t>
      </w:r>
      <w:r w:rsidR="4C5FDCC5" w:rsidRPr="003E2544">
        <w:rPr>
          <w:rFonts w:ascii="Verdana" w:hAnsi="Verdana"/>
          <w:sz w:val="20"/>
          <w:szCs w:val="20"/>
        </w:rPr>
        <w:t xml:space="preserve"> </w:t>
      </w:r>
      <w:r w:rsidR="009C6289" w:rsidRPr="003E2544">
        <w:rPr>
          <w:rFonts w:ascii="Verdana" w:hAnsi="Verdana"/>
          <w:sz w:val="20"/>
          <w:szCs w:val="20"/>
        </w:rPr>
        <w:t xml:space="preserve">the </w:t>
      </w:r>
      <w:r w:rsidR="4C5FDCC5" w:rsidRPr="003E2544">
        <w:rPr>
          <w:rFonts w:ascii="Verdana" w:hAnsi="Verdana"/>
          <w:sz w:val="20"/>
          <w:szCs w:val="20"/>
        </w:rPr>
        <w:t>capacity of Public Finance Management (PFM) institutions</w:t>
      </w:r>
      <w:r w:rsidR="5A6B9FF7" w:rsidRPr="003E2544">
        <w:rPr>
          <w:rFonts w:ascii="Verdana" w:hAnsi="Verdana"/>
          <w:sz w:val="20"/>
          <w:szCs w:val="20"/>
        </w:rPr>
        <w:t xml:space="preserve"> </w:t>
      </w:r>
      <w:r w:rsidR="139F9DD9" w:rsidRPr="003E2544">
        <w:rPr>
          <w:rFonts w:ascii="Verdana" w:hAnsi="Verdana"/>
          <w:sz w:val="20"/>
          <w:szCs w:val="20"/>
        </w:rPr>
        <w:t>at both national and state levels</w:t>
      </w:r>
      <w:r w:rsidR="7B05FD71" w:rsidRPr="003E2544">
        <w:rPr>
          <w:rFonts w:ascii="Verdana" w:hAnsi="Verdana"/>
          <w:sz w:val="20"/>
          <w:szCs w:val="20"/>
        </w:rPr>
        <w:t xml:space="preserve">, especially the Ministry of Finance </w:t>
      </w:r>
      <w:r w:rsidR="009C6289" w:rsidRPr="003E2544">
        <w:rPr>
          <w:rFonts w:ascii="Verdana" w:hAnsi="Verdana"/>
          <w:sz w:val="20"/>
          <w:szCs w:val="20"/>
        </w:rPr>
        <w:t xml:space="preserve">and Planning </w:t>
      </w:r>
      <w:r w:rsidR="7B05FD71" w:rsidRPr="003E2544">
        <w:rPr>
          <w:rFonts w:ascii="Verdana" w:hAnsi="Verdana"/>
          <w:sz w:val="20"/>
          <w:szCs w:val="20"/>
        </w:rPr>
        <w:t>(MoF</w:t>
      </w:r>
      <w:r w:rsidR="009C6289" w:rsidRPr="003E2544">
        <w:rPr>
          <w:rFonts w:ascii="Verdana" w:hAnsi="Verdana"/>
          <w:sz w:val="20"/>
          <w:szCs w:val="20"/>
        </w:rPr>
        <w:t>P</w:t>
      </w:r>
      <w:r w:rsidR="7B05FD71" w:rsidRPr="003E2544">
        <w:rPr>
          <w:rFonts w:ascii="Verdana" w:hAnsi="Verdana"/>
          <w:sz w:val="20"/>
          <w:szCs w:val="20"/>
        </w:rPr>
        <w:t>)</w:t>
      </w:r>
      <w:r w:rsidR="009C6289" w:rsidRPr="003E2544">
        <w:rPr>
          <w:rFonts w:ascii="Verdana" w:hAnsi="Verdana"/>
          <w:sz w:val="20"/>
          <w:szCs w:val="20"/>
        </w:rPr>
        <w:t xml:space="preserve">. The aim is </w:t>
      </w:r>
      <w:r w:rsidR="4C5FDCC5" w:rsidRPr="003E2544">
        <w:rPr>
          <w:rFonts w:ascii="Verdana" w:hAnsi="Verdana"/>
          <w:sz w:val="20"/>
          <w:szCs w:val="20"/>
        </w:rPr>
        <w:t>to ensure that public funds are allocated and spent efficiently and effectively</w:t>
      </w:r>
      <w:r w:rsidR="3C78103F" w:rsidRPr="003E2544">
        <w:rPr>
          <w:rFonts w:ascii="Verdana" w:hAnsi="Verdana"/>
          <w:sz w:val="20"/>
          <w:szCs w:val="20"/>
        </w:rPr>
        <w:t>,</w:t>
      </w:r>
      <w:r w:rsidR="3C53A03A" w:rsidRPr="003E2544">
        <w:rPr>
          <w:rFonts w:ascii="Verdana" w:hAnsi="Verdana"/>
          <w:sz w:val="20"/>
          <w:szCs w:val="20"/>
        </w:rPr>
        <w:t xml:space="preserve"> </w:t>
      </w:r>
      <w:r w:rsidR="009C6289" w:rsidRPr="003E2544">
        <w:rPr>
          <w:rFonts w:ascii="Verdana" w:hAnsi="Verdana"/>
          <w:sz w:val="20"/>
          <w:szCs w:val="20"/>
        </w:rPr>
        <w:t>utilizing</w:t>
      </w:r>
      <w:r w:rsidR="3C78103F" w:rsidRPr="003E2544">
        <w:rPr>
          <w:rFonts w:ascii="Verdana" w:hAnsi="Verdana"/>
          <w:sz w:val="20"/>
          <w:szCs w:val="20"/>
        </w:rPr>
        <w:t xml:space="preserve"> a human rights-based</w:t>
      </w:r>
      <w:r w:rsidR="4C5FDCC5" w:rsidRPr="003E2544">
        <w:rPr>
          <w:rFonts w:ascii="Verdana" w:hAnsi="Verdana"/>
          <w:sz w:val="20"/>
          <w:szCs w:val="20"/>
        </w:rPr>
        <w:t xml:space="preserve"> </w:t>
      </w:r>
      <w:r w:rsidR="5907AB2F" w:rsidRPr="003E2544">
        <w:rPr>
          <w:rFonts w:ascii="Verdana" w:hAnsi="Verdana"/>
          <w:sz w:val="20"/>
          <w:szCs w:val="20"/>
        </w:rPr>
        <w:t xml:space="preserve">approach to sustainable development, </w:t>
      </w:r>
      <w:r w:rsidR="4C5FDCC5" w:rsidRPr="003E2544">
        <w:rPr>
          <w:rFonts w:ascii="Verdana" w:hAnsi="Verdana"/>
          <w:sz w:val="20"/>
          <w:szCs w:val="20"/>
        </w:rPr>
        <w:t xml:space="preserve">to deliver </w:t>
      </w:r>
      <w:r w:rsidR="4C5FDCC5" w:rsidRPr="003E2544">
        <w:rPr>
          <w:rFonts w:ascii="Verdana" w:hAnsi="Verdana"/>
          <w:sz w:val="20"/>
          <w:szCs w:val="20"/>
        </w:rPr>
        <w:lastRenderedPageBreak/>
        <w:t>essential services to the most deprived and vulnerable populations including children and women</w:t>
      </w:r>
      <w:r w:rsidR="534309CB" w:rsidRPr="003E2544">
        <w:rPr>
          <w:rFonts w:ascii="Verdana" w:hAnsi="Verdana"/>
          <w:sz w:val="20"/>
          <w:szCs w:val="20"/>
        </w:rPr>
        <w:t xml:space="preserve">. </w:t>
      </w:r>
    </w:p>
    <w:p w14:paraId="1060E06B" w14:textId="77777777" w:rsidR="008B5897" w:rsidRPr="003E2544" w:rsidRDefault="008B5897" w:rsidP="00245274">
      <w:pPr>
        <w:spacing w:line="240" w:lineRule="auto"/>
        <w:jc w:val="both"/>
        <w:rPr>
          <w:rFonts w:ascii="Verdana" w:hAnsi="Verdana"/>
          <w:sz w:val="20"/>
          <w:szCs w:val="20"/>
        </w:rPr>
      </w:pPr>
    </w:p>
    <w:p w14:paraId="416DDACE" w14:textId="0CFF9461" w:rsidR="00366CBB" w:rsidRPr="003E2544" w:rsidRDefault="00366CBB" w:rsidP="00245274">
      <w:pPr>
        <w:spacing w:line="240" w:lineRule="auto"/>
        <w:jc w:val="both"/>
        <w:rPr>
          <w:rFonts w:ascii="Verdana" w:hAnsi="Verdana"/>
          <w:sz w:val="20"/>
          <w:szCs w:val="20"/>
        </w:rPr>
      </w:pPr>
      <w:r w:rsidRPr="003E2544">
        <w:rPr>
          <w:rFonts w:ascii="Verdana" w:hAnsi="Verdana"/>
          <w:sz w:val="20"/>
          <w:szCs w:val="20"/>
        </w:rPr>
        <w:t>At national level, t</w:t>
      </w:r>
      <w:r w:rsidR="70D3EEFF" w:rsidRPr="003E2544">
        <w:rPr>
          <w:rFonts w:ascii="Verdana" w:hAnsi="Verdana"/>
          <w:sz w:val="20"/>
          <w:szCs w:val="20"/>
        </w:rPr>
        <w:t xml:space="preserve">he JP </w:t>
      </w:r>
      <w:r w:rsidR="00596C85" w:rsidRPr="003E2544">
        <w:rPr>
          <w:rFonts w:ascii="Verdana" w:hAnsi="Verdana"/>
          <w:sz w:val="20"/>
          <w:szCs w:val="20"/>
        </w:rPr>
        <w:t xml:space="preserve">is </w:t>
      </w:r>
      <w:r w:rsidR="159C9B78" w:rsidRPr="003E2544">
        <w:rPr>
          <w:rFonts w:ascii="Verdana" w:hAnsi="Verdana"/>
          <w:sz w:val="20"/>
          <w:szCs w:val="20"/>
        </w:rPr>
        <w:t>align</w:t>
      </w:r>
      <w:r w:rsidR="7D3A1FC6" w:rsidRPr="003E2544">
        <w:rPr>
          <w:rFonts w:ascii="Verdana" w:hAnsi="Verdana"/>
          <w:sz w:val="20"/>
          <w:szCs w:val="20"/>
        </w:rPr>
        <w:t>ed</w:t>
      </w:r>
      <w:r w:rsidR="159C9B78" w:rsidRPr="003E2544">
        <w:rPr>
          <w:rFonts w:ascii="Verdana" w:hAnsi="Verdana"/>
          <w:sz w:val="20"/>
          <w:szCs w:val="20"/>
        </w:rPr>
        <w:t xml:space="preserve"> </w:t>
      </w:r>
      <w:r w:rsidR="00596C85" w:rsidRPr="003E2544">
        <w:rPr>
          <w:rFonts w:ascii="Verdana" w:hAnsi="Verdana"/>
          <w:sz w:val="20"/>
          <w:szCs w:val="20"/>
        </w:rPr>
        <w:t>with</w:t>
      </w:r>
      <w:r w:rsidR="159C9B78" w:rsidRPr="003E2544">
        <w:rPr>
          <w:rFonts w:ascii="Verdana" w:hAnsi="Verdana"/>
          <w:sz w:val="20"/>
          <w:szCs w:val="20"/>
        </w:rPr>
        <w:t xml:space="preserve"> </w:t>
      </w:r>
      <w:r w:rsidRPr="003E2544">
        <w:rPr>
          <w:rFonts w:ascii="Verdana" w:hAnsi="Verdana"/>
          <w:sz w:val="20"/>
          <w:szCs w:val="20"/>
        </w:rPr>
        <w:t xml:space="preserve">the South Sudan </w:t>
      </w:r>
      <w:r w:rsidR="481032BF" w:rsidRPr="003E2544">
        <w:rPr>
          <w:rFonts w:ascii="Verdana" w:hAnsi="Verdana"/>
          <w:sz w:val="20"/>
          <w:szCs w:val="20"/>
        </w:rPr>
        <w:t xml:space="preserve">National Development </w:t>
      </w:r>
      <w:r w:rsidR="325F42C7" w:rsidRPr="003E2544">
        <w:rPr>
          <w:rFonts w:ascii="Verdana" w:hAnsi="Verdana"/>
          <w:sz w:val="20"/>
          <w:szCs w:val="20"/>
        </w:rPr>
        <w:t xml:space="preserve">Strategy </w:t>
      </w:r>
      <w:r w:rsidR="481032BF" w:rsidRPr="003E2544">
        <w:rPr>
          <w:rFonts w:ascii="Verdana" w:hAnsi="Verdana"/>
          <w:sz w:val="20"/>
          <w:szCs w:val="20"/>
        </w:rPr>
        <w:t>(ND</w:t>
      </w:r>
      <w:r w:rsidR="20A9E7EF" w:rsidRPr="003E2544">
        <w:rPr>
          <w:rFonts w:ascii="Verdana" w:hAnsi="Verdana"/>
          <w:sz w:val="20"/>
          <w:szCs w:val="20"/>
        </w:rPr>
        <w:t>S</w:t>
      </w:r>
      <w:r w:rsidR="0018332F" w:rsidRPr="003E2544">
        <w:rPr>
          <w:rFonts w:ascii="Verdana" w:hAnsi="Verdana"/>
          <w:sz w:val="20"/>
          <w:szCs w:val="20"/>
        </w:rPr>
        <w:t>) 2018</w:t>
      </w:r>
      <w:r w:rsidRPr="003E2544">
        <w:rPr>
          <w:rFonts w:ascii="Verdana" w:hAnsi="Verdana"/>
          <w:sz w:val="20"/>
          <w:szCs w:val="20"/>
        </w:rPr>
        <w:t>–</w:t>
      </w:r>
      <w:r w:rsidR="0018332F" w:rsidRPr="003E2544">
        <w:rPr>
          <w:rFonts w:ascii="Verdana" w:hAnsi="Verdana"/>
          <w:sz w:val="20"/>
          <w:szCs w:val="20"/>
        </w:rPr>
        <w:t xml:space="preserve">2021 </w:t>
      </w:r>
      <w:r w:rsidR="52D5FE71" w:rsidRPr="003E2544">
        <w:rPr>
          <w:rFonts w:ascii="Verdana" w:hAnsi="Verdana"/>
          <w:sz w:val="20"/>
          <w:szCs w:val="20"/>
        </w:rPr>
        <w:t>and</w:t>
      </w:r>
      <w:r w:rsidR="000219B3" w:rsidRPr="003E2544">
        <w:rPr>
          <w:rFonts w:ascii="Verdana" w:hAnsi="Verdana"/>
          <w:sz w:val="20"/>
          <w:szCs w:val="20"/>
        </w:rPr>
        <w:t xml:space="preserve"> </w:t>
      </w:r>
      <w:r w:rsidR="0018332F" w:rsidRPr="003E2544">
        <w:rPr>
          <w:rFonts w:ascii="Verdana" w:hAnsi="Verdana"/>
          <w:sz w:val="20"/>
          <w:szCs w:val="20"/>
        </w:rPr>
        <w:t xml:space="preserve">contributes to the </w:t>
      </w:r>
      <w:r w:rsidR="00746E1F" w:rsidRPr="003E2544">
        <w:rPr>
          <w:rFonts w:ascii="Verdana" w:hAnsi="Verdana"/>
          <w:sz w:val="20"/>
          <w:szCs w:val="20"/>
        </w:rPr>
        <w:t>development of</w:t>
      </w:r>
      <w:r w:rsidR="0018332F" w:rsidRPr="003E2544">
        <w:rPr>
          <w:rFonts w:ascii="Verdana" w:hAnsi="Verdana"/>
          <w:sz w:val="20"/>
          <w:szCs w:val="20"/>
        </w:rPr>
        <w:t xml:space="preserve"> the next</w:t>
      </w:r>
      <w:r w:rsidR="00746E1F" w:rsidRPr="003E2544">
        <w:rPr>
          <w:rFonts w:ascii="Verdana" w:hAnsi="Verdana"/>
          <w:sz w:val="20"/>
          <w:szCs w:val="20"/>
        </w:rPr>
        <w:t xml:space="preserve"> </w:t>
      </w:r>
      <w:r w:rsidR="0018332F" w:rsidRPr="003E2544">
        <w:rPr>
          <w:rFonts w:ascii="Verdana" w:hAnsi="Verdana"/>
          <w:sz w:val="20"/>
          <w:szCs w:val="20"/>
        </w:rPr>
        <w:t xml:space="preserve">NDS </w:t>
      </w:r>
      <w:r w:rsidR="00746E1F" w:rsidRPr="003E2544">
        <w:rPr>
          <w:rFonts w:ascii="Verdana" w:hAnsi="Verdana"/>
          <w:sz w:val="20"/>
          <w:szCs w:val="20"/>
        </w:rPr>
        <w:t>an</w:t>
      </w:r>
      <w:r w:rsidR="0018332F" w:rsidRPr="003E2544">
        <w:rPr>
          <w:rFonts w:ascii="Verdana" w:hAnsi="Verdana"/>
          <w:sz w:val="20"/>
          <w:szCs w:val="20"/>
        </w:rPr>
        <w:t>d</w:t>
      </w:r>
      <w:r w:rsidR="52D5FE71" w:rsidRPr="003E2544">
        <w:rPr>
          <w:rFonts w:ascii="Verdana" w:hAnsi="Verdana"/>
          <w:sz w:val="20"/>
          <w:szCs w:val="20"/>
        </w:rPr>
        <w:t xml:space="preserve"> </w:t>
      </w:r>
      <w:r w:rsidRPr="003E2544">
        <w:rPr>
          <w:rFonts w:ascii="Verdana" w:hAnsi="Verdana"/>
          <w:sz w:val="20"/>
          <w:szCs w:val="20"/>
        </w:rPr>
        <w:t xml:space="preserve">the first </w:t>
      </w:r>
      <w:r w:rsidR="481032BF" w:rsidRPr="003E2544">
        <w:rPr>
          <w:rFonts w:ascii="Verdana" w:hAnsi="Verdana"/>
          <w:sz w:val="20"/>
          <w:szCs w:val="20"/>
        </w:rPr>
        <w:t xml:space="preserve">Integrated National Financial Framework (INFF) </w:t>
      </w:r>
      <w:r w:rsidR="0E18CC32" w:rsidRPr="003E2544">
        <w:rPr>
          <w:rFonts w:ascii="Verdana" w:hAnsi="Verdana"/>
          <w:sz w:val="20"/>
          <w:szCs w:val="20"/>
        </w:rPr>
        <w:t xml:space="preserve">for the period </w:t>
      </w:r>
      <w:r w:rsidR="481032BF" w:rsidRPr="003E2544">
        <w:rPr>
          <w:rFonts w:ascii="Verdana" w:hAnsi="Verdana"/>
          <w:sz w:val="20"/>
          <w:szCs w:val="20"/>
        </w:rPr>
        <w:t>2022</w:t>
      </w:r>
      <w:r w:rsidRPr="003E2544">
        <w:rPr>
          <w:rFonts w:ascii="Verdana" w:hAnsi="Verdana"/>
          <w:sz w:val="20"/>
          <w:szCs w:val="20"/>
        </w:rPr>
        <w:t>–</w:t>
      </w:r>
      <w:r w:rsidR="481032BF" w:rsidRPr="003E2544">
        <w:rPr>
          <w:rFonts w:ascii="Verdana" w:hAnsi="Verdana"/>
          <w:sz w:val="20"/>
          <w:szCs w:val="20"/>
        </w:rPr>
        <w:t>2024</w:t>
      </w:r>
      <w:r w:rsidRPr="003E2544">
        <w:rPr>
          <w:rFonts w:ascii="Verdana" w:hAnsi="Verdana"/>
          <w:sz w:val="20"/>
          <w:szCs w:val="20"/>
        </w:rPr>
        <w:t xml:space="preserve">; at State level, the JP is aligned with </w:t>
      </w:r>
      <w:r w:rsidR="002EA288" w:rsidRPr="003E2544">
        <w:rPr>
          <w:rFonts w:ascii="Verdana" w:hAnsi="Verdana"/>
          <w:sz w:val="20"/>
          <w:szCs w:val="20"/>
        </w:rPr>
        <w:t>State Development Strategies (SDSs)</w:t>
      </w:r>
      <w:r w:rsidR="386547ED" w:rsidRPr="003E2544">
        <w:rPr>
          <w:rFonts w:ascii="Verdana" w:hAnsi="Verdana"/>
          <w:sz w:val="20"/>
          <w:szCs w:val="20"/>
        </w:rPr>
        <w:t xml:space="preserve"> and </w:t>
      </w:r>
      <w:r w:rsidR="002EA288" w:rsidRPr="003E2544">
        <w:rPr>
          <w:rFonts w:ascii="Verdana" w:hAnsi="Verdana"/>
          <w:sz w:val="20"/>
          <w:szCs w:val="20"/>
        </w:rPr>
        <w:t>Sector Pla</w:t>
      </w:r>
      <w:r w:rsidR="386547ED" w:rsidRPr="003E2544">
        <w:rPr>
          <w:rFonts w:ascii="Verdana" w:hAnsi="Verdana"/>
          <w:sz w:val="20"/>
          <w:szCs w:val="20"/>
        </w:rPr>
        <w:t>n</w:t>
      </w:r>
      <w:r w:rsidR="52D5FE71" w:rsidRPr="003E2544">
        <w:rPr>
          <w:rFonts w:ascii="Verdana" w:hAnsi="Verdana"/>
          <w:sz w:val="20"/>
          <w:szCs w:val="20"/>
        </w:rPr>
        <w:t>s</w:t>
      </w:r>
      <w:r w:rsidR="00FF456C" w:rsidRPr="003E2544">
        <w:rPr>
          <w:rFonts w:ascii="Verdana" w:hAnsi="Verdana"/>
          <w:sz w:val="20"/>
          <w:szCs w:val="20"/>
        </w:rPr>
        <w:t>,</w:t>
      </w:r>
      <w:r w:rsidR="52D5FE71" w:rsidRPr="003E2544">
        <w:rPr>
          <w:rFonts w:ascii="Verdana" w:hAnsi="Verdana"/>
          <w:sz w:val="20"/>
          <w:szCs w:val="20"/>
        </w:rPr>
        <w:t xml:space="preserve"> </w:t>
      </w:r>
      <w:r w:rsidR="1918FC1A" w:rsidRPr="003E2544">
        <w:rPr>
          <w:rFonts w:ascii="Verdana" w:hAnsi="Verdana"/>
          <w:sz w:val="20"/>
          <w:szCs w:val="20"/>
        </w:rPr>
        <w:t>especially</w:t>
      </w:r>
      <w:r w:rsidR="52D5FE71" w:rsidRPr="003E2544">
        <w:rPr>
          <w:rFonts w:ascii="Verdana" w:hAnsi="Verdana"/>
          <w:sz w:val="20"/>
          <w:szCs w:val="20"/>
        </w:rPr>
        <w:t xml:space="preserve"> </w:t>
      </w:r>
      <w:r w:rsidRPr="003E2544">
        <w:rPr>
          <w:rFonts w:ascii="Verdana" w:hAnsi="Verdana"/>
          <w:sz w:val="20"/>
          <w:szCs w:val="20"/>
        </w:rPr>
        <w:t xml:space="preserve">those of </w:t>
      </w:r>
      <w:r w:rsidR="380A3AA6" w:rsidRPr="003E2544">
        <w:rPr>
          <w:rFonts w:ascii="Verdana" w:hAnsi="Verdana"/>
          <w:sz w:val="20"/>
          <w:szCs w:val="20"/>
        </w:rPr>
        <w:t>Central Equatoria, Western Equatoria and Northern Bahr el Ghazal</w:t>
      </w:r>
      <w:r w:rsidR="59289DB5" w:rsidRPr="003E2544">
        <w:rPr>
          <w:rFonts w:ascii="Verdana" w:hAnsi="Verdana"/>
          <w:sz w:val="20"/>
          <w:szCs w:val="20"/>
        </w:rPr>
        <w:t>. These plans will be instrumental in guiding</w:t>
      </w:r>
      <w:r w:rsidR="159C9B78" w:rsidRPr="003E2544">
        <w:rPr>
          <w:rFonts w:ascii="Verdana" w:hAnsi="Verdana"/>
          <w:sz w:val="20"/>
          <w:szCs w:val="20"/>
        </w:rPr>
        <w:t xml:space="preserve"> </w:t>
      </w:r>
      <w:r w:rsidR="02F30099" w:rsidRPr="003E2544">
        <w:rPr>
          <w:rFonts w:ascii="Verdana" w:hAnsi="Verdana"/>
          <w:sz w:val="20"/>
          <w:szCs w:val="20"/>
        </w:rPr>
        <w:t>budget allocation</w:t>
      </w:r>
      <w:r w:rsidR="1E15F081" w:rsidRPr="003E2544">
        <w:rPr>
          <w:rFonts w:ascii="Verdana" w:hAnsi="Verdana"/>
          <w:sz w:val="20"/>
          <w:szCs w:val="20"/>
        </w:rPr>
        <w:t>s</w:t>
      </w:r>
      <w:r w:rsidR="02F30099" w:rsidRPr="003E2544">
        <w:rPr>
          <w:rFonts w:ascii="Verdana" w:hAnsi="Verdana"/>
          <w:sz w:val="20"/>
          <w:szCs w:val="20"/>
        </w:rPr>
        <w:t xml:space="preserve"> to essential social sectors contributing to the achievement of </w:t>
      </w:r>
      <w:r w:rsidR="4534D7E3" w:rsidRPr="003E2544">
        <w:rPr>
          <w:rFonts w:ascii="Verdana" w:hAnsi="Verdana"/>
          <w:sz w:val="20"/>
          <w:szCs w:val="20"/>
        </w:rPr>
        <w:t>SDG</w:t>
      </w:r>
      <w:r w:rsidR="02F30099" w:rsidRPr="003E2544">
        <w:rPr>
          <w:rFonts w:ascii="Verdana" w:hAnsi="Verdana"/>
          <w:sz w:val="20"/>
          <w:szCs w:val="20"/>
        </w:rPr>
        <w:t xml:space="preserve"> </w:t>
      </w:r>
      <w:r w:rsidR="6B343984" w:rsidRPr="003E2544">
        <w:rPr>
          <w:rFonts w:ascii="Verdana" w:hAnsi="Verdana"/>
          <w:sz w:val="20"/>
          <w:szCs w:val="20"/>
        </w:rPr>
        <w:t>1 No Poverty</w:t>
      </w:r>
      <w:r w:rsidRPr="003E2544">
        <w:rPr>
          <w:rFonts w:ascii="Verdana" w:hAnsi="Verdana"/>
          <w:sz w:val="20"/>
          <w:szCs w:val="20"/>
        </w:rPr>
        <w:t xml:space="preserve">; </w:t>
      </w:r>
      <w:r w:rsidR="6B343984" w:rsidRPr="003E2544">
        <w:rPr>
          <w:rFonts w:ascii="Verdana" w:hAnsi="Verdana"/>
          <w:sz w:val="20"/>
          <w:szCs w:val="20"/>
        </w:rPr>
        <w:t>SDG 3 Good Health and Well-being</w:t>
      </w:r>
      <w:r w:rsidRPr="003E2544">
        <w:rPr>
          <w:rFonts w:ascii="Verdana" w:hAnsi="Verdana"/>
          <w:sz w:val="20"/>
          <w:szCs w:val="20"/>
        </w:rPr>
        <w:t xml:space="preserve">; </w:t>
      </w:r>
      <w:r w:rsidR="6B343984" w:rsidRPr="003E2544">
        <w:rPr>
          <w:rFonts w:ascii="Verdana" w:hAnsi="Verdana"/>
          <w:sz w:val="20"/>
          <w:szCs w:val="20"/>
        </w:rPr>
        <w:t>SDG 4 Quality Education</w:t>
      </w:r>
      <w:r w:rsidRPr="003E2544">
        <w:rPr>
          <w:rFonts w:ascii="Verdana" w:hAnsi="Verdana"/>
          <w:sz w:val="20"/>
          <w:szCs w:val="20"/>
        </w:rPr>
        <w:t xml:space="preserve">; SDG 5 Gender Equality; </w:t>
      </w:r>
      <w:r w:rsidR="6B343984" w:rsidRPr="003E2544">
        <w:rPr>
          <w:rFonts w:ascii="Verdana" w:hAnsi="Verdana"/>
          <w:sz w:val="20"/>
          <w:szCs w:val="20"/>
        </w:rPr>
        <w:t>SDG 6</w:t>
      </w:r>
      <w:r w:rsidRPr="003E2544">
        <w:rPr>
          <w:rFonts w:ascii="Verdana" w:hAnsi="Verdana"/>
          <w:sz w:val="20"/>
          <w:szCs w:val="20"/>
        </w:rPr>
        <w:t xml:space="preserve"> </w:t>
      </w:r>
      <w:r w:rsidR="6B343984" w:rsidRPr="003E2544">
        <w:rPr>
          <w:rFonts w:ascii="Verdana" w:hAnsi="Verdana"/>
          <w:sz w:val="20"/>
          <w:szCs w:val="20"/>
        </w:rPr>
        <w:t>Clean Water and Sanitation</w:t>
      </w:r>
      <w:r w:rsidRPr="003E2544">
        <w:rPr>
          <w:rFonts w:ascii="Verdana" w:hAnsi="Verdana"/>
          <w:sz w:val="20"/>
          <w:szCs w:val="20"/>
        </w:rPr>
        <w:t>; and SDG 10 Reduced Inequality</w:t>
      </w:r>
      <w:r w:rsidR="4534D7E3" w:rsidRPr="003E2544">
        <w:rPr>
          <w:rFonts w:ascii="Verdana" w:hAnsi="Verdana"/>
          <w:sz w:val="20"/>
          <w:szCs w:val="20"/>
        </w:rPr>
        <w:t xml:space="preserve">. </w:t>
      </w:r>
    </w:p>
    <w:p w14:paraId="2D12D168" w14:textId="2E6FF252" w:rsidR="008B2995" w:rsidRPr="003E2544" w:rsidRDefault="008B2995" w:rsidP="00245274">
      <w:pPr>
        <w:spacing w:line="240" w:lineRule="auto"/>
        <w:jc w:val="both"/>
        <w:rPr>
          <w:rFonts w:ascii="Verdana" w:hAnsi="Verdana"/>
          <w:sz w:val="20"/>
          <w:szCs w:val="20"/>
        </w:rPr>
      </w:pPr>
    </w:p>
    <w:p w14:paraId="5FAE4E15" w14:textId="20B75041" w:rsidR="004E1FD0" w:rsidRPr="003E2544" w:rsidRDefault="004E1FD0" w:rsidP="00245274">
      <w:pPr>
        <w:spacing w:line="240" w:lineRule="auto"/>
        <w:jc w:val="both"/>
        <w:rPr>
          <w:rFonts w:ascii="Verdana" w:hAnsi="Verdana"/>
          <w:sz w:val="20"/>
          <w:szCs w:val="20"/>
        </w:rPr>
      </w:pPr>
    </w:p>
    <w:p w14:paraId="0C2F563C" w14:textId="18DCDE0A" w:rsidR="00272BF8" w:rsidRPr="003E2544" w:rsidRDefault="00272BF8" w:rsidP="00245274">
      <w:pPr>
        <w:spacing w:line="240" w:lineRule="auto"/>
        <w:rPr>
          <w:rFonts w:ascii="Verdana" w:eastAsia="Times New Roman" w:hAnsi="Verdana" w:cs="Times New Roman"/>
          <w:i/>
          <w:color w:val="C45911" w:themeColor="accent2" w:themeShade="BF"/>
          <w:sz w:val="20"/>
          <w:szCs w:val="20"/>
          <w:lang w:eastAsia="en-GB"/>
        </w:rPr>
      </w:pPr>
      <w:r w:rsidRPr="003E2544">
        <w:rPr>
          <w:rFonts w:ascii="Verdana" w:eastAsia="Times New Roman" w:hAnsi="Verdana" w:cs="Times New Roman"/>
          <w:b/>
          <w:bCs/>
          <w:color w:val="000000" w:themeColor="text1"/>
          <w:sz w:val="20"/>
          <w:szCs w:val="20"/>
          <w:lang w:eastAsia="en-GB"/>
        </w:rPr>
        <w:t xml:space="preserve">10. Keywords: </w:t>
      </w:r>
    </w:p>
    <w:p w14:paraId="245097CF" w14:textId="45C2DCDE" w:rsidR="000E5F37" w:rsidRPr="003E2544" w:rsidRDefault="000E5F37" w:rsidP="00245274">
      <w:pPr>
        <w:pStyle w:val="ListParagraph"/>
        <w:numPr>
          <w:ilvl w:val="0"/>
          <w:numId w:val="16"/>
        </w:numPr>
        <w:spacing w:line="240" w:lineRule="auto"/>
        <w:rPr>
          <w:rFonts w:ascii="Verdana" w:hAnsi="Verdana"/>
          <w:sz w:val="20"/>
          <w:szCs w:val="20"/>
          <w:lang w:val="en-US"/>
        </w:rPr>
      </w:pPr>
      <w:r w:rsidRPr="003E2544">
        <w:rPr>
          <w:rFonts w:ascii="Verdana" w:hAnsi="Verdana"/>
          <w:sz w:val="20"/>
          <w:szCs w:val="20"/>
          <w:lang w:val="en-US"/>
        </w:rPr>
        <w:t>PFM (Public Financial Management)</w:t>
      </w:r>
    </w:p>
    <w:p w14:paraId="3BECFDBC" w14:textId="72B08355" w:rsidR="006315D2" w:rsidRPr="003E2544" w:rsidRDefault="006315D2" w:rsidP="00245274">
      <w:pPr>
        <w:pStyle w:val="ListParagraph"/>
        <w:numPr>
          <w:ilvl w:val="0"/>
          <w:numId w:val="16"/>
        </w:numPr>
        <w:spacing w:line="240" w:lineRule="auto"/>
        <w:rPr>
          <w:rFonts w:ascii="Verdana" w:hAnsi="Verdana"/>
          <w:sz w:val="20"/>
          <w:szCs w:val="20"/>
          <w:lang w:val="en-US"/>
        </w:rPr>
      </w:pPr>
      <w:r w:rsidRPr="003E2544">
        <w:rPr>
          <w:rFonts w:ascii="Verdana" w:hAnsi="Verdana"/>
          <w:sz w:val="20"/>
          <w:szCs w:val="20"/>
          <w:lang w:val="en-US"/>
        </w:rPr>
        <w:t>SDGs aligned NDS 202</w:t>
      </w:r>
      <w:r w:rsidR="000F632D" w:rsidRPr="003E2544">
        <w:rPr>
          <w:rFonts w:ascii="Verdana" w:hAnsi="Verdana"/>
          <w:sz w:val="20"/>
          <w:szCs w:val="20"/>
          <w:lang w:val="en-US"/>
        </w:rPr>
        <w:t>2</w:t>
      </w:r>
      <w:r w:rsidR="00141066" w:rsidRPr="003E2544">
        <w:rPr>
          <w:rFonts w:ascii="Verdana" w:hAnsi="Verdana"/>
          <w:sz w:val="20"/>
          <w:szCs w:val="20"/>
          <w:lang w:val="en-US"/>
        </w:rPr>
        <w:t>–</w:t>
      </w:r>
      <w:r w:rsidR="000F632D" w:rsidRPr="003E2544">
        <w:rPr>
          <w:rFonts w:ascii="Verdana" w:hAnsi="Verdana"/>
          <w:sz w:val="20"/>
          <w:szCs w:val="20"/>
          <w:lang w:val="en-US"/>
        </w:rPr>
        <w:t>2024</w:t>
      </w:r>
      <w:r w:rsidR="6E051EE8" w:rsidRPr="003E2544">
        <w:rPr>
          <w:rFonts w:ascii="Verdana" w:hAnsi="Verdana"/>
          <w:sz w:val="20"/>
          <w:szCs w:val="20"/>
          <w:lang w:val="en-US"/>
        </w:rPr>
        <w:t>,</w:t>
      </w:r>
      <w:r w:rsidR="000F632D" w:rsidRPr="003E2544">
        <w:rPr>
          <w:rFonts w:ascii="Verdana" w:hAnsi="Verdana"/>
          <w:sz w:val="20"/>
          <w:szCs w:val="20"/>
          <w:lang w:val="en-US"/>
        </w:rPr>
        <w:t xml:space="preserve"> with the first ever INFF for South Sudan </w:t>
      </w:r>
    </w:p>
    <w:p w14:paraId="11A77214" w14:textId="49437504" w:rsidR="00DD0936" w:rsidRPr="003E2544" w:rsidRDefault="00DD0936" w:rsidP="00245274">
      <w:pPr>
        <w:pStyle w:val="ListParagraph"/>
        <w:numPr>
          <w:ilvl w:val="0"/>
          <w:numId w:val="16"/>
        </w:numPr>
        <w:spacing w:line="240" w:lineRule="auto"/>
        <w:rPr>
          <w:rFonts w:ascii="Verdana" w:hAnsi="Verdana"/>
          <w:sz w:val="20"/>
          <w:szCs w:val="20"/>
          <w:lang w:val="en-US"/>
        </w:rPr>
      </w:pPr>
      <w:r w:rsidRPr="003E2544">
        <w:rPr>
          <w:rFonts w:ascii="Verdana" w:hAnsi="Verdana"/>
          <w:sz w:val="20"/>
          <w:szCs w:val="20"/>
          <w:lang w:val="en-US"/>
        </w:rPr>
        <w:t>SDGs and NDS aligned State Development Strategy and Sector Plan</w:t>
      </w:r>
    </w:p>
    <w:p w14:paraId="5FA002EB" w14:textId="7A184F4F" w:rsidR="00DD0936" w:rsidRPr="003E2544" w:rsidRDefault="00DD0936" w:rsidP="00245274">
      <w:pPr>
        <w:pStyle w:val="ListParagraph"/>
        <w:numPr>
          <w:ilvl w:val="0"/>
          <w:numId w:val="16"/>
        </w:numPr>
        <w:spacing w:line="240" w:lineRule="auto"/>
        <w:rPr>
          <w:rFonts w:ascii="Verdana" w:hAnsi="Verdana"/>
          <w:sz w:val="20"/>
          <w:szCs w:val="20"/>
          <w:lang w:val="en-US"/>
        </w:rPr>
      </w:pPr>
      <w:r w:rsidRPr="003E2544">
        <w:rPr>
          <w:rFonts w:ascii="Verdana" w:hAnsi="Verdana"/>
          <w:sz w:val="20"/>
          <w:szCs w:val="20"/>
          <w:lang w:val="en-US"/>
        </w:rPr>
        <w:t>Aid Coordination</w:t>
      </w:r>
    </w:p>
    <w:p w14:paraId="726AA497" w14:textId="27890133" w:rsidR="000E5F37" w:rsidRPr="003E2544" w:rsidRDefault="000E5F37" w:rsidP="00245274">
      <w:pPr>
        <w:pStyle w:val="ListParagraph"/>
        <w:numPr>
          <w:ilvl w:val="0"/>
          <w:numId w:val="16"/>
        </w:numPr>
        <w:spacing w:line="240" w:lineRule="auto"/>
        <w:rPr>
          <w:rFonts w:ascii="Verdana" w:hAnsi="Verdana"/>
          <w:sz w:val="20"/>
          <w:szCs w:val="20"/>
          <w:lang w:val="en-US"/>
        </w:rPr>
      </w:pPr>
      <w:r w:rsidRPr="003E2544">
        <w:rPr>
          <w:rFonts w:ascii="Verdana" w:hAnsi="Verdana"/>
          <w:sz w:val="20"/>
          <w:szCs w:val="20"/>
          <w:lang w:val="en-US"/>
        </w:rPr>
        <w:t xml:space="preserve">Transparency </w:t>
      </w:r>
      <w:r w:rsidR="00C64B72" w:rsidRPr="003E2544">
        <w:rPr>
          <w:rFonts w:ascii="Verdana" w:hAnsi="Verdana"/>
          <w:sz w:val="20"/>
          <w:szCs w:val="20"/>
          <w:lang w:val="en-US"/>
        </w:rPr>
        <w:t xml:space="preserve">and </w:t>
      </w:r>
      <w:r w:rsidRPr="003E2544">
        <w:rPr>
          <w:rFonts w:ascii="Verdana" w:hAnsi="Verdana"/>
          <w:sz w:val="20"/>
          <w:szCs w:val="20"/>
          <w:lang w:val="en-US"/>
        </w:rPr>
        <w:t>Accountability</w:t>
      </w:r>
    </w:p>
    <w:p w14:paraId="0F0BF9C4" w14:textId="77777777" w:rsidR="00272BF8" w:rsidRPr="003E2544" w:rsidRDefault="00272BF8" w:rsidP="00245274">
      <w:pPr>
        <w:spacing w:line="240" w:lineRule="auto"/>
        <w:rPr>
          <w:rFonts w:ascii="Verdana" w:eastAsia="Times New Roman" w:hAnsi="Verdana" w:cs="Times New Roman"/>
          <w:b/>
          <w:bCs/>
          <w:color w:val="000000" w:themeColor="text1"/>
          <w:sz w:val="20"/>
          <w:szCs w:val="20"/>
          <w:lang w:eastAsia="en-GB"/>
        </w:rPr>
      </w:pPr>
    </w:p>
    <w:p w14:paraId="59798FFF" w14:textId="18541749" w:rsidR="00272BF8" w:rsidRPr="003E2544" w:rsidRDefault="00272BF8" w:rsidP="00245274">
      <w:pPr>
        <w:spacing w:line="240" w:lineRule="auto"/>
        <w:contextualSpacing/>
        <w:rPr>
          <w:rFonts w:ascii="Verdana" w:eastAsia="Times New Roman" w:hAnsi="Verdana" w:cs="Times New Roman"/>
          <w:b/>
          <w:bCs/>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 xml:space="preserve">11. Overview of budget </w:t>
      </w:r>
    </w:p>
    <w:tbl>
      <w:tblPr>
        <w:tblStyle w:val="TableGrid"/>
        <w:tblW w:w="7375" w:type="dxa"/>
        <w:tblLook w:val="04A0" w:firstRow="1" w:lastRow="0" w:firstColumn="1" w:lastColumn="0" w:noHBand="0" w:noVBand="1"/>
      </w:tblPr>
      <w:tblGrid>
        <w:gridCol w:w="4675"/>
        <w:gridCol w:w="2700"/>
      </w:tblGrid>
      <w:tr w:rsidR="00272BF8" w:rsidRPr="003E2544" w14:paraId="0EA077B7" w14:textId="77777777" w:rsidTr="77AAF325">
        <w:tc>
          <w:tcPr>
            <w:tcW w:w="4675" w:type="dxa"/>
          </w:tcPr>
          <w:p w14:paraId="40C5745B" w14:textId="77777777" w:rsidR="00272BF8" w:rsidRPr="003E2544" w:rsidRDefault="00272BF8" w:rsidP="00245274">
            <w:pPr>
              <w:spacing w:line="240" w:lineRule="auto"/>
              <w:contextualSpacing/>
              <w:rPr>
                <w:rFonts w:ascii="Verdana" w:eastAsia="Times New Roman" w:hAnsi="Verdana" w:cs="Times New Roman"/>
                <w:b/>
                <w:bCs/>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 xml:space="preserve">Joint SDG Fund contribution </w:t>
            </w:r>
          </w:p>
        </w:tc>
        <w:tc>
          <w:tcPr>
            <w:tcW w:w="2700" w:type="dxa"/>
            <w:vAlign w:val="center"/>
          </w:tcPr>
          <w:p w14:paraId="720D9881" w14:textId="1E87F6B2" w:rsidR="00272BF8" w:rsidRPr="003E2544" w:rsidRDefault="00272BF8" w:rsidP="00245274">
            <w:pPr>
              <w:spacing w:line="240" w:lineRule="auto"/>
              <w:contextualSpacing/>
              <w:jc w:val="right"/>
              <w:rPr>
                <w:rFonts w:ascii="Verdana" w:eastAsia="Times New Roman" w:hAnsi="Verdana" w:cs="Times New Roman"/>
                <w:color w:val="000000" w:themeColor="text1"/>
                <w:sz w:val="18"/>
                <w:szCs w:val="20"/>
                <w:lang w:eastAsia="en-GB"/>
              </w:rPr>
            </w:pPr>
            <w:r w:rsidRPr="003E2544">
              <w:rPr>
                <w:rFonts w:ascii="Verdana" w:eastAsia="Times New Roman" w:hAnsi="Verdana" w:cs="Times New Roman"/>
                <w:b/>
                <w:color w:val="000000" w:themeColor="text1"/>
                <w:sz w:val="18"/>
                <w:szCs w:val="20"/>
                <w:lang w:eastAsia="en-GB"/>
              </w:rPr>
              <w:t xml:space="preserve">USD </w:t>
            </w:r>
            <w:r w:rsidR="004B3E39" w:rsidRPr="003E2544">
              <w:rPr>
                <w:rFonts w:ascii="Verdana" w:eastAsia="Times New Roman" w:hAnsi="Verdana" w:cs="Times New Roman"/>
                <w:b/>
                <w:color w:val="000000" w:themeColor="text1"/>
                <w:sz w:val="18"/>
                <w:szCs w:val="20"/>
                <w:lang w:eastAsia="en-GB"/>
              </w:rPr>
              <w:t>1</w:t>
            </w:r>
            <w:r w:rsidRPr="003E2544">
              <w:rPr>
                <w:rFonts w:ascii="Verdana" w:eastAsia="Times New Roman" w:hAnsi="Verdana" w:cs="Times New Roman"/>
                <w:b/>
                <w:color w:val="000000" w:themeColor="text1"/>
                <w:sz w:val="18"/>
                <w:szCs w:val="20"/>
                <w:lang w:eastAsia="en-GB"/>
              </w:rPr>
              <w:t>,</w:t>
            </w:r>
            <w:r w:rsidR="004B3E39" w:rsidRPr="003E2544">
              <w:rPr>
                <w:rFonts w:ascii="Verdana" w:eastAsia="Times New Roman" w:hAnsi="Verdana" w:cs="Times New Roman"/>
                <w:b/>
                <w:color w:val="000000" w:themeColor="text1"/>
                <w:sz w:val="18"/>
                <w:szCs w:val="20"/>
                <w:lang w:eastAsia="en-GB"/>
              </w:rPr>
              <w:t>000,000</w:t>
            </w:r>
            <w:r w:rsidRPr="003E2544">
              <w:rPr>
                <w:rFonts w:ascii="Verdana" w:eastAsia="Times New Roman" w:hAnsi="Verdana" w:cs="Times New Roman"/>
                <w:b/>
                <w:color w:val="000000" w:themeColor="text1"/>
                <w:sz w:val="18"/>
                <w:szCs w:val="20"/>
                <w:lang w:eastAsia="en-GB"/>
              </w:rPr>
              <w:t>.00</w:t>
            </w:r>
          </w:p>
        </w:tc>
      </w:tr>
      <w:tr w:rsidR="001A5EE6" w:rsidRPr="003E2544" w14:paraId="4F1FCEED" w14:textId="77777777" w:rsidTr="77AAF325">
        <w:tc>
          <w:tcPr>
            <w:tcW w:w="4675" w:type="dxa"/>
          </w:tcPr>
          <w:p w14:paraId="3D1D5BDB" w14:textId="349C55A3" w:rsidR="001A5EE6" w:rsidRPr="003E2544" w:rsidRDefault="001A5EE6" w:rsidP="00245274">
            <w:pPr>
              <w:spacing w:line="240" w:lineRule="auto"/>
              <w:contextualSpacing/>
              <w:rPr>
                <w:rFonts w:ascii="Verdana" w:eastAsia="Times New Roman" w:hAnsi="Verdana" w:cs="Times New Roman"/>
                <w:color w:val="000000" w:themeColor="text1"/>
                <w:sz w:val="20"/>
                <w:szCs w:val="20"/>
                <w:lang w:eastAsia="en-GB"/>
              </w:rPr>
            </w:pPr>
            <w:r w:rsidRPr="003E2544">
              <w:rPr>
                <w:rFonts w:ascii="Verdana" w:eastAsia="Times New Roman" w:hAnsi="Verdana" w:cs="Times New Roman"/>
                <w:color w:val="000000" w:themeColor="text1"/>
                <w:sz w:val="20"/>
                <w:szCs w:val="20"/>
                <w:lang w:eastAsia="en-GB"/>
              </w:rPr>
              <w:t>Co-funding UNDP and UNICEF South Sudan</w:t>
            </w:r>
          </w:p>
        </w:tc>
        <w:tc>
          <w:tcPr>
            <w:tcW w:w="2700" w:type="dxa"/>
            <w:vAlign w:val="center"/>
          </w:tcPr>
          <w:p w14:paraId="2A59B920" w14:textId="130AAD45" w:rsidR="001A5EE6" w:rsidRPr="003E2544" w:rsidRDefault="75E64B55" w:rsidP="00245274">
            <w:pPr>
              <w:spacing w:line="240" w:lineRule="auto"/>
              <w:contextualSpacing/>
              <w:jc w:val="right"/>
              <w:rPr>
                <w:rFonts w:ascii="Verdana" w:eastAsia="Times New Roman" w:hAnsi="Verdana" w:cs="Times New Roman"/>
                <w:color w:val="000000" w:themeColor="text1"/>
                <w:sz w:val="18"/>
                <w:szCs w:val="18"/>
                <w:lang w:eastAsia="en-GB"/>
              </w:rPr>
            </w:pPr>
            <w:r w:rsidRPr="003E2544">
              <w:rPr>
                <w:rFonts w:ascii="Verdana" w:eastAsia="Times New Roman" w:hAnsi="Verdana" w:cs="Times New Roman"/>
                <w:color w:val="000000" w:themeColor="text1"/>
                <w:sz w:val="18"/>
                <w:szCs w:val="18"/>
                <w:lang w:eastAsia="en-GB"/>
              </w:rPr>
              <w:t>USD 1,123,051.00</w:t>
            </w:r>
          </w:p>
        </w:tc>
      </w:tr>
      <w:tr w:rsidR="001A5EE6" w:rsidRPr="003E2544" w14:paraId="6CA638B2" w14:textId="77777777" w:rsidTr="77AAF325">
        <w:tc>
          <w:tcPr>
            <w:tcW w:w="4675" w:type="dxa"/>
          </w:tcPr>
          <w:p w14:paraId="12522CD2" w14:textId="77777777" w:rsidR="001A5EE6" w:rsidRPr="003E2544" w:rsidRDefault="001A5EE6" w:rsidP="00245274">
            <w:pPr>
              <w:spacing w:line="240" w:lineRule="auto"/>
              <w:contextualSpacing/>
              <w:rPr>
                <w:rFonts w:ascii="Verdana" w:eastAsia="Times New Roman" w:hAnsi="Verdana" w:cs="Times New Roman"/>
                <w:b/>
                <w:color w:val="000000" w:themeColor="text1"/>
                <w:sz w:val="20"/>
                <w:szCs w:val="20"/>
                <w:lang w:eastAsia="en-GB"/>
              </w:rPr>
            </w:pPr>
            <w:r w:rsidRPr="003E2544">
              <w:rPr>
                <w:rFonts w:ascii="Verdana" w:eastAsia="Times New Roman" w:hAnsi="Verdana" w:cs="Times New Roman"/>
                <w:b/>
                <w:color w:val="000000" w:themeColor="text1"/>
                <w:sz w:val="20"/>
                <w:szCs w:val="20"/>
                <w:lang w:eastAsia="en-GB"/>
              </w:rPr>
              <w:t xml:space="preserve">TOTAL </w:t>
            </w:r>
          </w:p>
        </w:tc>
        <w:tc>
          <w:tcPr>
            <w:tcW w:w="2700" w:type="dxa"/>
            <w:vAlign w:val="center"/>
          </w:tcPr>
          <w:p w14:paraId="758E3C24" w14:textId="40DF7A2D" w:rsidR="001A5EE6" w:rsidRPr="003E2544" w:rsidRDefault="75E64B55" w:rsidP="00245274">
            <w:pPr>
              <w:spacing w:line="240" w:lineRule="auto"/>
              <w:contextualSpacing/>
              <w:jc w:val="right"/>
              <w:rPr>
                <w:rFonts w:ascii="Verdana" w:eastAsia="Times New Roman" w:hAnsi="Verdana" w:cs="Times New Roman"/>
                <w:b/>
                <w:bCs/>
                <w:color w:val="000000" w:themeColor="text1"/>
                <w:sz w:val="18"/>
                <w:szCs w:val="18"/>
                <w:lang w:eastAsia="en-GB"/>
              </w:rPr>
            </w:pPr>
            <w:r w:rsidRPr="003E2544">
              <w:rPr>
                <w:rFonts w:ascii="Verdana" w:eastAsia="Times New Roman" w:hAnsi="Verdana" w:cs="Times New Roman"/>
                <w:b/>
                <w:bCs/>
                <w:color w:val="000000" w:themeColor="text1"/>
                <w:sz w:val="18"/>
                <w:szCs w:val="18"/>
                <w:lang w:eastAsia="en-GB"/>
              </w:rPr>
              <w:t>USD 2,123,051.00</w:t>
            </w:r>
          </w:p>
        </w:tc>
      </w:tr>
    </w:tbl>
    <w:p w14:paraId="3FD9FC2D" w14:textId="77777777" w:rsidR="00272BF8" w:rsidRPr="003E2544" w:rsidRDefault="00272BF8" w:rsidP="00245274">
      <w:pPr>
        <w:spacing w:line="240" w:lineRule="auto"/>
        <w:contextualSpacing/>
        <w:rPr>
          <w:rFonts w:ascii="Verdana" w:eastAsia="Times New Roman" w:hAnsi="Verdana" w:cs="Times New Roman"/>
          <w:color w:val="000000" w:themeColor="text1"/>
          <w:sz w:val="20"/>
          <w:szCs w:val="20"/>
          <w:lang w:eastAsia="en-GB"/>
        </w:rPr>
      </w:pPr>
    </w:p>
    <w:p w14:paraId="28AC1966" w14:textId="77777777" w:rsidR="00272BF8" w:rsidRPr="003E2544" w:rsidRDefault="00272BF8" w:rsidP="00245274">
      <w:pPr>
        <w:spacing w:line="240" w:lineRule="auto"/>
        <w:contextualSpacing/>
        <w:rPr>
          <w:rFonts w:ascii="Verdana" w:eastAsia="Times New Roman" w:hAnsi="Verdana" w:cs="Times New Roman"/>
          <w:b/>
          <w:bCs/>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 xml:space="preserve">12. Timeframe: </w:t>
      </w:r>
    </w:p>
    <w:tbl>
      <w:tblPr>
        <w:tblStyle w:val="TableGrid"/>
        <w:tblW w:w="5935" w:type="dxa"/>
        <w:tblLook w:val="04A0" w:firstRow="1" w:lastRow="0" w:firstColumn="1" w:lastColumn="0" w:noHBand="0" w:noVBand="1"/>
      </w:tblPr>
      <w:tblGrid>
        <w:gridCol w:w="1885"/>
        <w:gridCol w:w="1710"/>
        <w:gridCol w:w="2340"/>
      </w:tblGrid>
      <w:tr w:rsidR="00272BF8" w:rsidRPr="003E2544" w14:paraId="7AF6E49E" w14:textId="77777777" w:rsidTr="229E78B5">
        <w:tc>
          <w:tcPr>
            <w:tcW w:w="1885" w:type="dxa"/>
          </w:tcPr>
          <w:p w14:paraId="6D5729BB" w14:textId="77777777" w:rsidR="00272BF8" w:rsidRPr="003E2544" w:rsidRDefault="00272BF8" w:rsidP="00245274">
            <w:pPr>
              <w:spacing w:line="240" w:lineRule="auto"/>
              <w:contextualSpacing/>
              <w:rPr>
                <w:rFonts w:ascii="Verdana" w:eastAsia="Times New Roman" w:hAnsi="Verdana" w:cs="Times New Roman"/>
                <w:b/>
                <w:bCs/>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Start date</w:t>
            </w:r>
          </w:p>
        </w:tc>
        <w:tc>
          <w:tcPr>
            <w:tcW w:w="1710" w:type="dxa"/>
          </w:tcPr>
          <w:p w14:paraId="43E8D64E" w14:textId="77777777" w:rsidR="00272BF8" w:rsidRPr="003E2544" w:rsidRDefault="00272BF8" w:rsidP="00245274">
            <w:pPr>
              <w:spacing w:line="240" w:lineRule="auto"/>
              <w:contextualSpacing/>
              <w:rPr>
                <w:rFonts w:ascii="Verdana" w:eastAsia="Times New Roman" w:hAnsi="Verdana" w:cs="Times New Roman"/>
                <w:b/>
                <w:bCs/>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End date</w:t>
            </w:r>
          </w:p>
        </w:tc>
        <w:tc>
          <w:tcPr>
            <w:tcW w:w="2340" w:type="dxa"/>
          </w:tcPr>
          <w:p w14:paraId="5672536A" w14:textId="77777777" w:rsidR="00272BF8" w:rsidRPr="003E2544" w:rsidRDefault="00272BF8" w:rsidP="00245274">
            <w:pPr>
              <w:spacing w:line="240" w:lineRule="auto"/>
              <w:contextualSpacing/>
              <w:rPr>
                <w:rFonts w:ascii="Verdana" w:eastAsia="Times New Roman" w:hAnsi="Verdana" w:cs="Times New Roman"/>
                <w:b/>
                <w:bCs/>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 xml:space="preserve">Duration </w:t>
            </w:r>
            <w:r w:rsidRPr="003E2544">
              <w:rPr>
                <w:rFonts w:ascii="Verdana" w:eastAsia="Times New Roman" w:hAnsi="Verdana" w:cs="Times New Roman"/>
                <w:color w:val="000000" w:themeColor="text1"/>
                <w:sz w:val="18"/>
                <w:szCs w:val="18"/>
                <w:lang w:eastAsia="en-GB"/>
              </w:rPr>
              <w:t>(in months)</w:t>
            </w:r>
          </w:p>
        </w:tc>
      </w:tr>
      <w:tr w:rsidR="00272BF8" w:rsidRPr="003E2544" w14:paraId="27F45065" w14:textId="77777777" w:rsidTr="229E78B5">
        <w:tc>
          <w:tcPr>
            <w:tcW w:w="1885" w:type="dxa"/>
          </w:tcPr>
          <w:p w14:paraId="6CAD7CCE" w14:textId="2E3DDC41" w:rsidR="00272BF8" w:rsidRPr="003E2544" w:rsidRDefault="00FC2849" w:rsidP="00245274">
            <w:pPr>
              <w:spacing w:line="240" w:lineRule="auto"/>
              <w:contextualSpacing/>
              <w:rPr>
                <w:rFonts w:ascii="Verdana" w:eastAsia="Times New Roman" w:hAnsi="Verdana" w:cs="Times New Roman"/>
                <w:color w:val="000000" w:themeColor="text1"/>
                <w:sz w:val="20"/>
                <w:szCs w:val="20"/>
                <w:u w:val="single"/>
                <w:lang w:eastAsia="en-GB"/>
              </w:rPr>
            </w:pPr>
            <w:r w:rsidRPr="003E2544">
              <w:rPr>
                <w:rFonts w:ascii="Verdana" w:eastAsia="Times New Roman" w:hAnsi="Verdana" w:cs="Times New Roman"/>
                <w:color w:val="000000" w:themeColor="text1"/>
                <w:sz w:val="20"/>
                <w:szCs w:val="20"/>
                <w:u w:val="single"/>
                <w:lang w:eastAsia="en-GB"/>
              </w:rPr>
              <w:t>1</w:t>
            </w:r>
            <w:r w:rsidRPr="003E2544">
              <w:rPr>
                <w:rFonts w:ascii="Verdana" w:eastAsia="Times New Roman" w:hAnsi="Verdana" w:cs="Times New Roman"/>
                <w:color w:val="000000" w:themeColor="text1"/>
                <w:sz w:val="20"/>
                <w:szCs w:val="20"/>
                <w:u w:val="single"/>
                <w:vertAlign w:val="superscript"/>
                <w:lang w:eastAsia="en-GB"/>
              </w:rPr>
              <w:t>st</w:t>
            </w:r>
            <w:r w:rsidRPr="003E2544">
              <w:rPr>
                <w:rFonts w:ascii="Verdana" w:eastAsia="Times New Roman" w:hAnsi="Verdana" w:cs="Times New Roman"/>
                <w:color w:val="000000" w:themeColor="text1"/>
                <w:sz w:val="20"/>
                <w:szCs w:val="20"/>
                <w:u w:val="single"/>
                <w:lang w:eastAsia="en-GB"/>
              </w:rPr>
              <w:t xml:space="preserve"> June 2020</w:t>
            </w:r>
          </w:p>
        </w:tc>
        <w:tc>
          <w:tcPr>
            <w:tcW w:w="1710" w:type="dxa"/>
          </w:tcPr>
          <w:p w14:paraId="5699CAF8" w14:textId="0E7F1A1C" w:rsidR="00272BF8" w:rsidRPr="003E2544" w:rsidRDefault="46D86EB8" w:rsidP="00245274">
            <w:pPr>
              <w:spacing w:line="240" w:lineRule="auto"/>
              <w:contextualSpacing/>
              <w:rPr>
                <w:rFonts w:ascii="Verdana" w:eastAsia="Times New Roman" w:hAnsi="Verdana" w:cs="Times New Roman"/>
                <w:color w:val="000000" w:themeColor="text1"/>
                <w:sz w:val="20"/>
                <w:szCs w:val="20"/>
                <w:u w:val="single"/>
                <w:lang w:eastAsia="en-GB"/>
              </w:rPr>
            </w:pPr>
            <w:r w:rsidRPr="003E2544">
              <w:rPr>
                <w:rFonts w:ascii="Verdana" w:eastAsia="Times New Roman" w:hAnsi="Verdana" w:cs="Times New Roman"/>
                <w:color w:val="000000" w:themeColor="text1"/>
                <w:sz w:val="20"/>
                <w:szCs w:val="20"/>
                <w:u w:val="single"/>
                <w:lang w:eastAsia="en-GB"/>
              </w:rPr>
              <w:t>31</w:t>
            </w:r>
            <w:r w:rsidRPr="003E2544">
              <w:rPr>
                <w:rFonts w:ascii="Verdana" w:eastAsia="Times New Roman" w:hAnsi="Verdana" w:cs="Times New Roman"/>
                <w:color w:val="000000" w:themeColor="text1"/>
                <w:sz w:val="20"/>
                <w:szCs w:val="20"/>
                <w:u w:val="single"/>
                <w:vertAlign w:val="superscript"/>
                <w:lang w:eastAsia="en-GB"/>
              </w:rPr>
              <w:t>st</w:t>
            </w:r>
            <w:r w:rsidRPr="003E2544">
              <w:rPr>
                <w:rFonts w:ascii="Verdana" w:eastAsia="Times New Roman" w:hAnsi="Verdana" w:cs="Times New Roman"/>
                <w:color w:val="000000" w:themeColor="text1"/>
                <w:sz w:val="20"/>
                <w:szCs w:val="20"/>
                <w:u w:val="single"/>
                <w:lang w:eastAsia="en-GB"/>
              </w:rPr>
              <w:t xml:space="preserve"> May 202</w:t>
            </w:r>
            <w:r w:rsidR="6FED517A" w:rsidRPr="003E2544">
              <w:rPr>
                <w:rFonts w:ascii="Verdana" w:eastAsia="Times New Roman" w:hAnsi="Verdana" w:cs="Times New Roman"/>
                <w:color w:val="000000" w:themeColor="text1"/>
                <w:sz w:val="20"/>
                <w:szCs w:val="20"/>
                <w:u w:val="single"/>
                <w:lang w:eastAsia="en-GB"/>
              </w:rPr>
              <w:t>2</w:t>
            </w:r>
          </w:p>
        </w:tc>
        <w:tc>
          <w:tcPr>
            <w:tcW w:w="2340" w:type="dxa"/>
          </w:tcPr>
          <w:p w14:paraId="650C67BB" w14:textId="4B72B37A" w:rsidR="00272BF8" w:rsidRPr="003E2544" w:rsidRDefault="0CC727F9" w:rsidP="00245274">
            <w:pPr>
              <w:spacing w:line="240" w:lineRule="auto"/>
              <w:contextualSpacing/>
              <w:rPr>
                <w:rFonts w:ascii="Verdana" w:eastAsia="Times New Roman" w:hAnsi="Verdana" w:cs="Times New Roman"/>
                <w:color w:val="000000" w:themeColor="text1"/>
                <w:sz w:val="20"/>
                <w:szCs w:val="20"/>
                <w:u w:val="single"/>
                <w:lang w:eastAsia="en-GB"/>
              </w:rPr>
            </w:pPr>
            <w:r w:rsidRPr="003E2544">
              <w:rPr>
                <w:rFonts w:ascii="Verdana" w:eastAsia="Times New Roman" w:hAnsi="Verdana" w:cs="Times New Roman"/>
                <w:color w:val="000000" w:themeColor="text1"/>
                <w:sz w:val="20"/>
                <w:szCs w:val="20"/>
                <w:u w:val="single"/>
                <w:lang w:eastAsia="en-GB"/>
              </w:rPr>
              <w:t>24 months</w:t>
            </w:r>
          </w:p>
        </w:tc>
      </w:tr>
    </w:tbl>
    <w:p w14:paraId="62BCF5E6" w14:textId="77777777" w:rsidR="00272BF8" w:rsidRPr="003E2544" w:rsidRDefault="00272BF8" w:rsidP="00245274">
      <w:pPr>
        <w:spacing w:line="240" w:lineRule="auto"/>
        <w:rPr>
          <w:rFonts w:ascii="Verdana" w:eastAsia="Times New Roman" w:hAnsi="Verdana" w:cs="Times New Roman"/>
          <w:color w:val="000000" w:themeColor="text1"/>
          <w:sz w:val="20"/>
          <w:szCs w:val="20"/>
          <w:lang w:eastAsia="en-GB"/>
        </w:rPr>
      </w:pPr>
    </w:p>
    <w:p w14:paraId="06327623" w14:textId="77777777" w:rsidR="00272BF8" w:rsidRPr="00631DB2" w:rsidRDefault="00272BF8" w:rsidP="00245274">
      <w:pPr>
        <w:spacing w:line="240" w:lineRule="auto"/>
        <w:rPr>
          <w:rFonts w:ascii="Verdana" w:eastAsia="Times New Roman" w:hAnsi="Verdana" w:cs="Times New Roman"/>
          <w:color w:val="000000" w:themeColor="text1"/>
          <w:sz w:val="20"/>
          <w:szCs w:val="20"/>
          <w:lang w:val="nb-NO" w:eastAsia="en-GB"/>
        </w:rPr>
      </w:pPr>
      <w:r w:rsidRPr="00631DB2">
        <w:rPr>
          <w:rFonts w:ascii="Verdana" w:eastAsia="Times New Roman" w:hAnsi="Verdana" w:cs="Times New Roman"/>
          <w:b/>
          <w:bCs/>
          <w:color w:val="000000" w:themeColor="text1"/>
          <w:sz w:val="20"/>
          <w:szCs w:val="20"/>
          <w:lang w:val="nb-NO" w:eastAsia="en-GB"/>
        </w:rPr>
        <w:t>13. Gender Marker</w:t>
      </w:r>
      <w:r w:rsidRPr="00631DB2">
        <w:rPr>
          <w:rFonts w:ascii="Verdana" w:eastAsia="Times New Roman" w:hAnsi="Verdana" w:cs="Times New Roman"/>
          <w:color w:val="000000" w:themeColor="text1"/>
          <w:sz w:val="20"/>
          <w:szCs w:val="20"/>
          <w:lang w:val="nb-NO" w:eastAsia="en-GB"/>
        </w:rPr>
        <w:t xml:space="preserve">: </w:t>
      </w:r>
    </w:p>
    <w:p w14:paraId="45BA1D05" w14:textId="78AB41CC" w:rsidR="00272BF8" w:rsidRPr="00631DB2" w:rsidRDefault="003847F2" w:rsidP="00245274">
      <w:pPr>
        <w:spacing w:line="240" w:lineRule="auto"/>
        <w:rPr>
          <w:rFonts w:ascii="Verdana" w:hAnsi="Verdana"/>
          <w:sz w:val="20"/>
          <w:szCs w:val="20"/>
          <w:lang w:val="nb-NO"/>
        </w:rPr>
      </w:pPr>
      <w:r w:rsidRPr="00631DB2">
        <w:rPr>
          <w:rFonts w:ascii="Verdana" w:hAnsi="Verdana"/>
          <w:sz w:val="20"/>
          <w:szCs w:val="20"/>
          <w:lang w:val="nb-NO"/>
        </w:rPr>
        <w:t>Gender marker score 2.</w:t>
      </w:r>
      <w:r w:rsidR="00A24CF3" w:rsidRPr="00631DB2">
        <w:rPr>
          <w:rFonts w:ascii="Verdana" w:hAnsi="Verdana"/>
          <w:sz w:val="20"/>
          <w:szCs w:val="20"/>
          <w:lang w:val="nb-NO"/>
        </w:rPr>
        <w:t>16</w:t>
      </w:r>
      <w:r w:rsidRPr="00631DB2">
        <w:rPr>
          <w:rFonts w:ascii="Verdana" w:hAnsi="Verdana"/>
          <w:sz w:val="20"/>
          <w:szCs w:val="20"/>
          <w:lang w:val="nb-NO"/>
        </w:rPr>
        <w:t xml:space="preserve">. </w:t>
      </w:r>
    </w:p>
    <w:p w14:paraId="5E81E7D5" w14:textId="6EC5F4D9" w:rsidR="00A913B0" w:rsidRPr="003E2544" w:rsidRDefault="00A913B0" w:rsidP="00245274">
      <w:pPr>
        <w:spacing w:line="240" w:lineRule="auto"/>
        <w:rPr>
          <w:rFonts w:ascii="Verdana" w:hAnsi="Verdana"/>
          <w:sz w:val="20"/>
          <w:szCs w:val="20"/>
        </w:rPr>
      </w:pPr>
      <w:r>
        <w:rPr>
          <w:rFonts w:ascii="Verdana" w:hAnsi="Verdana"/>
          <w:sz w:val="20"/>
          <w:szCs w:val="20"/>
        </w:rPr>
        <w:t>See Annex 4.</w:t>
      </w:r>
    </w:p>
    <w:p w14:paraId="29D6E1B3" w14:textId="77777777" w:rsidR="003847F2" w:rsidRPr="003E2544" w:rsidRDefault="003847F2" w:rsidP="00245274">
      <w:pPr>
        <w:spacing w:line="240" w:lineRule="auto"/>
        <w:rPr>
          <w:rFonts w:ascii="Verdana" w:eastAsia="Times New Roman" w:hAnsi="Verdana" w:cs="Times New Roman"/>
          <w:b/>
          <w:color w:val="000000" w:themeColor="text1"/>
          <w:sz w:val="20"/>
          <w:szCs w:val="20"/>
          <w:u w:val="single"/>
          <w:lang w:eastAsia="en-GB"/>
        </w:rPr>
      </w:pPr>
    </w:p>
    <w:p w14:paraId="0FF8304C" w14:textId="0DD97B76" w:rsidR="00272BF8" w:rsidRPr="003E2544" w:rsidRDefault="00272BF8" w:rsidP="00245274">
      <w:pPr>
        <w:spacing w:line="240" w:lineRule="auto"/>
        <w:rPr>
          <w:rFonts w:ascii="Verdana" w:eastAsia="Calibri" w:hAnsi="Verdana" w:cs="Times New Roman"/>
          <w:b/>
          <w:bCs/>
          <w:color w:val="000000" w:themeColor="text1"/>
          <w:sz w:val="20"/>
          <w:szCs w:val="20"/>
        </w:rPr>
      </w:pPr>
      <w:r w:rsidRPr="003E2544">
        <w:rPr>
          <w:rFonts w:ascii="Verdana" w:eastAsia="Times New Roman" w:hAnsi="Verdana" w:cs="Times New Roman"/>
          <w:b/>
          <w:bCs/>
          <w:color w:val="000000" w:themeColor="text1"/>
          <w:sz w:val="20"/>
          <w:szCs w:val="20"/>
          <w:lang w:eastAsia="en-GB"/>
        </w:rPr>
        <w:t>14. Participating UN Organizations (PUNO</w:t>
      </w:r>
      <w:r w:rsidR="008D7B3C">
        <w:rPr>
          <w:rFonts w:ascii="Verdana" w:eastAsia="Times New Roman" w:hAnsi="Verdana" w:cs="Times New Roman"/>
          <w:b/>
          <w:bCs/>
          <w:color w:val="000000" w:themeColor="text1"/>
          <w:sz w:val="20"/>
          <w:szCs w:val="20"/>
          <w:lang w:eastAsia="en-GB"/>
        </w:rPr>
        <w:t>s</w:t>
      </w:r>
      <w:r w:rsidRPr="003E2544">
        <w:rPr>
          <w:rFonts w:ascii="Verdana" w:eastAsia="Times New Roman" w:hAnsi="Verdana" w:cs="Times New Roman"/>
          <w:b/>
          <w:bCs/>
          <w:color w:val="000000" w:themeColor="text1"/>
          <w:sz w:val="20"/>
          <w:szCs w:val="20"/>
          <w:lang w:eastAsia="en-GB"/>
        </w:rPr>
        <w:t xml:space="preserve">) and Partners: </w:t>
      </w:r>
    </w:p>
    <w:p w14:paraId="1AA512E2" w14:textId="77777777" w:rsidR="00272BF8" w:rsidRPr="003E2544" w:rsidRDefault="00272BF8" w:rsidP="00245274">
      <w:pPr>
        <w:spacing w:line="240" w:lineRule="auto"/>
        <w:contextualSpacing/>
        <w:rPr>
          <w:rFonts w:ascii="Verdana" w:eastAsia="Calibri" w:hAnsi="Verdana" w:cs="Times New Roman"/>
          <w:color w:val="000000" w:themeColor="text1"/>
          <w:sz w:val="20"/>
          <w:szCs w:val="20"/>
        </w:rPr>
      </w:pPr>
    </w:p>
    <w:p w14:paraId="49D22DC9" w14:textId="6B621B28" w:rsidR="00272BF8" w:rsidRPr="00975396" w:rsidRDefault="00272BF8" w:rsidP="00647EC0">
      <w:pPr>
        <w:spacing w:line="240" w:lineRule="auto"/>
        <w:ind w:left="270"/>
        <w:contextualSpacing/>
        <w:rPr>
          <w:rFonts w:ascii="Verdana" w:eastAsia="Times New Roman" w:hAnsi="Verdana" w:cs="Times New Roman"/>
          <w:b/>
          <w:bCs/>
          <w:color w:val="000000" w:themeColor="text1"/>
          <w:sz w:val="20"/>
          <w:szCs w:val="20"/>
          <w:lang w:eastAsia="en-GB"/>
        </w:rPr>
      </w:pPr>
      <w:r w:rsidRPr="00975396">
        <w:rPr>
          <w:rFonts w:ascii="Verdana" w:eastAsia="Calibri" w:hAnsi="Verdana" w:cs="Times New Roman"/>
          <w:b/>
          <w:bCs/>
          <w:color w:val="000000" w:themeColor="text1"/>
          <w:sz w:val="20"/>
          <w:szCs w:val="20"/>
        </w:rPr>
        <w:t>14.1 PUNO</w:t>
      </w:r>
      <w:r w:rsidR="008D7B3C" w:rsidRPr="00975396">
        <w:rPr>
          <w:rFonts w:ascii="Verdana" w:eastAsia="Calibri" w:hAnsi="Verdana" w:cs="Times New Roman"/>
          <w:b/>
          <w:bCs/>
          <w:color w:val="000000" w:themeColor="text1"/>
          <w:sz w:val="20"/>
          <w:szCs w:val="20"/>
        </w:rPr>
        <w:t>s</w:t>
      </w:r>
    </w:p>
    <w:p w14:paraId="1F334F03" w14:textId="42CEFE2A" w:rsidR="00272BF8" w:rsidRPr="00345877" w:rsidRDefault="00272BF8" w:rsidP="00245274">
      <w:pPr>
        <w:numPr>
          <w:ilvl w:val="0"/>
          <w:numId w:val="11"/>
        </w:numPr>
        <w:spacing w:after="200" w:line="240" w:lineRule="auto"/>
        <w:contextualSpacing/>
        <w:rPr>
          <w:rFonts w:ascii="Verdana" w:eastAsia="Times New Roman" w:hAnsi="Verdana" w:cs="Times New Roman"/>
          <w:color w:val="000000" w:themeColor="text1"/>
          <w:sz w:val="20"/>
          <w:szCs w:val="20"/>
        </w:rPr>
      </w:pPr>
      <w:r w:rsidRPr="00345877">
        <w:rPr>
          <w:rFonts w:ascii="Verdana" w:eastAsia="Times New Roman" w:hAnsi="Verdana" w:cs="Times New Roman"/>
          <w:color w:val="000000" w:themeColor="text1"/>
          <w:sz w:val="20"/>
          <w:szCs w:val="20"/>
        </w:rPr>
        <w:t>Convening agency:</w:t>
      </w:r>
      <w:r w:rsidR="00096E38" w:rsidRPr="00345877">
        <w:rPr>
          <w:rFonts w:ascii="Verdana" w:eastAsia="Times New Roman" w:hAnsi="Verdana" w:cs="Times New Roman"/>
          <w:color w:val="000000" w:themeColor="text1"/>
          <w:sz w:val="20"/>
          <w:szCs w:val="20"/>
        </w:rPr>
        <w:t xml:space="preserve"> </w:t>
      </w:r>
      <w:bookmarkStart w:id="0" w:name="_Hlk531080684"/>
      <w:r w:rsidR="00345877" w:rsidRPr="00975396">
        <w:rPr>
          <w:rFonts w:ascii="Verdana" w:hAnsi="Verdana"/>
          <w:color w:val="222222"/>
          <w:sz w:val="20"/>
          <w:szCs w:val="20"/>
          <w:shd w:val="clear" w:color="auto" w:fill="FFFFFF"/>
        </w:rPr>
        <w:t>United Nations Development Programme</w:t>
      </w:r>
      <w:bookmarkEnd w:id="0"/>
      <w:r w:rsidR="00345877" w:rsidRPr="00345877">
        <w:rPr>
          <w:rFonts w:ascii="Verdana" w:eastAsia="Times New Roman" w:hAnsi="Verdana" w:cs="Times New Roman"/>
          <w:color w:val="000000" w:themeColor="text1"/>
          <w:sz w:val="20"/>
          <w:szCs w:val="20"/>
        </w:rPr>
        <w:t xml:space="preserve"> (</w:t>
      </w:r>
      <w:r w:rsidR="00096E38" w:rsidRPr="00345877">
        <w:rPr>
          <w:rFonts w:ascii="Verdana" w:eastAsia="Times New Roman" w:hAnsi="Verdana" w:cs="Times New Roman"/>
          <w:color w:val="000000" w:themeColor="text1"/>
          <w:sz w:val="20"/>
          <w:szCs w:val="20"/>
        </w:rPr>
        <w:t>UNDP</w:t>
      </w:r>
      <w:r w:rsidR="00345877" w:rsidRPr="00345877">
        <w:rPr>
          <w:rFonts w:ascii="Verdana" w:eastAsia="Times New Roman" w:hAnsi="Verdana" w:cs="Times New Roman"/>
          <w:color w:val="000000" w:themeColor="text1"/>
          <w:sz w:val="20"/>
          <w:szCs w:val="20"/>
        </w:rPr>
        <w:t>)</w:t>
      </w:r>
      <w:r w:rsidR="003847F2" w:rsidRPr="00345877">
        <w:rPr>
          <w:rFonts w:ascii="Verdana" w:eastAsia="Times New Roman" w:hAnsi="Verdana" w:cs="Times New Roman"/>
          <w:color w:val="000000" w:themeColor="text1"/>
          <w:sz w:val="20"/>
          <w:szCs w:val="20"/>
        </w:rPr>
        <w:t xml:space="preserve"> and </w:t>
      </w:r>
      <w:bookmarkStart w:id="1" w:name="_Hlk529180808"/>
      <w:r w:rsidR="00345877" w:rsidRPr="00975396">
        <w:rPr>
          <w:rFonts w:ascii="Verdana" w:hAnsi="Verdana" w:cstheme="minorHAnsi"/>
          <w:sz w:val="20"/>
          <w:szCs w:val="20"/>
        </w:rPr>
        <w:t>United Nations Children’s Fund</w:t>
      </w:r>
      <w:bookmarkEnd w:id="1"/>
      <w:r w:rsidR="00345877" w:rsidRPr="00345877">
        <w:rPr>
          <w:rFonts w:ascii="Verdana" w:eastAsia="Times New Roman" w:hAnsi="Verdana" w:cs="Times New Roman"/>
          <w:color w:val="000000" w:themeColor="text1"/>
          <w:sz w:val="20"/>
          <w:szCs w:val="20"/>
        </w:rPr>
        <w:t xml:space="preserve"> (</w:t>
      </w:r>
      <w:r w:rsidR="00FD42A1" w:rsidRPr="00345877">
        <w:rPr>
          <w:rFonts w:ascii="Verdana" w:eastAsia="Times New Roman" w:hAnsi="Verdana" w:cs="Times New Roman"/>
          <w:color w:val="000000" w:themeColor="text1"/>
          <w:sz w:val="20"/>
          <w:szCs w:val="20"/>
        </w:rPr>
        <w:t>UNICEF</w:t>
      </w:r>
      <w:r w:rsidR="00345877" w:rsidRPr="00345877">
        <w:rPr>
          <w:rFonts w:ascii="Verdana" w:eastAsia="Times New Roman" w:hAnsi="Verdana" w:cs="Times New Roman"/>
          <w:color w:val="000000" w:themeColor="text1"/>
          <w:sz w:val="20"/>
          <w:szCs w:val="20"/>
        </w:rPr>
        <w:t>)</w:t>
      </w:r>
    </w:p>
    <w:p w14:paraId="0E6AFB83" w14:textId="15927154" w:rsidR="00272BF8" w:rsidRPr="00345877" w:rsidRDefault="00272BF8" w:rsidP="00245274">
      <w:pPr>
        <w:numPr>
          <w:ilvl w:val="0"/>
          <w:numId w:val="11"/>
        </w:numPr>
        <w:spacing w:after="200" w:line="240" w:lineRule="auto"/>
        <w:contextualSpacing/>
        <w:rPr>
          <w:rFonts w:ascii="Verdana" w:eastAsia="Times New Roman" w:hAnsi="Verdana" w:cs="Times New Roman"/>
          <w:color w:val="000000" w:themeColor="text1"/>
          <w:sz w:val="20"/>
          <w:szCs w:val="20"/>
        </w:rPr>
      </w:pPr>
      <w:r w:rsidRPr="00345877">
        <w:rPr>
          <w:rFonts w:ascii="Verdana" w:eastAsia="Times New Roman" w:hAnsi="Verdana" w:cs="Times New Roman"/>
          <w:color w:val="000000" w:themeColor="text1"/>
          <w:sz w:val="20"/>
          <w:szCs w:val="20"/>
        </w:rPr>
        <w:t>Other PUNO</w:t>
      </w:r>
      <w:r w:rsidR="008D7B3C" w:rsidRPr="00345877">
        <w:rPr>
          <w:rFonts w:ascii="Verdana" w:eastAsia="Times New Roman" w:hAnsi="Verdana" w:cs="Times New Roman"/>
          <w:color w:val="000000" w:themeColor="text1"/>
          <w:sz w:val="20"/>
          <w:szCs w:val="20"/>
        </w:rPr>
        <w:t>s</w:t>
      </w:r>
      <w:r w:rsidRPr="00345877">
        <w:rPr>
          <w:rFonts w:ascii="Verdana" w:eastAsia="Times New Roman" w:hAnsi="Verdana" w:cs="Times New Roman"/>
          <w:color w:val="000000" w:themeColor="text1"/>
          <w:sz w:val="20"/>
          <w:szCs w:val="20"/>
        </w:rPr>
        <w:t>:</w:t>
      </w:r>
      <w:r w:rsidR="00096E38" w:rsidRPr="00345877">
        <w:rPr>
          <w:rFonts w:ascii="Verdana" w:eastAsia="Times New Roman" w:hAnsi="Verdana" w:cs="Times New Roman"/>
          <w:color w:val="000000" w:themeColor="text1"/>
          <w:sz w:val="20"/>
          <w:szCs w:val="20"/>
        </w:rPr>
        <w:t xml:space="preserve"> </w:t>
      </w:r>
      <w:r w:rsidR="00345877" w:rsidRPr="00975396">
        <w:rPr>
          <w:rFonts w:ascii="Verdana" w:hAnsi="Verdana" w:cstheme="minorHAnsi"/>
          <w:sz w:val="20"/>
          <w:szCs w:val="20"/>
        </w:rPr>
        <w:t>World Health Organization</w:t>
      </w:r>
      <w:r w:rsidR="00345877" w:rsidRPr="00345877">
        <w:rPr>
          <w:rFonts w:ascii="Verdana" w:eastAsia="Times New Roman" w:hAnsi="Verdana" w:cs="Times New Roman"/>
          <w:color w:val="000000" w:themeColor="text1"/>
          <w:sz w:val="20"/>
          <w:szCs w:val="20"/>
        </w:rPr>
        <w:t xml:space="preserve"> (</w:t>
      </w:r>
      <w:r w:rsidR="00096E38" w:rsidRPr="00345877">
        <w:rPr>
          <w:rFonts w:ascii="Verdana" w:eastAsia="Times New Roman" w:hAnsi="Verdana" w:cs="Times New Roman"/>
          <w:color w:val="000000" w:themeColor="text1"/>
          <w:sz w:val="20"/>
          <w:szCs w:val="20"/>
        </w:rPr>
        <w:t>WHO</w:t>
      </w:r>
      <w:r w:rsidR="00345877" w:rsidRPr="00345877">
        <w:rPr>
          <w:rFonts w:ascii="Verdana" w:eastAsia="Times New Roman" w:hAnsi="Verdana" w:cs="Times New Roman"/>
          <w:color w:val="000000" w:themeColor="text1"/>
          <w:sz w:val="20"/>
          <w:szCs w:val="20"/>
        </w:rPr>
        <w:t>)</w:t>
      </w:r>
      <w:r w:rsidR="00FD42A1" w:rsidRPr="00345877">
        <w:rPr>
          <w:rFonts w:ascii="Verdana" w:eastAsia="Times New Roman" w:hAnsi="Verdana" w:cs="Times New Roman"/>
          <w:color w:val="000000" w:themeColor="text1"/>
          <w:sz w:val="20"/>
          <w:szCs w:val="20"/>
        </w:rPr>
        <w:t xml:space="preserve"> and</w:t>
      </w:r>
      <w:r w:rsidR="00096E38" w:rsidRPr="00345877">
        <w:rPr>
          <w:rFonts w:ascii="Verdana" w:eastAsia="Times New Roman" w:hAnsi="Verdana" w:cs="Times New Roman"/>
          <w:color w:val="000000" w:themeColor="text1"/>
          <w:sz w:val="20"/>
          <w:szCs w:val="20"/>
        </w:rPr>
        <w:t xml:space="preserve"> </w:t>
      </w:r>
      <w:bookmarkStart w:id="2" w:name="_Hlk28858556"/>
      <w:r w:rsidR="00345877" w:rsidRPr="00975396">
        <w:rPr>
          <w:rFonts w:ascii="Verdana" w:hAnsi="Verdana"/>
          <w:color w:val="222222"/>
          <w:sz w:val="20"/>
          <w:szCs w:val="20"/>
          <w:shd w:val="clear" w:color="auto" w:fill="FFFFFF"/>
        </w:rPr>
        <w:t>Office of the United Nations High Commissioner for Human Rights</w:t>
      </w:r>
      <w:bookmarkEnd w:id="2"/>
      <w:r w:rsidR="00345877" w:rsidRPr="00345877">
        <w:rPr>
          <w:rFonts w:ascii="Verdana" w:eastAsia="Times New Roman" w:hAnsi="Verdana" w:cs="Times New Roman"/>
          <w:color w:val="000000" w:themeColor="text1"/>
          <w:sz w:val="20"/>
          <w:szCs w:val="20"/>
        </w:rPr>
        <w:t xml:space="preserve"> (</w:t>
      </w:r>
      <w:r w:rsidR="00096E38" w:rsidRPr="00345877">
        <w:rPr>
          <w:rFonts w:ascii="Verdana" w:eastAsia="Times New Roman" w:hAnsi="Verdana" w:cs="Times New Roman"/>
          <w:color w:val="000000" w:themeColor="text1"/>
          <w:sz w:val="20"/>
          <w:szCs w:val="20"/>
        </w:rPr>
        <w:t>OHCHR</w:t>
      </w:r>
      <w:r w:rsidR="00345877" w:rsidRPr="00345877">
        <w:rPr>
          <w:rFonts w:ascii="Verdana" w:eastAsia="Times New Roman" w:hAnsi="Verdana" w:cs="Times New Roman"/>
          <w:color w:val="000000" w:themeColor="text1"/>
          <w:sz w:val="20"/>
          <w:szCs w:val="20"/>
        </w:rPr>
        <w:t>)</w:t>
      </w:r>
      <w:r w:rsidR="00096E38" w:rsidRPr="00345877">
        <w:rPr>
          <w:rFonts w:ascii="Verdana" w:eastAsia="Times New Roman" w:hAnsi="Verdana" w:cs="Times New Roman"/>
          <w:color w:val="000000" w:themeColor="text1"/>
          <w:sz w:val="20"/>
          <w:szCs w:val="20"/>
        </w:rPr>
        <w:t xml:space="preserve"> </w:t>
      </w:r>
    </w:p>
    <w:p w14:paraId="393F86C4" w14:textId="77777777" w:rsidR="00272BF8" w:rsidRPr="003E2544" w:rsidRDefault="00272BF8" w:rsidP="00245274">
      <w:pPr>
        <w:spacing w:line="240" w:lineRule="auto"/>
        <w:ind w:left="630"/>
        <w:contextualSpacing/>
        <w:rPr>
          <w:rFonts w:ascii="Verdana" w:eastAsia="Times New Roman" w:hAnsi="Verdana" w:cs="Times New Roman"/>
          <w:color w:val="000000" w:themeColor="text1"/>
          <w:sz w:val="20"/>
          <w:szCs w:val="20"/>
        </w:rPr>
      </w:pPr>
    </w:p>
    <w:p w14:paraId="5521CD31" w14:textId="77777777" w:rsidR="00272BF8" w:rsidRPr="00975396" w:rsidRDefault="00272BF8" w:rsidP="00647EC0">
      <w:pPr>
        <w:spacing w:line="240" w:lineRule="auto"/>
        <w:ind w:left="270"/>
        <w:contextualSpacing/>
        <w:rPr>
          <w:rFonts w:ascii="Verdana" w:eastAsia="Calibri" w:hAnsi="Verdana" w:cs="Times New Roman"/>
          <w:b/>
          <w:bCs/>
          <w:color w:val="000000" w:themeColor="text1"/>
          <w:sz w:val="20"/>
          <w:szCs w:val="20"/>
        </w:rPr>
      </w:pPr>
      <w:r w:rsidRPr="00975396">
        <w:rPr>
          <w:rFonts w:ascii="Verdana" w:eastAsia="Calibri" w:hAnsi="Verdana" w:cs="Times New Roman"/>
          <w:b/>
          <w:bCs/>
          <w:color w:val="000000" w:themeColor="text1"/>
          <w:sz w:val="20"/>
          <w:szCs w:val="20"/>
        </w:rPr>
        <w:t xml:space="preserve">14.2 Partners </w:t>
      </w:r>
    </w:p>
    <w:p w14:paraId="0CC9AF4A" w14:textId="4378BDA9" w:rsidR="00272BF8" w:rsidRPr="003E2544" w:rsidRDefault="00272BF8" w:rsidP="00245274">
      <w:pPr>
        <w:numPr>
          <w:ilvl w:val="0"/>
          <w:numId w:val="11"/>
        </w:numPr>
        <w:spacing w:after="200" w:line="240" w:lineRule="auto"/>
        <w:contextualSpacing/>
        <w:rPr>
          <w:rFonts w:ascii="Verdana" w:eastAsia="Times New Roman" w:hAnsi="Verdana" w:cs="Times New Roman"/>
          <w:color w:val="000000" w:themeColor="text1"/>
          <w:sz w:val="20"/>
          <w:szCs w:val="20"/>
        </w:rPr>
      </w:pPr>
      <w:r w:rsidRPr="003E2544">
        <w:rPr>
          <w:rFonts w:ascii="Verdana" w:eastAsia="Times New Roman" w:hAnsi="Verdana" w:cs="Times New Roman"/>
          <w:color w:val="000000" w:themeColor="text1"/>
          <w:sz w:val="20"/>
          <w:szCs w:val="20"/>
        </w:rPr>
        <w:t>National authorities:</w:t>
      </w:r>
      <w:r w:rsidR="00DB50FC" w:rsidRPr="003E2544">
        <w:rPr>
          <w:rFonts w:ascii="Verdana" w:eastAsia="Times New Roman" w:hAnsi="Verdana" w:cs="Times New Roman"/>
          <w:color w:val="000000" w:themeColor="text1"/>
          <w:sz w:val="20"/>
          <w:szCs w:val="20"/>
        </w:rPr>
        <w:t xml:space="preserve"> Ministry of Finance and Planning (MoFP), National and State Revenue Authorities, Ministr</w:t>
      </w:r>
      <w:r w:rsidR="007F6FBD" w:rsidRPr="003E2544">
        <w:rPr>
          <w:rFonts w:ascii="Verdana" w:eastAsia="Times New Roman" w:hAnsi="Verdana" w:cs="Times New Roman"/>
          <w:color w:val="000000" w:themeColor="text1"/>
          <w:sz w:val="20"/>
          <w:szCs w:val="20"/>
        </w:rPr>
        <w:t xml:space="preserve">y </w:t>
      </w:r>
      <w:r w:rsidR="00DB50FC" w:rsidRPr="003E2544">
        <w:rPr>
          <w:rFonts w:ascii="Verdana" w:eastAsia="Times New Roman" w:hAnsi="Verdana" w:cs="Times New Roman"/>
          <w:color w:val="000000" w:themeColor="text1"/>
          <w:sz w:val="20"/>
          <w:szCs w:val="20"/>
        </w:rPr>
        <w:t>of Education</w:t>
      </w:r>
      <w:r w:rsidR="003575E0" w:rsidRPr="003E2544">
        <w:rPr>
          <w:rFonts w:ascii="Verdana" w:eastAsia="Times New Roman" w:hAnsi="Verdana" w:cs="Times New Roman"/>
          <w:color w:val="000000" w:themeColor="text1"/>
          <w:sz w:val="20"/>
          <w:szCs w:val="20"/>
        </w:rPr>
        <w:t xml:space="preserve"> (</w:t>
      </w:r>
      <w:proofErr w:type="spellStart"/>
      <w:r w:rsidR="003575E0" w:rsidRPr="003E2544">
        <w:rPr>
          <w:rFonts w:ascii="Verdana" w:eastAsia="Times New Roman" w:hAnsi="Verdana" w:cs="Times New Roman"/>
          <w:color w:val="000000" w:themeColor="text1"/>
          <w:sz w:val="20"/>
          <w:szCs w:val="20"/>
        </w:rPr>
        <w:t>MoE</w:t>
      </w:r>
      <w:proofErr w:type="spellEnd"/>
      <w:r w:rsidR="003575E0" w:rsidRPr="003E2544">
        <w:rPr>
          <w:rFonts w:ascii="Verdana" w:eastAsia="Times New Roman" w:hAnsi="Verdana" w:cs="Times New Roman"/>
          <w:color w:val="000000" w:themeColor="text1"/>
          <w:sz w:val="20"/>
          <w:szCs w:val="20"/>
        </w:rPr>
        <w:t>)</w:t>
      </w:r>
      <w:r w:rsidR="00DB50FC" w:rsidRPr="003E2544">
        <w:rPr>
          <w:rFonts w:ascii="Verdana" w:eastAsia="Times New Roman" w:hAnsi="Verdana" w:cs="Times New Roman"/>
          <w:color w:val="000000" w:themeColor="text1"/>
          <w:sz w:val="20"/>
          <w:szCs w:val="20"/>
        </w:rPr>
        <w:t xml:space="preserve">, </w:t>
      </w:r>
      <w:r w:rsidR="007F6FBD" w:rsidRPr="003E2544">
        <w:rPr>
          <w:rFonts w:ascii="Verdana" w:eastAsia="Times New Roman" w:hAnsi="Verdana" w:cs="Times New Roman"/>
          <w:color w:val="000000" w:themeColor="text1"/>
          <w:sz w:val="20"/>
          <w:szCs w:val="20"/>
        </w:rPr>
        <w:t xml:space="preserve">Ministry of </w:t>
      </w:r>
      <w:r w:rsidR="00DB50FC" w:rsidRPr="003E2544">
        <w:rPr>
          <w:rFonts w:ascii="Verdana" w:eastAsia="Times New Roman" w:hAnsi="Verdana" w:cs="Times New Roman"/>
          <w:color w:val="000000" w:themeColor="text1"/>
          <w:sz w:val="20"/>
          <w:szCs w:val="20"/>
        </w:rPr>
        <w:t xml:space="preserve">Health </w:t>
      </w:r>
      <w:r w:rsidR="002C0E55" w:rsidRPr="003E2544">
        <w:rPr>
          <w:rFonts w:ascii="Verdana" w:eastAsia="Times New Roman" w:hAnsi="Verdana" w:cs="Times New Roman"/>
          <w:color w:val="000000" w:themeColor="text1"/>
          <w:sz w:val="20"/>
          <w:szCs w:val="20"/>
        </w:rPr>
        <w:t>(</w:t>
      </w:r>
      <w:proofErr w:type="spellStart"/>
      <w:r w:rsidR="002C0E55" w:rsidRPr="003E2544">
        <w:rPr>
          <w:rFonts w:ascii="Verdana" w:eastAsia="Times New Roman" w:hAnsi="Verdana" w:cs="Times New Roman"/>
          <w:color w:val="000000" w:themeColor="text1"/>
          <w:sz w:val="20"/>
          <w:szCs w:val="20"/>
        </w:rPr>
        <w:t>MoH</w:t>
      </w:r>
      <w:proofErr w:type="spellEnd"/>
      <w:r w:rsidR="002C0E55" w:rsidRPr="003E2544">
        <w:rPr>
          <w:rFonts w:ascii="Verdana" w:eastAsia="Times New Roman" w:hAnsi="Verdana" w:cs="Times New Roman"/>
          <w:color w:val="000000" w:themeColor="text1"/>
          <w:sz w:val="20"/>
          <w:szCs w:val="20"/>
        </w:rPr>
        <w:t>)</w:t>
      </w:r>
      <w:r w:rsidR="007F6FBD" w:rsidRPr="003E2544">
        <w:rPr>
          <w:rFonts w:ascii="Verdana" w:eastAsia="Times New Roman" w:hAnsi="Verdana" w:cs="Times New Roman"/>
          <w:color w:val="000000" w:themeColor="text1"/>
          <w:sz w:val="20"/>
          <w:szCs w:val="20"/>
        </w:rPr>
        <w:t xml:space="preserve">, Ministry of </w:t>
      </w:r>
      <w:r w:rsidR="00DB50FC" w:rsidRPr="003E2544">
        <w:rPr>
          <w:rFonts w:ascii="Verdana" w:eastAsia="Times New Roman" w:hAnsi="Verdana" w:cs="Times New Roman"/>
          <w:color w:val="000000" w:themeColor="text1"/>
          <w:sz w:val="20"/>
          <w:szCs w:val="20"/>
        </w:rPr>
        <w:t>Gender, Child and Social Welfare</w:t>
      </w:r>
      <w:r w:rsidR="003575E0" w:rsidRPr="003E2544">
        <w:rPr>
          <w:rFonts w:ascii="Verdana" w:eastAsia="Times New Roman" w:hAnsi="Verdana" w:cs="Times New Roman"/>
          <w:color w:val="000000" w:themeColor="text1"/>
          <w:sz w:val="20"/>
          <w:szCs w:val="20"/>
        </w:rPr>
        <w:t xml:space="preserve"> (MoGCSW)</w:t>
      </w:r>
      <w:r w:rsidR="00DB50FC" w:rsidRPr="003E2544">
        <w:rPr>
          <w:rFonts w:ascii="Verdana" w:eastAsia="Times New Roman" w:hAnsi="Verdana" w:cs="Times New Roman"/>
          <w:color w:val="000000" w:themeColor="text1"/>
          <w:sz w:val="20"/>
          <w:szCs w:val="20"/>
        </w:rPr>
        <w:t xml:space="preserve">, </w:t>
      </w:r>
      <w:r w:rsidR="003D33A4" w:rsidRPr="003E2544">
        <w:rPr>
          <w:rFonts w:ascii="Verdana" w:eastAsia="Times New Roman" w:hAnsi="Verdana" w:cs="Times New Roman"/>
          <w:color w:val="000000" w:themeColor="text1"/>
          <w:sz w:val="20"/>
          <w:szCs w:val="20"/>
        </w:rPr>
        <w:t xml:space="preserve">and </w:t>
      </w:r>
      <w:r w:rsidR="00DB50FC" w:rsidRPr="003E2544">
        <w:rPr>
          <w:rFonts w:ascii="Verdana" w:eastAsia="Times New Roman" w:hAnsi="Verdana" w:cs="Times New Roman"/>
          <w:color w:val="000000" w:themeColor="text1"/>
          <w:sz w:val="20"/>
          <w:szCs w:val="20"/>
        </w:rPr>
        <w:t>National Legislative Assembly</w:t>
      </w:r>
    </w:p>
    <w:p w14:paraId="30565F3C" w14:textId="2CE661F5" w:rsidR="00272BF8" w:rsidRPr="003E2544" w:rsidRDefault="00272BF8" w:rsidP="00245274">
      <w:pPr>
        <w:numPr>
          <w:ilvl w:val="0"/>
          <w:numId w:val="11"/>
        </w:numPr>
        <w:spacing w:after="200" w:line="240" w:lineRule="auto"/>
        <w:contextualSpacing/>
        <w:rPr>
          <w:rFonts w:ascii="Verdana" w:eastAsia="Times New Roman" w:hAnsi="Verdana" w:cs="Times New Roman"/>
          <w:color w:val="000000" w:themeColor="text1"/>
          <w:sz w:val="20"/>
          <w:szCs w:val="20"/>
        </w:rPr>
      </w:pPr>
      <w:r w:rsidRPr="003E2544">
        <w:rPr>
          <w:rFonts w:ascii="Verdana" w:eastAsia="Times New Roman" w:hAnsi="Verdana" w:cs="Times New Roman"/>
          <w:color w:val="000000" w:themeColor="text1"/>
          <w:sz w:val="20"/>
          <w:szCs w:val="20"/>
        </w:rPr>
        <w:t>Civil society organizations</w:t>
      </w:r>
    </w:p>
    <w:p w14:paraId="7C9040DB" w14:textId="7362CEF9" w:rsidR="00272BF8" w:rsidRPr="003E2544" w:rsidRDefault="00272BF8" w:rsidP="00245274">
      <w:pPr>
        <w:numPr>
          <w:ilvl w:val="0"/>
          <w:numId w:val="11"/>
        </w:numPr>
        <w:spacing w:after="200" w:line="240" w:lineRule="auto"/>
        <w:contextualSpacing/>
        <w:rPr>
          <w:rFonts w:ascii="Verdana" w:eastAsia="Times New Roman" w:hAnsi="Verdana" w:cs="Times New Roman"/>
          <w:color w:val="000000" w:themeColor="text1"/>
          <w:sz w:val="20"/>
          <w:szCs w:val="20"/>
        </w:rPr>
      </w:pPr>
      <w:r w:rsidRPr="003E2544">
        <w:rPr>
          <w:rFonts w:ascii="Verdana" w:eastAsia="Times New Roman" w:hAnsi="Verdana" w:cs="Times New Roman"/>
          <w:color w:val="000000" w:themeColor="text1"/>
          <w:sz w:val="20"/>
          <w:szCs w:val="20"/>
        </w:rPr>
        <w:t>Private sector</w:t>
      </w:r>
    </w:p>
    <w:p w14:paraId="45151D60" w14:textId="77FE671C" w:rsidR="00272BF8" w:rsidRPr="003E2544" w:rsidRDefault="00272BF8" w:rsidP="00245274">
      <w:pPr>
        <w:numPr>
          <w:ilvl w:val="0"/>
          <w:numId w:val="11"/>
        </w:numPr>
        <w:spacing w:after="200" w:line="240" w:lineRule="auto"/>
        <w:contextualSpacing/>
        <w:rPr>
          <w:rFonts w:ascii="Verdana" w:eastAsia="Times New Roman" w:hAnsi="Verdana" w:cs="Times New Roman"/>
          <w:color w:val="000000" w:themeColor="text1"/>
          <w:sz w:val="20"/>
          <w:szCs w:val="20"/>
        </w:rPr>
      </w:pPr>
      <w:r w:rsidRPr="003E2544">
        <w:rPr>
          <w:rFonts w:ascii="Verdana" w:eastAsia="Times New Roman" w:hAnsi="Verdana" w:cs="Times New Roman"/>
          <w:color w:val="000000" w:themeColor="text1"/>
          <w:sz w:val="20"/>
          <w:szCs w:val="20"/>
        </w:rPr>
        <w:t>International Financial Institutions</w:t>
      </w:r>
      <w:r w:rsidR="00314F9B" w:rsidRPr="003E2544">
        <w:rPr>
          <w:rFonts w:ascii="Verdana" w:eastAsia="Times New Roman" w:hAnsi="Verdana" w:cs="Times New Roman"/>
          <w:color w:val="000000" w:themeColor="text1"/>
          <w:sz w:val="20"/>
          <w:szCs w:val="20"/>
        </w:rPr>
        <w:t>: African Development Bank (AfDB)</w:t>
      </w:r>
      <w:r w:rsidR="003D33A4" w:rsidRPr="003E2544">
        <w:rPr>
          <w:rFonts w:ascii="Verdana" w:eastAsia="Times New Roman" w:hAnsi="Verdana" w:cs="Times New Roman"/>
          <w:color w:val="000000" w:themeColor="text1"/>
          <w:sz w:val="20"/>
          <w:szCs w:val="20"/>
        </w:rPr>
        <w:t xml:space="preserve"> and </w:t>
      </w:r>
      <w:r w:rsidR="00DB50FC" w:rsidRPr="003E2544">
        <w:rPr>
          <w:rFonts w:ascii="Verdana" w:eastAsia="Times New Roman" w:hAnsi="Verdana" w:cs="Times New Roman"/>
          <w:color w:val="000000" w:themeColor="text1"/>
          <w:sz w:val="20"/>
          <w:szCs w:val="20"/>
        </w:rPr>
        <w:t xml:space="preserve">World Bank </w:t>
      </w:r>
    </w:p>
    <w:p w14:paraId="5614C39D" w14:textId="59CDAAD2" w:rsidR="00272BF8" w:rsidRPr="003E2544" w:rsidRDefault="00272BF8" w:rsidP="00245274">
      <w:pPr>
        <w:numPr>
          <w:ilvl w:val="0"/>
          <w:numId w:val="11"/>
        </w:numPr>
        <w:spacing w:after="200" w:line="240" w:lineRule="auto"/>
        <w:contextualSpacing/>
        <w:rPr>
          <w:rFonts w:ascii="Verdana" w:eastAsia="Times New Roman" w:hAnsi="Verdana" w:cs="Times New Roman"/>
          <w:color w:val="000000" w:themeColor="text1"/>
          <w:sz w:val="20"/>
          <w:szCs w:val="20"/>
        </w:rPr>
      </w:pPr>
      <w:r w:rsidRPr="003E2544">
        <w:rPr>
          <w:rFonts w:ascii="Verdana" w:eastAsia="Times New Roman" w:hAnsi="Verdana" w:cs="Times New Roman"/>
          <w:color w:val="000000" w:themeColor="text1"/>
          <w:sz w:val="20"/>
          <w:szCs w:val="20"/>
        </w:rPr>
        <w:t>Other partners:</w:t>
      </w:r>
      <w:r w:rsidR="00096E38" w:rsidRPr="003E2544">
        <w:rPr>
          <w:rFonts w:ascii="Verdana" w:eastAsia="Times New Roman" w:hAnsi="Verdana" w:cs="Times New Roman"/>
          <w:color w:val="000000" w:themeColor="text1"/>
          <w:sz w:val="20"/>
          <w:szCs w:val="20"/>
        </w:rPr>
        <w:t xml:space="preserve"> International Budget Partnership (IBP), Charlie Goldsmith Associates (CGA), UNICEF Eastern and Southern Africa Regional Office (ESARO). </w:t>
      </w:r>
    </w:p>
    <w:p w14:paraId="01937367" w14:textId="77777777" w:rsidR="001F71DB" w:rsidRPr="003E2544" w:rsidRDefault="001F71DB" w:rsidP="00245274">
      <w:pPr>
        <w:spacing w:line="240" w:lineRule="auto"/>
        <w:ind w:left="630"/>
        <w:rPr>
          <w:rFonts w:ascii="Verdana" w:eastAsia="Times New Roman" w:hAnsi="Verdana" w:cs="Times New Roman"/>
          <w:b/>
          <w:bCs/>
          <w:color w:val="000000" w:themeColor="text1"/>
          <w:sz w:val="24"/>
          <w:szCs w:val="28"/>
          <w:lang w:eastAsia="en-GB"/>
        </w:rPr>
        <w:sectPr w:rsidR="001F71DB" w:rsidRPr="003E2544" w:rsidSect="009672E5">
          <w:headerReference w:type="default" r:id="rId14"/>
          <w:footerReference w:type="default" r:id="rId15"/>
          <w:footerReference w:type="first" r:id="rId16"/>
          <w:pgSz w:w="12240" w:h="15840"/>
          <w:pgMar w:top="1440" w:right="1440" w:bottom="1440" w:left="1440" w:header="720" w:footer="720" w:gutter="0"/>
          <w:cols w:space="720"/>
          <w:titlePg/>
          <w:docGrid w:linePitch="360"/>
        </w:sectPr>
      </w:pPr>
    </w:p>
    <w:p w14:paraId="4E11CBF0" w14:textId="18A80226" w:rsidR="00272BF8" w:rsidRDefault="00272BF8" w:rsidP="00245274">
      <w:pPr>
        <w:spacing w:line="240" w:lineRule="auto"/>
        <w:rPr>
          <w:rFonts w:ascii="Verdana" w:eastAsia="Times New Roman" w:hAnsi="Verdana" w:cs="Times New Roman"/>
          <w:b/>
          <w:bCs/>
          <w:color w:val="000000" w:themeColor="text1"/>
          <w:sz w:val="20"/>
          <w:lang w:eastAsia="en-GB"/>
        </w:rPr>
      </w:pPr>
      <w:r w:rsidRPr="003E2544">
        <w:rPr>
          <w:rFonts w:ascii="Verdana" w:eastAsia="Times New Roman" w:hAnsi="Verdana" w:cs="Times New Roman"/>
          <w:b/>
          <w:bCs/>
          <w:color w:val="000000" w:themeColor="text1"/>
          <w:sz w:val="20"/>
          <w:lang w:eastAsia="en-GB"/>
        </w:rPr>
        <w:lastRenderedPageBreak/>
        <w:t>SIGNATURE PAGE</w:t>
      </w:r>
    </w:p>
    <w:p w14:paraId="006731B8" w14:textId="77777777" w:rsidR="000020FF" w:rsidRPr="003E2544" w:rsidRDefault="000020FF" w:rsidP="00245274">
      <w:pPr>
        <w:spacing w:line="240" w:lineRule="auto"/>
        <w:rPr>
          <w:rFonts w:ascii="Verdana" w:eastAsia="Times New Roman" w:hAnsi="Verdana" w:cs="Times New Roman"/>
          <w:b/>
          <w:bCs/>
          <w:color w:val="000000" w:themeColor="text1"/>
          <w:sz w:val="20"/>
          <w:lang w:eastAsia="en-GB"/>
        </w:rPr>
      </w:pPr>
    </w:p>
    <w:tbl>
      <w:tblPr>
        <w:tblStyle w:val="TableGrid0"/>
        <w:tblW w:w="9335" w:type="dxa"/>
        <w:tblInd w:w="324" w:type="dxa"/>
        <w:tblCellMar>
          <w:top w:w="33" w:type="dxa"/>
          <w:left w:w="100" w:type="dxa"/>
          <w:right w:w="149" w:type="dxa"/>
        </w:tblCellMar>
        <w:tblLook w:val="04A0" w:firstRow="1" w:lastRow="0" w:firstColumn="1" w:lastColumn="0" w:noHBand="0" w:noVBand="1"/>
      </w:tblPr>
      <w:tblGrid>
        <w:gridCol w:w="5466"/>
        <w:gridCol w:w="3869"/>
      </w:tblGrid>
      <w:tr w:rsidR="00F9690A" w14:paraId="2E342149" w14:textId="77777777" w:rsidTr="00F4303C">
        <w:trPr>
          <w:trHeight w:val="2945"/>
        </w:trPr>
        <w:tc>
          <w:tcPr>
            <w:tcW w:w="5466" w:type="dxa"/>
            <w:tcBorders>
              <w:top w:val="single" w:sz="2" w:space="0" w:color="000000"/>
              <w:left w:val="single" w:sz="2" w:space="0" w:color="000000"/>
              <w:bottom w:val="single" w:sz="2" w:space="0" w:color="000000"/>
              <w:right w:val="single" w:sz="2" w:space="0" w:color="000000"/>
            </w:tcBorders>
          </w:tcPr>
          <w:p w14:paraId="7626E227" w14:textId="77777777" w:rsidR="00F9690A" w:rsidRDefault="00F9690A" w:rsidP="00F4303C">
            <w:pPr>
              <w:spacing w:after="225" w:line="216" w:lineRule="auto"/>
              <w:ind w:left="38" w:right="2318" w:firstLine="16"/>
            </w:pPr>
            <w:r>
              <w:rPr>
                <w:sz w:val="28"/>
              </w:rPr>
              <w:t>Resident Coordinator Alain Noudéhou</w:t>
            </w:r>
          </w:p>
          <w:p w14:paraId="4CBEF930" w14:textId="197BBA18" w:rsidR="00F9690A" w:rsidRDefault="00F9690A" w:rsidP="00F4303C">
            <w:pPr>
              <w:tabs>
                <w:tab w:val="center" w:pos="2603"/>
              </w:tabs>
              <w:spacing w:line="259" w:lineRule="auto"/>
            </w:pPr>
            <w:r>
              <w:t>Date:</w:t>
            </w:r>
            <w:r>
              <w:tab/>
            </w:r>
          </w:p>
        </w:tc>
        <w:tc>
          <w:tcPr>
            <w:tcW w:w="3869" w:type="dxa"/>
            <w:vMerge w:val="restart"/>
            <w:tcBorders>
              <w:top w:val="single" w:sz="2" w:space="0" w:color="000000"/>
              <w:left w:val="single" w:sz="2" w:space="0" w:color="000000"/>
              <w:bottom w:val="single" w:sz="2" w:space="0" w:color="000000"/>
              <w:right w:val="single" w:sz="2" w:space="0" w:color="000000"/>
            </w:tcBorders>
          </w:tcPr>
          <w:p w14:paraId="556A8C90" w14:textId="77777777" w:rsidR="00F9690A" w:rsidRDefault="00F9690A" w:rsidP="00F4303C">
            <w:pPr>
              <w:spacing w:after="96" w:line="259" w:lineRule="auto"/>
              <w:ind w:left="38"/>
            </w:pPr>
            <w:r>
              <w:rPr>
                <w:sz w:val="28"/>
              </w:rPr>
              <w:t>National Coordinating Authority</w:t>
            </w:r>
          </w:p>
          <w:p w14:paraId="739F6041" w14:textId="77777777" w:rsidR="00F9690A" w:rsidRDefault="00F9690A" w:rsidP="00F4303C">
            <w:pPr>
              <w:spacing w:after="149" w:line="259" w:lineRule="auto"/>
              <w:ind w:left="38"/>
            </w:pPr>
            <w:r>
              <w:t>Ministry of Finance and Planning (MoFP)</w:t>
            </w:r>
          </w:p>
          <w:p w14:paraId="443C85B0" w14:textId="77777777" w:rsidR="00F9690A" w:rsidRDefault="00F9690A" w:rsidP="00F4303C">
            <w:pPr>
              <w:spacing w:line="259" w:lineRule="auto"/>
              <w:ind w:left="33"/>
            </w:pPr>
            <w:r>
              <w:t>Ocum Genes Karlo</w:t>
            </w:r>
          </w:p>
          <w:p w14:paraId="60E19650" w14:textId="77777777" w:rsidR="00F9690A" w:rsidRDefault="00F9690A" w:rsidP="00F4303C">
            <w:pPr>
              <w:spacing w:line="259" w:lineRule="auto"/>
              <w:ind w:left="33"/>
            </w:pPr>
            <w:r>
              <w:t>Under-Secretary for Planning</w:t>
            </w:r>
          </w:p>
          <w:p w14:paraId="4950720C" w14:textId="77777777" w:rsidR="00F9690A" w:rsidRDefault="00F9690A" w:rsidP="00F4303C">
            <w:pPr>
              <w:spacing w:line="259" w:lineRule="auto"/>
              <w:ind w:left="33"/>
            </w:pPr>
            <w:r>
              <w:t>(Endorsement letter is attached)</w:t>
            </w:r>
          </w:p>
        </w:tc>
      </w:tr>
      <w:tr w:rsidR="00F9690A" w14:paraId="53AB410E" w14:textId="77777777" w:rsidTr="00F4303C">
        <w:trPr>
          <w:trHeight w:val="2894"/>
        </w:trPr>
        <w:tc>
          <w:tcPr>
            <w:tcW w:w="5466" w:type="dxa"/>
            <w:tcBorders>
              <w:top w:val="single" w:sz="2" w:space="0" w:color="000000"/>
              <w:left w:val="single" w:sz="2" w:space="0" w:color="000000"/>
              <w:bottom w:val="single" w:sz="2" w:space="0" w:color="000000"/>
              <w:right w:val="single" w:sz="2" w:space="0" w:color="000000"/>
            </w:tcBorders>
          </w:tcPr>
          <w:p w14:paraId="20EDA8B7" w14:textId="77777777" w:rsidR="00F9690A" w:rsidRDefault="00F9690A" w:rsidP="00F4303C">
            <w:pPr>
              <w:spacing w:line="259" w:lineRule="auto"/>
              <w:ind w:left="38"/>
            </w:pPr>
            <w:r>
              <w:rPr>
                <w:sz w:val="28"/>
              </w:rPr>
              <w:t>Participating UN Organization (lead)</w:t>
            </w:r>
          </w:p>
          <w:p w14:paraId="586E3AFD" w14:textId="77777777" w:rsidR="00F9690A" w:rsidRDefault="00F9690A" w:rsidP="00F4303C">
            <w:pPr>
              <w:spacing w:line="259" w:lineRule="auto"/>
              <w:ind w:left="33"/>
            </w:pPr>
            <w:r>
              <w:t>UNDP</w:t>
            </w:r>
          </w:p>
          <w:p w14:paraId="17D9D2D4" w14:textId="77777777" w:rsidR="00F9690A" w:rsidRDefault="00F9690A" w:rsidP="00F4303C">
            <w:pPr>
              <w:spacing w:line="259" w:lineRule="auto"/>
              <w:ind w:left="33"/>
            </w:pPr>
            <w:r>
              <w:t>Kamil Kamaluddeen</w:t>
            </w:r>
          </w:p>
          <w:p w14:paraId="1A79DD78" w14:textId="3A9EE71D" w:rsidR="00F9690A" w:rsidRDefault="00F9690A" w:rsidP="00F4303C">
            <w:pPr>
              <w:spacing w:after="290" w:line="259" w:lineRule="auto"/>
              <w:ind w:left="201"/>
            </w:pPr>
          </w:p>
          <w:p w14:paraId="5031FEE3" w14:textId="77777777" w:rsidR="00F9690A" w:rsidRDefault="00F9690A" w:rsidP="00F4303C">
            <w:pPr>
              <w:spacing w:line="259" w:lineRule="auto"/>
              <w:ind w:left="16"/>
            </w:pPr>
            <w:r>
              <w:t>Date:</w:t>
            </w:r>
          </w:p>
        </w:tc>
        <w:tc>
          <w:tcPr>
            <w:tcW w:w="0" w:type="auto"/>
            <w:vMerge/>
            <w:tcBorders>
              <w:top w:val="nil"/>
              <w:left w:val="single" w:sz="2" w:space="0" w:color="000000"/>
              <w:bottom w:val="nil"/>
              <w:right w:val="single" w:sz="2" w:space="0" w:color="000000"/>
            </w:tcBorders>
          </w:tcPr>
          <w:p w14:paraId="290C3072" w14:textId="77777777" w:rsidR="00F9690A" w:rsidRDefault="00F9690A" w:rsidP="00F4303C">
            <w:pPr>
              <w:spacing w:after="160" w:line="259" w:lineRule="auto"/>
            </w:pPr>
          </w:p>
        </w:tc>
      </w:tr>
      <w:tr w:rsidR="00F9690A" w14:paraId="22A747C1" w14:textId="77777777" w:rsidTr="00F4303C">
        <w:trPr>
          <w:trHeight w:val="3432"/>
        </w:trPr>
        <w:tc>
          <w:tcPr>
            <w:tcW w:w="5466" w:type="dxa"/>
            <w:tcBorders>
              <w:top w:val="single" w:sz="2" w:space="0" w:color="000000"/>
              <w:left w:val="single" w:sz="2" w:space="0" w:color="000000"/>
              <w:bottom w:val="single" w:sz="2" w:space="0" w:color="000000"/>
              <w:right w:val="single" w:sz="2" w:space="0" w:color="000000"/>
            </w:tcBorders>
          </w:tcPr>
          <w:p w14:paraId="6BEBA667" w14:textId="77777777" w:rsidR="00F9690A" w:rsidRDefault="00F9690A" w:rsidP="00F4303C">
            <w:pPr>
              <w:spacing w:line="259" w:lineRule="auto"/>
              <w:ind w:left="22"/>
            </w:pPr>
            <w:r>
              <w:rPr>
                <w:sz w:val="28"/>
              </w:rPr>
              <w:t>Participating UN Organization (lead)</w:t>
            </w:r>
          </w:p>
          <w:p w14:paraId="4A5BA1F9" w14:textId="77777777" w:rsidR="00F9690A" w:rsidRDefault="00F9690A" w:rsidP="00F4303C">
            <w:pPr>
              <w:spacing w:line="259" w:lineRule="auto"/>
              <w:ind w:left="16"/>
            </w:pPr>
            <w:r>
              <w:t>UNICEF</w:t>
            </w:r>
          </w:p>
          <w:p w14:paraId="38619E4E" w14:textId="77777777" w:rsidR="00F9690A" w:rsidRDefault="00F9690A" w:rsidP="00F4303C">
            <w:pPr>
              <w:spacing w:after="37" w:line="259" w:lineRule="auto"/>
              <w:ind w:left="16"/>
            </w:pPr>
            <w:r>
              <w:t>Mohamed Ag Ayoya</w:t>
            </w:r>
          </w:p>
          <w:p w14:paraId="1402EFCE" w14:textId="7D150671" w:rsidR="00F9690A" w:rsidRDefault="00F9690A" w:rsidP="00F4303C">
            <w:pPr>
              <w:spacing w:line="259" w:lineRule="auto"/>
            </w:pPr>
            <w:r>
              <w:t xml:space="preserve">Date : </w:t>
            </w:r>
            <w:bookmarkStart w:id="3" w:name="_GoBack"/>
            <w:bookmarkEnd w:id="3"/>
          </w:p>
        </w:tc>
        <w:tc>
          <w:tcPr>
            <w:tcW w:w="0" w:type="auto"/>
            <w:vMerge/>
            <w:tcBorders>
              <w:top w:val="nil"/>
              <w:left w:val="single" w:sz="2" w:space="0" w:color="000000"/>
              <w:bottom w:val="single" w:sz="2" w:space="0" w:color="000000"/>
              <w:right w:val="single" w:sz="2" w:space="0" w:color="000000"/>
            </w:tcBorders>
          </w:tcPr>
          <w:p w14:paraId="4FB660AA" w14:textId="77777777" w:rsidR="00F9690A" w:rsidRDefault="00F9690A" w:rsidP="00F4303C">
            <w:pPr>
              <w:spacing w:after="160" w:line="259" w:lineRule="auto"/>
            </w:pPr>
          </w:p>
        </w:tc>
      </w:tr>
    </w:tbl>
    <w:p w14:paraId="64D4E74D" w14:textId="77777777" w:rsidR="00311C09" w:rsidRPr="003E2544" w:rsidRDefault="00311C09" w:rsidP="0091584B">
      <w:pPr>
        <w:spacing w:line="240" w:lineRule="auto"/>
        <w:rPr>
          <w:rFonts w:ascii="Verdana" w:eastAsia="Calibri" w:hAnsi="Verdana" w:cs="Times New Roman"/>
          <w:b/>
          <w:caps/>
          <w:color w:val="0070C0"/>
          <w:sz w:val="20"/>
          <w:szCs w:val="16"/>
        </w:rPr>
        <w:sectPr w:rsidR="00311C09" w:rsidRPr="003E2544" w:rsidSect="009672E5">
          <w:pgSz w:w="12240" w:h="15840"/>
          <w:pgMar w:top="1440" w:right="1440" w:bottom="1440" w:left="1440" w:header="720" w:footer="720" w:gutter="0"/>
          <w:cols w:space="720"/>
          <w:titlePg/>
          <w:docGrid w:linePitch="360"/>
        </w:sectPr>
      </w:pPr>
    </w:p>
    <w:p w14:paraId="07526C18" w14:textId="2345C986" w:rsidR="00272BF8" w:rsidRPr="003E2544" w:rsidRDefault="00272BF8" w:rsidP="00BC72A9">
      <w:pPr>
        <w:pStyle w:val="Heading2"/>
        <w:spacing w:line="240" w:lineRule="auto"/>
        <w:jc w:val="center"/>
      </w:pPr>
      <w:r w:rsidRPr="003E2544">
        <w:lastRenderedPageBreak/>
        <w:t>B. STRATEGIC FRAMEWORK</w:t>
      </w:r>
    </w:p>
    <w:p w14:paraId="0A27C76A" w14:textId="77777777" w:rsidR="00272BF8" w:rsidRPr="003E2544" w:rsidRDefault="00272BF8" w:rsidP="00245274">
      <w:pPr>
        <w:spacing w:line="240" w:lineRule="auto"/>
        <w:contextualSpacing/>
        <w:rPr>
          <w:rFonts w:ascii="Verdana" w:eastAsia="Times New Roman" w:hAnsi="Verdana" w:cs="Times New Roman"/>
          <w:color w:val="000000" w:themeColor="text1"/>
          <w:sz w:val="24"/>
          <w:szCs w:val="24"/>
          <w:u w:val="single"/>
          <w:lang w:eastAsia="en-GB"/>
        </w:rPr>
      </w:pPr>
    </w:p>
    <w:p w14:paraId="3319EE40" w14:textId="3FB7383C" w:rsidR="00272BF8" w:rsidRPr="003E2544" w:rsidRDefault="00272BF8" w:rsidP="00245274">
      <w:pPr>
        <w:spacing w:line="240" w:lineRule="auto"/>
        <w:contextualSpacing/>
        <w:rPr>
          <w:rFonts w:ascii="Verdana" w:eastAsia="Times New Roman" w:hAnsi="Verdana" w:cs="Times New Roman"/>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1. Call for Concept Notes</w:t>
      </w:r>
      <w:r w:rsidRPr="003E2544">
        <w:rPr>
          <w:rFonts w:ascii="Verdana" w:eastAsia="Times New Roman" w:hAnsi="Verdana" w:cs="Times New Roman"/>
          <w:color w:val="000000" w:themeColor="text1"/>
          <w:sz w:val="20"/>
          <w:szCs w:val="20"/>
          <w:lang w:eastAsia="en-GB"/>
        </w:rPr>
        <w:t>: SDG Financing (2/2019) – Component 1</w:t>
      </w:r>
    </w:p>
    <w:p w14:paraId="04D5CBFD" w14:textId="77777777" w:rsidR="00272BF8" w:rsidRPr="003E2544" w:rsidRDefault="00272BF8" w:rsidP="00245274">
      <w:pPr>
        <w:spacing w:line="240" w:lineRule="auto"/>
        <w:contextualSpacing/>
        <w:rPr>
          <w:rFonts w:ascii="Verdana" w:eastAsia="Times New Roman" w:hAnsi="Verdana" w:cs="Times New Roman"/>
          <w:color w:val="000000" w:themeColor="text1"/>
          <w:sz w:val="20"/>
          <w:szCs w:val="20"/>
          <w:lang w:eastAsia="en-GB"/>
        </w:rPr>
      </w:pPr>
    </w:p>
    <w:p w14:paraId="18FF55CB" w14:textId="77777777" w:rsidR="00272BF8" w:rsidRPr="003E2544" w:rsidRDefault="00272BF8" w:rsidP="00245274">
      <w:pPr>
        <w:spacing w:line="240" w:lineRule="auto"/>
        <w:contextualSpacing/>
        <w:rPr>
          <w:rFonts w:ascii="Verdana" w:eastAsia="Times New Roman" w:hAnsi="Verdana" w:cs="Times New Roman"/>
          <w:b/>
          <w:bCs/>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2. Programme Outcome [pre-selected]</w:t>
      </w:r>
    </w:p>
    <w:p w14:paraId="168B1F05" w14:textId="77777777" w:rsidR="00272BF8" w:rsidRPr="003E2544" w:rsidRDefault="00272BF8" w:rsidP="00245274">
      <w:pPr>
        <w:numPr>
          <w:ilvl w:val="0"/>
          <w:numId w:val="11"/>
        </w:numPr>
        <w:spacing w:after="200" w:line="240" w:lineRule="auto"/>
        <w:contextualSpacing/>
        <w:rPr>
          <w:rFonts w:ascii="Verdana" w:eastAsiaTheme="majorEastAsia" w:hAnsi="Verdana" w:cs="Times New Roman"/>
          <w:bCs/>
          <w:color w:val="000000" w:themeColor="text1"/>
          <w:sz w:val="20"/>
          <w:szCs w:val="20"/>
        </w:rPr>
      </w:pPr>
      <w:r w:rsidRPr="003E2544">
        <w:rPr>
          <w:rFonts w:ascii="Verdana" w:eastAsiaTheme="majorEastAsia" w:hAnsi="Verdana" w:cs="Times New Roman"/>
          <w:bCs/>
          <w:color w:val="000000" w:themeColor="text1"/>
          <w:sz w:val="20"/>
          <w:szCs w:val="20"/>
        </w:rPr>
        <w:t>Additional financing leveraged to accelerate SDG achievement (Joint SDG Fund Outcome 2)</w:t>
      </w:r>
    </w:p>
    <w:p w14:paraId="7231C739" w14:textId="77777777" w:rsidR="00272BF8" w:rsidRPr="003E2544" w:rsidRDefault="00272BF8" w:rsidP="00245274">
      <w:pPr>
        <w:spacing w:line="240" w:lineRule="auto"/>
        <w:rPr>
          <w:rFonts w:ascii="Verdana" w:eastAsia="Times New Roman" w:hAnsi="Verdana" w:cs="Times New Roman"/>
          <w:color w:val="000000" w:themeColor="text1"/>
          <w:sz w:val="20"/>
          <w:szCs w:val="20"/>
          <w:lang w:eastAsia="en-GB"/>
        </w:rPr>
      </w:pPr>
    </w:p>
    <w:p w14:paraId="7AB4CFB0" w14:textId="1E62DEC8" w:rsidR="00272BF8" w:rsidRPr="003E2544" w:rsidRDefault="00272BF8" w:rsidP="00245274">
      <w:pPr>
        <w:spacing w:line="240" w:lineRule="auto"/>
        <w:rPr>
          <w:rFonts w:ascii="Verdana" w:eastAsia="Times New Roman" w:hAnsi="Verdana" w:cs="Times New Roman"/>
          <w:i/>
          <w:iCs/>
          <w:color w:val="C45911" w:themeColor="accent2" w:themeShade="BF"/>
          <w:sz w:val="20"/>
          <w:szCs w:val="20"/>
          <w:lang w:eastAsia="en-GB"/>
        </w:rPr>
      </w:pPr>
      <w:r w:rsidRPr="003E2544">
        <w:rPr>
          <w:rFonts w:ascii="Verdana" w:eastAsia="Times New Roman" w:hAnsi="Verdana" w:cs="Times New Roman"/>
          <w:b/>
          <w:bCs/>
          <w:color w:val="000000" w:themeColor="text1"/>
          <w:sz w:val="20"/>
          <w:szCs w:val="20"/>
          <w:lang w:eastAsia="en-GB"/>
        </w:rPr>
        <w:t xml:space="preserve">3. UNDAF Outcomes and Outputs </w:t>
      </w:r>
    </w:p>
    <w:p w14:paraId="14C030F8" w14:textId="52095ABF" w:rsidR="00272BF8" w:rsidRPr="003E2544" w:rsidRDefault="00272BF8" w:rsidP="00245274">
      <w:pPr>
        <w:spacing w:line="240" w:lineRule="auto"/>
        <w:ind w:left="180"/>
        <w:contextualSpacing/>
        <w:rPr>
          <w:rFonts w:ascii="Verdana" w:eastAsia="Times New Roman" w:hAnsi="Verdana" w:cs="Times New Roman"/>
          <w:color w:val="000000" w:themeColor="text1"/>
          <w:sz w:val="20"/>
          <w:szCs w:val="20"/>
          <w:u w:val="single"/>
          <w:lang w:eastAsia="en-GB"/>
        </w:rPr>
      </w:pPr>
      <w:r w:rsidRPr="003E2544">
        <w:rPr>
          <w:rFonts w:ascii="Verdana" w:eastAsia="Times New Roman" w:hAnsi="Verdana" w:cs="Times New Roman"/>
          <w:color w:val="000000" w:themeColor="text1"/>
          <w:sz w:val="20"/>
          <w:szCs w:val="20"/>
          <w:lang w:eastAsia="en-GB"/>
        </w:rPr>
        <w:t xml:space="preserve">3.1 Outcomes </w:t>
      </w:r>
    </w:p>
    <w:p w14:paraId="61C8472F" w14:textId="172B2A67" w:rsidR="00272BF8" w:rsidRPr="003E2544" w:rsidRDefault="000E5F37" w:rsidP="00245274">
      <w:pPr>
        <w:pStyle w:val="Default"/>
        <w:numPr>
          <w:ilvl w:val="0"/>
          <w:numId w:val="11"/>
        </w:numPr>
        <w:jc w:val="both"/>
        <w:rPr>
          <w:rFonts w:ascii="Verdana" w:hAnsi="Verdana"/>
          <w:b/>
          <w:bCs/>
          <w:sz w:val="20"/>
          <w:szCs w:val="20"/>
        </w:rPr>
      </w:pPr>
      <w:r w:rsidRPr="003E2544">
        <w:rPr>
          <w:rFonts w:ascii="Verdana" w:hAnsi="Verdana"/>
          <w:b/>
          <w:bCs/>
          <w:sz w:val="20"/>
          <w:szCs w:val="20"/>
        </w:rPr>
        <w:t>UN</w:t>
      </w:r>
      <w:r w:rsidR="00BB2685" w:rsidRPr="003E2544">
        <w:rPr>
          <w:rFonts w:ascii="Verdana" w:hAnsi="Verdana"/>
          <w:b/>
          <w:bCs/>
          <w:sz w:val="20"/>
          <w:szCs w:val="20"/>
        </w:rPr>
        <w:t xml:space="preserve"> Cooperation Framework (UN</w:t>
      </w:r>
      <w:r w:rsidRPr="003E2544">
        <w:rPr>
          <w:rFonts w:ascii="Verdana" w:hAnsi="Verdana"/>
          <w:b/>
          <w:bCs/>
          <w:sz w:val="20"/>
          <w:szCs w:val="20"/>
        </w:rPr>
        <w:t>CF</w:t>
      </w:r>
      <w:r w:rsidR="00BB2685" w:rsidRPr="003E2544">
        <w:rPr>
          <w:rFonts w:ascii="Verdana" w:hAnsi="Verdana"/>
          <w:b/>
          <w:bCs/>
          <w:sz w:val="20"/>
          <w:szCs w:val="20"/>
        </w:rPr>
        <w:t>)</w:t>
      </w:r>
      <w:r w:rsidRPr="003E2544">
        <w:rPr>
          <w:rFonts w:ascii="Verdana" w:hAnsi="Verdana"/>
          <w:b/>
          <w:bCs/>
          <w:sz w:val="20"/>
          <w:szCs w:val="20"/>
        </w:rPr>
        <w:t xml:space="preserve"> Outcome 1: </w:t>
      </w:r>
      <w:r w:rsidRPr="003E2544">
        <w:rPr>
          <w:rFonts w:ascii="Verdana" w:hAnsi="Verdana"/>
          <w:sz w:val="20"/>
          <w:szCs w:val="20"/>
        </w:rPr>
        <w:t xml:space="preserve">The South Sudanese population, particularly the most vulnerable groups, benefit from strengthened peace infrastructures and accountable governance at the national, state and local levels. </w:t>
      </w:r>
    </w:p>
    <w:p w14:paraId="33BC909E" w14:textId="2DEDD19F" w:rsidR="0093185F" w:rsidRPr="003E2544" w:rsidRDefault="0093185F" w:rsidP="00245274">
      <w:pPr>
        <w:pStyle w:val="Default"/>
        <w:numPr>
          <w:ilvl w:val="0"/>
          <w:numId w:val="11"/>
        </w:numPr>
        <w:jc w:val="both"/>
        <w:rPr>
          <w:rFonts w:ascii="Verdana" w:hAnsi="Verdana"/>
          <w:b/>
          <w:bCs/>
          <w:sz w:val="20"/>
          <w:szCs w:val="20"/>
        </w:rPr>
      </w:pPr>
      <w:r w:rsidRPr="003E2544">
        <w:rPr>
          <w:rFonts w:ascii="Verdana" w:hAnsi="Verdana"/>
          <w:b/>
          <w:bCs/>
          <w:sz w:val="20"/>
          <w:szCs w:val="20"/>
        </w:rPr>
        <w:t>UNCF Outcome 3</w:t>
      </w:r>
      <w:r w:rsidR="00597291" w:rsidRPr="003E2544">
        <w:rPr>
          <w:rFonts w:ascii="Verdana" w:hAnsi="Verdana"/>
          <w:b/>
          <w:bCs/>
          <w:sz w:val="20"/>
          <w:szCs w:val="20"/>
        </w:rPr>
        <w:t>:</w:t>
      </w:r>
      <w:r w:rsidRPr="003E2544">
        <w:rPr>
          <w:rFonts w:ascii="Verdana" w:hAnsi="Verdana"/>
          <w:b/>
          <w:bCs/>
          <w:sz w:val="20"/>
          <w:szCs w:val="20"/>
        </w:rPr>
        <w:t xml:space="preserve"> </w:t>
      </w:r>
      <w:r w:rsidRPr="003E2544">
        <w:rPr>
          <w:rFonts w:ascii="Verdana" w:hAnsi="Verdana"/>
          <w:sz w:val="20"/>
          <w:szCs w:val="20"/>
        </w:rPr>
        <w:t xml:space="preserve">Most vulnerable populations including women and children increasingly use improved basic healthcare, nutrition, education and </w:t>
      </w:r>
      <w:r w:rsidR="00345877">
        <w:rPr>
          <w:rFonts w:ascii="Verdana" w:hAnsi="Verdana"/>
          <w:sz w:val="20"/>
          <w:szCs w:val="20"/>
        </w:rPr>
        <w:t>water, sanitation and hygiene (</w:t>
      </w:r>
      <w:r w:rsidRPr="003E2544">
        <w:rPr>
          <w:rFonts w:ascii="Verdana" w:hAnsi="Verdana"/>
          <w:sz w:val="20"/>
          <w:szCs w:val="20"/>
        </w:rPr>
        <w:t>WASH</w:t>
      </w:r>
      <w:r w:rsidR="00345877">
        <w:rPr>
          <w:rFonts w:ascii="Verdana" w:hAnsi="Verdana"/>
          <w:sz w:val="20"/>
          <w:szCs w:val="20"/>
        </w:rPr>
        <w:t>)</w:t>
      </w:r>
      <w:r w:rsidRPr="003E2544">
        <w:rPr>
          <w:rFonts w:ascii="Verdana" w:hAnsi="Verdana"/>
          <w:sz w:val="20"/>
          <w:szCs w:val="20"/>
        </w:rPr>
        <w:t xml:space="preserve"> services in South Sudan.</w:t>
      </w:r>
    </w:p>
    <w:p w14:paraId="683DA722" w14:textId="77777777" w:rsidR="003335CC" w:rsidRPr="003E2544" w:rsidRDefault="003335CC" w:rsidP="00245274">
      <w:pPr>
        <w:spacing w:after="200" w:line="240" w:lineRule="auto"/>
        <w:contextualSpacing/>
        <w:jc w:val="both"/>
        <w:rPr>
          <w:rFonts w:ascii="Verdana" w:hAnsi="Verdana"/>
          <w:sz w:val="20"/>
          <w:szCs w:val="20"/>
          <w:lang w:eastAsia="en-GB"/>
        </w:rPr>
      </w:pPr>
    </w:p>
    <w:p w14:paraId="5B5FB8AE" w14:textId="597CC9E4" w:rsidR="00272BF8" w:rsidRPr="003E2544" w:rsidRDefault="00272BF8" w:rsidP="00245274">
      <w:pPr>
        <w:spacing w:line="240" w:lineRule="auto"/>
        <w:ind w:left="180"/>
        <w:contextualSpacing/>
        <w:jc w:val="both"/>
        <w:rPr>
          <w:rFonts w:ascii="Verdana" w:eastAsia="Times New Roman" w:hAnsi="Verdana" w:cs="Times New Roman"/>
          <w:color w:val="000000" w:themeColor="text1"/>
          <w:sz w:val="20"/>
          <w:szCs w:val="20"/>
          <w:u w:val="single"/>
          <w:lang w:eastAsia="en-GB"/>
        </w:rPr>
      </w:pPr>
      <w:r w:rsidRPr="003E2544">
        <w:rPr>
          <w:rFonts w:ascii="Verdana" w:eastAsia="Times New Roman" w:hAnsi="Verdana" w:cs="Times New Roman"/>
          <w:color w:val="000000" w:themeColor="text1"/>
          <w:sz w:val="20"/>
          <w:szCs w:val="20"/>
          <w:lang w:eastAsia="en-GB"/>
        </w:rPr>
        <w:t xml:space="preserve">3.2 Outputs </w:t>
      </w:r>
    </w:p>
    <w:p w14:paraId="488B4AAF" w14:textId="537567D9" w:rsidR="00A8048A" w:rsidRPr="003E2544" w:rsidRDefault="00A8048A" w:rsidP="00245274">
      <w:pPr>
        <w:pStyle w:val="Default"/>
        <w:numPr>
          <w:ilvl w:val="0"/>
          <w:numId w:val="11"/>
        </w:numPr>
        <w:jc w:val="both"/>
        <w:rPr>
          <w:rFonts w:ascii="Verdana" w:hAnsi="Verdana"/>
          <w:sz w:val="20"/>
          <w:szCs w:val="20"/>
        </w:rPr>
      </w:pPr>
      <w:r w:rsidRPr="003E2544">
        <w:rPr>
          <w:rFonts w:ascii="Verdana" w:hAnsi="Verdana"/>
          <w:b/>
          <w:bCs/>
          <w:sz w:val="20"/>
          <w:szCs w:val="20"/>
        </w:rPr>
        <w:t>Output 1.1:</w:t>
      </w:r>
      <w:r w:rsidRPr="003E2544">
        <w:rPr>
          <w:rFonts w:ascii="Verdana" w:hAnsi="Verdana"/>
          <w:sz w:val="20"/>
          <w:szCs w:val="20"/>
        </w:rPr>
        <w:t xml:space="preserve"> Political Governance Processes and Transitional Institutions and Mechanisms supported for effective, transparent and responsive governance.</w:t>
      </w:r>
    </w:p>
    <w:p w14:paraId="25D96A79" w14:textId="4F79BF12" w:rsidR="00A21FBA" w:rsidRPr="003E2544" w:rsidRDefault="000A0F6E" w:rsidP="00245274">
      <w:pPr>
        <w:pStyle w:val="Default"/>
        <w:numPr>
          <w:ilvl w:val="0"/>
          <w:numId w:val="11"/>
        </w:numPr>
        <w:jc w:val="both"/>
        <w:rPr>
          <w:rFonts w:ascii="Verdana" w:hAnsi="Verdana"/>
          <w:sz w:val="20"/>
          <w:szCs w:val="20"/>
        </w:rPr>
      </w:pPr>
      <w:r w:rsidRPr="003E2544">
        <w:rPr>
          <w:rFonts w:ascii="Verdana" w:hAnsi="Verdana"/>
          <w:b/>
          <w:bCs/>
          <w:sz w:val="20"/>
          <w:szCs w:val="20"/>
        </w:rPr>
        <w:t>Output 1.2</w:t>
      </w:r>
      <w:r w:rsidR="00480CE0" w:rsidRPr="003E2544">
        <w:rPr>
          <w:rFonts w:ascii="Verdana" w:hAnsi="Verdana"/>
          <w:b/>
          <w:bCs/>
          <w:sz w:val="20"/>
          <w:szCs w:val="20"/>
        </w:rPr>
        <w:t>:</w:t>
      </w:r>
      <w:r w:rsidRPr="003E2544">
        <w:rPr>
          <w:rFonts w:ascii="Verdana" w:hAnsi="Verdana"/>
          <w:b/>
          <w:bCs/>
          <w:sz w:val="20"/>
          <w:szCs w:val="20"/>
        </w:rPr>
        <w:t xml:space="preserve"> </w:t>
      </w:r>
      <w:r w:rsidRPr="003E2544">
        <w:rPr>
          <w:rFonts w:ascii="Verdana" w:hAnsi="Verdana"/>
          <w:sz w:val="20"/>
          <w:szCs w:val="20"/>
        </w:rPr>
        <w:t xml:space="preserve">Public Administration strengthened through institution building </w:t>
      </w:r>
      <w:r w:rsidR="008D0E5E" w:rsidRPr="003E2544">
        <w:rPr>
          <w:rFonts w:ascii="Verdana" w:hAnsi="Verdana"/>
          <w:sz w:val="20"/>
          <w:szCs w:val="20"/>
        </w:rPr>
        <w:t>and reform</w:t>
      </w:r>
      <w:r w:rsidR="00597291" w:rsidRPr="003E2544">
        <w:rPr>
          <w:rFonts w:ascii="Verdana" w:hAnsi="Verdana"/>
          <w:sz w:val="20"/>
          <w:szCs w:val="20"/>
        </w:rPr>
        <w:t>.</w:t>
      </w:r>
      <w:r w:rsidRPr="003E2544">
        <w:rPr>
          <w:rFonts w:ascii="Verdana" w:hAnsi="Verdana"/>
          <w:sz w:val="20"/>
          <w:szCs w:val="20"/>
        </w:rPr>
        <w:t xml:space="preserve">     </w:t>
      </w:r>
    </w:p>
    <w:p w14:paraId="5B0F9C32" w14:textId="54521A43" w:rsidR="00A21FBA" w:rsidRPr="003E2544" w:rsidRDefault="007A6D39" w:rsidP="00245274">
      <w:pPr>
        <w:pStyle w:val="Default"/>
        <w:numPr>
          <w:ilvl w:val="0"/>
          <w:numId w:val="11"/>
        </w:numPr>
        <w:jc w:val="both"/>
        <w:rPr>
          <w:rFonts w:ascii="Verdana" w:hAnsi="Verdana"/>
          <w:sz w:val="20"/>
          <w:szCs w:val="20"/>
        </w:rPr>
      </w:pPr>
      <w:r w:rsidRPr="003E2544">
        <w:rPr>
          <w:rFonts w:ascii="Verdana" w:hAnsi="Verdana"/>
          <w:b/>
          <w:bCs/>
          <w:sz w:val="20"/>
          <w:szCs w:val="20"/>
        </w:rPr>
        <w:t xml:space="preserve">Output 3.1 </w:t>
      </w:r>
      <w:r w:rsidR="00597291" w:rsidRPr="003E2544">
        <w:rPr>
          <w:rFonts w:ascii="Verdana" w:hAnsi="Verdana"/>
          <w:b/>
          <w:bCs/>
          <w:sz w:val="20"/>
          <w:szCs w:val="20"/>
        </w:rPr>
        <w:t>(</w:t>
      </w:r>
      <w:r w:rsidRPr="003E2544">
        <w:rPr>
          <w:rFonts w:ascii="Verdana" w:hAnsi="Verdana"/>
          <w:b/>
          <w:bCs/>
          <w:sz w:val="20"/>
          <w:szCs w:val="20"/>
        </w:rPr>
        <w:t>Health</w:t>
      </w:r>
      <w:r w:rsidR="00597291" w:rsidRPr="003E2544">
        <w:rPr>
          <w:rFonts w:ascii="Verdana" w:hAnsi="Verdana"/>
          <w:b/>
          <w:bCs/>
          <w:sz w:val="20"/>
          <w:szCs w:val="20"/>
        </w:rPr>
        <w:t>)</w:t>
      </w:r>
      <w:r w:rsidRPr="003E2544">
        <w:rPr>
          <w:rFonts w:ascii="Verdana" w:hAnsi="Verdana"/>
          <w:sz w:val="20"/>
          <w:szCs w:val="20"/>
        </w:rPr>
        <w:t>: People in South Sudan, particularly children, women, youth and people living with chronic illnesses have increased access to and utilization of quality essential health service</w:t>
      </w:r>
      <w:r w:rsidR="00597291" w:rsidRPr="003E2544">
        <w:rPr>
          <w:rFonts w:ascii="Verdana" w:hAnsi="Verdana"/>
          <w:sz w:val="20"/>
          <w:szCs w:val="20"/>
        </w:rPr>
        <w:t>.</w:t>
      </w:r>
    </w:p>
    <w:p w14:paraId="311C690D" w14:textId="10A93994" w:rsidR="00CB30BA" w:rsidRPr="003E2544" w:rsidRDefault="00CB30BA" w:rsidP="00245274">
      <w:pPr>
        <w:pStyle w:val="Default"/>
        <w:numPr>
          <w:ilvl w:val="0"/>
          <w:numId w:val="11"/>
        </w:numPr>
        <w:jc w:val="both"/>
        <w:rPr>
          <w:rFonts w:ascii="Verdana" w:hAnsi="Verdana"/>
          <w:sz w:val="20"/>
          <w:szCs w:val="20"/>
        </w:rPr>
      </w:pPr>
      <w:r w:rsidRPr="003E2544">
        <w:rPr>
          <w:rFonts w:ascii="Verdana" w:hAnsi="Verdana"/>
          <w:b/>
          <w:bCs/>
          <w:sz w:val="20"/>
          <w:szCs w:val="20"/>
        </w:rPr>
        <w:t xml:space="preserve">Output 3.4 </w:t>
      </w:r>
      <w:r w:rsidR="00597291" w:rsidRPr="003E2544">
        <w:rPr>
          <w:rFonts w:ascii="Verdana" w:hAnsi="Verdana"/>
          <w:b/>
          <w:bCs/>
          <w:sz w:val="20"/>
          <w:szCs w:val="20"/>
        </w:rPr>
        <w:t>(</w:t>
      </w:r>
      <w:r w:rsidRPr="003E2544">
        <w:rPr>
          <w:rFonts w:ascii="Verdana" w:hAnsi="Verdana"/>
          <w:b/>
          <w:bCs/>
          <w:sz w:val="20"/>
          <w:szCs w:val="20"/>
        </w:rPr>
        <w:t>WASH</w:t>
      </w:r>
      <w:r w:rsidR="00597291" w:rsidRPr="003E2544">
        <w:rPr>
          <w:rFonts w:ascii="Verdana" w:hAnsi="Verdana"/>
          <w:b/>
          <w:bCs/>
          <w:sz w:val="20"/>
          <w:szCs w:val="20"/>
        </w:rPr>
        <w:t>)</w:t>
      </w:r>
      <w:r w:rsidRPr="003E2544">
        <w:rPr>
          <w:rFonts w:ascii="Verdana" w:hAnsi="Verdana"/>
          <w:b/>
          <w:bCs/>
          <w:sz w:val="20"/>
          <w:szCs w:val="20"/>
        </w:rPr>
        <w:t>:</w:t>
      </w:r>
      <w:r w:rsidRPr="003E2544">
        <w:rPr>
          <w:rFonts w:ascii="Verdana" w:hAnsi="Verdana"/>
          <w:sz w:val="20"/>
          <w:szCs w:val="20"/>
        </w:rPr>
        <w:t xml:space="preserve"> Vulnerable and emergency-affected people in South Sudan including children and women have access to basic drinking water, sanitation facilities and increased the capacity for effective emergency preparedness, response and recovery for WASH services.</w:t>
      </w:r>
    </w:p>
    <w:p w14:paraId="3F5ED2F8" w14:textId="77777777" w:rsidR="008D553D" w:rsidRPr="003E2544" w:rsidRDefault="008D553D" w:rsidP="00245274">
      <w:pPr>
        <w:pStyle w:val="Default"/>
        <w:numPr>
          <w:ilvl w:val="0"/>
          <w:numId w:val="11"/>
        </w:numPr>
        <w:jc w:val="both"/>
        <w:rPr>
          <w:rFonts w:ascii="Verdana" w:hAnsi="Verdana"/>
          <w:sz w:val="20"/>
          <w:szCs w:val="20"/>
        </w:rPr>
      </w:pPr>
      <w:r w:rsidRPr="003E2544">
        <w:rPr>
          <w:rFonts w:ascii="Verdana" w:hAnsi="Verdana"/>
          <w:b/>
          <w:bCs/>
          <w:sz w:val="20"/>
          <w:szCs w:val="20"/>
        </w:rPr>
        <w:t xml:space="preserve">Output 3.5 (Education): </w:t>
      </w:r>
      <w:r w:rsidRPr="003E2544">
        <w:rPr>
          <w:rFonts w:ascii="Verdana" w:hAnsi="Verdana"/>
          <w:sz w:val="20"/>
          <w:szCs w:val="20"/>
        </w:rPr>
        <w:t xml:space="preserve">Children, adolescents, youth and adults have increased and equitable access to lifesaving quality education with improved learning outcomes and essential </w:t>
      </w:r>
      <w:proofErr w:type="spellStart"/>
      <w:r w:rsidRPr="003E2544">
        <w:rPr>
          <w:rFonts w:ascii="Verdana" w:hAnsi="Verdana"/>
          <w:sz w:val="20"/>
          <w:szCs w:val="20"/>
        </w:rPr>
        <w:t>lifeskills</w:t>
      </w:r>
      <w:proofErr w:type="spellEnd"/>
      <w:r w:rsidRPr="003E2544">
        <w:rPr>
          <w:rFonts w:ascii="Verdana" w:hAnsi="Verdana"/>
          <w:sz w:val="20"/>
          <w:szCs w:val="20"/>
        </w:rPr>
        <w:t>.</w:t>
      </w:r>
    </w:p>
    <w:p w14:paraId="3BFE86FF" w14:textId="77777777" w:rsidR="0017580A" w:rsidRPr="003E2544" w:rsidRDefault="0017580A" w:rsidP="00245274">
      <w:pPr>
        <w:pStyle w:val="ListParagraph"/>
        <w:spacing w:after="200" w:line="240" w:lineRule="auto"/>
        <w:ind w:left="1080"/>
        <w:rPr>
          <w:rFonts w:ascii="Verdana" w:hAnsi="Verdana"/>
          <w:sz w:val="20"/>
          <w:szCs w:val="20"/>
          <w:lang w:val="en-US"/>
        </w:rPr>
      </w:pPr>
    </w:p>
    <w:p w14:paraId="22FC97EA" w14:textId="1333ABF2" w:rsidR="00272BF8" w:rsidRPr="003E2544" w:rsidRDefault="00272BF8" w:rsidP="00245274">
      <w:pPr>
        <w:spacing w:line="240" w:lineRule="auto"/>
        <w:rPr>
          <w:rFonts w:ascii="Verdana" w:eastAsia="Times New Roman" w:hAnsi="Verdana" w:cs="Times New Roman"/>
          <w:b/>
          <w:bCs/>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4. SDG Targets directly addressed by the Joint Programme</w:t>
      </w:r>
    </w:p>
    <w:p w14:paraId="3B1892E0" w14:textId="77777777" w:rsidR="009B3AA4" w:rsidRPr="003E2544" w:rsidRDefault="009B3AA4" w:rsidP="00245274">
      <w:pPr>
        <w:spacing w:line="240" w:lineRule="auto"/>
        <w:rPr>
          <w:rFonts w:ascii="Verdana" w:eastAsia="Times New Roman" w:hAnsi="Verdana" w:cs="Times New Roman"/>
          <w:color w:val="000000" w:themeColor="text1"/>
          <w:sz w:val="20"/>
          <w:szCs w:val="20"/>
          <w:lang w:eastAsia="en-GB"/>
        </w:rPr>
      </w:pPr>
    </w:p>
    <w:p w14:paraId="01733557" w14:textId="507DA9AB" w:rsidR="006162FE" w:rsidRDefault="0031783D" w:rsidP="00245274">
      <w:pPr>
        <w:pStyle w:val="Heading3"/>
        <w:spacing w:line="240" w:lineRule="auto"/>
        <w:rPr>
          <w:lang w:eastAsia="en-GB"/>
        </w:rPr>
      </w:pPr>
      <w:r w:rsidRPr="003E2544">
        <w:rPr>
          <w:lang w:eastAsia="en-GB"/>
        </w:rPr>
        <w:t xml:space="preserve">4.1 </w:t>
      </w:r>
      <w:r w:rsidR="00272BF8" w:rsidRPr="003E2544">
        <w:rPr>
          <w:lang w:eastAsia="en-GB"/>
        </w:rPr>
        <w:t xml:space="preserve">List of goals and targets </w:t>
      </w:r>
    </w:p>
    <w:p w14:paraId="7FE2DC56" w14:textId="3D2BB991" w:rsidR="00C117D4" w:rsidRDefault="00C117D4" w:rsidP="00245274">
      <w:pPr>
        <w:spacing w:line="240" w:lineRule="auto"/>
        <w:rPr>
          <w:lang w:eastAsia="en-GB"/>
        </w:rPr>
      </w:pPr>
    </w:p>
    <w:p w14:paraId="4E8BB244" w14:textId="2E9DD837" w:rsidR="00C117D4" w:rsidRPr="00467001" w:rsidRDefault="003827ED" w:rsidP="00245274">
      <w:pPr>
        <w:spacing w:line="240" w:lineRule="auto"/>
        <w:rPr>
          <w:rFonts w:ascii="Verdana" w:hAnsi="Verdana"/>
          <w:sz w:val="20"/>
          <w:szCs w:val="20"/>
        </w:rPr>
      </w:pPr>
      <w:r w:rsidRPr="00467001">
        <w:rPr>
          <w:rFonts w:ascii="Verdana" w:hAnsi="Verdana"/>
          <w:sz w:val="20"/>
          <w:szCs w:val="20"/>
        </w:rPr>
        <w:t>The p</w:t>
      </w:r>
      <w:r w:rsidR="00C117D4" w:rsidRPr="00467001">
        <w:rPr>
          <w:rFonts w:ascii="Verdana" w:hAnsi="Verdana"/>
          <w:sz w:val="20"/>
          <w:szCs w:val="20"/>
        </w:rPr>
        <w:t>rimary SDGs and targets supported by the JP</w:t>
      </w:r>
      <w:r w:rsidRPr="00467001">
        <w:rPr>
          <w:rFonts w:ascii="Verdana" w:hAnsi="Verdana"/>
          <w:sz w:val="20"/>
          <w:szCs w:val="20"/>
        </w:rPr>
        <w:t xml:space="preserve"> are</w:t>
      </w:r>
      <w:r w:rsidR="00C117D4" w:rsidRPr="00467001">
        <w:rPr>
          <w:rFonts w:ascii="Verdana" w:hAnsi="Verdana"/>
          <w:sz w:val="20"/>
          <w:szCs w:val="20"/>
        </w:rPr>
        <w:t>:</w:t>
      </w:r>
    </w:p>
    <w:p w14:paraId="1B3A23AB" w14:textId="77777777" w:rsidR="00C117D4" w:rsidRPr="00C117D4" w:rsidRDefault="00C117D4" w:rsidP="00245274">
      <w:pPr>
        <w:spacing w:line="240" w:lineRule="auto"/>
        <w:rPr>
          <w:lang w:eastAsia="en-GB"/>
        </w:rPr>
      </w:pPr>
    </w:p>
    <w:p w14:paraId="09EE7E69" w14:textId="77777777" w:rsidR="00C81D01" w:rsidRPr="003E2544" w:rsidRDefault="00C81D01" w:rsidP="00467001">
      <w:pPr>
        <w:spacing w:line="240" w:lineRule="auto"/>
        <w:jc w:val="both"/>
        <w:rPr>
          <w:rFonts w:ascii="Verdana" w:hAnsi="Verdana"/>
          <w:b/>
          <w:bCs/>
          <w:sz w:val="20"/>
          <w:szCs w:val="20"/>
        </w:rPr>
      </w:pPr>
      <w:r w:rsidRPr="003E2544">
        <w:rPr>
          <w:rFonts w:ascii="Verdana" w:hAnsi="Verdana"/>
          <w:b/>
          <w:bCs/>
          <w:sz w:val="20"/>
          <w:szCs w:val="20"/>
        </w:rPr>
        <w:t>SDG 17: Partnership for Sustainable Development</w:t>
      </w:r>
    </w:p>
    <w:p w14:paraId="2B7B9C2A" w14:textId="3D416E44" w:rsidR="6CD51F12" w:rsidRPr="003E2544" w:rsidRDefault="00C81D01" w:rsidP="00467001">
      <w:pPr>
        <w:spacing w:line="240" w:lineRule="auto"/>
        <w:jc w:val="both"/>
        <w:rPr>
          <w:rFonts w:ascii="Verdana" w:eastAsiaTheme="minorEastAsia" w:hAnsi="Verdana" w:cstheme="minorBidi"/>
          <w:sz w:val="20"/>
          <w:szCs w:val="20"/>
        </w:rPr>
      </w:pPr>
      <w:r w:rsidRPr="003E2544">
        <w:rPr>
          <w:rFonts w:ascii="Verdana" w:hAnsi="Verdana"/>
          <w:sz w:val="20"/>
          <w:szCs w:val="20"/>
        </w:rPr>
        <w:t>Targets</w:t>
      </w:r>
      <w:r w:rsidR="009B3AA4" w:rsidRPr="003E2544">
        <w:rPr>
          <w:rFonts w:ascii="Verdana" w:hAnsi="Verdana"/>
          <w:sz w:val="20"/>
          <w:szCs w:val="20"/>
        </w:rPr>
        <w:t xml:space="preserve"> </w:t>
      </w:r>
      <w:r w:rsidRPr="003E2544">
        <w:rPr>
          <w:rFonts w:ascii="Verdana" w:hAnsi="Verdana"/>
          <w:sz w:val="20"/>
          <w:szCs w:val="20"/>
        </w:rPr>
        <w:t>17.1: Strengthen domestic resource mobilization, including through international support to developing countries, to improve domestic capacity for tax and other revenue collection</w:t>
      </w:r>
      <w:r w:rsidR="009B3AA4" w:rsidRPr="003E2544">
        <w:rPr>
          <w:rFonts w:ascii="Verdana" w:hAnsi="Verdana"/>
          <w:sz w:val="20"/>
          <w:szCs w:val="20"/>
        </w:rPr>
        <w:t xml:space="preserve">; </w:t>
      </w:r>
      <w:r w:rsidRPr="003E2544">
        <w:rPr>
          <w:rFonts w:ascii="Verdana" w:hAnsi="Verdana"/>
          <w:sz w:val="20"/>
          <w:szCs w:val="20"/>
        </w:rPr>
        <w:t>17.3: Mobilize additional financial resources for developing countries from multiple sources</w:t>
      </w:r>
      <w:r w:rsidR="009B3AA4" w:rsidRPr="003E2544">
        <w:rPr>
          <w:rFonts w:ascii="Verdana" w:hAnsi="Verdana"/>
          <w:sz w:val="20"/>
          <w:szCs w:val="20"/>
        </w:rPr>
        <w:t xml:space="preserve">; and </w:t>
      </w:r>
      <w:r w:rsidR="6CD51F12" w:rsidRPr="003E2544">
        <w:rPr>
          <w:rFonts w:ascii="Verdana" w:hAnsi="Verdana"/>
          <w:sz w:val="20"/>
          <w:szCs w:val="20"/>
        </w:rPr>
        <w:t>17.4</w:t>
      </w:r>
      <w:r w:rsidR="006A64B4" w:rsidRPr="003E2544">
        <w:rPr>
          <w:rFonts w:ascii="Verdana" w:hAnsi="Verdana"/>
          <w:sz w:val="20"/>
          <w:szCs w:val="20"/>
        </w:rPr>
        <w:t>:</w:t>
      </w:r>
      <w:r w:rsidR="6CD51F12" w:rsidRPr="003E2544">
        <w:rPr>
          <w:rFonts w:ascii="Verdana" w:hAnsi="Verdana"/>
          <w:sz w:val="20"/>
          <w:szCs w:val="20"/>
        </w:rPr>
        <w:t xml:space="preserve"> Enhance policy coherence for sustainable development</w:t>
      </w:r>
      <w:r w:rsidR="003A2908" w:rsidRPr="003E2544">
        <w:rPr>
          <w:rFonts w:ascii="Verdana" w:hAnsi="Verdana"/>
          <w:sz w:val="20"/>
          <w:szCs w:val="20"/>
        </w:rPr>
        <w:t>.</w:t>
      </w:r>
    </w:p>
    <w:p w14:paraId="1BB91C9C" w14:textId="038747A1" w:rsidR="00F3476E" w:rsidRPr="003E2544" w:rsidRDefault="00F3476E" w:rsidP="00467001">
      <w:pPr>
        <w:spacing w:line="240" w:lineRule="auto"/>
        <w:jc w:val="both"/>
        <w:rPr>
          <w:rFonts w:ascii="Verdana" w:hAnsi="Verdana"/>
          <w:sz w:val="20"/>
          <w:szCs w:val="20"/>
        </w:rPr>
      </w:pPr>
    </w:p>
    <w:p w14:paraId="06AF4DC9" w14:textId="6AD2889F" w:rsidR="00C81D01" w:rsidRPr="003E2544" w:rsidRDefault="00C81D01" w:rsidP="00467001">
      <w:pPr>
        <w:spacing w:line="240" w:lineRule="auto"/>
        <w:jc w:val="both"/>
        <w:rPr>
          <w:rFonts w:ascii="Verdana" w:hAnsi="Verdana"/>
          <w:b/>
          <w:bCs/>
          <w:sz w:val="20"/>
          <w:szCs w:val="20"/>
        </w:rPr>
      </w:pPr>
      <w:r w:rsidRPr="003E2544">
        <w:rPr>
          <w:rFonts w:ascii="Verdana" w:hAnsi="Verdana"/>
          <w:b/>
          <w:bCs/>
          <w:sz w:val="20"/>
          <w:szCs w:val="20"/>
        </w:rPr>
        <w:t>SDG 16: Strong Institutions of Peace and Justice</w:t>
      </w:r>
    </w:p>
    <w:p w14:paraId="12C4DF41" w14:textId="59F636A8" w:rsidR="00F3476E" w:rsidRPr="003E2544" w:rsidRDefault="006A64B4" w:rsidP="00467001">
      <w:pPr>
        <w:spacing w:line="240" w:lineRule="auto"/>
        <w:jc w:val="both"/>
        <w:rPr>
          <w:rFonts w:ascii="Verdana" w:hAnsi="Verdana"/>
          <w:sz w:val="20"/>
          <w:szCs w:val="20"/>
        </w:rPr>
      </w:pPr>
      <w:r w:rsidRPr="003E2544">
        <w:rPr>
          <w:rFonts w:ascii="Verdana" w:hAnsi="Verdana"/>
          <w:sz w:val="20"/>
          <w:szCs w:val="20"/>
        </w:rPr>
        <w:t>Targets</w:t>
      </w:r>
      <w:r w:rsidR="009B3AA4" w:rsidRPr="003E2544">
        <w:rPr>
          <w:rFonts w:ascii="Verdana" w:hAnsi="Verdana"/>
          <w:sz w:val="20"/>
          <w:szCs w:val="20"/>
        </w:rPr>
        <w:t xml:space="preserve"> </w:t>
      </w:r>
      <w:r w:rsidRPr="003E2544">
        <w:rPr>
          <w:rFonts w:ascii="Verdana" w:hAnsi="Verdana"/>
          <w:sz w:val="20"/>
          <w:szCs w:val="20"/>
        </w:rPr>
        <w:t xml:space="preserve">16.6: </w:t>
      </w:r>
      <w:r w:rsidR="00C81D01" w:rsidRPr="003E2544">
        <w:rPr>
          <w:rFonts w:ascii="Verdana" w:hAnsi="Verdana"/>
          <w:sz w:val="20"/>
          <w:szCs w:val="20"/>
        </w:rPr>
        <w:t>Develop effective, accountable and transparent institutions at all levels</w:t>
      </w:r>
      <w:r w:rsidR="009B3AA4" w:rsidRPr="003E2544">
        <w:rPr>
          <w:rFonts w:ascii="Verdana" w:hAnsi="Verdana"/>
          <w:sz w:val="20"/>
          <w:szCs w:val="20"/>
        </w:rPr>
        <w:t xml:space="preserve">; </w:t>
      </w:r>
      <w:r w:rsidRPr="003E2544">
        <w:rPr>
          <w:rFonts w:ascii="Verdana" w:hAnsi="Verdana"/>
          <w:sz w:val="20"/>
          <w:szCs w:val="20"/>
        </w:rPr>
        <w:t xml:space="preserve">16.7: </w:t>
      </w:r>
      <w:r w:rsidR="00F3476E" w:rsidRPr="003E2544">
        <w:rPr>
          <w:rFonts w:ascii="Verdana" w:hAnsi="Verdana"/>
          <w:sz w:val="20"/>
          <w:szCs w:val="20"/>
        </w:rPr>
        <w:t>Ensure responsive, inclusive, participatory and representative decision-making at all levels</w:t>
      </w:r>
      <w:r w:rsidR="003A2908" w:rsidRPr="003E2544">
        <w:rPr>
          <w:rFonts w:ascii="Verdana" w:hAnsi="Verdana"/>
          <w:sz w:val="20"/>
          <w:szCs w:val="20"/>
        </w:rPr>
        <w:t>.</w:t>
      </w:r>
      <w:r w:rsidR="009B3AA4" w:rsidRPr="003E2544">
        <w:rPr>
          <w:rFonts w:ascii="Verdana" w:hAnsi="Verdana"/>
          <w:sz w:val="20"/>
          <w:szCs w:val="20"/>
        </w:rPr>
        <w:t xml:space="preserve">; and </w:t>
      </w:r>
      <w:r w:rsidRPr="003E2544">
        <w:rPr>
          <w:rFonts w:ascii="Verdana" w:hAnsi="Verdana"/>
          <w:sz w:val="20"/>
          <w:szCs w:val="20"/>
        </w:rPr>
        <w:t xml:space="preserve">16.10: </w:t>
      </w:r>
      <w:r w:rsidR="00F3476E" w:rsidRPr="003E2544">
        <w:rPr>
          <w:rFonts w:ascii="Verdana" w:hAnsi="Verdana"/>
          <w:sz w:val="20"/>
          <w:szCs w:val="20"/>
        </w:rPr>
        <w:t>Ensure public access to information and protect fundamental freedoms, in accordance with national legislation and international agreement</w:t>
      </w:r>
      <w:r w:rsidR="003A2908" w:rsidRPr="003E2544">
        <w:rPr>
          <w:rFonts w:ascii="Verdana" w:hAnsi="Verdana"/>
          <w:sz w:val="20"/>
          <w:szCs w:val="20"/>
        </w:rPr>
        <w:t>.</w:t>
      </w:r>
    </w:p>
    <w:p w14:paraId="5D61BE27" w14:textId="77777777" w:rsidR="006A64B4" w:rsidRPr="003E2544" w:rsidRDefault="006A64B4" w:rsidP="00467001">
      <w:pPr>
        <w:spacing w:line="240" w:lineRule="auto"/>
        <w:jc w:val="both"/>
        <w:rPr>
          <w:rFonts w:ascii="Verdana" w:hAnsi="Verdana"/>
          <w:sz w:val="20"/>
          <w:szCs w:val="20"/>
        </w:rPr>
      </w:pPr>
    </w:p>
    <w:p w14:paraId="137A4FCF" w14:textId="67D214C2" w:rsidR="0031783D" w:rsidRPr="003E2544" w:rsidRDefault="0031783D" w:rsidP="00467001">
      <w:pPr>
        <w:spacing w:line="240" w:lineRule="auto"/>
        <w:jc w:val="both"/>
        <w:rPr>
          <w:rFonts w:ascii="Verdana" w:hAnsi="Verdana"/>
          <w:b/>
          <w:bCs/>
          <w:sz w:val="20"/>
          <w:szCs w:val="20"/>
        </w:rPr>
      </w:pPr>
      <w:r w:rsidRPr="003E2544">
        <w:rPr>
          <w:rFonts w:ascii="Verdana" w:hAnsi="Verdana"/>
          <w:b/>
          <w:bCs/>
          <w:sz w:val="20"/>
          <w:szCs w:val="20"/>
        </w:rPr>
        <w:lastRenderedPageBreak/>
        <w:t>SDG 1: No Poverty</w:t>
      </w:r>
    </w:p>
    <w:p w14:paraId="77F0F4C6" w14:textId="78EA0340" w:rsidR="00DD0936" w:rsidRPr="003E2544" w:rsidRDefault="00DD0936" w:rsidP="00467001">
      <w:pPr>
        <w:spacing w:line="240" w:lineRule="auto"/>
        <w:jc w:val="both"/>
        <w:rPr>
          <w:rFonts w:ascii="Verdana" w:hAnsi="Verdana"/>
          <w:sz w:val="20"/>
          <w:szCs w:val="20"/>
        </w:rPr>
      </w:pPr>
      <w:r w:rsidRPr="003E2544">
        <w:rPr>
          <w:rFonts w:ascii="Verdana" w:hAnsi="Verdana"/>
          <w:sz w:val="20"/>
          <w:szCs w:val="20"/>
        </w:rPr>
        <w:t>Targets</w:t>
      </w:r>
      <w:r w:rsidR="009B3AA4" w:rsidRPr="003E2544">
        <w:rPr>
          <w:rFonts w:ascii="Verdana" w:hAnsi="Verdana"/>
          <w:sz w:val="20"/>
          <w:szCs w:val="20"/>
        </w:rPr>
        <w:t xml:space="preserve"> </w:t>
      </w:r>
      <w:r w:rsidRPr="003E2544">
        <w:rPr>
          <w:rFonts w:ascii="Verdana" w:hAnsi="Verdana"/>
          <w:sz w:val="20"/>
          <w:szCs w:val="20"/>
        </w:rPr>
        <w:t>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r w:rsidR="009B3AA4" w:rsidRPr="003E2544">
        <w:rPr>
          <w:rFonts w:ascii="Verdana" w:hAnsi="Verdana"/>
          <w:sz w:val="20"/>
          <w:szCs w:val="20"/>
        </w:rPr>
        <w:t xml:space="preserve">; and </w:t>
      </w:r>
      <w:r w:rsidRPr="003E2544">
        <w:rPr>
          <w:rFonts w:ascii="Verdana" w:hAnsi="Verdana"/>
          <w:sz w:val="20"/>
          <w:szCs w:val="20"/>
        </w:rPr>
        <w:t>1.B: Create sound policy frameworks at the national, regional and international levels, based on pro-poor and gender-sensitive development strategies, to support accelerated investment in poverty eradication actions</w:t>
      </w:r>
      <w:r w:rsidR="003A2908" w:rsidRPr="003E2544">
        <w:rPr>
          <w:rFonts w:ascii="Verdana" w:hAnsi="Verdana"/>
          <w:sz w:val="20"/>
          <w:szCs w:val="20"/>
        </w:rPr>
        <w:t>.</w:t>
      </w:r>
    </w:p>
    <w:p w14:paraId="1052D843" w14:textId="77777777" w:rsidR="00EF1C48" w:rsidRPr="003E2544" w:rsidRDefault="00EF1C48" w:rsidP="00467001">
      <w:pPr>
        <w:spacing w:line="240" w:lineRule="auto"/>
        <w:jc w:val="both"/>
        <w:rPr>
          <w:rFonts w:ascii="Verdana" w:hAnsi="Verdana"/>
          <w:b/>
          <w:bCs/>
          <w:sz w:val="20"/>
          <w:szCs w:val="20"/>
        </w:rPr>
      </w:pPr>
    </w:p>
    <w:p w14:paraId="488E9E2D" w14:textId="6F4373D3" w:rsidR="003827ED" w:rsidRPr="00467001" w:rsidRDefault="003827ED" w:rsidP="00975396">
      <w:pPr>
        <w:spacing w:line="240" w:lineRule="auto"/>
        <w:jc w:val="both"/>
        <w:rPr>
          <w:rFonts w:ascii="Verdana" w:hAnsi="Verdana"/>
          <w:sz w:val="20"/>
          <w:szCs w:val="20"/>
        </w:rPr>
      </w:pPr>
      <w:r w:rsidRPr="00467001">
        <w:rPr>
          <w:rFonts w:ascii="Verdana" w:hAnsi="Verdana"/>
          <w:sz w:val="20"/>
          <w:szCs w:val="20"/>
        </w:rPr>
        <w:t xml:space="preserve">The JP also contributes to SDG 3: Good Health and Well-being; SDG 4: Quality Education; SDG 5: Gender Equality; SDG 6: Clean Water and Sanitation; and SDG 10: Reduced Inequality. </w:t>
      </w:r>
    </w:p>
    <w:p w14:paraId="6AEED9D5" w14:textId="77777777" w:rsidR="00272BF8" w:rsidRPr="003E2544" w:rsidRDefault="00272BF8" w:rsidP="00245274">
      <w:pPr>
        <w:spacing w:line="240" w:lineRule="auto"/>
        <w:rPr>
          <w:rFonts w:ascii="Verdana" w:eastAsia="Calibri" w:hAnsi="Verdana"/>
          <w:color w:val="000000" w:themeColor="text1"/>
          <w:sz w:val="20"/>
          <w:szCs w:val="20"/>
          <w:lang w:eastAsia="en-GB"/>
        </w:rPr>
      </w:pPr>
    </w:p>
    <w:p w14:paraId="6827ACF3" w14:textId="21A992DD" w:rsidR="00272BF8" w:rsidRDefault="00272BF8" w:rsidP="00245274">
      <w:pPr>
        <w:spacing w:line="240" w:lineRule="auto"/>
        <w:rPr>
          <w:rFonts w:ascii="Verdana" w:eastAsia="Times New Roman" w:hAnsi="Verdana" w:cs="Times New Roman"/>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5. Relevant objective(s) from the national SDG framework</w:t>
      </w:r>
      <w:r w:rsidRPr="003E2544">
        <w:rPr>
          <w:rFonts w:ascii="Verdana" w:eastAsia="Times New Roman" w:hAnsi="Verdana" w:cs="Times New Roman"/>
          <w:color w:val="000000" w:themeColor="text1"/>
          <w:sz w:val="20"/>
          <w:szCs w:val="20"/>
          <w:lang w:eastAsia="en-GB"/>
        </w:rPr>
        <w:t xml:space="preserve"> </w:t>
      </w:r>
    </w:p>
    <w:p w14:paraId="581C87D0" w14:textId="77777777" w:rsidR="00C117D4" w:rsidRPr="003E2544" w:rsidRDefault="00C117D4" w:rsidP="00245274">
      <w:pPr>
        <w:spacing w:line="240" w:lineRule="auto"/>
        <w:rPr>
          <w:rFonts w:ascii="Verdana" w:eastAsia="Times New Roman" w:hAnsi="Verdana" w:cs="Times New Roman"/>
          <w:color w:val="000000" w:themeColor="text1"/>
          <w:sz w:val="20"/>
          <w:szCs w:val="20"/>
          <w:lang w:eastAsia="en-GB"/>
        </w:rPr>
      </w:pPr>
    </w:p>
    <w:p w14:paraId="2E0CE517" w14:textId="1CCF7329" w:rsidR="008D0E5E" w:rsidRPr="003E2544" w:rsidRDefault="00141066" w:rsidP="00245274">
      <w:pPr>
        <w:spacing w:after="200" w:line="240" w:lineRule="auto"/>
        <w:contextualSpacing/>
        <w:rPr>
          <w:rFonts w:ascii="Verdana" w:eastAsia="Times New Roman" w:hAnsi="Verdana" w:cs="Times New Roman"/>
          <w:color w:val="000000" w:themeColor="text1"/>
          <w:sz w:val="20"/>
          <w:szCs w:val="20"/>
          <w:lang w:eastAsia="en-GB"/>
        </w:rPr>
      </w:pPr>
      <w:proofErr w:type="spellStart"/>
      <w:r w:rsidRPr="003E2544">
        <w:rPr>
          <w:rFonts w:ascii="Verdana" w:eastAsia="Times New Roman" w:hAnsi="Verdana" w:cs="Times New Roman"/>
          <w:b/>
          <w:bCs/>
          <w:color w:val="000000" w:themeColor="text1"/>
          <w:sz w:val="20"/>
          <w:szCs w:val="20"/>
          <w:lang w:eastAsia="en-GB"/>
        </w:rPr>
        <w:t>i</w:t>
      </w:r>
      <w:proofErr w:type="spellEnd"/>
      <w:r w:rsidRPr="003E2544">
        <w:rPr>
          <w:rFonts w:ascii="Verdana" w:eastAsia="Times New Roman" w:hAnsi="Verdana" w:cs="Times New Roman"/>
          <w:b/>
          <w:bCs/>
          <w:color w:val="000000" w:themeColor="text1"/>
          <w:sz w:val="20"/>
          <w:szCs w:val="20"/>
          <w:lang w:eastAsia="en-GB"/>
        </w:rPr>
        <w:t xml:space="preserve">) </w:t>
      </w:r>
      <w:r w:rsidR="00FC3391" w:rsidRPr="003E2544">
        <w:rPr>
          <w:rFonts w:ascii="Verdana" w:eastAsia="Times New Roman" w:hAnsi="Verdana" w:cs="Times New Roman"/>
          <w:b/>
          <w:bCs/>
          <w:color w:val="000000" w:themeColor="text1"/>
          <w:sz w:val="20"/>
          <w:szCs w:val="20"/>
          <w:lang w:eastAsia="en-GB"/>
        </w:rPr>
        <w:t xml:space="preserve">National Development Strategy </w:t>
      </w:r>
      <w:r w:rsidR="008D0E5E" w:rsidRPr="003E2544">
        <w:rPr>
          <w:rFonts w:ascii="Verdana" w:eastAsia="Times New Roman" w:hAnsi="Verdana" w:cs="Times New Roman"/>
          <w:b/>
          <w:bCs/>
          <w:color w:val="000000" w:themeColor="text1"/>
          <w:sz w:val="20"/>
          <w:szCs w:val="20"/>
          <w:lang w:eastAsia="en-GB"/>
        </w:rPr>
        <w:t>(</w:t>
      </w:r>
      <w:r w:rsidR="006D3EBE" w:rsidRPr="003E2544">
        <w:rPr>
          <w:rFonts w:ascii="Verdana" w:eastAsia="Times New Roman" w:hAnsi="Verdana" w:cs="Times New Roman"/>
          <w:b/>
          <w:bCs/>
          <w:color w:val="000000" w:themeColor="text1"/>
          <w:sz w:val="20"/>
          <w:szCs w:val="20"/>
          <w:lang w:eastAsia="en-GB"/>
        </w:rPr>
        <w:t xml:space="preserve">July </w:t>
      </w:r>
      <w:r w:rsidR="00FC3391" w:rsidRPr="003E2544">
        <w:rPr>
          <w:rFonts w:ascii="Verdana" w:eastAsia="Times New Roman" w:hAnsi="Verdana" w:cs="Times New Roman"/>
          <w:b/>
          <w:bCs/>
          <w:color w:val="000000" w:themeColor="text1"/>
          <w:sz w:val="20"/>
          <w:szCs w:val="20"/>
          <w:lang w:eastAsia="en-GB"/>
        </w:rPr>
        <w:t>2018</w:t>
      </w:r>
      <w:r w:rsidRPr="003E2544">
        <w:rPr>
          <w:rFonts w:ascii="Verdana" w:hAnsi="Verdana"/>
          <w:sz w:val="20"/>
          <w:szCs w:val="20"/>
        </w:rPr>
        <w:t>–</w:t>
      </w:r>
      <w:r w:rsidR="006D3EBE" w:rsidRPr="003E2544">
        <w:rPr>
          <w:rFonts w:ascii="Verdana" w:eastAsia="Times New Roman" w:hAnsi="Verdana" w:cs="Times New Roman"/>
          <w:b/>
          <w:bCs/>
          <w:color w:val="000000" w:themeColor="text1"/>
          <w:sz w:val="20"/>
          <w:szCs w:val="20"/>
          <w:lang w:eastAsia="en-GB"/>
        </w:rPr>
        <w:t xml:space="preserve">June </w:t>
      </w:r>
      <w:r w:rsidR="00FC3391" w:rsidRPr="003E2544">
        <w:rPr>
          <w:rFonts w:ascii="Verdana" w:eastAsia="Times New Roman" w:hAnsi="Verdana" w:cs="Times New Roman"/>
          <w:b/>
          <w:bCs/>
          <w:color w:val="000000" w:themeColor="text1"/>
          <w:sz w:val="20"/>
          <w:szCs w:val="20"/>
          <w:lang w:eastAsia="en-GB"/>
        </w:rPr>
        <w:t>2021</w:t>
      </w:r>
      <w:r w:rsidR="008D0E5E" w:rsidRPr="003E2544">
        <w:rPr>
          <w:rFonts w:ascii="Verdana" w:eastAsia="Times New Roman" w:hAnsi="Verdana" w:cs="Times New Roman"/>
          <w:b/>
          <w:bCs/>
          <w:color w:val="000000" w:themeColor="text1"/>
          <w:sz w:val="20"/>
          <w:szCs w:val="20"/>
          <w:lang w:eastAsia="en-GB"/>
        </w:rPr>
        <w:t>)</w:t>
      </w:r>
    </w:p>
    <w:p w14:paraId="3ED2AE31" w14:textId="33F374F6" w:rsidR="001F40C3" w:rsidRPr="003E2544" w:rsidRDefault="178B567F" w:rsidP="00467001">
      <w:pPr>
        <w:spacing w:after="200" w:line="240" w:lineRule="auto"/>
        <w:ind w:firstLine="360"/>
        <w:contextualSpacing/>
        <w:rPr>
          <w:rFonts w:ascii="Verdana" w:eastAsia="Times New Roman" w:hAnsi="Verdana" w:cs="Times New Roman"/>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Accountability Sector Results Framework:</w:t>
      </w:r>
    </w:p>
    <w:p w14:paraId="31539A57" w14:textId="77777777" w:rsidR="00D635D3" w:rsidRPr="003E2544" w:rsidRDefault="001F40C3" w:rsidP="00781BD9">
      <w:pPr>
        <w:numPr>
          <w:ilvl w:val="2"/>
          <w:numId w:val="79"/>
        </w:numPr>
        <w:spacing w:after="200" w:line="240" w:lineRule="auto"/>
        <w:ind w:left="990"/>
        <w:contextualSpacing/>
        <w:rPr>
          <w:rFonts w:ascii="Verdana" w:eastAsia="Times New Roman" w:hAnsi="Verdana" w:cs="Times New Roman"/>
          <w:color w:val="000000" w:themeColor="text1"/>
          <w:sz w:val="20"/>
          <w:szCs w:val="20"/>
          <w:lang w:eastAsia="en-GB"/>
        </w:rPr>
      </w:pPr>
      <w:r w:rsidRPr="003E2544">
        <w:rPr>
          <w:rFonts w:ascii="Verdana" w:eastAsia="Times New Roman" w:hAnsi="Verdana" w:cs="Times New Roman"/>
          <w:color w:val="000000" w:themeColor="text1"/>
          <w:sz w:val="20"/>
          <w:szCs w:val="20"/>
          <w:lang w:eastAsia="en-GB"/>
        </w:rPr>
        <w:t xml:space="preserve">Intensify revenue mobilization </w:t>
      </w:r>
      <w:r w:rsidRPr="003E2544">
        <w:rPr>
          <w:rFonts w:ascii="Verdana" w:hAnsi="Verdana"/>
        </w:rPr>
        <w:tab/>
      </w:r>
    </w:p>
    <w:p w14:paraId="224B3D1D" w14:textId="2A30E87C" w:rsidR="001F40C3" w:rsidRPr="003E2544" w:rsidRDefault="001F40C3" w:rsidP="00781BD9">
      <w:pPr>
        <w:numPr>
          <w:ilvl w:val="2"/>
          <w:numId w:val="79"/>
        </w:numPr>
        <w:spacing w:after="200" w:line="240" w:lineRule="auto"/>
        <w:ind w:left="990"/>
        <w:contextualSpacing/>
        <w:rPr>
          <w:rFonts w:ascii="Verdana" w:eastAsia="Times New Roman" w:hAnsi="Verdana" w:cs="Times New Roman"/>
          <w:color w:val="000000" w:themeColor="text1"/>
          <w:sz w:val="20"/>
          <w:szCs w:val="20"/>
          <w:lang w:eastAsia="en-GB"/>
        </w:rPr>
      </w:pPr>
      <w:r w:rsidRPr="003E2544">
        <w:rPr>
          <w:rFonts w:ascii="Verdana" w:eastAsia="Times New Roman" w:hAnsi="Verdana" w:cs="Times New Roman"/>
          <w:color w:val="000000" w:themeColor="text1"/>
          <w:sz w:val="20"/>
          <w:szCs w:val="20"/>
          <w:lang w:eastAsia="en-GB"/>
        </w:rPr>
        <w:t xml:space="preserve">Operationalize institutional mechanism to promote citizen engagement and participation </w:t>
      </w:r>
      <w:r w:rsidRPr="003E2544">
        <w:rPr>
          <w:rFonts w:ascii="Verdana" w:hAnsi="Verdana"/>
        </w:rPr>
        <w:tab/>
      </w:r>
    </w:p>
    <w:p w14:paraId="3B743875" w14:textId="0FEF68CC" w:rsidR="001F40C3" w:rsidRPr="003E2544" w:rsidRDefault="001F40C3" w:rsidP="00467001">
      <w:pPr>
        <w:spacing w:after="200" w:line="240" w:lineRule="auto"/>
        <w:ind w:firstLine="360"/>
        <w:contextualSpacing/>
        <w:rPr>
          <w:rFonts w:ascii="Verdana" w:eastAsia="Times New Roman" w:hAnsi="Verdana" w:cs="Times New Roman"/>
          <w:b/>
          <w:bCs/>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 xml:space="preserve">Social Service Cluster Results </w:t>
      </w:r>
      <w:r w:rsidR="008D0E5E" w:rsidRPr="003E2544">
        <w:rPr>
          <w:rFonts w:ascii="Verdana" w:eastAsia="Times New Roman" w:hAnsi="Verdana" w:cs="Times New Roman"/>
          <w:b/>
          <w:bCs/>
          <w:color w:val="000000" w:themeColor="text1"/>
          <w:sz w:val="20"/>
          <w:szCs w:val="20"/>
          <w:lang w:eastAsia="en-GB"/>
        </w:rPr>
        <w:t>Framework</w:t>
      </w:r>
      <w:r w:rsidRPr="003E2544">
        <w:rPr>
          <w:rFonts w:ascii="Verdana" w:eastAsia="Times New Roman" w:hAnsi="Verdana" w:cs="Times New Roman"/>
          <w:b/>
          <w:bCs/>
          <w:color w:val="000000" w:themeColor="text1"/>
          <w:sz w:val="20"/>
          <w:szCs w:val="20"/>
          <w:lang w:eastAsia="en-GB"/>
        </w:rPr>
        <w:t xml:space="preserve">:  </w:t>
      </w:r>
    </w:p>
    <w:p w14:paraId="74A6BFCF" w14:textId="5D819F98" w:rsidR="001F40C3" w:rsidRPr="003E2544" w:rsidRDefault="001F40C3" w:rsidP="00511CE5">
      <w:pPr>
        <w:numPr>
          <w:ilvl w:val="2"/>
          <w:numId w:val="80"/>
        </w:numPr>
        <w:spacing w:after="200" w:line="240" w:lineRule="auto"/>
        <w:ind w:left="990"/>
        <w:contextualSpacing/>
        <w:rPr>
          <w:rFonts w:ascii="Verdana" w:eastAsia="Times New Roman" w:hAnsi="Verdana" w:cs="Times New Roman"/>
          <w:color w:val="000000" w:themeColor="text1"/>
          <w:sz w:val="20"/>
          <w:szCs w:val="20"/>
          <w:lang w:eastAsia="en-GB"/>
        </w:rPr>
      </w:pPr>
      <w:r w:rsidRPr="003E2544">
        <w:rPr>
          <w:rFonts w:ascii="Verdana" w:eastAsia="Times New Roman" w:hAnsi="Verdana" w:cs="Times New Roman"/>
          <w:color w:val="000000" w:themeColor="text1"/>
          <w:sz w:val="20"/>
          <w:szCs w:val="20"/>
          <w:lang w:eastAsia="en-GB"/>
        </w:rPr>
        <w:t xml:space="preserve">% of </w:t>
      </w:r>
      <w:r w:rsidR="00141066" w:rsidRPr="003E2544">
        <w:rPr>
          <w:rFonts w:ascii="Verdana" w:eastAsia="Times New Roman" w:hAnsi="Verdana" w:cs="Times New Roman"/>
          <w:color w:val="000000" w:themeColor="text1"/>
          <w:sz w:val="20"/>
          <w:szCs w:val="20"/>
          <w:lang w:eastAsia="en-GB"/>
        </w:rPr>
        <w:t>N</w:t>
      </w:r>
      <w:r w:rsidRPr="003E2544">
        <w:rPr>
          <w:rFonts w:ascii="Verdana" w:eastAsia="Times New Roman" w:hAnsi="Verdana" w:cs="Times New Roman"/>
          <w:color w:val="000000" w:themeColor="text1"/>
          <w:sz w:val="20"/>
          <w:szCs w:val="20"/>
          <w:lang w:eastAsia="en-GB"/>
        </w:rPr>
        <w:t xml:space="preserve">ational Budget allocated to social services (baseline 5%; </w:t>
      </w:r>
      <w:r w:rsidR="00862448" w:rsidRPr="003E2544">
        <w:rPr>
          <w:rFonts w:ascii="Verdana" w:eastAsia="Times New Roman" w:hAnsi="Verdana" w:cs="Times New Roman"/>
          <w:color w:val="000000" w:themeColor="text1"/>
          <w:sz w:val="20"/>
          <w:szCs w:val="20"/>
          <w:lang w:eastAsia="en-GB"/>
        </w:rPr>
        <w:t>3-year</w:t>
      </w:r>
      <w:r w:rsidRPr="003E2544">
        <w:rPr>
          <w:rFonts w:ascii="Verdana" w:eastAsia="Times New Roman" w:hAnsi="Verdana" w:cs="Times New Roman"/>
          <w:color w:val="000000" w:themeColor="text1"/>
          <w:sz w:val="20"/>
          <w:szCs w:val="20"/>
          <w:lang w:eastAsia="en-GB"/>
        </w:rPr>
        <w:t xml:space="preserve"> target 15%)</w:t>
      </w:r>
    </w:p>
    <w:p w14:paraId="5D7B1FD8" w14:textId="3F2AD890" w:rsidR="002E2C3D" w:rsidRPr="003E2544" w:rsidRDefault="001F40C3" w:rsidP="00511CE5">
      <w:pPr>
        <w:numPr>
          <w:ilvl w:val="2"/>
          <w:numId w:val="80"/>
        </w:numPr>
        <w:spacing w:after="200" w:line="240" w:lineRule="auto"/>
        <w:ind w:left="990"/>
        <w:contextualSpacing/>
        <w:rPr>
          <w:rFonts w:ascii="Verdana" w:eastAsia="Times New Roman" w:hAnsi="Verdana" w:cs="Times New Roman"/>
          <w:color w:val="000000" w:themeColor="text1"/>
          <w:sz w:val="20"/>
          <w:szCs w:val="20"/>
          <w:lang w:eastAsia="en-GB"/>
        </w:rPr>
      </w:pPr>
      <w:r w:rsidRPr="003E2544">
        <w:rPr>
          <w:rFonts w:ascii="Verdana" w:eastAsia="Times New Roman" w:hAnsi="Verdana" w:cs="Times New Roman"/>
          <w:color w:val="000000" w:themeColor="text1"/>
          <w:sz w:val="20"/>
          <w:szCs w:val="20"/>
          <w:lang w:eastAsia="en-GB"/>
        </w:rPr>
        <w:t>General government expenditure on health as a % of total government expenditure (baseline 2%</w:t>
      </w:r>
      <w:r w:rsidR="008D0E5E" w:rsidRPr="003E2544">
        <w:rPr>
          <w:rFonts w:ascii="Verdana" w:eastAsia="Times New Roman" w:hAnsi="Verdana" w:cs="Times New Roman"/>
          <w:color w:val="000000" w:themeColor="text1"/>
          <w:sz w:val="20"/>
          <w:szCs w:val="20"/>
          <w:lang w:eastAsia="en-GB"/>
        </w:rPr>
        <w:t>;</w:t>
      </w:r>
      <w:r w:rsidRPr="003E2544">
        <w:rPr>
          <w:rFonts w:ascii="Verdana" w:eastAsia="Times New Roman" w:hAnsi="Verdana" w:cs="Times New Roman"/>
          <w:color w:val="000000" w:themeColor="text1"/>
          <w:sz w:val="20"/>
          <w:szCs w:val="20"/>
          <w:lang w:eastAsia="en-GB"/>
        </w:rPr>
        <w:t xml:space="preserve"> </w:t>
      </w:r>
      <w:r w:rsidR="00862448" w:rsidRPr="003E2544">
        <w:rPr>
          <w:rFonts w:ascii="Verdana" w:eastAsia="Times New Roman" w:hAnsi="Verdana" w:cs="Times New Roman"/>
          <w:color w:val="000000" w:themeColor="text1"/>
          <w:sz w:val="20"/>
          <w:szCs w:val="20"/>
          <w:lang w:eastAsia="en-GB"/>
        </w:rPr>
        <w:t>3-year</w:t>
      </w:r>
      <w:r w:rsidRPr="003E2544">
        <w:rPr>
          <w:rFonts w:ascii="Verdana" w:eastAsia="Times New Roman" w:hAnsi="Verdana" w:cs="Times New Roman"/>
          <w:color w:val="000000" w:themeColor="text1"/>
          <w:sz w:val="20"/>
          <w:szCs w:val="20"/>
          <w:lang w:eastAsia="en-GB"/>
        </w:rPr>
        <w:t xml:space="preserve"> target 7%)</w:t>
      </w:r>
    </w:p>
    <w:p w14:paraId="75907AAB" w14:textId="20EC05E8" w:rsidR="002E2C3D" w:rsidRPr="003E2544" w:rsidRDefault="001F40C3" w:rsidP="00511CE5">
      <w:pPr>
        <w:numPr>
          <w:ilvl w:val="2"/>
          <w:numId w:val="80"/>
        </w:numPr>
        <w:spacing w:after="200" w:line="240" w:lineRule="auto"/>
        <w:ind w:left="990"/>
        <w:contextualSpacing/>
        <w:rPr>
          <w:rFonts w:ascii="Verdana" w:eastAsia="Times New Roman" w:hAnsi="Verdana" w:cs="Times New Roman"/>
          <w:color w:val="000000" w:themeColor="text1"/>
          <w:sz w:val="20"/>
          <w:szCs w:val="20"/>
          <w:lang w:eastAsia="en-GB"/>
        </w:rPr>
      </w:pPr>
      <w:r w:rsidRPr="003E2544">
        <w:rPr>
          <w:rFonts w:ascii="Verdana" w:eastAsia="Times New Roman" w:hAnsi="Verdana" w:cs="Times New Roman"/>
          <w:color w:val="000000" w:themeColor="text1"/>
          <w:sz w:val="20"/>
          <w:szCs w:val="20"/>
          <w:lang w:eastAsia="en-GB"/>
        </w:rPr>
        <w:t xml:space="preserve">Increment of the Budget to the Social and Humanitarian </w:t>
      </w:r>
      <w:r w:rsidR="00141066" w:rsidRPr="003E2544">
        <w:rPr>
          <w:rFonts w:ascii="Verdana" w:eastAsia="Times New Roman" w:hAnsi="Verdana" w:cs="Times New Roman"/>
          <w:color w:val="000000" w:themeColor="text1"/>
          <w:sz w:val="20"/>
          <w:szCs w:val="20"/>
          <w:lang w:eastAsia="en-GB"/>
        </w:rPr>
        <w:t xml:space="preserve">Sectors </w:t>
      </w:r>
      <w:r w:rsidRPr="003E2544">
        <w:rPr>
          <w:rFonts w:ascii="Verdana" w:eastAsia="Times New Roman" w:hAnsi="Verdana" w:cs="Times New Roman"/>
          <w:color w:val="000000" w:themeColor="text1"/>
          <w:sz w:val="20"/>
          <w:szCs w:val="20"/>
          <w:lang w:eastAsia="en-GB"/>
        </w:rPr>
        <w:t>(baseline 0.1; 3-year target 10%)</w:t>
      </w:r>
    </w:p>
    <w:p w14:paraId="795C376C" w14:textId="77777777" w:rsidR="00C117D4" w:rsidRDefault="00C117D4" w:rsidP="00245274">
      <w:pPr>
        <w:spacing w:after="200" w:line="240" w:lineRule="auto"/>
        <w:contextualSpacing/>
        <w:rPr>
          <w:rFonts w:ascii="Verdana" w:eastAsia="Times New Roman" w:hAnsi="Verdana" w:cs="Times New Roman"/>
          <w:b/>
          <w:bCs/>
          <w:color w:val="000000" w:themeColor="text1"/>
          <w:sz w:val="20"/>
          <w:szCs w:val="20"/>
          <w:lang w:eastAsia="en-GB"/>
        </w:rPr>
      </w:pPr>
    </w:p>
    <w:p w14:paraId="1F385CF6" w14:textId="59930CBB" w:rsidR="008D0E5E" w:rsidRPr="003E2544" w:rsidRDefault="00141066" w:rsidP="00467001">
      <w:pPr>
        <w:spacing w:after="200" w:line="240" w:lineRule="auto"/>
        <w:contextualSpacing/>
        <w:rPr>
          <w:rFonts w:ascii="Verdana" w:eastAsia="Times New Roman" w:hAnsi="Verdana" w:cs="Times New Roman"/>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 xml:space="preserve">ii) </w:t>
      </w:r>
      <w:r w:rsidR="008D0E5E" w:rsidRPr="003E2544">
        <w:rPr>
          <w:rFonts w:ascii="Verdana" w:eastAsia="Times New Roman" w:hAnsi="Verdana" w:cs="Times New Roman"/>
          <w:b/>
          <w:bCs/>
          <w:color w:val="000000" w:themeColor="text1"/>
          <w:sz w:val="20"/>
          <w:szCs w:val="20"/>
          <w:lang w:eastAsia="en-GB"/>
        </w:rPr>
        <w:t>Chapter IV of the Revitalized Agreement on the Resolution of the Conflict in the Republic of South Sudan (R-ARCSS)</w:t>
      </w:r>
      <w:r w:rsidR="008D0E5E" w:rsidRPr="003E2544">
        <w:rPr>
          <w:rStyle w:val="FootnoteReference"/>
          <w:rFonts w:ascii="Verdana" w:eastAsia="Times New Roman" w:hAnsi="Verdana" w:cs="Times New Roman"/>
          <w:b/>
          <w:bCs/>
          <w:color w:val="000000" w:themeColor="text1"/>
          <w:sz w:val="20"/>
          <w:szCs w:val="20"/>
          <w:lang w:eastAsia="en-GB"/>
        </w:rPr>
        <w:footnoteReference w:id="3"/>
      </w:r>
      <w:r w:rsidR="008D0E5E" w:rsidRPr="003E2544">
        <w:rPr>
          <w:rFonts w:ascii="Verdana" w:eastAsia="Times New Roman" w:hAnsi="Verdana" w:cs="Times New Roman"/>
          <w:b/>
          <w:bCs/>
          <w:color w:val="000000" w:themeColor="text1"/>
          <w:sz w:val="20"/>
          <w:szCs w:val="20"/>
          <w:lang w:eastAsia="en-GB"/>
        </w:rPr>
        <w:t>:</w:t>
      </w:r>
      <w:r w:rsidR="008D0E5E" w:rsidRPr="003E2544">
        <w:rPr>
          <w:rFonts w:ascii="Verdana" w:eastAsia="Times New Roman" w:hAnsi="Verdana" w:cs="Times New Roman"/>
          <w:color w:val="000000" w:themeColor="text1"/>
          <w:sz w:val="20"/>
          <w:szCs w:val="20"/>
          <w:lang w:eastAsia="en-GB"/>
        </w:rPr>
        <w:t xml:space="preserve"> economic and financial reforms for effective public service delivery</w:t>
      </w:r>
    </w:p>
    <w:p w14:paraId="3263BB47" w14:textId="77777777" w:rsidR="00272BF8" w:rsidRPr="003E2544" w:rsidRDefault="00272BF8" w:rsidP="00245274">
      <w:pPr>
        <w:spacing w:line="240" w:lineRule="auto"/>
        <w:rPr>
          <w:rFonts w:ascii="Verdana" w:eastAsia="Times New Roman" w:hAnsi="Verdana" w:cs="Times New Roman"/>
          <w:color w:val="000000" w:themeColor="text1"/>
          <w:sz w:val="20"/>
          <w:szCs w:val="20"/>
          <w:lang w:eastAsia="en-GB"/>
        </w:rPr>
      </w:pPr>
    </w:p>
    <w:p w14:paraId="371460DE" w14:textId="50D470CB" w:rsidR="00272BF8" w:rsidRDefault="00272BF8" w:rsidP="00245274">
      <w:pPr>
        <w:spacing w:line="240" w:lineRule="auto"/>
        <w:rPr>
          <w:rFonts w:ascii="Verdana" w:eastAsia="Times New Roman" w:hAnsi="Verdana" w:cs="Times New Roman"/>
          <w:b/>
          <w:bCs/>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 xml:space="preserve">6. Brief overview of the Theory of Change </w:t>
      </w:r>
      <w:r w:rsidR="003D1716">
        <w:rPr>
          <w:rFonts w:ascii="Verdana" w:eastAsia="Times New Roman" w:hAnsi="Verdana" w:cs="Times New Roman"/>
          <w:b/>
          <w:bCs/>
          <w:color w:val="000000" w:themeColor="text1"/>
          <w:sz w:val="20"/>
          <w:szCs w:val="20"/>
          <w:lang w:eastAsia="en-GB"/>
        </w:rPr>
        <w:t>(</w:t>
      </w:r>
      <w:proofErr w:type="spellStart"/>
      <w:r w:rsidR="003D1716">
        <w:rPr>
          <w:rFonts w:ascii="Verdana" w:eastAsia="Times New Roman" w:hAnsi="Verdana" w:cs="Times New Roman"/>
          <w:b/>
          <w:bCs/>
          <w:color w:val="000000" w:themeColor="text1"/>
          <w:sz w:val="20"/>
          <w:szCs w:val="20"/>
          <w:lang w:eastAsia="en-GB"/>
        </w:rPr>
        <w:t>ToC</w:t>
      </w:r>
      <w:proofErr w:type="spellEnd"/>
      <w:r w:rsidR="003D1716">
        <w:rPr>
          <w:rFonts w:ascii="Verdana" w:eastAsia="Times New Roman" w:hAnsi="Verdana" w:cs="Times New Roman"/>
          <w:b/>
          <w:bCs/>
          <w:color w:val="000000" w:themeColor="text1"/>
          <w:sz w:val="20"/>
          <w:szCs w:val="20"/>
          <w:lang w:eastAsia="en-GB"/>
        </w:rPr>
        <w:t xml:space="preserve">) </w:t>
      </w:r>
      <w:r w:rsidRPr="003E2544">
        <w:rPr>
          <w:rFonts w:ascii="Verdana" w:eastAsia="Times New Roman" w:hAnsi="Verdana" w:cs="Times New Roman"/>
          <w:b/>
          <w:bCs/>
          <w:color w:val="000000" w:themeColor="text1"/>
          <w:sz w:val="20"/>
          <w:szCs w:val="20"/>
          <w:lang w:eastAsia="en-GB"/>
        </w:rPr>
        <w:t xml:space="preserve">of the Joint </w:t>
      </w:r>
      <w:r w:rsidR="00141066" w:rsidRPr="003E2544">
        <w:rPr>
          <w:rFonts w:ascii="Verdana" w:eastAsia="Times New Roman" w:hAnsi="Verdana" w:cs="Times New Roman"/>
          <w:b/>
          <w:bCs/>
          <w:color w:val="000000" w:themeColor="text1"/>
          <w:sz w:val="20"/>
          <w:szCs w:val="20"/>
          <w:lang w:eastAsia="en-GB"/>
        </w:rPr>
        <w:t>P</w:t>
      </w:r>
      <w:r w:rsidRPr="003E2544">
        <w:rPr>
          <w:rFonts w:ascii="Verdana" w:eastAsia="Times New Roman" w:hAnsi="Verdana" w:cs="Times New Roman"/>
          <w:b/>
          <w:bCs/>
          <w:color w:val="000000" w:themeColor="text1"/>
          <w:sz w:val="20"/>
          <w:szCs w:val="20"/>
          <w:lang w:eastAsia="en-GB"/>
        </w:rPr>
        <w:t xml:space="preserve">rogramme </w:t>
      </w:r>
    </w:p>
    <w:p w14:paraId="1B337F5B" w14:textId="77777777" w:rsidR="00C117D4" w:rsidRPr="003E2544" w:rsidRDefault="00C117D4" w:rsidP="00245274">
      <w:pPr>
        <w:spacing w:line="240" w:lineRule="auto"/>
        <w:rPr>
          <w:rFonts w:ascii="Verdana" w:eastAsia="Times New Roman" w:hAnsi="Verdana" w:cs="Times New Roman"/>
          <w:color w:val="000000" w:themeColor="text1"/>
          <w:sz w:val="20"/>
          <w:szCs w:val="20"/>
          <w:lang w:eastAsia="en-GB"/>
        </w:rPr>
      </w:pPr>
    </w:p>
    <w:p w14:paraId="439FBE70" w14:textId="46C35554" w:rsidR="00A050FF" w:rsidRPr="003E2544" w:rsidRDefault="00A050FF" w:rsidP="00975396">
      <w:pPr>
        <w:spacing w:line="240" w:lineRule="auto"/>
        <w:jc w:val="both"/>
        <w:rPr>
          <w:rFonts w:ascii="Verdana" w:hAnsi="Verdana"/>
          <w:sz w:val="20"/>
          <w:szCs w:val="20"/>
        </w:rPr>
      </w:pPr>
      <w:r w:rsidRPr="003E2544">
        <w:rPr>
          <w:rFonts w:ascii="Verdana" w:hAnsi="Verdana"/>
          <w:b/>
          <w:bCs/>
          <w:i/>
          <w:iCs/>
          <w:sz w:val="20"/>
          <w:szCs w:val="20"/>
        </w:rPr>
        <w:t xml:space="preserve">If </w:t>
      </w:r>
      <w:r w:rsidR="53731C47" w:rsidRPr="003E2544">
        <w:rPr>
          <w:rFonts w:ascii="Verdana" w:hAnsi="Verdana"/>
          <w:sz w:val="20"/>
          <w:szCs w:val="20"/>
        </w:rPr>
        <w:t>an</w:t>
      </w:r>
      <w:r w:rsidR="32FFDC81" w:rsidRPr="003E2544">
        <w:rPr>
          <w:rFonts w:ascii="Verdana" w:hAnsi="Verdana"/>
          <w:sz w:val="20"/>
          <w:szCs w:val="20"/>
        </w:rPr>
        <w:t xml:space="preserve"> SDG-aligned National Development Strategy (NDS)</w:t>
      </w:r>
      <w:r w:rsidR="6AC864D5" w:rsidRPr="003E2544">
        <w:rPr>
          <w:rFonts w:ascii="Verdana" w:hAnsi="Verdana"/>
          <w:sz w:val="20"/>
          <w:szCs w:val="20"/>
        </w:rPr>
        <w:t>,</w:t>
      </w:r>
      <w:r w:rsidR="32FFDC81" w:rsidRPr="003E2544">
        <w:rPr>
          <w:rFonts w:ascii="Verdana" w:hAnsi="Verdana"/>
          <w:sz w:val="20"/>
          <w:szCs w:val="20"/>
        </w:rPr>
        <w:t xml:space="preserve"> </w:t>
      </w:r>
      <w:r w:rsidR="10B4CF9B" w:rsidRPr="003E2544">
        <w:rPr>
          <w:rFonts w:ascii="Verdana" w:hAnsi="Verdana"/>
          <w:sz w:val="20"/>
          <w:szCs w:val="20"/>
        </w:rPr>
        <w:t>State Development Strategies (SDS</w:t>
      </w:r>
      <w:r w:rsidR="000140D0" w:rsidRPr="003E2544">
        <w:rPr>
          <w:rFonts w:ascii="Verdana" w:hAnsi="Verdana"/>
          <w:sz w:val="20"/>
          <w:szCs w:val="20"/>
        </w:rPr>
        <w:t>s</w:t>
      </w:r>
      <w:r w:rsidR="10B4CF9B" w:rsidRPr="003E2544">
        <w:rPr>
          <w:rFonts w:ascii="Verdana" w:hAnsi="Verdana"/>
          <w:sz w:val="20"/>
          <w:szCs w:val="20"/>
        </w:rPr>
        <w:t>), Sector Plans</w:t>
      </w:r>
      <w:r w:rsidR="1A4BC90F" w:rsidRPr="003E2544">
        <w:rPr>
          <w:rFonts w:ascii="Verdana" w:hAnsi="Verdana"/>
          <w:sz w:val="20"/>
          <w:szCs w:val="20"/>
        </w:rPr>
        <w:t>, and a robust Integrated National Financing Framework (INFF)</w:t>
      </w:r>
      <w:r w:rsidR="10B4CF9B" w:rsidRPr="003E2544">
        <w:rPr>
          <w:rFonts w:ascii="Verdana" w:hAnsi="Verdana"/>
          <w:sz w:val="20"/>
          <w:szCs w:val="20"/>
        </w:rPr>
        <w:t xml:space="preserve"> </w:t>
      </w:r>
      <w:r w:rsidR="3EA39EE3" w:rsidRPr="003E2544">
        <w:rPr>
          <w:rFonts w:ascii="Verdana" w:hAnsi="Verdana"/>
          <w:sz w:val="20"/>
          <w:szCs w:val="20"/>
        </w:rPr>
        <w:t xml:space="preserve">are developed </w:t>
      </w:r>
      <w:r w:rsidR="008E06D8" w:rsidRPr="003E2544">
        <w:rPr>
          <w:rFonts w:ascii="Verdana" w:hAnsi="Verdana"/>
          <w:sz w:val="20"/>
          <w:szCs w:val="20"/>
        </w:rPr>
        <w:t xml:space="preserve">and implemented </w:t>
      </w:r>
      <w:r w:rsidRPr="003E2544">
        <w:rPr>
          <w:rFonts w:ascii="Verdana" w:hAnsi="Verdana"/>
          <w:sz w:val="20"/>
          <w:szCs w:val="20"/>
        </w:rPr>
        <w:t xml:space="preserve">in consultation with donors, </w:t>
      </w:r>
      <w:r w:rsidR="000140D0" w:rsidRPr="003E2544">
        <w:rPr>
          <w:rFonts w:ascii="Verdana" w:hAnsi="Verdana"/>
          <w:sz w:val="20"/>
          <w:szCs w:val="20"/>
        </w:rPr>
        <w:t xml:space="preserve">the </w:t>
      </w:r>
      <w:r w:rsidRPr="003E2544">
        <w:rPr>
          <w:rFonts w:ascii="Verdana" w:hAnsi="Verdana"/>
          <w:sz w:val="20"/>
          <w:szCs w:val="20"/>
        </w:rPr>
        <w:t>private sector, and communities including vulnerable population</w:t>
      </w:r>
      <w:r w:rsidR="000140D0" w:rsidRPr="003E2544">
        <w:rPr>
          <w:rFonts w:ascii="Verdana" w:hAnsi="Verdana"/>
          <w:sz w:val="20"/>
          <w:szCs w:val="20"/>
        </w:rPr>
        <w:t>s</w:t>
      </w:r>
      <w:r w:rsidRPr="003E2544">
        <w:rPr>
          <w:rFonts w:ascii="Verdana" w:hAnsi="Verdana"/>
          <w:sz w:val="20"/>
          <w:szCs w:val="20"/>
        </w:rPr>
        <w:t xml:space="preserve">;  </w:t>
      </w:r>
    </w:p>
    <w:p w14:paraId="6259B99C" w14:textId="7E8A46A9" w:rsidR="00A050FF" w:rsidRPr="003E2544" w:rsidRDefault="00A050FF" w:rsidP="00975396">
      <w:pPr>
        <w:spacing w:line="240" w:lineRule="auto"/>
        <w:jc w:val="both"/>
        <w:rPr>
          <w:rFonts w:ascii="Verdana" w:hAnsi="Verdana"/>
          <w:sz w:val="20"/>
          <w:szCs w:val="20"/>
        </w:rPr>
      </w:pPr>
      <w:r w:rsidRPr="003E2544">
        <w:rPr>
          <w:rFonts w:ascii="Verdana" w:hAnsi="Verdana"/>
          <w:b/>
          <w:bCs/>
          <w:i/>
          <w:iCs/>
          <w:sz w:val="20"/>
          <w:szCs w:val="20"/>
        </w:rPr>
        <w:t xml:space="preserve">If </w:t>
      </w:r>
      <w:r w:rsidRPr="003E2544">
        <w:rPr>
          <w:rFonts w:ascii="Verdana" w:hAnsi="Verdana"/>
          <w:sz w:val="20"/>
          <w:szCs w:val="20"/>
        </w:rPr>
        <w:t>government capacity to mobilize</w:t>
      </w:r>
      <w:r w:rsidR="681E7AA6" w:rsidRPr="003E2544">
        <w:rPr>
          <w:rFonts w:ascii="Verdana" w:hAnsi="Verdana"/>
          <w:sz w:val="20"/>
          <w:szCs w:val="20"/>
        </w:rPr>
        <w:t xml:space="preserve"> domestic</w:t>
      </w:r>
      <w:r w:rsidRPr="003E2544">
        <w:rPr>
          <w:rFonts w:ascii="Verdana" w:hAnsi="Verdana"/>
          <w:sz w:val="20"/>
          <w:szCs w:val="20"/>
        </w:rPr>
        <w:t xml:space="preserve"> revenue </w:t>
      </w:r>
      <w:r w:rsidR="0726C810" w:rsidRPr="003E2544">
        <w:rPr>
          <w:rFonts w:ascii="Verdana" w:hAnsi="Verdana"/>
          <w:sz w:val="20"/>
          <w:szCs w:val="20"/>
        </w:rPr>
        <w:t xml:space="preserve">is </w:t>
      </w:r>
      <w:r w:rsidRPr="003E2544">
        <w:rPr>
          <w:rFonts w:ascii="Verdana" w:hAnsi="Verdana"/>
          <w:sz w:val="20"/>
          <w:szCs w:val="20"/>
        </w:rPr>
        <w:t xml:space="preserve">enhanced; </w:t>
      </w:r>
    </w:p>
    <w:p w14:paraId="5614D8F1" w14:textId="0CCBD4E9" w:rsidR="00A050FF" w:rsidRPr="003E2544" w:rsidRDefault="00A050FF" w:rsidP="00975396">
      <w:pPr>
        <w:spacing w:line="240" w:lineRule="auto"/>
        <w:jc w:val="both"/>
        <w:rPr>
          <w:rFonts w:ascii="Verdana" w:hAnsi="Verdana"/>
          <w:sz w:val="20"/>
          <w:szCs w:val="20"/>
        </w:rPr>
      </w:pPr>
      <w:r w:rsidRPr="003E2544">
        <w:rPr>
          <w:rFonts w:ascii="Verdana" w:hAnsi="Verdana"/>
          <w:b/>
          <w:bCs/>
          <w:i/>
          <w:iCs/>
          <w:sz w:val="20"/>
          <w:szCs w:val="20"/>
        </w:rPr>
        <w:t xml:space="preserve">If </w:t>
      </w:r>
      <w:r w:rsidRPr="003E2544">
        <w:rPr>
          <w:rFonts w:ascii="Verdana" w:hAnsi="Verdana"/>
          <w:sz w:val="20"/>
          <w:szCs w:val="20"/>
        </w:rPr>
        <w:t xml:space="preserve">budget planning, formulation, </w:t>
      </w:r>
      <w:r w:rsidR="00A206DD" w:rsidRPr="003E2544">
        <w:rPr>
          <w:rFonts w:ascii="Verdana" w:hAnsi="Verdana"/>
          <w:sz w:val="20"/>
          <w:szCs w:val="20"/>
        </w:rPr>
        <w:t>spending</w:t>
      </w:r>
      <w:r w:rsidRPr="003E2544">
        <w:rPr>
          <w:rFonts w:ascii="Verdana" w:hAnsi="Verdana"/>
          <w:sz w:val="20"/>
          <w:szCs w:val="20"/>
        </w:rPr>
        <w:t xml:space="preserve">, reporting, and </w:t>
      </w:r>
      <w:r w:rsidR="7C678E58" w:rsidRPr="003E2544">
        <w:rPr>
          <w:rFonts w:ascii="Verdana" w:hAnsi="Verdana"/>
          <w:sz w:val="20"/>
          <w:szCs w:val="20"/>
        </w:rPr>
        <w:t xml:space="preserve">financial </w:t>
      </w:r>
      <w:r w:rsidRPr="003E2544">
        <w:rPr>
          <w:rFonts w:ascii="Verdana" w:hAnsi="Verdana"/>
          <w:sz w:val="20"/>
          <w:szCs w:val="20"/>
        </w:rPr>
        <w:t xml:space="preserve">oversight </w:t>
      </w:r>
      <w:r w:rsidR="06AEEFED" w:rsidRPr="003E2544">
        <w:rPr>
          <w:rFonts w:ascii="Verdana" w:hAnsi="Verdana"/>
          <w:sz w:val="20"/>
          <w:szCs w:val="20"/>
        </w:rPr>
        <w:t xml:space="preserve">is </w:t>
      </w:r>
      <w:r w:rsidRPr="003E2544">
        <w:rPr>
          <w:rFonts w:ascii="Verdana" w:hAnsi="Verdana"/>
          <w:sz w:val="20"/>
          <w:szCs w:val="20"/>
        </w:rPr>
        <w:t xml:space="preserve">improved; </w:t>
      </w:r>
    </w:p>
    <w:p w14:paraId="485D42C2" w14:textId="77777777" w:rsidR="008B5897" w:rsidRDefault="00A050FF" w:rsidP="00975396">
      <w:pPr>
        <w:spacing w:line="240" w:lineRule="auto"/>
        <w:contextualSpacing/>
        <w:jc w:val="both"/>
        <w:rPr>
          <w:rFonts w:ascii="Verdana" w:hAnsi="Verdana"/>
          <w:sz w:val="20"/>
          <w:szCs w:val="20"/>
        </w:rPr>
      </w:pPr>
      <w:r w:rsidRPr="003E2544">
        <w:rPr>
          <w:rFonts w:ascii="Verdana" w:hAnsi="Verdana"/>
          <w:b/>
          <w:bCs/>
          <w:i/>
          <w:iCs/>
          <w:sz w:val="20"/>
          <w:szCs w:val="20"/>
        </w:rPr>
        <w:t>Then</w:t>
      </w:r>
      <w:r w:rsidRPr="003E2544">
        <w:rPr>
          <w:rFonts w:ascii="Verdana" w:hAnsi="Verdana"/>
          <w:sz w:val="20"/>
          <w:szCs w:val="20"/>
        </w:rPr>
        <w:t xml:space="preserve"> </w:t>
      </w:r>
      <w:r w:rsidR="79D36850" w:rsidRPr="003E2544">
        <w:rPr>
          <w:rFonts w:ascii="Verdana" w:hAnsi="Verdana"/>
          <w:sz w:val="20"/>
          <w:szCs w:val="20"/>
        </w:rPr>
        <w:t xml:space="preserve">the Government of South Sudan </w:t>
      </w:r>
      <w:r w:rsidR="6499D34A" w:rsidRPr="003E2544">
        <w:rPr>
          <w:rFonts w:ascii="Verdana" w:hAnsi="Verdana"/>
          <w:sz w:val="20"/>
          <w:szCs w:val="20"/>
        </w:rPr>
        <w:t xml:space="preserve">and selected States </w:t>
      </w:r>
      <w:r w:rsidR="10F577D3" w:rsidRPr="003E2544">
        <w:rPr>
          <w:rFonts w:ascii="Verdana" w:hAnsi="Verdana"/>
          <w:sz w:val="20"/>
          <w:szCs w:val="20"/>
        </w:rPr>
        <w:t xml:space="preserve">will </w:t>
      </w:r>
      <w:r w:rsidR="79D36850" w:rsidRPr="003E2544">
        <w:rPr>
          <w:rFonts w:ascii="Verdana" w:hAnsi="Verdana"/>
          <w:sz w:val="20"/>
          <w:szCs w:val="20"/>
        </w:rPr>
        <w:t xml:space="preserve">equitably allocate </w:t>
      </w:r>
      <w:r w:rsidR="00C90402" w:rsidRPr="003E2544">
        <w:rPr>
          <w:rFonts w:ascii="Verdana" w:hAnsi="Verdana"/>
          <w:sz w:val="20"/>
          <w:szCs w:val="20"/>
        </w:rPr>
        <w:t xml:space="preserve">greater </w:t>
      </w:r>
      <w:r w:rsidR="79D36850" w:rsidRPr="003E2544">
        <w:rPr>
          <w:rFonts w:ascii="Verdana" w:hAnsi="Verdana"/>
          <w:sz w:val="20"/>
          <w:szCs w:val="20"/>
        </w:rPr>
        <w:t>resources to</w:t>
      </w:r>
      <w:r w:rsidR="79D36850" w:rsidRPr="003E2544">
        <w:rPr>
          <w:rFonts w:ascii="Verdana" w:hAnsi="Verdana"/>
          <w:b/>
          <w:bCs/>
          <w:sz w:val="20"/>
          <w:szCs w:val="20"/>
        </w:rPr>
        <w:t xml:space="preserve"> </w:t>
      </w:r>
      <w:r w:rsidR="34B59F4C" w:rsidRPr="003E2544">
        <w:rPr>
          <w:rFonts w:ascii="Verdana" w:hAnsi="Verdana"/>
          <w:sz w:val="20"/>
          <w:szCs w:val="20"/>
        </w:rPr>
        <w:t>critical</w:t>
      </w:r>
      <w:r w:rsidRPr="003E2544">
        <w:rPr>
          <w:rFonts w:ascii="Verdana" w:hAnsi="Verdana"/>
          <w:sz w:val="20"/>
          <w:szCs w:val="20"/>
        </w:rPr>
        <w:t xml:space="preserve"> </w:t>
      </w:r>
      <w:r w:rsidR="733CADA8" w:rsidRPr="003E2544">
        <w:rPr>
          <w:rFonts w:ascii="Verdana" w:hAnsi="Verdana"/>
          <w:sz w:val="20"/>
          <w:szCs w:val="20"/>
        </w:rPr>
        <w:t xml:space="preserve">SDG-related </w:t>
      </w:r>
      <w:r w:rsidRPr="003E2544">
        <w:rPr>
          <w:rFonts w:ascii="Verdana" w:hAnsi="Verdana"/>
          <w:sz w:val="20"/>
          <w:szCs w:val="20"/>
        </w:rPr>
        <w:t xml:space="preserve">social services </w:t>
      </w:r>
      <w:r w:rsidR="334F3E01" w:rsidRPr="003E2544">
        <w:rPr>
          <w:rFonts w:ascii="Verdana" w:hAnsi="Verdana"/>
          <w:sz w:val="20"/>
          <w:szCs w:val="20"/>
        </w:rPr>
        <w:t xml:space="preserve">and ensure their efficient, </w:t>
      </w:r>
      <w:r w:rsidR="00C90402" w:rsidRPr="003E2544">
        <w:rPr>
          <w:rFonts w:ascii="Verdana" w:hAnsi="Verdana"/>
          <w:sz w:val="20"/>
          <w:szCs w:val="20"/>
        </w:rPr>
        <w:t xml:space="preserve">effective and </w:t>
      </w:r>
      <w:r w:rsidR="334F3E01" w:rsidRPr="003E2544">
        <w:rPr>
          <w:rFonts w:ascii="Verdana" w:hAnsi="Verdana"/>
          <w:sz w:val="20"/>
          <w:szCs w:val="20"/>
        </w:rPr>
        <w:t>transparent utilization</w:t>
      </w:r>
      <w:r w:rsidR="2C63FCC7" w:rsidRPr="003E2544">
        <w:rPr>
          <w:rFonts w:ascii="Verdana" w:hAnsi="Verdana"/>
          <w:sz w:val="20"/>
          <w:szCs w:val="20"/>
        </w:rPr>
        <w:t xml:space="preserve"> to</w:t>
      </w:r>
      <w:r w:rsidR="4D06EAD7" w:rsidRPr="003E2544">
        <w:rPr>
          <w:rFonts w:ascii="Verdana" w:hAnsi="Verdana"/>
          <w:sz w:val="20"/>
          <w:szCs w:val="20"/>
        </w:rPr>
        <w:t xml:space="preserve"> strengthen resilience, social cohesion and </w:t>
      </w:r>
      <w:r w:rsidR="2C63FCC7" w:rsidRPr="003E2544">
        <w:rPr>
          <w:rFonts w:ascii="Verdana" w:hAnsi="Verdana"/>
          <w:sz w:val="20"/>
          <w:szCs w:val="20"/>
        </w:rPr>
        <w:t xml:space="preserve">benefit all people, especially the most deprived and vulnerable </w:t>
      </w:r>
      <w:r w:rsidRPr="003E2544">
        <w:rPr>
          <w:rFonts w:ascii="Verdana" w:hAnsi="Verdana"/>
          <w:sz w:val="20"/>
          <w:szCs w:val="20"/>
        </w:rPr>
        <w:t>children and women</w:t>
      </w:r>
      <w:r w:rsidR="00466B9B" w:rsidRPr="003E2544">
        <w:rPr>
          <w:rFonts w:ascii="Verdana" w:hAnsi="Verdana"/>
          <w:sz w:val="20"/>
          <w:szCs w:val="20"/>
        </w:rPr>
        <w:t>.</w:t>
      </w:r>
    </w:p>
    <w:p w14:paraId="3FC0FBAE" w14:textId="1A80AF61" w:rsidR="000140D0" w:rsidRPr="008B5897" w:rsidRDefault="00886A2A" w:rsidP="00975396">
      <w:pPr>
        <w:spacing w:line="240" w:lineRule="auto"/>
        <w:contextualSpacing/>
        <w:jc w:val="both"/>
        <w:rPr>
          <w:rFonts w:ascii="Verdana" w:hAnsi="Verdana"/>
          <w:sz w:val="20"/>
          <w:szCs w:val="20"/>
        </w:rPr>
      </w:pPr>
      <w:r w:rsidRPr="00975396">
        <w:rPr>
          <w:rFonts w:ascii="Verdana" w:hAnsi="Verdana"/>
          <w:b/>
          <w:bCs/>
          <w:sz w:val="20"/>
          <w:szCs w:val="20"/>
        </w:rPr>
        <w:t xml:space="preserve">The main </w:t>
      </w:r>
      <w:proofErr w:type="spellStart"/>
      <w:r w:rsidRPr="00975396">
        <w:rPr>
          <w:rFonts w:ascii="Verdana" w:hAnsi="Verdana"/>
          <w:b/>
          <w:bCs/>
          <w:sz w:val="20"/>
          <w:szCs w:val="20"/>
        </w:rPr>
        <w:t>ToC</w:t>
      </w:r>
      <w:proofErr w:type="spellEnd"/>
      <w:r w:rsidRPr="00975396">
        <w:rPr>
          <w:rFonts w:ascii="Verdana" w:hAnsi="Verdana"/>
          <w:b/>
          <w:bCs/>
          <w:sz w:val="20"/>
          <w:szCs w:val="20"/>
        </w:rPr>
        <w:t xml:space="preserve"> </w:t>
      </w:r>
      <w:r w:rsidR="00975396" w:rsidRPr="00975396">
        <w:rPr>
          <w:rFonts w:ascii="Verdana" w:hAnsi="Verdana"/>
          <w:b/>
          <w:bCs/>
          <w:sz w:val="20"/>
          <w:szCs w:val="20"/>
        </w:rPr>
        <w:t>assumptions</w:t>
      </w:r>
      <w:r w:rsidRPr="00975396">
        <w:rPr>
          <w:rFonts w:ascii="Verdana" w:hAnsi="Verdana"/>
          <w:b/>
          <w:bCs/>
          <w:sz w:val="20"/>
          <w:szCs w:val="20"/>
        </w:rPr>
        <w:t xml:space="preserve"> </w:t>
      </w:r>
      <w:r>
        <w:rPr>
          <w:rFonts w:ascii="Verdana" w:hAnsi="Verdana"/>
          <w:sz w:val="20"/>
          <w:szCs w:val="20"/>
        </w:rPr>
        <w:t xml:space="preserve">are </w:t>
      </w:r>
      <w:r w:rsidR="006A2F2D">
        <w:rPr>
          <w:rFonts w:ascii="Verdana" w:hAnsi="Verdana"/>
          <w:sz w:val="20"/>
          <w:szCs w:val="20"/>
        </w:rPr>
        <w:t xml:space="preserve">that the </w:t>
      </w:r>
      <w:r w:rsidRPr="008B5897">
        <w:rPr>
          <w:rFonts w:ascii="Verdana" w:hAnsi="Verdana"/>
          <w:sz w:val="20"/>
          <w:szCs w:val="20"/>
        </w:rPr>
        <w:t xml:space="preserve">political role players </w:t>
      </w:r>
      <w:r w:rsidR="006A2F2D">
        <w:rPr>
          <w:rFonts w:ascii="Verdana" w:hAnsi="Verdana"/>
          <w:sz w:val="20"/>
          <w:szCs w:val="20"/>
        </w:rPr>
        <w:t xml:space="preserve">are able </w:t>
      </w:r>
      <w:r w:rsidRPr="008B5897">
        <w:rPr>
          <w:rFonts w:ascii="Verdana" w:hAnsi="Verdana"/>
          <w:sz w:val="20"/>
          <w:szCs w:val="20"/>
        </w:rPr>
        <w:t xml:space="preserve">to maintain the existing interim government institutions and mechanisms and navigate a forward trajectory; stability in oil production, oil prices and the country’s economy is maintained; existing PFM actors remain interested in investing toward PFM institutional capacity development; taxpayers are incentivized to pay taxes; </w:t>
      </w:r>
      <w:r w:rsidR="00FF1CDD" w:rsidRPr="008B5897">
        <w:rPr>
          <w:rFonts w:ascii="Verdana" w:hAnsi="Verdana"/>
          <w:sz w:val="20"/>
          <w:szCs w:val="20"/>
        </w:rPr>
        <w:t xml:space="preserve">and </w:t>
      </w:r>
      <w:r w:rsidRPr="008B5897">
        <w:rPr>
          <w:rFonts w:ascii="Verdana" w:hAnsi="Verdana"/>
          <w:sz w:val="20"/>
          <w:szCs w:val="20"/>
        </w:rPr>
        <w:t>NDS, INFF, SDSs and Sector Plan planning processes are conducted in an inclusive manner</w:t>
      </w:r>
      <w:r w:rsidR="00975396" w:rsidRPr="008B5897">
        <w:rPr>
          <w:rFonts w:ascii="Verdana" w:hAnsi="Verdana"/>
          <w:sz w:val="20"/>
          <w:szCs w:val="20"/>
        </w:rPr>
        <w:t>.</w:t>
      </w:r>
    </w:p>
    <w:p w14:paraId="4B9C2BEC" w14:textId="77777777" w:rsidR="00FF1CDD" w:rsidRPr="003E2544" w:rsidRDefault="00FF1CDD" w:rsidP="00975396">
      <w:pPr>
        <w:spacing w:line="240" w:lineRule="auto"/>
        <w:contextualSpacing/>
        <w:jc w:val="both"/>
        <w:rPr>
          <w:rFonts w:ascii="Verdana" w:eastAsia="Times New Roman" w:hAnsi="Verdana" w:cs="Times New Roman"/>
          <w:b/>
          <w:bCs/>
          <w:color w:val="000000" w:themeColor="text1"/>
          <w:sz w:val="20"/>
          <w:szCs w:val="20"/>
          <w:lang w:eastAsia="en-GB"/>
        </w:rPr>
      </w:pPr>
    </w:p>
    <w:p w14:paraId="7D89E205" w14:textId="77777777" w:rsidR="00160EE4" w:rsidRDefault="00160EE4" w:rsidP="00245274">
      <w:pPr>
        <w:spacing w:line="240" w:lineRule="auto"/>
        <w:contextualSpacing/>
        <w:rPr>
          <w:rFonts w:ascii="Verdana" w:eastAsia="Times New Roman" w:hAnsi="Verdana" w:cs="Times New Roman"/>
          <w:b/>
          <w:bCs/>
          <w:color w:val="000000" w:themeColor="text1"/>
          <w:sz w:val="20"/>
          <w:szCs w:val="20"/>
          <w:lang w:eastAsia="en-GB"/>
        </w:rPr>
      </w:pPr>
    </w:p>
    <w:p w14:paraId="3EC0813C" w14:textId="7B3D6648" w:rsidR="00272BF8" w:rsidRDefault="00272BF8" w:rsidP="00245274">
      <w:pPr>
        <w:spacing w:line="240" w:lineRule="auto"/>
        <w:contextualSpacing/>
        <w:rPr>
          <w:rFonts w:ascii="Verdana" w:eastAsia="Times New Roman" w:hAnsi="Verdana" w:cs="Times New Roman"/>
          <w:color w:val="000000" w:themeColor="text1"/>
          <w:sz w:val="20"/>
          <w:szCs w:val="20"/>
          <w:lang w:eastAsia="en-GB"/>
        </w:rPr>
      </w:pPr>
      <w:r w:rsidRPr="003E2544">
        <w:rPr>
          <w:rFonts w:ascii="Verdana" w:eastAsia="Times New Roman" w:hAnsi="Verdana" w:cs="Times New Roman"/>
          <w:b/>
          <w:bCs/>
          <w:color w:val="000000" w:themeColor="text1"/>
          <w:sz w:val="20"/>
          <w:szCs w:val="20"/>
          <w:lang w:eastAsia="en-GB"/>
        </w:rPr>
        <w:t>7. Trans-boundary and/or regional issues</w:t>
      </w:r>
      <w:r w:rsidRPr="003E2544">
        <w:rPr>
          <w:rFonts w:ascii="Verdana" w:eastAsia="Times New Roman" w:hAnsi="Verdana" w:cs="Times New Roman"/>
          <w:color w:val="000000" w:themeColor="text1"/>
          <w:sz w:val="20"/>
          <w:szCs w:val="20"/>
          <w:lang w:eastAsia="en-GB"/>
        </w:rPr>
        <w:t xml:space="preserve"> </w:t>
      </w:r>
    </w:p>
    <w:p w14:paraId="15849E9C" w14:textId="77777777" w:rsidR="00C117D4" w:rsidRPr="003E2544" w:rsidRDefault="00C117D4" w:rsidP="00245274">
      <w:pPr>
        <w:spacing w:line="240" w:lineRule="auto"/>
        <w:contextualSpacing/>
        <w:rPr>
          <w:rFonts w:ascii="Verdana" w:eastAsia="Times New Roman" w:hAnsi="Verdana" w:cs="Times New Roman"/>
          <w:color w:val="000000" w:themeColor="text1"/>
          <w:sz w:val="20"/>
          <w:szCs w:val="20"/>
          <w:lang w:eastAsia="en-GB"/>
        </w:rPr>
      </w:pPr>
    </w:p>
    <w:p w14:paraId="1301015A" w14:textId="506A8F96" w:rsidR="009D5D5B" w:rsidRPr="003E2544" w:rsidRDefault="009D5D5B" w:rsidP="00245274">
      <w:pPr>
        <w:spacing w:line="240" w:lineRule="auto"/>
        <w:contextualSpacing/>
        <w:jc w:val="both"/>
        <w:rPr>
          <w:rFonts w:ascii="Verdana" w:hAnsi="Verdana"/>
          <w:sz w:val="20"/>
          <w:szCs w:val="20"/>
        </w:rPr>
      </w:pPr>
      <w:r w:rsidRPr="003E2544">
        <w:rPr>
          <w:rFonts w:ascii="Verdana" w:hAnsi="Verdana"/>
          <w:sz w:val="20"/>
          <w:szCs w:val="20"/>
        </w:rPr>
        <w:t>While PFM issues currently experienced in</w:t>
      </w:r>
      <w:r w:rsidR="00AC29A8" w:rsidRPr="003E2544">
        <w:rPr>
          <w:rFonts w:ascii="Verdana" w:hAnsi="Verdana"/>
          <w:sz w:val="20"/>
          <w:szCs w:val="20"/>
        </w:rPr>
        <w:t xml:space="preserve"> other </w:t>
      </w:r>
      <w:r w:rsidRPr="003E2544">
        <w:rPr>
          <w:rFonts w:ascii="Verdana" w:hAnsi="Verdana"/>
          <w:sz w:val="20"/>
          <w:szCs w:val="20"/>
        </w:rPr>
        <w:t>countries in Eastern and Southern Africa (ESAR)</w:t>
      </w:r>
      <w:r w:rsidR="00AC29A8" w:rsidRPr="003E2544">
        <w:rPr>
          <w:rFonts w:ascii="Verdana" w:hAnsi="Verdana"/>
          <w:sz w:val="20"/>
          <w:szCs w:val="20"/>
        </w:rPr>
        <w:t xml:space="preserve"> differ from South Sudan in terms of intensity and impact, </w:t>
      </w:r>
      <w:r w:rsidRPr="003E2544">
        <w:rPr>
          <w:rFonts w:ascii="Verdana" w:hAnsi="Verdana"/>
          <w:sz w:val="20"/>
          <w:szCs w:val="20"/>
        </w:rPr>
        <w:t xml:space="preserve">they </w:t>
      </w:r>
      <w:r w:rsidR="00AC29A8" w:rsidRPr="003E2544">
        <w:rPr>
          <w:rFonts w:ascii="Verdana" w:hAnsi="Verdana"/>
          <w:sz w:val="20"/>
          <w:szCs w:val="20"/>
        </w:rPr>
        <w:t>are based on common themes, including disempowered, under-funded local government, insufficient local government revenue collection, reliance on donor funds, lack of credible budgets, reporting and monitoring</w:t>
      </w:r>
      <w:r w:rsidR="000140D0" w:rsidRPr="003E2544">
        <w:rPr>
          <w:rFonts w:ascii="Verdana" w:hAnsi="Verdana"/>
          <w:sz w:val="20"/>
          <w:szCs w:val="20"/>
        </w:rPr>
        <w:t>,</w:t>
      </w:r>
      <w:r w:rsidR="00AC29A8" w:rsidRPr="003E2544">
        <w:rPr>
          <w:rFonts w:ascii="Verdana" w:hAnsi="Verdana"/>
          <w:sz w:val="20"/>
          <w:szCs w:val="20"/>
        </w:rPr>
        <w:t xml:space="preserve"> and very low levels of community involvement in the budget process</w:t>
      </w:r>
      <w:r w:rsidR="009203DE" w:rsidRPr="003E2544">
        <w:rPr>
          <w:rFonts w:ascii="Verdana" w:hAnsi="Verdana"/>
          <w:sz w:val="20"/>
          <w:szCs w:val="20"/>
        </w:rPr>
        <w:t xml:space="preserve">. </w:t>
      </w:r>
      <w:r w:rsidR="00825A91" w:rsidRPr="003E2544">
        <w:rPr>
          <w:rFonts w:ascii="Verdana" w:hAnsi="Verdana"/>
          <w:sz w:val="20"/>
          <w:szCs w:val="20"/>
        </w:rPr>
        <w:t xml:space="preserve"> </w:t>
      </w:r>
    </w:p>
    <w:p w14:paraId="3CC2B7BC" w14:textId="77777777" w:rsidR="007C4C45" w:rsidRPr="003E2544" w:rsidRDefault="009D5D5B" w:rsidP="00245274">
      <w:pPr>
        <w:spacing w:line="240" w:lineRule="auto"/>
        <w:contextualSpacing/>
        <w:jc w:val="both"/>
        <w:rPr>
          <w:rFonts w:ascii="Verdana" w:hAnsi="Verdana"/>
          <w:sz w:val="20"/>
          <w:szCs w:val="20"/>
        </w:rPr>
      </w:pPr>
      <w:r w:rsidRPr="003E2544">
        <w:rPr>
          <w:rFonts w:ascii="Verdana" w:hAnsi="Verdana"/>
          <w:sz w:val="20"/>
          <w:szCs w:val="20"/>
        </w:rPr>
        <w:t xml:space="preserve">The UNICEF ESARO Social Policy Chief and PFM Specialist are directly involved in developing and delivering on PFM outputs in countries in the region such as Ethiopia, Kenya, Somalia, Tanzania and Uganda, and the South Sudan JP will be supported by cross learning through Country Offices in ESAR. </w:t>
      </w:r>
      <w:r w:rsidR="007C4C45" w:rsidRPr="003E2544">
        <w:rPr>
          <w:rFonts w:ascii="Verdana" w:hAnsi="Verdana"/>
          <w:sz w:val="20"/>
          <w:szCs w:val="20"/>
        </w:rPr>
        <w:t>The programmes of other actors will also be mutually supportive of the JP. These include:</w:t>
      </w:r>
    </w:p>
    <w:p w14:paraId="02BE8B25" w14:textId="05575772" w:rsidR="007C4C45" w:rsidRPr="003E2544" w:rsidRDefault="009B5B47" w:rsidP="00245274">
      <w:pPr>
        <w:pStyle w:val="ListParagraph"/>
        <w:numPr>
          <w:ilvl w:val="0"/>
          <w:numId w:val="82"/>
        </w:numPr>
        <w:spacing w:line="240" w:lineRule="auto"/>
        <w:rPr>
          <w:rFonts w:ascii="Verdana" w:hAnsi="Verdana"/>
          <w:sz w:val="20"/>
          <w:szCs w:val="20"/>
          <w:lang w:val="en-US"/>
        </w:rPr>
      </w:pPr>
      <w:r>
        <w:rPr>
          <w:rFonts w:ascii="Verdana" w:hAnsi="Verdana"/>
          <w:b/>
          <w:bCs/>
          <w:sz w:val="20"/>
          <w:szCs w:val="20"/>
          <w:lang w:val="en-US"/>
        </w:rPr>
        <w:t>International Monetary Fund (</w:t>
      </w:r>
      <w:r w:rsidR="007C4C45" w:rsidRPr="00886A2A">
        <w:rPr>
          <w:rFonts w:ascii="Verdana" w:hAnsi="Verdana"/>
          <w:b/>
          <w:bCs/>
          <w:sz w:val="20"/>
          <w:szCs w:val="20"/>
          <w:lang w:val="en-US"/>
        </w:rPr>
        <w:t>IMF</w:t>
      </w:r>
      <w:r>
        <w:rPr>
          <w:rFonts w:ascii="Verdana" w:hAnsi="Verdana"/>
          <w:b/>
          <w:bCs/>
          <w:sz w:val="20"/>
          <w:szCs w:val="20"/>
          <w:lang w:val="en-US"/>
        </w:rPr>
        <w:t>)</w:t>
      </w:r>
      <w:r w:rsidR="007C4C45" w:rsidRPr="00886A2A">
        <w:rPr>
          <w:rFonts w:ascii="Verdana" w:hAnsi="Verdana"/>
          <w:b/>
          <w:bCs/>
          <w:sz w:val="20"/>
          <w:szCs w:val="20"/>
          <w:lang w:val="en-US"/>
        </w:rPr>
        <w:t xml:space="preserve">: </w:t>
      </w:r>
      <w:r w:rsidR="00CB13A8" w:rsidRPr="00886A2A">
        <w:rPr>
          <w:rFonts w:ascii="Verdana" w:hAnsi="Verdana"/>
          <w:sz w:val="20"/>
          <w:szCs w:val="20"/>
          <w:lang w:val="en-US"/>
        </w:rPr>
        <w:t xml:space="preserve">The IMF has actively supported </w:t>
      </w:r>
      <w:r w:rsidR="007C4C45" w:rsidRPr="00886A2A">
        <w:rPr>
          <w:rFonts w:ascii="Verdana" w:hAnsi="Verdana"/>
          <w:sz w:val="20"/>
          <w:szCs w:val="20"/>
          <w:lang w:val="en-US"/>
        </w:rPr>
        <w:t>South Sudan</w:t>
      </w:r>
      <w:r w:rsidR="00CB13A8" w:rsidRPr="00886A2A">
        <w:rPr>
          <w:rFonts w:ascii="Verdana" w:hAnsi="Verdana"/>
          <w:sz w:val="20"/>
          <w:szCs w:val="20"/>
          <w:lang w:val="en-US"/>
        </w:rPr>
        <w:t xml:space="preserve"> to</w:t>
      </w:r>
      <w:r w:rsidR="00825A91" w:rsidRPr="00886A2A">
        <w:rPr>
          <w:rFonts w:ascii="Verdana" w:hAnsi="Verdana"/>
          <w:sz w:val="20"/>
          <w:szCs w:val="20"/>
          <w:lang w:val="en-US"/>
        </w:rPr>
        <w:t xml:space="preserve"> promote </w:t>
      </w:r>
      <w:r w:rsidR="00CB13A8" w:rsidRPr="00886A2A">
        <w:rPr>
          <w:rFonts w:ascii="Verdana" w:hAnsi="Verdana"/>
          <w:sz w:val="20"/>
          <w:szCs w:val="20"/>
          <w:lang w:val="en-US"/>
        </w:rPr>
        <w:t xml:space="preserve">economic </w:t>
      </w:r>
      <w:r w:rsidR="00825A91" w:rsidRPr="00886A2A">
        <w:rPr>
          <w:rFonts w:ascii="Verdana" w:hAnsi="Verdana"/>
          <w:sz w:val="20"/>
          <w:szCs w:val="20"/>
          <w:lang w:val="en-US"/>
        </w:rPr>
        <w:t>resilience</w:t>
      </w:r>
      <w:r w:rsidR="002777D8" w:rsidRPr="00886A2A">
        <w:rPr>
          <w:rFonts w:ascii="Verdana" w:hAnsi="Verdana"/>
          <w:sz w:val="20"/>
          <w:szCs w:val="20"/>
          <w:lang w:val="en-US"/>
        </w:rPr>
        <w:t>, including hi</w:t>
      </w:r>
      <w:r w:rsidR="726C3618" w:rsidRPr="00886A2A">
        <w:rPr>
          <w:rFonts w:ascii="Verdana" w:hAnsi="Verdana"/>
          <w:sz w:val="20"/>
          <w:szCs w:val="20"/>
          <w:lang w:val="en-US"/>
        </w:rPr>
        <w:t>gh</w:t>
      </w:r>
      <w:r w:rsidR="002777D8" w:rsidRPr="00886A2A">
        <w:rPr>
          <w:rFonts w:ascii="Verdana" w:hAnsi="Verdana"/>
          <w:sz w:val="20"/>
          <w:szCs w:val="20"/>
          <w:lang w:val="en-US"/>
        </w:rPr>
        <w:t xml:space="preserve">lighting major economic and system focus areas for the government to address in its Article IV </w:t>
      </w:r>
      <w:r w:rsidR="007C4C45" w:rsidRPr="00886A2A">
        <w:rPr>
          <w:rFonts w:ascii="Verdana" w:hAnsi="Verdana"/>
          <w:sz w:val="20"/>
          <w:szCs w:val="20"/>
          <w:lang w:val="en-US"/>
        </w:rPr>
        <w:t xml:space="preserve">Consultation </w:t>
      </w:r>
      <w:r w:rsidR="002777D8" w:rsidRPr="00886A2A">
        <w:rPr>
          <w:rFonts w:ascii="Verdana" w:hAnsi="Verdana"/>
          <w:sz w:val="20"/>
          <w:szCs w:val="20"/>
          <w:lang w:val="en-US"/>
        </w:rPr>
        <w:t>Reports</w:t>
      </w:r>
      <w:r w:rsidR="00825A91" w:rsidRPr="00886A2A">
        <w:rPr>
          <w:rFonts w:ascii="Verdana" w:hAnsi="Verdana"/>
          <w:sz w:val="20"/>
          <w:szCs w:val="20"/>
          <w:lang w:val="en-US"/>
        </w:rPr>
        <w:t xml:space="preserve">. </w:t>
      </w:r>
    </w:p>
    <w:p w14:paraId="079E6617" w14:textId="77777777" w:rsidR="007C4C45" w:rsidRPr="003E2544" w:rsidRDefault="007C4C45" w:rsidP="00245274">
      <w:pPr>
        <w:pStyle w:val="ListParagraph"/>
        <w:numPr>
          <w:ilvl w:val="0"/>
          <w:numId w:val="82"/>
        </w:numPr>
        <w:spacing w:line="240" w:lineRule="auto"/>
        <w:rPr>
          <w:rFonts w:ascii="Verdana" w:hAnsi="Verdana"/>
          <w:sz w:val="20"/>
          <w:szCs w:val="20"/>
          <w:lang w:val="en-US"/>
        </w:rPr>
      </w:pPr>
      <w:r w:rsidRPr="003E2544">
        <w:rPr>
          <w:rFonts w:ascii="Verdana" w:hAnsi="Verdana"/>
          <w:b/>
          <w:bCs/>
          <w:sz w:val="20"/>
          <w:szCs w:val="20"/>
          <w:lang w:val="en-US"/>
        </w:rPr>
        <w:t>World Bank:</w:t>
      </w:r>
      <w:r w:rsidRPr="003E2544">
        <w:rPr>
          <w:rFonts w:ascii="Verdana" w:hAnsi="Verdana"/>
          <w:sz w:val="20"/>
          <w:szCs w:val="20"/>
          <w:lang w:val="en-US"/>
        </w:rPr>
        <w:t xml:space="preserve"> </w:t>
      </w:r>
      <w:r w:rsidR="00CB13A8" w:rsidRPr="00886A2A">
        <w:rPr>
          <w:rFonts w:ascii="Verdana" w:hAnsi="Verdana"/>
          <w:sz w:val="20"/>
          <w:szCs w:val="20"/>
          <w:lang w:val="en-US"/>
        </w:rPr>
        <w:t xml:space="preserve">The World Bank </w:t>
      </w:r>
      <w:r w:rsidR="002777D8" w:rsidRPr="00886A2A">
        <w:rPr>
          <w:rFonts w:ascii="Verdana" w:hAnsi="Verdana"/>
          <w:sz w:val="20"/>
          <w:szCs w:val="20"/>
          <w:lang w:val="en-US"/>
        </w:rPr>
        <w:t xml:space="preserve">has continued its support through Local Governance and Service Delivery Project (LOGOSEED), providing US $1.1 </w:t>
      </w:r>
      <w:r w:rsidR="4ADD676D" w:rsidRPr="00886A2A">
        <w:rPr>
          <w:rFonts w:ascii="Verdana" w:hAnsi="Verdana"/>
          <w:sz w:val="20"/>
          <w:szCs w:val="20"/>
          <w:lang w:val="en-US"/>
        </w:rPr>
        <w:t>billion</w:t>
      </w:r>
      <w:r w:rsidR="002777D8" w:rsidRPr="00886A2A">
        <w:rPr>
          <w:rFonts w:ascii="Verdana" w:hAnsi="Verdana"/>
          <w:sz w:val="20"/>
          <w:szCs w:val="20"/>
          <w:lang w:val="en-US"/>
        </w:rPr>
        <w:t xml:space="preserve"> in 2019, and</w:t>
      </w:r>
      <w:r w:rsidR="00C90402" w:rsidRPr="00886A2A">
        <w:rPr>
          <w:rFonts w:ascii="Verdana" w:hAnsi="Verdana"/>
          <w:sz w:val="20"/>
          <w:szCs w:val="20"/>
          <w:lang w:val="en-US"/>
        </w:rPr>
        <w:t xml:space="preserve"> </w:t>
      </w:r>
      <w:r w:rsidR="00CB13A8" w:rsidRPr="00886A2A">
        <w:rPr>
          <w:rFonts w:ascii="Verdana" w:hAnsi="Verdana"/>
          <w:sz w:val="20"/>
          <w:szCs w:val="20"/>
          <w:lang w:val="en-US"/>
        </w:rPr>
        <w:t xml:space="preserve">is evaluating the optimal vehicles for </w:t>
      </w:r>
      <w:r w:rsidR="002777D8" w:rsidRPr="00886A2A">
        <w:rPr>
          <w:rFonts w:ascii="Verdana" w:hAnsi="Verdana"/>
          <w:sz w:val="20"/>
          <w:szCs w:val="20"/>
          <w:lang w:val="en-US"/>
        </w:rPr>
        <w:t>further investment</w:t>
      </w:r>
      <w:r w:rsidR="00CB13A8" w:rsidRPr="00886A2A">
        <w:rPr>
          <w:rFonts w:ascii="Verdana" w:hAnsi="Verdana"/>
          <w:sz w:val="20"/>
          <w:szCs w:val="20"/>
          <w:lang w:val="en-US"/>
        </w:rPr>
        <w:t xml:space="preserve"> in the post-conflict, peace and institution building</w:t>
      </w:r>
      <w:r w:rsidRPr="003E2544">
        <w:rPr>
          <w:rFonts w:ascii="Verdana" w:hAnsi="Verdana"/>
          <w:sz w:val="20"/>
          <w:szCs w:val="20"/>
          <w:lang w:val="en-US"/>
        </w:rPr>
        <w:t>.</w:t>
      </w:r>
    </w:p>
    <w:p w14:paraId="586773D0" w14:textId="757F1F02" w:rsidR="007C4C45" w:rsidRPr="003E2544" w:rsidRDefault="007C4C45" w:rsidP="00245274">
      <w:pPr>
        <w:pStyle w:val="ListParagraph"/>
        <w:numPr>
          <w:ilvl w:val="0"/>
          <w:numId w:val="82"/>
        </w:numPr>
        <w:spacing w:line="240" w:lineRule="auto"/>
        <w:rPr>
          <w:rFonts w:ascii="Verdana" w:hAnsi="Verdana"/>
          <w:sz w:val="20"/>
          <w:szCs w:val="20"/>
          <w:lang w:val="en-US"/>
        </w:rPr>
      </w:pPr>
      <w:r w:rsidRPr="003E2544">
        <w:rPr>
          <w:rFonts w:ascii="Verdana" w:hAnsi="Verdana"/>
          <w:b/>
          <w:bCs/>
          <w:sz w:val="20"/>
          <w:szCs w:val="20"/>
          <w:lang w:val="en-US"/>
        </w:rPr>
        <w:t>Regional Economic Communities:</w:t>
      </w:r>
      <w:r w:rsidRPr="003E2544">
        <w:rPr>
          <w:rFonts w:ascii="Verdana" w:hAnsi="Verdana"/>
          <w:sz w:val="20"/>
          <w:szCs w:val="20"/>
          <w:lang w:val="en-US"/>
        </w:rPr>
        <w:t xml:space="preserve"> The </w:t>
      </w:r>
      <w:r w:rsidR="00825A91" w:rsidRPr="00886A2A">
        <w:rPr>
          <w:rFonts w:ascii="Verdana" w:hAnsi="Verdana"/>
          <w:sz w:val="20"/>
          <w:szCs w:val="20"/>
          <w:lang w:val="en-US"/>
        </w:rPr>
        <w:t xml:space="preserve">Economic Community of West African States (ECOWAS), the Intergovernmental Authority on Development (IGAD), the Southern African Development Community (SADC), the Economic Community of Central African States (ECASS) and the Arab Maghreb Union (AMU) </w:t>
      </w:r>
      <w:r w:rsidR="000B5D77" w:rsidRPr="00886A2A">
        <w:rPr>
          <w:rFonts w:ascii="Verdana" w:hAnsi="Verdana"/>
          <w:sz w:val="20"/>
          <w:szCs w:val="20"/>
          <w:lang w:val="en-US"/>
        </w:rPr>
        <w:t xml:space="preserve">support post-conflict countries to </w:t>
      </w:r>
      <w:r w:rsidR="00825A91" w:rsidRPr="00886A2A">
        <w:rPr>
          <w:rFonts w:ascii="Verdana" w:hAnsi="Verdana"/>
          <w:sz w:val="20"/>
          <w:szCs w:val="20"/>
          <w:lang w:val="en-US"/>
        </w:rPr>
        <w:t xml:space="preserve">secure and build peace. </w:t>
      </w:r>
    </w:p>
    <w:p w14:paraId="7DE5FB86" w14:textId="21678416" w:rsidR="00825A91" w:rsidRPr="00886A2A" w:rsidRDefault="007C4C45" w:rsidP="00886A2A">
      <w:pPr>
        <w:pStyle w:val="ListParagraph"/>
        <w:numPr>
          <w:ilvl w:val="0"/>
          <w:numId w:val="82"/>
        </w:numPr>
        <w:spacing w:line="240" w:lineRule="auto"/>
        <w:rPr>
          <w:rFonts w:ascii="Verdana" w:hAnsi="Verdana"/>
          <w:sz w:val="20"/>
          <w:szCs w:val="20"/>
        </w:rPr>
      </w:pPr>
      <w:r w:rsidRPr="00886A2A">
        <w:rPr>
          <w:rFonts w:ascii="Verdana" w:hAnsi="Verdana"/>
          <w:b/>
          <w:bCs/>
          <w:sz w:val="20"/>
          <w:szCs w:val="20"/>
          <w:lang w:val="en-US"/>
        </w:rPr>
        <w:t xml:space="preserve">African Development Bank (AfDB): </w:t>
      </w:r>
      <w:r w:rsidRPr="003E2544">
        <w:rPr>
          <w:rFonts w:ascii="Verdana" w:hAnsi="Verdana"/>
          <w:sz w:val="20"/>
          <w:szCs w:val="20"/>
          <w:lang w:val="en-US"/>
        </w:rPr>
        <w:t>AfDB</w:t>
      </w:r>
      <w:r w:rsidR="000B5D77" w:rsidRPr="00886A2A">
        <w:rPr>
          <w:rFonts w:ascii="Verdana" w:hAnsi="Verdana"/>
          <w:sz w:val="20"/>
          <w:szCs w:val="20"/>
          <w:lang w:val="en-US"/>
        </w:rPr>
        <w:t xml:space="preserve"> provides loans for </w:t>
      </w:r>
      <w:r w:rsidR="00825A91" w:rsidRPr="00886A2A">
        <w:rPr>
          <w:rFonts w:ascii="Verdana" w:hAnsi="Verdana"/>
          <w:sz w:val="20"/>
          <w:szCs w:val="20"/>
          <w:lang w:val="en-US"/>
        </w:rPr>
        <w:t xml:space="preserve">countries </w:t>
      </w:r>
      <w:r w:rsidR="000B5D77" w:rsidRPr="00886A2A">
        <w:rPr>
          <w:rFonts w:ascii="Verdana" w:hAnsi="Verdana"/>
          <w:sz w:val="20"/>
          <w:szCs w:val="20"/>
          <w:lang w:val="en-US"/>
        </w:rPr>
        <w:t xml:space="preserve">to </w:t>
      </w:r>
      <w:r w:rsidR="00825A91" w:rsidRPr="00886A2A">
        <w:rPr>
          <w:rFonts w:ascii="Verdana" w:hAnsi="Verdana"/>
          <w:sz w:val="20"/>
          <w:szCs w:val="20"/>
          <w:lang w:val="en-US"/>
        </w:rPr>
        <w:t xml:space="preserve">improve their </w:t>
      </w:r>
      <w:r w:rsidR="00CB13A8" w:rsidRPr="00886A2A">
        <w:rPr>
          <w:rFonts w:ascii="Verdana" w:hAnsi="Verdana"/>
          <w:sz w:val="20"/>
          <w:szCs w:val="20"/>
          <w:lang w:val="en-US"/>
        </w:rPr>
        <w:t>p</w:t>
      </w:r>
      <w:r w:rsidR="00825A91" w:rsidRPr="00886A2A">
        <w:rPr>
          <w:rFonts w:ascii="Verdana" w:hAnsi="Verdana"/>
          <w:sz w:val="20"/>
          <w:szCs w:val="20"/>
          <w:lang w:val="en-US"/>
        </w:rPr>
        <w:t xml:space="preserve">erformance on PFM </w:t>
      </w:r>
      <w:r w:rsidR="000B5D77" w:rsidRPr="00886A2A">
        <w:rPr>
          <w:rFonts w:ascii="Verdana" w:hAnsi="Verdana"/>
          <w:sz w:val="20"/>
          <w:szCs w:val="20"/>
          <w:lang w:val="en-US"/>
        </w:rPr>
        <w:t xml:space="preserve">and promote the </w:t>
      </w:r>
      <w:r w:rsidR="00825A91" w:rsidRPr="00886A2A">
        <w:rPr>
          <w:rFonts w:ascii="Verdana" w:hAnsi="Verdana"/>
          <w:sz w:val="20"/>
          <w:szCs w:val="20"/>
          <w:lang w:val="en-US"/>
        </w:rPr>
        <w:t>achievement of public poli</w:t>
      </w:r>
      <w:r w:rsidR="00CB13A8" w:rsidRPr="00886A2A">
        <w:rPr>
          <w:rFonts w:ascii="Verdana" w:hAnsi="Verdana"/>
          <w:sz w:val="20"/>
          <w:szCs w:val="20"/>
          <w:lang w:val="en-US"/>
        </w:rPr>
        <w:t>cy objectives</w:t>
      </w:r>
      <w:r w:rsidRPr="003E2544">
        <w:rPr>
          <w:rFonts w:ascii="Verdana" w:hAnsi="Verdana"/>
          <w:sz w:val="20"/>
          <w:szCs w:val="20"/>
          <w:lang w:val="en-US"/>
        </w:rPr>
        <w:t>,</w:t>
      </w:r>
      <w:r w:rsidR="00CB13A8" w:rsidRPr="00886A2A">
        <w:rPr>
          <w:rFonts w:ascii="Verdana" w:hAnsi="Verdana"/>
          <w:sz w:val="20"/>
          <w:szCs w:val="20"/>
          <w:lang w:val="en-US"/>
        </w:rPr>
        <w:t xml:space="preserve"> and is engaging MoFP to evaluate the country’s financial management system needs.</w:t>
      </w:r>
    </w:p>
    <w:p w14:paraId="229D026B" w14:textId="7AEF3E56" w:rsidR="00825A91" w:rsidRPr="003E2544" w:rsidRDefault="00825A91" w:rsidP="00245274">
      <w:pPr>
        <w:spacing w:line="240" w:lineRule="auto"/>
        <w:contextualSpacing/>
        <w:jc w:val="both"/>
        <w:rPr>
          <w:rFonts w:ascii="Verdana" w:hAnsi="Verdana"/>
          <w:sz w:val="20"/>
          <w:szCs w:val="20"/>
        </w:rPr>
      </w:pPr>
    </w:p>
    <w:p w14:paraId="7A2ABAED" w14:textId="7C729656" w:rsidR="00272BF8" w:rsidRPr="003E2544" w:rsidRDefault="00272BF8" w:rsidP="00245274">
      <w:pPr>
        <w:spacing w:line="240" w:lineRule="auto"/>
        <w:contextualSpacing/>
        <w:jc w:val="both"/>
        <w:rPr>
          <w:rFonts w:ascii="Verdana" w:eastAsia="Times New Roman" w:hAnsi="Verdana" w:cs="Times New Roman"/>
          <w:color w:val="000000" w:themeColor="text1"/>
          <w:sz w:val="24"/>
          <w:szCs w:val="24"/>
          <w:u w:val="single"/>
          <w:lang w:eastAsia="en-GB"/>
        </w:rPr>
      </w:pPr>
    </w:p>
    <w:p w14:paraId="54521806" w14:textId="4C49D170" w:rsidR="00272BF8" w:rsidRPr="003E2544" w:rsidRDefault="00272BF8" w:rsidP="00245274">
      <w:pPr>
        <w:spacing w:line="240" w:lineRule="auto"/>
        <w:contextualSpacing/>
        <w:jc w:val="both"/>
        <w:rPr>
          <w:rFonts w:ascii="Verdana" w:eastAsia="Times New Roman" w:hAnsi="Verdana" w:cs="Times New Roman"/>
          <w:i/>
          <w:color w:val="000000" w:themeColor="text1"/>
          <w:sz w:val="24"/>
          <w:szCs w:val="24"/>
          <w:lang w:eastAsia="en-GB"/>
        </w:rPr>
      </w:pPr>
      <w:r w:rsidRPr="003E2544">
        <w:rPr>
          <w:rFonts w:ascii="Verdana" w:eastAsia="Times New Roman" w:hAnsi="Verdana" w:cs="Times New Roman"/>
          <w:i/>
          <w:color w:val="000000" w:themeColor="text1"/>
          <w:sz w:val="24"/>
          <w:szCs w:val="24"/>
          <w:lang w:eastAsia="en-GB"/>
        </w:rPr>
        <w:br w:type="page"/>
      </w:r>
    </w:p>
    <w:p w14:paraId="318B2B8F" w14:textId="60568996" w:rsidR="00272BF8" w:rsidRPr="003E2544" w:rsidRDefault="00272BF8" w:rsidP="00886A2A">
      <w:pPr>
        <w:pStyle w:val="Heading2"/>
        <w:spacing w:line="240" w:lineRule="auto"/>
        <w:jc w:val="center"/>
      </w:pPr>
      <w:r w:rsidRPr="003E2544">
        <w:lastRenderedPageBreak/>
        <w:t xml:space="preserve">C. </w:t>
      </w:r>
      <w:r w:rsidR="008F6BEE" w:rsidRPr="003E2544">
        <w:t>JOINT PROGRAMME DESCRIPTION</w:t>
      </w:r>
    </w:p>
    <w:p w14:paraId="4312DBB3" w14:textId="77777777" w:rsidR="00272BF8" w:rsidRPr="003E2544" w:rsidRDefault="00272BF8" w:rsidP="00245274">
      <w:pPr>
        <w:spacing w:line="240" w:lineRule="auto"/>
        <w:rPr>
          <w:rFonts w:ascii="Verdana" w:eastAsia="Calibri" w:hAnsi="Verdana" w:cs="Times New Roman"/>
          <w:color w:val="000000" w:themeColor="text1"/>
          <w:sz w:val="18"/>
          <w:szCs w:val="20"/>
        </w:rPr>
      </w:pPr>
    </w:p>
    <w:p w14:paraId="560FABA8" w14:textId="77777777" w:rsidR="00272BF8" w:rsidRPr="003E2544" w:rsidRDefault="00272BF8" w:rsidP="00886A2A">
      <w:pPr>
        <w:pStyle w:val="Heading2"/>
        <w:spacing w:line="240" w:lineRule="auto"/>
      </w:pPr>
      <w:r w:rsidRPr="003E2544">
        <w:t xml:space="preserve">1. Baseline and Situation Analysis </w:t>
      </w:r>
    </w:p>
    <w:p w14:paraId="479939F4" w14:textId="77777777" w:rsidR="008A5867" w:rsidRPr="001A0D2B" w:rsidRDefault="008A5867" w:rsidP="00886A2A">
      <w:pPr>
        <w:spacing w:line="240" w:lineRule="auto"/>
      </w:pPr>
    </w:p>
    <w:p w14:paraId="42A337A0" w14:textId="0607EC47" w:rsidR="00875AFA" w:rsidRPr="007A3E8F" w:rsidRDefault="00272BF8" w:rsidP="007A3E8F">
      <w:pPr>
        <w:pStyle w:val="Heading3"/>
        <w:spacing w:line="240" w:lineRule="auto"/>
      </w:pPr>
      <w:r w:rsidRPr="003E2544">
        <w:t xml:space="preserve">1.1 Problem statement </w:t>
      </w:r>
    </w:p>
    <w:p w14:paraId="70E878EE" w14:textId="00B1017D" w:rsidR="00AD3602" w:rsidRDefault="00A6336E" w:rsidP="00AD3602">
      <w:pPr>
        <w:spacing w:after="199" w:line="240" w:lineRule="auto"/>
        <w:jc w:val="both"/>
        <w:rPr>
          <w:rFonts w:ascii="Verdana" w:hAnsi="Verdana"/>
          <w:color w:val="000000"/>
          <w:sz w:val="20"/>
          <w:szCs w:val="20"/>
        </w:rPr>
      </w:pPr>
      <w:r w:rsidRPr="004E4955">
        <w:rPr>
          <w:rFonts w:ascii="Verdana" w:hAnsi="Verdana"/>
          <w:color w:val="000000"/>
          <w:sz w:val="20"/>
          <w:szCs w:val="20"/>
        </w:rPr>
        <w:t>Prior to South Sudan’</w:t>
      </w:r>
      <w:r w:rsidRPr="00A913B0">
        <w:rPr>
          <w:rFonts w:ascii="Verdana" w:hAnsi="Verdana"/>
          <w:color w:val="000000"/>
          <w:sz w:val="20"/>
          <w:szCs w:val="20"/>
        </w:rPr>
        <w:t xml:space="preserve">s independence in 2011, </w:t>
      </w:r>
      <w:r w:rsidRPr="00975396">
        <w:rPr>
          <w:rFonts w:ascii="Verdana" w:hAnsi="Verdana"/>
          <w:sz w:val="20"/>
          <w:szCs w:val="20"/>
        </w:rPr>
        <w:t>nearly four decades of civil war had already devastated access to basic services.</w:t>
      </w:r>
      <w:r w:rsidRPr="003E2544">
        <w:t xml:space="preserve"> </w:t>
      </w:r>
      <w:r w:rsidR="00A10246" w:rsidRPr="003E2544">
        <w:rPr>
          <w:rFonts w:ascii="Verdana" w:hAnsi="Verdana"/>
          <w:color w:val="000000"/>
          <w:sz w:val="20"/>
          <w:szCs w:val="20"/>
        </w:rPr>
        <w:t xml:space="preserve">As a result of </w:t>
      </w:r>
      <w:r w:rsidR="003E2544">
        <w:rPr>
          <w:rFonts w:ascii="Verdana" w:hAnsi="Verdana"/>
          <w:color w:val="000000"/>
          <w:sz w:val="20"/>
          <w:szCs w:val="20"/>
        </w:rPr>
        <w:t>renewed conflict</w:t>
      </w:r>
      <w:r w:rsidRPr="003E2544">
        <w:rPr>
          <w:rFonts w:ascii="Verdana" w:hAnsi="Verdana"/>
          <w:color w:val="000000"/>
          <w:sz w:val="20"/>
          <w:szCs w:val="20"/>
        </w:rPr>
        <w:t xml:space="preserve"> </w:t>
      </w:r>
      <w:r w:rsidR="003E2544">
        <w:rPr>
          <w:rFonts w:ascii="Verdana" w:hAnsi="Verdana"/>
          <w:color w:val="000000"/>
          <w:sz w:val="20"/>
          <w:szCs w:val="20"/>
        </w:rPr>
        <w:t xml:space="preserve">in South Sudan from </w:t>
      </w:r>
      <w:r w:rsidRPr="003E2544">
        <w:rPr>
          <w:rFonts w:ascii="Verdana" w:hAnsi="Verdana"/>
          <w:color w:val="000000"/>
          <w:sz w:val="20"/>
          <w:szCs w:val="20"/>
        </w:rPr>
        <w:t>201</w:t>
      </w:r>
      <w:r w:rsidR="003E2544">
        <w:rPr>
          <w:rFonts w:ascii="Verdana" w:hAnsi="Verdana"/>
          <w:color w:val="000000"/>
          <w:sz w:val="20"/>
          <w:szCs w:val="20"/>
        </w:rPr>
        <w:t>3</w:t>
      </w:r>
      <w:r w:rsidR="00A10246" w:rsidRPr="003E2544">
        <w:rPr>
          <w:rFonts w:ascii="Verdana" w:hAnsi="Verdana"/>
          <w:color w:val="000000"/>
          <w:sz w:val="20"/>
          <w:szCs w:val="20"/>
        </w:rPr>
        <w:t xml:space="preserve">, a humanitarian crisis ensued that </w:t>
      </w:r>
      <w:r w:rsidR="003E2544">
        <w:rPr>
          <w:rFonts w:ascii="Verdana" w:hAnsi="Verdana"/>
          <w:color w:val="000000"/>
          <w:sz w:val="20"/>
          <w:szCs w:val="20"/>
        </w:rPr>
        <w:t xml:space="preserve">further </w:t>
      </w:r>
      <w:r w:rsidR="00D24A2A" w:rsidRPr="003E2544">
        <w:rPr>
          <w:rFonts w:ascii="Verdana" w:hAnsi="Verdana"/>
          <w:color w:val="000000"/>
          <w:sz w:val="20"/>
          <w:szCs w:val="20"/>
        </w:rPr>
        <w:t>destroyed systems to deliver</w:t>
      </w:r>
      <w:r w:rsidR="00A10246" w:rsidRPr="003E2544">
        <w:rPr>
          <w:rFonts w:ascii="Verdana" w:hAnsi="Verdana"/>
          <w:color w:val="000000"/>
          <w:sz w:val="20"/>
          <w:szCs w:val="20"/>
        </w:rPr>
        <w:t xml:space="preserve"> </w:t>
      </w:r>
      <w:r w:rsidR="003E2544">
        <w:rPr>
          <w:rFonts w:ascii="Verdana" w:hAnsi="Verdana"/>
          <w:color w:val="000000"/>
          <w:sz w:val="20"/>
          <w:szCs w:val="20"/>
        </w:rPr>
        <w:t xml:space="preserve">social </w:t>
      </w:r>
      <w:r w:rsidR="00A10246" w:rsidRPr="003E2544">
        <w:rPr>
          <w:rFonts w:ascii="Verdana" w:hAnsi="Verdana"/>
          <w:color w:val="000000"/>
          <w:sz w:val="20"/>
          <w:szCs w:val="20"/>
        </w:rPr>
        <w:t xml:space="preserve">services. </w:t>
      </w:r>
      <w:r w:rsidR="00116A9C" w:rsidRPr="003E2544">
        <w:rPr>
          <w:rFonts w:ascii="Verdana" w:hAnsi="Verdana"/>
          <w:color w:val="000000"/>
          <w:sz w:val="20"/>
          <w:szCs w:val="20"/>
        </w:rPr>
        <w:t>A</w:t>
      </w:r>
      <w:r w:rsidR="00A10246" w:rsidRPr="003E2544">
        <w:rPr>
          <w:rFonts w:ascii="Verdana" w:hAnsi="Verdana"/>
          <w:color w:val="000000"/>
          <w:sz w:val="20"/>
          <w:szCs w:val="20"/>
        </w:rPr>
        <w:t>bout 7.1 million South Sudanese required humanitarian assistance in 2019, roughly 2.3 million refugees fled into neighboring countries, and an estimated 1.9 million people are internally displaced.</w:t>
      </w:r>
      <w:r w:rsidR="00A10246" w:rsidRPr="003E2544">
        <w:rPr>
          <w:rStyle w:val="FootnoteReference"/>
          <w:rFonts w:ascii="Verdana" w:hAnsi="Verdana"/>
          <w:color w:val="000000"/>
          <w:sz w:val="20"/>
          <w:szCs w:val="20"/>
        </w:rPr>
        <w:footnoteReference w:id="4"/>
      </w:r>
      <w:r w:rsidR="00A10246" w:rsidRPr="003E2544">
        <w:rPr>
          <w:rFonts w:ascii="Verdana" w:hAnsi="Verdana"/>
          <w:color w:val="000000"/>
          <w:sz w:val="20"/>
          <w:szCs w:val="20"/>
        </w:rPr>
        <w:t xml:space="preserve"> More than half of the country’s population is estimated to be severely food insecure. </w:t>
      </w:r>
      <w:r w:rsidR="003E2544">
        <w:rPr>
          <w:rFonts w:ascii="Verdana" w:hAnsi="Verdana"/>
          <w:color w:val="000000"/>
          <w:sz w:val="20"/>
          <w:szCs w:val="20"/>
        </w:rPr>
        <w:t>A</w:t>
      </w:r>
      <w:r w:rsidR="00A10246" w:rsidRPr="003E2544">
        <w:rPr>
          <w:rFonts w:ascii="Verdana" w:hAnsi="Verdana"/>
          <w:color w:val="000000"/>
          <w:sz w:val="20"/>
          <w:szCs w:val="20"/>
        </w:rPr>
        <w:t>n estimated 3.9 million people needed healthcare in early 2019</w:t>
      </w:r>
      <w:r w:rsidR="003E2544">
        <w:rPr>
          <w:rFonts w:ascii="Verdana" w:hAnsi="Verdana"/>
          <w:color w:val="000000"/>
          <w:sz w:val="20"/>
          <w:szCs w:val="20"/>
        </w:rPr>
        <w:t>, but</w:t>
      </w:r>
      <w:r w:rsidR="00975396">
        <w:rPr>
          <w:rFonts w:ascii="Verdana" w:hAnsi="Verdana"/>
          <w:color w:val="000000"/>
          <w:sz w:val="20"/>
          <w:szCs w:val="20"/>
        </w:rPr>
        <w:t xml:space="preserve"> most</w:t>
      </w:r>
      <w:r w:rsidR="003E2544">
        <w:rPr>
          <w:rFonts w:ascii="Verdana" w:hAnsi="Verdana"/>
          <w:color w:val="000000"/>
          <w:sz w:val="20"/>
          <w:szCs w:val="20"/>
        </w:rPr>
        <w:t xml:space="preserve"> h</w:t>
      </w:r>
      <w:r w:rsidR="003E2544" w:rsidRPr="003E2544">
        <w:rPr>
          <w:rFonts w:ascii="Verdana" w:hAnsi="Verdana"/>
          <w:color w:val="000000"/>
          <w:sz w:val="20"/>
          <w:szCs w:val="20"/>
        </w:rPr>
        <w:t>ealthcare facilities have been destroyed</w:t>
      </w:r>
      <w:r w:rsidR="00A10246" w:rsidRPr="003E2544">
        <w:rPr>
          <w:rFonts w:ascii="Verdana" w:hAnsi="Verdana"/>
          <w:color w:val="000000"/>
          <w:sz w:val="20"/>
          <w:szCs w:val="20"/>
        </w:rPr>
        <w:t xml:space="preserve">. Moreover, the education system has been disrupted </w:t>
      </w:r>
      <w:r w:rsidR="003930CD" w:rsidRPr="003E2544">
        <w:rPr>
          <w:rFonts w:ascii="Verdana" w:hAnsi="Verdana"/>
          <w:color w:val="000000"/>
          <w:sz w:val="20"/>
          <w:szCs w:val="20"/>
        </w:rPr>
        <w:t xml:space="preserve">with </w:t>
      </w:r>
      <w:r w:rsidR="00A10246" w:rsidRPr="003E2544">
        <w:rPr>
          <w:rFonts w:ascii="Verdana" w:hAnsi="Verdana"/>
          <w:color w:val="000000"/>
          <w:sz w:val="20"/>
          <w:szCs w:val="20"/>
        </w:rPr>
        <w:t xml:space="preserve">about 2.8 million children (more than 70 percent of school-aged children) </w:t>
      </w:r>
      <w:r w:rsidR="003930CD" w:rsidRPr="003E2544">
        <w:rPr>
          <w:rFonts w:ascii="Verdana" w:hAnsi="Verdana"/>
          <w:color w:val="000000"/>
          <w:sz w:val="20"/>
          <w:szCs w:val="20"/>
        </w:rPr>
        <w:t xml:space="preserve">having </w:t>
      </w:r>
      <w:r w:rsidR="00A10246" w:rsidRPr="003E2544">
        <w:rPr>
          <w:rFonts w:ascii="Verdana" w:hAnsi="Verdana"/>
          <w:color w:val="000000"/>
          <w:sz w:val="20"/>
          <w:szCs w:val="20"/>
        </w:rPr>
        <w:t>lost access to educational services.</w:t>
      </w:r>
      <w:r w:rsidR="00A10246" w:rsidRPr="003E2544">
        <w:rPr>
          <w:rStyle w:val="FootnoteReference"/>
          <w:rFonts w:ascii="Verdana" w:hAnsi="Verdana"/>
          <w:color w:val="000000"/>
          <w:sz w:val="20"/>
          <w:szCs w:val="20"/>
        </w:rPr>
        <w:footnoteReference w:id="5"/>
      </w:r>
      <w:r w:rsidR="00DB4753">
        <w:rPr>
          <w:rFonts w:ascii="Verdana" w:hAnsi="Verdana"/>
          <w:color w:val="000000"/>
          <w:sz w:val="20"/>
          <w:szCs w:val="20"/>
        </w:rPr>
        <w:t xml:space="preserve"> </w:t>
      </w:r>
      <w:r w:rsidR="00DB4753" w:rsidRPr="00975396">
        <w:rPr>
          <w:rFonts w:ascii="Verdana" w:hAnsi="Verdana"/>
          <w:color w:val="000000"/>
          <w:sz w:val="20"/>
          <w:szCs w:val="20"/>
        </w:rPr>
        <w:t xml:space="preserve">Women and girls are disproportionately affected by the crisis due to mobility restrictions, limited decision-making power, lack of access to, and control over resources and poor access to information about their rights. </w:t>
      </w:r>
    </w:p>
    <w:p w14:paraId="3FEDB01E" w14:textId="77777777" w:rsidR="000019FF" w:rsidRDefault="0017176E" w:rsidP="00AD3602">
      <w:pPr>
        <w:spacing w:after="199" w:line="240" w:lineRule="auto"/>
        <w:jc w:val="both"/>
        <w:rPr>
          <w:rFonts w:ascii="Verdana" w:hAnsi="Verdana"/>
          <w:color w:val="000000"/>
          <w:sz w:val="20"/>
          <w:szCs w:val="20"/>
        </w:rPr>
      </w:pPr>
      <w:r w:rsidRPr="003E2544">
        <w:rPr>
          <w:rFonts w:ascii="Verdana" w:hAnsi="Verdana"/>
          <w:color w:val="000000"/>
          <w:sz w:val="20"/>
          <w:szCs w:val="20"/>
        </w:rPr>
        <w:t xml:space="preserve">On 22 February 2020, </w:t>
      </w:r>
      <w:r w:rsidR="000D09A8" w:rsidRPr="003E2544">
        <w:rPr>
          <w:rFonts w:ascii="Verdana" w:hAnsi="Verdana"/>
          <w:color w:val="000000"/>
          <w:sz w:val="20"/>
          <w:szCs w:val="20"/>
        </w:rPr>
        <w:t>South Sudan formed a unity government</w:t>
      </w:r>
      <w:r w:rsidR="00875AFA" w:rsidRPr="003E2544">
        <w:rPr>
          <w:rFonts w:ascii="Verdana" w:hAnsi="Verdana"/>
          <w:color w:val="000000"/>
          <w:sz w:val="20"/>
          <w:szCs w:val="20"/>
        </w:rPr>
        <w:t>, the Revitalized</w:t>
      </w:r>
      <w:r w:rsidR="006C0A83" w:rsidRPr="003E2544">
        <w:rPr>
          <w:rFonts w:ascii="Verdana" w:hAnsi="Verdana"/>
          <w:color w:val="000000"/>
          <w:sz w:val="20"/>
          <w:szCs w:val="20"/>
        </w:rPr>
        <w:t xml:space="preserve"> Transitional Government of National Unity (R-TGoNU)</w:t>
      </w:r>
      <w:r w:rsidR="00875AFA" w:rsidRPr="003E2544">
        <w:rPr>
          <w:rFonts w:ascii="Verdana" w:hAnsi="Verdana"/>
          <w:color w:val="000000"/>
          <w:sz w:val="20"/>
          <w:szCs w:val="20"/>
        </w:rPr>
        <w:t xml:space="preserve">. This marks a </w:t>
      </w:r>
      <w:r w:rsidR="000D09A8" w:rsidRPr="003E2544">
        <w:rPr>
          <w:rFonts w:ascii="Verdana" w:hAnsi="Verdana"/>
          <w:color w:val="000000"/>
          <w:sz w:val="20"/>
          <w:szCs w:val="20"/>
        </w:rPr>
        <w:t>long-</w:t>
      </w:r>
      <w:r w:rsidR="3941457A" w:rsidRPr="003E2544">
        <w:rPr>
          <w:rFonts w:ascii="Verdana" w:hAnsi="Verdana"/>
          <w:color w:val="000000"/>
          <w:sz w:val="20"/>
          <w:szCs w:val="20"/>
        </w:rPr>
        <w:t>a</w:t>
      </w:r>
      <w:r w:rsidRPr="003E2544">
        <w:rPr>
          <w:rFonts w:ascii="Verdana" w:hAnsi="Verdana"/>
          <w:color w:val="000000"/>
          <w:sz w:val="20"/>
          <w:szCs w:val="20"/>
        </w:rPr>
        <w:t>wait</w:t>
      </w:r>
      <w:r w:rsidR="000D09A8" w:rsidRPr="003E2544">
        <w:rPr>
          <w:rFonts w:ascii="Verdana" w:hAnsi="Verdana"/>
          <w:color w:val="000000"/>
          <w:sz w:val="20"/>
          <w:szCs w:val="20"/>
        </w:rPr>
        <w:t xml:space="preserve">ed </w:t>
      </w:r>
      <w:r w:rsidR="00875AFA" w:rsidRPr="003E2544">
        <w:rPr>
          <w:rFonts w:ascii="Verdana" w:hAnsi="Verdana"/>
          <w:color w:val="000000"/>
          <w:sz w:val="20"/>
          <w:szCs w:val="20"/>
        </w:rPr>
        <w:t xml:space="preserve">first </w:t>
      </w:r>
      <w:r w:rsidR="000D09A8" w:rsidRPr="003E2544">
        <w:rPr>
          <w:rFonts w:ascii="Verdana" w:hAnsi="Verdana"/>
          <w:color w:val="000000"/>
          <w:sz w:val="20"/>
          <w:szCs w:val="20"/>
        </w:rPr>
        <w:t xml:space="preserve">step towards </w:t>
      </w:r>
      <w:r w:rsidR="005803F8" w:rsidRPr="003E2544">
        <w:rPr>
          <w:rFonts w:ascii="Verdana" w:hAnsi="Verdana"/>
          <w:color w:val="000000"/>
          <w:sz w:val="20"/>
          <w:szCs w:val="20"/>
        </w:rPr>
        <w:t>sustainable peace</w:t>
      </w:r>
      <w:r w:rsidR="00875AFA" w:rsidRPr="003E2544">
        <w:rPr>
          <w:rFonts w:ascii="Verdana" w:hAnsi="Verdana"/>
          <w:color w:val="000000"/>
          <w:sz w:val="20"/>
          <w:szCs w:val="20"/>
        </w:rPr>
        <w:t>,</w:t>
      </w:r>
      <w:r w:rsidR="005803F8" w:rsidRPr="003E2544">
        <w:rPr>
          <w:rFonts w:ascii="Verdana" w:hAnsi="Verdana"/>
          <w:color w:val="000000"/>
          <w:sz w:val="20"/>
          <w:szCs w:val="20"/>
        </w:rPr>
        <w:t xml:space="preserve"> </w:t>
      </w:r>
      <w:r w:rsidR="00875AFA" w:rsidRPr="003E2544">
        <w:rPr>
          <w:rFonts w:ascii="Verdana" w:hAnsi="Verdana"/>
          <w:color w:val="000000"/>
          <w:sz w:val="20"/>
          <w:szCs w:val="20"/>
        </w:rPr>
        <w:t xml:space="preserve">democracy and economic development. The R-TGoNU has 36 months to enforce accountable governance institutions and improve service delivery to its citizens before national elections are held. </w:t>
      </w:r>
      <w:r w:rsidR="00C75FF3" w:rsidRPr="003E2544">
        <w:rPr>
          <w:rFonts w:ascii="Verdana" w:hAnsi="Verdana"/>
          <w:color w:val="000000"/>
          <w:sz w:val="20"/>
          <w:szCs w:val="20"/>
        </w:rPr>
        <w:t>This is a daunting challenge because m</w:t>
      </w:r>
      <w:r w:rsidR="00E96AC7" w:rsidRPr="003E2544">
        <w:rPr>
          <w:rFonts w:ascii="Verdana" w:hAnsi="Verdana"/>
          <w:color w:val="000000"/>
          <w:sz w:val="20"/>
          <w:szCs w:val="20"/>
        </w:rPr>
        <w:t xml:space="preserve">ost of </w:t>
      </w:r>
      <w:r w:rsidR="00572840" w:rsidRPr="003E2544">
        <w:rPr>
          <w:rFonts w:ascii="Verdana" w:hAnsi="Verdana"/>
          <w:color w:val="000000"/>
          <w:sz w:val="20"/>
          <w:szCs w:val="20"/>
        </w:rPr>
        <w:t xml:space="preserve">the legislative framework, policies and institutions remain extremely weak. </w:t>
      </w:r>
      <w:r w:rsidR="00AF7EB9" w:rsidRPr="003E2544">
        <w:rPr>
          <w:rFonts w:ascii="Verdana" w:hAnsi="Verdana"/>
          <w:color w:val="000000"/>
          <w:sz w:val="20"/>
          <w:szCs w:val="20"/>
        </w:rPr>
        <w:t xml:space="preserve">Weak institutions make it very difficult to finance </w:t>
      </w:r>
      <w:r w:rsidR="00A255A3" w:rsidRPr="003E2544">
        <w:rPr>
          <w:rFonts w:ascii="Verdana" w:hAnsi="Verdana"/>
          <w:color w:val="000000"/>
          <w:sz w:val="20"/>
          <w:szCs w:val="20"/>
        </w:rPr>
        <w:t xml:space="preserve">and provide </w:t>
      </w:r>
      <w:r w:rsidR="00AF7EB9" w:rsidRPr="003E2544">
        <w:rPr>
          <w:rFonts w:ascii="Verdana" w:hAnsi="Verdana"/>
          <w:color w:val="000000"/>
          <w:sz w:val="20"/>
          <w:szCs w:val="20"/>
        </w:rPr>
        <w:t xml:space="preserve">basic public services. </w:t>
      </w:r>
      <w:r w:rsidR="709870C9" w:rsidRPr="003E2544">
        <w:rPr>
          <w:rFonts w:ascii="Verdana" w:hAnsi="Verdana"/>
          <w:color w:val="000000"/>
          <w:sz w:val="20"/>
          <w:szCs w:val="20"/>
        </w:rPr>
        <w:t>The country</w:t>
      </w:r>
      <w:r w:rsidR="460AA194" w:rsidRPr="003E2544">
        <w:rPr>
          <w:rFonts w:ascii="Verdana" w:hAnsi="Verdana"/>
          <w:color w:val="000000"/>
          <w:sz w:val="20"/>
          <w:szCs w:val="20"/>
        </w:rPr>
        <w:t xml:space="preserve"> </w:t>
      </w:r>
      <w:r w:rsidR="709870C9" w:rsidRPr="003E2544">
        <w:rPr>
          <w:rFonts w:ascii="Verdana" w:hAnsi="Verdana"/>
          <w:color w:val="000000"/>
          <w:sz w:val="20"/>
          <w:szCs w:val="20"/>
        </w:rPr>
        <w:t xml:space="preserve">has </w:t>
      </w:r>
      <w:r w:rsidR="460AA194" w:rsidRPr="003E2544">
        <w:rPr>
          <w:rFonts w:ascii="Verdana" w:hAnsi="Verdana"/>
          <w:color w:val="000000"/>
          <w:sz w:val="20"/>
          <w:szCs w:val="20"/>
        </w:rPr>
        <w:t xml:space="preserve">high debt, </w:t>
      </w:r>
      <w:r w:rsidR="709870C9" w:rsidRPr="003E2544">
        <w:rPr>
          <w:rFonts w:ascii="Verdana" w:hAnsi="Verdana"/>
          <w:color w:val="000000"/>
          <w:sz w:val="20"/>
          <w:szCs w:val="20"/>
        </w:rPr>
        <w:t>a</w:t>
      </w:r>
      <w:r w:rsidR="00E52C80" w:rsidRPr="003E2544">
        <w:rPr>
          <w:rFonts w:ascii="Verdana" w:hAnsi="Verdana"/>
          <w:color w:val="000000"/>
          <w:sz w:val="20"/>
          <w:szCs w:val="20"/>
        </w:rPr>
        <w:t xml:space="preserve"> </w:t>
      </w:r>
      <w:r w:rsidR="00990A5D" w:rsidRPr="003E2544">
        <w:rPr>
          <w:rFonts w:ascii="Verdana" w:hAnsi="Verdana"/>
          <w:color w:val="000000"/>
          <w:sz w:val="20"/>
          <w:szCs w:val="20"/>
        </w:rPr>
        <w:t>hopeful</w:t>
      </w:r>
      <w:r w:rsidR="00E52C80" w:rsidRPr="003E2544">
        <w:rPr>
          <w:rFonts w:ascii="Verdana" w:hAnsi="Verdana"/>
          <w:color w:val="000000"/>
          <w:sz w:val="20"/>
          <w:szCs w:val="20"/>
        </w:rPr>
        <w:t xml:space="preserve"> but </w:t>
      </w:r>
      <w:r w:rsidR="460AA194" w:rsidRPr="003E2544">
        <w:rPr>
          <w:rFonts w:ascii="Verdana" w:hAnsi="Verdana"/>
          <w:color w:val="000000"/>
          <w:sz w:val="20"/>
          <w:szCs w:val="20"/>
        </w:rPr>
        <w:t xml:space="preserve">uncertain political landscape and </w:t>
      </w:r>
      <w:r w:rsidR="00E52C80" w:rsidRPr="003E2544">
        <w:rPr>
          <w:rFonts w:ascii="Verdana" w:hAnsi="Verdana"/>
          <w:color w:val="000000"/>
          <w:sz w:val="20"/>
          <w:szCs w:val="20"/>
        </w:rPr>
        <w:t xml:space="preserve">very </w:t>
      </w:r>
      <w:r w:rsidR="00163832" w:rsidRPr="003E2544">
        <w:rPr>
          <w:rFonts w:ascii="Verdana" w:hAnsi="Verdana"/>
          <w:color w:val="000000"/>
          <w:sz w:val="20"/>
          <w:szCs w:val="20"/>
        </w:rPr>
        <w:t>scant investment</w:t>
      </w:r>
      <w:r w:rsidR="709870C9" w:rsidRPr="003E2544">
        <w:rPr>
          <w:rFonts w:ascii="Verdana" w:hAnsi="Verdana"/>
          <w:color w:val="000000"/>
          <w:sz w:val="20"/>
          <w:szCs w:val="20"/>
        </w:rPr>
        <w:t xml:space="preserve">. </w:t>
      </w:r>
      <w:r w:rsidR="004752EF" w:rsidRPr="003E2544">
        <w:rPr>
          <w:rFonts w:ascii="Verdana" w:hAnsi="Verdana"/>
          <w:color w:val="000000"/>
          <w:sz w:val="20"/>
          <w:szCs w:val="20"/>
        </w:rPr>
        <w:t>F</w:t>
      </w:r>
      <w:r w:rsidR="460AA194" w:rsidRPr="003E2544">
        <w:rPr>
          <w:rFonts w:ascii="Verdana" w:hAnsi="Verdana"/>
          <w:color w:val="000000"/>
          <w:sz w:val="20"/>
          <w:szCs w:val="20"/>
        </w:rPr>
        <w:t>iscal polic</w:t>
      </w:r>
      <w:r w:rsidR="709870C9" w:rsidRPr="003E2544">
        <w:rPr>
          <w:rFonts w:ascii="Verdana" w:hAnsi="Verdana"/>
          <w:color w:val="000000"/>
          <w:sz w:val="20"/>
          <w:szCs w:val="20"/>
        </w:rPr>
        <w:t xml:space="preserve">ies </w:t>
      </w:r>
      <w:r w:rsidR="460AA194" w:rsidRPr="003E2544">
        <w:rPr>
          <w:rFonts w:ascii="Verdana" w:hAnsi="Verdana"/>
          <w:color w:val="000000"/>
          <w:sz w:val="20"/>
          <w:szCs w:val="20"/>
        </w:rPr>
        <w:t>ha</w:t>
      </w:r>
      <w:r w:rsidR="709870C9" w:rsidRPr="003E2544">
        <w:rPr>
          <w:rFonts w:ascii="Verdana" w:hAnsi="Verdana"/>
          <w:color w:val="000000"/>
          <w:sz w:val="20"/>
          <w:szCs w:val="20"/>
        </w:rPr>
        <w:t>ve</w:t>
      </w:r>
      <w:r w:rsidR="460AA194" w:rsidRPr="003E2544">
        <w:rPr>
          <w:rFonts w:ascii="Verdana" w:hAnsi="Verdana"/>
          <w:color w:val="000000"/>
          <w:sz w:val="20"/>
          <w:szCs w:val="20"/>
        </w:rPr>
        <w:t xml:space="preserve"> been weakened by the loss of fiscal discipline</w:t>
      </w:r>
      <w:r w:rsidR="039D51A0" w:rsidRPr="003E2544">
        <w:rPr>
          <w:rFonts w:ascii="Verdana" w:hAnsi="Verdana"/>
          <w:color w:val="000000"/>
          <w:sz w:val="20"/>
          <w:szCs w:val="20"/>
        </w:rPr>
        <w:t xml:space="preserve"> and </w:t>
      </w:r>
      <w:r w:rsidR="460AA194" w:rsidRPr="003E2544">
        <w:rPr>
          <w:rFonts w:ascii="Verdana" w:hAnsi="Verdana"/>
          <w:color w:val="000000"/>
          <w:sz w:val="20"/>
          <w:szCs w:val="20"/>
        </w:rPr>
        <w:t xml:space="preserve">deteriorating </w:t>
      </w:r>
      <w:r w:rsidR="003E2544">
        <w:rPr>
          <w:rFonts w:ascii="Verdana" w:hAnsi="Verdana"/>
          <w:color w:val="000000"/>
          <w:sz w:val="20"/>
          <w:szCs w:val="20"/>
        </w:rPr>
        <w:t>PFM</w:t>
      </w:r>
      <w:r w:rsidR="039D51A0" w:rsidRPr="003E2544">
        <w:rPr>
          <w:rFonts w:ascii="Verdana" w:hAnsi="Verdana"/>
          <w:color w:val="000000"/>
          <w:sz w:val="20"/>
          <w:szCs w:val="20"/>
        </w:rPr>
        <w:t>.</w:t>
      </w:r>
      <w:bookmarkStart w:id="4" w:name="_Ref34922152"/>
      <w:r w:rsidR="00EA549D" w:rsidRPr="003E2544">
        <w:rPr>
          <w:rFonts w:ascii="Verdana" w:hAnsi="Verdana"/>
          <w:color w:val="000000"/>
          <w:sz w:val="20"/>
          <w:szCs w:val="20"/>
          <w:vertAlign w:val="superscript"/>
        </w:rPr>
        <w:footnoteReference w:id="6"/>
      </w:r>
      <w:bookmarkEnd w:id="4"/>
      <w:r w:rsidR="039D51A0" w:rsidRPr="003E2544">
        <w:rPr>
          <w:rFonts w:ascii="Verdana" w:hAnsi="Verdana"/>
          <w:color w:val="000000"/>
          <w:sz w:val="20"/>
          <w:szCs w:val="20"/>
        </w:rPr>
        <w:t xml:space="preserve"> </w:t>
      </w:r>
    </w:p>
    <w:p w14:paraId="01EF96FF" w14:textId="46F6389B" w:rsidR="000019FF" w:rsidRPr="00E45C5C" w:rsidRDefault="000019FF" w:rsidP="00AD3602">
      <w:pPr>
        <w:spacing w:after="199" w:line="240" w:lineRule="auto"/>
        <w:jc w:val="both"/>
        <w:rPr>
          <w:rFonts w:ascii="Verdana" w:hAnsi="Verdana"/>
          <w:color w:val="000000"/>
          <w:sz w:val="20"/>
          <w:szCs w:val="20"/>
          <w:lang w:val="en-GB"/>
        </w:rPr>
      </w:pPr>
      <w:r w:rsidRPr="003B5E3D">
        <w:rPr>
          <w:rFonts w:ascii="Verdana" w:hAnsi="Verdana"/>
          <w:color w:val="000000"/>
          <w:sz w:val="20"/>
          <w:szCs w:val="20"/>
          <w:lang w:val="en-GB"/>
        </w:rPr>
        <w:t xml:space="preserve">South Sudan had deep levels of economic instability, social insecurity, poverty and vulnerability before </w:t>
      </w:r>
      <w:r>
        <w:rPr>
          <w:rFonts w:ascii="Verdana" w:hAnsi="Verdana"/>
          <w:color w:val="000000"/>
          <w:sz w:val="20"/>
          <w:szCs w:val="20"/>
          <w:lang w:val="en-GB"/>
        </w:rPr>
        <w:t xml:space="preserve">being </w:t>
      </w:r>
      <w:r w:rsidRPr="003B5E3D">
        <w:rPr>
          <w:rFonts w:ascii="Verdana" w:hAnsi="Verdana"/>
          <w:color w:val="000000"/>
          <w:sz w:val="20"/>
          <w:szCs w:val="20"/>
          <w:lang w:val="en-GB"/>
        </w:rPr>
        <w:t>impact</w:t>
      </w:r>
      <w:r>
        <w:rPr>
          <w:rFonts w:ascii="Verdana" w:hAnsi="Verdana"/>
          <w:color w:val="000000"/>
          <w:sz w:val="20"/>
          <w:szCs w:val="20"/>
          <w:lang w:val="en-GB"/>
        </w:rPr>
        <w:t>ed</w:t>
      </w:r>
      <w:r w:rsidRPr="003B5E3D">
        <w:rPr>
          <w:rFonts w:ascii="Verdana" w:hAnsi="Verdana"/>
          <w:color w:val="000000"/>
          <w:sz w:val="20"/>
          <w:szCs w:val="20"/>
          <w:lang w:val="en-GB"/>
        </w:rPr>
        <w:t xml:space="preserve"> </w:t>
      </w:r>
      <w:r>
        <w:rPr>
          <w:rFonts w:ascii="Verdana" w:hAnsi="Verdana"/>
          <w:color w:val="000000"/>
          <w:sz w:val="20"/>
          <w:szCs w:val="20"/>
          <w:lang w:val="en-GB"/>
        </w:rPr>
        <w:t>by</w:t>
      </w:r>
      <w:r w:rsidRPr="003B5E3D">
        <w:rPr>
          <w:rFonts w:ascii="Verdana" w:hAnsi="Verdana"/>
          <w:color w:val="000000"/>
          <w:sz w:val="20"/>
          <w:szCs w:val="20"/>
          <w:lang w:val="en-GB"/>
        </w:rPr>
        <w:t xml:space="preserve"> COVID-19</w:t>
      </w:r>
      <w:r>
        <w:rPr>
          <w:rFonts w:ascii="Verdana" w:hAnsi="Verdana"/>
          <w:color w:val="000000"/>
          <w:sz w:val="20"/>
          <w:szCs w:val="20"/>
          <w:lang w:val="en-GB"/>
        </w:rPr>
        <w:t>. The onset of the global pandemic has created a crisis on top of crises for South Sudan. Among other</w:t>
      </w:r>
      <w:r w:rsidR="00B978E5">
        <w:rPr>
          <w:rFonts w:ascii="Verdana" w:hAnsi="Verdana"/>
          <w:color w:val="000000"/>
          <w:sz w:val="20"/>
          <w:szCs w:val="20"/>
          <w:lang w:val="en-GB"/>
        </w:rPr>
        <w:t>s</w:t>
      </w:r>
      <w:r>
        <w:rPr>
          <w:rFonts w:ascii="Verdana" w:hAnsi="Verdana"/>
          <w:color w:val="000000"/>
          <w:sz w:val="20"/>
          <w:szCs w:val="20"/>
          <w:lang w:val="en-GB"/>
        </w:rPr>
        <w:t xml:space="preserve">, the Government is tackling a severely depressed fiscal space: </w:t>
      </w:r>
      <w:r w:rsidR="00E45C5C">
        <w:rPr>
          <w:rFonts w:ascii="Verdana" w:hAnsi="Verdana"/>
          <w:color w:val="000000"/>
          <w:sz w:val="20"/>
          <w:szCs w:val="20"/>
        </w:rPr>
        <w:t>To</w:t>
      </w:r>
      <w:r w:rsidRPr="003B5E3D">
        <w:rPr>
          <w:rFonts w:ascii="Verdana" w:hAnsi="Verdana"/>
          <w:color w:val="000000"/>
          <w:sz w:val="20"/>
          <w:szCs w:val="20"/>
        </w:rPr>
        <w:t xml:space="preserve">tal projected Government </w:t>
      </w:r>
      <w:r w:rsidR="00510EF9">
        <w:rPr>
          <w:rFonts w:ascii="Verdana" w:hAnsi="Verdana"/>
          <w:color w:val="000000"/>
          <w:sz w:val="20"/>
          <w:szCs w:val="20"/>
        </w:rPr>
        <w:t xml:space="preserve">revenue is </w:t>
      </w:r>
      <w:r w:rsidRPr="003B5E3D">
        <w:rPr>
          <w:rFonts w:ascii="Verdana" w:hAnsi="Verdana"/>
          <w:color w:val="000000"/>
          <w:sz w:val="20"/>
          <w:szCs w:val="20"/>
        </w:rPr>
        <w:t>estimated to decline drastically </w:t>
      </w:r>
      <w:r>
        <w:rPr>
          <w:rFonts w:ascii="Verdana" w:hAnsi="Verdana"/>
          <w:color w:val="000000"/>
          <w:sz w:val="20"/>
          <w:szCs w:val="20"/>
        </w:rPr>
        <w:t xml:space="preserve">with the </w:t>
      </w:r>
      <w:r w:rsidRPr="003B5E3D">
        <w:rPr>
          <w:rFonts w:ascii="Verdana" w:hAnsi="Verdana"/>
          <w:color w:val="000000"/>
          <w:sz w:val="20"/>
          <w:szCs w:val="20"/>
        </w:rPr>
        <w:t>economic slowdown due to COVID-19 response measures - quarantine, curfews, and transport restrictions</w:t>
      </w:r>
      <w:r>
        <w:rPr>
          <w:rFonts w:ascii="Verdana" w:hAnsi="Verdana"/>
          <w:color w:val="000000"/>
          <w:sz w:val="20"/>
          <w:szCs w:val="20"/>
        </w:rPr>
        <w:t xml:space="preserve">. Notably, </w:t>
      </w:r>
      <w:r>
        <w:rPr>
          <w:rFonts w:ascii="Verdana" w:hAnsi="Verdana"/>
          <w:color w:val="000000"/>
          <w:sz w:val="20"/>
          <w:szCs w:val="20"/>
          <w:lang w:val="en-GB"/>
        </w:rPr>
        <w:t xml:space="preserve">the fall in global oil prices has been predicted by the MoFP to eradicate about 80 percent of the national budget. This is </w:t>
      </w:r>
      <w:r w:rsidRPr="00AC6DB6">
        <w:rPr>
          <w:rFonts w:ascii="Verdana" w:hAnsi="Verdana"/>
          <w:color w:val="000000"/>
          <w:sz w:val="20"/>
          <w:szCs w:val="20"/>
          <w:lang w:val="en-ZA"/>
        </w:rPr>
        <w:t xml:space="preserve">further increasing the already crippling fiscal deficit </w:t>
      </w:r>
      <w:r w:rsidRPr="00015311">
        <w:rPr>
          <w:rFonts w:ascii="Verdana" w:hAnsi="Verdana"/>
          <w:color w:val="000000"/>
          <w:sz w:val="20"/>
          <w:szCs w:val="20"/>
          <w:lang w:val="en-ZA"/>
        </w:rPr>
        <w:t>and lack of access to foreign curre</w:t>
      </w:r>
      <w:r w:rsidRPr="003B5E3D">
        <w:rPr>
          <w:rFonts w:ascii="Verdana" w:hAnsi="Verdana"/>
          <w:color w:val="000000"/>
          <w:sz w:val="20"/>
          <w:szCs w:val="20"/>
          <w:lang w:val="en-ZA"/>
        </w:rPr>
        <w:t xml:space="preserve">ncy. </w:t>
      </w:r>
    </w:p>
    <w:p w14:paraId="7C0A8422" w14:textId="1C8A551A" w:rsidR="008D0E5E" w:rsidRPr="003E2544" w:rsidRDefault="039D51A0" w:rsidP="00AD3602">
      <w:pPr>
        <w:spacing w:after="199" w:line="240" w:lineRule="auto"/>
        <w:jc w:val="both"/>
        <w:rPr>
          <w:rFonts w:ascii="Verdana" w:hAnsi="Verdana"/>
          <w:color w:val="000000"/>
          <w:sz w:val="20"/>
          <w:szCs w:val="20"/>
        </w:rPr>
      </w:pPr>
      <w:r w:rsidRPr="003E2544">
        <w:rPr>
          <w:rFonts w:ascii="Verdana" w:hAnsi="Verdana"/>
          <w:color w:val="000000"/>
          <w:sz w:val="20"/>
          <w:szCs w:val="20"/>
        </w:rPr>
        <w:t xml:space="preserve">The </w:t>
      </w:r>
      <w:r w:rsidR="00625065" w:rsidRPr="003E2544">
        <w:rPr>
          <w:rFonts w:ascii="Verdana" w:hAnsi="Verdana"/>
          <w:color w:val="000000"/>
          <w:sz w:val="20"/>
          <w:szCs w:val="20"/>
        </w:rPr>
        <w:t xml:space="preserve">IMF </w:t>
      </w:r>
      <w:r w:rsidRPr="003E2544">
        <w:rPr>
          <w:rFonts w:ascii="Verdana" w:hAnsi="Verdana"/>
          <w:color w:val="000000"/>
          <w:sz w:val="20"/>
          <w:szCs w:val="20"/>
        </w:rPr>
        <w:t>identifie</w:t>
      </w:r>
      <w:r w:rsidR="00625065" w:rsidRPr="003E2544">
        <w:rPr>
          <w:rFonts w:ascii="Verdana" w:hAnsi="Verdana"/>
          <w:color w:val="000000"/>
          <w:sz w:val="20"/>
          <w:szCs w:val="20"/>
        </w:rPr>
        <w:t>d</w:t>
      </w:r>
      <w:r w:rsidRPr="003E2544">
        <w:rPr>
          <w:rFonts w:ascii="Verdana" w:hAnsi="Verdana"/>
          <w:color w:val="000000"/>
          <w:sz w:val="20"/>
          <w:szCs w:val="20"/>
        </w:rPr>
        <w:t xml:space="preserve"> the </w:t>
      </w:r>
      <w:r w:rsidR="460AA194" w:rsidRPr="003E2544">
        <w:rPr>
          <w:rFonts w:ascii="Verdana" w:hAnsi="Verdana"/>
          <w:color w:val="000000"/>
          <w:sz w:val="20"/>
          <w:szCs w:val="20"/>
        </w:rPr>
        <w:t>need to</w:t>
      </w:r>
      <w:r w:rsidR="7DD4E9C7" w:rsidRPr="003E2544">
        <w:rPr>
          <w:rFonts w:ascii="Verdana" w:hAnsi="Verdana"/>
          <w:color w:val="000000"/>
          <w:sz w:val="20"/>
          <w:szCs w:val="20"/>
        </w:rPr>
        <w:t xml:space="preserve"> </w:t>
      </w:r>
      <w:r w:rsidR="460AA194" w:rsidRPr="003E2544">
        <w:rPr>
          <w:rFonts w:ascii="Verdana" w:hAnsi="Verdana"/>
          <w:color w:val="000000"/>
          <w:sz w:val="20"/>
          <w:szCs w:val="20"/>
        </w:rPr>
        <w:t>improve</w:t>
      </w:r>
      <w:r w:rsidR="7DD4E9C7" w:rsidRPr="003E2544">
        <w:rPr>
          <w:rFonts w:ascii="Verdana" w:hAnsi="Verdana"/>
          <w:color w:val="000000"/>
          <w:sz w:val="20"/>
          <w:szCs w:val="20"/>
        </w:rPr>
        <w:t xml:space="preserve"> fiscal governance</w:t>
      </w:r>
      <w:r w:rsidR="460AA194" w:rsidRPr="003E2544">
        <w:rPr>
          <w:rFonts w:ascii="Verdana" w:hAnsi="Verdana"/>
          <w:color w:val="000000"/>
          <w:sz w:val="20"/>
          <w:szCs w:val="20"/>
        </w:rPr>
        <w:t xml:space="preserve">, including </w:t>
      </w:r>
      <w:r w:rsidR="7DD4E9C7" w:rsidRPr="003E2544">
        <w:rPr>
          <w:rFonts w:ascii="Verdana" w:hAnsi="Verdana"/>
          <w:color w:val="000000"/>
          <w:sz w:val="20"/>
          <w:szCs w:val="20"/>
        </w:rPr>
        <w:t>revenue institutions, procurement</w:t>
      </w:r>
      <w:r w:rsidR="460AA194" w:rsidRPr="003E2544">
        <w:rPr>
          <w:rFonts w:ascii="Verdana" w:hAnsi="Verdana"/>
          <w:color w:val="000000"/>
          <w:sz w:val="20"/>
          <w:szCs w:val="20"/>
        </w:rPr>
        <w:t xml:space="preserve"> practices</w:t>
      </w:r>
      <w:r w:rsidR="7DD4E9C7" w:rsidRPr="003E2544">
        <w:rPr>
          <w:rFonts w:ascii="Verdana" w:hAnsi="Verdana"/>
          <w:color w:val="000000"/>
          <w:sz w:val="20"/>
          <w:szCs w:val="20"/>
        </w:rPr>
        <w:t>, transparency</w:t>
      </w:r>
      <w:r w:rsidR="460AA194" w:rsidRPr="003E2544">
        <w:rPr>
          <w:rFonts w:ascii="Verdana" w:hAnsi="Verdana"/>
          <w:color w:val="000000"/>
          <w:sz w:val="20"/>
          <w:szCs w:val="20"/>
        </w:rPr>
        <w:t xml:space="preserve"> and </w:t>
      </w:r>
      <w:r w:rsidR="7DD4E9C7" w:rsidRPr="003E2544">
        <w:rPr>
          <w:rFonts w:ascii="Verdana" w:hAnsi="Verdana"/>
          <w:color w:val="000000"/>
          <w:sz w:val="20"/>
          <w:szCs w:val="20"/>
        </w:rPr>
        <w:t>PFM control</w:t>
      </w:r>
      <w:r w:rsidR="460AA194" w:rsidRPr="003E2544">
        <w:rPr>
          <w:rFonts w:ascii="Verdana" w:hAnsi="Verdana"/>
          <w:color w:val="000000"/>
          <w:sz w:val="20"/>
          <w:szCs w:val="20"/>
        </w:rPr>
        <w:t>s</w:t>
      </w:r>
      <w:r w:rsidRPr="003E2544">
        <w:rPr>
          <w:rFonts w:ascii="Verdana" w:hAnsi="Verdana"/>
          <w:color w:val="000000"/>
          <w:sz w:val="20"/>
          <w:szCs w:val="20"/>
        </w:rPr>
        <w:t>.</w:t>
      </w:r>
      <w:r w:rsidRPr="003E2544">
        <w:rPr>
          <w:rFonts w:ascii="Verdana" w:hAnsi="Verdana"/>
          <w:color w:val="000000"/>
          <w:sz w:val="20"/>
          <w:szCs w:val="20"/>
          <w:vertAlign w:val="superscript"/>
        </w:rPr>
        <w:t xml:space="preserve"> </w:t>
      </w:r>
      <w:r w:rsidR="003E2544" w:rsidRPr="00975396">
        <w:rPr>
          <w:rFonts w:ascii="Verdana" w:hAnsi="Verdana"/>
          <w:color w:val="000000"/>
          <w:sz w:val="20"/>
          <w:szCs w:val="20"/>
        </w:rPr>
        <w:t>In 2017,</w:t>
      </w:r>
      <w:r w:rsidR="003E2544">
        <w:rPr>
          <w:rFonts w:ascii="Verdana" w:hAnsi="Verdana"/>
          <w:color w:val="000000"/>
          <w:sz w:val="20"/>
          <w:szCs w:val="20"/>
          <w:vertAlign w:val="superscript"/>
        </w:rPr>
        <w:t xml:space="preserve"> </w:t>
      </w:r>
      <w:r w:rsidR="005D32D0" w:rsidRPr="003E2544">
        <w:rPr>
          <w:rFonts w:ascii="Verdana" w:hAnsi="Verdana"/>
          <w:color w:val="000000"/>
          <w:sz w:val="20"/>
          <w:szCs w:val="20"/>
        </w:rPr>
        <w:t xml:space="preserve">South Sudan </w:t>
      </w:r>
      <w:r w:rsidR="002771CA" w:rsidRPr="003E2544">
        <w:rPr>
          <w:rFonts w:ascii="Verdana" w:hAnsi="Verdana"/>
          <w:color w:val="000000"/>
          <w:sz w:val="20"/>
          <w:szCs w:val="20"/>
        </w:rPr>
        <w:t>score</w:t>
      </w:r>
      <w:r w:rsidR="002E1A9A" w:rsidRPr="003E2544">
        <w:rPr>
          <w:rFonts w:ascii="Verdana" w:hAnsi="Verdana"/>
          <w:color w:val="000000"/>
          <w:sz w:val="20"/>
          <w:szCs w:val="20"/>
        </w:rPr>
        <w:t>d</w:t>
      </w:r>
      <w:r w:rsidR="002771CA" w:rsidRPr="003E2544">
        <w:rPr>
          <w:rFonts w:ascii="Verdana" w:hAnsi="Verdana"/>
          <w:color w:val="000000"/>
          <w:sz w:val="20"/>
          <w:szCs w:val="20"/>
        </w:rPr>
        <w:t xml:space="preserve"> </w:t>
      </w:r>
      <w:r w:rsidR="5D3F21D1" w:rsidRPr="003E2544">
        <w:rPr>
          <w:rFonts w:ascii="Verdana" w:hAnsi="Verdana"/>
          <w:color w:val="000000"/>
          <w:sz w:val="20"/>
          <w:szCs w:val="20"/>
        </w:rPr>
        <w:t xml:space="preserve">at </w:t>
      </w:r>
      <w:r w:rsidR="1F34FCA9" w:rsidRPr="003E2544">
        <w:rPr>
          <w:rFonts w:ascii="Verdana" w:hAnsi="Verdana"/>
          <w:color w:val="000000"/>
          <w:sz w:val="20"/>
          <w:szCs w:val="20"/>
        </w:rPr>
        <w:t xml:space="preserve">5% for </w:t>
      </w:r>
      <w:r w:rsidRPr="003E2544">
        <w:rPr>
          <w:rFonts w:ascii="Verdana" w:hAnsi="Verdana"/>
          <w:color w:val="000000"/>
          <w:sz w:val="20"/>
          <w:szCs w:val="20"/>
        </w:rPr>
        <w:t>b</w:t>
      </w:r>
      <w:r w:rsidR="1F34FCA9" w:rsidRPr="003E2544">
        <w:rPr>
          <w:rFonts w:ascii="Verdana" w:hAnsi="Verdana"/>
          <w:color w:val="000000"/>
          <w:sz w:val="20"/>
          <w:szCs w:val="20"/>
        </w:rPr>
        <w:t xml:space="preserve">udget </w:t>
      </w:r>
      <w:r w:rsidRPr="003E2544">
        <w:rPr>
          <w:rFonts w:ascii="Verdana" w:hAnsi="Verdana"/>
          <w:color w:val="000000"/>
          <w:sz w:val="20"/>
          <w:szCs w:val="20"/>
        </w:rPr>
        <w:t>t</w:t>
      </w:r>
      <w:r w:rsidR="1F34FCA9" w:rsidRPr="003E2544">
        <w:rPr>
          <w:rFonts w:ascii="Verdana" w:hAnsi="Verdana"/>
          <w:color w:val="000000"/>
          <w:sz w:val="20"/>
          <w:szCs w:val="20"/>
        </w:rPr>
        <w:t xml:space="preserve">ransparency </w:t>
      </w:r>
      <w:r w:rsidRPr="003E2544">
        <w:rPr>
          <w:rFonts w:ascii="Verdana" w:hAnsi="Verdana"/>
          <w:color w:val="000000"/>
          <w:sz w:val="20"/>
          <w:szCs w:val="20"/>
        </w:rPr>
        <w:t>(</w:t>
      </w:r>
      <w:r w:rsidR="003E2544">
        <w:rPr>
          <w:rFonts w:ascii="Verdana" w:hAnsi="Verdana"/>
          <w:color w:val="000000"/>
          <w:sz w:val="20"/>
          <w:szCs w:val="20"/>
        </w:rPr>
        <w:t xml:space="preserve">well under the </w:t>
      </w:r>
      <w:r w:rsidR="1F34FCA9" w:rsidRPr="003E2544">
        <w:rPr>
          <w:rFonts w:ascii="Verdana" w:hAnsi="Verdana"/>
          <w:color w:val="000000"/>
          <w:sz w:val="20"/>
          <w:szCs w:val="20"/>
        </w:rPr>
        <w:t xml:space="preserve">global average </w:t>
      </w:r>
      <w:r w:rsidR="003E2544">
        <w:rPr>
          <w:rFonts w:ascii="Verdana" w:hAnsi="Verdana"/>
          <w:color w:val="000000"/>
          <w:sz w:val="20"/>
          <w:szCs w:val="20"/>
        </w:rPr>
        <w:t xml:space="preserve">of </w:t>
      </w:r>
      <w:r w:rsidR="1F34FCA9" w:rsidRPr="003E2544">
        <w:rPr>
          <w:rFonts w:ascii="Verdana" w:hAnsi="Verdana"/>
          <w:color w:val="000000"/>
          <w:sz w:val="20"/>
          <w:szCs w:val="20"/>
        </w:rPr>
        <w:t xml:space="preserve">42%, </w:t>
      </w:r>
      <w:r w:rsidR="003E2544">
        <w:rPr>
          <w:rFonts w:ascii="Verdana" w:hAnsi="Verdana"/>
          <w:color w:val="000000"/>
          <w:sz w:val="20"/>
          <w:szCs w:val="20"/>
        </w:rPr>
        <w:t xml:space="preserve">and other ESAR countries for example, </w:t>
      </w:r>
      <w:r w:rsidR="1F34FCA9" w:rsidRPr="003E2544">
        <w:rPr>
          <w:rFonts w:ascii="Verdana" w:hAnsi="Verdana"/>
          <w:color w:val="000000"/>
          <w:sz w:val="20"/>
          <w:szCs w:val="20"/>
        </w:rPr>
        <w:t>60% in Uganda, 46% in Kenya, and 10% in Tanzania</w:t>
      </w:r>
      <w:r w:rsidRPr="003E2544">
        <w:rPr>
          <w:rFonts w:ascii="Verdana" w:hAnsi="Verdana"/>
          <w:color w:val="000000"/>
          <w:sz w:val="20"/>
          <w:szCs w:val="20"/>
        </w:rPr>
        <w:t>)</w:t>
      </w:r>
      <w:r w:rsidR="69DB6578" w:rsidRPr="003E2544">
        <w:rPr>
          <w:rFonts w:ascii="Verdana" w:hAnsi="Verdana"/>
          <w:color w:val="000000"/>
          <w:sz w:val="20"/>
          <w:szCs w:val="20"/>
        </w:rPr>
        <w:t>.</w:t>
      </w:r>
      <w:r w:rsidR="005D32D0" w:rsidRPr="003E2544">
        <w:rPr>
          <w:rFonts w:ascii="Verdana" w:hAnsi="Verdana"/>
          <w:color w:val="000000"/>
          <w:sz w:val="20"/>
          <w:szCs w:val="20"/>
          <w:vertAlign w:val="superscript"/>
        </w:rPr>
        <w:footnoteReference w:id="7"/>
      </w:r>
      <w:r w:rsidR="00F669F3" w:rsidRPr="003E2544">
        <w:rPr>
          <w:rFonts w:ascii="Verdana" w:hAnsi="Verdana"/>
          <w:color w:val="000000"/>
          <w:sz w:val="20"/>
          <w:szCs w:val="20"/>
        </w:rPr>
        <w:t xml:space="preserve"> </w:t>
      </w:r>
    </w:p>
    <w:p w14:paraId="4E10ECD6" w14:textId="10B02BC9" w:rsidR="00E646B3" w:rsidRDefault="00F669F3" w:rsidP="00245274">
      <w:pPr>
        <w:spacing w:line="240" w:lineRule="auto"/>
        <w:contextualSpacing/>
        <w:jc w:val="both"/>
        <w:rPr>
          <w:rFonts w:ascii="Verdana" w:hAnsi="Verdana"/>
          <w:sz w:val="20"/>
          <w:szCs w:val="20"/>
        </w:rPr>
      </w:pPr>
      <w:r w:rsidRPr="003E2544">
        <w:rPr>
          <w:rFonts w:ascii="Verdana" w:hAnsi="Verdana"/>
          <w:sz w:val="20"/>
          <w:szCs w:val="20"/>
        </w:rPr>
        <w:t xml:space="preserve">The main </w:t>
      </w:r>
      <w:r w:rsidR="003930CD" w:rsidRPr="003E2544">
        <w:rPr>
          <w:rFonts w:ascii="Verdana" w:hAnsi="Verdana"/>
          <w:sz w:val="20"/>
          <w:szCs w:val="20"/>
        </w:rPr>
        <w:t xml:space="preserve">features of </w:t>
      </w:r>
      <w:r w:rsidR="003E2544">
        <w:rPr>
          <w:rFonts w:ascii="Verdana" w:hAnsi="Verdana"/>
          <w:sz w:val="20"/>
          <w:szCs w:val="20"/>
        </w:rPr>
        <w:t>South Sudan’s</w:t>
      </w:r>
      <w:r w:rsidR="003E2544" w:rsidRPr="003E2544">
        <w:rPr>
          <w:rFonts w:ascii="Verdana" w:hAnsi="Verdana"/>
          <w:sz w:val="20"/>
          <w:szCs w:val="20"/>
        </w:rPr>
        <w:t xml:space="preserve"> </w:t>
      </w:r>
      <w:r w:rsidRPr="003E2544">
        <w:rPr>
          <w:rFonts w:ascii="Verdana" w:hAnsi="Verdana"/>
          <w:sz w:val="20"/>
          <w:szCs w:val="20"/>
        </w:rPr>
        <w:t xml:space="preserve">public finance </w:t>
      </w:r>
      <w:r w:rsidR="003930CD" w:rsidRPr="003E2544">
        <w:rPr>
          <w:rFonts w:ascii="Verdana" w:hAnsi="Verdana"/>
          <w:sz w:val="20"/>
          <w:szCs w:val="20"/>
        </w:rPr>
        <w:t>system</w:t>
      </w:r>
      <w:r w:rsidR="00E9477D" w:rsidRPr="003E2544">
        <w:rPr>
          <w:rFonts w:ascii="Verdana" w:hAnsi="Verdana"/>
          <w:sz w:val="20"/>
          <w:szCs w:val="20"/>
        </w:rPr>
        <w:t xml:space="preserve"> identified through </w:t>
      </w:r>
      <w:r w:rsidR="003E2544">
        <w:rPr>
          <w:rFonts w:ascii="Verdana" w:hAnsi="Verdana"/>
          <w:sz w:val="20"/>
          <w:szCs w:val="20"/>
        </w:rPr>
        <w:t xml:space="preserve">a </w:t>
      </w:r>
      <w:r w:rsidR="00067F9F" w:rsidRPr="003E2544">
        <w:rPr>
          <w:rFonts w:ascii="Verdana" w:hAnsi="Verdana"/>
          <w:sz w:val="20"/>
          <w:szCs w:val="20"/>
        </w:rPr>
        <w:t>PFM cycle mapping exercise (Annex</w:t>
      </w:r>
      <w:r w:rsidR="00DC2891" w:rsidRPr="003E2544">
        <w:rPr>
          <w:rFonts w:ascii="Verdana" w:hAnsi="Verdana"/>
          <w:sz w:val="20"/>
          <w:szCs w:val="20"/>
        </w:rPr>
        <w:t xml:space="preserve"> </w:t>
      </w:r>
      <w:r w:rsidR="00A913B0">
        <w:rPr>
          <w:rFonts w:ascii="Verdana" w:hAnsi="Verdana"/>
          <w:sz w:val="20"/>
          <w:szCs w:val="20"/>
        </w:rPr>
        <w:t>7</w:t>
      </w:r>
      <w:r w:rsidR="00DC2891" w:rsidRPr="003E2544">
        <w:rPr>
          <w:rFonts w:ascii="Verdana" w:hAnsi="Verdana"/>
          <w:sz w:val="20"/>
          <w:szCs w:val="20"/>
        </w:rPr>
        <w:t>)</w:t>
      </w:r>
      <w:r w:rsidR="003930CD" w:rsidRPr="003E2544">
        <w:rPr>
          <w:rFonts w:ascii="Verdana" w:hAnsi="Verdana"/>
          <w:sz w:val="20"/>
          <w:szCs w:val="20"/>
        </w:rPr>
        <w:t xml:space="preserve"> include</w:t>
      </w:r>
      <w:r w:rsidRPr="003E2544">
        <w:rPr>
          <w:rFonts w:ascii="Verdana" w:hAnsi="Verdana"/>
          <w:sz w:val="20"/>
          <w:szCs w:val="20"/>
        </w:rPr>
        <w:t>:</w:t>
      </w:r>
      <w:r w:rsidR="00677360" w:rsidRPr="003E2544">
        <w:rPr>
          <w:rFonts w:ascii="Verdana" w:hAnsi="Verdana"/>
          <w:sz w:val="20"/>
          <w:szCs w:val="20"/>
        </w:rPr>
        <w:t xml:space="preserve"> </w:t>
      </w:r>
    </w:p>
    <w:p w14:paraId="5B637EC5" w14:textId="3F672126" w:rsidR="00EF35CE" w:rsidRPr="00CD6ADD" w:rsidRDefault="00EF35CE" w:rsidP="00245274">
      <w:pPr>
        <w:pStyle w:val="ListParagraph"/>
        <w:numPr>
          <w:ilvl w:val="0"/>
          <w:numId w:val="67"/>
        </w:numPr>
        <w:spacing w:line="240" w:lineRule="auto"/>
        <w:rPr>
          <w:rFonts w:ascii="Verdana" w:hAnsi="Verdana"/>
          <w:sz w:val="20"/>
          <w:lang w:val="en-US"/>
        </w:rPr>
      </w:pPr>
      <w:r w:rsidRPr="003E2544">
        <w:rPr>
          <w:rFonts w:ascii="Verdana" w:hAnsi="Verdana"/>
          <w:b/>
          <w:bCs/>
          <w:sz w:val="20"/>
          <w:lang w:val="en-US"/>
        </w:rPr>
        <w:t>Weak revenue mobilization, management</w:t>
      </w:r>
      <w:r w:rsidR="00110E13">
        <w:rPr>
          <w:rFonts w:ascii="Verdana" w:hAnsi="Verdana"/>
          <w:b/>
          <w:bCs/>
          <w:sz w:val="20"/>
          <w:lang w:val="en-US"/>
        </w:rPr>
        <w:t xml:space="preserve"> and </w:t>
      </w:r>
      <w:r w:rsidRPr="003E2544">
        <w:rPr>
          <w:rFonts w:ascii="Verdana" w:hAnsi="Verdana"/>
          <w:b/>
          <w:bCs/>
          <w:sz w:val="20"/>
          <w:lang w:val="en-US"/>
        </w:rPr>
        <w:t>coordination</w:t>
      </w:r>
      <w:r w:rsidR="00110E13">
        <w:rPr>
          <w:rFonts w:ascii="Verdana" w:hAnsi="Verdana"/>
          <w:b/>
          <w:bCs/>
          <w:sz w:val="20"/>
          <w:lang w:val="en-US"/>
        </w:rPr>
        <w:t xml:space="preserve"> </w:t>
      </w:r>
      <w:r w:rsidRPr="003E2544">
        <w:rPr>
          <w:rFonts w:ascii="Verdana" w:hAnsi="Verdana"/>
          <w:b/>
          <w:bCs/>
          <w:sz w:val="20"/>
          <w:lang w:val="en-US"/>
        </w:rPr>
        <w:t>at national and subnational level</w:t>
      </w:r>
      <w:r w:rsidR="003930CD" w:rsidRPr="003E2544">
        <w:rPr>
          <w:rFonts w:ascii="Verdana" w:hAnsi="Verdana"/>
          <w:b/>
          <w:bCs/>
          <w:sz w:val="20"/>
          <w:szCs w:val="20"/>
          <w:lang w:val="en-US"/>
        </w:rPr>
        <w:t>:</w:t>
      </w:r>
      <w:r w:rsidR="003930CD" w:rsidRPr="003E2544">
        <w:rPr>
          <w:rFonts w:ascii="Verdana" w:hAnsi="Verdana"/>
          <w:sz w:val="20"/>
          <w:szCs w:val="20"/>
          <w:lang w:val="en-US"/>
        </w:rPr>
        <w:t xml:space="preserve"> </w:t>
      </w:r>
      <w:r w:rsidR="3AC21B40" w:rsidRPr="003E2544">
        <w:rPr>
          <w:rFonts w:ascii="Verdana" w:hAnsi="Verdana"/>
          <w:sz w:val="20"/>
          <w:lang w:val="en-US"/>
        </w:rPr>
        <w:t>The w</w:t>
      </w:r>
      <w:r w:rsidR="6E490DAC" w:rsidRPr="003E2544">
        <w:rPr>
          <w:rFonts w:ascii="Verdana" w:hAnsi="Verdana"/>
          <w:sz w:val="20"/>
          <w:lang w:val="en-US"/>
        </w:rPr>
        <w:t>eak</w:t>
      </w:r>
      <w:r w:rsidR="6723C22E" w:rsidRPr="003E2544">
        <w:rPr>
          <w:rFonts w:ascii="Verdana" w:hAnsi="Verdana"/>
          <w:sz w:val="20"/>
          <w:lang w:val="en-US"/>
        </w:rPr>
        <w:t xml:space="preserve"> capacity</w:t>
      </w:r>
      <w:r w:rsidR="6E490DAC" w:rsidRPr="003E2544">
        <w:rPr>
          <w:rFonts w:ascii="Verdana" w:hAnsi="Verdana"/>
          <w:sz w:val="20"/>
          <w:lang w:val="en-US"/>
        </w:rPr>
        <w:t xml:space="preserve"> of </w:t>
      </w:r>
      <w:r w:rsidR="184E764C" w:rsidRPr="003E2544">
        <w:rPr>
          <w:rFonts w:ascii="Verdana" w:hAnsi="Verdana"/>
          <w:sz w:val="20"/>
          <w:lang w:val="en-US"/>
        </w:rPr>
        <w:t>State Revenue Authorities (</w:t>
      </w:r>
      <w:r w:rsidR="6E490DAC" w:rsidRPr="003E2544">
        <w:rPr>
          <w:rFonts w:ascii="Verdana" w:hAnsi="Verdana"/>
          <w:sz w:val="20"/>
          <w:lang w:val="en-US"/>
        </w:rPr>
        <w:t>SRAs</w:t>
      </w:r>
      <w:r w:rsidR="184E764C" w:rsidRPr="003E2544">
        <w:rPr>
          <w:rFonts w:ascii="Verdana" w:hAnsi="Verdana"/>
          <w:sz w:val="20"/>
          <w:lang w:val="en-US"/>
        </w:rPr>
        <w:t>)</w:t>
      </w:r>
      <w:r w:rsidR="6E490DAC" w:rsidRPr="003E2544">
        <w:rPr>
          <w:rFonts w:ascii="Verdana" w:hAnsi="Verdana"/>
          <w:sz w:val="20"/>
          <w:lang w:val="en-US"/>
        </w:rPr>
        <w:t xml:space="preserve"> </w:t>
      </w:r>
      <w:r w:rsidR="32DE8635" w:rsidRPr="003E2544">
        <w:rPr>
          <w:rFonts w:ascii="Verdana" w:hAnsi="Verdana"/>
          <w:sz w:val="20"/>
          <w:lang w:val="en-US"/>
        </w:rPr>
        <w:t xml:space="preserve">to </w:t>
      </w:r>
      <w:r w:rsidR="6723C22E" w:rsidRPr="003E2544">
        <w:rPr>
          <w:rFonts w:ascii="Verdana" w:hAnsi="Verdana"/>
          <w:sz w:val="20"/>
          <w:lang w:val="en-US"/>
        </w:rPr>
        <w:t xml:space="preserve">effectively </w:t>
      </w:r>
      <w:r w:rsidR="69DB6578" w:rsidRPr="003E2544">
        <w:rPr>
          <w:rFonts w:ascii="Verdana" w:hAnsi="Verdana"/>
          <w:sz w:val="20"/>
          <w:lang w:val="en-US"/>
        </w:rPr>
        <w:t xml:space="preserve">raise and </w:t>
      </w:r>
      <w:r w:rsidR="6723C22E" w:rsidRPr="003E2544">
        <w:rPr>
          <w:rFonts w:ascii="Verdana" w:hAnsi="Verdana"/>
          <w:sz w:val="20"/>
          <w:lang w:val="en-US"/>
        </w:rPr>
        <w:t>manage revenue collection</w:t>
      </w:r>
      <w:r w:rsidR="69DB6578" w:rsidRPr="003E2544">
        <w:rPr>
          <w:rFonts w:ascii="Verdana" w:hAnsi="Verdana"/>
          <w:sz w:val="20"/>
          <w:lang w:val="en-US"/>
        </w:rPr>
        <w:t xml:space="preserve"> </w:t>
      </w:r>
      <w:r w:rsidR="3AC21B40" w:rsidRPr="003E2544">
        <w:rPr>
          <w:rFonts w:ascii="Verdana" w:hAnsi="Verdana"/>
          <w:sz w:val="20"/>
          <w:lang w:val="en-US"/>
        </w:rPr>
        <w:t xml:space="preserve">has led to a major loss of potential </w:t>
      </w:r>
      <w:r w:rsidR="69DB6578" w:rsidRPr="003E2544">
        <w:rPr>
          <w:rFonts w:ascii="Verdana" w:hAnsi="Verdana"/>
          <w:sz w:val="20"/>
          <w:lang w:val="en-US"/>
        </w:rPr>
        <w:t>revenue</w:t>
      </w:r>
      <w:r w:rsidR="7A07E35A" w:rsidRPr="003E2544">
        <w:rPr>
          <w:rFonts w:ascii="Verdana" w:hAnsi="Verdana"/>
          <w:sz w:val="20"/>
          <w:lang w:val="en-US"/>
        </w:rPr>
        <w:t>.</w:t>
      </w:r>
      <w:r w:rsidR="3AC21B40" w:rsidRPr="003E2544">
        <w:rPr>
          <w:rFonts w:ascii="Verdana" w:hAnsi="Verdana"/>
          <w:sz w:val="20"/>
          <w:lang w:val="en-US"/>
        </w:rPr>
        <w:t xml:space="preserve"> </w:t>
      </w:r>
      <w:r w:rsidR="00110E13">
        <w:rPr>
          <w:rFonts w:ascii="Verdana" w:hAnsi="Verdana"/>
          <w:sz w:val="20"/>
          <w:lang w:val="en-US"/>
        </w:rPr>
        <w:lastRenderedPageBreak/>
        <w:t>I</w:t>
      </w:r>
      <w:r w:rsidR="6723C22E" w:rsidRPr="003E2544">
        <w:rPr>
          <w:rFonts w:ascii="Verdana" w:hAnsi="Verdana"/>
          <w:sz w:val="20"/>
          <w:lang w:val="en-US"/>
        </w:rPr>
        <w:t xml:space="preserve">nconsistent </w:t>
      </w:r>
      <w:r w:rsidR="3AC21B40" w:rsidRPr="003E2544">
        <w:rPr>
          <w:rFonts w:ascii="Verdana" w:hAnsi="Verdana"/>
          <w:sz w:val="20"/>
          <w:lang w:val="en-US"/>
        </w:rPr>
        <w:t xml:space="preserve">tax </w:t>
      </w:r>
      <w:r w:rsidR="6723C22E" w:rsidRPr="003E2544">
        <w:rPr>
          <w:rFonts w:ascii="Verdana" w:hAnsi="Verdana"/>
          <w:sz w:val="20"/>
          <w:lang w:val="en-US"/>
        </w:rPr>
        <w:t>policy frameworks</w:t>
      </w:r>
      <w:r w:rsidRPr="003E2544">
        <w:rPr>
          <w:rStyle w:val="FootnoteReference"/>
          <w:rFonts w:ascii="Verdana" w:hAnsi="Verdana"/>
          <w:sz w:val="20"/>
          <w:lang w:val="en-US"/>
        </w:rPr>
        <w:footnoteReference w:id="8"/>
      </w:r>
      <w:r w:rsidR="6723C22E" w:rsidRPr="003E2544">
        <w:rPr>
          <w:rFonts w:ascii="Verdana" w:hAnsi="Verdana"/>
          <w:sz w:val="20"/>
          <w:lang w:val="en-US"/>
        </w:rPr>
        <w:t xml:space="preserve"> </w:t>
      </w:r>
      <w:r w:rsidR="00110E13">
        <w:rPr>
          <w:rFonts w:ascii="Verdana" w:hAnsi="Verdana"/>
          <w:sz w:val="20"/>
          <w:lang w:val="en-US"/>
        </w:rPr>
        <w:t xml:space="preserve">result in a </w:t>
      </w:r>
      <w:r w:rsidR="6723C22E" w:rsidRPr="003E2544">
        <w:rPr>
          <w:rFonts w:ascii="Verdana" w:hAnsi="Verdana"/>
          <w:sz w:val="20"/>
          <w:lang w:val="en-US"/>
        </w:rPr>
        <w:t>lack of clarity on</w:t>
      </w:r>
      <w:r w:rsidR="3AC21B40" w:rsidRPr="003E2544">
        <w:rPr>
          <w:rFonts w:ascii="Verdana" w:hAnsi="Verdana"/>
          <w:sz w:val="20"/>
          <w:lang w:val="en-US"/>
        </w:rPr>
        <w:t xml:space="preserve"> </w:t>
      </w:r>
      <w:r w:rsidR="007E4CCD" w:rsidRPr="003E2544">
        <w:rPr>
          <w:rFonts w:ascii="Verdana" w:hAnsi="Verdana"/>
          <w:sz w:val="20"/>
          <w:szCs w:val="20"/>
          <w:lang w:val="en-US"/>
        </w:rPr>
        <w:t xml:space="preserve">tax revenue </w:t>
      </w:r>
      <w:r w:rsidR="385B2AC7" w:rsidRPr="003E2544">
        <w:rPr>
          <w:rFonts w:ascii="Verdana" w:hAnsi="Verdana"/>
          <w:sz w:val="20"/>
          <w:lang w:val="en-US"/>
        </w:rPr>
        <w:t>t</w:t>
      </w:r>
      <w:r w:rsidR="6723C22E" w:rsidRPr="003E2544">
        <w:rPr>
          <w:rFonts w:ascii="Verdana" w:hAnsi="Verdana"/>
          <w:sz w:val="20"/>
          <w:lang w:val="en-US"/>
        </w:rPr>
        <w:t xml:space="preserve">ransfers from the </w:t>
      </w:r>
      <w:r w:rsidR="009B5B47">
        <w:rPr>
          <w:rFonts w:ascii="Verdana" w:hAnsi="Verdana"/>
          <w:sz w:val="20"/>
          <w:lang w:val="en-US"/>
        </w:rPr>
        <w:t>subnational</w:t>
      </w:r>
      <w:r w:rsidR="6723C22E" w:rsidRPr="003E2544">
        <w:rPr>
          <w:rFonts w:ascii="Verdana" w:hAnsi="Verdana"/>
          <w:sz w:val="20"/>
          <w:lang w:val="en-US"/>
        </w:rPr>
        <w:t xml:space="preserve"> to the national </w:t>
      </w:r>
      <w:r w:rsidR="5B421E4A" w:rsidRPr="003E2544">
        <w:rPr>
          <w:rFonts w:ascii="Verdana" w:hAnsi="Verdana"/>
          <w:sz w:val="20"/>
          <w:lang w:val="en-US"/>
        </w:rPr>
        <w:t xml:space="preserve">government and </w:t>
      </w:r>
      <w:r w:rsidR="253EBC72" w:rsidRPr="003E2544">
        <w:rPr>
          <w:rFonts w:ascii="Verdana" w:hAnsi="Verdana"/>
          <w:sz w:val="20"/>
          <w:lang w:val="en-US"/>
        </w:rPr>
        <w:t>t</w:t>
      </w:r>
      <w:r w:rsidR="6723C22E" w:rsidRPr="003E2544">
        <w:rPr>
          <w:rFonts w:ascii="Verdana" w:hAnsi="Verdana"/>
          <w:sz w:val="20"/>
          <w:lang w:val="en-US"/>
        </w:rPr>
        <w:t xml:space="preserve">he tax collection mandates of the </w:t>
      </w:r>
      <w:r w:rsidR="35FBFEF3" w:rsidRPr="003E2544">
        <w:rPr>
          <w:rFonts w:ascii="Verdana" w:hAnsi="Verdana"/>
          <w:sz w:val="20"/>
          <w:lang w:val="en-US"/>
        </w:rPr>
        <w:t>SRA</w:t>
      </w:r>
      <w:r w:rsidR="6723C22E" w:rsidRPr="003E2544">
        <w:rPr>
          <w:rFonts w:ascii="Verdana" w:hAnsi="Verdana"/>
          <w:sz w:val="20"/>
          <w:lang w:val="en-US"/>
        </w:rPr>
        <w:t xml:space="preserve"> and the County Commissioner</w:t>
      </w:r>
      <w:r w:rsidR="004E4955">
        <w:rPr>
          <w:rFonts w:ascii="Verdana" w:hAnsi="Verdana"/>
          <w:sz w:val="20"/>
          <w:lang w:val="en-US"/>
        </w:rPr>
        <w:t>. L</w:t>
      </w:r>
      <w:r w:rsidR="253EBC72" w:rsidRPr="003E2544">
        <w:rPr>
          <w:rFonts w:ascii="Verdana" w:hAnsi="Verdana"/>
          <w:sz w:val="20"/>
          <w:lang w:val="en-US"/>
        </w:rPr>
        <w:t>ow</w:t>
      </w:r>
      <w:r w:rsidR="6723C22E" w:rsidRPr="003E2544">
        <w:rPr>
          <w:rFonts w:ascii="Verdana" w:hAnsi="Verdana"/>
          <w:sz w:val="20"/>
          <w:lang w:val="en-US"/>
        </w:rPr>
        <w:t xml:space="preserve"> awareness </w:t>
      </w:r>
      <w:r w:rsidR="5B421E4A" w:rsidRPr="003E2544">
        <w:rPr>
          <w:rFonts w:ascii="Verdana" w:hAnsi="Verdana"/>
          <w:sz w:val="20"/>
          <w:lang w:val="en-US"/>
        </w:rPr>
        <w:t xml:space="preserve">of citizens on tax compliance </w:t>
      </w:r>
      <w:r w:rsidR="00110E13">
        <w:rPr>
          <w:rFonts w:ascii="Verdana" w:hAnsi="Verdana"/>
          <w:sz w:val="20"/>
          <w:lang w:val="en-US"/>
        </w:rPr>
        <w:t xml:space="preserve">further </w:t>
      </w:r>
      <w:r w:rsidR="5B421E4A" w:rsidRPr="003E2544">
        <w:rPr>
          <w:rFonts w:ascii="Verdana" w:hAnsi="Verdana"/>
          <w:sz w:val="20"/>
          <w:lang w:val="en-US"/>
        </w:rPr>
        <w:t>contribute to low levels of tax revenue.</w:t>
      </w:r>
    </w:p>
    <w:p w14:paraId="550E679F" w14:textId="1612B2B2" w:rsidR="00652EC9" w:rsidRPr="00CD6ADD" w:rsidRDefault="00EF35CE" w:rsidP="00245274">
      <w:pPr>
        <w:pStyle w:val="ListParagraph"/>
        <w:numPr>
          <w:ilvl w:val="0"/>
          <w:numId w:val="67"/>
        </w:numPr>
        <w:spacing w:line="240" w:lineRule="auto"/>
        <w:rPr>
          <w:rFonts w:ascii="Verdana" w:hAnsi="Verdana"/>
          <w:sz w:val="20"/>
          <w:lang w:val="en-US"/>
        </w:rPr>
      </w:pPr>
      <w:r w:rsidRPr="003E2544">
        <w:rPr>
          <w:rFonts w:ascii="Verdana" w:hAnsi="Verdana"/>
          <w:b/>
          <w:bCs/>
          <w:sz w:val="20"/>
          <w:lang w:val="en-US"/>
        </w:rPr>
        <w:t>Inadequate planning, budgeting, expenditure control</w:t>
      </w:r>
      <w:r w:rsidR="00957E8A" w:rsidRPr="003E2544">
        <w:rPr>
          <w:rFonts w:ascii="Verdana" w:hAnsi="Verdana"/>
          <w:b/>
          <w:bCs/>
          <w:sz w:val="20"/>
          <w:lang w:val="en-US"/>
        </w:rPr>
        <w:t xml:space="preserve">, </w:t>
      </w:r>
      <w:r w:rsidRPr="003E2544">
        <w:rPr>
          <w:rFonts w:ascii="Verdana" w:hAnsi="Verdana"/>
          <w:b/>
          <w:bCs/>
          <w:sz w:val="20"/>
          <w:lang w:val="en-US"/>
        </w:rPr>
        <w:t>reporting</w:t>
      </w:r>
      <w:r w:rsidR="009A27D5">
        <w:rPr>
          <w:rFonts w:ascii="Verdana" w:hAnsi="Verdana"/>
          <w:b/>
          <w:bCs/>
          <w:sz w:val="20"/>
          <w:lang w:val="en-US"/>
        </w:rPr>
        <w:t>,</w:t>
      </w:r>
      <w:r w:rsidRPr="003E2544">
        <w:rPr>
          <w:rFonts w:ascii="Verdana" w:hAnsi="Verdana"/>
          <w:b/>
          <w:bCs/>
          <w:sz w:val="20"/>
          <w:lang w:val="en-US"/>
        </w:rPr>
        <w:t xml:space="preserve"> </w:t>
      </w:r>
      <w:r w:rsidR="00957E8A" w:rsidRPr="003E2544">
        <w:rPr>
          <w:rFonts w:ascii="Verdana" w:hAnsi="Verdana"/>
          <w:b/>
          <w:bCs/>
          <w:sz w:val="20"/>
          <w:lang w:val="en-US"/>
        </w:rPr>
        <w:t xml:space="preserve">and oversight </w:t>
      </w:r>
      <w:r w:rsidRPr="003E2544">
        <w:rPr>
          <w:rFonts w:ascii="Verdana" w:hAnsi="Verdana"/>
          <w:b/>
          <w:bCs/>
          <w:sz w:val="20"/>
          <w:lang w:val="en-US"/>
        </w:rPr>
        <w:t xml:space="preserve">at national and </w:t>
      </w:r>
      <w:r w:rsidR="009B5B47">
        <w:rPr>
          <w:rFonts w:ascii="Verdana" w:hAnsi="Verdana"/>
          <w:b/>
          <w:bCs/>
          <w:sz w:val="20"/>
          <w:lang w:val="en-US"/>
        </w:rPr>
        <w:t>subnational</w:t>
      </w:r>
      <w:r w:rsidRPr="003E2544">
        <w:rPr>
          <w:rFonts w:ascii="Verdana" w:hAnsi="Verdana"/>
          <w:b/>
          <w:bCs/>
          <w:sz w:val="20"/>
          <w:lang w:val="en-US"/>
        </w:rPr>
        <w:t xml:space="preserve"> level</w:t>
      </w:r>
      <w:r w:rsidR="003930CD" w:rsidRPr="003E2544">
        <w:rPr>
          <w:rFonts w:ascii="Verdana" w:hAnsi="Verdana"/>
          <w:b/>
          <w:bCs/>
          <w:sz w:val="20"/>
          <w:lang w:val="en-US"/>
        </w:rPr>
        <w:t>:</w:t>
      </w:r>
      <w:r w:rsidR="007E4CCD" w:rsidRPr="003E2544">
        <w:rPr>
          <w:rFonts w:ascii="Verdana" w:hAnsi="Verdana"/>
          <w:sz w:val="20"/>
          <w:szCs w:val="20"/>
          <w:lang w:val="en-US"/>
        </w:rPr>
        <w:t xml:space="preserve"> </w:t>
      </w:r>
      <w:r w:rsidR="69DB6578" w:rsidRPr="003E2544">
        <w:rPr>
          <w:rFonts w:ascii="Verdana" w:hAnsi="Verdana"/>
          <w:sz w:val="20"/>
          <w:lang w:val="en-US"/>
        </w:rPr>
        <w:t>T</w:t>
      </w:r>
      <w:r w:rsidR="47DD7C26" w:rsidRPr="003E2544">
        <w:rPr>
          <w:rFonts w:ascii="Verdana" w:hAnsi="Verdana"/>
          <w:sz w:val="20"/>
          <w:lang w:val="en-US"/>
        </w:rPr>
        <w:t xml:space="preserve">here are significant gaps in </w:t>
      </w:r>
      <w:r w:rsidR="33EFEA28" w:rsidRPr="003E2544">
        <w:rPr>
          <w:rFonts w:ascii="Verdana" w:hAnsi="Verdana"/>
          <w:sz w:val="20"/>
          <w:lang w:val="en-US"/>
        </w:rPr>
        <w:t xml:space="preserve">the PFM </w:t>
      </w:r>
      <w:r w:rsidR="394DBF94" w:rsidRPr="003E2544">
        <w:rPr>
          <w:rFonts w:ascii="Verdana" w:hAnsi="Verdana"/>
          <w:sz w:val="20"/>
          <w:lang w:val="en-US"/>
        </w:rPr>
        <w:t>ar</w:t>
      </w:r>
      <w:r w:rsidR="631B22F4" w:rsidRPr="003E2544">
        <w:rPr>
          <w:rFonts w:ascii="Verdana" w:hAnsi="Verdana"/>
          <w:sz w:val="20"/>
          <w:lang w:val="en-US"/>
        </w:rPr>
        <w:t xml:space="preserve">chitecture including </w:t>
      </w:r>
      <w:r w:rsidR="69DB6578" w:rsidRPr="003E2544">
        <w:rPr>
          <w:rFonts w:ascii="Verdana" w:hAnsi="Verdana"/>
          <w:sz w:val="20"/>
          <w:lang w:val="en-US"/>
        </w:rPr>
        <w:t xml:space="preserve">the </w:t>
      </w:r>
      <w:r w:rsidR="0EF0AEEC" w:rsidRPr="003E2544">
        <w:rPr>
          <w:rFonts w:ascii="Verdana" w:hAnsi="Verdana"/>
          <w:sz w:val="20"/>
          <w:lang w:val="en-US"/>
        </w:rPr>
        <w:t>l</w:t>
      </w:r>
      <w:r w:rsidR="6723C22E" w:rsidRPr="003E2544">
        <w:rPr>
          <w:rFonts w:ascii="Verdana" w:hAnsi="Verdana"/>
          <w:sz w:val="20"/>
          <w:lang w:val="en-US"/>
        </w:rPr>
        <w:t xml:space="preserve">ow capacity </w:t>
      </w:r>
      <w:r w:rsidR="00110E13">
        <w:rPr>
          <w:rFonts w:ascii="Verdana" w:hAnsi="Verdana"/>
          <w:sz w:val="20"/>
          <w:lang w:val="en-US"/>
        </w:rPr>
        <w:t xml:space="preserve">of </w:t>
      </w:r>
      <w:r w:rsidR="6723C22E" w:rsidRPr="003E2544">
        <w:rPr>
          <w:rFonts w:ascii="Verdana" w:hAnsi="Verdana"/>
          <w:sz w:val="20"/>
          <w:lang w:val="en-US"/>
        </w:rPr>
        <w:t>MoFP</w:t>
      </w:r>
      <w:r w:rsidR="0EF0AEEC" w:rsidRPr="003E2544">
        <w:rPr>
          <w:rFonts w:ascii="Verdana" w:hAnsi="Verdana"/>
          <w:sz w:val="20"/>
          <w:lang w:val="en-US"/>
        </w:rPr>
        <w:t xml:space="preserve"> and </w:t>
      </w:r>
      <w:r w:rsidR="6723C22E" w:rsidRPr="003E2544">
        <w:rPr>
          <w:rFonts w:ascii="Verdana" w:hAnsi="Verdana"/>
          <w:sz w:val="20"/>
          <w:lang w:val="en-US"/>
        </w:rPr>
        <w:t>state line ministries to develop SDG</w:t>
      </w:r>
      <w:r w:rsidR="00B30B63" w:rsidRPr="003E2544">
        <w:rPr>
          <w:rFonts w:ascii="Verdana" w:hAnsi="Verdana"/>
          <w:sz w:val="20"/>
          <w:lang w:val="en-US"/>
        </w:rPr>
        <w:t>s and NDS</w:t>
      </w:r>
      <w:r w:rsidR="6723C22E" w:rsidRPr="003E2544">
        <w:rPr>
          <w:rFonts w:ascii="Verdana" w:hAnsi="Verdana"/>
          <w:sz w:val="20"/>
          <w:lang w:val="en-US"/>
        </w:rPr>
        <w:t>-align</w:t>
      </w:r>
      <w:r w:rsidR="2DCE3598" w:rsidRPr="003E2544">
        <w:rPr>
          <w:rFonts w:ascii="Verdana" w:hAnsi="Verdana" w:cstheme="minorBidi"/>
          <w:sz w:val="20"/>
          <w:szCs w:val="20"/>
          <w:lang w:val="en-US"/>
        </w:rPr>
        <w:t>ed</w:t>
      </w:r>
      <w:r w:rsidR="6723C22E" w:rsidRPr="003E2544">
        <w:rPr>
          <w:rFonts w:ascii="Verdana" w:hAnsi="Verdana" w:cstheme="minorBidi"/>
          <w:sz w:val="20"/>
          <w:szCs w:val="20"/>
          <w:lang w:val="en-US"/>
        </w:rPr>
        <w:t xml:space="preserve"> SDS</w:t>
      </w:r>
      <w:r w:rsidR="55EFB3D7" w:rsidRPr="003E2544">
        <w:rPr>
          <w:rFonts w:ascii="Verdana" w:hAnsi="Verdana" w:cstheme="minorBidi"/>
          <w:sz w:val="20"/>
          <w:szCs w:val="20"/>
          <w:lang w:val="en-US"/>
        </w:rPr>
        <w:t>s,</w:t>
      </w:r>
      <w:r w:rsidR="6723C22E" w:rsidRPr="003E2544">
        <w:rPr>
          <w:rFonts w:ascii="Verdana" w:hAnsi="Verdana" w:cstheme="minorBidi"/>
          <w:sz w:val="20"/>
          <w:szCs w:val="20"/>
          <w:lang w:val="en-US"/>
        </w:rPr>
        <w:t xml:space="preserve"> </w:t>
      </w:r>
      <w:r w:rsidR="00A33CD9" w:rsidRPr="003E2544">
        <w:rPr>
          <w:rFonts w:ascii="Verdana" w:hAnsi="Verdana" w:cstheme="minorBidi"/>
          <w:sz w:val="20"/>
          <w:szCs w:val="20"/>
          <w:lang w:val="en-US"/>
        </w:rPr>
        <w:t>Sector Plans</w:t>
      </w:r>
      <w:r w:rsidR="6723C22E" w:rsidRPr="003E2544">
        <w:rPr>
          <w:rFonts w:ascii="Verdana" w:hAnsi="Verdana" w:cstheme="minorBidi"/>
          <w:sz w:val="20"/>
          <w:szCs w:val="20"/>
          <w:lang w:val="en-US"/>
        </w:rPr>
        <w:t xml:space="preserve"> and ministry-level plans</w:t>
      </w:r>
      <w:r w:rsidR="55EFB3D7" w:rsidRPr="003E2544">
        <w:rPr>
          <w:rFonts w:ascii="Verdana" w:hAnsi="Verdana" w:cstheme="minorBidi"/>
          <w:sz w:val="20"/>
          <w:szCs w:val="20"/>
          <w:lang w:val="en-US"/>
        </w:rPr>
        <w:t>;</w:t>
      </w:r>
      <w:r w:rsidR="00B30B63" w:rsidRPr="003E2544">
        <w:rPr>
          <w:rFonts w:ascii="Verdana" w:hAnsi="Verdana" w:cstheme="minorBidi"/>
          <w:sz w:val="20"/>
          <w:szCs w:val="20"/>
          <w:lang w:val="en-US"/>
        </w:rPr>
        <w:t xml:space="preserve"> </w:t>
      </w:r>
      <w:r w:rsidR="003930CD" w:rsidRPr="003E2544">
        <w:rPr>
          <w:rFonts w:ascii="Verdana" w:hAnsi="Verdana" w:cstheme="minorBidi"/>
          <w:sz w:val="20"/>
          <w:szCs w:val="20"/>
          <w:lang w:val="en-US"/>
        </w:rPr>
        <w:t xml:space="preserve">weak </w:t>
      </w:r>
      <w:r w:rsidR="40B4863B" w:rsidRPr="003E2544">
        <w:rPr>
          <w:rFonts w:ascii="Verdana" w:hAnsi="Verdana"/>
          <w:sz w:val="20"/>
          <w:lang w:val="en-US"/>
        </w:rPr>
        <w:t>budget planning and reporting processes</w:t>
      </w:r>
      <w:r w:rsidR="003930CD" w:rsidRPr="003E2544">
        <w:rPr>
          <w:rFonts w:ascii="Verdana" w:hAnsi="Verdana"/>
          <w:sz w:val="20"/>
          <w:lang w:val="en-US"/>
        </w:rPr>
        <w:t>, including the absence of guidelines and tools to link plans and budgets and generate expenditure information</w:t>
      </w:r>
      <w:r w:rsidR="40B4863B" w:rsidRPr="003E2544">
        <w:rPr>
          <w:rFonts w:ascii="Verdana" w:hAnsi="Verdana"/>
          <w:sz w:val="20"/>
          <w:lang w:val="en-US"/>
        </w:rPr>
        <w:t>;</w:t>
      </w:r>
      <w:r w:rsidR="69DB6578" w:rsidRPr="003E2544">
        <w:rPr>
          <w:rFonts w:ascii="Verdana" w:hAnsi="Verdana"/>
          <w:sz w:val="20"/>
          <w:lang w:val="en-US"/>
        </w:rPr>
        <w:t xml:space="preserve"> </w:t>
      </w:r>
      <w:r w:rsidR="003930CD" w:rsidRPr="003E2544">
        <w:rPr>
          <w:rFonts w:ascii="Verdana" w:hAnsi="Verdana"/>
          <w:sz w:val="20"/>
          <w:lang w:val="en-US"/>
        </w:rPr>
        <w:t xml:space="preserve">low budget credibility (i.e. </w:t>
      </w:r>
      <w:r w:rsidR="69DB6578" w:rsidRPr="003E2544">
        <w:rPr>
          <w:rFonts w:ascii="Verdana" w:hAnsi="Verdana"/>
          <w:sz w:val="20"/>
          <w:lang w:val="en-US"/>
        </w:rPr>
        <w:t xml:space="preserve">a </w:t>
      </w:r>
      <w:r w:rsidR="28CC9AA9" w:rsidRPr="003E2544">
        <w:rPr>
          <w:rFonts w:ascii="Verdana" w:hAnsi="Verdana"/>
          <w:sz w:val="20"/>
          <w:lang w:val="en-US"/>
        </w:rPr>
        <w:t>l</w:t>
      </w:r>
      <w:r w:rsidR="6723C22E" w:rsidRPr="003E2544">
        <w:rPr>
          <w:rFonts w:ascii="Verdana" w:hAnsi="Verdana"/>
          <w:sz w:val="20"/>
          <w:lang w:val="en-US"/>
        </w:rPr>
        <w:t>ack of capacity among state officials to spend in accordance with the budget</w:t>
      </w:r>
      <w:r w:rsidR="001A2E3C" w:rsidRPr="00975396">
        <w:rPr>
          <w:rFonts w:ascii="Verdana" w:hAnsi="Verdana"/>
          <w:vertAlign w:val="superscript"/>
          <w:lang w:val="en-US"/>
        </w:rPr>
        <w:footnoteReference w:id="9"/>
      </w:r>
      <w:r w:rsidR="003930CD" w:rsidRPr="003E2544">
        <w:rPr>
          <w:rFonts w:ascii="Verdana" w:hAnsi="Verdana"/>
          <w:sz w:val="20"/>
          <w:lang w:val="en-US"/>
        </w:rPr>
        <w:t>)</w:t>
      </w:r>
      <w:r w:rsidR="3DDC88E4" w:rsidRPr="003E2544">
        <w:rPr>
          <w:rFonts w:ascii="Verdana" w:hAnsi="Verdana" w:cstheme="minorBidi"/>
          <w:sz w:val="20"/>
          <w:szCs w:val="20"/>
          <w:lang w:val="en-US"/>
        </w:rPr>
        <w:t>;</w:t>
      </w:r>
      <w:r w:rsidR="69DB6578" w:rsidRPr="003E2544">
        <w:rPr>
          <w:rFonts w:ascii="Verdana" w:hAnsi="Verdana"/>
          <w:sz w:val="20"/>
          <w:lang w:val="en-US"/>
        </w:rPr>
        <w:t xml:space="preserve"> </w:t>
      </w:r>
      <w:r w:rsidR="57554053" w:rsidRPr="003E2544">
        <w:rPr>
          <w:rFonts w:ascii="Verdana" w:hAnsi="Verdana"/>
          <w:sz w:val="20"/>
          <w:lang w:val="en-US"/>
        </w:rPr>
        <w:t xml:space="preserve">and </w:t>
      </w:r>
      <w:r w:rsidR="28636E92" w:rsidRPr="003E2544">
        <w:rPr>
          <w:rFonts w:ascii="Verdana" w:hAnsi="Verdana"/>
          <w:sz w:val="20"/>
          <w:lang w:val="en-US"/>
        </w:rPr>
        <w:t>l</w:t>
      </w:r>
      <w:r w:rsidR="0EBCA0EF" w:rsidRPr="003E2544">
        <w:rPr>
          <w:rFonts w:ascii="Verdana" w:hAnsi="Verdana"/>
          <w:sz w:val="20"/>
          <w:lang w:val="en-US"/>
        </w:rPr>
        <w:t xml:space="preserve">ack of </w:t>
      </w:r>
      <w:r w:rsidR="69DB6578" w:rsidRPr="003E2544">
        <w:rPr>
          <w:rFonts w:ascii="Verdana" w:hAnsi="Verdana"/>
          <w:sz w:val="20"/>
          <w:lang w:val="en-US"/>
        </w:rPr>
        <w:t xml:space="preserve">an </w:t>
      </w:r>
      <w:r w:rsidR="0EBCA0EF" w:rsidRPr="003E2544">
        <w:rPr>
          <w:rFonts w:ascii="Verdana" w:hAnsi="Verdana"/>
          <w:sz w:val="20"/>
          <w:lang w:val="en-US"/>
        </w:rPr>
        <w:t xml:space="preserve">oversight framework to monitor </w:t>
      </w:r>
      <w:r w:rsidR="00110E13">
        <w:rPr>
          <w:rFonts w:ascii="Verdana" w:hAnsi="Verdana"/>
          <w:sz w:val="20"/>
          <w:lang w:val="en-US"/>
        </w:rPr>
        <w:t>PFM</w:t>
      </w:r>
      <w:r w:rsidR="0EBCA0EF" w:rsidRPr="003E2544">
        <w:rPr>
          <w:rFonts w:ascii="Verdana" w:hAnsi="Verdana"/>
          <w:sz w:val="20"/>
          <w:lang w:val="en-US"/>
        </w:rPr>
        <w:t xml:space="preserve"> processes</w:t>
      </w:r>
      <w:r w:rsidR="6723C22E" w:rsidRPr="003E2544">
        <w:rPr>
          <w:rFonts w:ascii="Verdana" w:hAnsi="Verdana"/>
          <w:sz w:val="20"/>
          <w:lang w:val="en-US"/>
        </w:rPr>
        <w:t>.</w:t>
      </w:r>
      <w:r w:rsidR="2E4A1CAF" w:rsidRPr="003E2544">
        <w:rPr>
          <w:rFonts w:ascii="Verdana" w:hAnsi="Verdana"/>
          <w:sz w:val="20"/>
          <w:lang w:val="en-US"/>
        </w:rPr>
        <w:t xml:space="preserve"> </w:t>
      </w:r>
    </w:p>
    <w:p w14:paraId="66621458" w14:textId="7377470B" w:rsidR="007E4CCD" w:rsidRPr="00467001" w:rsidRDefault="00957E8A" w:rsidP="00245274">
      <w:pPr>
        <w:pStyle w:val="ListParagraph"/>
        <w:numPr>
          <w:ilvl w:val="0"/>
          <w:numId w:val="67"/>
        </w:numPr>
        <w:spacing w:line="240" w:lineRule="auto"/>
        <w:rPr>
          <w:rFonts w:ascii="Verdana" w:hAnsi="Verdana"/>
          <w:sz w:val="20"/>
          <w:szCs w:val="20"/>
          <w:lang w:val="en-US"/>
        </w:rPr>
      </w:pPr>
      <w:r w:rsidRPr="003E2544">
        <w:rPr>
          <w:rFonts w:ascii="Verdana" w:hAnsi="Verdana"/>
          <w:b/>
          <w:bCs/>
          <w:sz w:val="20"/>
          <w:szCs w:val="20"/>
          <w:lang w:val="en-US"/>
        </w:rPr>
        <w:t xml:space="preserve">Lack of </w:t>
      </w:r>
      <w:r w:rsidR="004F1AF4" w:rsidRPr="003E2544">
        <w:rPr>
          <w:rFonts w:ascii="Verdana" w:hAnsi="Verdana"/>
          <w:b/>
          <w:bCs/>
          <w:sz w:val="20"/>
          <w:szCs w:val="20"/>
          <w:lang w:val="en-US"/>
        </w:rPr>
        <w:t>transparency and coordination in the preparation of national and state</w:t>
      </w:r>
      <w:r w:rsidR="00110E13">
        <w:rPr>
          <w:rFonts w:ascii="Verdana" w:hAnsi="Verdana"/>
          <w:b/>
          <w:bCs/>
          <w:sz w:val="20"/>
          <w:szCs w:val="20"/>
          <w:lang w:val="en-US"/>
        </w:rPr>
        <w:t>-</w:t>
      </w:r>
      <w:r w:rsidR="004F1AF4" w:rsidRPr="003E2544">
        <w:rPr>
          <w:rFonts w:ascii="Verdana" w:hAnsi="Verdana"/>
          <w:b/>
          <w:bCs/>
          <w:sz w:val="20"/>
          <w:szCs w:val="20"/>
          <w:lang w:val="en-US"/>
        </w:rPr>
        <w:t>level development strategies</w:t>
      </w:r>
      <w:r w:rsidR="003930CD" w:rsidRPr="003E2544">
        <w:rPr>
          <w:rFonts w:ascii="Verdana" w:hAnsi="Verdana"/>
          <w:b/>
          <w:bCs/>
          <w:sz w:val="20"/>
          <w:szCs w:val="20"/>
          <w:lang w:val="en-US"/>
        </w:rPr>
        <w:t>:</w:t>
      </w:r>
      <w:r w:rsidR="007E4CCD" w:rsidRPr="003E2544">
        <w:rPr>
          <w:rFonts w:ascii="Verdana" w:hAnsi="Verdana"/>
          <w:sz w:val="20"/>
          <w:szCs w:val="20"/>
          <w:lang w:val="en-US"/>
        </w:rPr>
        <w:t xml:space="preserve"> </w:t>
      </w:r>
      <w:r w:rsidR="00984080" w:rsidRPr="003E2544">
        <w:rPr>
          <w:rFonts w:ascii="Verdana" w:hAnsi="Verdana"/>
          <w:sz w:val="20"/>
          <w:szCs w:val="20"/>
          <w:lang w:val="en-US"/>
        </w:rPr>
        <w:t>While t</w:t>
      </w:r>
      <w:r w:rsidR="00070B04" w:rsidRPr="003E2544">
        <w:rPr>
          <w:rFonts w:ascii="Verdana" w:hAnsi="Verdana"/>
          <w:sz w:val="20"/>
          <w:szCs w:val="20"/>
          <w:lang w:val="en-US"/>
        </w:rPr>
        <w:t xml:space="preserve">he </w:t>
      </w:r>
      <w:r w:rsidR="00110E13">
        <w:rPr>
          <w:rFonts w:ascii="Verdana" w:hAnsi="Verdana"/>
          <w:sz w:val="20"/>
          <w:szCs w:val="20"/>
          <w:lang w:val="en-US"/>
        </w:rPr>
        <w:t>NDS</w:t>
      </w:r>
      <w:r w:rsidR="003048F3" w:rsidRPr="003E2544">
        <w:rPr>
          <w:rFonts w:ascii="Verdana" w:hAnsi="Verdana"/>
          <w:sz w:val="20"/>
          <w:szCs w:val="20"/>
          <w:lang w:val="en-US"/>
        </w:rPr>
        <w:t xml:space="preserve"> </w:t>
      </w:r>
      <w:r w:rsidR="003048F3" w:rsidRPr="003E2544">
        <w:rPr>
          <w:rFonts w:ascii="Verdana" w:hAnsi="Verdana" w:cstheme="minorBidi"/>
          <w:sz w:val="20"/>
          <w:szCs w:val="20"/>
          <w:lang w:val="en-US"/>
        </w:rPr>
        <w:t>aligns</w:t>
      </w:r>
      <w:r w:rsidR="003048F3" w:rsidRPr="003E2544">
        <w:rPr>
          <w:rFonts w:ascii="Verdana" w:hAnsi="Verdana"/>
          <w:sz w:val="20"/>
          <w:szCs w:val="20"/>
          <w:lang w:val="en-US"/>
        </w:rPr>
        <w:t xml:space="preserve"> with </w:t>
      </w:r>
      <w:r w:rsidR="71A8AE34" w:rsidRPr="003E2544">
        <w:rPr>
          <w:rFonts w:ascii="Verdana" w:hAnsi="Verdana"/>
          <w:sz w:val="20"/>
          <w:szCs w:val="20"/>
          <w:lang w:val="en-US"/>
        </w:rPr>
        <w:t xml:space="preserve">the </w:t>
      </w:r>
      <w:r w:rsidR="003048F3" w:rsidRPr="003E2544">
        <w:rPr>
          <w:rFonts w:ascii="Verdana" w:hAnsi="Verdana"/>
          <w:sz w:val="20"/>
          <w:szCs w:val="20"/>
          <w:lang w:val="en-US"/>
        </w:rPr>
        <w:t>SDGs</w:t>
      </w:r>
      <w:r w:rsidR="00984080" w:rsidRPr="003E2544">
        <w:rPr>
          <w:rFonts w:ascii="Verdana" w:hAnsi="Verdana"/>
          <w:sz w:val="20"/>
          <w:szCs w:val="20"/>
          <w:lang w:val="en-US"/>
        </w:rPr>
        <w:t xml:space="preserve">, it does not have </w:t>
      </w:r>
      <w:r w:rsidR="005C7C01" w:rsidRPr="003E2544">
        <w:rPr>
          <w:rFonts w:ascii="Verdana" w:hAnsi="Verdana"/>
          <w:sz w:val="20"/>
          <w:szCs w:val="20"/>
          <w:lang w:val="en-US"/>
        </w:rPr>
        <w:t xml:space="preserve">an </w:t>
      </w:r>
      <w:r w:rsidR="00984080" w:rsidRPr="003E2544">
        <w:rPr>
          <w:rFonts w:ascii="Verdana" w:hAnsi="Verdana" w:cstheme="minorBidi"/>
          <w:sz w:val="20"/>
          <w:szCs w:val="20"/>
          <w:lang w:val="en-US"/>
        </w:rPr>
        <w:t xml:space="preserve">INFF to guide </w:t>
      </w:r>
      <w:r w:rsidR="007E4CCD" w:rsidRPr="003E2544">
        <w:rPr>
          <w:rFonts w:ascii="Verdana" w:hAnsi="Verdana"/>
          <w:sz w:val="20"/>
          <w:szCs w:val="20"/>
          <w:lang w:val="en-US"/>
        </w:rPr>
        <w:t xml:space="preserve">national </w:t>
      </w:r>
      <w:r w:rsidR="00984080" w:rsidRPr="003E2544">
        <w:rPr>
          <w:rFonts w:ascii="Verdana" w:hAnsi="Verdana" w:cstheme="minorBidi"/>
          <w:sz w:val="20"/>
          <w:szCs w:val="20"/>
          <w:lang w:val="en-US"/>
        </w:rPr>
        <w:t xml:space="preserve">financing </w:t>
      </w:r>
      <w:r w:rsidR="000F528F" w:rsidRPr="003E2544">
        <w:rPr>
          <w:rFonts w:ascii="Verdana" w:hAnsi="Verdana" w:cstheme="minorBidi"/>
          <w:sz w:val="20"/>
          <w:szCs w:val="20"/>
          <w:lang w:val="en-US"/>
        </w:rPr>
        <w:t xml:space="preserve">towards </w:t>
      </w:r>
      <w:r w:rsidR="18F3455E" w:rsidRPr="003E2544">
        <w:rPr>
          <w:rFonts w:ascii="Verdana" w:hAnsi="Verdana" w:cstheme="minorBidi"/>
          <w:sz w:val="20"/>
          <w:szCs w:val="20"/>
          <w:lang w:val="en-US"/>
        </w:rPr>
        <w:t xml:space="preserve">achieving </w:t>
      </w:r>
      <w:r w:rsidR="18F3455E" w:rsidRPr="003E2544">
        <w:rPr>
          <w:rFonts w:ascii="Verdana" w:hAnsi="Verdana"/>
          <w:sz w:val="20"/>
          <w:szCs w:val="20"/>
          <w:lang w:val="en-US"/>
        </w:rPr>
        <w:t xml:space="preserve">the </w:t>
      </w:r>
      <w:r w:rsidR="000F528F" w:rsidRPr="003E2544">
        <w:rPr>
          <w:rFonts w:ascii="Verdana" w:hAnsi="Verdana" w:cstheme="minorBidi"/>
          <w:sz w:val="20"/>
          <w:szCs w:val="20"/>
          <w:lang w:val="en-US"/>
        </w:rPr>
        <w:t xml:space="preserve">SDGs. </w:t>
      </w:r>
      <w:r w:rsidR="005C7C01" w:rsidRPr="003E2544">
        <w:rPr>
          <w:rFonts w:ascii="Verdana" w:hAnsi="Verdana" w:cstheme="minorBidi"/>
          <w:sz w:val="20"/>
          <w:szCs w:val="20"/>
          <w:lang w:val="en-US"/>
        </w:rPr>
        <w:t xml:space="preserve">At </w:t>
      </w:r>
      <w:r w:rsidR="009B5B47">
        <w:rPr>
          <w:rFonts w:ascii="Verdana" w:hAnsi="Verdana" w:cstheme="minorBidi"/>
          <w:sz w:val="20"/>
          <w:szCs w:val="20"/>
          <w:lang w:val="en-US"/>
        </w:rPr>
        <w:t>subnational</w:t>
      </w:r>
      <w:r w:rsidR="00592935" w:rsidRPr="003E2544">
        <w:rPr>
          <w:rFonts w:ascii="Verdana" w:hAnsi="Verdana" w:cstheme="minorBidi"/>
          <w:sz w:val="20"/>
          <w:szCs w:val="20"/>
          <w:lang w:val="en-US"/>
        </w:rPr>
        <w:t xml:space="preserve"> level</w:t>
      </w:r>
      <w:r w:rsidR="005C7C01" w:rsidRPr="003E2544">
        <w:rPr>
          <w:rFonts w:ascii="Verdana" w:hAnsi="Verdana" w:cstheme="minorBidi"/>
          <w:sz w:val="20"/>
          <w:szCs w:val="20"/>
          <w:lang w:val="en-US"/>
        </w:rPr>
        <w:t xml:space="preserve"> </w:t>
      </w:r>
      <w:r w:rsidR="000F528F" w:rsidRPr="003E2544">
        <w:rPr>
          <w:rFonts w:ascii="Verdana" w:hAnsi="Verdana" w:cstheme="minorBidi"/>
          <w:sz w:val="20"/>
          <w:szCs w:val="20"/>
          <w:lang w:val="en-US"/>
        </w:rPr>
        <w:t xml:space="preserve">there </w:t>
      </w:r>
      <w:r w:rsidR="005C7C01" w:rsidRPr="003E2544">
        <w:rPr>
          <w:rFonts w:ascii="Verdana" w:hAnsi="Verdana" w:cstheme="minorBidi"/>
          <w:sz w:val="20"/>
          <w:szCs w:val="20"/>
          <w:lang w:val="en-US"/>
        </w:rPr>
        <w:t>are currently no updated</w:t>
      </w:r>
      <w:r w:rsidR="009A1F52" w:rsidRPr="003E2544">
        <w:rPr>
          <w:rFonts w:ascii="Verdana" w:hAnsi="Verdana" w:cstheme="minorBidi"/>
          <w:sz w:val="20"/>
          <w:szCs w:val="20"/>
          <w:lang w:val="en-US"/>
        </w:rPr>
        <w:t xml:space="preserve"> </w:t>
      </w:r>
      <w:r w:rsidR="00EF35CE" w:rsidRPr="003E2544">
        <w:rPr>
          <w:rFonts w:ascii="Verdana" w:hAnsi="Verdana" w:cstheme="minorBidi"/>
          <w:sz w:val="20"/>
          <w:szCs w:val="20"/>
          <w:lang w:val="en-US"/>
        </w:rPr>
        <w:t>SDS</w:t>
      </w:r>
      <w:r w:rsidR="004E4955">
        <w:rPr>
          <w:rFonts w:ascii="Verdana" w:hAnsi="Verdana" w:cstheme="minorBidi"/>
          <w:sz w:val="20"/>
          <w:szCs w:val="20"/>
          <w:lang w:val="en-US"/>
        </w:rPr>
        <w:t>s</w:t>
      </w:r>
      <w:r w:rsidR="00EF35CE" w:rsidRPr="003E2544">
        <w:rPr>
          <w:rFonts w:ascii="Verdana" w:hAnsi="Verdana" w:cstheme="minorBidi"/>
          <w:sz w:val="20"/>
          <w:szCs w:val="20"/>
          <w:lang w:val="en-US"/>
        </w:rPr>
        <w:t xml:space="preserve">, Sector </w:t>
      </w:r>
      <w:r w:rsidR="005C7C01" w:rsidRPr="003E2544">
        <w:rPr>
          <w:rFonts w:ascii="Verdana" w:hAnsi="Verdana" w:cstheme="minorBidi"/>
          <w:sz w:val="20"/>
          <w:szCs w:val="20"/>
          <w:lang w:val="en-US"/>
        </w:rPr>
        <w:t>P</w:t>
      </w:r>
      <w:r w:rsidR="00EF35CE" w:rsidRPr="003E2544">
        <w:rPr>
          <w:rFonts w:ascii="Verdana" w:hAnsi="Verdana" w:cstheme="minorBidi"/>
          <w:sz w:val="20"/>
          <w:szCs w:val="20"/>
          <w:lang w:val="en-US"/>
        </w:rPr>
        <w:t xml:space="preserve">lans </w:t>
      </w:r>
      <w:r w:rsidR="40B4BFF2" w:rsidRPr="003E2544">
        <w:rPr>
          <w:rFonts w:ascii="Verdana" w:hAnsi="Verdana" w:cstheme="minorBidi"/>
          <w:sz w:val="20"/>
          <w:szCs w:val="20"/>
          <w:lang w:val="en-US"/>
        </w:rPr>
        <w:t>or</w:t>
      </w:r>
      <w:r w:rsidR="00EF35CE" w:rsidRPr="003E2544">
        <w:rPr>
          <w:rFonts w:ascii="Verdana" w:hAnsi="Verdana" w:cstheme="minorBidi"/>
          <w:sz w:val="20"/>
          <w:szCs w:val="20"/>
          <w:lang w:val="en-US"/>
        </w:rPr>
        <w:t xml:space="preserve"> ministry-level plans </w:t>
      </w:r>
      <w:r w:rsidR="008852B5" w:rsidRPr="003E2544">
        <w:rPr>
          <w:rFonts w:ascii="Verdana" w:hAnsi="Verdana" w:cstheme="minorBidi"/>
          <w:sz w:val="20"/>
          <w:szCs w:val="20"/>
          <w:lang w:val="en-US"/>
        </w:rPr>
        <w:t xml:space="preserve">aligned with </w:t>
      </w:r>
      <w:r w:rsidR="2DEA86C6" w:rsidRPr="003E2544">
        <w:rPr>
          <w:rFonts w:ascii="Verdana" w:hAnsi="Verdana" w:cstheme="minorBidi"/>
          <w:sz w:val="20"/>
          <w:szCs w:val="20"/>
          <w:lang w:val="en-US"/>
        </w:rPr>
        <w:t xml:space="preserve">the </w:t>
      </w:r>
      <w:r w:rsidR="008852B5" w:rsidRPr="003E2544">
        <w:rPr>
          <w:rFonts w:ascii="Verdana" w:hAnsi="Verdana" w:cstheme="minorBidi"/>
          <w:sz w:val="20"/>
          <w:szCs w:val="20"/>
          <w:lang w:val="en-US"/>
        </w:rPr>
        <w:t>NDS and SDGs</w:t>
      </w:r>
      <w:r w:rsidR="005C7C01" w:rsidRPr="003E2544">
        <w:rPr>
          <w:rFonts w:ascii="Verdana" w:hAnsi="Verdana" w:cstheme="minorBidi"/>
          <w:sz w:val="20"/>
          <w:szCs w:val="20"/>
          <w:lang w:val="en-US"/>
        </w:rPr>
        <w:t>.</w:t>
      </w:r>
      <w:r w:rsidR="007E4CCD" w:rsidRPr="003E2544">
        <w:rPr>
          <w:rStyle w:val="FootnoteReference"/>
          <w:rFonts w:ascii="Verdana" w:hAnsi="Verdana"/>
          <w:sz w:val="20"/>
          <w:szCs w:val="20"/>
          <w:lang w:val="en-US"/>
        </w:rPr>
        <w:footnoteReference w:id="10"/>
      </w:r>
      <w:r w:rsidR="008852B5" w:rsidRPr="003E2544">
        <w:rPr>
          <w:rFonts w:ascii="Verdana" w:hAnsi="Verdana" w:cstheme="minorBidi"/>
          <w:sz w:val="20"/>
          <w:szCs w:val="20"/>
          <w:lang w:val="en-US"/>
        </w:rPr>
        <w:t xml:space="preserve"> </w:t>
      </w:r>
      <w:r w:rsidR="00D149BA" w:rsidRPr="003E2544">
        <w:rPr>
          <w:rFonts w:ascii="Verdana" w:hAnsi="Verdana" w:cstheme="minorBidi"/>
          <w:sz w:val="20"/>
          <w:szCs w:val="20"/>
          <w:lang w:val="en-US"/>
        </w:rPr>
        <w:t xml:space="preserve">This </w:t>
      </w:r>
      <w:r w:rsidR="005C7C01" w:rsidRPr="003E2544">
        <w:rPr>
          <w:rFonts w:ascii="Verdana" w:hAnsi="Verdana" w:cstheme="minorBidi"/>
          <w:sz w:val="20"/>
          <w:szCs w:val="20"/>
          <w:lang w:val="en-US"/>
        </w:rPr>
        <w:t xml:space="preserve">has </w:t>
      </w:r>
      <w:r w:rsidR="006A2C0E" w:rsidRPr="003E2544">
        <w:rPr>
          <w:rFonts w:ascii="Verdana" w:hAnsi="Verdana" w:cstheme="minorBidi"/>
          <w:sz w:val="20"/>
          <w:szCs w:val="20"/>
          <w:lang w:val="en-US"/>
        </w:rPr>
        <w:t xml:space="preserve">resulted in low </w:t>
      </w:r>
      <w:r w:rsidR="00194585" w:rsidRPr="003E2544">
        <w:rPr>
          <w:rFonts w:ascii="Verdana" w:hAnsi="Verdana" w:cstheme="minorBidi"/>
          <w:sz w:val="20"/>
          <w:szCs w:val="20"/>
          <w:lang w:val="en-US"/>
        </w:rPr>
        <w:t xml:space="preserve">budget </w:t>
      </w:r>
      <w:r w:rsidR="006A2C0E" w:rsidRPr="003E2544">
        <w:rPr>
          <w:rFonts w:ascii="Verdana" w:hAnsi="Verdana" w:cstheme="minorBidi"/>
          <w:sz w:val="20"/>
          <w:szCs w:val="20"/>
          <w:lang w:val="en-US"/>
        </w:rPr>
        <w:t>allocations to social sectors</w:t>
      </w:r>
      <w:r w:rsidR="0089284C" w:rsidRPr="003E2544">
        <w:rPr>
          <w:rFonts w:ascii="Verdana" w:hAnsi="Verdana" w:cstheme="minorBidi"/>
          <w:sz w:val="20"/>
          <w:szCs w:val="20"/>
          <w:lang w:val="en-US"/>
        </w:rPr>
        <w:t xml:space="preserve"> </w:t>
      </w:r>
      <w:r w:rsidR="00194585" w:rsidRPr="003E2544">
        <w:rPr>
          <w:rFonts w:ascii="Verdana" w:hAnsi="Verdana" w:cstheme="minorBidi"/>
          <w:sz w:val="20"/>
          <w:szCs w:val="20"/>
          <w:lang w:val="en-US"/>
        </w:rPr>
        <w:t>in 201</w:t>
      </w:r>
      <w:r w:rsidR="00B900E2" w:rsidRPr="003E2544">
        <w:rPr>
          <w:rFonts w:ascii="Verdana" w:hAnsi="Verdana" w:cstheme="minorBidi"/>
          <w:sz w:val="20"/>
          <w:szCs w:val="20"/>
          <w:lang w:val="en-US"/>
        </w:rPr>
        <w:t>9</w:t>
      </w:r>
      <w:r w:rsidR="00194585" w:rsidRPr="003E2544">
        <w:rPr>
          <w:rFonts w:ascii="Verdana" w:hAnsi="Verdana" w:cstheme="minorBidi"/>
          <w:sz w:val="20"/>
          <w:szCs w:val="20"/>
          <w:lang w:val="en-US"/>
        </w:rPr>
        <w:t>/</w:t>
      </w:r>
      <w:r w:rsidR="00B900E2" w:rsidRPr="003E2544">
        <w:rPr>
          <w:rFonts w:ascii="Verdana" w:hAnsi="Verdana" w:cstheme="minorBidi"/>
          <w:sz w:val="20"/>
          <w:szCs w:val="20"/>
          <w:lang w:val="en-US"/>
        </w:rPr>
        <w:t>20</w:t>
      </w:r>
      <w:r w:rsidR="007E4CCD" w:rsidRPr="003E2544">
        <w:rPr>
          <w:rFonts w:ascii="Verdana" w:hAnsi="Verdana"/>
          <w:sz w:val="20"/>
          <w:szCs w:val="20"/>
          <w:lang w:val="en-US"/>
        </w:rPr>
        <w:t>: Ministry of Health (</w:t>
      </w:r>
      <w:r w:rsidR="00747E1A" w:rsidRPr="003E2544">
        <w:rPr>
          <w:rFonts w:ascii="Verdana" w:hAnsi="Verdana" w:cstheme="minorBidi"/>
          <w:sz w:val="20"/>
          <w:szCs w:val="20"/>
          <w:lang w:val="en-US"/>
        </w:rPr>
        <w:t>1</w:t>
      </w:r>
      <w:r w:rsidR="007E4CCD" w:rsidRPr="003E2544">
        <w:rPr>
          <w:rFonts w:ascii="Verdana" w:hAnsi="Verdana"/>
          <w:sz w:val="20"/>
          <w:szCs w:val="20"/>
          <w:lang w:val="en-US"/>
        </w:rPr>
        <w:t>%), Ministry of Education (</w:t>
      </w:r>
      <w:r w:rsidR="00096BA3" w:rsidRPr="003E2544">
        <w:rPr>
          <w:rFonts w:ascii="Verdana" w:hAnsi="Verdana" w:cstheme="minorBidi"/>
          <w:sz w:val="20"/>
          <w:szCs w:val="20"/>
          <w:lang w:val="en-US"/>
        </w:rPr>
        <w:t>5</w:t>
      </w:r>
      <w:r w:rsidR="007E4CCD" w:rsidRPr="003E2544">
        <w:rPr>
          <w:rFonts w:ascii="Verdana" w:hAnsi="Verdana"/>
          <w:sz w:val="20"/>
          <w:szCs w:val="20"/>
          <w:lang w:val="en-US"/>
        </w:rPr>
        <w:t xml:space="preserve">%) and </w:t>
      </w:r>
      <w:r w:rsidR="00096BA3" w:rsidRPr="003E2544">
        <w:rPr>
          <w:rFonts w:ascii="Verdana" w:hAnsi="Verdana"/>
          <w:sz w:val="20"/>
          <w:szCs w:val="20"/>
          <w:lang w:val="en-US"/>
        </w:rPr>
        <w:t>Social and Humanitarian Affairs</w:t>
      </w:r>
      <w:r w:rsidR="007E4CCD" w:rsidRPr="003E2544">
        <w:rPr>
          <w:rFonts w:ascii="Verdana" w:hAnsi="Verdana"/>
          <w:sz w:val="20"/>
          <w:szCs w:val="20"/>
          <w:lang w:val="en-US"/>
        </w:rPr>
        <w:t xml:space="preserve"> (</w:t>
      </w:r>
      <w:r w:rsidR="00B131FE" w:rsidRPr="003E2544">
        <w:rPr>
          <w:rFonts w:ascii="Verdana" w:hAnsi="Verdana" w:cstheme="minorBidi"/>
          <w:sz w:val="20"/>
          <w:szCs w:val="20"/>
          <w:lang w:val="en-US"/>
        </w:rPr>
        <w:t>2</w:t>
      </w:r>
      <w:r w:rsidR="001403D5" w:rsidRPr="003E2544">
        <w:rPr>
          <w:rFonts w:ascii="Verdana" w:hAnsi="Verdana" w:cstheme="minorBidi"/>
          <w:sz w:val="20"/>
          <w:szCs w:val="20"/>
          <w:lang w:val="en-US"/>
        </w:rPr>
        <w:t>%)</w:t>
      </w:r>
      <w:r w:rsidR="008F5FED" w:rsidRPr="003E2544">
        <w:rPr>
          <w:rFonts w:ascii="Verdana" w:hAnsi="Verdana" w:cstheme="minorBidi"/>
          <w:sz w:val="20"/>
          <w:szCs w:val="20"/>
          <w:lang w:val="en-US"/>
        </w:rPr>
        <w:t>.</w:t>
      </w:r>
    </w:p>
    <w:p w14:paraId="319F1EC5" w14:textId="77777777" w:rsidR="00571C87" w:rsidRPr="00975396" w:rsidRDefault="00571C87" w:rsidP="00975396">
      <w:pPr>
        <w:pStyle w:val="ListParagraph"/>
        <w:rPr>
          <w:rFonts w:ascii="Verdana" w:hAnsi="Verdana"/>
          <w:sz w:val="20"/>
          <w:szCs w:val="20"/>
          <w:lang w:val="en-US"/>
        </w:rPr>
      </w:pPr>
    </w:p>
    <w:p w14:paraId="39C81657" w14:textId="5EDC2067" w:rsidR="00246B5D" w:rsidRPr="003E2544" w:rsidRDefault="00571C87" w:rsidP="00245274">
      <w:pPr>
        <w:spacing w:line="240" w:lineRule="auto"/>
        <w:jc w:val="both"/>
        <w:rPr>
          <w:rFonts w:ascii="Verdana" w:hAnsi="Verdana"/>
          <w:sz w:val="20"/>
          <w:szCs w:val="20"/>
        </w:rPr>
      </w:pPr>
      <w:r w:rsidRPr="00467001">
        <w:rPr>
          <w:rFonts w:ascii="Verdana" w:hAnsi="Verdana"/>
          <w:sz w:val="20"/>
          <w:szCs w:val="20"/>
        </w:rPr>
        <w:t xml:space="preserve">In addition, there is a lack of attention to the gender equality aspect of South Sudan’s public finance system and </w:t>
      </w:r>
      <w:r w:rsidRPr="00975396">
        <w:rPr>
          <w:rFonts w:ascii="Verdana" w:hAnsi="Verdana"/>
          <w:sz w:val="20"/>
          <w:szCs w:val="20"/>
        </w:rPr>
        <w:t>specific approaches are needed within the PFM reform cycle to facilitate gender equality goals being achieved. Key is ensuring the effectiveness of the systems associated with budget execution</w:t>
      </w:r>
      <w:r w:rsidRPr="00975396">
        <w:rPr>
          <w:rStyle w:val="FootnoteReference"/>
          <w:rFonts w:ascii="Verdana" w:hAnsi="Verdana"/>
          <w:sz w:val="20"/>
          <w:szCs w:val="20"/>
        </w:rPr>
        <w:footnoteReference w:id="11"/>
      </w:r>
      <w:r w:rsidRPr="00975396">
        <w:rPr>
          <w:rFonts w:ascii="Verdana" w:hAnsi="Verdana"/>
          <w:sz w:val="20"/>
          <w:szCs w:val="20"/>
        </w:rPr>
        <w:t xml:space="preserve">. </w:t>
      </w:r>
    </w:p>
    <w:p w14:paraId="0337CCAB" w14:textId="2DFE6A41" w:rsidR="00E646B3" w:rsidRDefault="003930CD" w:rsidP="00245274">
      <w:pPr>
        <w:spacing w:line="240" w:lineRule="auto"/>
        <w:contextualSpacing/>
        <w:jc w:val="both"/>
        <w:rPr>
          <w:rFonts w:ascii="Verdana" w:hAnsi="Verdana" w:cstheme="minorBidi"/>
          <w:sz w:val="20"/>
          <w:szCs w:val="20"/>
        </w:rPr>
      </w:pPr>
      <w:r w:rsidRPr="003E2544">
        <w:rPr>
          <w:rFonts w:ascii="Verdana" w:hAnsi="Verdana" w:cstheme="minorBidi"/>
          <w:sz w:val="20"/>
          <w:szCs w:val="20"/>
        </w:rPr>
        <w:t>Beyond the systemic PFM challenges, the country also faces severe</w:t>
      </w:r>
      <w:r w:rsidR="00B37D25" w:rsidRPr="003E2544">
        <w:rPr>
          <w:rFonts w:ascii="Verdana" w:hAnsi="Verdana" w:cstheme="minorBidi"/>
          <w:sz w:val="20"/>
          <w:szCs w:val="20"/>
        </w:rPr>
        <w:t xml:space="preserve"> humanitarian and</w:t>
      </w:r>
      <w:r w:rsidRPr="003E2544">
        <w:rPr>
          <w:rFonts w:ascii="Verdana" w:hAnsi="Verdana" w:cstheme="minorBidi"/>
          <w:sz w:val="20"/>
          <w:szCs w:val="20"/>
        </w:rPr>
        <w:t xml:space="preserve"> </w:t>
      </w:r>
      <w:r w:rsidR="00B37D25" w:rsidRPr="003E2544">
        <w:rPr>
          <w:rFonts w:ascii="Verdana" w:hAnsi="Verdana" w:cstheme="minorBidi"/>
          <w:sz w:val="20"/>
          <w:szCs w:val="20"/>
        </w:rPr>
        <w:t xml:space="preserve">development </w:t>
      </w:r>
      <w:r w:rsidRPr="003E2544">
        <w:rPr>
          <w:rFonts w:ascii="Verdana" w:hAnsi="Verdana" w:cstheme="minorBidi"/>
          <w:sz w:val="20"/>
          <w:szCs w:val="20"/>
        </w:rPr>
        <w:t>financing constraints</w:t>
      </w:r>
      <w:r w:rsidR="00B37D25" w:rsidRPr="003E2544">
        <w:rPr>
          <w:rFonts w:ascii="Verdana" w:hAnsi="Verdana" w:cstheme="minorBidi"/>
          <w:sz w:val="20"/>
          <w:szCs w:val="20"/>
        </w:rPr>
        <w:t xml:space="preserve">. These include: </w:t>
      </w:r>
    </w:p>
    <w:p w14:paraId="6EC9036B" w14:textId="56D91A8C" w:rsidR="001864F0" w:rsidRPr="00CD6ADD" w:rsidRDefault="003930CD" w:rsidP="00CD6ADD">
      <w:pPr>
        <w:pStyle w:val="ListParagraph"/>
        <w:numPr>
          <w:ilvl w:val="0"/>
          <w:numId w:val="69"/>
        </w:numPr>
        <w:spacing w:line="240" w:lineRule="auto"/>
        <w:rPr>
          <w:rFonts w:ascii="Verdana" w:hAnsi="Verdana"/>
          <w:sz w:val="20"/>
          <w:szCs w:val="20"/>
          <w:lang w:val="en-US"/>
        </w:rPr>
      </w:pPr>
      <w:r w:rsidRPr="003E2544">
        <w:rPr>
          <w:rFonts w:ascii="Verdana" w:hAnsi="Verdana" w:cstheme="minorBidi"/>
          <w:b/>
          <w:bCs/>
          <w:sz w:val="20"/>
          <w:szCs w:val="20"/>
          <w:lang w:val="en-US"/>
        </w:rPr>
        <w:t xml:space="preserve">Overdependence on oil revenue: </w:t>
      </w:r>
      <w:r w:rsidRPr="003E2544">
        <w:rPr>
          <w:rFonts w:ascii="Verdana" w:hAnsi="Verdana"/>
          <w:sz w:val="20"/>
          <w:szCs w:val="20"/>
          <w:lang w:val="en-US"/>
        </w:rPr>
        <w:t>O</w:t>
      </w:r>
      <w:r w:rsidR="001864F0" w:rsidRPr="003E2544">
        <w:rPr>
          <w:rFonts w:ascii="Verdana" w:hAnsi="Verdana"/>
          <w:sz w:val="20"/>
          <w:szCs w:val="20"/>
          <w:lang w:val="en-US"/>
        </w:rPr>
        <w:t>il accounts for almost the entire export market and more than 40% of its gross domestic product (GDP), making South Sudan one of the most oil-dependent countries in the world.</w:t>
      </w:r>
      <w:r w:rsidR="001864F0" w:rsidRPr="003E2544">
        <w:rPr>
          <w:rStyle w:val="FootnoteReference"/>
          <w:rFonts w:ascii="Verdana" w:hAnsi="Verdana"/>
          <w:sz w:val="20"/>
          <w:szCs w:val="20"/>
          <w:lang w:val="en-US"/>
        </w:rPr>
        <w:footnoteReference w:id="12"/>
      </w:r>
      <w:r w:rsidR="001864F0" w:rsidRPr="003E2544">
        <w:rPr>
          <w:rFonts w:ascii="Verdana" w:hAnsi="Verdana"/>
          <w:sz w:val="20"/>
          <w:szCs w:val="20"/>
          <w:lang w:val="en-US"/>
        </w:rPr>
        <w:t xml:space="preserve"> Shrinking oil revenues as a result of petroleum prices and damaged oil</w:t>
      </w:r>
      <w:r w:rsidR="004E4955">
        <w:rPr>
          <w:rFonts w:ascii="Verdana" w:hAnsi="Verdana"/>
          <w:sz w:val="20"/>
          <w:szCs w:val="20"/>
          <w:lang w:val="en-US"/>
        </w:rPr>
        <w:t xml:space="preserve"> </w:t>
      </w:r>
      <w:r w:rsidR="001864F0" w:rsidRPr="003E2544">
        <w:rPr>
          <w:rFonts w:ascii="Verdana" w:hAnsi="Verdana"/>
          <w:sz w:val="20"/>
          <w:szCs w:val="20"/>
          <w:lang w:val="en-US"/>
        </w:rPr>
        <w:t xml:space="preserve">production capacity due to the conflict, </w:t>
      </w:r>
      <w:r w:rsidR="004E4955">
        <w:rPr>
          <w:rFonts w:ascii="Verdana" w:hAnsi="Verdana"/>
          <w:sz w:val="20"/>
          <w:szCs w:val="20"/>
          <w:lang w:val="en-US"/>
        </w:rPr>
        <w:t xml:space="preserve">and </w:t>
      </w:r>
      <w:r w:rsidR="001864F0" w:rsidRPr="003E2544">
        <w:rPr>
          <w:rFonts w:ascii="Verdana" w:hAnsi="Verdana"/>
          <w:sz w:val="20"/>
          <w:szCs w:val="20"/>
          <w:lang w:val="en-US"/>
        </w:rPr>
        <w:t>resource mobilization and spending focused on the conflict</w:t>
      </w:r>
      <w:r w:rsidR="004E4955">
        <w:rPr>
          <w:rFonts w:ascii="Verdana" w:hAnsi="Verdana"/>
          <w:sz w:val="20"/>
          <w:szCs w:val="20"/>
          <w:lang w:val="en-US"/>
        </w:rPr>
        <w:t>,</w:t>
      </w:r>
      <w:r w:rsidR="001864F0" w:rsidRPr="003E2544">
        <w:rPr>
          <w:rFonts w:ascii="Verdana" w:hAnsi="Verdana"/>
          <w:sz w:val="20"/>
          <w:szCs w:val="20"/>
          <w:lang w:val="en-US"/>
        </w:rPr>
        <w:t xml:space="preserve"> posed serious challenges to fund development initiatives. </w:t>
      </w:r>
      <w:r w:rsidR="000019FF">
        <w:rPr>
          <w:rFonts w:ascii="Verdana" w:hAnsi="Verdana"/>
          <w:sz w:val="20"/>
          <w:szCs w:val="20"/>
          <w:lang w:val="en-US"/>
        </w:rPr>
        <w:t>This overdependence was underlined by the global fall in oil prices during the corona crisis.</w:t>
      </w:r>
      <w:r w:rsidR="000019FF" w:rsidRPr="003E2544">
        <w:rPr>
          <w:rFonts w:ascii="Verdana" w:hAnsi="Verdana"/>
          <w:sz w:val="20"/>
          <w:szCs w:val="20"/>
          <w:lang w:val="en-US"/>
        </w:rPr>
        <w:t xml:space="preserve"> </w:t>
      </w:r>
      <w:r w:rsidR="001864F0" w:rsidRPr="003E2544">
        <w:rPr>
          <w:rFonts w:ascii="Verdana" w:hAnsi="Verdana"/>
          <w:sz w:val="20"/>
          <w:szCs w:val="20"/>
          <w:lang w:val="en-US"/>
        </w:rPr>
        <w:t>Hence,</w:t>
      </w:r>
      <w:r w:rsidR="001864F0" w:rsidRPr="003E2544" w:rsidDel="009203DE">
        <w:rPr>
          <w:rFonts w:ascii="Verdana" w:hAnsi="Verdana"/>
          <w:sz w:val="20"/>
          <w:szCs w:val="20"/>
          <w:lang w:val="en-US"/>
        </w:rPr>
        <w:t xml:space="preserve"> </w:t>
      </w:r>
      <w:r w:rsidR="001864F0" w:rsidRPr="003E2544">
        <w:rPr>
          <w:rFonts w:ascii="Verdana" w:hAnsi="Verdana"/>
          <w:sz w:val="20"/>
          <w:szCs w:val="20"/>
          <w:lang w:val="en-US"/>
        </w:rPr>
        <w:t>non-oil revenue diversification is a priority.</w:t>
      </w:r>
    </w:p>
    <w:p w14:paraId="63F68AE8" w14:textId="2EBC20FE" w:rsidR="001864F0" w:rsidRPr="0056280B" w:rsidRDefault="003930CD" w:rsidP="0056280B">
      <w:pPr>
        <w:pStyle w:val="ListParagraph"/>
        <w:numPr>
          <w:ilvl w:val="0"/>
          <w:numId w:val="69"/>
        </w:numPr>
        <w:spacing w:line="240" w:lineRule="auto"/>
        <w:rPr>
          <w:rFonts w:ascii="Verdana" w:hAnsi="Verdana"/>
          <w:sz w:val="20"/>
          <w:szCs w:val="20"/>
          <w:lang w:val="en-US"/>
        </w:rPr>
      </w:pPr>
      <w:r w:rsidRPr="003E2544">
        <w:rPr>
          <w:rFonts w:ascii="Verdana" w:hAnsi="Verdana"/>
          <w:b/>
          <w:bCs/>
          <w:sz w:val="20"/>
          <w:szCs w:val="20"/>
          <w:lang w:val="en-US"/>
        </w:rPr>
        <w:t xml:space="preserve">Overdependence </w:t>
      </w:r>
      <w:r w:rsidR="001864F0" w:rsidRPr="003E2544">
        <w:rPr>
          <w:rFonts w:ascii="Verdana" w:hAnsi="Verdana"/>
          <w:b/>
          <w:bCs/>
          <w:sz w:val="20"/>
          <w:szCs w:val="20"/>
          <w:lang w:val="en-US"/>
        </w:rPr>
        <w:t>on</w:t>
      </w:r>
      <w:r w:rsidR="001403D5" w:rsidRPr="003E2544">
        <w:rPr>
          <w:rFonts w:ascii="Verdana" w:hAnsi="Verdana" w:cstheme="minorBidi"/>
          <w:b/>
          <w:bCs/>
          <w:sz w:val="20"/>
          <w:szCs w:val="20"/>
          <w:lang w:val="en-US"/>
        </w:rPr>
        <w:t xml:space="preserve"> donor </w:t>
      </w:r>
      <w:r w:rsidR="001864F0" w:rsidRPr="003E2544">
        <w:rPr>
          <w:rFonts w:ascii="Verdana" w:hAnsi="Verdana"/>
          <w:b/>
          <w:bCs/>
          <w:sz w:val="20"/>
          <w:szCs w:val="20"/>
          <w:lang w:val="en-US"/>
        </w:rPr>
        <w:t>financing</w:t>
      </w:r>
      <w:r w:rsidRPr="003E2544">
        <w:rPr>
          <w:rFonts w:ascii="Verdana" w:hAnsi="Verdana"/>
          <w:b/>
          <w:bCs/>
          <w:sz w:val="20"/>
          <w:szCs w:val="20"/>
          <w:lang w:val="en-US"/>
        </w:rPr>
        <w:t xml:space="preserve">: </w:t>
      </w:r>
      <w:r w:rsidR="001864F0" w:rsidRPr="003E2544">
        <w:rPr>
          <w:rFonts w:ascii="Verdana" w:hAnsi="Verdana"/>
          <w:sz w:val="20"/>
          <w:szCs w:val="20"/>
          <w:lang w:val="en-US"/>
        </w:rPr>
        <w:t>Total Official Development Assistance (ODA) in 2018 was USD 1.577 billion</w:t>
      </w:r>
      <w:r w:rsidR="001864F0" w:rsidRPr="003E2544">
        <w:rPr>
          <w:vertAlign w:val="superscript"/>
          <w:lang w:val="en-US"/>
        </w:rPr>
        <w:footnoteReference w:id="13"/>
      </w:r>
      <w:r w:rsidR="001864F0" w:rsidRPr="003E2544">
        <w:rPr>
          <w:rFonts w:ascii="Verdana" w:hAnsi="Verdana"/>
          <w:sz w:val="20"/>
          <w:szCs w:val="20"/>
          <w:lang w:val="en-US"/>
        </w:rPr>
        <w:t xml:space="preserve"> compared to the government expenditure of USD 775 million</w:t>
      </w:r>
      <w:r w:rsidR="001864F0" w:rsidRPr="003E2544">
        <w:rPr>
          <w:vertAlign w:val="superscript"/>
          <w:lang w:val="en-US"/>
        </w:rPr>
        <w:footnoteReference w:id="14"/>
      </w:r>
      <w:r w:rsidR="001864F0" w:rsidRPr="003E2544">
        <w:rPr>
          <w:rFonts w:ascii="Verdana" w:hAnsi="Verdana"/>
          <w:sz w:val="20"/>
          <w:szCs w:val="20"/>
          <w:lang w:val="en-US"/>
        </w:rPr>
        <w:t xml:space="preserve">. </w:t>
      </w:r>
      <w:r w:rsidR="004E4955">
        <w:rPr>
          <w:rFonts w:ascii="Verdana" w:hAnsi="Verdana"/>
          <w:sz w:val="20"/>
          <w:szCs w:val="20"/>
          <w:lang w:val="en-US"/>
        </w:rPr>
        <w:t>I</w:t>
      </w:r>
      <w:r w:rsidR="004E4955" w:rsidRPr="003E2544">
        <w:rPr>
          <w:rFonts w:ascii="Verdana" w:hAnsi="Verdana"/>
          <w:sz w:val="20"/>
          <w:szCs w:val="20"/>
          <w:lang w:val="en-US"/>
        </w:rPr>
        <w:t xml:space="preserve">n </w:t>
      </w:r>
      <w:r w:rsidR="004E4955">
        <w:rPr>
          <w:rFonts w:ascii="Verdana" w:hAnsi="Verdana"/>
          <w:sz w:val="20"/>
          <w:szCs w:val="20"/>
          <w:lang w:val="en-US"/>
        </w:rPr>
        <w:t xml:space="preserve">the period </w:t>
      </w:r>
      <w:r w:rsidR="004E4955" w:rsidRPr="003E2544">
        <w:rPr>
          <w:rFonts w:ascii="Verdana" w:hAnsi="Verdana"/>
          <w:sz w:val="20"/>
          <w:szCs w:val="20"/>
          <w:lang w:val="en-US"/>
        </w:rPr>
        <w:t>2017</w:t>
      </w:r>
      <w:r w:rsidR="004E4955">
        <w:rPr>
          <w:rFonts w:ascii="Verdana" w:hAnsi="Verdana"/>
          <w:sz w:val="20"/>
          <w:szCs w:val="20"/>
          <w:lang w:val="en-US"/>
        </w:rPr>
        <w:t>–</w:t>
      </w:r>
      <w:r w:rsidR="004E4955" w:rsidRPr="003E2544">
        <w:rPr>
          <w:rFonts w:ascii="Verdana" w:hAnsi="Verdana"/>
          <w:sz w:val="20"/>
          <w:szCs w:val="20"/>
          <w:lang w:val="en-US"/>
        </w:rPr>
        <w:t>2018</w:t>
      </w:r>
      <w:r w:rsidR="004E4955">
        <w:rPr>
          <w:rFonts w:ascii="Verdana" w:hAnsi="Verdana"/>
          <w:sz w:val="20"/>
          <w:szCs w:val="20"/>
          <w:lang w:val="en-US"/>
        </w:rPr>
        <w:t xml:space="preserve"> h</w:t>
      </w:r>
      <w:r w:rsidR="001864F0" w:rsidRPr="003E2544">
        <w:rPr>
          <w:rFonts w:ascii="Verdana" w:hAnsi="Verdana"/>
          <w:sz w:val="20"/>
          <w:szCs w:val="20"/>
          <w:lang w:val="en-US"/>
        </w:rPr>
        <w:t xml:space="preserve">umanitarian financing accounts for 71.3% </w:t>
      </w:r>
      <w:r w:rsidR="004E4955" w:rsidRPr="003E2544">
        <w:rPr>
          <w:rFonts w:ascii="Verdana" w:hAnsi="Verdana"/>
          <w:sz w:val="20"/>
          <w:szCs w:val="20"/>
          <w:lang w:val="en-US"/>
        </w:rPr>
        <w:t>of total ODA</w:t>
      </w:r>
      <w:r w:rsidR="004E4955">
        <w:rPr>
          <w:rFonts w:ascii="Verdana" w:hAnsi="Verdana"/>
          <w:sz w:val="20"/>
          <w:szCs w:val="20"/>
          <w:lang w:val="en-US"/>
        </w:rPr>
        <w:t>,</w:t>
      </w:r>
      <w:r w:rsidR="004E4955" w:rsidRPr="003E2544">
        <w:rPr>
          <w:rFonts w:ascii="Verdana" w:hAnsi="Verdana"/>
          <w:sz w:val="20"/>
          <w:szCs w:val="20"/>
          <w:lang w:val="en-US"/>
        </w:rPr>
        <w:t xml:space="preserve"> </w:t>
      </w:r>
      <w:r w:rsidR="004E4955">
        <w:rPr>
          <w:rFonts w:ascii="Verdana" w:hAnsi="Verdana"/>
          <w:sz w:val="20"/>
          <w:szCs w:val="20"/>
          <w:lang w:val="en-US"/>
        </w:rPr>
        <w:t xml:space="preserve">while </w:t>
      </w:r>
      <w:r w:rsidR="001864F0" w:rsidRPr="003E2544">
        <w:rPr>
          <w:rFonts w:ascii="Verdana" w:hAnsi="Verdana"/>
          <w:sz w:val="20"/>
          <w:szCs w:val="20"/>
          <w:lang w:val="en-US"/>
        </w:rPr>
        <w:t>development financing that could enhance government capacity to provide essential social services was only 28.7%</w:t>
      </w:r>
      <w:r w:rsidR="004E4955">
        <w:rPr>
          <w:rFonts w:ascii="Verdana" w:hAnsi="Verdana"/>
          <w:sz w:val="20"/>
          <w:szCs w:val="20"/>
          <w:lang w:val="en-US"/>
        </w:rPr>
        <w:t xml:space="preserve"> of ODA.</w:t>
      </w:r>
      <w:r w:rsidR="004E4955">
        <w:rPr>
          <w:rStyle w:val="FootnoteReference"/>
          <w:rFonts w:ascii="Verdana" w:hAnsi="Verdana"/>
          <w:sz w:val="20"/>
          <w:szCs w:val="20"/>
          <w:lang w:val="en-US"/>
        </w:rPr>
        <w:footnoteReference w:id="15"/>
      </w:r>
      <w:r w:rsidR="001864F0" w:rsidRPr="003E2544">
        <w:rPr>
          <w:rFonts w:ascii="Verdana" w:hAnsi="Verdana"/>
          <w:sz w:val="20"/>
          <w:szCs w:val="20"/>
          <w:lang w:val="en-US"/>
        </w:rPr>
        <w:t xml:space="preserve"> </w:t>
      </w:r>
    </w:p>
    <w:p w14:paraId="35021F38" w14:textId="34523B10" w:rsidR="00311EEC" w:rsidRPr="0056280B" w:rsidRDefault="00B37D25" w:rsidP="00245274">
      <w:pPr>
        <w:pStyle w:val="ListParagraph"/>
        <w:numPr>
          <w:ilvl w:val="0"/>
          <w:numId w:val="69"/>
        </w:numPr>
        <w:spacing w:line="240" w:lineRule="auto"/>
        <w:rPr>
          <w:rFonts w:ascii="Verdana" w:hAnsi="Verdana"/>
          <w:sz w:val="20"/>
          <w:szCs w:val="20"/>
          <w:lang w:val="en-US"/>
        </w:rPr>
      </w:pPr>
      <w:r w:rsidRPr="003E2544">
        <w:rPr>
          <w:rFonts w:ascii="Verdana" w:hAnsi="Verdana"/>
          <w:b/>
          <w:bCs/>
          <w:sz w:val="20"/>
          <w:szCs w:val="20"/>
          <w:lang w:val="en-US"/>
        </w:rPr>
        <w:t xml:space="preserve">Insignificant </w:t>
      </w:r>
      <w:r w:rsidR="00B95236" w:rsidRPr="003E2544">
        <w:rPr>
          <w:rFonts w:ascii="Verdana" w:hAnsi="Verdana"/>
          <w:b/>
          <w:bCs/>
          <w:sz w:val="20"/>
          <w:szCs w:val="20"/>
          <w:lang w:val="en-US"/>
        </w:rPr>
        <w:t>p</w:t>
      </w:r>
      <w:r w:rsidR="001864F0" w:rsidRPr="003E2544">
        <w:rPr>
          <w:rFonts w:ascii="Verdana" w:hAnsi="Verdana"/>
          <w:b/>
          <w:bCs/>
          <w:sz w:val="20"/>
          <w:szCs w:val="20"/>
          <w:lang w:val="en-US"/>
        </w:rPr>
        <w:t xml:space="preserve">rivate </w:t>
      </w:r>
      <w:r w:rsidR="00E913A3" w:rsidRPr="003E2544">
        <w:rPr>
          <w:rFonts w:ascii="Verdana" w:hAnsi="Verdana"/>
          <w:b/>
          <w:bCs/>
          <w:sz w:val="20"/>
          <w:szCs w:val="20"/>
          <w:lang w:val="en-US"/>
        </w:rPr>
        <w:t>investment</w:t>
      </w:r>
      <w:r w:rsidRPr="003E2544">
        <w:rPr>
          <w:rFonts w:ascii="Verdana" w:hAnsi="Verdana"/>
          <w:b/>
          <w:bCs/>
          <w:sz w:val="20"/>
          <w:szCs w:val="20"/>
          <w:lang w:val="en-US"/>
        </w:rPr>
        <w:t xml:space="preserve">: </w:t>
      </w:r>
      <w:r w:rsidRPr="003E2544">
        <w:rPr>
          <w:rFonts w:ascii="Verdana" w:hAnsi="Verdana"/>
          <w:sz w:val="20"/>
          <w:szCs w:val="20"/>
          <w:lang w:val="en-US"/>
        </w:rPr>
        <w:t xml:space="preserve">Estimated at </w:t>
      </w:r>
      <w:r w:rsidR="004E4955">
        <w:rPr>
          <w:rFonts w:ascii="Verdana" w:hAnsi="Verdana"/>
          <w:sz w:val="20"/>
          <w:szCs w:val="20"/>
          <w:lang w:val="en-US"/>
        </w:rPr>
        <w:t xml:space="preserve">just </w:t>
      </w:r>
      <w:r w:rsidR="00C332D1" w:rsidRPr="003E2544">
        <w:rPr>
          <w:rFonts w:ascii="Verdana" w:hAnsi="Verdana"/>
          <w:sz w:val="20"/>
          <w:szCs w:val="20"/>
          <w:lang w:val="en-US"/>
        </w:rPr>
        <w:t>5.</w:t>
      </w:r>
      <w:r w:rsidR="00FA4CBD" w:rsidRPr="003E2544">
        <w:rPr>
          <w:rFonts w:ascii="Verdana" w:hAnsi="Verdana"/>
          <w:sz w:val="20"/>
          <w:szCs w:val="20"/>
          <w:lang w:val="en-US"/>
        </w:rPr>
        <w:t>5</w:t>
      </w:r>
      <w:r w:rsidRPr="003E2544">
        <w:rPr>
          <w:rFonts w:ascii="Verdana" w:hAnsi="Verdana"/>
          <w:sz w:val="20"/>
          <w:szCs w:val="20"/>
          <w:lang w:val="en-US"/>
        </w:rPr>
        <w:t>% of GDP</w:t>
      </w:r>
      <w:r w:rsidR="00FA4CBD" w:rsidRPr="003E2544">
        <w:rPr>
          <w:rStyle w:val="FootnoteReference"/>
          <w:rFonts w:ascii="Verdana" w:hAnsi="Verdana"/>
          <w:sz w:val="20"/>
          <w:szCs w:val="20"/>
          <w:lang w:val="en-US"/>
        </w:rPr>
        <w:footnoteReference w:id="16"/>
      </w:r>
      <w:r w:rsidRPr="003E2544">
        <w:rPr>
          <w:rFonts w:ascii="Verdana" w:hAnsi="Verdana"/>
          <w:sz w:val="20"/>
          <w:szCs w:val="20"/>
          <w:lang w:val="en-US"/>
        </w:rPr>
        <w:t xml:space="preserve">, the scant size </w:t>
      </w:r>
      <w:r w:rsidR="004E4955">
        <w:rPr>
          <w:rFonts w:ascii="Verdana" w:hAnsi="Verdana"/>
          <w:sz w:val="20"/>
          <w:szCs w:val="20"/>
          <w:lang w:val="en-US"/>
        </w:rPr>
        <w:t xml:space="preserve">of private investment </w:t>
      </w:r>
      <w:r w:rsidRPr="003E2544">
        <w:rPr>
          <w:rFonts w:ascii="Verdana" w:hAnsi="Verdana"/>
          <w:sz w:val="20"/>
          <w:szCs w:val="20"/>
          <w:lang w:val="en-US"/>
        </w:rPr>
        <w:t xml:space="preserve">reflects the low levels of </w:t>
      </w:r>
      <w:r w:rsidR="001864F0" w:rsidRPr="003E2544">
        <w:rPr>
          <w:rFonts w:ascii="Verdana" w:hAnsi="Verdana"/>
          <w:sz w:val="20"/>
          <w:szCs w:val="20"/>
          <w:lang w:val="en-US"/>
        </w:rPr>
        <w:t xml:space="preserve">private sector development </w:t>
      </w:r>
      <w:r w:rsidRPr="003E2544">
        <w:rPr>
          <w:rFonts w:ascii="Verdana" w:hAnsi="Verdana"/>
          <w:sz w:val="20"/>
          <w:szCs w:val="20"/>
          <w:lang w:val="en-US"/>
        </w:rPr>
        <w:t xml:space="preserve">across the country </w:t>
      </w:r>
      <w:r w:rsidR="001864F0" w:rsidRPr="003E2544">
        <w:rPr>
          <w:rFonts w:ascii="Verdana" w:hAnsi="Verdana"/>
          <w:sz w:val="20"/>
          <w:szCs w:val="20"/>
          <w:lang w:val="en-US"/>
        </w:rPr>
        <w:lastRenderedPageBreak/>
        <w:t>a</w:t>
      </w:r>
      <w:r w:rsidRPr="003E2544">
        <w:rPr>
          <w:rFonts w:ascii="Verdana" w:hAnsi="Verdana"/>
          <w:sz w:val="20"/>
          <w:szCs w:val="20"/>
          <w:lang w:val="en-US"/>
        </w:rPr>
        <w:t>longside the</w:t>
      </w:r>
      <w:r w:rsidR="001864F0" w:rsidRPr="003E2544">
        <w:rPr>
          <w:rFonts w:ascii="Verdana" w:hAnsi="Verdana"/>
          <w:sz w:val="20"/>
          <w:szCs w:val="20"/>
          <w:lang w:val="en-US"/>
        </w:rPr>
        <w:t xml:space="preserve"> high investment risk profile </w:t>
      </w:r>
      <w:r w:rsidRPr="003E2544">
        <w:rPr>
          <w:rFonts w:ascii="Verdana" w:hAnsi="Verdana"/>
          <w:sz w:val="20"/>
          <w:szCs w:val="20"/>
          <w:lang w:val="en-US"/>
        </w:rPr>
        <w:t xml:space="preserve">which impedes greater </w:t>
      </w:r>
      <w:r w:rsidR="001864F0" w:rsidRPr="003E2544">
        <w:rPr>
          <w:rFonts w:ascii="Verdana" w:hAnsi="Verdana"/>
          <w:sz w:val="20"/>
          <w:szCs w:val="20"/>
          <w:lang w:val="en-US"/>
        </w:rPr>
        <w:t>foreign direct investment</w:t>
      </w:r>
      <w:r w:rsidRPr="003E2544">
        <w:rPr>
          <w:rFonts w:ascii="Verdana" w:hAnsi="Verdana"/>
          <w:sz w:val="20"/>
          <w:szCs w:val="20"/>
          <w:lang w:val="en-US"/>
        </w:rPr>
        <w:t xml:space="preserve"> (FDI)</w:t>
      </w:r>
      <w:r w:rsidR="001864F0" w:rsidRPr="003E2544">
        <w:rPr>
          <w:rFonts w:ascii="Verdana" w:hAnsi="Verdana"/>
          <w:sz w:val="20"/>
          <w:szCs w:val="20"/>
          <w:lang w:val="en-US"/>
        </w:rPr>
        <w:t xml:space="preserve">. </w:t>
      </w:r>
    </w:p>
    <w:p w14:paraId="043BCEE3" w14:textId="621A268B" w:rsidR="001864F0" w:rsidRPr="003E2544" w:rsidRDefault="00B37D25" w:rsidP="00245274">
      <w:pPr>
        <w:pStyle w:val="ListParagraph"/>
        <w:numPr>
          <w:ilvl w:val="0"/>
          <w:numId w:val="69"/>
        </w:numPr>
        <w:spacing w:line="240" w:lineRule="auto"/>
        <w:rPr>
          <w:rFonts w:ascii="Verdana" w:hAnsi="Verdana"/>
          <w:sz w:val="20"/>
          <w:szCs w:val="20"/>
          <w:lang w:val="en-US"/>
        </w:rPr>
      </w:pPr>
      <w:r w:rsidRPr="003E2544">
        <w:rPr>
          <w:rFonts w:ascii="Verdana" w:hAnsi="Verdana"/>
          <w:b/>
          <w:bCs/>
          <w:sz w:val="20"/>
          <w:szCs w:val="20"/>
          <w:lang w:val="en-US"/>
        </w:rPr>
        <w:t xml:space="preserve">Household reliance on remittances: </w:t>
      </w:r>
      <w:r w:rsidRPr="003E2544">
        <w:rPr>
          <w:rFonts w:ascii="Verdana" w:hAnsi="Verdana"/>
          <w:sz w:val="20"/>
          <w:szCs w:val="20"/>
          <w:lang w:val="en-US"/>
        </w:rPr>
        <w:t>I</w:t>
      </w:r>
      <w:r w:rsidR="009938C6" w:rsidRPr="003E2544">
        <w:rPr>
          <w:rFonts w:ascii="Verdana" w:hAnsi="Verdana"/>
          <w:sz w:val="20"/>
          <w:szCs w:val="20"/>
          <w:lang w:val="en-US"/>
        </w:rPr>
        <w:t>n 2015</w:t>
      </w:r>
      <w:r w:rsidRPr="003E2544">
        <w:rPr>
          <w:rFonts w:ascii="Verdana" w:hAnsi="Verdana"/>
          <w:sz w:val="20"/>
          <w:szCs w:val="20"/>
          <w:lang w:val="en-US"/>
        </w:rPr>
        <w:t xml:space="preserve">, for example, </w:t>
      </w:r>
      <w:r w:rsidR="009938C6" w:rsidRPr="003E2544">
        <w:rPr>
          <w:rFonts w:ascii="Verdana" w:hAnsi="Verdana"/>
          <w:sz w:val="20"/>
          <w:szCs w:val="20"/>
          <w:lang w:val="en-US"/>
        </w:rPr>
        <w:t>remittances received amounted to 9.5% of GDP</w:t>
      </w:r>
      <w:r w:rsidR="008C0089" w:rsidRPr="003E2544">
        <w:rPr>
          <w:rFonts w:ascii="Verdana" w:hAnsi="Verdana"/>
          <w:sz w:val="20"/>
          <w:szCs w:val="20"/>
          <w:lang w:val="en-US"/>
        </w:rPr>
        <w:t xml:space="preserve">, </w:t>
      </w:r>
      <w:r w:rsidR="004E4955">
        <w:rPr>
          <w:rFonts w:ascii="Verdana" w:hAnsi="Verdana"/>
          <w:sz w:val="20"/>
          <w:szCs w:val="20"/>
          <w:lang w:val="en-US"/>
        </w:rPr>
        <w:t>illustrating</w:t>
      </w:r>
      <w:r w:rsidR="008C0089" w:rsidRPr="003E2544">
        <w:rPr>
          <w:rFonts w:ascii="Verdana" w:hAnsi="Verdana"/>
          <w:sz w:val="20"/>
          <w:szCs w:val="20"/>
          <w:lang w:val="en-US"/>
        </w:rPr>
        <w:t xml:space="preserve"> that the South Sudanese </w:t>
      </w:r>
      <w:r w:rsidR="00CC7F86" w:rsidRPr="003E2544">
        <w:rPr>
          <w:rFonts w:ascii="Verdana" w:hAnsi="Verdana"/>
          <w:sz w:val="20"/>
          <w:szCs w:val="20"/>
          <w:lang w:val="en-US"/>
        </w:rPr>
        <w:t xml:space="preserve">often </w:t>
      </w:r>
      <w:r w:rsidR="00FC42EC" w:rsidRPr="003E2544">
        <w:rPr>
          <w:rFonts w:ascii="Verdana" w:hAnsi="Verdana"/>
          <w:sz w:val="20"/>
          <w:szCs w:val="20"/>
          <w:lang w:val="en-US"/>
        </w:rPr>
        <w:t>must</w:t>
      </w:r>
      <w:r w:rsidR="00CC7F86" w:rsidRPr="003E2544">
        <w:rPr>
          <w:rFonts w:ascii="Verdana" w:hAnsi="Verdana"/>
          <w:sz w:val="20"/>
          <w:szCs w:val="20"/>
          <w:lang w:val="en-US"/>
        </w:rPr>
        <w:t xml:space="preserve"> rely on families and network</w:t>
      </w:r>
      <w:r w:rsidR="004E4955">
        <w:rPr>
          <w:rFonts w:ascii="Verdana" w:hAnsi="Verdana"/>
          <w:sz w:val="20"/>
          <w:szCs w:val="20"/>
          <w:lang w:val="en-US"/>
        </w:rPr>
        <w:t>s based overseas</w:t>
      </w:r>
      <w:r w:rsidR="00CC7F86" w:rsidRPr="003E2544">
        <w:rPr>
          <w:rFonts w:ascii="Verdana" w:hAnsi="Verdana"/>
          <w:sz w:val="20"/>
          <w:szCs w:val="20"/>
          <w:lang w:val="en-US"/>
        </w:rPr>
        <w:t xml:space="preserve"> </w:t>
      </w:r>
      <w:r w:rsidR="00FC42EC" w:rsidRPr="003E2544">
        <w:rPr>
          <w:rFonts w:ascii="Verdana" w:hAnsi="Verdana"/>
          <w:sz w:val="20"/>
          <w:szCs w:val="20"/>
          <w:lang w:val="en-US"/>
        </w:rPr>
        <w:t xml:space="preserve">for </w:t>
      </w:r>
      <w:r w:rsidR="006D4E8E" w:rsidRPr="003E2544">
        <w:rPr>
          <w:rFonts w:ascii="Verdana" w:hAnsi="Verdana"/>
          <w:sz w:val="20"/>
          <w:szCs w:val="20"/>
          <w:lang w:val="en-US"/>
        </w:rPr>
        <w:t xml:space="preserve">their </w:t>
      </w:r>
      <w:r w:rsidR="00FC42EC" w:rsidRPr="003E2544">
        <w:rPr>
          <w:rFonts w:ascii="Verdana" w:hAnsi="Verdana"/>
          <w:sz w:val="20"/>
          <w:szCs w:val="20"/>
          <w:lang w:val="en-US"/>
        </w:rPr>
        <w:t>basic services.</w:t>
      </w:r>
      <w:r w:rsidR="000019FF" w:rsidRPr="000019FF">
        <w:rPr>
          <w:rFonts w:ascii="Verdana" w:hAnsi="Verdana"/>
          <w:sz w:val="20"/>
          <w:szCs w:val="20"/>
          <w:lang w:val="en-US"/>
        </w:rPr>
        <w:t xml:space="preserve"> </w:t>
      </w:r>
      <w:r w:rsidR="000019FF">
        <w:rPr>
          <w:rFonts w:ascii="Verdana" w:hAnsi="Verdana"/>
          <w:sz w:val="20"/>
          <w:szCs w:val="20"/>
          <w:lang w:val="en-US"/>
        </w:rPr>
        <w:t>The stark reduction of remittance flows due to the global economic downturn caused by the Corona crisis, underlines the importance of strengthening national development.</w:t>
      </w:r>
    </w:p>
    <w:p w14:paraId="075E3DDE" w14:textId="77777777" w:rsidR="001618A7" w:rsidRDefault="001618A7" w:rsidP="00245274">
      <w:pPr>
        <w:spacing w:line="240" w:lineRule="auto"/>
        <w:jc w:val="both"/>
        <w:rPr>
          <w:rFonts w:ascii="Verdana" w:eastAsia="Calibri" w:hAnsi="Verdana" w:cs="Times New Roman"/>
          <w:iCs/>
          <w:color w:val="000000" w:themeColor="text1"/>
          <w:sz w:val="20"/>
          <w:szCs w:val="20"/>
        </w:rPr>
      </w:pPr>
    </w:p>
    <w:p w14:paraId="07835247" w14:textId="1D1BEAE4" w:rsidR="000842D3" w:rsidRDefault="004E501C" w:rsidP="00B40D9E">
      <w:pPr>
        <w:spacing w:line="240" w:lineRule="auto"/>
        <w:jc w:val="both"/>
        <w:rPr>
          <w:b/>
        </w:rPr>
        <w:sectPr w:rsidR="000842D3" w:rsidSect="00975396">
          <w:pgSz w:w="12240" w:h="15840"/>
          <w:pgMar w:top="1440" w:right="1440" w:bottom="1440" w:left="1440" w:header="144" w:footer="180" w:gutter="0"/>
          <w:cols w:space="720"/>
          <w:docGrid w:linePitch="360"/>
        </w:sectPr>
      </w:pPr>
      <w:r w:rsidRPr="003E2544">
        <w:rPr>
          <w:rFonts w:ascii="Verdana" w:eastAsia="Calibri" w:hAnsi="Verdana" w:cs="Times New Roman"/>
          <w:iCs/>
          <w:color w:val="000000" w:themeColor="text1"/>
          <w:sz w:val="20"/>
          <w:szCs w:val="20"/>
        </w:rPr>
        <w:t xml:space="preserve">In sum, conflict has led to a grave humanitarian crisis and the country’s </w:t>
      </w:r>
      <w:r w:rsidR="460A0619" w:rsidRPr="003E2544">
        <w:rPr>
          <w:rFonts w:ascii="Verdana" w:hAnsi="Verdana"/>
          <w:sz w:val="20"/>
          <w:szCs w:val="20"/>
        </w:rPr>
        <w:t>weak</w:t>
      </w:r>
      <w:r w:rsidR="00B95236" w:rsidRPr="003E2544">
        <w:rPr>
          <w:rFonts w:ascii="Verdana" w:eastAsia="Calibri" w:hAnsi="Verdana" w:cs="Times New Roman"/>
          <w:iCs/>
          <w:color w:val="000000" w:themeColor="text1"/>
          <w:sz w:val="20"/>
          <w:szCs w:val="20"/>
        </w:rPr>
        <w:t xml:space="preserve"> </w:t>
      </w:r>
      <w:r w:rsidRPr="003E2544">
        <w:rPr>
          <w:rFonts w:ascii="Verdana" w:eastAsia="Calibri" w:hAnsi="Verdana" w:cs="Times New Roman"/>
          <w:iCs/>
          <w:color w:val="000000" w:themeColor="text1"/>
          <w:sz w:val="20"/>
          <w:szCs w:val="20"/>
        </w:rPr>
        <w:t xml:space="preserve">institutions can </w:t>
      </w:r>
      <w:r w:rsidR="004E4955">
        <w:rPr>
          <w:rFonts w:ascii="Verdana" w:eastAsia="Calibri" w:hAnsi="Verdana" w:cs="Times New Roman"/>
          <w:iCs/>
          <w:color w:val="000000" w:themeColor="text1"/>
          <w:sz w:val="20"/>
          <w:szCs w:val="20"/>
        </w:rPr>
        <w:t>barely</w:t>
      </w:r>
      <w:r w:rsidR="004E4955" w:rsidRPr="003E2544">
        <w:rPr>
          <w:rFonts w:ascii="Verdana" w:eastAsia="Calibri" w:hAnsi="Verdana" w:cs="Times New Roman"/>
          <w:iCs/>
          <w:color w:val="000000" w:themeColor="text1"/>
          <w:sz w:val="20"/>
          <w:szCs w:val="20"/>
        </w:rPr>
        <w:t xml:space="preserve"> </w:t>
      </w:r>
      <w:r w:rsidRPr="003E2544">
        <w:rPr>
          <w:rFonts w:ascii="Verdana" w:eastAsia="Calibri" w:hAnsi="Verdana" w:cs="Times New Roman"/>
          <w:iCs/>
          <w:color w:val="000000" w:themeColor="text1"/>
          <w:sz w:val="20"/>
          <w:szCs w:val="20"/>
        </w:rPr>
        <w:t>finance and provide basic social services.</w:t>
      </w:r>
      <w:r w:rsidR="000019FF" w:rsidRPr="000019FF">
        <w:rPr>
          <w:rFonts w:ascii="Verdana" w:eastAsia="Calibri" w:hAnsi="Verdana" w:cs="Times New Roman"/>
          <w:iCs/>
          <w:color w:val="000000" w:themeColor="text1"/>
          <w:sz w:val="20"/>
          <w:szCs w:val="20"/>
        </w:rPr>
        <w:t xml:space="preserve"> </w:t>
      </w:r>
      <w:r w:rsidR="000019FF">
        <w:rPr>
          <w:rFonts w:ascii="Verdana" w:eastAsia="Calibri" w:hAnsi="Verdana" w:cs="Times New Roman"/>
          <w:iCs/>
          <w:color w:val="000000" w:themeColor="text1"/>
          <w:sz w:val="20"/>
          <w:szCs w:val="20"/>
        </w:rPr>
        <w:t xml:space="preserve">This dire situation is worsening due to the impact Covid-19 is having on the economy and vulnerable people’s lives. </w:t>
      </w:r>
      <w:r w:rsidR="000019FF">
        <w:rPr>
          <w:rFonts w:ascii="Verdana" w:eastAsia="Calibri" w:hAnsi="Verdana" w:cs="Times New Roman"/>
          <w:color w:val="000000" w:themeColor="text1"/>
          <w:sz w:val="20"/>
          <w:szCs w:val="20"/>
        </w:rPr>
        <w:t>The onset of the Coronavirus pandemic is necessarily forcing the attention of the Government, people and donors toward</w:t>
      </w:r>
      <w:r w:rsidR="006F1000">
        <w:rPr>
          <w:rFonts w:ascii="Verdana" w:eastAsia="Calibri" w:hAnsi="Verdana" w:cs="Times New Roman"/>
          <w:color w:val="000000" w:themeColor="text1"/>
          <w:sz w:val="20"/>
          <w:szCs w:val="20"/>
        </w:rPr>
        <w:t>s</w:t>
      </w:r>
      <w:r w:rsidR="000019FF">
        <w:rPr>
          <w:rFonts w:ascii="Verdana" w:eastAsia="Calibri" w:hAnsi="Verdana" w:cs="Times New Roman"/>
          <w:color w:val="000000" w:themeColor="text1"/>
          <w:sz w:val="20"/>
          <w:szCs w:val="20"/>
        </w:rPr>
        <w:t xml:space="preserve"> the country’s inadequate health systems. Simultaneously, the pandemic in a stark reminder of how important it is for South Sudan to strengthen its PFM institutions, in order to tackle economic shocks better in the future and to enable investments in social sectors that ensure the achievement of the SDGs, including the health system. </w:t>
      </w:r>
      <w:r w:rsidRPr="003E2544">
        <w:rPr>
          <w:rFonts w:ascii="Verdana" w:eastAsia="Calibri" w:hAnsi="Verdana" w:cs="Times New Roman"/>
          <w:iCs/>
          <w:color w:val="000000" w:themeColor="text1"/>
          <w:sz w:val="20"/>
          <w:szCs w:val="20"/>
        </w:rPr>
        <w:t xml:space="preserve">It is vital to diversify sources of revenue </w:t>
      </w:r>
      <w:r w:rsidR="004E4955">
        <w:rPr>
          <w:rFonts w:ascii="Verdana" w:eastAsia="Calibri" w:hAnsi="Verdana" w:cs="Times New Roman"/>
          <w:iCs/>
          <w:color w:val="000000" w:themeColor="text1"/>
          <w:sz w:val="20"/>
          <w:szCs w:val="20"/>
        </w:rPr>
        <w:t xml:space="preserve">beyond </w:t>
      </w:r>
      <w:r w:rsidRPr="003E2544">
        <w:rPr>
          <w:rFonts w:ascii="Verdana" w:eastAsia="Calibri" w:hAnsi="Verdana" w:cs="Times New Roman"/>
          <w:iCs/>
          <w:color w:val="000000" w:themeColor="text1"/>
          <w:sz w:val="20"/>
          <w:szCs w:val="20"/>
        </w:rPr>
        <w:t>oil and donor</w:t>
      </w:r>
      <w:r w:rsidR="004E4955">
        <w:rPr>
          <w:rFonts w:ascii="Verdana" w:eastAsia="Calibri" w:hAnsi="Verdana" w:cs="Times New Roman"/>
          <w:iCs/>
          <w:color w:val="000000" w:themeColor="text1"/>
          <w:sz w:val="20"/>
          <w:szCs w:val="20"/>
        </w:rPr>
        <w:t xml:space="preserve"> </w:t>
      </w:r>
      <w:r w:rsidRPr="003E2544">
        <w:rPr>
          <w:rFonts w:ascii="Verdana" w:eastAsia="Calibri" w:hAnsi="Verdana" w:cs="Times New Roman"/>
          <w:iCs/>
          <w:color w:val="000000" w:themeColor="text1"/>
          <w:sz w:val="20"/>
          <w:szCs w:val="20"/>
        </w:rPr>
        <w:t xml:space="preserve">aid </w:t>
      </w:r>
      <w:r w:rsidR="0073785F" w:rsidRPr="003E2544">
        <w:rPr>
          <w:rFonts w:ascii="Verdana" w:eastAsia="Calibri" w:hAnsi="Verdana" w:cs="Times New Roman"/>
          <w:iCs/>
          <w:color w:val="000000" w:themeColor="text1"/>
          <w:sz w:val="20"/>
          <w:szCs w:val="20"/>
        </w:rPr>
        <w:t xml:space="preserve">and </w:t>
      </w:r>
      <w:r w:rsidRPr="003E2544">
        <w:rPr>
          <w:rFonts w:ascii="Verdana" w:eastAsia="Calibri" w:hAnsi="Verdana" w:cs="Times New Roman"/>
          <w:iCs/>
          <w:color w:val="000000" w:themeColor="text1"/>
          <w:sz w:val="20"/>
          <w:szCs w:val="20"/>
        </w:rPr>
        <w:t>enhance the capacity of government institutions</w:t>
      </w:r>
      <w:r w:rsidR="003F0EB7" w:rsidRPr="003E2544">
        <w:rPr>
          <w:rFonts w:ascii="Verdana" w:eastAsia="Calibri" w:hAnsi="Verdana" w:cs="Times New Roman"/>
          <w:iCs/>
          <w:color w:val="000000" w:themeColor="text1"/>
          <w:sz w:val="20"/>
          <w:szCs w:val="20"/>
        </w:rPr>
        <w:t>,</w:t>
      </w:r>
      <w:r w:rsidRPr="003E2544">
        <w:rPr>
          <w:rFonts w:ascii="Verdana" w:eastAsia="Calibri" w:hAnsi="Verdana" w:cs="Times New Roman"/>
          <w:iCs/>
          <w:color w:val="000000" w:themeColor="text1"/>
          <w:sz w:val="20"/>
          <w:szCs w:val="20"/>
        </w:rPr>
        <w:t xml:space="preserve"> so that </w:t>
      </w:r>
      <w:r w:rsidR="008C5901" w:rsidRPr="003E2544">
        <w:rPr>
          <w:rFonts w:ascii="Verdana" w:eastAsia="Calibri" w:hAnsi="Verdana" w:cs="Times New Roman"/>
          <w:iCs/>
          <w:color w:val="000000" w:themeColor="text1"/>
          <w:sz w:val="20"/>
          <w:szCs w:val="20"/>
        </w:rPr>
        <w:t xml:space="preserve">basic social services can be provided and </w:t>
      </w:r>
      <w:r w:rsidRPr="003E2544">
        <w:rPr>
          <w:rFonts w:ascii="Verdana" w:eastAsia="Calibri" w:hAnsi="Verdana" w:cs="Times New Roman"/>
          <w:iCs/>
          <w:color w:val="000000" w:themeColor="text1"/>
          <w:sz w:val="20"/>
          <w:szCs w:val="20"/>
        </w:rPr>
        <w:t>citizens</w:t>
      </w:r>
      <w:r w:rsidR="004E4955">
        <w:rPr>
          <w:rFonts w:ascii="Verdana" w:eastAsia="Calibri" w:hAnsi="Verdana" w:cs="Times New Roman"/>
          <w:iCs/>
          <w:color w:val="000000" w:themeColor="text1"/>
          <w:sz w:val="20"/>
          <w:szCs w:val="20"/>
        </w:rPr>
        <w:t xml:space="preserve"> can</w:t>
      </w:r>
      <w:r w:rsidRPr="003E2544">
        <w:rPr>
          <w:rFonts w:ascii="Verdana" w:eastAsia="Calibri" w:hAnsi="Verdana" w:cs="Times New Roman"/>
          <w:iCs/>
          <w:color w:val="000000" w:themeColor="text1"/>
          <w:sz w:val="20"/>
          <w:szCs w:val="20"/>
        </w:rPr>
        <w:t xml:space="preserve"> </w:t>
      </w:r>
      <w:r w:rsidR="006D4E8E" w:rsidRPr="003E2544">
        <w:rPr>
          <w:rFonts w:ascii="Verdana" w:eastAsia="Calibri" w:hAnsi="Verdana" w:cs="Times New Roman"/>
          <w:iCs/>
          <w:color w:val="000000" w:themeColor="text1"/>
          <w:sz w:val="20"/>
          <w:szCs w:val="20"/>
        </w:rPr>
        <w:t xml:space="preserve">develop </w:t>
      </w:r>
      <w:r w:rsidR="00392A16" w:rsidRPr="003E2544">
        <w:rPr>
          <w:rFonts w:ascii="Verdana" w:eastAsia="Calibri" w:hAnsi="Verdana" w:cs="Times New Roman"/>
          <w:iCs/>
          <w:color w:val="000000" w:themeColor="text1"/>
          <w:sz w:val="20"/>
          <w:szCs w:val="20"/>
        </w:rPr>
        <w:t>trust</w:t>
      </w:r>
      <w:r w:rsidRPr="003E2544">
        <w:rPr>
          <w:rFonts w:ascii="Verdana" w:eastAsia="Calibri" w:hAnsi="Verdana" w:cs="Times New Roman"/>
          <w:iCs/>
          <w:color w:val="000000" w:themeColor="text1"/>
          <w:sz w:val="20"/>
          <w:szCs w:val="20"/>
        </w:rPr>
        <w:t xml:space="preserve"> in the social contract</w:t>
      </w:r>
      <w:r w:rsidRPr="003E2544">
        <w:rPr>
          <w:rFonts w:ascii="Verdana" w:eastAsia="Calibri" w:hAnsi="Verdana" w:cs="Times New Roman"/>
          <w:color w:val="000000" w:themeColor="text1"/>
          <w:sz w:val="20"/>
          <w:szCs w:val="20"/>
        </w:rPr>
        <w:t>.</w:t>
      </w:r>
      <w:r w:rsidR="000019FF">
        <w:rPr>
          <w:rFonts w:ascii="Verdana" w:eastAsia="Calibri" w:hAnsi="Verdana" w:cs="Times New Roman"/>
          <w:color w:val="000000" w:themeColor="text1"/>
          <w:sz w:val="20"/>
          <w:szCs w:val="20"/>
        </w:rPr>
        <w:t xml:space="preserve"> The strengthening of PFM institutions in South Sudan should therefore happen in tandem with the response to the pandemic, because it is an integral part of building back a better and more resilient South Sudan.</w:t>
      </w:r>
    </w:p>
    <w:p w14:paraId="4C50E8D0" w14:textId="3CE3BAD5" w:rsidR="000842D3" w:rsidRDefault="000842D3" w:rsidP="000842D3">
      <w:pPr>
        <w:pStyle w:val="Heading3"/>
        <w:spacing w:line="240" w:lineRule="auto"/>
      </w:pPr>
      <w:r w:rsidRPr="003E2544">
        <w:lastRenderedPageBreak/>
        <w:t>1.</w:t>
      </w:r>
      <w:r>
        <w:t>2</w:t>
      </w:r>
      <w:r w:rsidRPr="003E2544">
        <w:t xml:space="preserve"> SDGs and targets </w:t>
      </w:r>
    </w:p>
    <w:p w14:paraId="44A8976E" w14:textId="77777777" w:rsidR="000842D3" w:rsidRDefault="000842D3" w:rsidP="000842D3">
      <w:pPr>
        <w:spacing w:line="240" w:lineRule="auto"/>
        <w:rPr>
          <w:rFonts w:ascii="Verdana" w:eastAsia="Calibri" w:hAnsi="Verdana" w:cs="Times New Roman"/>
          <w:b/>
          <w:bCs/>
          <w:iCs/>
          <w:sz w:val="20"/>
          <w:szCs w:val="20"/>
        </w:rPr>
      </w:pPr>
    </w:p>
    <w:p w14:paraId="12C63872" w14:textId="4E6F4918" w:rsidR="000842D3" w:rsidRDefault="000842D3" w:rsidP="000842D3">
      <w:pPr>
        <w:spacing w:line="240" w:lineRule="auto"/>
        <w:jc w:val="both"/>
        <w:rPr>
          <w:rFonts w:ascii="Verdana" w:hAnsi="Verdana"/>
          <w:sz w:val="20"/>
          <w:szCs w:val="20"/>
        </w:rPr>
      </w:pPr>
      <w:r w:rsidRPr="00EF3038">
        <w:rPr>
          <w:rFonts w:ascii="Verdana" w:hAnsi="Verdana"/>
          <w:sz w:val="20"/>
          <w:szCs w:val="20"/>
        </w:rPr>
        <w:t>This</w:t>
      </w:r>
      <w:r w:rsidRPr="003455B0">
        <w:rPr>
          <w:rFonts w:ascii="Verdana" w:hAnsi="Verdana"/>
          <w:sz w:val="20"/>
          <w:szCs w:val="20"/>
        </w:rPr>
        <w:t xml:space="preserve"> JP</w:t>
      </w:r>
      <w:r>
        <w:rPr>
          <w:rFonts w:ascii="Verdana" w:hAnsi="Verdana"/>
          <w:sz w:val="20"/>
          <w:szCs w:val="20"/>
        </w:rPr>
        <w:t xml:space="preserve"> </w:t>
      </w:r>
      <w:r w:rsidRPr="003455B0">
        <w:rPr>
          <w:rFonts w:ascii="Verdana" w:hAnsi="Verdana"/>
          <w:sz w:val="20"/>
          <w:szCs w:val="20"/>
        </w:rPr>
        <w:t>will strengthen the capacity of Revenue Authorities to increase tax revenue by 15% in three target states of Central Equatoria, Western Equatoria and Northern Bahr el Ghazal</w:t>
      </w:r>
      <w:r w:rsidRPr="000465E0">
        <w:rPr>
          <w:rFonts w:ascii="Verdana" w:hAnsi="Verdana"/>
          <w:sz w:val="20"/>
          <w:szCs w:val="20"/>
        </w:rPr>
        <w:t xml:space="preserve"> where UNDP ha</w:t>
      </w:r>
      <w:r w:rsidRPr="00DC4150">
        <w:rPr>
          <w:rFonts w:ascii="Verdana" w:hAnsi="Verdana"/>
          <w:sz w:val="20"/>
          <w:szCs w:val="20"/>
        </w:rPr>
        <w:t xml:space="preserve">s </w:t>
      </w:r>
      <w:r w:rsidRPr="00EF3038">
        <w:rPr>
          <w:rFonts w:ascii="Verdana" w:hAnsi="Verdana"/>
          <w:sz w:val="20"/>
          <w:szCs w:val="20"/>
        </w:rPr>
        <w:t>been providing support since 2016. This action will contribute to attainment of</w:t>
      </w:r>
      <w:r w:rsidRPr="003455B0">
        <w:rPr>
          <w:rFonts w:ascii="Verdana" w:hAnsi="Verdana"/>
          <w:sz w:val="20"/>
          <w:szCs w:val="20"/>
        </w:rPr>
        <w:t xml:space="preserve"> SDG 17 - Target 17.1 which aims to ‘Strengthen domestic resource mobilization’). The JP will also contribute to SDG 16 - Target 16.6 which seeks to ‘Develop effective, accountable and transparent institutions at all levels’ by building capacity of PFM institutions at both national and state levels, especially the MoF</w:t>
      </w:r>
      <w:r w:rsidR="005335F6">
        <w:rPr>
          <w:rFonts w:ascii="Verdana" w:hAnsi="Verdana"/>
          <w:sz w:val="20"/>
          <w:szCs w:val="20"/>
        </w:rPr>
        <w:t>P</w:t>
      </w:r>
      <w:r w:rsidRPr="003455B0">
        <w:rPr>
          <w:rFonts w:ascii="Verdana" w:hAnsi="Verdana"/>
          <w:sz w:val="20"/>
          <w:szCs w:val="20"/>
        </w:rPr>
        <w:t xml:space="preserve">, to ensure that public funds are allocated and spent efficiently and effectively, utilizing a human rights-based approach to sustainable development, to deliver essential services to the most deprived and vulnerable populations including children and women. The action will also contribute to SDG 5: Gender Equality, and SDG 10: Reduced Inequality. </w:t>
      </w:r>
    </w:p>
    <w:p w14:paraId="59702CF4" w14:textId="77777777" w:rsidR="000842D3" w:rsidRDefault="000842D3" w:rsidP="000842D3">
      <w:pPr>
        <w:spacing w:line="240" w:lineRule="auto"/>
        <w:jc w:val="both"/>
        <w:rPr>
          <w:rFonts w:ascii="Verdana" w:hAnsi="Verdana"/>
          <w:sz w:val="20"/>
          <w:szCs w:val="20"/>
        </w:rPr>
      </w:pPr>
    </w:p>
    <w:p w14:paraId="3F7967AE" w14:textId="77777777" w:rsidR="000842D3" w:rsidRPr="003E2544" w:rsidRDefault="000842D3" w:rsidP="000842D3">
      <w:pPr>
        <w:spacing w:line="240" w:lineRule="auto"/>
        <w:jc w:val="both"/>
        <w:rPr>
          <w:rFonts w:ascii="Verdana" w:hAnsi="Verdana"/>
          <w:sz w:val="20"/>
          <w:szCs w:val="20"/>
        </w:rPr>
      </w:pPr>
      <w:r w:rsidRPr="003455B0">
        <w:rPr>
          <w:rFonts w:ascii="Verdana" w:hAnsi="Verdana"/>
          <w:sz w:val="20"/>
          <w:szCs w:val="20"/>
        </w:rPr>
        <w:t xml:space="preserve">The JP is aligned with </w:t>
      </w:r>
      <w:r>
        <w:rPr>
          <w:rFonts w:ascii="Verdana" w:hAnsi="Verdana"/>
          <w:sz w:val="20"/>
          <w:szCs w:val="20"/>
        </w:rPr>
        <w:t xml:space="preserve">the </w:t>
      </w:r>
      <w:r w:rsidRPr="003455B0">
        <w:rPr>
          <w:rFonts w:ascii="Verdana" w:hAnsi="Verdana"/>
          <w:sz w:val="20"/>
          <w:szCs w:val="20"/>
        </w:rPr>
        <w:t>NDS 2018</w:t>
      </w:r>
      <w:r>
        <w:rPr>
          <w:rFonts w:ascii="Verdana" w:hAnsi="Verdana"/>
          <w:sz w:val="20"/>
          <w:szCs w:val="20"/>
        </w:rPr>
        <w:t>–</w:t>
      </w:r>
      <w:r w:rsidRPr="003455B0">
        <w:rPr>
          <w:rFonts w:ascii="Verdana" w:hAnsi="Verdana"/>
          <w:sz w:val="20"/>
          <w:szCs w:val="20"/>
        </w:rPr>
        <w:t>2021 and contributes to the development of the next NDS and INFF for the period 2022</w:t>
      </w:r>
      <w:r>
        <w:rPr>
          <w:rFonts w:ascii="Verdana" w:hAnsi="Verdana"/>
          <w:sz w:val="20"/>
          <w:szCs w:val="20"/>
        </w:rPr>
        <w:t>–</w:t>
      </w:r>
      <w:r w:rsidRPr="003455B0">
        <w:rPr>
          <w:rFonts w:ascii="Verdana" w:hAnsi="Verdana"/>
          <w:sz w:val="20"/>
          <w:szCs w:val="20"/>
        </w:rPr>
        <w:t xml:space="preserve">2024 at national level, and SDSs and Sector Plans at state level, </w:t>
      </w:r>
      <w:r w:rsidRPr="003E2544">
        <w:rPr>
          <w:rFonts w:ascii="Verdana" w:hAnsi="Verdana"/>
          <w:sz w:val="20"/>
          <w:szCs w:val="20"/>
        </w:rPr>
        <w:t xml:space="preserve">especially those of Central Equatoria, Western Equatoria and Northern Bahr el Ghazal. These plans will be instrumental in guiding budget allocations to essential social sectors contributing to the achievement of SDG 1 No Poverty; SDG 3 Good Health and Well-being; SDG 4 Quality Education; SDG 5 Gender Equality; SDG 6 Clean Water and Sanitation; and SDG 10 Reduced Inequality. </w:t>
      </w:r>
    </w:p>
    <w:p w14:paraId="0DFA70B4" w14:textId="77777777" w:rsidR="000842D3" w:rsidRPr="003455B0" w:rsidRDefault="000842D3" w:rsidP="000842D3">
      <w:pPr>
        <w:spacing w:line="240" w:lineRule="auto"/>
        <w:jc w:val="both"/>
        <w:rPr>
          <w:rFonts w:ascii="Verdana" w:eastAsia="Calibri" w:hAnsi="Verdana" w:cs="Times New Roman"/>
          <w:i/>
          <w:iCs/>
          <w:sz w:val="20"/>
          <w:szCs w:val="20"/>
        </w:rPr>
      </w:pPr>
    </w:p>
    <w:p w14:paraId="5BC2573F" w14:textId="77777777" w:rsidR="000842D3" w:rsidRDefault="000842D3" w:rsidP="000842D3">
      <w:pPr>
        <w:jc w:val="both"/>
        <w:rPr>
          <w:rFonts w:ascii="Verdana" w:hAnsi="Verdana"/>
          <w:sz w:val="20"/>
          <w:szCs w:val="20"/>
        </w:rPr>
      </w:pPr>
      <w:r w:rsidRPr="0036237C">
        <w:rPr>
          <w:rFonts w:ascii="Verdana" w:hAnsi="Verdana"/>
          <w:sz w:val="20"/>
          <w:szCs w:val="20"/>
        </w:rPr>
        <w:t xml:space="preserve">The JP monitors the progress of </w:t>
      </w:r>
      <w:r>
        <w:rPr>
          <w:rFonts w:ascii="Verdana" w:hAnsi="Verdana"/>
          <w:sz w:val="20"/>
          <w:szCs w:val="20"/>
        </w:rPr>
        <w:t>SDGs and targets using following approaches (detailed information on monitoring progress is presented in Annex 3.</w:t>
      </w:r>
      <w:r w:rsidRPr="0036237C">
        <w:rPr>
          <w:rFonts w:ascii="Verdana" w:hAnsi="Verdana"/>
          <w:sz w:val="20"/>
          <w:szCs w:val="20"/>
        </w:rPr>
        <w:t xml:space="preserve"> Results </w:t>
      </w:r>
      <w:r>
        <w:rPr>
          <w:rFonts w:ascii="Verdana" w:hAnsi="Verdana"/>
          <w:sz w:val="20"/>
          <w:szCs w:val="20"/>
        </w:rPr>
        <w:t>F</w:t>
      </w:r>
      <w:r w:rsidRPr="0036237C">
        <w:rPr>
          <w:rFonts w:ascii="Verdana" w:hAnsi="Verdana"/>
          <w:sz w:val="20"/>
          <w:szCs w:val="20"/>
        </w:rPr>
        <w:t>ramework</w:t>
      </w:r>
      <w:r>
        <w:rPr>
          <w:rFonts w:ascii="Verdana" w:hAnsi="Verdana"/>
          <w:sz w:val="20"/>
          <w:szCs w:val="20"/>
        </w:rPr>
        <w:t xml:space="preserve"> and Annex 2. </w:t>
      </w:r>
      <w:r w:rsidRPr="0036237C">
        <w:rPr>
          <w:rFonts w:ascii="Verdana" w:hAnsi="Verdana"/>
          <w:sz w:val="20"/>
          <w:szCs w:val="20"/>
        </w:rPr>
        <w:t>SDGs and Targets</w:t>
      </w:r>
      <w:r>
        <w:rPr>
          <w:rFonts w:ascii="Verdana" w:hAnsi="Verdana"/>
          <w:sz w:val="20"/>
          <w:szCs w:val="20"/>
        </w:rPr>
        <w:t>):</w:t>
      </w:r>
    </w:p>
    <w:p w14:paraId="4999EC05" w14:textId="77777777" w:rsidR="000842D3" w:rsidRDefault="000842D3" w:rsidP="000842D3">
      <w:pPr>
        <w:jc w:val="both"/>
        <w:rPr>
          <w:rFonts w:ascii="Verdana" w:eastAsia="Times New Roman" w:hAnsi="Verdana" w:cs="Times New Roman"/>
          <w:b/>
          <w:sz w:val="20"/>
          <w:szCs w:val="20"/>
          <w:u w:val="single"/>
          <w:lang w:eastAsia="en-GB"/>
        </w:rPr>
      </w:pPr>
    </w:p>
    <w:p w14:paraId="31005761" w14:textId="77777777" w:rsidR="000842D3" w:rsidRDefault="000842D3" w:rsidP="000842D3">
      <w:pPr>
        <w:spacing w:line="240" w:lineRule="auto"/>
        <w:jc w:val="both"/>
        <w:rPr>
          <w:rFonts w:ascii="Verdana" w:hAnsi="Verdana"/>
          <w:sz w:val="20"/>
          <w:szCs w:val="20"/>
        </w:rPr>
      </w:pPr>
      <w:r w:rsidRPr="0036237C">
        <w:rPr>
          <w:rFonts w:ascii="Verdana" w:hAnsi="Verdana"/>
          <w:b/>
          <w:bCs/>
          <w:sz w:val="20"/>
          <w:szCs w:val="20"/>
        </w:rPr>
        <w:t>Target 16.6:</w:t>
      </w:r>
      <w:r w:rsidRPr="0036237C">
        <w:rPr>
          <w:rFonts w:ascii="Verdana" w:hAnsi="Verdana"/>
          <w:b/>
          <w:bCs/>
          <w:i/>
          <w:iCs/>
          <w:sz w:val="20"/>
          <w:szCs w:val="20"/>
        </w:rPr>
        <w:t xml:space="preserve"> Develop effective, accountable and transparent institutions</w:t>
      </w:r>
      <w:r w:rsidRPr="0036237C">
        <w:rPr>
          <w:rFonts w:ascii="Verdana" w:hAnsi="Verdana"/>
          <w:i/>
          <w:iCs/>
          <w:sz w:val="20"/>
          <w:szCs w:val="20"/>
        </w:rPr>
        <w:t xml:space="preserve"> </w:t>
      </w:r>
      <w:r w:rsidRPr="0036237C">
        <w:rPr>
          <w:rFonts w:ascii="Verdana" w:hAnsi="Verdana"/>
          <w:sz w:val="20"/>
          <w:szCs w:val="20"/>
        </w:rPr>
        <w:t xml:space="preserve">will be </w:t>
      </w:r>
      <w:r>
        <w:rPr>
          <w:rFonts w:ascii="Verdana" w:hAnsi="Verdana"/>
          <w:sz w:val="20"/>
          <w:szCs w:val="20"/>
        </w:rPr>
        <w:t>monitored</w:t>
      </w:r>
      <w:r w:rsidRPr="0036237C">
        <w:rPr>
          <w:rFonts w:ascii="Verdana" w:hAnsi="Verdana"/>
          <w:sz w:val="20"/>
          <w:szCs w:val="20"/>
        </w:rPr>
        <w:t xml:space="preserve"> </w:t>
      </w:r>
      <w:r>
        <w:rPr>
          <w:rFonts w:ascii="Verdana" w:hAnsi="Verdana"/>
          <w:sz w:val="20"/>
          <w:szCs w:val="20"/>
        </w:rPr>
        <w:t>through</w:t>
      </w:r>
      <w:r w:rsidRPr="00BC652C">
        <w:rPr>
          <w:rFonts w:ascii="Verdana" w:hAnsi="Verdana"/>
          <w:sz w:val="20"/>
          <w:szCs w:val="20"/>
        </w:rPr>
        <w:t xml:space="preserve"> three indicators: </w:t>
      </w:r>
    </w:p>
    <w:p w14:paraId="7524FCBA" w14:textId="26F9DE10" w:rsidR="000842D3" w:rsidRDefault="000842D3" w:rsidP="000842D3">
      <w:pPr>
        <w:pStyle w:val="ListParagraph"/>
        <w:numPr>
          <w:ilvl w:val="0"/>
          <w:numId w:val="91"/>
        </w:numPr>
        <w:spacing w:line="240" w:lineRule="auto"/>
        <w:rPr>
          <w:rFonts w:ascii="Verdana" w:hAnsi="Verdana"/>
          <w:sz w:val="20"/>
          <w:szCs w:val="20"/>
        </w:rPr>
      </w:pPr>
      <w:r w:rsidRPr="000842D3">
        <w:rPr>
          <w:rFonts w:ascii="Verdana" w:hAnsi="Verdana"/>
          <w:sz w:val="20"/>
          <w:szCs w:val="20"/>
        </w:rPr>
        <w:t>Outcome indicator 2</w:t>
      </w:r>
      <w:r w:rsidR="0085487A">
        <w:rPr>
          <w:rFonts w:ascii="Verdana" w:hAnsi="Verdana"/>
          <w:sz w:val="20"/>
          <w:szCs w:val="20"/>
        </w:rPr>
        <w:t>:</w:t>
      </w:r>
      <w:r w:rsidRPr="000842D3">
        <w:rPr>
          <w:rFonts w:ascii="Verdana" w:hAnsi="Verdana"/>
          <w:sz w:val="20"/>
          <w:szCs w:val="20"/>
        </w:rPr>
        <w:t xml:space="preserve"> Primary government expenditures as a proportion of original approved budget (disaggregated by sector</w:t>
      </w:r>
      <w:r>
        <w:rPr>
          <w:rFonts w:ascii="Verdana" w:hAnsi="Verdana"/>
          <w:sz w:val="20"/>
          <w:szCs w:val="20"/>
        </w:rPr>
        <w:t>,</w:t>
      </w:r>
      <w:r w:rsidRPr="000842D3">
        <w:rPr>
          <w:rFonts w:ascii="Verdana" w:hAnsi="Verdana"/>
          <w:sz w:val="20"/>
          <w:szCs w:val="20"/>
        </w:rPr>
        <w:t xml:space="preserve"> or by budget codes or similar</w:t>
      </w:r>
      <w:r>
        <w:rPr>
          <w:rFonts w:ascii="Verdana" w:hAnsi="Verdana"/>
          <w:sz w:val="20"/>
          <w:szCs w:val="20"/>
        </w:rPr>
        <w:t xml:space="preserve">, </w:t>
      </w:r>
      <w:r w:rsidRPr="000842D3">
        <w:rPr>
          <w:rFonts w:ascii="Verdana" w:hAnsi="Verdana"/>
          <w:sz w:val="20"/>
          <w:szCs w:val="20"/>
        </w:rPr>
        <w:t>and state)</w:t>
      </w:r>
      <w:r>
        <w:rPr>
          <w:rFonts w:ascii="Verdana" w:hAnsi="Verdana"/>
          <w:sz w:val="20"/>
          <w:szCs w:val="20"/>
        </w:rPr>
        <w:t>,</w:t>
      </w:r>
      <w:r w:rsidRPr="000842D3">
        <w:rPr>
          <w:rFonts w:ascii="Verdana" w:hAnsi="Verdana"/>
          <w:sz w:val="20"/>
          <w:szCs w:val="20"/>
        </w:rPr>
        <w:t xml:space="preserve"> with the baseline of 1.5% as per </w:t>
      </w:r>
      <w:r w:rsidRPr="003E2544">
        <w:rPr>
          <w:rFonts w:ascii="Verdana" w:hAnsi="Verdana"/>
          <w:color w:val="201F1E"/>
          <w:sz w:val="20"/>
          <w:szCs w:val="20"/>
          <w:bdr w:val="none" w:sz="0" w:space="0" w:color="auto" w:frame="1"/>
        </w:rPr>
        <w:t>F</w:t>
      </w:r>
      <w:r>
        <w:rPr>
          <w:rFonts w:ascii="Verdana" w:hAnsi="Verdana"/>
          <w:color w:val="201F1E"/>
          <w:sz w:val="20"/>
          <w:szCs w:val="20"/>
          <w:bdr w:val="none" w:sz="0" w:space="0" w:color="auto" w:frame="1"/>
        </w:rPr>
        <w:t>inancial Year (F</w:t>
      </w:r>
      <w:r w:rsidRPr="003E2544">
        <w:rPr>
          <w:rFonts w:ascii="Verdana" w:hAnsi="Verdana"/>
          <w:color w:val="201F1E"/>
          <w:sz w:val="20"/>
          <w:szCs w:val="20"/>
          <w:bdr w:val="none" w:sz="0" w:space="0" w:color="auto" w:frame="1"/>
        </w:rPr>
        <w:t>Y</w:t>
      </w:r>
      <w:r>
        <w:rPr>
          <w:rFonts w:ascii="Verdana" w:hAnsi="Verdana"/>
          <w:color w:val="201F1E"/>
          <w:sz w:val="20"/>
          <w:szCs w:val="20"/>
          <w:bdr w:val="none" w:sz="0" w:space="0" w:color="auto" w:frame="1"/>
        </w:rPr>
        <w:t>)</w:t>
      </w:r>
      <w:r w:rsidRPr="003E2544">
        <w:rPr>
          <w:rFonts w:ascii="Verdana" w:hAnsi="Verdana"/>
          <w:color w:val="201F1E"/>
          <w:sz w:val="20"/>
          <w:szCs w:val="20"/>
          <w:bdr w:val="none" w:sz="0" w:space="0" w:color="auto" w:frame="1"/>
        </w:rPr>
        <w:t xml:space="preserve"> </w:t>
      </w:r>
      <w:r w:rsidRPr="000842D3">
        <w:rPr>
          <w:rFonts w:ascii="Verdana" w:hAnsi="Verdana"/>
          <w:sz w:val="20"/>
          <w:szCs w:val="20"/>
        </w:rPr>
        <w:t>2019/2020 Budget Speech</w:t>
      </w:r>
      <w:r w:rsidRPr="00BC652C">
        <w:rPr>
          <w:rStyle w:val="FootnoteReference"/>
          <w:rFonts w:ascii="Verdana" w:hAnsi="Verdana"/>
          <w:sz w:val="20"/>
          <w:szCs w:val="20"/>
        </w:rPr>
        <w:footnoteReference w:id="17"/>
      </w:r>
      <w:r w:rsidRPr="000842D3">
        <w:rPr>
          <w:rFonts w:ascii="Verdana" w:hAnsi="Verdana"/>
          <w:sz w:val="20"/>
          <w:szCs w:val="20"/>
        </w:rPr>
        <w:t xml:space="preserve"> and the target of </w:t>
      </w:r>
      <w:r w:rsidRPr="000842D3">
        <w:rPr>
          <w:rFonts w:ascii="Verdana" w:eastAsia="Times New Roman" w:hAnsi="Verdana" w:cs="Calibri"/>
          <w:color w:val="000000" w:themeColor="text1"/>
          <w:sz w:val="20"/>
          <w:szCs w:val="20"/>
          <w:lang w:eastAsia="ja-JP"/>
        </w:rPr>
        <w:t>5%</w:t>
      </w:r>
      <w:r w:rsidRPr="000842D3">
        <w:rPr>
          <w:rStyle w:val="FootnoteReference"/>
          <w:rFonts w:ascii="Verdana" w:eastAsia="Times New Roman" w:hAnsi="Verdana" w:cs="Calibri"/>
          <w:color w:val="000000" w:themeColor="text1"/>
          <w:sz w:val="20"/>
          <w:szCs w:val="20"/>
          <w:lang w:eastAsia="ja-JP"/>
        </w:rPr>
        <w:footnoteReference w:id="18"/>
      </w:r>
      <w:r w:rsidRPr="000842D3">
        <w:rPr>
          <w:rFonts w:ascii="Verdana" w:eastAsia="Times New Roman" w:hAnsi="Verdana" w:cs="Calibri"/>
          <w:color w:val="000000" w:themeColor="text1"/>
          <w:sz w:val="20"/>
          <w:szCs w:val="20"/>
          <w:lang w:eastAsia="ja-JP"/>
        </w:rPr>
        <w:t xml:space="preserve"> for national level (the state level baseline and target will be established with MoFP at inception phase)</w:t>
      </w:r>
      <w:r w:rsidRPr="000842D3">
        <w:rPr>
          <w:rFonts w:ascii="Verdana" w:hAnsi="Verdana"/>
          <w:sz w:val="20"/>
          <w:szCs w:val="20"/>
        </w:rPr>
        <w:t xml:space="preserve">; </w:t>
      </w:r>
    </w:p>
    <w:p w14:paraId="27005944" w14:textId="5AC8DB9C" w:rsidR="000842D3" w:rsidRDefault="000842D3" w:rsidP="000842D3">
      <w:pPr>
        <w:pStyle w:val="ListParagraph"/>
        <w:numPr>
          <w:ilvl w:val="0"/>
          <w:numId w:val="91"/>
        </w:numPr>
        <w:spacing w:line="240" w:lineRule="auto"/>
        <w:rPr>
          <w:rFonts w:ascii="Verdana" w:hAnsi="Verdana"/>
          <w:sz w:val="20"/>
          <w:szCs w:val="20"/>
        </w:rPr>
      </w:pPr>
      <w:r w:rsidRPr="000842D3">
        <w:rPr>
          <w:rFonts w:ascii="Verdana" w:hAnsi="Verdana"/>
          <w:sz w:val="20"/>
          <w:szCs w:val="20"/>
        </w:rPr>
        <w:t>Output indicator 1.2.1</w:t>
      </w:r>
      <w:r w:rsidR="0085487A">
        <w:rPr>
          <w:rFonts w:ascii="Verdana" w:hAnsi="Verdana"/>
          <w:sz w:val="20"/>
          <w:szCs w:val="20"/>
        </w:rPr>
        <w:t>:</w:t>
      </w:r>
      <w:r w:rsidRPr="000842D3">
        <w:rPr>
          <w:rFonts w:ascii="Verdana" w:hAnsi="Verdana"/>
          <w:sz w:val="20"/>
          <w:szCs w:val="20"/>
        </w:rPr>
        <w:t xml:space="preserve"> Number of government institutions trained at national/state level with the baseline of 0 and the target of 22; </w:t>
      </w:r>
    </w:p>
    <w:p w14:paraId="536D5C8B" w14:textId="669DDAAB" w:rsidR="000842D3" w:rsidRDefault="000842D3" w:rsidP="000842D3">
      <w:pPr>
        <w:pStyle w:val="ListParagraph"/>
        <w:numPr>
          <w:ilvl w:val="0"/>
          <w:numId w:val="91"/>
        </w:numPr>
        <w:spacing w:line="240" w:lineRule="auto"/>
        <w:rPr>
          <w:rFonts w:ascii="Verdana" w:hAnsi="Verdana"/>
          <w:sz w:val="20"/>
          <w:szCs w:val="20"/>
        </w:rPr>
      </w:pPr>
      <w:r w:rsidRPr="000842D3">
        <w:rPr>
          <w:rFonts w:ascii="Verdana" w:hAnsi="Verdana"/>
          <w:sz w:val="20"/>
          <w:szCs w:val="20"/>
        </w:rPr>
        <w:t>Output indicator 1.2.2</w:t>
      </w:r>
      <w:r w:rsidR="0085487A">
        <w:rPr>
          <w:rFonts w:ascii="Verdana" w:hAnsi="Verdana"/>
          <w:sz w:val="20"/>
          <w:szCs w:val="20"/>
        </w:rPr>
        <w:t>:</w:t>
      </w:r>
      <w:r w:rsidRPr="000842D3">
        <w:rPr>
          <w:rFonts w:ascii="Verdana" w:hAnsi="Verdana"/>
          <w:sz w:val="20"/>
          <w:szCs w:val="20"/>
        </w:rPr>
        <w:t xml:space="preserve"> Number of government officials trained (disaggregated by national, state, and gender) with the baseline of 0 and the target of 200. </w:t>
      </w:r>
    </w:p>
    <w:p w14:paraId="25842E58" w14:textId="77777777" w:rsidR="000842D3" w:rsidRDefault="000842D3" w:rsidP="000842D3">
      <w:pPr>
        <w:spacing w:line="240" w:lineRule="auto"/>
        <w:rPr>
          <w:rFonts w:ascii="Verdana" w:hAnsi="Verdana"/>
          <w:sz w:val="20"/>
          <w:szCs w:val="20"/>
        </w:rPr>
      </w:pPr>
    </w:p>
    <w:p w14:paraId="5AF2A462" w14:textId="77777777" w:rsidR="000842D3" w:rsidRPr="000842D3" w:rsidRDefault="000842D3" w:rsidP="000842D3">
      <w:pPr>
        <w:spacing w:line="240" w:lineRule="auto"/>
        <w:jc w:val="both"/>
        <w:rPr>
          <w:rFonts w:ascii="Verdana" w:hAnsi="Verdana"/>
          <w:sz w:val="20"/>
          <w:szCs w:val="20"/>
        </w:rPr>
      </w:pPr>
      <w:r w:rsidRPr="000842D3">
        <w:rPr>
          <w:rFonts w:ascii="Verdana" w:hAnsi="Verdana"/>
          <w:sz w:val="20"/>
          <w:szCs w:val="20"/>
        </w:rPr>
        <w:t xml:space="preserve">Means of verification for these indicators are </w:t>
      </w:r>
      <w:r>
        <w:rPr>
          <w:rFonts w:ascii="Verdana" w:eastAsia="Times New Roman" w:hAnsi="Verdana" w:cs="Calibri"/>
          <w:sz w:val="20"/>
          <w:szCs w:val="20"/>
          <w:lang w:eastAsia="ja-JP"/>
        </w:rPr>
        <w:t>b</w:t>
      </w:r>
      <w:r w:rsidRPr="000842D3">
        <w:rPr>
          <w:rFonts w:ascii="Verdana" w:eastAsia="Times New Roman" w:hAnsi="Verdana" w:cs="Calibri"/>
          <w:sz w:val="20"/>
          <w:szCs w:val="20"/>
          <w:lang w:eastAsia="ja-JP"/>
        </w:rPr>
        <w:t xml:space="preserve">udgets and expenditure reports; </w:t>
      </w:r>
      <w:r w:rsidRPr="000842D3">
        <w:rPr>
          <w:rFonts w:ascii="Verdana" w:eastAsia="Times New Roman" w:hAnsi="Verdana" w:cs="Calibri"/>
          <w:color w:val="000000" w:themeColor="text1"/>
          <w:sz w:val="20"/>
          <w:szCs w:val="20"/>
          <w:lang w:eastAsia="ja-JP"/>
        </w:rPr>
        <w:t xml:space="preserve">training reports, project progress reports; and </w:t>
      </w:r>
      <w:r w:rsidRPr="000842D3">
        <w:rPr>
          <w:rFonts w:ascii="Verdana" w:eastAsia="Times New Roman" w:hAnsi="Verdana" w:cs="Calibri"/>
          <w:sz w:val="20"/>
          <w:szCs w:val="20"/>
          <w:lang w:eastAsia="ja-JP"/>
        </w:rPr>
        <w:t>state budget workshop reports</w:t>
      </w:r>
      <w:r w:rsidRPr="000842D3">
        <w:rPr>
          <w:rFonts w:ascii="Verdana" w:hAnsi="Verdana"/>
          <w:sz w:val="20"/>
          <w:szCs w:val="20"/>
        </w:rPr>
        <w:t>.</w:t>
      </w:r>
      <w:r w:rsidRPr="000842D3">
        <w:rPr>
          <w:rFonts w:ascii="Verdana" w:eastAsia="Times New Roman" w:hAnsi="Verdana" w:cs="Calibri"/>
          <w:color w:val="000000" w:themeColor="text1"/>
          <w:sz w:val="20"/>
          <w:szCs w:val="20"/>
          <w:lang w:eastAsia="ja-JP"/>
        </w:rPr>
        <w:t xml:space="preserve"> </w:t>
      </w:r>
      <w:r w:rsidRPr="000842D3">
        <w:rPr>
          <w:rFonts w:ascii="Verdana" w:hAnsi="Verdana"/>
          <w:sz w:val="20"/>
          <w:szCs w:val="20"/>
        </w:rPr>
        <w:t xml:space="preserve"> </w:t>
      </w:r>
    </w:p>
    <w:p w14:paraId="29992935" w14:textId="77777777" w:rsidR="000842D3" w:rsidRDefault="000842D3" w:rsidP="000842D3">
      <w:pPr>
        <w:jc w:val="both"/>
        <w:rPr>
          <w:rFonts w:ascii="Verdana" w:hAnsi="Verdana"/>
          <w:sz w:val="20"/>
          <w:szCs w:val="20"/>
        </w:rPr>
      </w:pPr>
    </w:p>
    <w:p w14:paraId="73CE956A" w14:textId="63833084" w:rsidR="000842D3" w:rsidRDefault="000842D3" w:rsidP="000842D3">
      <w:pPr>
        <w:spacing w:line="240" w:lineRule="auto"/>
        <w:jc w:val="both"/>
        <w:rPr>
          <w:rFonts w:ascii="Verdana" w:hAnsi="Verdana"/>
          <w:sz w:val="20"/>
          <w:szCs w:val="20"/>
        </w:rPr>
      </w:pPr>
      <w:r w:rsidRPr="0036237C">
        <w:rPr>
          <w:rFonts w:ascii="Verdana" w:hAnsi="Verdana"/>
          <w:b/>
          <w:bCs/>
          <w:sz w:val="20"/>
          <w:szCs w:val="20"/>
        </w:rPr>
        <w:t xml:space="preserve">Target 17.1: </w:t>
      </w:r>
      <w:r w:rsidRPr="0036237C">
        <w:rPr>
          <w:rFonts w:ascii="Verdana" w:hAnsi="Verdana"/>
          <w:b/>
          <w:bCs/>
          <w:i/>
          <w:iCs/>
          <w:sz w:val="20"/>
          <w:szCs w:val="20"/>
        </w:rPr>
        <w:t>Strengthen domestic resource mobilization</w:t>
      </w:r>
      <w:r w:rsidRPr="000465E0">
        <w:rPr>
          <w:rFonts w:ascii="Verdana" w:hAnsi="Verdana"/>
          <w:sz w:val="20"/>
          <w:szCs w:val="20"/>
        </w:rPr>
        <w:t xml:space="preserve"> will be </w:t>
      </w:r>
      <w:r w:rsidRPr="00285A6E">
        <w:rPr>
          <w:rFonts w:ascii="Verdana" w:hAnsi="Verdana"/>
          <w:sz w:val="20"/>
          <w:szCs w:val="20"/>
        </w:rPr>
        <w:t>measured by</w:t>
      </w:r>
      <w:r>
        <w:rPr>
          <w:rFonts w:ascii="Verdana" w:hAnsi="Verdana"/>
          <w:sz w:val="20"/>
          <w:szCs w:val="20"/>
        </w:rPr>
        <w:t>:</w:t>
      </w:r>
    </w:p>
    <w:p w14:paraId="5747086E" w14:textId="50DABAA5" w:rsidR="000842D3" w:rsidRDefault="000842D3" w:rsidP="000842D3">
      <w:pPr>
        <w:pStyle w:val="ListParagraph"/>
        <w:numPr>
          <w:ilvl w:val="0"/>
          <w:numId w:val="93"/>
        </w:numPr>
        <w:spacing w:line="240" w:lineRule="auto"/>
        <w:rPr>
          <w:rFonts w:ascii="Verdana" w:hAnsi="Verdana"/>
          <w:sz w:val="20"/>
          <w:szCs w:val="20"/>
        </w:rPr>
      </w:pPr>
      <w:r w:rsidRPr="000842D3">
        <w:rPr>
          <w:rFonts w:ascii="Verdana" w:hAnsi="Verdana"/>
          <w:sz w:val="20"/>
          <w:szCs w:val="20"/>
        </w:rPr>
        <w:t xml:space="preserve">Output indicator </w:t>
      </w:r>
      <w:r w:rsidRPr="000842D3">
        <w:rPr>
          <w:rFonts w:ascii="Verdana" w:eastAsia="Calibri" w:hAnsi="Verdana" w:cs="Times New Roman"/>
          <w:iCs/>
          <w:sz w:val="20"/>
          <w:szCs w:val="20"/>
        </w:rPr>
        <w:t>1.1.1</w:t>
      </w:r>
      <w:r w:rsidR="0085487A">
        <w:rPr>
          <w:rFonts w:ascii="Verdana" w:eastAsia="Calibri" w:hAnsi="Verdana" w:cs="Times New Roman"/>
          <w:iCs/>
          <w:sz w:val="20"/>
          <w:szCs w:val="20"/>
        </w:rPr>
        <w:t>:</w:t>
      </w:r>
      <w:r w:rsidRPr="000842D3">
        <w:rPr>
          <w:rFonts w:ascii="Verdana" w:eastAsia="Calibri" w:hAnsi="Verdana" w:cs="Times New Roman"/>
          <w:iCs/>
          <w:sz w:val="20"/>
          <w:szCs w:val="20"/>
        </w:rPr>
        <w:t xml:space="preserve"> </w:t>
      </w:r>
      <w:r w:rsidRPr="000842D3">
        <w:rPr>
          <w:rFonts w:ascii="Verdana" w:hAnsi="Verdana"/>
          <w:sz w:val="20"/>
          <w:szCs w:val="20"/>
        </w:rPr>
        <w:t xml:space="preserve">% increase in non-oil revenue mobilization in the project target states of Central Equatoria, Western Equatoria and Northern Bahr el Ghazal states. The ongoing UNDP project recorded the average monthly revenue collection for 2019 in the former </w:t>
      </w:r>
      <w:proofErr w:type="spellStart"/>
      <w:r w:rsidRPr="000842D3">
        <w:rPr>
          <w:rFonts w:ascii="Verdana" w:hAnsi="Verdana"/>
          <w:sz w:val="20"/>
          <w:szCs w:val="20"/>
        </w:rPr>
        <w:t>Jubek</w:t>
      </w:r>
      <w:proofErr w:type="spellEnd"/>
      <w:r w:rsidRPr="000842D3">
        <w:rPr>
          <w:rFonts w:ascii="Verdana" w:hAnsi="Verdana"/>
          <w:sz w:val="20"/>
          <w:szCs w:val="20"/>
        </w:rPr>
        <w:t xml:space="preserve">, Central </w:t>
      </w:r>
      <w:proofErr w:type="spellStart"/>
      <w:r w:rsidRPr="000842D3">
        <w:rPr>
          <w:rFonts w:ascii="Verdana" w:hAnsi="Verdana"/>
          <w:sz w:val="20"/>
          <w:szCs w:val="20"/>
        </w:rPr>
        <w:t>Equatoria</w:t>
      </w:r>
      <w:proofErr w:type="spellEnd"/>
      <w:r w:rsidRPr="000842D3">
        <w:rPr>
          <w:rFonts w:ascii="Verdana" w:hAnsi="Verdana"/>
          <w:sz w:val="20"/>
          <w:szCs w:val="20"/>
        </w:rPr>
        <w:t xml:space="preserve"> (60 million SSP); Aweil, Northern Bahr el Ghazal (30 million SSP) and </w:t>
      </w:r>
      <w:proofErr w:type="spellStart"/>
      <w:r w:rsidRPr="000842D3">
        <w:rPr>
          <w:rFonts w:ascii="Verdana" w:hAnsi="Verdana"/>
          <w:sz w:val="20"/>
          <w:szCs w:val="20"/>
        </w:rPr>
        <w:t>Gbudue</w:t>
      </w:r>
      <w:proofErr w:type="spellEnd"/>
      <w:r w:rsidRPr="000842D3">
        <w:rPr>
          <w:rFonts w:ascii="Verdana" w:hAnsi="Verdana"/>
          <w:sz w:val="20"/>
          <w:szCs w:val="20"/>
        </w:rPr>
        <w:t xml:space="preserve">, Western </w:t>
      </w:r>
      <w:proofErr w:type="spellStart"/>
      <w:r w:rsidRPr="000842D3">
        <w:rPr>
          <w:rFonts w:ascii="Verdana" w:hAnsi="Verdana"/>
          <w:sz w:val="20"/>
          <w:szCs w:val="20"/>
        </w:rPr>
        <w:t>Equatoria</w:t>
      </w:r>
      <w:proofErr w:type="spellEnd"/>
      <w:r w:rsidRPr="000842D3">
        <w:rPr>
          <w:rFonts w:ascii="Verdana" w:hAnsi="Verdana"/>
          <w:sz w:val="20"/>
          <w:szCs w:val="20"/>
        </w:rPr>
        <w:t xml:space="preserve"> (8 million SSP). New baselines for these three states will be set once the new SRAs for the larger states are established. The target is set at 15%. </w:t>
      </w:r>
    </w:p>
    <w:p w14:paraId="5B1B46CA" w14:textId="77777777" w:rsidR="000842D3" w:rsidRDefault="000842D3" w:rsidP="000842D3">
      <w:pPr>
        <w:spacing w:line="240" w:lineRule="auto"/>
        <w:rPr>
          <w:rFonts w:ascii="Verdana" w:hAnsi="Verdana"/>
          <w:sz w:val="20"/>
          <w:szCs w:val="20"/>
        </w:rPr>
      </w:pPr>
    </w:p>
    <w:p w14:paraId="4077A3A0" w14:textId="2144A342" w:rsidR="000842D3" w:rsidRPr="000842D3" w:rsidRDefault="000842D3" w:rsidP="000842D3">
      <w:pPr>
        <w:spacing w:line="240" w:lineRule="auto"/>
        <w:rPr>
          <w:rFonts w:ascii="Verdana" w:hAnsi="Verdana"/>
          <w:sz w:val="20"/>
          <w:szCs w:val="20"/>
        </w:rPr>
      </w:pPr>
      <w:r w:rsidRPr="000842D3">
        <w:rPr>
          <w:rFonts w:ascii="Verdana" w:hAnsi="Verdana"/>
          <w:sz w:val="20"/>
          <w:szCs w:val="20"/>
        </w:rPr>
        <w:t>Means of verification for this indicator is monthly SRA reports and UNDP project progress reports.</w:t>
      </w:r>
      <w:r w:rsidRPr="000842D3">
        <w:rPr>
          <w:rFonts w:ascii="Verdana" w:eastAsia="Times New Roman" w:hAnsi="Verdana" w:cs="Calibri"/>
          <w:color w:val="000000" w:themeColor="text1"/>
          <w:sz w:val="20"/>
          <w:szCs w:val="20"/>
          <w:lang w:eastAsia="ja-JP"/>
        </w:rPr>
        <w:t xml:space="preserve"> </w:t>
      </w:r>
      <w:r w:rsidRPr="000842D3">
        <w:rPr>
          <w:rFonts w:ascii="Verdana" w:hAnsi="Verdana"/>
          <w:sz w:val="20"/>
          <w:szCs w:val="20"/>
        </w:rPr>
        <w:t xml:space="preserve"> </w:t>
      </w:r>
    </w:p>
    <w:p w14:paraId="7DBA30EF" w14:textId="77777777" w:rsidR="000842D3" w:rsidRPr="00EF3038" w:rsidRDefault="000842D3" w:rsidP="000842D3">
      <w:pPr>
        <w:jc w:val="both"/>
        <w:rPr>
          <w:rFonts w:ascii="Verdana" w:hAnsi="Verdana"/>
          <w:sz w:val="20"/>
          <w:szCs w:val="20"/>
        </w:rPr>
      </w:pPr>
    </w:p>
    <w:p w14:paraId="6AF43257" w14:textId="6137E3D8" w:rsidR="000842D3" w:rsidRPr="000842D3" w:rsidRDefault="000842D3" w:rsidP="000842D3">
      <w:pPr>
        <w:jc w:val="both"/>
        <w:rPr>
          <w:rFonts w:ascii="Verdana" w:hAnsi="Verdana"/>
          <w:sz w:val="20"/>
          <w:szCs w:val="20"/>
        </w:rPr>
      </w:pPr>
      <w:r>
        <w:rPr>
          <w:rFonts w:ascii="Verdana" w:hAnsi="Verdana"/>
          <w:sz w:val="20"/>
          <w:szCs w:val="20"/>
        </w:rPr>
        <w:t>The o</w:t>
      </w:r>
      <w:r w:rsidRPr="000842D3">
        <w:rPr>
          <w:rFonts w:ascii="Verdana" w:hAnsi="Verdana"/>
          <w:sz w:val="20"/>
          <w:szCs w:val="20"/>
        </w:rPr>
        <w:t xml:space="preserve">utcome indicator </w:t>
      </w:r>
      <w:r w:rsidRPr="000842D3">
        <w:rPr>
          <w:rFonts w:ascii="Verdana" w:hAnsi="Verdana"/>
          <w:i/>
          <w:iCs/>
          <w:sz w:val="20"/>
          <w:szCs w:val="20"/>
        </w:rPr>
        <w:t>1% of allocation to essential services at the national and state levels</w:t>
      </w:r>
      <w:r w:rsidRPr="000842D3">
        <w:rPr>
          <w:rFonts w:ascii="Verdana" w:hAnsi="Verdana"/>
          <w:sz w:val="20"/>
          <w:szCs w:val="20"/>
        </w:rPr>
        <w:t xml:space="preserve"> </w:t>
      </w:r>
      <w:r>
        <w:rPr>
          <w:rFonts w:ascii="Verdana" w:hAnsi="Verdana"/>
          <w:sz w:val="20"/>
          <w:szCs w:val="20"/>
        </w:rPr>
        <w:t>–</w:t>
      </w:r>
      <w:r w:rsidRPr="00D711BA">
        <w:rPr>
          <w:rFonts w:ascii="Verdana" w:hAnsi="Verdana"/>
          <w:sz w:val="20"/>
          <w:szCs w:val="20"/>
        </w:rPr>
        <w:t xml:space="preserve"> </w:t>
      </w:r>
      <w:r w:rsidRPr="000842D3">
        <w:rPr>
          <w:rFonts w:ascii="Verdana" w:hAnsi="Verdana"/>
          <w:sz w:val="20"/>
          <w:szCs w:val="20"/>
        </w:rPr>
        <w:t xml:space="preserve">disaggregated by sectors </w:t>
      </w:r>
      <w:r>
        <w:rPr>
          <w:rFonts w:ascii="Verdana" w:hAnsi="Verdana"/>
          <w:sz w:val="20"/>
          <w:szCs w:val="20"/>
        </w:rPr>
        <w:t>(</w:t>
      </w:r>
      <w:r w:rsidRPr="000842D3">
        <w:rPr>
          <w:rFonts w:ascii="Verdana" w:hAnsi="Verdana"/>
          <w:sz w:val="20"/>
          <w:szCs w:val="20"/>
        </w:rPr>
        <w:t>education, health and social protection</w:t>
      </w:r>
      <w:r>
        <w:rPr>
          <w:rFonts w:ascii="Verdana" w:hAnsi="Verdana"/>
          <w:sz w:val="20"/>
          <w:szCs w:val="20"/>
        </w:rPr>
        <w:t>)</w:t>
      </w:r>
      <w:r w:rsidRPr="000842D3">
        <w:rPr>
          <w:rFonts w:ascii="Verdana" w:hAnsi="Verdana"/>
          <w:sz w:val="20"/>
          <w:szCs w:val="20"/>
        </w:rPr>
        <w:t xml:space="preserve"> and type of funding flow </w:t>
      </w:r>
      <w:r>
        <w:rPr>
          <w:rFonts w:ascii="Verdana" w:hAnsi="Verdana"/>
          <w:sz w:val="20"/>
          <w:szCs w:val="20"/>
        </w:rPr>
        <w:t>(</w:t>
      </w:r>
      <w:r w:rsidRPr="000842D3">
        <w:rPr>
          <w:rFonts w:ascii="Verdana" w:hAnsi="Verdana"/>
          <w:sz w:val="20"/>
          <w:szCs w:val="20"/>
        </w:rPr>
        <w:t xml:space="preserve">Government own resources, ODA, and Private) </w:t>
      </w:r>
      <w:r>
        <w:rPr>
          <w:rFonts w:ascii="Verdana" w:hAnsi="Verdana"/>
          <w:sz w:val="20"/>
          <w:szCs w:val="20"/>
        </w:rPr>
        <w:t xml:space="preserve">– </w:t>
      </w:r>
      <w:r w:rsidRPr="000842D3">
        <w:rPr>
          <w:rFonts w:ascii="Verdana" w:hAnsi="Verdana"/>
          <w:sz w:val="20"/>
          <w:szCs w:val="20"/>
        </w:rPr>
        <w:t xml:space="preserve">will be used to measure the progress of the following SDGs and Targets: </w:t>
      </w:r>
    </w:p>
    <w:p w14:paraId="353C14A3" w14:textId="77777777" w:rsidR="000842D3" w:rsidRDefault="000842D3" w:rsidP="000842D3">
      <w:pPr>
        <w:jc w:val="both"/>
        <w:rPr>
          <w:rFonts w:ascii="Verdana" w:hAnsi="Verdana"/>
          <w:sz w:val="20"/>
          <w:szCs w:val="20"/>
        </w:rPr>
      </w:pPr>
    </w:p>
    <w:p w14:paraId="5CF093BE" w14:textId="262461B3" w:rsidR="000842D3" w:rsidRPr="000842D3" w:rsidRDefault="000842D3" w:rsidP="005335F6">
      <w:pPr>
        <w:pStyle w:val="ListParagraph"/>
        <w:numPr>
          <w:ilvl w:val="0"/>
          <w:numId w:val="80"/>
        </w:numPr>
        <w:rPr>
          <w:rFonts w:ascii="Verdana" w:hAnsi="Verdana"/>
          <w:sz w:val="20"/>
          <w:szCs w:val="20"/>
        </w:rPr>
      </w:pPr>
      <w:r w:rsidRPr="000842D3">
        <w:rPr>
          <w:rFonts w:ascii="Verdana" w:hAnsi="Verdana"/>
          <w:b/>
          <w:bCs/>
          <w:sz w:val="20"/>
          <w:szCs w:val="20"/>
        </w:rPr>
        <w:t xml:space="preserve">Target 17.3: </w:t>
      </w:r>
      <w:r w:rsidRPr="000842D3">
        <w:rPr>
          <w:rFonts w:ascii="Verdana" w:hAnsi="Verdana"/>
          <w:b/>
          <w:bCs/>
          <w:i/>
          <w:iCs/>
          <w:sz w:val="20"/>
          <w:szCs w:val="20"/>
        </w:rPr>
        <w:t>Mobilize additional financial resources for developing countries from multiple sources</w:t>
      </w:r>
      <w:r w:rsidRPr="00467001">
        <w:rPr>
          <w:rFonts w:ascii="Verdana" w:hAnsi="Verdana"/>
          <w:i/>
          <w:iCs/>
          <w:sz w:val="20"/>
          <w:szCs w:val="20"/>
        </w:rPr>
        <w:t xml:space="preserve"> </w:t>
      </w:r>
      <w:r w:rsidRPr="000842D3">
        <w:rPr>
          <w:rFonts w:ascii="Verdana" w:hAnsi="Verdana"/>
          <w:sz w:val="20"/>
          <w:szCs w:val="20"/>
        </w:rPr>
        <w:t xml:space="preserve">with the national level baselines of Government fund USD 775 million; ODA USD 1.577 million; and </w:t>
      </w:r>
      <w:r w:rsidRPr="00467001">
        <w:rPr>
          <w:rFonts w:ascii="Verdana" w:hAnsi="Verdana"/>
          <w:sz w:val="20"/>
          <w:szCs w:val="20"/>
        </w:rPr>
        <w:t>p</w:t>
      </w:r>
      <w:r w:rsidRPr="000842D3">
        <w:rPr>
          <w:rFonts w:ascii="Verdana" w:hAnsi="Verdana"/>
          <w:sz w:val="20"/>
          <w:szCs w:val="20"/>
        </w:rPr>
        <w:t xml:space="preserve">rivate financing to be confirmed and the targets to be established with the MoFP at the inception phase. </w:t>
      </w:r>
    </w:p>
    <w:p w14:paraId="1460DAC2" w14:textId="77777777" w:rsidR="000842D3" w:rsidRPr="000842D3" w:rsidRDefault="000842D3" w:rsidP="000842D3">
      <w:pPr>
        <w:jc w:val="both"/>
        <w:rPr>
          <w:rFonts w:ascii="Verdana" w:eastAsia="Times New Roman" w:hAnsi="Verdana" w:cs="Calibri"/>
          <w:color w:val="000000"/>
          <w:sz w:val="20"/>
          <w:szCs w:val="20"/>
          <w:lang w:eastAsia="ja-JP"/>
        </w:rPr>
      </w:pPr>
    </w:p>
    <w:p w14:paraId="024A0DEF" w14:textId="2B653355" w:rsidR="000842D3" w:rsidRPr="000842D3" w:rsidRDefault="000842D3" w:rsidP="000842D3">
      <w:pPr>
        <w:pStyle w:val="ListParagraph"/>
        <w:numPr>
          <w:ilvl w:val="0"/>
          <w:numId w:val="80"/>
        </w:numPr>
        <w:rPr>
          <w:rFonts w:ascii="Verdana" w:hAnsi="Verdana"/>
          <w:sz w:val="20"/>
          <w:szCs w:val="20"/>
        </w:rPr>
      </w:pPr>
      <w:r w:rsidRPr="000842D3">
        <w:rPr>
          <w:rFonts w:ascii="Verdana" w:hAnsi="Verdana"/>
          <w:b/>
          <w:bCs/>
          <w:sz w:val="20"/>
          <w:szCs w:val="20"/>
        </w:rPr>
        <w:t xml:space="preserve">Target 1.A: </w:t>
      </w:r>
      <w:r w:rsidRPr="000842D3">
        <w:rPr>
          <w:rFonts w:ascii="Verdana" w:hAnsi="Verdana"/>
          <w:b/>
          <w:bCs/>
          <w:i/>
          <w:iCs/>
          <w:sz w:val="20"/>
          <w:szCs w:val="20"/>
        </w:rPr>
        <w:t>Ensure significant mobilization of resources from a variety of sources to implement programmes and policies to end poverty in all its dimensions</w:t>
      </w:r>
      <w:r w:rsidRPr="000842D3">
        <w:rPr>
          <w:rFonts w:ascii="Verdana" w:hAnsi="Verdana"/>
          <w:b/>
          <w:bCs/>
          <w:sz w:val="20"/>
          <w:szCs w:val="20"/>
        </w:rPr>
        <w:t xml:space="preserve"> </w:t>
      </w:r>
      <w:r w:rsidRPr="000842D3">
        <w:rPr>
          <w:rFonts w:ascii="Verdana" w:hAnsi="Verdana"/>
          <w:sz w:val="20"/>
          <w:szCs w:val="20"/>
        </w:rPr>
        <w:t>with the national level baseline of average 8% allocation to essential services (</w:t>
      </w:r>
      <w:r w:rsidRPr="000842D3">
        <w:rPr>
          <w:rFonts w:ascii="Verdana" w:eastAsia="Times New Roman" w:hAnsi="Verdana" w:cs="Calibri"/>
          <w:color w:val="000000" w:themeColor="text1"/>
          <w:sz w:val="20"/>
          <w:szCs w:val="20"/>
          <w:lang w:eastAsia="ja-JP"/>
        </w:rPr>
        <w:t>Education – 5%; Health – 1%; Social and Humanitarian Affairs – 2%)</w:t>
      </w:r>
      <w:r w:rsidRPr="000842D3">
        <w:rPr>
          <w:rFonts w:ascii="Verdana" w:hAnsi="Verdana"/>
          <w:sz w:val="20"/>
          <w:szCs w:val="20"/>
        </w:rPr>
        <w:t xml:space="preserve"> contributing to poverty alleviation of the country, and the target of </w:t>
      </w:r>
      <w:r w:rsidRPr="000842D3">
        <w:rPr>
          <w:rFonts w:ascii="Verdana" w:eastAsia="Times New Roman" w:hAnsi="Verdana" w:cs="Calibri"/>
          <w:color w:val="000000" w:themeColor="text1"/>
          <w:sz w:val="20"/>
          <w:szCs w:val="20"/>
          <w:lang w:eastAsia="ja-JP"/>
        </w:rPr>
        <w:t xml:space="preserve">15% (Education – 8%; Health – 3%; Social and Humanitarian Affairs – 4%). </w:t>
      </w:r>
    </w:p>
    <w:p w14:paraId="6E054A1C" w14:textId="77777777" w:rsidR="000842D3" w:rsidRPr="00BF67FD" w:rsidRDefault="000842D3" w:rsidP="000842D3">
      <w:pPr>
        <w:jc w:val="both"/>
        <w:rPr>
          <w:rFonts w:ascii="Verdana" w:hAnsi="Verdana"/>
          <w:sz w:val="20"/>
          <w:szCs w:val="20"/>
        </w:rPr>
      </w:pPr>
    </w:p>
    <w:p w14:paraId="5BF90E88" w14:textId="6EFEAFB9" w:rsidR="000842D3" w:rsidRPr="000842D3" w:rsidRDefault="000842D3" w:rsidP="000842D3">
      <w:pPr>
        <w:pStyle w:val="ListParagraph"/>
        <w:numPr>
          <w:ilvl w:val="0"/>
          <w:numId w:val="79"/>
        </w:numPr>
        <w:rPr>
          <w:rFonts w:ascii="Verdana" w:hAnsi="Verdana"/>
          <w:sz w:val="20"/>
          <w:szCs w:val="20"/>
        </w:rPr>
      </w:pPr>
      <w:r w:rsidRPr="000842D3">
        <w:rPr>
          <w:rFonts w:ascii="Verdana" w:hAnsi="Verdana"/>
          <w:b/>
          <w:bCs/>
          <w:sz w:val="20"/>
          <w:szCs w:val="20"/>
        </w:rPr>
        <w:t>SDGs 3:</w:t>
      </w:r>
      <w:r w:rsidRPr="00467001">
        <w:rPr>
          <w:rFonts w:ascii="Verdana" w:hAnsi="Verdana"/>
          <w:b/>
          <w:bCs/>
          <w:sz w:val="20"/>
          <w:szCs w:val="20"/>
        </w:rPr>
        <w:t xml:space="preserve"> Good Health and Well-being, SDG 4: Quality Education, SDG 6: Clean Water and Sanitation, and SDG 10:</w:t>
      </w:r>
      <w:r w:rsidRPr="000842D3">
        <w:rPr>
          <w:rFonts w:ascii="Verdana" w:hAnsi="Verdana"/>
          <w:sz w:val="20"/>
          <w:szCs w:val="20"/>
        </w:rPr>
        <w:t xml:space="preserve"> Reduced </w:t>
      </w:r>
      <w:r w:rsidRPr="00467001">
        <w:rPr>
          <w:rFonts w:ascii="Verdana" w:hAnsi="Verdana"/>
          <w:sz w:val="20"/>
          <w:szCs w:val="20"/>
        </w:rPr>
        <w:t>i</w:t>
      </w:r>
      <w:r w:rsidRPr="000842D3">
        <w:rPr>
          <w:rFonts w:ascii="Verdana" w:hAnsi="Verdana"/>
          <w:sz w:val="20"/>
          <w:szCs w:val="20"/>
        </w:rPr>
        <w:t xml:space="preserve">nequality with the national level baselines of </w:t>
      </w:r>
      <w:r w:rsidRPr="000842D3">
        <w:rPr>
          <w:rFonts w:ascii="Verdana" w:eastAsia="Times New Roman" w:hAnsi="Verdana" w:cs="Calibri"/>
          <w:color w:val="000000" w:themeColor="text1"/>
          <w:sz w:val="20"/>
          <w:szCs w:val="20"/>
          <w:lang w:eastAsia="ja-JP"/>
        </w:rPr>
        <w:t xml:space="preserve">Education – 5%, Health – 1%, and Social and Humanitarian Affairs – 2% and </w:t>
      </w:r>
      <w:r w:rsidRPr="000842D3">
        <w:rPr>
          <w:rFonts w:ascii="Verdana" w:hAnsi="Verdana"/>
          <w:sz w:val="20"/>
          <w:szCs w:val="20"/>
        </w:rPr>
        <w:t xml:space="preserve">the targets of </w:t>
      </w:r>
      <w:r w:rsidRPr="000842D3">
        <w:rPr>
          <w:rFonts w:ascii="Verdana" w:eastAsia="Times New Roman" w:hAnsi="Verdana" w:cs="Calibri"/>
          <w:color w:val="000000" w:themeColor="text1"/>
          <w:sz w:val="20"/>
          <w:szCs w:val="20"/>
          <w:lang w:eastAsia="ja-JP"/>
        </w:rPr>
        <w:t>Education</w:t>
      </w:r>
      <w:r w:rsidR="00FF7F0C">
        <w:rPr>
          <w:rFonts w:ascii="Verdana" w:eastAsia="Times New Roman" w:hAnsi="Verdana" w:cs="Calibri"/>
          <w:color w:val="000000" w:themeColor="text1"/>
          <w:sz w:val="20"/>
          <w:szCs w:val="20"/>
          <w:lang w:eastAsia="ja-JP"/>
        </w:rPr>
        <w:t xml:space="preserve"> </w:t>
      </w:r>
      <w:r w:rsidR="00FF7F0C" w:rsidRPr="00467001">
        <w:rPr>
          <w:rFonts w:ascii="Verdana" w:eastAsia="Times New Roman" w:hAnsi="Verdana" w:cs="Calibri"/>
          <w:color w:val="000000" w:themeColor="text1"/>
          <w:sz w:val="20"/>
          <w:szCs w:val="20"/>
          <w:lang w:eastAsia="ja-JP"/>
        </w:rPr>
        <w:t>–</w:t>
      </w:r>
      <w:r w:rsidR="00FF7F0C">
        <w:rPr>
          <w:rFonts w:ascii="Verdana" w:eastAsia="Times New Roman" w:hAnsi="Verdana" w:cs="Calibri"/>
          <w:color w:val="000000" w:themeColor="text1"/>
          <w:sz w:val="20"/>
          <w:szCs w:val="20"/>
          <w:lang w:eastAsia="ja-JP"/>
        </w:rPr>
        <w:t xml:space="preserve"> </w:t>
      </w:r>
      <w:r w:rsidRPr="000842D3">
        <w:rPr>
          <w:rFonts w:ascii="Verdana" w:eastAsia="Times New Roman" w:hAnsi="Verdana" w:cs="Calibri"/>
          <w:color w:val="000000" w:themeColor="text1"/>
          <w:sz w:val="20"/>
          <w:szCs w:val="20"/>
          <w:lang w:eastAsia="ja-JP"/>
        </w:rPr>
        <w:t>8%, Health</w:t>
      </w:r>
      <w:r w:rsidRPr="00467001">
        <w:rPr>
          <w:rFonts w:ascii="Verdana" w:eastAsia="Times New Roman" w:hAnsi="Verdana" w:cs="Calibri"/>
          <w:color w:val="000000" w:themeColor="text1"/>
          <w:sz w:val="20"/>
          <w:szCs w:val="20"/>
          <w:lang w:eastAsia="ja-JP"/>
        </w:rPr>
        <w:t xml:space="preserve"> – </w:t>
      </w:r>
      <w:r w:rsidRPr="000842D3">
        <w:rPr>
          <w:rFonts w:ascii="Verdana" w:eastAsia="Times New Roman" w:hAnsi="Verdana" w:cs="Calibri"/>
          <w:color w:val="000000" w:themeColor="text1"/>
          <w:sz w:val="20"/>
          <w:szCs w:val="20"/>
          <w:lang w:eastAsia="ja-JP"/>
        </w:rPr>
        <w:t>3%, and Social and Humanitarian Affairs – 4%.</w:t>
      </w:r>
    </w:p>
    <w:p w14:paraId="7CAF59A2" w14:textId="77777777" w:rsidR="000842D3" w:rsidRDefault="000842D3" w:rsidP="000842D3">
      <w:pPr>
        <w:jc w:val="both"/>
        <w:rPr>
          <w:rFonts w:ascii="Verdana" w:hAnsi="Verdana"/>
          <w:b/>
          <w:bCs/>
          <w:sz w:val="20"/>
          <w:szCs w:val="20"/>
        </w:rPr>
      </w:pPr>
    </w:p>
    <w:p w14:paraId="6E0EA112" w14:textId="5259C682" w:rsidR="000842D3" w:rsidRPr="000842D3" w:rsidRDefault="000842D3" w:rsidP="000842D3">
      <w:pPr>
        <w:jc w:val="both"/>
        <w:rPr>
          <w:rFonts w:ascii="Verdana" w:hAnsi="Verdana"/>
          <w:sz w:val="20"/>
          <w:szCs w:val="20"/>
        </w:rPr>
      </w:pPr>
      <w:r w:rsidRPr="000842D3">
        <w:rPr>
          <w:rFonts w:ascii="Verdana" w:hAnsi="Verdana"/>
          <w:sz w:val="20"/>
          <w:szCs w:val="20"/>
        </w:rPr>
        <w:t xml:space="preserve">The JP will set baselines and targets for the state level with MoFP at inception phase as state level data is </w:t>
      </w:r>
      <w:r>
        <w:rPr>
          <w:rFonts w:ascii="Verdana" w:hAnsi="Verdana"/>
          <w:sz w:val="20"/>
          <w:szCs w:val="20"/>
        </w:rPr>
        <w:t xml:space="preserve">currently </w:t>
      </w:r>
      <w:r w:rsidRPr="000842D3">
        <w:rPr>
          <w:rFonts w:ascii="Verdana" w:hAnsi="Verdana"/>
          <w:sz w:val="20"/>
          <w:szCs w:val="20"/>
        </w:rPr>
        <w:t xml:space="preserve">not reliable. To improve the reliability of the data at state level, this JP will enhance capacity of state </w:t>
      </w:r>
      <w:proofErr w:type="spellStart"/>
      <w:r w:rsidRPr="000842D3">
        <w:rPr>
          <w:rFonts w:ascii="Verdana" w:hAnsi="Verdana"/>
          <w:sz w:val="20"/>
          <w:szCs w:val="20"/>
        </w:rPr>
        <w:t>MoF</w:t>
      </w:r>
      <w:r w:rsidR="005335F6">
        <w:rPr>
          <w:rFonts w:ascii="Verdana" w:hAnsi="Verdana"/>
          <w:sz w:val="20"/>
          <w:szCs w:val="20"/>
        </w:rPr>
        <w:t>P</w:t>
      </w:r>
      <w:r>
        <w:rPr>
          <w:rFonts w:ascii="Verdana" w:hAnsi="Verdana"/>
          <w:sz w:val="20"/>
          <w:szCs w:val="20"/>
        </w:rPr>
        <w:t>s</w:t>
      </w:r>
      <w:proofErr w:type="spellEnd"/>
      <w:r w:rsidRPr="000842D3">
        <w:rPr>
          <w:rFonts w:ascii="Verdana" w:hAnsi="Verdana"/>
          <w:sz w:val="20"/>
          <w:szCs w:val="20"/>
        </w:rPr>
        <w:t xml:space="preserve"> and relevant line ministries in budgeting and reporting through Output 2 of this project. Means of verification for this indicator is </w:t>
      </w:r>
      <w:r w:rsidRPr="00C61798">
        <w:rPr>
          <w:rFonts w:ascii="Verdana" w:hAnsi="Verdana"/>
          <w:sz w:val="20"/>
          <w:szCs w:val="20"/>
        </w:rPr>
        <w:t xml:space="preserve">national and state </w:t>
      </w:r>
      <w:r w:rsidRPr="000842D3">
        <w:rPr>
          <w:rFonts w:ascii="Verdana" w:hAnsi="Verdana"/>
          <w:sz w:val="20"/>
          <w:szCs w:val="20"/>
        </w:rPr>
        <w:t xml:space="preserve">level approved budgets.  </w:t>
      </w:r>
    </w:p>
    <w:p w14:paraId="42462E3E" w14:textId="77777777" w:rsidR="000842D3" w:rsidRPr="000842D3" w:rsidRDefault="000842D3" w:rsidP="000842D3">
      <w:pPr>
        <w:jc w:val="both"/>
        <w:rPr>
          <w:rFonts w:ascii="Verdana" w:eastAsia="Calibri" w:hAnsi="Verdana" w:cs="Times New Roman"/>
          <w:iCs/>
          <w:sz w:val="20"/>
          <w:szCs w:val="20"/>
        </w:rPr>
      </w:pPr>
    </w:p>
    <w:p w14:paraId="1968E05C" w14:textId="77777777" w:rsidR="000842D3" w:rsidRDefault="000842D3" w:rsidP="000842D3">
      <w:pPr>
        <w:jc w:val="both"/>
        <w:rPr>
          <w:rFonts w:ascii="Verdana" w:eastAsia="Calibri" w:hAnsi="Verdana" w:cs="Times New Roman"/>
          <w:iCs/>
          <w:sz w:val="20"/>
          <w:szCs w:val="20"/>
        </w:rPr>
      </w:pPr>
      <w:r w:rsidRPr="000842D3">
        <w:rPr>
          <w:rFonts w:ascii="Verdana" w:eastAsia="Calibri" w:hAnsi="Verdana" w:cs="Times New Roman"/>
          <w:iCs/>
          <w:sz w:val="20"/>
          <w:szCs w:val="20"/>
        </w:rPr>
        <w:t>Output indicator 1.2.3 Gender and pro-poor aspects are included in Budget Call Circular</w:t>
      </w:r>
      <w:r>
        <w:rPr>
          <w:rFonts w:ascii="Verdana" w:eastAsia="Calibri" w:hAnsi="Verdana" w:cs="Times New Roman"/>
          <w:iCs/>
          <w:sz w:val="20"/>
          <w:szCs w:val="20"/>
        </w:rPr>
        <w:t>s. S</w:t>
      </w:r>
      <w:r w:rsidRPr="000842D3">
        <w:rPr>
          <w:rFonts w:ascii="Verdana" w:eastAsia="Calibri" w:hAnsi="Verdana" w:cs="Times New Roman"/>
          <w:iCs/>
          <w:sz w:val="20"/>
          <w:szCs w:val="20"/>
        </w:rPr>
        <w:t>tate budget guidelines will be used be used to measure the progress of the following Targets:</w:t>
      </w:r>
    </w:p>
    <w:p w14:paraId="6773E91C" w14:textId="77777777" w:rsidR="000842D3" w:rsidRPr="000842D3" w:rsidRDefault="000842D3" w:rsidP="000842D3">
      <w:pPr>
        <w:jc w:val="both"/>
        <w:rPr>
          <w:rFonts w:ascii="Verdana" w:eastAsia="Calibri" w:hAnsi="Verdana" w:cs="Times New Roman"/>
          <w:iCs/>
          <w:sz w:val="20"/>
          <w:szCs w:val="20"/>
        </w:rPr>
      </w:pPr>
    </w:p>
    <w:p w14:paraId="64C2C025" w14:textId="6C6CED7D" w:rsidR="000842D3" w:rsidRPr="000842D3" w:rsidRDefault="000842D3" w:rsidP="000842D3">
      <w:pPr>
        <w:pStyle w:val="ListParagraph"/>
        <w:numPr>
          <w:ilvl w:val="0"/>
          <w:numId w:val="90"/>
        </w:numPr>
        <w:rPr>
          <w:rFonts w:ascii="Verdana" w:hAnsi="Verdana"/>
          <w:i/>
          <w:iCs/>
          <w:sz w:val="20"/>
          <w:szCs w:val="20"/>
        </w:rPr>
      </w:pPr>
      <w:r w:rsidRPr="000842D3">
        <w:rPr>
          <w:rFonts w:ascii="Verdana" w:hAnsi="Verdana"/>
          <w:b/>
          <w:bCs/>
          <w:sz w:val="20"/>
          <w:szCs w:val="20"/>
        </w:rPr>
        <w:t>Target 1.B:</w:t>
      </w:r>
      <w:r w:rsidRPr="000842D3">
        <w:rPr>
          <w:rFonts w:ascii="Verdana" w:hAnsi="Verdana"/>
          <w:sz w:val="20"/>
          <w:szCs w:val="20"/>
        </w:rPr>
        <w:t xml:space="preserve"> </w:t>
      </w:r>
      <w:r w:rsidRPr="000842D3">
        <w:rPr>
          <w:rFonts w:ascii="Verdana" w:hAnsi="Verdana"/>
          <w:i/>
          <w:iCs/>
          <w:sz w:val="20"/>
          <w:szCs w:val="20"/>
        </w:rPr>
        <w:t>Create sound policy frameworks at the national, regional and international levels, based on pro-poor and gender-sensitive development strategies, to support accelerated investment in poverty eradication actions</w:t>
      </w:r>
      <w:r>
        <w:rPr>
          <w:rFonts w:ascii="Verdana" w:hAnsi="Verdana"/>
          <w:i/>
          <w:iCs/>
          <w:sz w:val="20"/>
          <w:szCs w:val="20"/>
        </w:rPr>
        <w:t>;</w:t>
      </w:r>
    </w:p>
    <w:p w14:paraId="1E5237A4" w14:textId="77777777" w:rsidR="000842D3" w:rsidRPr="000842D3" w:rsidRDefault="000842D3" w:rsidP="000842D3">
      <w:pPr>
        <w:pStyle w:val="ListParagraph"/>
        <w:numPr>
          <w:ilvl w:val="0"/>
          <w:numId w:val="90"/>
        </w:numPr>
        <w:rPr>
          <w:rFonts w:ascii="Verdana" w:hAnsi="Verdana"/>
          <w:sz w:val="20"/>
          <w:szCs w:val="20"/>
        </w:rPr>
      </w:pPr>
      <w:r w:rsidRPr="000842D3">
        <w:rPr>
          <w:rFonts w:ascii="Verdana" w:eastAsia="Calibri" w:hAnsi="Verdana" w:cs="Times New Roman"/>
          <w:b/>
          <w:bCs/>
          <w:sz w:val="20"/>
          <w:szCs w:val="20"/>
        </w:rPr>
        <w:t>Target 5.C:</w:t>
      </w:r>
      <w:r w:rsidRPr="000842D3">
        <w:rPr>
          <w:rFonts w:ascii="Verdana" w:eastAsia="Calibri" w:hAnsi="Verdana" w:cs="Times New Roman"/>
          <w:sz w:val="20"/>
          <w:szCs w:val="20"/>
        </w:rPr>
        <w:t xml:space="preserve"> </w:t>
      </w:r>
      <w:r w:rsidRPr="000842D3">
        <w:rPr>
          <w:rFonts w:ascii="Verdana" w:eastAsia="Calibri" w:hAnsi="Verdana" w:cs="Times New Roman"/>
          <w:i/>
          <w:iCs/>
          <w:sz w:val="20"/>
          <w:szCs w:val="20"/>
        </w:rPr>
        <w:t>Adopt and strengthen sound policies and enforceable legislation for the promotion of gender equality and the empowerment of all women and girls at all levels</w:t>
      </w:r>
      <w:r>
        <w:rPr>
          <w:rFonts w:ascii="Verdana" w:eastAsia="Calibri" w:hAnsi="Verdana" w:cs="Times New Roman"/>
          <w:i/>
          <w:iCs/>
          <w:sz w:val="20"/>
          <w:szCs w:val="20"/>
        </w:rPr>
        <w:t>.</w:t>
      </w:r>
    </w:p>
    <w:p w14:paraId="532D4D24" w14:textId="77777777" w:rsidR="000842D3" w:rsidRPr="000842D3" w:rsidRDefault="000842D3" w:rsidP="000842D3">
      <w:pPr>
        <w:jc w:val="both"/>
        <w:rPr>
          <w:rFonts w:ascii="Verdana" w:hAnsi="Verdana"/>
          <w:sz w:val="20"/>
          <w:szCs w:val="20"/>
        </w:rPr>
      </w:pPr>
    </w:p>
    <w:p w14:paraId="0BF5519F" w14:textId="77777777" w:rsidR="000842D3" w:rsidRPr="000842D3" w:rsidRDefault="000842D3" w:rsidP="000842D3">
      <w:pPr>
        <w:jc w:val="both"/>
        <w:rPr>
          <w:rFonts w:ascii="Verdana" w:hAnsi="Verdana"/>
          <w:sz w:val="20"/>
          <w:szCs w:val="20"/>
        </w:rPr>
      </w:pPr>
      <w:r w:rsidRPr="000842D3">
        <w:rPr>
          <w:rFonts w:ascii="Verdana" w:hAnsi="Verdana"/>
          <w:sz w:val="20"/>
          <w:szCs w:val="20"/>
        </w:rPr>
        <w:t xml:space="preserve">The national and state level baselines are “No” and targets “Yes”. Means of verification for this indicator is </w:t>
      </w:r>
      <w:r>
        <w:rPr>
          <w:rFonts w:ascii="Verdana" w:hAnsi="Verdana"/>
          <w:sz w:val="20"/>
          <w:szCs w:val="20"/>
        </w:rPr>
        <w:t xml:space="preserve">the </w:t>
      </w:r>
      <w:r w:rsidRPr="000842D3">
        <w:rPr>
          <w:rFonts w:ascii="Verdana" w:eastAsia="Calibri" w:hAnsi="Verdana" w:cs="Times New Roman"/>
          <w:iCs/>
          <w:sz w:val="20"/>
          <w:szCs w:val="20"/>
        </w:rPr>
        <w:t>Budget Call Circular and state budget guidelines.</w:t>
      </w:r>
    </w:p>
    <w:p w14:paraId="1219E252" w14:textId="77777777" w:rsidR="00A913B0" w:rsidRDefault="00A913B0" w:rsidP="00245274">
      <w:pPr>
        <w:spacing w:line="240" w:lineRule="auto"/>
        <w:jc w:val="both"/>
        <w:rPr>
          <w:rFonts w:ascii="Verdana" w:eastAsia="Calibri" w:hAnsi="Verdana" w:cs="Times New Roman"/>
          <w:color w:val="000000" w:themeColor="text1"/>
          <w:sz w:val="20"/>
          <w:szCs w:val="20"/>
        </w:rPr>
      </w:pPr>
    </w:p>
    <w:p w14:paraId="631943E3" w14:textId="111F8C03" w:rsidR="00272BF8" w:rsidRPr="00B01559" w:rsidRDefault="00272BF8" w:rsidP="000842D3">
      <w:pPr>
        <w:pStyle w:val="Heading3"/>
        <w:spacing w:line="240" w:lineRule="auto"/>
      </w:pPr>
      <w:r w:rsidRPr="00B01559">
        <w:lastRenderedPageBreak/>
        <w:t xml:space="preserve">1.3 Stakeholder mapping and </w:t>
      </w:r>
      <w:r w:rsidR="000842D3" w:rsidRPr="00B01559">
        <w:t>t</w:t>
      </w:r>
      <w:r w:rsidR="000842D3" w:rsidRPr="001A0D2B">
        <w:t>arget</w:t>
      </w:r>
      <w:r w:rsidRPr="001A0D2B">
        <w:t xml:space="preserve"> groups </w:t>
      </w:r>
    </w:p>
    <w:p w14:paraId="46F6DB02" w14:textId="63529C7D" w:rsidR="003E5785" w:rsidRPr="003E2544" w:rsidRDefault="004A1A0D" w:rsidP="00245274">
      <w:pPr>
        <w:spacing w:line="240" w:lineRule="auto"/>
        <w:jc w:val="both"/>
        <w:rPr>
          <w:rFonts w:ascii="Verdana" w:hAnsi="Verdana"/>
          <w:sz w:val="20"/>
          <w:szCs w:val="20"/>
        </w:rPr>
      </w:pPr>
      <w:r w:rsidRPr="003E2544">
        <w:rPr>
          <w:rFonts w:ascii="Verdana" w:hAnsi="Verdana"/>
          <w:sz w:val="20"/>
          <w:szCs w:val="20"/>
        </w:rPr>
        <w:t xml:space="preserve">The main target groups </w:t>
      </w:r>
      <w:r w:rsidR="0077067C" w:rsidRPr="003E2544">
        <w:rPr>
          <w:rFonts w:ascii="Verdana" w:hAnsi="Verdana"/>
          <w:sz w:val="20"/>
          <w:szCs w:val="20"/>
        </w:rPr>
        <w:t xml:space="preserve">of the JP </w:t>
      </w:r>
      <w:r w:rsidRPr="003E2544">
        <w:rPr>
          <w:rFonts w:ascii="Verdana" w:hAnsi="Verdana"/>
          <w:sz w:val="20"/>
          <w:szCs w:val="20"/>
        </w:rPr>
        <w:t xml:space="preserve">are the </w:t>
      </w:r>
      <w:r w:rsidR="000E46BB" w:rsidRPr="003E2544">
        <w:rPr>
          <w:rFonts w:ascii="Verdana" w:hAnsi="Verdana"/>
          <w:sz w:val="20"/>
          <w:szCs w:val="20"/>
        </w:rPr>
        <w:t xml:space="preserve">State </w:t>
      </w:r>
      <w:r w:rsidRPr="003E2544">
        <w:rPr>
          <w:rFonts w:ascii="Verdana" w:hAnsi="Verdana"/>
          <w:sz w:val="20"/>
          <w:szCs w:val="20"/>
        </w:rPr>
        <w:t>Ministries of Finance</w:t>
      </w:r>
      <w:r w:rsidR="000E46BB" w:rsidRPr="003E2544">
        <w:rPr>
          <w:rFonts w:ascii="Verdana" w:hAnsi="Verdana"/>
          <w:sz w:val="20"/>
          <w:szCs w:val="20"/>
        </w:rPr>
        <w:t xml:space="preserve">; </w:t>
      </w:r>
      <w:r w:rsidR="00831462" w:rsidRPr="003E2544">
        <w:rPr>
          <w:rFonts w:ascii="Verdana" w:hAnsi="Verdana"/>
          <w:sz w:val="20"/>
          <w:szCs w:val="20"/>
        </w:rPr>
        <w:t xml:space="preserve">State Development </w:t>
      </w:r>
      <w:r w:rsidR="0085487A">
        <w:rPr>
          <w:rFonts w:ascii="Verdana" w:hAnsi="Verdana"/>
          <w:sz w:val="20"/>
          <w:szCs w:val="20"/>
        </w:rPr>
        <w:t xml:space="preserve">Planning </w:t>
      </w:r>
      <w:r w:rsidR="00831462" w:rsidRPr="003E2544">
        <w:rPr>
          <w:rFonts w:ascii="Verdana" w:hAnsi="Verdana"/>
          <w:sz w:val="20"/>
          <w:szCs w:val="20"/>
        </w:rPr>
        <w:t>Committees</w:t>
      </w:r>
      <w:r w:rsidR="008F6BEE">
        <w:rPr>
          <w:rFonts w:ascii="Verdana" w:hAnsi="Verdana"/>
          <w:sz w:val="20"/>
          <w:szCs w:val="20"/>
        </w:rPr>
        <w:t xml:space="preserve"> (SD</w:t>
      </w:r>
      <w:r w:rsidR="00986EA8">
        <w:rPr>
          <w:rFonts w:ascii="Verdana" w:hAnsi="Verdana"/>
          <w:sz w:val="20"/>
          <w:szCs w:val="20"/>
        </w:rPr>
        <w:t>P</w:t>
      </w:r>
      <w:r w:rsidR="008F6BEE">
        <w:rPr>
          <w:rFonts w:ascii="Verdana" w:hAnsi="Verdana"/>
          <w:sz w:val="20"/>
          <w:szCs w:val="20"/>
        </w:rPr>
        <w:t>Cs)</w:t>
      </w:r>
      <w:r w:rsidR="00831462" w:rsidRPr="003E2544">
        <w:rPr>
          <w:rFonts w:ascii="Verdana" w:hAnsi="Verdana"/>
          <w:sz w:val="20"/>
          <w:szCs w:val="20"/>
        </w:rPr>
        <w:t xml:space="preserve">; </w:t>
      </w:r>
      <w:r w:rsidR="008F6BEE">
        <w:rPr>
          <w:rFonts w:ascii="Verdana" w:hAnsi="Verdana"/>
          <w:sz w:val="20"/>
          <w:szCs w:val="20"/>
        </w:rPr>
        <w:t>SRAs</w:t>
      </w:r>
      <w:r w:rsidR="003A2908" w:rsidRPr="003E2544">
        <w:rPr>
          <w:rFonts w:ascii="Verdana" w:hAnsi="Verdana"/>
          <w:sz w:val="20"/>
          <w:szCs w:val="20"/>
        </w:rPr>
        <w:t>;</w:t>
      </w:r>
      <w:r w:rsidRPr="003E2544">
        <w:rPr>
          <w:rFonts w:ascii="Verdana" w:hAnsi="Verdana"/>
          <w:sz w:val="20"/>
          <w:szCs w:val="20"/>
        </w:rPr>
        <w:t xml:space="preserve"> </w:t>
      </w:r>
      <w:r w:rsidR="00831462" w:rsidRPr="003E2544">
        <w:rPr>
          <w:rFonts w:ascii="Verdana" w:hAnsi="Verdana"/>
          <w:sz w:val="20"/>
          <w:szCs w:val="20"/>
        </w:rPr>
        <w:t xml:space="preserve">and </w:t>
      </w:r>
      <w:r w:rsidRPr="003E2544">
        <w:rPr>
          <w:rFonts w:ascii="Verdana" w:hAnsi="Verdana"/>
          <w:sz w:val="20"/>
          <w:szCs w:val="20"/>
        </w:rPr>
        <w:t xml:space="preserve">social sector </w:t>
      </w:r>
      <w:r w:rsidR="00831462" w:rsidRPr="003E2544">
        <w:rPr>
          <w:rFonts w:ascii="Verdana" w:hAnsi="Verdana"/>
          <w:sz w:val="20"/>
          <w:szCs w:val="20"/>
        </w:rPr>
        <w:t>delivery agencies.</w:t>
      </w:r>
      <w:r w:rsidRPr="003E2544">
        <w:rPr>
          <w:rFonts w:ascii="Verdana" w:hAnsi="Verdana"/>
          <w:sz w:val="20"/>
          <w:szCs w:val="20"/>
        </w:rPr>
        <w:t xml:space="preserve"> </w:t>
      </w:r>
    </w:p>
    <w:p w14:paraId="5D8EDE0C" w14:textId="6041D7F5" w:rsidR="004A1A0D" w:rsidRPr="003E2544" w:rsidRDefault="004A1A0D" w:rsidP="00245274">
      <w:pPr>
        <w:spacing w:line="240" w:lineRule="auto"/>
        <w:jc w:val="both"/>
        <w:rPr>
          <w:rFonts w:ascii="Verdana" w:eastAsia="Calibri" w:hAnsi="Verdana" w:cs="Times New Roman"/>
          <w:i/>
          <w:color w:val="C45911" w:themeColor="accent2" w:themeShade="BF"/>
          <w:sz w:val="20"/>
          <w:szCs w:val="20"/>
        </w:rPr>
      </w:pPr>
    </w:p>
    <w:p w14:paraId="749E79BA" w14:textId="3DE183AB" w:rsidR="005E2240" w:rsidRPr="003E2544" w:rsidRDefault="00831462" w:rsidP="00245274">
      <w:pPr>
        <w:spacing w:line="240" w:lineRule="auto"/>
        <w:jc w:val="both"/>
        <w:rPr>
          <w:rFonts w:ascii="Verdana" w:eastAsia="Calibri" w:hAnsi="Verdana" w:cstheme="minorHAnsi"/>
          <w:b/>
          <w:bCs/>
          <w:iCs/>
          <w:sz w:val="20"/>
          <w:szCs w:val="20"/>
          <w:u w:val="single"/>
        </w:rPr>
      </w:pPr>
      <w:r w:rsidRPr="003E2544">
        <w:rPr>
          <w:rFonts w:ascii="Verdana" w:eastAsia="Calibri" w:hAnsi="Verdana" w:cstheme="minorHAnsi"/>
          <w:b/>
          <w:bCs/>
          <w:iCs/>
          <w:sz w:val="20"/>
          <w:szCs w:val="20"/>
          <w:u w:val="single"/>
        </w:rPr>
        <w:t>N</w:t>
      </w:r>
      <w:r w:rsidR="00CD5F43" w:rsidRPr="003E2544">
        <w:rPr>
          <w:rFonts w:ascii="Verdana" w:eastAsia="Calibri" w:hAnsi="Verdana" w:cstheme="minorHAnsi"/>
          <w:b/>
          <w:bCs/>
          <w:iCs/>
          <w:sz w:val="20"/>
          <w:szCs w:val="20"/>
          <w:u w:val="single"/>
        </w:rPr>
        <w:t xml:space="preserve">ational </w:t>
      </w:r>
      <w:r w:rsidRPr="003E2544">
        <w:rPr>
          <w:rFonts w:ascii="Verdana" w:eastAsia="Calibri" w:hAnsi="Verdana" w:cstheme="minorHAnsi"/>
          <w:b/>
          <w:bCs/>
          <w:iCs/>
          <w:sz w:val="20"/>
          <w:szCs w:val="20"/>
          <w:u w:val="single"/>
        </w:rPr>
        <w:t>stakeholders</w:t>
      </w:r>
      <w:r w:rsidR="0079643F" w:rsidRPr="003E2544">
        <w:rPr>
          <w:rFonts w:ascii="Verdana" w:eastAsia="Calibri" w:hAnsi="Verdana" w:cstheme="minorHAnsi"/>
          <w:b/>
          <w:bCs/>
          <w:iCs/>
          <w:sz w:val="20"/>
          <w:szCs w:val="20"/>
          <w:u w:val="single"/>
        </w:rPr>
        <w:t xml:space="preserve"> responsible for state mentoring and training</w:t>
      </w:r>
    </w:p>
    <w:p w14:paraId="5217AC34" w14:textId="2B338672" w:rsidR="00831462" w:rsidRDefault="00831462" w:rsidP="00245274">
      <w:pPr>
        <w:spacing w:line="240" w:lineRule="auto"/>
        <w:jc w:val="both"/>
        <w:rPr>
          <w:rFonts w:ascii="Verdana" w:eastAsia="Calibri" w:hAnsi="Verdana" w:cstheme="minorBidi"/>
          <w:sz w:val="20"/>
          <w:szCs w:val="20"/>
        </w:rPr>
      </w:pPr>
      <w:r w:rsidRPr="003E2544">
        <w:rPr>
          <w:rFonts w:ascii="Verdana" w:eastAsia="Calibri" w:hAnsi="Verdana" w:cstheme="minorBidi"/>
          <w:sz w:val="20"/>
          <w:szCs w:val="20"/>
        </w:rPr>
        <w:t xml:space="preserve">The following national </w:t>
      </w:r>
      <w:r w:rsidR="00E43984" w:rsidRPr="003E2544">
        <w:rPr>
          <w:rFonts w:ascii="Verdana" w:eastAsia="Calibri" w:hAnsi="Verdana" w:cstheme="minorBidi"/>
          <w:sz w:val="20"/>
          <w:szCs w:val="20"/>
        </w:rPr>
        <w:t>Ministries, Department and Agencies (</w:t>
      </w:r>
      <w:r w:rsidRPr="003E2544">
        <w:rPr>
          <w:rFonts w:ascii="Verdana" w:eastAsia="Calibri" w:hAnsi="Verdana" w:cstheme="minorBidi"/>
          <w:sz w:val="20"/>
          <w:szCs w:val="20"/>
        </w:rPr>
        <w:t>MDAs</w:t>
      </w:r>
      <w:r w:rsidR="00E43984" w:rsidRPr="003E2544">
        <w:rPr>
          <w:rFonts w:ascii="Verdana" w:eastAsia="Calibri" w:hAnsi="Verdana" w:cstheme="minorBidi"/>
          <w:sz w:val="20"/>
          <w:szCs w:val="20"/>
        </w:rPr>
        <w:t>)</w:t>
      </w:r>
      <w:r w:rsidR="009041C8" w:rsidRPr="003E2544">
        <w:rPr>
          <w:rFonts w:ascii="Verdana" w:eastAsia="Calibri" w:hAnsi="Verdana" w:cstheme="minorBidi"/>
          <w:sz w:val="20"/>
          <w:szCs w:val="20"/>
        </w:rPr>
        <w:t xml:space="preserve"> </w:t>
      </w:r>
      <w:r w:rsidRPr="003E2544">
        <w:rPr>
          <w:rFonts w:ascii="Verdana" w:eastAsia="Calibri" w:hAnsi="Verdana" w:cstheme="minorBidi"/>
          <w:sz w:val="20"/>
          <w:szCs w:val="20"/>
        </w:rPr>
        <w:t xml:space="preserve">will be involved in the design and management of the JP and </w:t>
      </w:r>
      <w:r w:rsidR="452B6558" w:rsidRPr="003E2544">
        <w:rPr>
          <w:rFonts w:ascii="Verdana" w:eastAsia="Calibri" w:hAnsi="Verdana" w:cstheme="minorBidi"/>
          <w:sz w:val="20"/>
          <w:szCs w:val="20"/>
        </w:rPr>
        <w:t xml:space="preserve">will </w:t>
      </w:r>
      <w:r w:rsidRPr="003E2544">
        <w:rPr>
          <w:rFonts w:ascii="Verdana" w:eastAsia="Calibri" w:hAnsi="Verdana" w:cstheme="minorBidi"/>
          <w:sz w:val="20"/>
          <w:szCs w:val="20"/>
        </w:rPr>
        <w:t>provide trainers and mentors to their state</w:t>
      </w:r>
      <w:r w:rsidR="00B01559">
        <w:rPr>
          <w:rFonts w:ascii="Verdana" w:eastAsia="Calibri" w:hAnsi="Verdana" w:cstheme="minorBidi"/>
          <w:sz w:val="20"/>
          <w:szCs w:val="20"/>
        </w:rPr>
        <w:t>-</w:t>
      </w:r>
      <w:r w:rsidRPr="003E2544">
        <w:rPr>
          <w:rFonts w:ascii="Verdana" w:eastAsia="Calibri" w:hAnsi="Verdana" w:cstheme="minorBidi"/>
          <w:sz w:val="20"/>
          <w:szCs w:val="20"/>
        </w:rPr>
        <w:t>level counterparts</w:t>
      </w:r>
      <w:r w:rsidR="00B37D25" w:rsidRPr="003E2544">
        <w:rPr>
          <w:rFonts w:ascii="Verdana" w:eastAsia="Calibri" w:hAnsi="Verdana" w:cstheme="minorBidi"/>
          <w:sz w:val="20"/>
          <w:szCs w:val="20"/>
        </w:rPr>
        <w:t>:</w:t>
      </w:r>
    </w:p>
    <w:p w14:paraId="7742C51A" w14:textId="77777777" w:rsidR="008F6BEE" w:rsidRPr="003E2544" w:rsidRDefault="008F6BEE" w:rsidP="00245274">
      <w:pPr>
        <w:spacing w:line="240" w:lineRule="auto"/>
        <w:jc w:val="both"/>
        <w:rPr>
          <w:rFonts w:ascii="Verdana" w:eastAsia="Calibri" w:hAnsi="Verdana" w:cstheme="minorBidi"/>
          <w:sz w:val="20"/>
          <w:szCs w:val="20"/>
        </w:rPr>
      </w:pPr>
    </w:p>
    <w:p w14:paraId="7BE95797" w14:textId="72B97C22" w:rsidR="005C2B14" w:rsidRPr="003E2544" w:rsidRDefault="1DDEA787" w:rsidP="00245274">
      <w:pPr>
        <w:pStyle w:val="ListParagraph"/>
        <w:numPr>
          <w:ilvl w:val="0"/>
          <w:numId w:val="70"/>
        </w:numPr>
        <w:spacing w:line="240" w:lineRule="auto"/>
        <w:ind w:left="360"/>
        <w:rPr>
          <w:rFonts w:ascii="Verdana" w:eastAsia="Calibri" w:hAnsi="Verdana" w:cstheme="minorBidi"/>
          <w:sz w:val="20"/>
          <w:szCs w:val="20"/>
          <w:lang w:val="en-US"/>
        </w:rPr>
      </w:pPr>
      <w:r w:rsidRPr="003E2544">
        <w:rPr>
          <w:rFonts w:ascii="Verdana" w:eastAsia="Calibri" w:hAnsi="Verdana" w:cstheme="minorBidi"/>
          <w:b/>
          <w:bCs/>
          <w:sz w:val="20"/>
          <w:szCs w:val="20"/>
          <w:lang w:val="en-US"/>
        </w:rPr>
        <w:t>Ministry of Finance and Planning</w:t>
      </w:r>
      <w:r w:rsidR="2CDCE663" w:rsidRPr="003E2544">
        <w:rPr>
          <w:rFonts w:ascii="Verdana" w:eastAsia="Calibri" w:hAnsi="Verdana" w:cstheme="minorBidi"/>
          <w:b/>
          <w:bCs/>
          <w:sz w:val="20"/>
          <w:szCs w:val="20"/>
          <w:lang w:val="en-US"/>
        </w:rPr>
        <w:t xml:space="preserve"> (MoFP)</w:t>
      </w:r>
      <w:r w:rsidR="00A02550" w:rsidRPr="003E2544">
        <w:rPr>
          <w:rStyle w:val="FootnoteReference"/>
          <w:rFonts w:ascii="Verdana" w:eastAsia="Calibri" w:hAnsi="Verdana" w:cstheme="minorBidi"/>
          <w:b/>
          <w:bCs/>
          <w:sz w:val="20"/>
          <w:szCs w:val="20"/>
          <w:lang w:val="en-US"/>
        </w:rPr>
        <w:footnoteReference w:id="19"/>
      </w:r>
      <w:r w:rsidR="10CB05CA" w:rsidRPr="003E2544">
        <w:rPr>
          <w:rFonts w:ascii="Verdana" w:eastAsia="Calibri" w:hAnsi="Verdana" w:cstheme="minorBidi"/>
          <w:sz w:val="20"/>
          <w:szCs w:val="20"/>
          <w:lang w:val="en-US"/>
        </w:rPr>
        <w:t xml:space="preserve"> </w:t>
      </w:r>
      <w:r w:rsidR="39889C42" w:rsidRPr="003E2544">
        <w:rPr>
          <w:rFonts w:ascii="Verdana" w:eastAsia="Calibri" w:hAnsi="Verdana" w:cstheme="minorBidi"/>
          <w:sz w:val="20"/>
          <w:szCs w:val="20"/>
          <w:lang w:val="en-US"/>
        </w:rPr>
        <w:t xml:space="preserve">is responsible for coordinating development planning and budgeting with national line ministries as well </w:t>
      </w:r>
      <w:r w:rsidR="10CB05CA" w:rsidRPr="003E2544">
        <w:rPr>
          <w:rFonts w:ascii="Verdana" w:eastAsia="Calibri" w:hAnsi="Verdana" w:cstheme="minorBidi"/>
          <w:sz w:val="20"/>
          <w:szCs w:val="20"/>
          <w:lang w:val="en-US"/>
        </w:rPr>
        <w:t>managing</w:t>
      </w:r>
      <w:r w:rsidR="39889C42" w:rsidRPr="003E2544">
        <w:rPr>
          <w:rFonts w:ascii="Verdana" w:eastAsia="Calibri" w:hAnsi="Verdana" w:cstheme="minorBidi"/>
          <w:sz w:val="20"/>
          <w:szCs w:val="20"/>
          <w:lang w:val="en-US"/>
        </w:rPr>
        <w:t xml:space="preserve"> transfers and grants to </w:t>
      </w:r>
      <w:r w:rsidR="6FF5CF43" w:rsidRPr="003E2544">
        <w:rPr>
          <w:rFonts w:ascii="Verdana" w:eastAsia="Calibri" w:hAnsi="Verdana" w:cstheme="minorBidi"/>
          <w:sz w:val="20"/>
          <w:szCs w:val="20"/>
          <w:lang w:val="en-US"/>
        </w:rPr>
        <w:t>states</w:t>
      </w:r>
      <w:r w:rsidR="39889C42" w:rsidRPr="003E2544">
        <w:rPr>
          <w:rFonts w:ascii="Verdana" w:eastAsia="Calibri" w:hAnsi="Verdana" w:cstheme="minorBidi"/>
          <w:sz w:val="20"/>
          <w:szCs w:val="20"/>
          <w:lang w:val="en-US"/>
        </w:rPr>
        <w:t>.</w:t>
      </w:r>
      <w:r w:rsidR="10CB05CA" w:rsidRPr="003E2544">
        <w:rPr>
          <w:rFonts w:ascii="Verdana" w:eastAsia="Calibri" w:hAnsi="Verdana" w:cstheme="minorBidi"/>
          <w:sz w:val="20"/>
          <w:szCs w:val="20"/>
          <w:lang w:val="en-US"/>
        </w:rPr>
        <w:t xml:space="preserve"> </w:t>
      </w:r>
      <w:r w:rsidR="671FD5F0" w:rsidRPr="003E2544">
        <w:rPr>
          <w:rFonts w:ascii="Verdana" w:eastAsia="Calibri" w:hAnsi="Verdana" w:cstheme="minorBidi"/>
          <w:sz w:val="20"/>
          <w:szCs w:val="20"/>
          <w:lang w:val="en-US"/>
        </w:rPr>
        <w:t xml:space="preserve">The </w:t>
      </w:r>
      <w:r w:rsidR="39889C42" w:rsidRPr="003E2544">
        <w:rPr>
          <w:rFonts w:ascii="Verdana" w:eastAsia="Calibri" w:hAnsi="Verdana" w:cstheme="minorBidi"/>
          <w:sz w:val="20"/>
          <w:szCs w:val="20"/>
          <w:lang w:val="en-US"/>
        </w:rPr>
        <w:t xml:space="preserve">MoFP will train and mentor </w:t>
      </w:r>
      <w:r w:rsidR="6FF5CF43" w:rsidRPr="003E2544">
        <w:rPr>
          <w:rFonts w:ascii="Verdana" w:eastAsia="Calibri" w:hAnsi="Verdana" w:cstheme="minorBidi"/>
          <w:sz w:val="20"/>
          <w:szCs w:val="20"/>
          <w:lang w:val="en-US"/>
        </w:rPr>
        <w:t xml:space="preserve">state </w:t>
      </w:r>
      <w:r w:rsidR="2DCE3598" w:rsidRPr="003E2544">
        <w:rPr>
          <w:rFonts w:ascii="Verdana" w:eastAsia="Calibri" w:hAnsi="Verdana" w:cstheme="minorBidi"/>
          <w:sz w:val="20"/>
          <w:szCs w:val="20"/>
          <w:lang w:val="en-US"/>
        </w:rPr>
        <w:t>f</w:t>
      </w:r>
      <w:r w:rsidR="6FF5CF43" w:rsidRPr="003E2544">
        <w:rPr>
          <w:rFonts w:ascii="Verdana" w:eastAsia="Calibri" w:hAnsi="Verdana" w:cstheme="minorBidi"/>
          <w:sz w:val="20"/>
          <w:szCs w:val="20"/>
          <w:lang w:val="en-US"/>
        </w:rPr>
        <w:t>inance</w:t>
      </w:r>
      <w:r w:rsidR="39889C42" w:rsidRPr="003E2544">
        <w:rPr>
          <w:rFonts w:ascii="Verdana" w:eastAsia="Calibri" w:hAnsi="Verdana" w:cstheme="minorBidi"/>
          <w:sz w:val="20"/>
          <w:szCs w:val="20"/>
          <w:lang w:val="en-US"/>
        </w:rPr>
        <w:t xml:space="preserve"> and administration officials </w:t>
      </w:r>
      <w:r w:rsidR="7C87D088" w:rsidRPr="003E2544">
        <w:rPr>
          <w:rFonts w:ascii="Verdana" w:eastAsia="Calibri" w:hAnsi="Verdana" w:cstheme="minorBidi"/>
          <w:sz w:val="20"/>
          <w:szCs w:val="20"/>
          <w:lang w:val="en-US"/>
        </w:rPr>
        <w:t>in</w:t>
      </w:r>
      <w:r w:rsidRPr="003E2544">
        <w:rPr>
          <w:rFonts w:ascii="Verdana" w:eastAsia="Calibri" w:hAnsi="Verdana" w:cstheme="minorBidi"/>
          <w:sz w:val="20"/>
          <w:szCs w:val="20"/>
          <w:lang w:val="en-US"/>
        </w:rPr>
        <w:t xml:space="preserve"> development planning</w:t>
      </w:r>
      <w:r w:rsidR="39889C42" w:rsidRPr="003E2544">
        <w:rPr>
          <w:rFonts w:ascii="Verdana" w:eastAsia="Calibri" w:hAnsi="Verdana" w:cstheme="minorBidi"/>
          <w:sz w:val="20"/>
          <w:szCs w:val="20"/>
          <w:lang w:val="en-US"/>
        </w:rPr>
        <w:t>,</w:t>
      </w:r>
      <w:r w:rsidRPr="003E2544">
        <w:rPr>
          <w:rFonts w:ascii="Verdana" w:eastAsia="Calibri" w:hAnsi="Verdana" w:cstheme="minorBidi"/>
          <w:sz w:val="20"/>
          <w:szCs w:val="20"/>
          <w:lang w:val="en-US"/>
        </w:rPr>
        <w:t xml:space="preserve"> budget </w:t>
      </w:r>
      <w:r w:rsidR="39889C42" w:rsidRPr="003E2544">
        <w:rPr>
          <w:rFonts w:ascii="Verdana" w:eastAsia="Calibri" w:hAnsi="Verdana" w:cstheme="minorBidi"/>
          <w:sz w:val="20"/>
          <w:szCs w:val="20"/>
          <w:lang w:val="en-US"/>
        </w:rPr>
        <w:t xml:space="preserve">preparation and </w:t>
      </w:r>
      <w:r w:rsidR="10CB05CA" w:rsidRPr="003E2544">
        <w:rPr>
          <w:rFonts w:ascii="Verdana" w:eastAsia="Calibri" w:hAnsi="Verdana" w:cstheme="minorBidi"/>
          <w:sz w:val="20"/>
          <w:szCs w:val="20"/>
          <w:lang w:val="en-US"/>
        </w:rPr>
        <w:t xml:space="preserve">budget </w:t>
      </w:r>
      <w:r w:rsidRPr="003E2544">
        <w:rPr>
          <w:rFonts w:ascii="Verdana" w:eastAsia="Calibri" w:hAnsi="Verdana" w:cstheme="minorBidi"/>
          <w:sz w:val="20"/>
          <w:szCs w:val="20"/>
          <w:lang w:val="en-US"/>
        </w:rPr>
        <w:t>execution</w:t>
      </w:r>
      <w:r w:rsidR="6FF5CF43" w:rsidRPr="003E2544">
        <w:rPr>
          <w:rFonts w:ascii="Verdana" w:eastAsia="Calibri" w:hAnsi="Verdana" w:cstheme="minorBidi"/>
          <w:sz w:val="20"/>
          <w:szCs w:val="20"/>
          <w:lang w:val="en-US"/>
        </w:rPr>
        <w:t>.</w:t>
      </w:r>
      <w:r w:rsidRPr="003E2544">
        <w:rPr>
          <w:rFonts w:ascii="Verdana" w:eastAsia="Calibri" w:hAnsi="Verdana" w:cstheme="minorBidi"/>
          <w:sz w:val="20"/>
          <w:szCs w:val="20"/>
          <w:lang w:val="en-US"/>
        </w:rPr>
        <w:t xml:space="preserve"> </w:t>
      </w:r>
      <w:r w:rsidR="4DBB4510" w:rsidRPr="003E2544">
        <w:rPr>
          <w:rFonts w:ascii="Verdana" w:eastAsia="Calibri" w:hAnsi="Verdana" w:cstheme="minorBidi"/>
          <w:sz w:val="20"/>
          <w:szCs w:val="20"/>
          <w:lang w:val="en-US"/>
        </w:rPr>
        <w:t xml:space="preserve">UNICEF and UNDP have joint workplans with MoFP. </w:t>
      </w:r>
    </w:p>
    <w:p w14:paraId="1D437D06" w14:textId="77777777" w:rsidR="00B37D25" w:rsidRPr="003E2544" w:rsidRDefault="00B37D25" w:rsidP="00245274">
      <w:pPr>
        <w:spacing w:line="240" w:lineRule="auto"/>
        <w:jc w:val="both"/>
        <w:rPr>
          <w:rFonts w:ascii="Verdana" w:eastAsia="Calibri" w:hAnsi="Verdana" w:cstheme="minorBidi"/>
          <w:sz w:val="20"/>
          <w:szCs w:val="20"/>
        </w:rPr>
      </w:pPr>
    </w:p>
    <w:p w14:paraId="7D0D6BFF" w14:textId="6259894A" w:rsidR="00BF03C6" w:rsidRPr="003E2544" w:rsidRDefault="005E2240" w:rsidP="00245274">
      <w:pPr>
        <w:pStyle w:val="ListParagraph"/>
        <w:numPr>
          <w:ilvl w:val="0"/>
          <w:numId w:val="70"/>
        </w:numPr>
        <w:spacing w:line="240" w:lineRule="auto"/>
        <w:ind w:left="360"/>
        <w:rPr>
          <w:rFonts w:ascii="Verdana" w:eastAsia="Calibri" w:hAnsi="Verdana" w:cstheme="minorBidi"/>
          <w:sz w:val="20"/>
          <w:szCs w:val="20"/>
          <w:lang w:val="en-US"/>
        </w:rPr>
      </w:pPr>
      <w:r w:rsidRPr="003E2544">
        <w:rPr>
          <w:rFonts w:ascii="Verdana" w:eastAsia="Calibri" w:hAnsi="Verdana" w:cstheme="minorHAnsi"/>
          <w:b/>
          <w:bCs/>
          <w:sz w:val="20"/>
          <w:szCs w:val="20"/>
          <w:lang w:val="en-US"/>
        </w:rPr>
        <w:t xml:space="preserve">Line </w:t>
      </w:r>
      <w:r w:rsidR="008D4C64" w:rsidRPr="003E2544">
        <w:rPr>
          <w:rFonts w:ascii="Verdana" w:eastAsia="Calibri" w:hAnsi="Verdana" w:cstheme="minorHAnsi"/>
          <w:b/>
          <w:bCs/>
          <w:sz w:val="20"/>
          <w:szCs w:val="20"/>
          <w:lang w:val="en-US"/>
        </w:rPr>
        <w:t>M</w:t>
      </w:r>
      <w:r w:rsidRPr="003E2544">
        <w:rPr>
          <w:rFonts w:ascii="Verdana" w:eastAsia="Calibri" w:hAnsi="Verdana" w:cstheme="minorHAnsi"/>
          <w:b/>
          <w:bCs/>
          <w:sz w:val="20"/>
          <w:szCs w:val="20"/>
          <w:lang w:val="en-US"/>
        </w:rPr>
        <w:t>inistries (</w:t>
      </w:r>
      <w:proofErr w:type="spellStart"/>
      <w:r w:rsidR="00B01559">
        <w:rPr>
          <w:rFonts w:ascii="Verdana" w:eastAsia="Calibri" w:hAnsi="Verdana" w:cstheme="minorHAnsi"/>
          <w:b/>
          <w:bCs/>
          <w:sz w:val="20"/>
          <w:szCs w:val="20"/>
          <w:lang w:val="en-US"/>
        </w:rPr>
        <w:t>MoE</w:t>
      </w:r>
      <w:proofErr w:type="spellEnd"/>
      <w:r w:rsidR="00B01559">
        <w:rPr>
          <w:rFonts w:ascii="Verdana" w:eastAsia="Calibri" w:hAnsi="Verdana" w:cstheme="minorHAnsi"/>
          <w:b/>
          <w:bCs/>
          <w:sz w:val="20"/>
          <w:szCs w:val="20"/>
          <w:lang w:val="en-US"/>
        </w:rPr>
        <w:t xml:space="preserve">, </w:t>
      </w:r>
      <w:proofErr w:type="spellStart"/>
      <w:r w:rsidR="00B01559">
        <w:rPr>
          <w:rFonts w:ascii="Verdana" w:eastAsia="Calibri" w:hAnsi="Verdana" w:cstheme="minorHAnsi"/>
          <w:b/>
          <w:bCs/>
          <w:sz w:val="20"/>
          <w:szCs w:val="20"/>
          <w:lang w:val="en-US"/>
        </w:rPr>
        <w:t>MoH</w:t>
      </w:r>
      <w:proofErr w:type="spellEnd"/>
      <w:r w:rsidR="00B01559">
        <w:rPr>
          <w:rFonts w:ascii="Verdana" w:eastAsia="Calibri" w:hAnsi="Verdana" w:cstheme="minorHAnsi"/>
          <w:b/>
          <w:bCs/>
          <w:sz w:val="20"/>
          <w:szCs w:val="20"/>
          <w:lang w:val="en-US"/>
        </w:rPr>
        <w:t xml:space="preserve"> and </w:t>
      </w:r>
      <w:proofErr w:type="spellStart"/>
      <w:r w:rsidR="00B01559">
        <w:rPr>
          <w:rFonts w:ascii="Verdana" w:eastAsia="Calibri" w:hAnsi="Verdana" w:cstheme="minorHAnsi"/>
          <w:b/>
          <w:bCs/>
          <w:sz w:val="20"/>
          <w:szCs w:val="20"/>
          <w:lang w:val="en-US"/>
        </w:rPr>
        <w:t>MoGCSW</w:t>
      </w:r>
      <w:proofErr w:type="spellEnd"/>
      <w:r w:rsidRPr="003E2544">
        <w:rPr>
          <w:rFonts w:ascii="Verdana" w:eastAsia="Calibri" w:hAnsi="Verdana" w:cstheme="minorHAnsi"/>
          <w:b/>
          <w:bCs/>
          <w:sz w:val="20"/>
          <w:szCs w:val="20"/>
          <w:lang w:val="en-US"/>
        </w:rPr>
        <w:t>)</w:t>
      </w:r>
      <w:r w:rsidR="00283F71" w:rsidRPr="003E2544">
        <w:rPr>
          <w:rFonts w:ascii="Verdana" w:eastAsia="Calibri" w:hAnsi="Verdana" w:cstheme="minorHAnsi"/>
          <w:b/>
          <w:bCs/>
          <w:sz w:val="20"/>
          <w:szCs w:val="20"/>
          <w:lang w:val="en-US"/>
        </w:rPr>
        <w:t xml:space="preserve"> </w:t>
      </w:r>
      <w:r w:rsidR="00283F71" w:rsidRPr="003E2544">
        <w:rPr>
          <w:rFonts w:ascii="Verdana" w:eastAsia="Calibri" w:hAnsi="Verdana" w:cstheme="minorHAnsi"/>
          <w:sz w:val="20"/>
          <w:szCs w:val="20"/>
          <w:lang w:val="en-US"/>
        </w:rPr>
        <w:t xml:space="preserve">are </w:t>
      </w:r>
      <w:r w:rsidRPr="003E2544">
        <w:rPr>
          <w:rFonts w:ascii="Verdana" w:eastAsia="Calibri" w:hAnsi="Verdana" w:cstheme="minorHAnsi"/>
          <w:sz w:val="20"/>
          <w:szCs w:val="20"/>
          <w:lang w:val="en-US"/>
        </w:rPr>
        <w:t>policy and oversight</w:t>
      </w:r>
      <w:r w:rsidR="00B01559">
        <w:rPr>
          <w:rFonts w:ascii="Verdana" w:eastAsia="Calibri" w:hAnsi="Verdana" w:cstheme="minorHAnsi"/>
          <w:sz w:val="20"/>
          <w:szCs w:val="20"/>
          <w:lang w:val="en-US"/>
        </w:rPr>
        <w:t>,</w:t>
      </w:r>
      <w:r w:rsidRPr="003E2544">
        <w:rPr>
          <w:rFonts w:ascii="Verdana" w:eastAsia="Calibri" w:hAnsi="Verdana" w:cstheme="minorHAnsi"/>
          <w:sz w:val="20"/>
          <w:szCs w:val="20"/>
          <w:lang w:val="en-US"/>
        </w:rPr>
        <w:t xml:space="preserve"> </w:t>
      </w:r>
      <w:r w:rsidR="009041C8" w:rsidRPr="003E2544">
        <w:rPr>
          <w:rFonts w:ascii="Verdana" w:eastAsia="Calibri" w:hAnsi="Verdana" w:cstheme="minorHAnsi"/>
          <w:sz w:val="20"/>
          <w:szCs w:val="20"/>
          <w:lang w:val="en-US"/>
        </w:rPr>
        <w:t xml:space="preserve">and </w:t>
      </w:r>
      <w:r w:rsidR="003D7F97" w:rsidRPr="003E2544">
        <w:rPr>
          <w:rFonts w:ascii="Verdana" w:eastAsia="Calibri" w:hAnsi="Verdana" w:cstheme="minorHAnsi"/>
          <w:sz w:val="20"/>
          <w:szCs w:val="20"/>
          <w:lang w:val="en-US"/>
        </w:rPr>
        <w:t xml:space="preserve">direct </w:t>
      </w:r>
      <w:r w:rsidR="009041C8" w:rsidRPr="003E2544">
        <w:rPr>
          <w:rFonts w:ascii="Verdana" w:eastAsia="Calibri" w:hAnsi="Verdana" w:cstheme="minorHAnsi"/>
          <w:sz w:val="20"/>
          <w:szCs w:val="20"/>
          <w:lang w:val="en-US"/>
        </w:rPr>
        <w:t xml:space="preserve">service </w:t>
      </w:r>
      <w:r w:rsidR="003D7F97" w:rsidRPr="003E2544">
        <w:rPr>
          <w:rFonts w:ascii="Verdana" w:eastAsia="Calibri" w:hAnsi="Verdana" w:cstheme="minorHAnsi"/>
          <w:sz w:val="20"/>
          <w:szCs w:val="20"/>
          <w:lang w:val="en-US"/>
        </w:rPr>
        <w:t>delivery agents</w:t>
      </w:r>
      <w:r w:rsidR="00B01559">
        <w:rPr>
          <w:rFonts w:ascii="Verdana" w:eastAsia="Calibri" w:hAnsi="Verdana" w:cstheme="minorHAnsi"/>
          <w:sz w:val="20"/>
          <w:szCs w:val="20"/>
          <w:lang w:val="en-US"/>
        </w:rPr>
        <w:t xml:space="preserve">. Line Ministries </w:t>
      </w:r>
      <w:r w:rsidR="003D7F97" w:rsidRPr="003E2544">
        <w:rPr>
          <w:rFonts w:ascii="Verdana" w:eastAsia="Calibri" w:hAnsi="Verdana" w:cstheme="minorHAnsi"/>
          <w:sz w:val="20"/>
          <w:szCs w:val="20"/>
          <w:lang w:val="en-US"/>
        </w:rPr>
        <w:t xml:space="preserve">are a conduit of funds to delivery units and </w:t>
      </w:r>
      <w:r w:rsidR="009041C8" w:rsidRPr="003E2544">
        <w:rPr>
          <w:rFonts w:ascii="Verdana" w:eastAsia="Calibri" w:hAnsi="Verdana" w:cstheme="minorHAnsi"/>
          <w:sz w:val="20"/>
          <w:szCs w:val="20"/>
          <w:lang w:val="en-US"/>
        </w:rPr>
        <w:t xml:space="preserve">influence </w:t>
      </w:r>
      <w:r w:rsidR="003D7F97" w:rsidRPr="003E2544">
        <w:rPr>
          <w:rFonts w:ascii="Verdana" w:eastAsia="Calibri" w:hAnsi="Verdana" w:cstheme="minorHAnsi"/>
          <w:sz w:val="20"/>
          <w:szCs w:val="20"/>
          <w:lang w:val="en-US"/>
        </w:rPr>
        <w:t>conditional grants and transfers to states.</w:t>
      </w:r>
      <w:r w:rsidR="005C2B14" w:rsidRPr="003E2544">
        <w:rPr>
          <w:rFonts w:ascii="Verdana" w:eastAsia="Calibri" w:hAnsi="Verdana" w:cstheme="minorHAnsi"/>
          <w:sz w:val="20"/>
          <w:szCs w:val="20"/>
          <w:lang w:val="en-US"/>
        </w:rPr>
        <w:t xml:space="preserve"> </w:t>
      </w:r>
      <w:r w:rsidR="0079643F" w:rsidRPr="003E2544">
        <w:rPr>
          <w:rFonts w:ascii="Verdana" w:eastAsia="Calibri" w:hAnsi="Verdana" w:cstheme="minorHAnsi"/>
          <w:sz w:val="20"/>
          <w:szCs w:val="20"/>
          <w:lang w:val="en-US"/>
        </w:rPr>
        <w:t>The JP will build the</w:t>
      </w:r>
      <w:r w:rsidR="009041C8" w:rsidRPr="003E2544">
        <w:rPr>
          <w:rFonts w:ascii="Verdana" w:eastAsia="Calibri" w:hAnsi="Verdana" w:cstheme="minorHAnsi"/>
          <w:sz w:val="20"/>
          <w:szCs w:val="20"/>
          <w:lang w:val="en-US"/>
        </w:rPr>
        <w:t>ir</w:t>
      </w:r>
      <w:r w:rsidR="0079643F" w:rsidRPr="003E2544">
        <w:rPr>
          <w:rFonts w:ascii="Verdana" w:eastAsia="Calibri" w:hAnsi="Verdana" w:cstheme="minorHAnsi"/>
          <w:sz w:val="20"/>
          <w:szCs w:val="20"/>
          <w:lang w:val="en-US"/>
        </w:rPr>
        <w:t xml:space="preserve"> capacity to contribute to credible strategic and development plans, culminat</w:t>
      </w:r>
      <w:r w:rsidR="009041C8" w:rsidRPr="003E2544">
        <w:rPr>
          <w:rFonts w:ascii="Verdana" w:eastAsia="Calibri" w:hAnsi="Verdana" w:cstheme="minorHAnsi"/>
          <w:sz w:val="20"/>
          <w:szCs w:val="20"/>
          <w:lang w:val="en-US"/>
        </w:rPr>
        <w:t>ing</w:t>
      </w:r>
      <w:r w:rsidR="0079643F" w:rsidRPr="003E2544">
        <w:rPr>
          <w:rFonts w:ascii="Verdana" w:eastAsia="Calibri" w:hAnsi="Verdana" w:cstheme="minorHAnsi"/>
          <w:sz w:val="20"/>
          <w:szCs w:val="20"/>
          <w:lang w:val="en-US"/>
        </w:rPr>
        <w:t xml:space="preserve"> in</w:t>
      </w:r>
      <w:r w:rsidR="009041C8" w:rsidRPr="003E2544">
        <w:rPr>
          <w:rFonts w:ascii="Verdana" w:eastAsia="Calibri" w:hAnsi="Verdana" w:cstheme="minorHAnsi"/>
          <w:sz w:val="20"/>
          <w:szCs w:val="20"/>
          <w:lang w:val="en-US"/>
        </w:rPr>
        <w:t xml:space="preserve"> </w:t>
      </w:r>
      <w:r w:rsidR="0079643F" w:rsidRPr="003E2544">
        <w:rPr>
          <w:rFonts w:ascii="Verdana" w:eastAsia="Calibri" w:hAnsi="Verdana" w:cstheme="minorHAnsi"/>
          <w:sz w:val="20"/>
          <w:szCs w:val="20"/>
          <w:lang w:val="en-US"/>
        </w:rPr>
        <w:t>NDS 2022</w:t>
      </w:r>
      <w:r w:rsidR="00B01559">
        <w:rPr>
          <w:rFonts w:ascii="Verdana" w:eastAsia="Calibri" w:hAnsi="Verdana" w:cstheme="minorBidi"/>
          <w:sz w:val="20"/>
          <w:szCs w:val="20"/>
          <w:lang w:val="en-US"/>
        </w:rPr>
        <w:t>–</w:t>
      </w:r>
      <w:r w:rsidR="0079643F" w:rsidRPr="003E2544">
        <w:rPr>
          <w:rFonts w:ascii="Verdana" w:eastAsia="Calibri" w:hAnsi="Verdana" w:cstheme="minorHAnsi"/>
          <w:sz w:val="20"/>
          <w:szCs w:val="20"/>
          <w:lang w:val="en-US"/>
        </w:rPr>
        <w:t>202</w:t>
      </w:r>
      <w:r w:rsidR="00D77659" w:rsidRPr="003E2544">
        <w:rPr>
          <w:rFonts w:ascii="Verdana" w:eastAsia="Calibri" w:hAnsi="Verdana" w:cstheme="minorHAnsi"/>
          <w:sz w:val="20"/>
          <w:szCs w:val="20"/>
          <w:lang w:val="en-US"/>
        </w:rPr>
        <w:t>4</w:t>
      </w:r>
      <w:r w:rsidR="0079643F" w:rsidRPr="003E2544">
        <w:rPr>
          <w:rFonts w:ascii="Verdana" w:eastAsia="Calibri" w:hAnsi="Verdana" w:cstheme="minorHAnsi"/>
          <w:sz w:val="20"/>
          <w:szCs w:val="20"/>
          <w:lang w:val="en-US"/>
        </w:rPr>
        <w:t xml:space="preserve">. As an extension of this, they will provide mentors and trainers to </w:t>
      </w:r>
      <w:r w:rsidR="00B01559">
        <w:rPr>
          <w:rFonts w:ascii="Verdana" w:eastAsia="Calibri" w:hAnsi="Verdana" w:cstheme="minorHAnsi"/>
          <w:sz w:val="20"/>
          <w:szCs w:val="20"/>
          <w:lang w:val="en-US"/>
        </w:rPr>
        <w:t>SDCs</w:t>
      </w:r>
      <w:r w:rsidR="0079643F" w:rsidRPr="003E2544">
        <w:rPr>
          <w:rFonts w:ascii="Verdana" w:eastAsia="Calibri" w:hAnsi="Verdana" w:cstheme="minorHAnsi"/>
          <w:sz w:val="20"/>
          <w:szCs w:val="20"/>
          <w:lang w:val="en-US"/>
        </w:rPr>
        <w:t>.</w:t>
      </w:r>
      <w:r w:rsidR="009203DE" w:rsidRPr="003E2544">
        <w:rPr>
          <w:rFonts w:ascii="Verdana" w:eastAsia="Calibri" w:hAnsi="Verdana" w:cstheme="minorHAnsi"/>
          <w:sz w:val="20"/>
          <w:szCs w:val="20"/>
          <w:lang w:val="en-US"/>
        </w:rPr>
        <w:t xml:space="preserve"> </w:t>
      </w:r>
      <w:r w:rsidR="005C2B14" w:rsidRPr="003E2544">
        <w:rPr>
          <w:rFonts w:ascii="Verdana" w:eastAsia="Calibri" w:hAnsi="Verdana" w:cstheme="minorBidi"/>
          <w:sz w:val="20"/>
          <w:szCs w:val="20"/>
          <w:lang w:val="en-US"/>
        </w:rPr>
        <w:t>M</w:t>
      </w:r>
      <w:r w:rsidR="009203DE" w:rsidRPr="003E2544">
        <w:rPr>
          <w:rFonts w:ascii="Verdana" w:eastAsia="Calibri" w:hAnsi="Verdana" w:cstheme="minorBidi"/>
          <w:sz w:val="20"/>
          <w:szCs w:val="20"/>
          <w:lang w:val="en-US"/>
        </w:rPr>
        <w:t>o</w:t>
      </w:r>
      <w:r w:rsidR="005C2B14" w:rsidRPr="003E2544">
        <w:rPr>
          <w:rFonts w:ascii="Verdana" w:eastAsia="Calibri" w:hAnsi="Verdana" w:cstheme="minorBidi"/>
          <w:sz w:val="20"/>
          <w:szCs w:val="20"/>
          <w:lang w:val="en-US"/>
        </w:rPr>
        <w:t>GCSW</w:t>
      </w:r>
      <w:r w:rsidR="00B37D25" w:rsidRPr="003E2544">
        <w:rPr>
          <w:rFonts w:ascii="Verdana" w:eastAsia="Calibri" w:hAnsi="Verdana" w:cstheme="minorBidi"/>
          <w:sz w:val="20"/>
          <w:szCs w:val="20"/>
          <w:lang w:val="en-US"/>
        </w:rPr>
        <w:t xml:space="preserve"> </w:t>
      </w:r>
      <w:r w:rsidR="00530696" w:rsidRPr="003E2544">
        <w:rPr>
          <w:rFonts w:ascii="Verdana" w:eastAsia="Calibri" w:hAnsi="Verdana" w:cstheme="minorBidi"/>
          <w:sz w:val="20"/>
          <w:szCs w:val="20"/>
          <w:lang w:val="en-US"/>
        </w:rPr>
        <w:t>will</w:t>
      </w:r>
      <w:r w:rsidR="00B37D25" w:rsidRPr="003E2544">
        <w:rPr>
          <w:rFonts w:ascii="Verdana" w:eastAsia="Calibri" w:hAnsi="Verdana" w:cstheme="minorBidi"/>
          <w:sz w:val="20"/>
          <w:szCs w:val="20"/>
          <w:lang w:val="en-US"/>
        </w:rPr>
        <w:t xml:space="preserve"> also</w:t>
      </w:r>
      <w:r w:rsidR="00530696" w:rsidRPr="003E2544">
        <w:rPr>
          <w:rFonts w:ascii="Verdana" w:eastAsia="Calibri" w:hAnsi="Verdana" w:cstheme="minorBidi"/>
          <w:sz w:val="20"/>
          <w:szCs w:val="20"/>
          <w:lang w:val="en-US"/>
        </w:rPr>
        <w:t xml:space="preserve"> </w:t>
      </w:r>
      <w:r w:rsidR="0077067C" w:rsidRPr="003E2544">
        <w:rPr>
          <w:rFonts w:ascii="Verdana" w:eastAsia="Calibri" w:hAnsi="Verdana" w:cstheme="minorBidi"/>
          <w:sz w:val="20"/>
          <w:szCs w:val="20"/>
          <w:lang w:val="en-US"/>
        </w:rPr>
        <w:t>provide</w:t>
      </w:r>
      <w:r w:rsidR="00530696" w:rsidRPr="003E2544">
        <w:rPr>
          <w:rFonts w:ascii="Verdana" w:eastAsia="Calibri" w:hAnsi="Verdana" w:cstheme="minorBidi"/>
          <w:sz w:val="20"/>
          <w:szCs w:val="20"/>
          <w:lang w:val="en-US"/>
        </w:rPr>
        <w:t xml:space="preserve"> </w:t>
      </w:r>
      <w:r w:rsidR="00B01559">
        <w:rPr>
          <w:rFonts w:ascii="Verdana" w:eastAsia="Calibri" w:hAnsi="Verdana" w:cstheme="minorBidi"/>
          <w:sz w:val="20"/>
          <w:szCs w:val="20"/>
          <w:lang w:val="en-US"/>
        </w:rPr>
        <w:t>training of trainers (</w:t>
      </w:r>
      <w:proofErr w:type="spellStart"/>
      <w:r w:rsidR="00B01559">
        <w:rPr>
          <w:rFonts w:ascii="Verdana" w:eastAsia="Calibri" w:hAnsi="Verdana" w:cstheme="minorBidi"/>
          <w:sz w:val="20"/>
          <w:szCs w:val="20"/>
          <w:lang w:val="en-US"/>
        </w:rPr>
        <w:t>ToT</w:t>
      </w:r>
      <w:proofErr w:type="spellEnd"/>
      <w:r w:rsidR="00B01559">
        <w:rPr>
          <w:rFonts w:ascii="Verdana" w:eastAsia="Calibri" w:hAnsi="Verdana" w:cstheme="minorBidi"/>
          <w:sz w:val="20"/>
          <w:szCs w:val="20"/>
          <w:lang w:val="en-US"/>
        </w:rPr>
        <w:t>)</w:t>
      </w:r>
      <w:r w:rsidR="0077067C" w:rsidRPr="003E2544">
        <w:rPr>
          <w:rFonts w:ascii="Verdana" w:eastAsia="Calibri" w:hAnsi="Verdana" w:cstheme="minorBidi"/>
          <w:sz w:val="20"/>
          <w:szCs w:val="20"/>
          <w:lang w:val="en-US"/>
        </w:rPr>
        <w:t xml:space="preserve"> and state mentor support </w:t>
      </w:r>
      <w:r w:rsidR="00530696" w:rsidRPr="003E2544">
        <w:rPr>
          <w:rFonts w:ascii="Verdana" w:eastAsia="Calibri" w:hAnsi="Verdana" w:cstheme="minorBidi"/>
          <w:sz w:val="20"/>
          <w:szCs w:val="20"/>
          <w:lang w:val="en-US"/>
        </w:rPr>
        <w:t>in gender equity, women’s empowerment, services to vulnerable groups</w:t>
      </w:r>
      <w:r w:rsidR="0077067C" w:rsidRPr="003E2544">
        <w:rPr>
          <w:rFonts w:ascii="Verdana" w:eastAsia="Calibri" w:hAnsi="Verdana" w:cstheme="minorBidi"/>
          <w:sz w:val="20"/>
          <w:szCs w:val="20"/>
          <w:lang w:val="en-US"/>
        </w:rPr>
        <w:t xml:space="preserve"> (including </w:t>
      </w:r>
      <w:r w:rsidR="00B01559">
        <w:rPr>
          <w:rFonts w:ascii="Verdana" w:eastAsia="Calibri" w:hAnsi="Verdana" w:cstheme="minorBidi"/>
          <w:sz w:val="20"/>
          <w:szCs w:val="20"/>
          <w:lang w:val="en-US"/>
        </w:rPr>
        <w:t>persons with disabilities</w:t>
      </w:r>
      <w:r w:rsidR="0077067C" w:rsidRPr="003E2544">
        <w:rPr>
          <w:rFonts w:ascii="Verdana" w:eastAsia="Calibri" w:hAnsi="Verdana" w:cstheme="minorBidi"/>
          <w:sz w:val="20"/>
          <w:szCs w:val="20"/>
          <w:lang w:val="en-US"/>
        </w:rPr>
        <w:t xml:space="preserve">); </w:t>
      </w:r>
      <w:r w:rsidR="009041C8" w:rsidRPr="003E2544">
        <w:rPr>
          <w:rFonts w:ascii="Verdana" w:eastAsia="Calibri" w:hAnsi="Verdana" w:cstheme="minorBidi"/>
          <w:sz w:val="20"/>
          <w:szCs w:val="20"/>
          <w:lang w:val="en-US"/>
        </w:rPr>
        <w:t xml:space="preserve">and </w:t>
      </w:r>
      <w:r w:rsidR="00530696" w:rsidRPr="003E2544">
        <w:rPr>
          <w:rFonts w:ascii="Verdana" w:eastAsia="Calibri" w:hAnsi="Verdana" w:cstheme="minorBidi"/>
          <w:sz w:val="20"/>
          <w:szCs w:val="20"/>
          <w:lang w:val="en-US"/>
        </w:rPr>
        <w:t xml:space="preserve">social protection </w:t>
      </w:r>
      <w:r w:rsidR="009041C8" w:rsidRPr="003E2544">
        <w:rPr>
          <w:rFonts w:ascii="Verdana" w:eastAsia="Calibri" w:hAnsi="Verdana" w:cstheme="minorBidi"/>
          <w:sz w:val="20"/>
          <w:szCs w:val="20"/>
          <w:lang w:val="en-US"/>
        </w:rPr>
        <w:t xml:space="preserve">(including </w:t>
      </w:r>
      <w:r w:rsidR="00530696" w:rsidRPr="003E2544">
        <w:rPr>
          <w:rFonts w:ascii="Verdana" w:eastAsia="Calibri" w:hAnsi="Verdana" w:cstheme="minorBidi"/>
          <w:sz w:val="20"/>
          <w:szCs w:val="20"/>
          <w:lang w:val="en-US"/>
        </w:rPr>
        <w:t>child protection</w:t>
      </w:r>
      <w:r w:rsidR="271F5D6C" w:rsidRPr="003E2544">
        <w:rPr>
          <w:rFonts w:ascii="Verdana" w:eastAsia="Calibri" w:hAnsi="Verdana" w:cstheme="minorBidi"/>
          <w:sz w:val="20"/>
          <w:szCs w:val="20"/>
          <w:lang w:val="en-US"/>
        </w:rPr>
        <w:t>)</w:t>
      </w:r>
      <w:r w:rsidR="00530696" w:rsidRPr="003E2544">
        <w:rPr>
          <w:rFonts w:ascii="Verdana" w:eastAsia="Calibri" w:hAnsi="Verdana" w:cstheme="minorBidi"/>
          <w:sz w:val="20"/>
          <w:szCs w:val="20"/>
          <w:lang w:val="en-US"/>
        </w:rPr>
        <w:t xml:space="preserve">. </w:t>
      </w:r>
      <w:r w:rsidR="00B01559" w:rsidRPr="003E2544">
        <w:rPr>
          <w:rFonts w:ascii="Verdana" w:eastAsia="Calibri" w:hAnsi="Verdana" w:cstheme="minorHAnsi"/>
          <w:sz w:val="20"/>
          <w:szCs w:val="20"/>
          <w:lang w:val="en-US"/>
        </w:rPr>
        <w:t>UNICEF is supporting the implementation of the</w:t>
      </w:r>
      <w:r w:rsidR="00B01559">
        <w:rPr>
          <w:rFonts w:ascii="Verdana" w:eastAsia="Calibri" w:hAnsi="Verdana" w:cstheme="minorHAnsi"/>
          <w:sz w:val="20"/>
          <w:szCs w:val="20"/>
          <w:lang w:val="en-US"/>
        </w:rPr>
        <w:t>ir respective</w:t>
      </w:r>
      <w:r w:rsidR="00B01559" w:rsidRPr="003E2544">
        <w:rPr>
          <w:rFonts w:ascii="Verdana" w:eastAsia="Calibri" w:hAnsi="Verdana" w:cstheme="minorHAnsi"/>
          <w:sz w:val="20"/>
          <w:szCs w:val="20"/>
          <w:lang w:val="en-US"/>
        </w:rPr>
        <w:t xml:space="preserve"> joint workplans</w:t>
      </w:r>
      <w:r w:rsidR="00B01559">
        <w:rPr>
          <w:rFonts w:ascii="Verdana" w:eastAsia="Calibri" w:hAnsi="Verdana" w:cstheme="minorHAnsi"/>
          <w:sz w:val="20"/>
          <w:szCs w:val="20"/>
          <w:lang w:val="en-US"/>
        </w:rPr>
        <w:t xml:space="preserve"> </w:t>
      </w:r>
      <w:r w:rsidR="00B01559" w:rsidRPr="003E2544">
        <w:rPr>
          <w:rFonts w:ascii="Verdana" w:eastAsia="Calibri" w:hAnsi="Verdana" w:cstheme="minorHAnsi"/>
          <w:sz w:val="20"/>
          <w:szCs w:val="20"/>
          <w:lang w:val="en-US"/>
        </w:rPr>
        <w:t>2019</w:t>
      </w:r>
      <w:r w:rsidR="00B01559">
        <w:rPr>
          <w:rFonts w:ascii="Verdana" w:eastAsia="Calibri" w:hAnsi="Verdana" w:cstheme="minorBidi"/>
          <w:sz w:val="20"/>
          <w:szCs w:val="20"/>
          <w:lang w:val="en-US"/>
        </w:rPr>
        <w:t>–</w:t>
      </w:r>
      <w:r w:rsidR="00B01559" w:rsidRPr="003E2544">
        <w:rPr>
          <w:rFonts w:ascii="Verdana" w:eastAsia="Calibri" w:hAnsi="Verdana" w:cstheme="minorHAnsi"/>
          <w:sz w:val="20"/>
          <w:szCs w:val="20"/>
          <w:lang w:val="en-US"/>
        </w:rPr>
        <w:t>2021</w:t>
      </w:r>
      <w:r w:rsidR="00B01559">
        <w:rPr>
          <w:rFonts w:ascii="Verdana" w:eastAsia="Calibri" w:hAnsi="Verdana" w:cstheme="minorHAnsi"/>
          <w:sz w:val="20"/>
          <w:szCs w:val="20"/>
          <w:lang w:val="en-US"/>
        </w:rPr>
        <w:t xml:space="preserve">, such as on </w:t>
      </w:r>
      <w:r w:rsidR="00B01559" w:rsidRPr="003E2544">
        <w:rPr>
          <w:rFonts w:ascii="Verdana" w:eastAsia="Calibri" w:hAnsi="Verdana" w:cstheme="minorBidi"/>
          <w:sz w:val="20"/>
          <w:szCs w:val="20"/>
          <w:lang w:val="en-US"/>
        </w:rPr>
        <w:t>child protection and social protection</w:t>
      </w:r>
      <w:r w:rsidR="00B01559">
        <w:rPr>
          <w:rFonts w:ascii="Verdana" w:eastAsia="Calibri" w:hAnsi="Verdana" w:cstheme="minorBidi"/>
          <w:sz w:val="20"/>
          <w:szCs w:val="20"/>
          <w:lang w:val="en-US"/>
        </w:rPr>
        <w:t xml:space="preserve"> with </w:t>
      </w:r>
      <w:r w:rsidR="00B01559" w:rsidRPr="003E2544">
        <w:rPr>
          <w:rFonts w:ascii="Verdana" w:eastAsia="Calibri" w:hAnsi="Verdana" w:cstheme="minorBidi"/>
          <w:sz w:val="20"/>
          <w:szCs w:val="20"/>
          <w:lang w:val="en-US"/>
        </w:rPr>
        <w:t>MoGCSW</w:t>
      </w:r>
      <w:r w:rsidR="00B01559" w:rsidRPr="003E2544">
        <w:rPr>
          <w:rFonts w:ascii="Verdana" w:eastAsia="Calibri" w:hAnsi="Verdana" w:cstheme="minorHAnsi"/>
          <w:sz w:val="20"/>
          <w:szCs w:val="20"/>
          <w:lang w:val="en-US"/>
        </w:rPr>
        <w:t xml:space="preserve">. </w:t>
      </w:r>
    </w:p>
    <w:p w14:paraId="698AF3DE" w14:textId="77777777" w:rsidR="00B37D25" w:rsidRPr="003E2544" w:rsidRDefault="00B37D25" w:rsidP="00245274">
      <w:pPr>
        <w:spacing w:line="240" w:lineRule="auto"/>
        <w:jc w:val="both"/>
        <w:rPr>
          <w:rFonts w:ascii="Verdana" w:eastAsia="Calibri" w:hAnsi="Verdana" w:cstheme="minorBidi"/>
          <w:sz w:val="20"/>
          <w:szCs w:val="20"/>
        </w:rPr>
      </w:pPr>
    </w:p>
    <w:p w14:paraId="74A385A7" w14:textId="57DF205E" w:rsidR="00BF03C6" w:rsidRPr="003E2544" w:rsidRDefault="005E2240" w:rsidP="00245274">
      <w:pPr>
        <w:pStyle w:val="ListParagraph"/>
        <w:numPr>
          <w:ilvl w:val="0"/>
          <w:numId w:val="70"/>
        </w:numPr>
        <w:spacing w:line="240" w:lineRule="auto"/>
        <w:ind w:left="360"/>
        <w:rPr>
          <w:rFonts w:ascii="Verdana" w:eastAsia="Calibri" w:hAnsi="Verdana" w:cstheme="minorBidi"/>
          <w:sz w:val="20"/>
          <w:szCs w:val="20"/>
          <w:lang w:val="en-US"/>
        </w:rPr>
      </w:pPr>
      <w:r w:rsidRPr="003E2544">
        <w:rPr>
          <w:rFonts w:ascii="Verdana" w:eastAsia="Calibri" w:hAnsi="Verdana" w:cstheme="minorBidi"/>
          <w:b/>
          <w:bCs/>
          <w:sz w:val="20"/>
          <w:szCs w:val="20"/>
          <w:lang w:val="en-US"/>
        </w:rPr>
        <w:t>National Revenue Authority</w:t>
      </w:r>
      <w:r w:rsidR="00D85493" w:rsidRPr="003E2544">
        <w:rPr>
          <w:rFonts w:ascii="Verdana" w:eastAsia="Calibri" w:hAnsi="Verdana" w:cstheme="minorBidi"/>
          <w:b/>
          <w:bCs/>
          <w:sz w:val="20"/>
          <w:szCs w:val="20"/>
          <w:lang w:val="en-US"/>
        </w:rPr>
        <w:t xml:space="preserve"> (NRA)</w:t>
      </w:r>
      <w:r w:rsidR="00D85493" w:rsidRPr="003E2544">
        <w:rPr>
          <w:rFonts w:ascii="Verdana" w:eastAsia="Calibri" w:hAnsi="Verdana" w:cstheme="minorBidi"/>
          <w:sz w:val="20"/>
          <w:szCs w:val="20"/>
          <w:lang w:val="en-US"/>
        </w:rPr>
        <w:t xml:space="preserve"> </w:t>
      </w:r>
      <w:r w:rsidR="00BF03C6" w:rsidRPr="003E2544">
        <w:rPr>
          <w:rFonts w:ascii="Verdana" w:eastAsia="Calibri" w:hAnsi="Verdana" w:cstheme="minorBidi"/>
          <w:sz w:val="20"/>
          <w:szCs w:val="20"/>
          <w:lang w:val="en-US"/>
        </w:rPr>
        <w:t xml:space="preserve">collects taxes </w:t>
      </w:r>
      <w:r w:rsidR="009041C8" w:rsidRPr="003E2544">
        <w:rPr>
          <w:rFonts w:ascii="Verdana" w:eastAsia="Calibri" w:hAnsi="Verdana" w:cstheme="minorBidi"/>
          <w:sz w:val="20"/>
          <w:szCs w:val="20"/>
          <w:lang w:val="en-US"/>
        </w:rPr>
        <w:t>an</w:t>
      </w:r>
      <w:r w:rsidR="02170B1F" w:rsidRPr="003E2544">
        <w:rPr>
          <w:rFonts w:ascii="Verdana" w:eastAsia="Calibri" w:hAnsi="Verdana" w:cstheme="minorBidi"/>
          <w:sz w:val="20"/>
          <w:szCs w:val="20"/>
          <w:lang w:val="en-US"/>
        </w:rPr>
        <w:t>d</w:t>
      </w:r>
      <w:r w:rsidR="009041C8" w:rsidRPr="003E2544">
        <w:rPr>
          <w:rFonts w:ascii="Verdana" w:eastAsia="Calibri" w:hAnsi="Verdana" w:cstheme="minorBidi"/>
          <w:sz w:val="20"/>
          <w:szCs w:val="20"/>
          <w:lang w:val="en-US"/>
        </w:rPr>
        <w:t xml:space="preserve"> receives </w:t>
      </w:r>
      <w:r w:rsidRPr="003E2544">
        <w:rPr>
          <w:rFonts w:ascii="Verdana" w:eastAsia="Calibri" w:hAnsi="Verdana" w:cstheme="minorBidi"/>
          <w:sz w:val="20"/>
          <w:szCs w:val="20"/>
          <w:lang w:val="en-US"/>
        </w:rPr>
        <w:t xml:space="preserve">taxes </w:t>
      </w:r>
      <w:r w:rsidR="009041C8" w:rsidRPr="003E2544">
        <w:rPr>
          <w:rFonts w:ascii="Verdana" w:eastAsia="Calibri" w:hAnsi="Verdana" w:cstheme="minorBidi"/>
          <w:sz w:val="20"/>
          <w:szCs w:val="20"/>
          <w:lang w:val="en-US"/>
        </w:rPr>
        <w:t xml:space="preserve">from SRAs. </w:t>
      </w:r>
      <w:r w:rsidR="00D33A66" w:rsidRPr="003E2544">
        <w:rPr>
          <w:rFonts w:ascii="Verdana" w:eastAsia="Calibri" w:hAnsi="Verdana" w:cstheme="minorBidi"/>
          <w:sz w:val="20"/>
          <w:szCs w:val="20"/>
          <w:lang w:val="en-US"/>
        </w:rPr>
        <w:t xml:space="preserve">With </w:t>
      </w:r>
      <w:r w:rsidR="00E11021" w:rsidRPr="003E2544">
        <w:rPr>
          <w:rFonts w:ascii="Verdana" w:eastAsia="Calibri" w:hAnsi="Verdana" w:cstheme="minorBidi"/>
          <w:sz w:val="20"/>
          <w:szCs w:val="20"/>
          <w:lang w:val="en-US"/>
        </w:rPr>
        <w:t>support</w:t>
      </w:r>
      <w:r w:rsidR="00BF03C6" w:rsidRPr="003E2544">
        <w:rPr>
          <w:rFonts w:ascii="Verdana" w:eastAsia="Calibri" w:hAnsi="Verdana" w:cstheme="minorBidi"/>
          <w:sz w:val="20"/>
          <w:szCs w:val="20"/>
          <w:lang w:val="en-US"/>
        </w:rPr>
        <w:t xml:space="preserve"> </w:t>
      </w:r>
      <w:r w:rsidR="009041C8" w:rsidRPr="003E2544">
        <w:rPr>
          <w:rFonts w:ascii="Verdana" w:eastAsia="Calibri" w:hAnsi="Verdana" w:cstheme="minorBidi"/>
          <w:sz w:val="20"/>
          <w:szCs w:val="20"/>
          <w:lang w:val="en-US"/>
        </w:rPr>
        <w:t xml:space="preserve">from </w:t>
      </w:r>
      <w:r w:rsidR="00BF03C6" w:rsidRPr="003E2544">
        <w:rPr>
          <w:rFonts w:ascii="Verdana" w:eastAsia="Calibri" w:hAnsi="Verdana" w:cstheme="minorBidi"/>
          <w:sz w:val="20"/>
          <w:szCs w:val="20"/>
          <w:lang w:val="en-US"/>
        </w:rPr>
        <w:t>the JP</w:t>
      </w:r>
      <w:r w:rsidR="00D33A66" w:rsidRPr="003E2544">
        <w:rPr>
          <w:rFonts w:ascii="Verdana" w:eastAsia="Calibri" w:hAnsi="Verdana" w:cstheme="minorBidi"/>
          <w:sz w:val="20"/>
          <w:szCs w:val="20"/>
          <w:lang w:val="en-US"/>
        </w:rPr>
        <w:t xml:space="preserve">, </w:t>
      </w:r>
      <w:r w:rsidR="00BF03C6" w:rsidRPr="003E2544">
        <w:rPr>
          <w:rFonts w:ascii="Verdana" w:eastAsia="Calibri" w:hAnsi="Verdana" w:cstheme="minorBidi"/>
          <w:sz w:val="20"/>
          <w:szCs w:val="20"/>
          <w:lang w:val="en-US"/>
        </w:rPr>
        <w:t xml:space="preserve">the </w:t>
      </w:r>
      <w:r w:rsidR="00AA1BF3" w:rsidRPr="003E2544">
        <w:rPr>
          <w:rFonts w:ascii="Verdana" w:eastAsia="Calibri" w:hAnsi="Verdana" w:cstheme="minorBidi"/>
          <w:sz w:val="20"/>
          <w:szCs w:val="20"/>
          <w:lang w:val="en-US"/>
        </w:rPr>
        <w:t xml:space="preserve">NRA will </w:t>
      </w:r>
      <w:r w:rsidR="00BF03C6" w:rsidRPr="003E2544">
        <w:rPr>
          <w:rFonts w:ascii="Verdana" w:eastAsia="Calibri" w:hAnsi="Verdana" w:cstheme="minorBidi"/>
          <w:sz w:val="20"/>
          <w:szCs w:val="20"/>
          <w:lang w:val="en-US"/>
        </w:rPr>
        <w:t>provide</w:t>
      </w:r>
      <w:r w:rsidR="00AA1BF3" w:rsidRPr="003E2544">
        <w:rPr>
          <w:rFonts w:ascii="Verdana" w:eastAsia="Calibri" w:hAnsi="Verdana" w:cstheme="minorBidi"/>
          <w:sz w:val="20"/>
          <w:szCs w:val="20"/>
          <w:lang w:val="en-US"/>
        </w:rPr>
        <w:t xml:space="preserve"> c</w:t>
      </w:r>
      <w:r w:rsidRPr="003E2544">
        <w:rPr>
          <w:rFonts w:ascii="Verdana" w:eastAsia="Calibri" w:hAnsi="Verdana" w:cstheme="minorBidi"/>
          <w:sz w:val="20"/>
          <w:szCs w:val="20"/>
          <w:lang w:val="en-US"/>
        </w:rPr>
        <w:t xml:space="preserve">oordination </w:t>
      </w:r>
      <w:r w:rsidR="00BF03C6" w:rsidRPr="003E2544">
        <w:rPr>
          <w:rFonts w:ascii="Verdana" w:eastAsia="Calibri" w:hAnsi="Verdana" w:cstheme="minorBidi"/>
          <w:sz w:val="20"/>
          <w:szCs w:val="20"/>
          <w:lang w:val="en-US"/>
        </w:rPr>
        <w:t xml:space="preserve">between </w:t>
      </w:r>
      <w:r w:rsidR="00B01559">
        <w:rPr>
          <w:rFonts w:ascii="Verdana" w:eastAsia="Calibri" w:hAnsi="Verdana" w:cstheme="minorBidi"/>
          <w:sz w:val="20"/>
          <w:szCs w:val="20"/>
          <w:lang w:val="en-US"/>
        </w:rPr>
        <w:t>itself</w:t>
      </w:r>
      <w:r w:rsidR="009041C8" w:rsidRPr="003E2544">
        <w:rPr>
          <w:rFonts w:ascii="Verdana" w:eastAsia="Calibri" w:hAnsi="Verdana" w:cstheme="minorBidi"/>
          <w:sz w:val="20"/>
          <w:szCs w:val="20"/>
          <w:lang w:val="en-US"/>
        </w:rPr>
        <w:t xml:space="preserve">, </w:t>
      </w:r>
      <w:r w:rsidR="00E11021" w:rsidRPr="003E2544">
        <w:rPr>
          <w:rFonts w:ascii="Verdana" w:eastAsia="Calibri" w:hAnsi="Verdana" w:cstheme="minorBidi"/>
          <w:sz w:val="20"/>
          <w:szCs w:val="20"/>
          <w:lang w:val="en-US"/>
        </w:rPr>
        <w:t>SRAs</w:t>
      </w:r>
      <w:r w:rsidR="00B45418" w:rsidRPr="003E2544">
        <w:rPr>
          <w:rFonts w:ascii="Verdana" w:eastAsia="Calibri" w:hAnsi="Verdana" w:cstheme="minorBidi"/>
          <w:sz w:val="20"/>
          <w:szCs w:val="20"/>
          <w:lang w:val="en-US"/>
        </w:rPr>
        <w:t>, and</w:t>
      </w:r>
      <w:r w:rsidRPr="003E2544">
        <w:rPr>
          <w:rFonts w:ascii="Verdana" w:eastAsia="Calibri" w:hAnsi="Verdana" w:cstheme="minorBidi"/>
          <w:sz w:val="20"/>
          <w:szCs w:val="20"/>
          <w:lang w:val="en-US"/>
        </w:rPr>
        <w:t xml:space="preserve"> Customs Directorate</w:t>
      </w:r>
      <w:r w:rsidR="00BF03C6" w:rsidRPr="003E2544">
        <w:rPr>
          <w:rFonts w:ascii="Verdana" w:eastAsia="Calibri" w:hAnsi="Verdana" w:cstheme="minorBidi"/>
          <w:sz w:val="20"/>
          <w:szCs w:val="20"/>
          <w:lang w:val="en-US"/>
        </w:rPr>
        <w:t>s</w:t>
      </w:r>
      <w:r w:rsidR="009041C8" w:rsidRPr="003E2544">
        <w:rPr>
          <w:rFonts w:ascii="Verdana" w:eastAsia="Calibri" w:hAnsi="Verdana" w:cstheme="minorBidi"/>
          <w:sz w:val="20"/>
          <w:szCs w:val="20"/>
          <w:lang w:val="en-US"/>
        </w:rPr>
        <w:t xml:space="preserve"> and </w:t>
      </w:r>
      <w:r w:rsidR="00BF03C6" w:rsidRPr="003E2544">
        <w:rPr>
          <w:rFonts w:ascii="Verdana" w:eastAsia="Calibri" w:hAnsi="Verdana" w:cstheme="minorBidi"/>
          <w:sz w:val="20"/>
          <w:szCs w:val="20"/>
          <w:lang w:val="en-US"/>
        </w:rPr>
        <w:t>will provide trainers and mentors to build capacity at SRAs.</w:t>
      </w:r>
      <w:r w:rsidR="00F84B71" w:rsidRPr="003E2544">
        <w:rPr>
          <w:rFonts w:ascii="Verdana" w:eastAsia="Calibri" w:hAnsi="Verdana" w:cstheme="minorBidi"/>
          <w:sz w:val="20"/>
          <w:szCs w:val="20"/>
          <w:lang w:val="en-US"/>
        </w:rPr>
        <w:t xml:space="preserve"> UNDP has a joint workplan with </w:t>
      </w:r>
      <w:r w:rsidR="63A9E1EE" w:rsidRPr="003E2544">
        <w:rPr>
          <w:rFonts w:ascii="Verdana" w:eastAsia="Calibri" w:hAnsi="Verdana" w:cstheme="minorBidi"/>
          <w:sz w:val="20"/>
          <w:szCs w:val="20"/>
          <w:lang w:val="en-US"/>
        </w:rPr>
        <w:t xml:space="preserve">the </w:t>
      </w:r>
      <w:r w:rsidR="00F84B71" w:rsidRPr="003E2544">
        <w:rPr>
          <w:rFonts w:ascii="Verdana" w:eastAsia="Calibri" w:hAnsi="Verdana" w:cstheme="minorBidi"/>
          <w:sz w:val="20"/>
          <w:szCs w:val="20"/>
          <w:lang w:val="en-US"/>
        </w:rPr>
        <w:t xml:space="preserve">NRA. </w:t>
      </w:r>
    </w:p>
    <w:p w14:paraId="14D132B4" w14:textId="77777777" w:rsidR="00B37D25" w:rsidRPr="003E2544" w:rsidRDefault="00B37D25" w:rsidP="00245274">
      <w:pPr>
        <w:spacing w:line="240" w:lineRule="auto"/>
        <w:jc w:val="both"/>
        <w:rPr>
          <w:rFonts w:ascii="Verdana" w:eastAsia="Calibri" w:hAnsi="Verdana" w:cstheme="minorBidi"/>
          <w:sz w:val="20"/>
          <w:szCs w:val="20"/>
        </w:rPr>
      </w:pPr>
    </w:p>
    <w:p w14:paraId="36C385CA" w14:textId="3EC7EFB5" w:rsidR="00BF03C6" w:rsidRPr="003E2544" w:rsidRDefault="00D2690D" w:rsidP="00245274">
      <w:pPr>
        <w:pStyle w:val="ListParagraph"/>
        <w:numPr>
          <w:ilvl w:val="0"/>
          <w:numId w:val="70"/>
        </w:numPr>
        <w:spacing w:line="240" w:lineRule="auto"/>
        <w:ind w:left="360"/>
        <w:rPr>
          <w:rFonts w:ascii="Verdana" w:eastAsia="Calibri" w:hAnsi="Verdana" w:cstheme="minorBidi"/>
          <w:sz w:val="20"/>
          <w:szCs w:val="20"/>
          <w:lang w:val="en-US"/>
        </w:rPr>
      </w:pPr>
      <w:r w:rsidRPr="003E2544">
        <w:rPr>
          <w:rFonts w:ascii="Verdana" w:eastAsia="Calibri" w:hAnsi="Verdana" w:cstheme="minorBidi"/>
          <w:b/>
          <w:bCs/>
          <w:sz w:val="20"/>
          <w:szCs w:val="20"/>
          <w:lang w:val="en-US"/>
        </w:rPr>
        <w:t>South Sudan Relief and Rehabilitation Commission</w:t>
      </w:r>
      <w:r w:rsidR="00D9421F" w:rsidRPr="003E2544">
        <w:rPr>
          <w:rFonts w:ascii="Verdana" w:eastAsia="Calibri" w:hAnsi="Verdana" w:cstheme="minorBidi"/>
          <w:b/>
          <w:bCs/>
          <w:sz w:val="20"/>
          <w:szCs w:val="20"/>
          <w:lang w:val="en-US"/>
        </w:rPr>
        <w:t xml:space="preserve"> (SSRRC) </w:t>
      </w:r>
      <w:r w:rsidR="009041C8" w:rsidRPr="003E2544">
        <w:rPr>
          <w:rFonts w:ascii="Verdana" w:eastAsia="Calibri" w:hAnsi="Verdana" w:cstheme="minorBidi"/>
          <w:sz w:val="20"/>
          <w:szCs w:val="20"/>
          <w:lang w:val="en-US"/>
        </w:rPr>
        <w:t>collects</w:t>
      </w:r>
      <w:r w:rsidRPr="003E2544">
        <w:rPr>
          <w:rFonts w:ascii="Verdana" w:eastAsia="Calibri" w:hAnsi="Verdana" w:cstheme="minorBidi"/>
          <w:sz w:val="20"/>
          <w:szCs w:val="20"/>
          <w:lang w:val="en-US"/>
        </w:rPr>
        <w:t xml:space="preserve"> </w:t>
      </w:r>
      <w:r w:rsidR="0077067C" w:rsidRPr="003E2544">
        <w:rPr>
          <w:rFonts w:ascii="Verdana" w:eastAsia="Calibri" w:hAnsi="Verdana" w:cstheme="minorBidi"/>
          <w:sz w:val="20"/>
          <w:szCs w:val="20"/>
          <w:lang w:val="en-US"/>
        </w:rPr>
        <w:t>data on</w:t>
      </w:r>
      <w:r w:rsidRPr="003E2544">
        <w:rPr>
          <w:rFonts w:ascii="Verdana" w:eastAsia="Calibri" w:hAnsi="Verdana" w:cstheme="minorBidi"/>
          <w:sz w:val="20"/>
          <w:szCs w:val="20"/>
          <w:lang w:val="en-US"/>
        </w:rPr>
        <w:t xml:space="preserve"> humanitarian and development </w:t>
      </w:r>
      <w:r w:rsidR="00FD08F8" w:rsidRPr="003E2544">
        <w:rPr>
          <w:rFonts w:ascii="Verdana" w:eastAsia="Calibri" w:hAnsi="Verdana" w:cstheme="minorBidi"/>
          <w:sz w:val="20"/>
          <w:szCs w:val="20"/>
          <w:lang w:val="en-US"/>
        </w:rPr>
        <w:t>programme</w:t>
      </w:r>
      <w:r w:rsidR="0077067C" w:rsidRPr="003E2544">
        <w:rPr>
          <w:rFonts w:ascii="Verdana" w:eastAsia="Calibri" w:hAnsi="Verdana" w:cstheme="minorBidi"/>
          <w:sz w:val="20"/>
          <w:szCs w:val="20"/>
          <w:lang w:val="en-US"/>
        </w:rPr>
        <w:t>s</w:t>
      </w:r>
      <w:r w:rsidR="009041C8" w:rsidRPr="003E2544">
        <w:rPr>
          <w:rFonts w:ascii="Verdana" w:eastAsia="Calibri" w:hAnsi="Verdana" w:cstheme="minorBidi"/>
          <w:sz w:val="20"/>
          <w:szCs w:val="20"/>
          <w:lang w:val="en-US"/>
        </w:rPr>
        <w:t xml:space="preserve">, </w:t>
      </w:r>
      <w:r w:rsidRPr="003E2544">
        <w:rPr>
          <w:rFonts w:ascii="Verdana" w:eastAsia="Calibri" w:hAnsi="Verdana" w:cstheme="minorBidi"/>
          <w:sz w:val="20"/>
          <w:szCs w:val="20"/>
          <w:lang w:val="en-US"/>
        </w:rPr>
        <w:t xml:space="preserve">mapping </w:t>
      </w:r>
      <w:r w:rsidR="00CE13AC" w:rsidRPr="003E2544">
        <w:rPr>
          <w:rFonts w:ascii="Verdana" w:eastAsia="Calibri" w:hAnsi="Verdana" w:cstheme="minorBidi"/>
          <w:sz w:val="20"/>
          <w:szCs w:val="20"/>
          <w:lang w:val="en-US"/>
        </w:rPr>
        <w:t xml:space="preserve">donor, UN and </w:t>
      </w:r>
      <w:r w:rsidR="00B01559">
        <w:rPr>
          <w:rFonts w:ascii="Verdana" w:eastAsia="Calibri" w:hAnsi="Verdana" w:cstheme="minorBidi"/>
          <w:sz w:val="20"/>
          <w:szCs w:val="20"/>
          <w:lang w:val="en-US"/>
        </w:rPr>
        <w:t>non-governmental agency (</w:t>
      </w:r>
      <w:r w:rsidR="00CE13AC" w:rsidRPr="003E2544">
        <w:rPr>
          <w:rFonts w:ascii="Verdana" w:eastAsia="Calibri" w:hAnsi="Verdana" w:cstheme="minorBidi"/>
          <w:sz w:val="20"/>
          <w:szCs w:val="20"/>
          <w:lang w:val="en-US"/>
        </w:rPr>
        <w:t>NGO</w:t>
      </w:r>
      <w:r w:rsidR="00B01559">
        <w:rPr>
          <w:rFonts w:ascii="Verdana" w:eastAsia="Calibri" w:hAnsi="Verdana" w:cstheme="minorBidi"/>
          <w:sz w:val="20"/>
          <w:szCs w:val="20"/>
          <w:lang w:val="en-US"/>
        </w:rPr>
        <w:t>)</w:t>
      </w:r>
      <w:r w:rsidR="00CE13AC" w:rsidRPr="003E2544">
        <w:rPr>
          <w:rFonts w:ascii="Verdana" w:eastAsia="Calibri" w:hAnsi="Verdana" w:cstheme="minorBidi"/>
          <w:sz w:val="20"/>
          <w:szCs w:val="20"/>
          <w:lang w:val="en-US"/>
        </w:rPr>
        <w:t xml:space="preserve"> </w:t>
      </w:r>
      <w:r w:rsidR="0077067C" w:rsidRPr="003E2544">
        <w:rPr>
          <w:rFonts w:ascii="Verdana" w:eastAsia="Calibri" w:hAnsi="Verdana" w:cstheme="minorBidi"/>
          <w:sz w:val="20"/>
          <w:szCs w:val="20"/>
          <w:lang w:val="en-US"/>
        </w:rPr>
        <w:t xml:space="preserve">support to </w:t>
      </w:r>
      <w:r w:rsidR="5BAC9F44" w:rsidRPr="003E2544">
        <w:rPr>
          <w:rFonts w:ascii="Verdana" w:eastAsia="Calibri" w:hAnsi="Verdana" w:cstheme="minorBidi"/>
          <w:sz w:val="20"/>
          <w:szCs w:val="20"/>
          <w:lang w:val="en-US"/>
        </w:rPr>
        <w:t xml:space="preserve">the </w:t>
      </w:r>
      <w:r w:rsidRPr="003E2544">
        <w:rPr>
          <w:rFonts w:ascii="Verdana" w:eastAsia="Calibri" w:hAnsi="Verdana" w:cstheme="minorBidi"/>
          <w:sz w:val="20"/>
          <w:szCs w:val="20"/>
          <w:lang w:val="en-US"/>
        </w:rPr>
        <w:t xml:space="preserve">SDGs. </w:t>
      </w:r>
      <w:r w:rsidR="005335F6">
        <w:rPr>
          <w:rFonts w:ascii="Verdana" w:eastAsia="Calibri" w:hAnsi="Verdana" w:cstheme="minorBidi"/>
          <w:sz w:val="20"/>
          <w:szCs w:val="20"/>
          <w:lang w:val="en-US"/>
        </w:rPr>
        <w:t xml:space="preserve">The JP will support the SSRRC </w:t>
      </w:r>
      <w:r w:rsidR="005335F6" w:rsidRPr="003E2544">
        <w:rPr>
          <w:rFonts w:ascii="Verdana" w:eastAsia="Calibri" w:hAnsi="Verdana" w:cstheme="minorBidi"/>
          <w:sz w:val="20"/>
          <w:szCs w:val="20"/>
          <w:lang w:val="en-US"/>
        </w:rPr>
        <w:t xml:space="preserve">to map the scope and scale of humanitarian and development programmes </w:t>
      </w:r>
      <w:r w:rsidR="005335F6">
        <w:rPr>
          <w:rFonts w:ascii="Verdana" w:eastAsia="Calibri" w:hAnsi="Verdana" w:cstheme="minorBidi"/>
          <w:sz w:val="20"/>
          <w:szCs w:val="20"/>
          <w:lang w:val="en-US"/>
        </w:rPr>
        <w:t>as it c</w:t>
      </w:r>
      <w:r w:rsidRPr="003E2544">
        <w:rPr>
          <w:rFonts w:ascii="Verdana" w:eastAsia="Calibri" w:hAnsi="Verdana" w:cstheme="minorBidi"/>
          <w:sz w:val="20"/>
          <w:szCs w:val="20"/>
          <w:lang w:val="en-US"/>
        </w:rPr>
        <w:t xml:space="preserve">urrently </w:t>
      </w:r>
      <w:r w:rsidR="009041C8" w:rsidRPr="003E2544">
        <w:rPr>
          <w:rFonts w:ascii="Verdana" w:eastAsia="Calibri" w:hAnsi="Verdana" w:cstheme="minorBidi"/>
          <w:sz w:val="20"/>
          <w:szCs w:val="20"/>
          <w:lang w:val="en-US"/>
        </w:rPr>
        <w:t>lacks the linkages and capacity</w:t>
      </w:r>
      <w:r w:rsidR="005335F6">
        <w:rPr>
          <w:rFonts w:ascii="Verdana" w:eastAsia="Calibri" w:hAnsi="Verdana" w:cstheme="minorBidi"/>
          <w:sz w:val="20"/>
          <w:szCs w:val="20"/>
          <w:lang w:val="en-US"/>
        </w:rPr>
        <w:t xml:space="preserve"> to do so</w:t>
      </w:r>
      <w:r w:rsidR="009041C8" w:rsidRPr="003E2544">
        <w:rPr>
          <w:rFonts w:ascii="Verdana" w:eastAsia="Calibri" w:hAnsi="Verdana" w:cstheme="minorBidi"/>
          <w:sz w:val="20"/>
          <w:szCs w:val="20"/>
          <w:lang w:val="en-US"/>
        </w:rPr>
        <w:t>.</w:t>
      </w:r>
    </w:p>
    <w:p w14:paraId="35313DEA" w14:textId="3ADFE1C1" w:rsidR="00885408" w:rsidRPr="003E2544" w:rsidRDefault="005335F6" w:rsidP="00245274">
      <w:pPr>
        <w:spacing w:line="240" w:lineRule="auto"/>
        <w:jc w:val="both"/>
        <w:rPr>
          <w:rFonts w:ascii="Verdana" w:eastAsia="Calibri" w:hAnsi="Verdana" w:cstheme="minorHAnsi"/>
          <w:sz w:val="20"/>
          <w:szCs w:val="20"/>
        </w:rPr>
      </w:pPr>
      <w:r>
        <w:rPr>
          <w:rFonts w:ascii="Verdana" w:eastAsia="Calibri" w:hAnsi="Verdana" w:cstheme="minorHAnsi"/>
          <w:sz w:val="20"/>
          <w:szCs w:val="20"/>
        </w:rPr>
        <w:t xml:space="preserve"> </w:t>
      </w:r>
    </w:p>
    <w:p w14:paraId="4045F09E" w14:textId="09B2854E" w:rsidR="00B01559" w:rsidRPr="003E2544" w:rsidRDefault="0079643F" w:rsidP="00245274">
      <w:pPr>
        <w:spacing w:line="240" w:lineRule="auto"/>
        <w:jc w:val="both"/>
        <w:rPr>
          <w:rFonts w:ascii="Verdana" w:eastAsia="Calibri" w:hAnsi="Verdana" w:cstheme="minorHAnsi"/>
          <w:b/>
          <w:bCs/>
          <w:sz w:val="20"/>
          <w:szCs w:val="20"/>
          <w:u w:val="single"/>
        </w:rPr>
      </w:pPr>
      <w:r w:rsidRPr="003E2544">
        <w:rPr>
          <w:rFonts w:ascii="Verdana" w:eastAsia="Calibri" w:hAnsi="Verdana" w:cstheme="minorHAnsi"/>
          <w:b/>
          <w:bCs/>
          <w:sz w:val="20"/>
          <w:szCs w:val="20"/>
          <w:u w:val="single"/>
        </w:rPr>
        <w:t xml:space="preserve">National accountability and transparency stakeholders/target groups </w:t>
      </w:r>
    </w:p>
    <w:p w14:paraId="3A66336E" w14:textId="1EBAA63A" w:rsidR="004411EE" w:rsidRPr="005335F6" w:rsidRDefault="0079643F" w:rsidP="00245274">
      <w:pPr>
        <w:pStyle w:val="ListParagraph"/>
        <w:numPr>
          <w:ilvl w:val="0"/>
          <w:numId w:val="71"/>
        </w:numPr>
        <w:spacing w:line="240" w:lineRule="auto"/>
        <w:rPr>
          <w:rFonts w:ascii="Verdana" w:hAnsi="Verdana"/>
          <w:color w:val="222222"/>
          <w:sz w:val="21"/>
          <w:szCs w:val="21"/>
          <w:lang w:val="en-US"/>
        </w:rPr>
      </w:pPr>
      <w:r w:rsidRPr="003E2544">
        <w:rPr>
          <w:rFonts w:ascii="Verdana" w:eastAsia="Calibri" w:hAnsi="Verdana" w:cstheme="minorBidi"/>
          <w:b/>
          <w:bCs/>
          <w:sz w:val="20"/>
          <w:szCs w:val="20"/>
          <w:lang w:val="en-US"/>
        </w:rPr>
        <w:t xml:space="preserve">The </w:t>
      </w:r>
      <w:r w:rsidR="00D2690D" w:rsidRPr="003E2544">
        <w:rPr>
          <w:rFonts w:ascii="Verdana" w:eastAsia="Calibri" w:hAnsi="Verdana" w:cstheme="minorBidi"/>
          <w:b/>
          <w:bCs/>
          <w:sz w:val="20"/>
          <w:szCs w:val="20"/>
          <w:lang w:val="en-US"/>
        </w:rPr>
        <w:t>National Legislative Assembly</w:t>
      </w:r>
      <w:r w:rsidR="000B0D7D" w:rsidRPr="003E2544">
        <w:rPr>
          <w:rFonts w:ascii="Verdana" w:eastAsia="Calibri" w:hAnsi="Verdana" w:cstheme="minorBidi"/>
          <w:b/>
          <w:bCs/>
          <w:sz w:val="20"/>
          <w:szCs w:val="20"/>
          <w:lang w:val="en-US"/>
        </w:rPr>
        <w:t xml:space="preserve"> (NLA) </w:t>
      </w:r>
      <w:r w:rsidR="00BF03C6" w:rsidRPr="003E2544">
        <w:rPr>
          <w:rFonts w:ascii="Verdana" w:eastAsia="Calibri" w:hAnsi="Verdana" w:cstheme="minorBidi"/>
          <w:sz w:val="20"/>
          <w:szCs w:val="20"/>
          <w:lang w:val="en-US"/>
        </w:rPr>
        <w:t xml:space="preserve">approves </w:t>
      </w:r>
      <w:r w:rsidR="009041C8" w:rsidRPr="003E2544">
        <w:rPr>
          <w:rFonts w:ascii="Verdana" w:eastAsia="Calibri" w:hAnsi="Verdana" w:cstheme="minorBidi"/>
          <w:sz w:val="20"/>
          <w:szCs w:val="20"/>
          <w:lang w:val="en-US"/>
        </w:rPr>
        <w:t xml:space="preserve">the annual </w:t>
      </w:r>
      <w:r w:rsidR="00BF03C6" w:rsidRPr="003E2544">
        <w:rPr>
          <w:rFonts w:ascii="Verdana" w:eastAsia="Calibri" w:hAnsi="Verdana" w:cstheme="minorBidi"/>
          <w:sz w:val="20"/>
          <w:szCs w:val="20"/>
          <w:lang w:val="en-US"/>
        </w:rPr>
        <w:t xml:space="preserve">budget and has oversight responsibility for all service delivery. The NLA </w:t>
      </w:r>
      <w:r w:rsidR="00814576" w:rsidRPr="003E2544">
        <w:rPr>
          <w:rFonts w:ascii="Verdana" w:eastAsia="Calibri" w:hAnsi="Verdana" w:cstheme="minorBidi"/>
          <w:sz w:val="20"/>
          <w:szCs w:val="20"/>
          <w:lang w:val="en-US"/>
        </w:rPr>
        <w:t>can</w:t>
      </w:r>
      <w:r w:rsidR="00BF03C6" w:rsidRPr="003E2544">
        <w:rPr>
          <w:rFonts w:ascii="Verdana" w:eastAsia="Calibri" w:hAnsi="Verdana" w:cstheme="minorBidi"/>
          <w:sz w:val="20"/>
          <w:szCs w:val="20"/>
          <w:lang w:val="en-US"/>
        </w:rPr>
        <w:t xml:space="preserve"> influence </w:t>
      </w:r>
      <w:r w:rsidRPr="003E2544">
        <w:rPr>
          <w:rFonts w:ascii="Verdana" w:eastAsia="Calibri" w:hAnsi="Verdana" w:cstheme="minorBidi"/>
          <w:sz w:val="20"/>
          <w:szCs w:val="20"/>
          <w:lang w:val="en-US"/>
        </w:rPr>
        <w:t xml:space="preserve">budget </w:t>
      </w:r>
      <w:r w:rsidR="0071287B" w:rsidRPr="003E2544">
        <w:rPr>
          <w:rFonts w:ascii="Verdana" w:eastAsia="Calibri" w:hAnsi="Verdana" w:cstheme="minorBidi"/>
          <w:sz w:val="20"/>
          <w:szCs w:val="20"/>
          <w:lang w:val="en-US"/>
        </w:rPr>
        <w:t>allocations, determine</w:t>
      </w:r>
      <w:r w:rsidRPr="003E2544">
        <w:rPr>
          <w:rFonts w:ascii="Verdana" w:eastAsia="Calibri" w:hAnsi="Verdana" w:cstheme="minorBidi"/>
          <w:sz w:val="20"/>
          <w:szCs w:val="20"/>
          <w:lang w:val="en-US"/>
        </w:rPr>
        <w:t xml:space="preserve"> spending priorities</w:t>
      </w:r>
      <w:r w:rsidR="00934AB4" w:rsidRPr="003E2544">
        <w:rPr>
          <w:rFonts w:ascii="Verdana" w:eastAsia="Calibri" w:hAnsi="Verdana" w:cstheme="minorBidi"/>
          <w:sz w:val="20"/>
          <w:szCs w:val="20"/>
          <w:lang w:val="en-US"/>
        </w:rPr>
        <w:t xml:space="preserve"> and t</w:t>
      </w:r>
      <w:r w:rsidRPr="003E2544">
        <w:rPr>
          <w:rFonts w:ascii="Verdana" w:eastAsia="Calibri" w:hAnsi="Verdana" w:cstheme="minorBidi"/>
          <w:sz w:val="20"/>
          <w:szCs w:val="20"/>
          <w:lang w:val="en-US"/>
        </w:rPr>
        <w:t xml:space="preserve">heir </w:t>
      </w:r>
      <w:r w:rsidR="00934AB4" w:rsidRPr="003E2544">
        <w:rPr>
          <w:rFonts w:ascii="Verdana" w:eastAsia="Calibri" w:hAnsi="Verdana" w:cstheme="minorBidi"/>
          <w:sz w:val="20"/>
          <w:szCs w:val="20"/>
          <w:lang w:val="en-US"/>
        </w:rPr>
        <w:t>standing</w:t>
      </w:r>
      <w:r w:rsidRPr="003E2544">
        <w:rPr>
          <w:rFonts w:ascii="Verdana" w:eastAsia="Calibri" w:hAnsi="Verdana" w:cstheme="minorBidi"/>
          <w:sz w:val="20"/>
          <w:szCs w:val="20"/>
          <w:lang w:val="en-US"/>
        </w:rPr>
        <w:t xml:space="preserve"> committees, </w:t>
      </w:r>
      <w:r w:rsidR="2AA9A5EC" w:rsidRPr="003E2544">
        <w:rPr>
          <w:rFonts w:ascii="Verdana" w:eastAsia="Calibri" w:hAnsi="Verdana" w:cstheme="minorBidi"/>
          <w:sz w:val="20"/>
          <w:szCs w:val="20"/>
          <w:lang w:val="en-US"/>
        </w:rPr>
        <w:t>and is</w:t>
      </w:r>
      <w:r w:rsidRPr="003E2544">
        <w:rPr>
          <w:rFonts w:ascii="Verdana" w:eastAsia="Calibri" w:hAnsi="Verdana" w:cstheme="minorBidi"/>
          <w:sz w:val="20"/>
          <w:szCs w:val="20"/>
          <w:lang w:val="en-US"/>
        </w:rPr>
        <w:t xml:space="preserve"> mandated to hold the executive to</w:t>
      </w:r>
      <w:r w:rsidR="00814576" w:rsidRPr="003E2544">
        <w:rPr>
          <w:rFonts w:ascii="Verdana" w:eastAsia="Calibri" w:hAnsi="Verdana" w:cstheme="minorBidi"/>
          <w:sz w:val="20"/>
          <w:szCs w:val="20"/>
          <w:lang w:val="en-US"/>
        </w:rPr>
        <w:t xml:space="preserve"> account</w:t>
      </w:r>
      <w:r w:rsidR="00530696" w:rsidRPr="003E2544">
        <w:rPr>
          <w:rFonts w:ascii="Verdana" w:eastAsia="Calibri" w:hAnsi="Verdana" w:cstheme="minorBidi"/>
          <w:sz w:val="20"/>
          <w:szCs w:val="20"/>
          <w:lang w:val="en-US"/>
        </w:rPr>
        <w:t>. The NLA will participa</w:t>
      </w:r>
      <w:r w:rsidR="00934AB4" w:rsidRPr="003E2544">
        <w:rPr>
          <w:rFonts w:ascii="Verdana" w:eastAsia="Calibri" w:hAnsi="Verdana" w:cstheme="minorBidi"/>
          <w:sz w:val="20"/>
          <w:szCs w:val="20"/>
          <w:lang w:val="en-US"/>
        </w:rPr>
        <w:t>te</w:t>
      </w:r>
      <w:r w:rsidR="00530696" w:rsidRPr="003E2544">
        <w:rPr>
          <w:rFonts w:ascii="Verdana" w:eastAsia="Calibri" w:hAnsi="Verdana" w:cstheme="minorBidi"/>
          <w:sz w:val="20"/>
          <w:szCs w:val="20"/>
          <w:lang w:val="en-US"/>
        </w:rPr>
        <w:t xml:space="preserve"> in the citizen’s budget </w:t>
      </w:r>
      <w:r w:rsidR="00814576" w:rsidRPr="003E2544">
        <w:rPr>
          <w:rFonts w:ascii="Verdana" w:eastAsia="Calibri" w:hAnsi="Verdana" w:cstheme="minorBidi"/>
          <w:sz w:val="20"/>
          <w:szCs w:val="20"/>
          <w:lang w:val="en-US"/>
        </w:rPr>
        <w:t xml:space="preserve">and </w:t>
      </w:r>
      <w:r w:rsidR="00530696" w:rsidRPr="003E2544">
        <w:rPr>
          <w:rFonts w:ascii="Verdana" w:eastAsia="Calibri" w:hAnsi="Verdana" w:cstheme="minorBidi"/>
          <w:sz w:val="20"/>
          <w:szCs w:val="20"/>
          <w:lang w:val="en-US"/>
        </w:rPr>
        <w:t>open budget index</w:t>
      </w:r>
      <w:r w:rsidR="00641020" w:rsidRPr="003E2544">
        <w:rPr>
          <w:rFonts w:ascii="Verdana" w:eastAsia="Calibri" w:hAnsi="Verdana" w:cstheme="minorBidi"/>
          <w:sz w:val="20"/>
          <w:szCs w:val="20"/>
          <w:lang w:val="en-US"/>
        </w:rPr>
        <w:t xml:space="preserve">, in coordination with social sector national MDAs covered above. </w:t>
      </w:r>
    </w:p>
    <w:p w14:paraId="7987D130" w14:textId="77777777" w:rsidR="005335F6" w:rsidRPr="005335F6" w:rsidRDefault="005335F6" w:rsidP="005335F6">
      <w:pPr>
        <w:pStyle w:val="ListParagraph"/>
        <w:spacing w:line="240" w:lineRule="auto"/>
        <w:ind w:left="360"/>
        <w:rPr>
          <w:rFonts w:ascii="Verdana" w:hAnsi="Verdana"/>
          <w:color w:val="222222"/>
          <w:sz w:val="21"/>
          <w:szCs w:val="21"/>
          <w:lang w:val="en-US"/>
        </w:rPr>
      </w:pPr>
    </w:p>
    <w:p w14:paraId="6D7DC35A" w14:textId="7A1A5310" w:rsidR="00D2690D" w:rsidRPr="003E2544" w:rsidRDefault="00CD5F43" w:rsidP="00245274">
      <w:pPr>
        <w:keepNext/>
        <w:spacing w:line="240" w:lineRule="auto"/>
        <w:jc w:val="both"/>
        <w:rPr>
          <w:rFonts w:ascii="Verdana" w:eastAsia="Calibri" w:hAnsi="Verdana" w:cstheme="minorHAnsi"/>
          <w:b/>
          <w:bCs/>
          <w:iCs/>
          <w:sz w:val="20"/>
          <w:szCs w:val="20"/>
          <w:u w:val="single"/>
        </w:rPr>
      </w:pPr>
      <w:r w:rsidRPr="003E2544">
        <w:rPr>
          <w:rFonts w:ascii="Verdana" w:eastAsia="Calibri" w:hAnsi="Verdana" w:cstheme="minorHAnsi"/>
          <w:b/>
          <w:bCs/>
          <w:iCs/>
          <w:sz w:val="20"/>
          <w:szCs w:val="20"/>
          <w:u w:val="single"/>
        </w:rPr>
        <w:t>Key stakeholders</w:t>
      </w:r>
      <w:r w:rsidR="000F2E74" w:rsidRPr="003E2544">
        <w:rPr>
          <w:rFonts w:ascii="Verdana" w:eastAsia="Calibri" w:hAnsi="Verdana" w:cstheme="minorHAnsi"/>
          <w:b/>
          <w:bCs/>
          <w:iCs/>
          <w:sz w:val="20"/>
          <w:szCs w:val="20"/>
          <w:u w:val="single"/>
        </w:rPr>
        <w:t xml:space="preserve">/target groups at </w:t>
      </w:r>
      <w:r w:rsidRPr="003E2544">
        <w:rPr>
          <w:rFonts w:ascii="Verdana" w:eastAsia="Calibri" w:hAnsi="Verdana" w:cstheme="minorHAnsi"/>
          <w:b/>
          <w:bCs/>
          <w:iCs/>
          <w:sz w:val="20"/>
          <w:szCs w:val="20"/>
          <w:u w:val="single"/>
        </w:rPr>
        <w:t>sub</w:t>
      </w:r>
      <w:r w:rsidR="00D2690D" w:rsidRPr="003E2544">
        <w:rPr>
          <w:rFonts w:ascii="Verdana" w:eastAsia="Calibri" w:hAnsi="Verdana" w:cstheme="minorHAnsi"/>
          <w:b/>
          <w:bCs/>
          <w:iCs/>
          <w:sz w:val="20"/>
          <w:szCs w:val="20"/>
          <w:u w:val="single"/>
        </w:rPr>
        <w:t xml:space="preserve">-national </w:t>
      </w:r>
      <w:r w:rsidRPr="003E2544">
        <w:rPr>
          <w:rFonts w:ascii="Verdana" w:eastAsia="Calibri" w:hAnsi="Verdana" w:cstheme="minorHAnsi"/>
          <w:b/>
          <w:bCs/>
          <w:iCs/>
          <w:sz w:val="20"/>
          <w:szCs w:val="20"/>
          <w:u w:val="single"/>
        </w:rPr>
        <w:t>level</w:t>
      </w:r>
      <w:r w:rsidR="00D2690D" w:rsidRPr="003E2544">
        <w:rPr>
          <w:rFonts w:ascii="Verdana" w:eastAsia="Calibri" w:hAnsi="Verdana" w:cstheme="minorHAnsi"/>
          <w:b/>
          <w:bCs/>
          <w:iCs/>
          <w:sz w:val="20"/>
          <w:szCs w:val="20"/>
          <w:u w:val="single"/>
        </w:rPr>
        <w:t>:</w:t>
      </w:r>
    </w:p>
    <w:p w14:paraId="4DC450CF" w14:textId="45AA89A9" w:rsidR="000F2E74" w:rsidRPr="003E2544" w:rsidRDefault="000F2E74" w:rsidP="00245274">
      <w:pPr>
        <w:pStyle w:val="ListParagraph"/>
        <w:keepNext/>
        <w:numPr>
          <w:ilvl w:val="0"/>
          <w:numId w:val="71"/>
        </w:numPr>
        <w:spacing w:line="240" w:lineRule="auto"/>
        <w:rPr>
          <w:rFonts w:ascii="Verdana" w:eastAsia="Calibri" w:hAnsi="Verdana" w:cstheme="minorBidi"/>
          <w:sz w:val="20"/>
          <w:szCs w:val="20"/>
          <w:lang w:val="en-US"/>
        </w:rPr>
      </w:pPr>
      <w:r w:rsidRPr="003E2544">
        <w:rPr>
          <w:rFonts w:ascii="Verdana" w:eastAsia="Calibri" w:hAnsi="Verdana" w:cstheme="minorBidi"/>
          <w:b/>
          <w:bCs/>
          <w:sz w:val="20"/>
          <w:szCs w:val="20"/>
          <w:lang w:val="en-US"/>
        </w:rPr>
        <w:t xml:space="preserve">The State </w:t>
      </w:r>
      <w:r w:rsidR="00213837">
        <w:rPr>
          <w:rFonts w:ascii="Verdana" w:eastAsia="Calibri" w:hAnsi="Verdana" w:cstheme="minorBidi"/>
          <w:b/>
          <w:bCs/>
          <w:sz w:val="20"/>
          <w:szCs w:val="20"/>
          <w:lang w:val="en-US"/>
        </w:rPr>
        <w:t>Ministry of Finance</w:t>
      </w:r>
      <w:r w:rsidR="005335F6">
        <w:rPr>
          <w:rFonts w:ascii="Verdana" w:eastAsia="Calibri" w:hAnsi="Verdana" w:cstheme="minorBidi"/>
          <w:b/>
          <w:bCs/>
          <w:sz w:val="20"/>
          <w:szCs w:val="20"/>
          <w:lang w:val="en-US"/>
        </w:rPr>
        <w:t xml:space="preserve"> and Planning</w:t>
      </w:r>
      <w:r w:rsidR="00213837">
        <w:rPr>
          <w:rFonts w:ascii="Verdana" w:eastAsia="Calibri" w:hAnsi="Verdana" w:cstheme="minorBidi"/>
          <w:b/>
          <w:bCs/>
          <w:sz w:val="20"/>
          <w:szCs w:val="20"/>
          <w:lang w:val="en-US"/>
        </w:rPr>
        <w:t xml:space="preserve"> (</w:t>
      </w:r>
      <w:r w:rsidRPr="003E2544">
        <w:rPr>
          <w:rFonts w:ascii="Verdana" w:eastAsia="Calibri" w:hAnsi="Verdana" w:cstheme="minorBidi"/>
          <w:b/>
          <w:bCs/>
          <w:sz w:val="20"/>
          <w:szCs w:val="20"/>
          <w:lang w:val="en-US"/>
        </w:rPr>
        <w:t>MoF</w:t>
      </w:r>
      <w:r w:rsidR="005335F6">
        <w:rPr>
          <w:rFonts w:ascii="Verdana" w:eastAsia="Calibri" w:hAnsi="Verdana" w:cstheme="minorBidi"/>
          <w:b/>
          <w:bCs/>
          <w:sz w:val="20"/>
          <w:szCs w:val="20"/>
          <w:lang w:val="en-US"/>
        </w:rPr>
        <w:t>P</w:t>
      </w:r>
      <w:r w:rsidR="00213837">
        <w:rPr>
          <w:rFonts w:ascii="Verdana" w:eastAsia="Calibri" w:hAnsi="Verdana" w:cstheme="minorBidi"/>
          <w:b/>
          <w:bCs/>
          <w:sz w:val="20"/>
          <w:szCs w:val="20"/>
          <w:lang w:val="en-US"/>
        </w:rPr>
        <w:t>)</w:t>
      </w:r>
      <w:r w:rsidRPr="003E2544">
        <w:rPr>
          <w:rFonts w:ascii="Verdana" w:eastAsia="Calibri" w:hAnsi="Verdana" w:cstheme="minorBidi"/>
          <w:b/>
          <w:bCs/>
          <w:sz w:val="20"/>
          <w:szCs w:val="20"/>
          <w:lang w:val="en-US"/>
        </w:rPr>
        <w:t xml:space="preserve"> </w:t>
      </w:r>
      <w:r w:rsidRPr="003E2544">
        <w:rPr>
          <w:rFonts w:ascii="Verdana" w:eastAsia="Calibri" w:hAnsi="Verdana" w:cstheme="minorBidi"/>
          <w:sz w:val="20"/>
          <w:szCs w:val="20"/>
          <w:lang w:val="en-US"/>
        </w:rPr>
        <w:t xml:space="preserve">consolidates </w:t>
      </w:r>
      <w:r w:rsidR="5609D88E" w:rsidRPr="003E2544">
        <w:rPr>
          <w:rFonts w:ascii="Verdana" w:eastAsia="Calibri" w:hAnsi="Verdana" w:cstheme="minorBidi"/>
          <w:sz w:val="20"/>
          <w:szCs w:val="20"/>
          <w:lang w:val="en-US"/>
        </w:rPr>
        <w:t xml:space="preserve">its </w:t>
      </w:r>
      <w:r w:rsidRPr="003E2544">
        <w:rPr>
          <w:rFonts w:ascii="Verdana" w:eastAsia="Calibri" w:hAnsi="Verdana" w:cstheme="minorBidi"/>
          <w:sz w:val="20"/>
          <w:szCs w:val="20"/>
          <w:lang w:val="en-US"/>
        </w:rPr>
        <w:t xml:space="preserve">own revenue with grants and transfers </w:t>
      </w:r>
      <w:r w:rsidR="00934AB4" w:rsidRPr="003E2544">
        <w:rPr>
          <w:rFonts w:ascii="Verdana" w:eastAsia="Calibri" w:hAnsi="Verdana" w:cstheme="minorBidi"/>
          <w:sz w:val="20"/>
          <w:szCs w:val="20"/>
          <w:lang w:val="en-US"/>
        </w:rPr>
        <w:t>into</w:t>
      </w:r>
      <w:r w:rsidRPr="003E2544">
        <w:rPr>
          <w:rFonts w:ascii="Verdana" w:eastAsia="Calibri" w:hAnsi="Verdana" w:cstheme="minorBidi"/>
          <w:sz w:val="20"/>
          <w:szCs w:val="20"/>
          <w:lang w:val="en-US"/>
        </w:rPr>
        <w:t xml:space="preserve"> a consolidated budget to the </w:t>
      </w:r>
      <w:r w:rsidR="00213837" w:rsidRPr="005335F6">
        <w:rPr>
          <w:rFonts w:ascii="Verdana" w:eastAsia="Calibri" w:hAnsi="Verdana" w:cstheme="minorBidi"/>
          <w:sz w:val="20"/>
          <w:szCs w:val="20"/>
          <w:lang w:val="en-US"/>
        </w:rPr>
        <w:t>State Council of Ministers (</w:t>
      </w:r>
      <w:proofErr w:type="spellStart"/>
      <w:r w:rsidR="00934AB4" w:rsidRPr="001A0D2B">
        <w:rPr>
          <w:rFonts w:ascii="Verdana" w:eastAsia="Calibri" w:hAnsi="Verdana" w:cstheme="minorBidi"/>
          <w:sz w:val="20"/>
          <w:szCs w:val="20"/>
          <w:lang w:val="en-US"/>
        </w:rPr>
        <w:t>SCoM</w:t>
      </w:r>
      <w:proofErr w:type="spellEnd"/>
      <w:r w:rsidR="00213837" w:rsidRPr="001A0D2B">
        <w:rPr>
          <w:rFonts w:ascii="Verdana" w:eastAsia="Calibri" w:hAnsi="Verdana" w:cstheme="minorBidi"/>
          <w:sz w:val="20"/>
          <w:szCs w:val="20"/>
          <w:lang w:val="en-US"/>
        </w:rPr>
        <w:t>)</w:t>
      </w:r>
      <w:r w:rsidRPr="00C03223">
        <w:rPr>
          <w:rFonts w:ascii="Verdana" w:eastAsia="Calibri" w:hAnsi="Verdana" w:cstheme="minorBidi"/>
          <w:sz w:val="20"/>
          <w:szCs w:val="20"/>
          <w:lang w:val="en-US"/>
        </w:rPr>
        <w:t xml:space="preserve"> and </w:t>
      </w:r>
      <w:r w:rsidR="00213837" w:rsidRPr="005335F6">
        <w:rPr>
          <w:rFonts w:ascii="Verdana" w:eastAsia="Calibri" w:hAnsi="Verdana" w:cstheme="minorBidi"/>
          <w:sz w:val="20"/>
          <w:szCs w:val="20"/>
          <w:lang w:val="en-US"/>
        </w:rPr>
        <w:t>State Legislative Assembly</w:t>
      </w:r>
      <w:r w:rsidR="00213837" w:rsidRPr="003E2544">
        <w:rPr>
          <w:rFonts w:ascii="Verdana" w:eastAsia="Calibri" w:hAnsi="Verdana" w:cstheme="minorBidi"/>
          <w:sz w:val="20"/>
          <w:szCs w:val="20"/>
          <w:lang w:val="en-US"/>
        </w:rPr>
        <w:t xml:space="preserve"> </w:t>
      </w:r>
      <w:r w:rsidR="00213837">
        <w:rPr>
          <w:rFonts w:ascii="Verdana" w:eastAsia="Calibri" w:hAnsi="Verdana" w:cstheme="minorBidi"/>
          <w:sz w:val="20"/>
          <w:szCs w:val="20"/>
          <w:lang w:val="en-US"/>
        </w:rPr>
        <w:t>(</w:t>
      </w:r>
      <w:r w:rsidRPr="003E2544">
        <w:rPr>
          <w:rFonts w:ascii="Verdana" w:eastAsia="Calibri" w:hAnsi="Verdana" w:cstheme="minorBidi"/>
          <w:sz w:val="20"/>
          <w:szCs w:val="20"/>
          <w:lang w:val="en-US"/>
        </w:rPr>
        <w:t>SLA</w:t>
      </w:r>
      <w:r w:rsidR="00213837">
        <w:rPr>
          <w:rFonts w:ascii="Verdana" w:eastAsia="Calibri" w:hAnsi="Verdana" w:cstheme="minorBidi"/>
          <w:sz w:val="20"/>
          <w:szCs w:val="20"/>
          <w:lang w:val="en-US"/>
        </w:rPr>
        <w:t>)</w:t>
      </w:r>
      <w:r w:rsidRPr="003E2544">
        <w:rPr>
          <w:rFonts w:ascii="Verdana" w:eastAsia="Calibri" w:hAnsi="Verdana" w:cstheme="minorBidi"/>
          <w:sz w:val="20"/>
          <w:szCs w:val="20"/>
          <w:lang w:val="en-US"/>
        </w:rPr>
        <w:t xml:space="preserve"> for approval. The State MoF</w:t>
      </w:r>
      <w:r w:rsidR="005335F6">
        <w:rPr>
          <w:rFonts w:ascii="Verdana" w:eastAsia="Calibri" w:hAnsi="Verdana" w:cstheme="minorBidi"/>
          <w:sz w:val="20"/>
          <w:szCs w:val="20"/>
          <w:lang w:val="en-US"/>
        </w:rPr>
        <w:t>P</w:t>
      </w:r>
      <w:r w:rsidRPr="003E2544">
        <w:rPr>
          <w:rFonts w:ascii="Verdana" w:eastAsia="Calibri" w:hAnsi="Verdana" w:cstheme="minorBidi"/>
          <w:sz w:val="20"/>
          <w:szCs w:val="20"/>
          <w:lang w:val="en-US"/>
        </w:rPr>
        <w:t xml:space="preserve"> allocates transfers to county budgets and supports county development plans</w:t>
      </w:r>
      <w:r w:rsidR="00814576" w:rsidRPr="003E2544">
        <w:rPr>
          <w:rFonts w:ascii="Verdana" w:eastAsia="Calibri" w:hAnsi="Verdana" w:cstheme="minorBidi"/>
          <w:sz w:val="20"/>
          <w:szCs w:val="20"/>
          <w:lang w:val="en-US"/>
        </w:rPr>
        <w:t>.</w:t>
      </w:r>
      <w:r w:rsidRPr="003E2544">
        <w:rPr>
          <w:rFonts w:ascii="Verdana" w:eastAsia="Calibri" w:hAnsi="Verdana" w:cstheme="minorBidi"/>
          <w:sz w:val="20"/>
          <w:szCs w:val="20"/>
          <w:lang w:val="en-US"/>
        </w:rPr>
        <w:t xml:space="preserve"> </w:t>
      </w:r>
      <w:r w:rsidR="000E483C" w:rsidRPr="003E2544">
        <w:rPr>
          <w:rFonts w:ascii="Verdana" w:eastAsia="Calibri" w:hAnsi="Verdana" w:cstheme="minorBidi"/>
          <w:sz w:val="20"/>
          <w:szCs w:val="20"/>
          <w:lang w:val="en-US"/>
        </w:rPr>
        <w:t xml:space="preserve">The JP will support </w:t>
      </w:r>
      <w:proofErr w:type="spellStart"/>
      <w:r w:rsidR="000E483C" w:rsidRPr="003E2544">
        <w:rPr>
          <w:rFonts w:ascii="Verdana" w:eastAsia="Calibri" w:hAnsi="Verdana" w:cstheme="minorBidi"/>
          <w:sz w:val="20"/>
          <w:szCs w:val="20"/>
          <w:lang w:val="en-US"/>
        </w:rPr>
        <w:t>MoF</w:t>
      </w:r>
      <w:r w:rsidR="005335F6">
        <w:rPr>
          <w:rFonts w:ascii="Verdana" w:eastAsia="Calibri" w:hAnsi="Verdana" w:cstheme="minorBidi"/>
          <w:sz w:val="20"/>
          <w:szCs w:val="20"/>
          <w:lang w:val="en-US"/>
        </w:rPr>
        <w:t>P</w:t>
      </w:r>
      <w:r w:rsidR="000E483C" w:rsidRPr="003E2544">
        <w:rPr>
          <w:rFonts w:ascii="Verdana" w:eastAsia="Calibri" w:hAnsi="Verdana" w:cstheme="minorBidi"/>
          <w:sz w:val="20"/>
          <w:szCs w:val="20"/>
          <w:lang w:val="en-US"/>
        </w:rPr>
        <w:t>s</w:t>
      </w:r>
      <w:proofErr w:type="spellEnd"/>
      <w:r w:rsidR="000E483C" w:rsidRPr="003E2544">
        <w:rPr>
          <w:rFonts w:ascii="Verdana" w:eastAsia="Calibri" w:hAnsi="Verdana" w:cstheme="minorBidi"/>
          <w:sz w:val="20"/>
          <w:szCs w:val="20"/>
          <w:lang w:val="en-US"/>
        </w:rPr>
        <w:t xml:space="preserve"> to </w:t>
      </w:r>
      <w:r w:rsidR="00D2690D" w:rsidRPr="003E2544">
        <w:rPr>
          <w:rFonts w:ascii="Verdana" w:eastAsia="Calibri" w:hAnsi="Verdana" w:cstheme="minorBidi"/>
          <w:sz w:val="20"/>
          <w:szCs w:val="20"/>
          <w:lang w:val="en-US"/>
        </w:rPr>
        <w:lastRenderedPageBreak/>
        <w:t>strengthe</w:t>
      </w:r>
      <w:r w:rsidR="000E483C" w:rsidRPr="003E2544">
        <w:rPr>
          <w:rFonts w:ascii="Verdana" w:eastAsia="Calibri" w:hAnsi="Verdana" w:cstheme="minorBidi"/>
          <w:sz w:val="20"/>
          <w:szCs w:val="20"/>
          <w:lang w:val="en-US"/>
        </w:rPr>
        <w:t>n</w:t>
      </w:r>
      <w:r w:rsidR="00D2690D" w:rsidRPr="003E2544">
        <w:rPr>
          <w:rFonts w:ascii="Verdana" w:eastAsia="Calibri" w:hAnsi="Verdana" w:cstheme="minorBidi"/>
          <w:sz w:val="20"/>
          <w:szCs w:val="20"/>
          <w:lang w:val="en-US"/>
        </w:rPr>
        <w:t xml:space="preserve"> </w:t>
      </w:r>
      <w:r w:rsidRPr="003E2544">
        <w:rPr>
          <w:rFonts w:ascii="Verdana" w:eastAsia="Calibri" w:hAnsi="Verdana" w:cstheme="minorBidi"/>
          <w:sz w:val="20"/>
          <w:szCs w:val="20"/>
          <w:lang w:val="en-US"/>
        </w:rPr>
        <w:t>their</w:t>
      </w:r>
      <w:r w:rsidR="00BD07FD" w:rsidRPr="003E2544">
        <w:rPr>
          <w:rFonts w:ascii="Verdana" w:eastAsia="Calibri" w:hAnsi="Verdana" w:cstheme="minorBidi"/>
          <w:sz w:val="20"/>
          <w:szCs w:val="20"/>
          <w:lang w:val="en-US"/>
        </w:rPr>
        <w:t xml:space="preserve"> capacity </w:t>
      </w:r>
      <w:r w:rsidR="051F7CB8" w:rsidRPr="003E2544">
        <w:rPr>
          <w:rFonts w:ascii="Verdana" w:eastAsia="Calibri" w:hAnsi="Verdana" w:cstheme="minorBidi"/>
          <w:sz w:val="20"/>
          <w:szCs w:val="20"/>
          <w:lang w:val="en-US"/>
        </w:rPr>
        <w:t>for</w:t>
      </w:r>
      <w:r w:rsidR="00BD07FD" w:rsidRPr="003E2544">
        <w:rPr>
          <w:rFonts w:ascii="Verdana" w:eastAsia="Calibri" w:hAnsi="Verdana" w:cstheme="minorBidi"/>
          <w:sz w:val="20"/>
          <w:szCs w:val="20"/>
          <w:lang w:val="en-US"/>
        </w:rPr>
        <w:t xml:space="preserve"> </w:t>
      </w:r>
      <w:r w:rsidR="00BA291C" w:rsidRPr="003E2544">
        <w:rPr>
          <w:rFonts w:ascii="Verdana" w:eastAsia="Calibri" w:hAnsi="Verdana" w:cstheme="minorBidi"/>
          <w:sz w:val="20"/>
          <w:szCs w:val="20"/>
          <w:lang w:val="en-US"/>
        </w:rPr>
        <w:t>coordination, development planning, budgeting, expenditure control and reporting</w:t>
      </w:r>
      <w:r w:rsidRPr="003E2544">
        <w:rPr>
          <w:rFonts w:ascii="Verdana" w:eastAsia="Calibri" w:hAnsi="Verdana" w:cstheme="minorBidi"/>
          <w:sz w:val="20"/>
          <w:szCs w:val="20"/>
          <w:lang w:val="en-US"/>
        </w:rPr>
        <w:t>.</w:t>
      </w:r>
      <w:r w:rsidR="00DB1197" w:rsidRPr="003E2544">
        <w:rPr>
          <w:rFonts w:ascii="Verdana" w:eastAsia="Calibri" w:hAnsi="Verdana" w:cstheme="minorBidi"/>
          <w:sz w:val="20"/>
          <w:szCs w:val="20"/>
          <w:lang w:val="en-US"/>
        </w:rPr>
        <w:t xml:space="preserve"> </w:t>
      </w:r>
    </w:p>
    <w:p w14:paraId="2ABE1E64" w14:textId="77777777" w:rsidR="009B0002" w:rsidRPr="003E2544" w:rsidRDefault="009B0002" w:rsidP="00245274">
      <w:pPr>
        <w:pStyle w:val="ListParagraph"/>
        <w:keepNext/>
        <w:spacing w:line="240" w:lineRule="auto"/>
        <w:ind w:left="360"/>
        <w:rPr>
          <w:rFonts w:ascii="Verdana" w:eastAsia="Calibri" w:hAnsi="Verdana" w:cstheme="minorBidi"/>
          <w:sz w:val="20"/>
          <w:szCs w:val="20"/>
          <w:lang w:val="en-US"/>
        </w:rPr>
      </w:pPr>
    </w:p>
    <w:p w14:paraId="5DC8F0DD" w14:textId="6C519740" w:rsidR="004A5C65" w:rsidRPr="003E2544" w:rsidRDefault="00D2690D" w:rsidP="00245274">
      <w:pPr>
        <w:pStyle w:val="ListParagraph"/>
        <w:numPr>
          <w:ilvl w:val="0"/>
          <w:numId w:val="71"/>
        </w:numPr>
        <w:spacing w:line="240" w:lineRule="auto"/>
        <w:rPr>
          <w:rFonts w:ascii="Verdana" w:eastAsia="Calibri" w:hAnsi="Verdana" w:cstheme="minorBidi"/>
          <w:sz w:val="20"/>
          <w:szCs w:val="20"/>
          <w:lang w:val="en-US"/>
        </w:rPr>
      </w:pPr>
      <w:r w:rsidRPr="003E2544">
        <w:rPr>
          <w:rFonts w:ascii="Verdana" w:eastAsia="Calibri" w:hAnsi="Verdana" w:cstheme="minorBidi"/>
          <w:b/>
          <w:bCs/>
          <w:sz w:val="20"/>
          <w:szCs w:val="20"/>
          <w:lang w:val="en-US"/>
        </w:rPr>
        <w:t>State Revenue Authorit</w:t>
      </w:r>
      <w:r w:rsidR="004A5C65" w:rsidRPr="003E2544">
        <w:rPr>
          <w:rFonts w:ascii="Verdana" w:eastAsia="Calibri" w:hAnsi="Verdana" w:cstheme="minorBidi"/>
          <w:b/>
          <w:bCs/>
          <w:sz w:val="20"/>
          <w:szCs w:val="20"/>
          <w:lang w:val="en-US"/>
        </w:rPr>
        <w:t xml:space="preserve">ies </w:t>
      </w:r>
      <w:r w:rsidR="004F4F7D" w:rsidRPr="003E2544">
        <w:rPr>
          <w:rFonts w:ascii="Verdana" w:eastAsia="Calibri" w:hAnsi="Verdana" w:cstheme="minorBidi"/>
          <w:b/>
          <w:bCs/>
          <w:sz w:val="20"/>
          <w:szCs w:val="20"/>
          <w:lang w:val="en-US"/>
        </w:rPr>
        <w:t>(SRA</w:t>
      </w:r>
      <w:r w:rsidR="00213837">
        <w:rPr>
          <w:rFonts w:ascii="Verdana" w:eastAsia="Calibri" w:hAnsi="Verdana" w:cstheme="minorBidi"/>
          <w:b/>
          <w:bCs/>
          <w:sz w:val="20"/>
          <w:szCs w:val="20"/>
          <w:lang w:val="en-US"/>
        </w:rPr>
        <w:t>s</w:t>
      </w:r>
      <w:r w:rsidR="004F4F7D" w:rsidRPr="003E2544">
        <w:rPr>
          <w:rFonts w:ascii="Verdana" w:eastAsia="Calibri" w:hAnsi="Verdana" w:cstheme="minorBidi"/>
          <w:b/>
          <w:bCs/>
          <w:sz w:val="20"/>
          <w:szCs w:val="20"/>
          <w:lang w:val="en-US"/>
        </w:rPr>
        <w:t>)</w:t>
      </w:r>
      <w:r w:rsidR="004F76A9" w:rsidRPr="003E2544">
        <w:rPr>
          <w:rFonts w:ascii="Verdana" w:eastAsia="Calibri" w:hAnsi="Verdana" w:cstheme="minorBidi"/>
          <w:b/>
          <w:bCs/>
          <w:sz w:val="20"/>
          <w:szCs w:val="20"/>
          <w:lang w:val="en-US"/>
        </w:rPr>
        <w:t xml:space="preserve"> </w:t>
      </w:r>
      <w:r w:rsidR="003D356A" w:rsidRPr="003E2544">
        <w:rPr>
          <w:rFonts w:ascii="Verdana" w:eastAsia="Calibri" w:hAnsi="Verdana" w:cstheme="minorBidi"/>
          <w:sz w:val="20"/>
          <w:szCs w:val="20"/>
          <w:lang w:val="en-US"/>
        </w:rPr>
        <w:t>collect</w:t>
      </w:r>
      <w:r w:rsidR="004F76A9" w:rsidRPr="003E2544">
        <w:rPr>
          <w:rFonts w:ascii="Verdana" w:eastAsia="Calibri" w:hAnsi="Verdana" w:cstheme="minorBidi"/>
          <w:sz w:val="20"/>
          <w:szCs w:val="20"/>
          <w:lang w:val="en-US"/>
        </w:rPr>
        <w:t xml:space="preserve"> revenue at the state level.</w:t>
      </w:r>
      <w:r w:rsidR="004F76A9" w:rsidRPr="003E2544">
        <w:rPr>
          <w:rFonts w:ascii="Verdana" w:eastAsia="Calibri" w:hAnsi="Verdana" w:cstheme="minorBidi"/>
          <w:b/>
          <w:bCs/>
          <w:sz w:val="20"/>
          <w:szCs w:val="20"/>
          <w:lang w:val="en-US"/>
        </w:rPr>
        <w:t xml:space="preserve"> </w:t>
      </w:r>
      <w:r w:rsidRPr="003E2544">
        <w:rPr>
          <w:rFonts w:ascii="Verdana" w:eastAsia="Calibri" w:hAnsi="Verdana" w:cstheme="minorBidi"/>
          <w:sz w:val="20"/>
          <w:szCs w:val="20"/>
          <w:lang w:val="en-US"/>
        </w:rPr>
        <w:t xml:space="preserve">UNDP </w:t>
      </w:r>
      <w:r w:rsidR="00A76402" w:rsidRPr="003E2544">
        <w:rPr>
          <w:rFonts w:ascii="Verdana" w:eastAsia="Calibri" w:hAnsi="Verdana" w:cstheme="minorBidi"/>
          <w:sz w:val="20"/>
          <w:szCs w:val="20"/>
          <w:lang w:val="en-US"/>
        </w:rPr>
        <w:t xml:space="preserve">has been </w:t>
      </w:r>
      <w:r w:rsidR="003D356A" w:rsidRPr="003E2544">
        <w:rPr>
          <w:rFonts w:ascii="Verdana" w:eastAsia="Calibri" w:hAnsi="Verdana" w:cstheme="minorBidi"/>
          <w:sz w:val="20"/>
          <w:szCs w:val="20"/>
          <w:lang w:val="en-US"/>
        </w:rPr>
        <w:t>involved</w:t>
      </w:r>
      <w:r w:rsidR="00DA3374" w:rsidRPr="003E2544">
        <w:rPr>
          <w:rFonts w:ascii="Verdana" w:eastAsia="Calibri" w:hAnsi="Verdana" w:cstheme="minorBidi"/>
          <w:sz w:val="20"/>
          <w:szCs w:val="20"/>
          <w:lang w:val="en-US"/>
        </w:rPr>
        <w:t xml:space="preserve"> </w:t>
      </w:r>
      <w:r w:rsidR="003D356A" w:rsidRPr="003E2544">
        <w:rPr>
          <w:rFonts w:ascii="Verdana" w:eastAsia="Calibri" w:hAnsi="Verdana" w:cstheme="minorBidi"/>
          <w:sz w:val="20"/>
          <w:szCs w:val="20"/>
          <w:lang w:val="en-US"/>
        </w:rPr>
        <w:t xml:space="preserve">in capacity building of </w:t>
      </w:r>
      <w:r w:rsidR="00DA3374" w:rsidRPr="003E2544">
        <w:rPr>
          <w:rFonts w:ascii="Verdana" w:eastAsia="Calibri" w:hAnsi="Verdana" w:cstheme="minorBidi"/>
          <w:sz w:val="20"/>
          <w:szCs w:val="20"/>
          <w:lang w:val="en-US"/>
        </w:rPr>
        <w:t>tax officers</w:t>
      </w:r>
      <w:r w:rsidR="003D356A" w:rsidRPr="003E2544">
        <w:rPr>
          <w:rFonts w:ascii="Verdana" w:eastAsia="Calibri" w:hAnsi="Verdana" w:cstheme="minorBidi"/>
          <w:sz w:val="20"/>
          <w:szCs w:val="20"/>
          <w:lang w:val="en-US"/>
        </w:rPr>
        <w:t>; helped establish SRA b</w:t>
      </w:r>
      <w:r w:rsidR="00DA3374" w:rsidRPr="003E2544">
        <w:rPr>
          <w:rFonts w:ascii="Verdana" w:eastAsia="Calibri" w:hAnsi="Verdana" w:cstheme="minorBidi"/>
          <w:sz w:val="20"/>
          <w:szCs w:val="20"/>
          <w:lang w:val="en-US"/>
        </w:rPr>
        <w:t>oard</w:t>
      </w:r>
      <w:r w:rsidR="003D356A" w:rsidRPr="003E2544">
        <w:rPr>
          <w:rFonts w:ascii="Verdana" w:eastAsia="Calibri" w:hAnsi="Verdana" w:cstheme="minorBidi"/>
          <w:sz w:val="20"/>
          <w:szCs w:val="20"/>
          <w:lang w:val="en-US"/>
        </w:rPr>
        <w:t>s; train</w:t>
      </w:r>
      <w:r w:rsidR="15E26A93" w:rsidRPr="003E2544">
        <w:rPr>
          <w:rFonts w:ascii="Verdana" w:eastAsia="Calibri" w:hAnsi="Verdana" w:cstheme="minorBidi"/>
          <w:sz w:val="20"/>
          <w:szCs w:val="20"/>
          <w:lang w:val="en-US"/>
        </w:rPr>
        <w:t>ed</w:t>
      </w:r>
      <w:r w:rsidR="00DA3374" w:rsidRPr="003E2544">
        <w:rPr>
          <w:rFonts w:ascii="Verdana" w:eastAsia="Calibri" w:hAnsi="Verdana" w:cstheme="minorBidi"/>
          <w:sz w:val="20"/>
          <w:szCs w:val="20"/>
          <w:lang w:val="en-US"/>
        </w:rPr>
        <w:t xml:space="preserve"> Commissioner General</w:t>
      </w:r>
      <w:r w:rsidR="003D356A" w:rsidRPr="003E2544">
        <w:rPr>
          <w:rFonts w:ascii="Verdana" w:eastAsia="Calibri" w:hAnsi="Verdana" w:cstheme="minorBidi"/>
          <w:sz w:val="20"/>
          <w:szCs w:val="20"/>
          <w:lang w:val="en-US"/>
        </w:rPr>
        <w:t>s;</w:t>
      </w:r>
      <w:r w:rsidR="00DA3374" w:rsidRPr="003E2544">
        <w:rPr>
          <w:rFonts w:ascii="Verdana" w:eastAsia="Calibri" w:hAnsi="Verdana" w:cstheme="minorBidi"/>
          <w:sz w:val="20"/>
          <w:szCs w:val="20"/>
          <w:lang w:val="en-US"/>
        </w:rPr>
        <w:t xml:space="preserve"> </w:t>
      </w:r>
      <w:r w:rsidR="003D356A" w:rsidRPr="003E2544">
        <w:rPr>
          <w:rFonts w:ascii="Verdana" w:eastAsia="Calibri" w:hAnsi="Verdana" w:cstheme="minorBidi"/>
          <w:sz w:val="20"/>
          <w:szCs w:val="20"/>
          <w:lang w:val="en-US"/>
        </w:rPr>
        <w:t xml:space="preserve">and </w:t>
      </w:r>
      <w:r w:rsidR="005C56FC" w:rsidRPr="003E2544">
        <w:rPr>
          <w:rFonts w:ascii="Verdana" w:eastAsia="Calibri" w:hAnsi="Verdana" w:cstheme="minorBidi"/>
          <w:sz w:val="20"/>
          <w:szCs w:val="20"/>
          <w:lang w:val="en-US"/>
        </w:rPr>
        <w:t>provide</w:t>
      </w:r>
      <w:r w:rsidR="1BCC8F4E" w:rsidRPr="003E2544">
        <w:rPr>
          <w:rFonts w:ascii="Verdana" w:eastAsia="Calibri" w:hAnsi="Verdana" w:cstheme="minorBidi"/>
          <w:sz w:val="20"/>
          <w:szCs w:val="20"/>
          <w:lang w:val="en-US"/>
        </w:rPr>
        <w:t>d</w:t>
      </w:r>
      <w:r w:rsidRPr="003E2544">
        <w:rPr>
          <w:rFonts w:ascii="Verdana" w:eastAsia="Calibri" w:hAnsi="Verdana" w:cstheme="minorBidi"/>
          <w:sz w:val="20"/>
          <w:szCs w:val="20"/>
          <w:lang w:val="en-US"/>
        </w:rPr>
        <w:t xml:space="preserve"> infrastructure support in </w:t>
      </w:r>
      <w:r w:rsidR="0066581F" w:rsidRPr="003E2544">
        <w:rPr>
          <w:rFonts w:ascii="Verdana" w:eastAsia="Calibri" w:hAnsi="Verdana" w:cstheme="minorBidi"/>
          <w:sz w:val="20"/>
          <w:szCs w:val="20"/>
          <w:lang w:val="en-US"/>
        </w:rPr>
        <w:t xml:space="preserve">six </w:t>
      </w:r>
      <w:r w:rsidRPr="003E2544">
        <w:rPr>
          <w:rFonts w:ascii="Verdana" w:eastAsia="Calibri" w:hAnsi="Verdana" w:cstheme="minorBidi"/>
          <w:sz w:val="20"/>
          <w:szCs w:val="20"/>
          <w:lang w:val="en-US"/>
        </w:rPr>
        <w:t>states</w:t>
      </w:r>
      <w:r w:rsidR="003D356A" w:rsidRPr="003E2544">
        <w:rPr>
          <w:rFonts w:ascii="Verdana" w:eastAsia="Calibri" w:hAnsi="Verdana" w:cstheme="minorBidi"/>
          <w:sz w:val="20"/>
          <w:szCs w:val="20"/>
          <w:lang w:val="en-US"/>
        </w:rPr>
        <w:t>.</w:t>
      </w:r>
      <w:r w:rsidR="0066581F" w:rsidRPr="003E2544">
        <w:rPr>
          <w:rFonts w:ascii="Verdana" w:eastAsia="Calibri" w:hAnsi="Verdana" w:cstheme="minorBidi"/>
          <w:sz w:val="20"/>
          <w:szCs w:val="20"/>
          <w:lang w:val="en-US"/>
        </w:rPr>
        <w:t xml:space="preserve"> </w:t>
      </w:r>
      <w:r w:rsidR="00F959B4" w:rsidRPr="003E2544">
        <w:rPr>
          <w:rFonts w:ascii="Verdana" w:eastAsia="Calibri" w:hAnsi="Verdana" w:cstheme="minorBidi"/>
          <w:sz w:val="20"/>
          <w:szCs w:val="20"/>
          <w:lang w:val="en-US"/>
        </w:rPr>
        <w:t xml:space="preserve">The JP will </w:t>
      </w:r>
      <w:r w:rsidR="003D356A" w:rsidRPr="003E2544">
        <w:rPr>
          <w:rFonts w:ascii="Verdana" w:eastAsia="Calibri" w:hAnsi="Verdana" w:cstheme="minorBidi"/>
          <w:sz w:val="20"/>
          <w:szCs w:val="20"/>
          <w:lang w:val="en-US"/>
        </w:rPr>
        <w:t xml:space="preserve">build </w:t>
      </w:r>
      <w:r w:rsidR="004A5C65" w:rsidRPr="003E2544">
        <w:rPr>
          <w:rFonts w:ascii="Verdana" w:eastAsia="Calibri" w:hAnsi="Verdana" w:cstheme="minorBidi"/>
          <w:sz w:val="20"/>
          <w:szCs w:val="20"/>
          <w:lang w:val="en-US"/>
        </w:rPr>
        <w:t>further capacity</w:t>
      </w:r>
      <w:r w:rsidR="003D356A" w:rsidRPr="003E2544">
        <w:rPr>
          <w:rFonts w:ascii="Verdana" w:eastAsia="Calibri" w:hAnsi="Verdana" w:cstheme="minorBidi"/>
          <w:sz w:val="20"/>
          <w:szCs w:val="20"/>
          <w:lang w:val="en-US"/>
        </w:rPr>
        <w:t xml:space="preserve"> to </w:t>
      </w:r>
      <w:r w:rsidR="00F959B4" w:rsidRPr="003E2544">
        <w:rPr>
          <w:rFonts w:ascii="Verdana" w:eastAsia="Calibri" w:hAnsi="Verdana" w:cstheme="minorBidi"/>
          <w:sz w:val="20"/>
          <w:szCs w:val="20"/>
          <w:lang w:val="en-US"/>
        </w:rPr>
        <w:t xml:space="preserve">support </w:t>
      </w:r>
      <w:r w:rsidRPr="003E2544">
        <w:rPr>
          <w:rFonts w:ascii="Verdana" w:eastAsia="Calibri" w:hAnsi="Verdana" w:cstheme="minorBidi"/>
          <w:sz w:val="20"/>
          <w:szCs w:val="20"/>
          <w:lang w:val="en-US"/>
        </w:rPr>
        <w:t>taxpayer sensitizatio</w:t>
      </w:r>
      <w:r w:rsidR="003D356A" w:rsidRPr="003E2544">
        <w:rPr>
          <w:rFonts w:ascii="Verdana" w:eastAsia="Calibri" w:hAnsi="Verdana" w:cstheme="minorBidi"/>
          <w:sz w:val="20"/>
          <w:szCs w:val="20"/>
          <w:lang w:val="en-US"/>
        </w:rPr>
        <w:t>n</w:t>
      </w:r>
      <w:r w:rsidR="0585AF80" w:rsidRPr="003E2544">
        <w:rPr>
          <w:rFonts w:ascii="Verdana" w:eastAsia="Calibri" w:hAnsi="Verdana" w:cstheme="minorBidi"/>
          <w:sz w:val="20"/>
          <w:szCs w:val="20"/>
          <w:lang w:val="en-US"/>
        </w:rPr>
        <w:t xml:space="preserve"> and</w:t>
      </w:r>
      <w:r w:rsidR="003D356A" w:rsidRPr="003E2544">
        <w:rPr>
          <w:rFonts w:ascii="Verdana" w:eastAsia="Calibri" w:hAnsi="Verdana" w:cstheme="minorBidi"/>
          <w:sz w:val="20"/>
          <w:szCs w:val="20"/>
          <w:lang w:val="en-US"/>
        </w:rPr>
        <w:t xml:space="preserve"> </w:t>
      </w:r>
      <w:r w:rsidRPr="003E2544">
        <w:rPr>
          <w:rFonts w:ascii="Verdana" w:eastAsia="Calibri" w:hAnsi="Verdana" w:cstheme="minorBidi"/>
          <w:sz w:val="20"/>
          <w:szCs w:val="20"/>
          <w:lang w:val="en-US"/>
        </w:rPr>
        <w:t xml:space="preserve">clarify modalities </w:t>
      </w:r>
      <w:r w:rsidR="003D356A" w:rsidRPr="003E2544">
        <w:rPr>
          <w:rFonts w:ascii="Verdana" w:eastAsia="Calibri" w:hAnsi="Verdana" w:cstheme="minorBidi"/>
          <w:sz w:val="20"/>
          <w:szCs w:val="20"/>
          <w:lang w:val="en-US"/>
        </w:rPr>
        <w:t xml:space="preserve">of cooperation with </w:t>
      </w:r>
      <w:proofErr w:type="spellStart"/>
      <w:r w:rsidR="003D356A" w:rsidRPr="003E2544">
        <w:rPr>
          <w:rFonts w:ascii="Verdana" w:eastAsia="Calibri" w:hAnsi="Verdana" w:cstheme="minorBidi"/>
          <w:sz w:val="20"/>
          <w:szCs w:val="20"/>
          <w:lang w:val="en-US"/>
        </w:rPr>
        <w:t>M</w:t>
      </w:r>
      <w:r w:rsidR="00213837">
        <w:rPr>
          <w:rFonts w:ascii="Verdana" w:eastAsia="Calibri" w:hAnsi="Verdana" w:cstheme="minorBidi"/>
          <w:sz w:val="20"/>
          <w:szCs w:val="20"/>
          <w:lang w:val="en-US"/>
        </w:rPr>
        <w:t>o</w:t>
      </w:r>
      <w:r w:rsidR="003D356A" w:rsidRPr="003E2544">
        <w:rPr>
          <w:rFonts w:ascii="Verdana" w:eastAsia="Calibri" w:hAnsi="Verdana" w:cstheme="minorBidi"/>
          <w:sz w:val="20"/>
          <w:szCs w:val="20"/>
          <w:lang w:val="en-US"/>
        </w:rPr>
        <w:t>F</w:t>
      </w:r>
      <w:r w:rsidR="00213837">
        <w:rPr>
          <w:rFonts w:ascii="Verdana" w:eastAsia="Calibri" w:hAnsi="Verdana" w:cstheme="minorBidi"/>
          <w:sz w:val="20"/>
          <w:szCs w:val="20"/>
          <w:lang w:val="en-US"/>
        </w:rPr>
        <w:t>s</w:t>
      </w:r>
      <w:proofErr w:type="spellEnd"/>
      <w:r w:rsidR="003D356A" w:rsidRPr="003E2544">
        <w:rPr>
          <w:rFonts w:ascii="Verdana" w:eastAsia="Calibri" w:hAnsi="Verdana" w:cstheme="minorBidi"/>
          <w:sz w:val="20"/>
          <w:szCs w:val="20"/>
          <w:lang w:val="en-US"/>
        </w:rPr>
        <w:t xml:space="preserve"> </w:t>
      </w:r>
      <w:r w:rsidR="00934AB4" w:rsidRPr="003E2544">
        <w:rPr>
          <w:rFonts w:ascii="Verdana" w:eastAsia="Calibri" w:hAnsi="Verdana" w:cstheme="minorBidi"/>
          <w:sz w:val="20"/>
          <w:szCs w:val="20"/>
          <w:lang w:val="en-US"/>
        </w:rPr>
        <w:t>including operationalizing</w:t>
      </w:r>
      <w:r w:rsidR="003D356A" w:rsidRPr="003E2544">
        <w:rPr>
          <w:rFonts w:ascii="Verdana" w:eastAsia="Calibri" w:hAnsi="Verdana" w:cstheme="minorBidi"/>
          <w:sz w:val="20"/>
          <w:szCs w:val="20"/>
          <w:lang w:val="en-US"/>
        </w:rPr>
        <w:t xml:space="preserve"> </w:t>
      </w:r>
      <w:r w:rsidRPr="003E2544">
        <w:rPr>
          <w:rFonts w:ascii="Verdana" w:eastAsia="Calibri" w:hAnsi="Verdana" w:cstheme="minorBidi"/>
          <w:sz w:val="20"/>
          <w:szCs w:val="20"/>
          <w:lang w:val="en-US"/>
        </w:rPr>
        <w:t xml:space="preserve">board meetings. </w:t>
      </w:r>
      <w:r w:rsidR="003D356A" w:rsidRPr="003E2544">
        <w:rPr>
          <w:rFonts w:ascii="Verdana" w:eastAsia="Calibri" w:hAnsi="Verdana" w:cstheme="minorBidi"/>
          <w:sz w:val="20"/>
          <w:szCs w:val="20"/>
          <w:lang w:val="en-US"/>
        </w:rPr>
        <w:t xml:space="preserve">In addition, UNDP will </w:t>
      </w:r>
      <w:r w:rsidR="004A5C65" w:rsidRPr="003E2544">
        <w:rPr>
          <w:rFonts w:ascii="Verdana" w:eastAsia="Calibri" w:hAnsi="Verdana" w:cstheme="minorBidi"/>
          <w:sz w:val="20"/>
          <w:szCs w:val="20"/>
          <w:lang w:val="en-US"/>
        </w:rPr>
        <w:t xml:space="preserve">continue in 2020 </w:t>
      </w:r>
      <w:r w:rsidR="003D356A" w:rsidRPr="003E2544">
        <w:rPr>
          <w:rFonts w:ascii="Verdana" w:eastAsia="Calibri" w:hAnsi="Verdana" w:cstheme="minorBidi"/>
          <w:sz w:val="20"/>
          <w:szCs w:val="20"/>
          <w:lang w:val="en-US"/>
        </w:rPr>
        <w:t xml:space="preserve">with </w:t>
      </w:r>
      <w:r w:rsidR="00213837">
        <w:rPr>
          <w:rFonts w:ascii="Verdana" w:eastAsia="Calibri" w:hAnsi="Verdana" w:cstheme="minorBidi"/>
          <w:sz w:val="20"/>
          <w:szCs w:val="20"/>
          <w:lang w:val="en-US"/>
        </w:rPr>
        <w:t>information communication technology (</w:t>
      </w:r>
      <w:r w:rsidRPr="003E2544">
        <w:rPr>
          <w:rFonts w:ascii="Verdana" w:eastAsia="Calibri" w:hAnsi="Verdana" w:cstheme="minorBidi"/>
          <w:sz w:val="20"/>
          <w:szCs w:val="20"/>
          <w:lang w:val="en-US"/>
        </w:rPr>
        <w:t>ICT</w:t>
      </w:r>
      <w:r w:rsidR="00213837">
        <w:rPr>
          <w:rFonts w:ascii="Verdana" w:eastAsia="Calibri" w:hAnsi="Verdana" w:cstheme="minorBidi"/>
          <w:sz w:val="20"/>
          <w:szCs w:val="20"/>
          <w:lang w:val="en-US"/>
        </w:rPr>
        <w:t>)</w:t>
      </w:r>
      <w:r w:rsidRPr="003E2544">
        <w:rPr>
          <w:rFonts w:ascii="Verdana" w:eastAsia="Calibri" w:hAnsi="Verdana" w:cstheme="minorBidi"/>
          <w:sz w:val="20"/>
          <w:szCs w:val="20"/>
          <w:lang w:val="en-US"/>
        </w:rPr>
        <w:t xml:space="preserve"> installment and mapping of taxpayers </w:t>
      </w:r>
      <w:r w:rsidR="003D356A" w:rsidRPr="003E2544">
        <w:rPr>
          <w:rFonts w:ascii="Verdana" w:eastAsia="Calibri" w:hAnsi="Verdana" w:cstheme="minorBidi"/>
          <w:sz w:val="20"/>
          <w:szCs w:val="20"/>
          <w:lang w:val="en-US"/>
        </w:rPr>
        <w:t>(</w:t>
      </w:r>
      <w:r w:rsidRPr="003E2544">
        <w:rPr>
          <w:rFonts w:ascii="Verdana" w:eastAsia="Calibri" w:hAnsi="Verdana" w:cstheme="minorBidi"/>
          <w:sz w:val="20"/>
          <w:szCs w:val="20"/>
          <w:lang w:val="en-US"/>
        </w:rPr>
        <w:t>through AfDB funding</w:t>
      </w:r>
      <w:r w:rsidR="003D356A" w:rsidRPr="003E2544">
        <w:rPr>
          <w:rFonts w:ascii="Verdana" w:eastAsia="Calibri" w:hAnsi="Verdana" w:cstheme="minorBidi"/>
          <w:sz w:val="20"/>
          <w:szCs w:val="20"/>
          <w:lang w:val="en-US"/>
        </w:rPr>
        <w:t>)</w:t>
      </w:r>
      <w:r w:rsidRPr="003E2544">
        <w:rPr>
          <w:rFonts w:ascii="Verdana" w:eastAsia="Calibri" w:hAnsi="Verdana" w:cstheme="minorBidi"/>
          <w:sz w:val="20"/>
          <w:szCs w:val="20"/>
          <w:lang w:val="en-US"/>
        </w:rPr>
        <w:t>.</w:t>
      </w:r>
      <w:r w:rsidR="00760533" w:rsidRPr="003E2544">
        <w:rPr>
          <w:rFonts w:ascii="Verdana" w:eastAsia="Calibri" w:hAnsi="Verdana" w:cstheme="minorBidi"/>
          <w:sz w:val="20"/>
          <w:szCs w:val="20"/>
          <w:lang w:val="en-US"/>
        </w:rPr>
        <w:t xml:space="preserve"> </w:t>
      </w:r>
    </w:p>
    <w:p w14:paraId="0FD376C9" w14:textId="77777777" w:rsidR="009B0002" w:rsidRPr="003E2544" w:rsidRDefault="009B0002" w:rsidP="00245274">
      <w:pPr>
        <w:pStyle w:val="ListParagraph"/>
        <w:spacing w:line="240" w:lineRule="auto"/>
        <w:ind w:left="360"/>
        <w:rPr>
          <w:rFonts w:ascii="Verdana" w:eastAsia="Calibri" w:hAnsi="Verdana" w:cstheme="minorBidi"/>
          <w:sz w:val="20"/>
          <w:szCs w:val="20"/>
          <w:lang w:val="en-US"/>
        </w:rPr>
      </w:pPr>
    </w:p>
    <w:p w14:paraId="6863EE35" w14:textId="21402073" w:rsidR="004A5C65" w:rsidRPr="003E2544" w:rsidRDefault="00D2690D" w:rsidP="00245274">
      <w:pPr>
        <w:pStyle w:val="ListParagraph"/>
        <w:numPr>
          <w:ilvl w:val="0"/>
          <w:numId w:val="71"/>
        </w:numPr>
        <w:spacing w:line="240" w:lineRule="auto"/>
        <w:rPr>
          <w:rFonts w:ascii="Verdana" w:eastAsia="Calibri" w:hAnsi="Verdana" w:cstheme="minorHAnsi"/>
          <w:sz w:val="20"/>
          <w:szCs w:val="20"/>
          <w:lang w:val="en-US"/>
        </w:rPr>
      </w:pPr>
      <w:r w:rsidRPr="003E2544">
        <w:rPr>
          <w:rFonts w:ascii="Verdana" w:eastAsia="Calibri" w:hAnsi="Verdana" w:cstheme="minorHAnsi"/>
          <w:b/>
          <w:bCs/>
          <w:sz w:val="20"/>
          <w:szCs w:val="20"/>
          <w:lang w:val="en-US"/>
        </w:rPr>
        <w:t xml:space="preserve">State </w:t>
      </w:r>
      <w:r w:rsidR="004A5C65" w:rsidRPr="003E2544">
        <w:rPr>
          <w:rFonts w:ascii="Verdana" w:eastAsia="Calibri" w:hAnsi="Verdana" w:cstheme="minorHAnsi"/>
          <w:b/>
          <w:bCs/>
          <w:sz w:val="20"/>
          <w:szCs w:val="20"/>
          <w:lang w:val="en-US"/>
        </w:rPr>
        <w:t xml:space="preserve">social sector MDAs </w:t>
      </w:r>
      <w:r w:rsidR="004A5C65" w:rsidRPr="003E2544">
        <w:rPr>
          <w:rFonts w:ascii="Verdana" w:eastAsia="Calibri" w:hAnsi="Verdana" w:cstheme="minorHAnsi"/>
          <w:sz w:val="20"/>
          <w:szCs w:val="20"/>
          <w:lang w:val="en-US"/>
        </w:rPr>
        <w:t xml:space="preserve">are a primary </w:t>
      </w:r>
      <w:r w:rsidR="007C4C45" w:rsidRPr="003E2544">
        <w:rPr>
          <w:rFonts w:ascii="Verdana" w:hAnsi="Verdana"/>
          <w:sz w:val="20"/>
          <w:szCs w:val="20"/>
          <w:lang w:val="en-US"/>
        </w:rPr>
        <w:t xml:space="preserve">Government of the Republic of South Sudan (GRSS) </w:t>
      </w:r>
      <w:r w:rsidR="004A5C65" w:rsidRPr="003E2544">
        <w:rPr>
          <w:rFonts w:ascii="Verdana" w:eastAsia="Calibri" w:hAnsi="Verdana" w:cstheme="minorHAnsi"/>
          <w:sz w:val="20"/>
          <w:szCs w:val="20"/>
          <w:lang w:val="en-US"/>
        </w:rPr>
        <w:t xml:space="preserve">service delivery conduit. </w:t>
      </w:r>
      <w:r w:rsidR="00213837">
        <w:rPr>
          <w:rFonts w:ascii="Verdana" w:eastAsia="Calibri" w:hAnsi="Verdana" w:cstheme="minorHAnsi"/>
          <w:sz w:val="20"/>
          <w:szCs w:val="20"/>
          <w:lang w:val="en-US"/>
        </w:rPr>
        <w:t>T</w:t>
      </w:r>
      <w:r w:rsidR="004A5C65" w:rsidRPr="003E2544">
        <w:rPr>
          <w:rFonts w:ascii="Verdana" w:eastAsia="Calibri" w:hAnsi="Verdana" w:cstheme="minorHAnsi"/>
          <w:sz w:val="20"/>
          <w:szCs w:val="20"/>
          <w:lang w:val="en-US"/>
        </w:rPr>
        <w:t xml:space="preserve">hey are required to </w:t>
      </w:r>
      <w:r w:rsidR="008D4C64" w:rsidRPr="003E2544">
        <w:rPr>
          <w:rFonts w:ascii="Verdana" w:eastAsia="Calibri" w:hAnsi="Verdana" w:cstheme="minorHAnsi"/>
          <w:sz w:val="20"/>
          <w:szCs w:val="20"/>
          <w:lang w:val="en-US"/>
        </w:rPr>
        <w:t>prepare</w:t>
      </w:r>
      <w:r w:rsidRPr="003E2544">
        <w:rPr>
          <w:rFonts w:ascii="Verdana" w:eastAsia="Calibri" w:hAnsi="Verdana" w:cstheme="minorHAnsi"/>
          <w:sz w:val="20"/>
          <w:szCs w:val="20"/>
          <w:lang w:val="en-US"/>
        </w:rPr>
        <w:t xml:space="preserve"> annual plans and </w:t>
      </w:r>
      <w:r w:rsidR="00515DA5" w:rsidRPr="003E2544">
        <w:rPr>
          <w:rFonts w:ascii="Verdana" w:eastAsia="Calibri" w:hAnsi="Verdana" w:cstheme="minorHAnsi"/>
          <w:sz w:val="20"/>
          <w:szCs w:val="20"/>
          <w:lang w:val="en-US"/>
        </w:rPr>
        <w:t xml:space="preserve">submit </w:t>
      </w:r>
      <w:r w:rsidRPr="003E2544">
        <w:rPr>
          <w:rFonts w:ascii="Verdana" w:eastAsia="Calibri" w:hAnsi="Verdana" w:cstheme="minorHAnsi"/>
          <w:sz w:val="20"/>
          <w:szCs w:val="20"/>
          <w:lang w:val="en-US"/>
        </w:rPr>
        <w:t>budget</w:t>
      </w:r>
      <w:r w:rsidR="00515DA5" w:rsidRPr="003E2544">
        <w:rPr>
          <w:rFonts w:ascii="Verdana" w:eastAsia="Calibri" w:hAnsi="Verdana" w:cstheme="minorHAnsi"/>
          <w:sz w:val="20"/>
          <w:szCs w:val="20"/>
          <w:lang w:val="en-US"/>
        </w:rPr>
        <w:t xml:space="preserve">s </w:t>
      </w:r>
      <w:r w:rsidRPr="003E2544">
        <w:rPr>
          <w:rFonts w:ascii="Verdana" w:eastAsia="Calibri" w:hAnsi="Verdana" w:cstheme="minorHAnsi"/>
          <w:sz w:val="20"/>
          <w:szCs w:val="20"/>
          <w:lang w:val="en-US"/>
        </w:rPr>
        <w:t>to the</w:t>
      </w:r>
      <w:r w:rsidR="005335F6">
        <w:rPr>
          <w:rFonts w:ascii="Verdana" w:eastAsia="Calibri" w:hAnsi="Verdana" w:cstheme="minorHAnsi"/>
          <w:sz w:val="20"/>
          <w:szCs w:val="20"/>
          <w:lang w:val="en-US"/>
        </w:rPr>
        <w:t xml:space="preserve"> State</w:t>
      </w:r>
      <w:r w:rsidRPr="003E2544">
        <w:rPr>
          <w:rFonts w:ascii="Verdana" w:eastAsia="Calibri" w:hAnsi="Verdana" w:cstheme="minorHAnsi"/>
          <w:sz w:val="20"/>
          <w:szCs w:val="20"/>
          <w:lang w:val="en-US"/>
        </w:rPr>
        <w:t xml:space="preserve"> Council of Ministers. </w:t>
      </w:r>
      <w:r w:rsidR="004A5C65" w:rsidRPr="003E2544">
        <w:rPr>
          <w:rFonts w:ascii="Verdana" w:eastAsia="Calibri" w:hAnsi="Verdana" w:cstheme="minorHAnsi"/>
          <w:sz w:val="20"/>
          <w:szCs w:val="20"/>
          <w:lang w:val="en-US"/>
        </w:rPr>
        <w:t xml:space="preserve">The </w:t>
      </w:r>
      <w:r w:rsidR="00042453" w:rsidRPr="003E2544">
        <w:rPr>
          <w:rFonts w:ascii="Verdana" w:eastAsia="Calibri" w:hAnsi="Verdana" w:cstheme="minorHAnsi"/>
          <w:sz w:val="20"/>
          <w:szCs w:val="20"/>
          <w:lang w:val="en-US"/>
        </w:rPr>
        <w:t xml:space="preserve">JP will </w:t>
      </w:r>
      <w:r w:rsidR="004A5C65" w:rsidRPr="003E2544">
        <w:rPr>
          <w:rFonts w:ascii="Verdana" w:eastAsia="Calibri" w:hAnsi="Verdana" w:cstheme="minorHAnsi"/>
          <w:sz w:val="20"/>
          <w:szCs w:val="20"/>
          <w:lang w:val="en-US"/>
        </w:rPr>
        <w:t xml:space="preserve">provide </w:t>
      </w:r>
      <w:r w:rsidR="00042453" w:rsidRPr="003E2544">
        <w:rPr>
          <w:rFonts w:ascii="Verdana" w:eastAsia="Calibri" w:hAnsi="Verdana" w:cstheme="minorHAnsi"/>
          <w:sz w:val="20"/>
          <w:szCs w:val="20"/>
          <w:lang w:val="en-US"/>
        </w:rPr>
        <w:t xml:space="preserve">support </w:t>
      </w:r>
      <w:r w:rsidR="004A5C65" w:rsidRPr="003E2544">
        <w:rPr>
          <w:rFonts w:ascii="Verdana" w:eastAsia="Calibri" w:hAnsi="Verdana" w:cstheme="minorHAnsi"/>
          <w:sz w:val="20"/>
          <w:szCs w:val="20"/>
          <w:lang w:val="en-US"/>
        </w:rPr>
        <w:t xml:space="preserve">in </w:t>
      </w:r>
      <w:r w:rsidR="00427944" w:rsidRPr="003E2544">
        <w:rPr>
          <w:rFonts w:ascii="Verdana" w:eastAsia="Calibri" w:hAnsi="Verdana" w:cstheme="minorHAnsi"/>
          <w:sz w:val="20"/>
          <w:szCs w:val="20"/>
          <w:lang w:val="en-US"/>
        </w:rPr>
        <w:t>formulati</w:t>
      </w:r>
      <w:r w:rsidR="004A5C65" w:rsidRPr="003E2544">
        <w:rPr>
          <w:rFonts w:ascii="Verdana" w:eastAsia="Calibri" w:hAnsi="Verdana" w:cstheme="minorHAnsi"/>
          <w:sz w:val="20"/>
          <w:szCs w:val="20"/>
          <w:lang w:val="en-US"/>
        </w:rPr>
        <w:t xml:space="preserve">ng </w:t>
      </w:r>
      <w:r w:rsidR="00427944" w:rsidRPr="003E2544">
        <w:rPr>
          <w:rFonts w:ascii="Verdana" w:eastAsia="Calibri" w:hAnsi="Verdana" w:cstheme="minorHAnsi"/>
          <w:sz w:val="20"/>
          <w:szCs w:val="20"/>
          <w:lang w:val="en-US"/>
        </w:rPr>
        <w:t>SDS</w:t>
      </w:r>
      <w:r w:rsidR="00213837">
        <w:rPr>
          <w:rFonts w:ascii="Verdana" w:eastAsia="Calibri" w:hAnsi="Verdana" w:cstheme="minorHAnsi"/>
          <w:sz w:val="20"/>
          <w:szCs w:val="20"/>
          <w:lang w:val="en-US"/>
        </w:rPr>
        <w:t>s</w:t>
      </w:r>
      <w:r w:rsidR="00427944" w:rsidRPr="003E2544">
        <w:rPr>
          <w:rFonts w:ascii="Verdana" w:eastAsia="Calibri" w:hAnsi="Verdana" w:cstheme="minorHAnsi"/>
          <w:sz w:val="20"/>
          <w:szCs w:val="20"/>
          <w:lang w:val="en-US"/>
        </w:rPr>
        <w:t xml:space="preserve"> and </w:t>
      </w:r>
      <w:r w:rsidR="00A33CD9" w:rsidRPr="003E2544">
        <w:rPr>
          <w:rFonts w:ascii="Verdana" w:eastAsia="Calibri" w:hAnsi="Verdana" w:cstheme="minorHAnsi"/>
          <w:sz w:val="20"/>
          <w:szCs w:val="20"/>
          <w:lang w:val="en-US"/>
        </w:rPr>
        <w:t>Sector Plans</w:t>
      </w:r>
      <w:r w:rsidR="004A5C65" w:rsidRPr="003E2544">
        <w:rPr>
          <w:rFonts w:ascii="Verdana" w:eastAsia="Calibri" w:hAnsi="Verdana" w:cstheme="minorHAnsi"/>
          <w:sz w:val="20"/>
          <w:szCs w:val="20"/>
          <w:lang w:val="en-US"/>
        </w:rPr>
        <w:t xml:space="preserve"> and prepare their annual budgets. </w:t>
      </w:r>
    </w:p>
    <w:p w14:paraId="6AF6FEAF" w14:textId="77777777" w:rsidR="009B0002" w:rsidRPr="003E2544" w:rsidRDefault="009B0002" w:rsidP="00245274">
      <w:pPr>
        <w:pStyle w:val="ListParagraph"/>
        <w:spacing w:line="240" w:lineRule="auto"/>
        <w:ind w:left="360"/>
        <w:rPr>
          <w:rFonts w:ascii="Verdana" w:eastAsia="Calibri" w:hAnsi="Verdana" w:cstheme="minorHAnsi"/>
          <w:sz w:val="20"/>
          <w:szCs w:val="20"/>
          <w:lang w:val="en-US"/>
        </w:rPr>
      </w:pPr>
    </w:p>
    <w:p w14:paraId="3FFF86D3" w14:textId="00E13AEA" w:rsidR="004A5C65" w:rsidRPr="003E2544" w:rsidRDefault="004A5C65" w:rsidP="00245274">
      <w:pPr>
        <w:pStyle w:val="ListParagraph"/>
        <w:numPr>
          <w:ilvl w:val="0"/>
          <w:numId w:val="71"/>
        </w:numPr>
        <w:spacing w:line="240" w:lineRule="auto"/>
        <w:rPr>
          <w:rFonts w:ascii="Verdana" w:eastAsia="Calibri" w:hAnsi="Verdana" w:cstheme="minorBidi"/>
          <w:sz w:val="20"/>
          <w:szCs w:val="20"/>
          <w:lang w:val="en-US"/>
        </w:rPr>
      </w:pPr>
      <w:r w:rsidRPr="003E2544">
        <w:rPr>
          <w:rFonts w:ascii="Verdana" w:eastAsia="Calibri" w:hAnsi="Verdana" w:cstheme="minorBidi"/>
          <w:b/>
          <w:bCs/>
          <w:sz w:val="20"/>
          <w:szCs w:val="20"/>
          <w:lang w:val="en-US"/>
        </w:rPr>
        <w:t xml:space="preserve">The </w:t>
      </w:r>
      <w:r w:rsidR="00D2690D" w:rsidRPr="003E2544">
        <w:rPr>
          <w:rFonts w:ascii="Verdana" w:eastAsia="Calibri" w:hAnsi="Verdana" w:cstheme="minorBidi"/>
          <w:b/>
          <w:bCs/>
          <w:sz w:val="20"/>
          <w:szCs w:val="20"/>
          <w:lang w:val="en-US"/>
        </w:rPr>
        <w:t>State Council of Minister</w:t>
      </w:r>
      <w:r w:rsidR="001A7A7D" w:rsidRPr="003E2544">
        <w:rPr>
          <w:rFonts w:ascii="Verdana" w:eastAsia="Calibri" w:hAnsi="Verdana" w:cstheme="minorBidi"/>
          <w:b/>
          <w:bCs/>
          <w:sz w:val="20"/>
          <w:szCs w:val="20"/>
          <w:lang w:val="en-US"/>
        </w:rPr>
        <w:t xml:space="preserve">s </w:t>
      </w:r>
      <w:r w:rsidR="002C7C13" w:rsidRPr="003E2544">
        <w:rPr>
          <w:rFonts w:ascii="Verdana" w:eastAsia="Calibri" w:hAnsi="Verdana" w:cstheme="minorBidi"/>
          <w:b/>
          <w:bCs/>
          <w:sz w:val="20"/>
          <w:szCs w:val="20"/>
          <w:lang w:val="en-US"/>
        </w:rPr>
        <w:t>(</w:t>
      </w:r>
      <w:proofErr w:type="spellStart"/>
      <w:r w:rsidR="002C7C13" w:rsidRPr="003E2544">
        <w:rPr>
          <w:rFonts w:ascii="Verdana" w:eastAsia="Calibri" w:hAnsi="Verdana" w:cstheme="minorBidi"/>
          <w:b/>
          <w:bCs/>
          <w:sz w:val="20"/>
          <w:szCs w:val="20"/>
          <w:lang w:val="en-US"/>
        </w:rPr>
        <w:t>SCoM</w:t>
      </w:r>
      <w:proofErr w:type="spellEnd"/>
      <w:r w:rsidRPr="003E2544">
        <w:rPr>
          <w:rFonts w:ascii="Verdana" w:eastAsia="Calibri" w:hAnsi="Verdana" w:cstheme="minorBidi"/>
          <w:b/>
          <w:bCs/>
          <w:sz w:val="20"/>
          <w:szCs w:val="20"/>
          <w:lang w:val="en-US"/>
        </w:rPr>
        <w:t xml:space="preserve">) </w:t>
      </w:r>
      <w:r w:rsidRPr="003E2544">
        <w:rPr>
          <w:rFonts w:ascii="Verdana" w:eastAsia="Calibri" w:hAnsi="Verdana" w:cstheme="minorBidi"/>
          <w:sz w:val="20"/>
          <w:szCs w:val="20"/>
          <w:lang w:val="en-US"/>
        </w:rPr>
        <w:t xml:space="preserve">is the highest decision-making body at state level and is chaired by the State Governor. </w:t>
      </w:r>
      <w:r w:rsidR="0F9ADDE8" w:rsidRPr="003E2544">
        <w:rPr>
          <w:rFonts w:ascii="Verdana" w:eastAsia="Calibri" w:hAnsi="Verdana" w:cstheme="minorBidi"/>
          <w:sz w:val="20"/>
          <w:szCs w:val="20"/>
          <w:lang w:val="en-US"/>
        </w:rPr>
        <w:t xml:space="preserve">The </w:t>
      </w:r>
      <w:proofErr w:type="spellStart"/>
      <w:r w:rsidRPr="003E2544">
        <w:rPr>
          <w:rFonts w:ascii="Verdana" w:eastAsia="Calibri" w:hAnsi="Verdana" w:cstheme="minorBidi"/>
          <w:sz w:val="20"/>
          <w:szCs w:val="20"/>
          <w:lang w:val="en-US"/>
        </w:rPr>
        <w:t>SCoM</w:t>
      </w:r>
      <w:proofErr w:type="spellEnd"/>
      <w:r w:rsidR="002C7C13" w:rsidRPr="003E2544">
        <w:rPr>
          <w:rFonts w:ascii="Verdana" w:eastAsia="Calibri" w:hAnsi="Verdana" w:cstheme="minorBidi"/>
          <w:b/>
          <w:bCs/>
          <w:sz w:val="20"/>
          <w:szCs w:val="20"/>
          <w:lang w:val="en-US"/>
        </w:rPr>
        <w:t xml:space="preserve"> </w:t>
      </w:r>
      <w:r w:rsidR="001A7A7D" w:rsidRPr="003E2544">
        <w:rPr>
          <w:rFonts w:ascii="Verdana" w:eastAsia="Calibri" w:hAnsi="Verdana" w:cstheme="minorBidi"/>
          <w:sz w:val="20"/>
          <w:szCs w:val="20"/>
          <w:lang w:val="en-US"/>
        </w:rPr>
        <w:t>ap</w:t>
      </w:r>
      <w:r w:rsidR="00D2690D" w:rsidRPr="003E2544">
        <w:rPr>
          <w:rFonts w:ascii="Verdana" w:eastAsia="Calibri" w:hAnsi="Verdana" w:cstheme="minorBidi"/>
          <w:sz w:val="20"/>
          <w:szCs w:val="20"/>
          <w:lang w:val="en-US"/>
        </w:rPr>
        <w:t>prove</w:t>
      </w:r>
      <w:r w:rsidR="23F0E178" w:rsidRPr="003E2544">
        <w:rPr>
          <w:rFonts w:ascii="Verdana" w:eastAsia="Calibri" w:hAnsi="Verdana" w:cstheme="minorBidi"/>
          <w:sz w:val="20"/>
          <w:szCs w:val="20"/>
          <w:lang w:val="en-US"/>
        </w:rPr>
        <w:t>s</w:t>
      </w:r>
      <w:r w:rsidR="00D2690D" w:rsidRPr="003E2544">
        <w:rPr>
          <w:rFonts w:ascii="Verdana" w:eastAsia="Calibri" w:hAnsi="Verdana" w:cstheme="minorBidi"/>
          <w:sz w:val="20"/>
          <w:szCs w:val="20"/>
          <w:lang w:val="en-US"/>
        </w:rPr>
        <w:t xml:space="preserve"> annual </w:t>
      </w:r>
      <w:r w:rsidRPr="003E2544">
        <w:rPr>
          <w:rFonts w:ascii="Verdana" w:eastAsia="Calibri" w:hAnsi="Verdana" w:cstheme="minorBidi"/>
          <w:sz w:val="20"/>
          <w:szCs w:val="20"/>
          <w:lang w:val="en-US"/>
        </w:rPr>
        <w:t xml:space="preserve">state </w:t>
      </w:r>
      <w:r w:rsidR="00D2690D" w:rsidRPr="003E2544">
        <w:rPr>
          <w:rFonts w:ascii="Verdana" w:eastAsia="Calibri" w:hAnsi="Verdana" w:cstheme="minorBidi"/>
          <w:sz w:val="20"/>
          <w:szCs w:val="20"/>
          <w:lang w:val="en-US"/>
        </w:rPr>
        <w:t xml:space="preserve">budgets which are consolidated by </w:t>
      </w:r>
      <w:r w:rsidR="00A00577" w:rsidRPr="003E2544">
        <w:rPr>
          <w:rFonts w:ascii="Verdana" w:eastAsia="Calibri" w:hAnsi="Verdana" w:cstheme="minorBidi"/>
          <w:sz w:val="20"/>
          <w:szCs w:val="20"/>
          <w:lang w:val="en-US"/>
        </w:rPr>
        <w:t xml:space="preserve">the </w:t>
      </w:r>
      <w:r w:rsidR="00D2690D" w:rsidRPr="003E2544">
        <w:rPr>
          <w:rFonts w:ascii="Verdana" w:eastAsia="Calibri" w:hAnsi="Verdana" w:cstheme="minorBidi"/>
          <w:sz w:val="20"/>
          <w:szCs w:val="20"/>
          <w:lang w:val="en-US"/>
        </w:rPr>
        <w:t xml:space="preserve">State </w:t>
      </w:r>
      <w:proofErr w:type="spellStart"/>
      <w:r w:rsidR="00D2690D" w:rsidRPr="003E2544">
        <w:rPr>
          <w:rFonts w:ascii="Verdana" w:eastAsia="Calibri" w:hAnsi="Verdana" w:cstheme="minorBidi"/>
          <w:sz w:val="20"/>
          <w:szCs w:val="20"/>
          <w:lang w:val="en-US"/>
        </w:rPr>
        <w:t>MoF</w:t>
      </w:r>
      <w:proofErr w:type="spellEnd"/>
      <w:r w:rsidR="00D2690D" w:rsidRPr="003E2544">
        <w:rPr>
          <w:rFonts w:ascii="Verdana" w:eastAsia="Calibri" w:hAnsi="Verdana" w:cstheme="minorBidi"/>
          <w:sz w:val="20"/>
          <w:szCs w:val="20"/>
          <w:lang w:val="en-US"/>
        </w:rPr>
        <w:t>.</w:t>
      </w:r>
      <w:r w:rsidR="002C7C13" w:rsidRPr="003E2544">
        <w:rPr>
          <w:rFonts w:ascii="Verdana" w:eastAsia="Calibri" w:hAnsi="Verdana" w:cstheme="minorBidi"/>
          <w:sz w:val="20"/>
          <w:szCs w:val="20"/>
          <w:lang w:val="en-US"/>
        </w:rPr>
        <w:t xml:space="preserve"> </w:t>
      </w:r>
      <w:r w:rsidR="00543F42" w:rsidRPr="003E2544">
        <w:rPr>
          <w:rFonts w:ascii="Verdana" w:eastAsia="Calibri" w:hAnsi="Verdana" w:cstheme="minorBidi"/>
          <w:sz w:val="20"/>
          <w:szCs w:val="20"/>
          <w:lang w:val="en-US"/>
        </w:rPr>
        <w:t xml:space="preserve">The </w:t>
      </w:r>
      <w:proofErr w:type="spellStart"/>
      <w:r w:rsidR="001F2C1A" w:rsidRPr="003E2544">
        <w:rPr>
          <w:rFonts w:ascii="Verdana" w:eastAsia="Calibri" w:hAnsi="Verdana" w:cstheme="minorBidi"/>
          <w:sz w:val="20"/>
          <w:szCs w:val="20"/>
          <w:lang w:val="en-US"/>
        </w:rPr>
        <w:t>SCoM</w:t>
      </w:r>
      <w:proofErr w:type="spellEnd"/>
      <w:r w:rsidR="001F2C1A" w:rsidRPr="003E2544">
        <w:rPr>
          <w:rFonts w:ascii="Verdana" w:eastAsia="Calibri" w:hAnsi="Verdana" w:cstheme="minorBidi"/>
          <w:sz w:val="20"/>
          <w:szCs w:val="20"/>
          <w:lang w:val="en-US"/>
        </w:rPr>
        <w:t xml:space="preserve"> </w:t>
      </w:r>
      <w:r w:rsidR="00543F42" w:rsidRPr="003E2544">
        <w:rPr>
          <w:rFonts w:ascii="Verdana" w:eastAsia="Calibri" w:hAnsi="Verdana" w:cstheme="minorBidi"/>
          <w:sz w:val="20"/>
          <w:szCs w:val="20"/>
          <w:lang w:val="en-US"/>
        </w:rPr>
        <w:t>is u</w:t>
      </w:r>
      <w:r w:rsidR="00D2690D" w:rsidRPr="003E2544">
        <w:rPr>
          <w:rFonts w:ascii="Verdana" w:eastAsia="Calibri" w:hAnsi="Verdana" w:cstheme="minorBidi"/>
          <w:sz w:val="20"/>
          <w:szCs w:val="20"/>
          <w:lang w:val="en-US"/>
        </w:rPr>
        <w:t>ltimate</w:t>
      </w:r>
      <w:r w:rsidR="00543F42" w:rsidRPr="003E2544">
        <w:rPr>
          <w:rFonts w:ascii="Verdana" w:eastAsia="Calibri" w:hAnsi="Verdana" w:cstheme="minorBidi"/>
          <w:sz w:val="20"/>
          <w:szCs w:val="20"/>
          <w:lang w:val="en-US"/>
        </w:rPr>
        <w:t>ly</w:t>
      </w:r>
      <w:r w:rsidR="00D2690D" w:rsidRPr="003E2544">
        <w:rPr>
          <w:rFonts w:ascii="Verdana" w:eastAsia="Calibri" w:hAnsi="Verdana" w:cstheme="minorBidi"/>
          <w:sz w:val="20"/>
          <w:szCs w:val="20"/>
          <w:lang w:val="en-US"/>
        </w:rPr>
        <w:t xml:space="preserve"> responsib</w:t>
      </w:r>
      <w:r w:rsidR="00543F42" w:rsidRPr="003E2544">
        <w:rPr>
          <w:rFonts w:ascii="Verdana" w:eastAsia="Calibri" w:hAnsi="Verdana" w:cstheme="minorBidi"/>
          <w:sz w:val="20"/>
          <w:szCs w:val="20"/>
          <w:lang w:val="en-US"/>
        </w:rPr>
        <w:t>le</w:t>
      </w:r>
      <w:r w:rsidR="00D2690D" w:rsidRPr="003E2544">
        <w:rPr>
          <w:rFonts w:ascii="Verdana" w:eastAsia="Calibri" w:hAnsi="Verdana" w:cstheme="minorBidi"/>
          <w:sz w:val="20"/>
          <w:szCs w:val="20"/>
          <w:lang w:val="en-US"/>
        </w:rPr>
        <w:t xml:space="preserve"> for state development</w:t>
      </w:r>
      <w:r w:rsidR="00543F42" w:rsidRPr="003E2544">
        <w:rPr>
          <w:rFonts w:ascii="Verdana" w:eastAsia="Calibri" w:hAnsi="Verdana" w:cstheme="minorBidi"/>
          <w:sz w:val="20"/>
          <w:szCs w:val="20"/>
          <w:lang w:val="en-US"/>
        </w:rPr>
        <w:t xml:space="preserve"> and</w:t>
      </w:r>
      <w:r w:rsidR="00D2690D" w:rsidRPr="003E2544">
        <w:rPr>
          <w:rFonts w:ascii="Verdana" w:eastAsia="Calibri" w:hAnsi="Verdana" w:cstheme="minorBidi"/>
          <w:sz w:val="20"/>
          <w:szCs w:val="20"/>
          <w:lang w:val="en-US"/>
        </w:rPr>
        <w:t xml:space="preserve"> achieving progress toward </w:t>
      </w:r>
      <w:r w:rsidR="4EBB19FF" w:rsidRPr="003E2544">
        <w:rPr>
          <w:rFonts w:ascii="Verdana" w:eastAsia="Calibri" w:hAnsi="Verdana" w:cstheme="minorBidi"/>
          <w:sz w:val="20"/>
          <w:szCs w:val="20"/>
          <w:lang w:val="en-US"/>
        </w:rPr>
        <w:t xml:space="preserve">the </w:t>
      </w:r>
      <w:r w:rsidR="00543F42" w:rsidRPr="003E2544">
        <w:rPr>
          <w:rFonts w:ascii="Verdana" w:eastAsia="Calibri" w:hAnsi="Verdana" w:cstheme="minorBidi"/>
          <w:sz w:val="20"/>
          <w:szCs w:val="20"/>
          <w:lang w:val="en-US"/>
        </w:rPr>
        <w:t>SDGs</w:t>
      </w:r>
      <w:r w:rsidR="00FF1CDD">
        <w:rPr>
          <w:rFonts w:ascii="Verdana" w:eastAsia="Calibri" w:hAnsi="Verdana" w:cstheme="minorBidi"/>
          <w:sz w:val="20"/>
          <w:szCs w:val="20"/>
          <w:lang w:val="en-US"/>
        </w:rPr>
        <w:t xml:space="preserve">. The JP, therefore, will support </w:t>
      </w:r>
      <w:proofErr w:type="spellStart"/>
      <w:r w:rsidR="00FF1CDD">
        <w:rPr>
          <w:rFonts w:ascii="Verdana" w:eastAsia="Calibri" w:hAnsi="Verdana" w:cstheme="minorBidi"/>
          <w:sz w:val="20"/>
          <w:szCs w:val="20"/>
          <w:lang w:val="en-US"/>
        </w:rPr>
        <w:t>SCoM</w:t>
      </w:r>
      <w:proofErr w:type="spellEnd"/>
      <w:r w:rsidR="00FF1CDD">
        <w:rPr>
          <w:rFonts w:ascii="Verdana" w:eastAsia="Calibri" w:hAnsi="Verdana" w:cstheme="minorBidi"/>
          <w:sz w:val="20"/>
          <w:szCs w:val="20"/>
          <w:lang w:val="en-US"/>
        </w:rPr>
        <w:t xml:space="preserve"> in annual state budgets process. </w:t>
      </w:r>
    </w:p>
    <w:p w14:paraId="20E3D798" w14:textId="77777777" w:rsidR="009B0002" w:rsidRPr="003E2544" w:rsidRDefault="009B0002" w:rsidP="00245274">
      <w:pPr>
        <w:pStyle w:val="ListParagraph"/>
        <w:spacing w:line="240" w:lineRule="auto"/>
        <w:ind w:left="360"/>
        <w:rPr>
          <w:rFonts w:ascii="Verdana" w:eastAsia="Calibri" w:hAnsi="Verdana" w:cstheme="minorBidi"/>
          <w:sz w:val="20"/>
          <w:szCs w:val="20"/>
          <w:lang w:val="en-US"/>
        </w:rPr>
      </w:pPr>
    </w:p>
    <w:p w14:paraId="07A0835B" w14:textId="303D9582" w:rsidR="00F30EDC" w:rsidRPr="003E2544" w:rsidRDefault="00D2690D" w:rsidP="00245274">
      <w:pPr>
        <w:pStyle w:val="ListParagraph"/>
        <w:numPr>
          <w:ilvl w:val="0"/>
          <w:numId w:val="71"/>
        </w:numPr>
        <w:spacing w:line="240" w:lineRule="auto"/>
        <w:rPr>
          <w:rFonts w:ascii="Verdana" w:eastAsia="Calibri" w:hAnsi="Verdana" w:cstheme="minorHAnsi"/>
          <w:sz w:val="20"/>
          <w:szCs w:val="20"/>
          <w:lang w:val="en-US"/>
        </w:rPr>
      </w:pPr>
      <w:r w:rsidRPr="003E2544">
        <w:rPr>
          <w:rFonts w:ascii="Verdana" w:eastAsia="Calibri" w:hAnsi="Verdana" w:cstheme="minorHAnsi"/>
          <w:b/>
          <w:bCs/>
          <w:sz w:val="20"/>
          <w:szCs w:val="20"/>
          <w:lang w:val="en-US"/>
        </w:rPr>
        <w:t xml:space="preserve">State Relief and Rehabilitation Commission </w:t>
      </w:r>
      <w:r w:rsidR="00814576" w:rsidRPr="003E2544">
        <w:rPr>
          <w:rFonts w:ascii="Verdana" w:eastAsia="Calibri" w:hAnsi="Verdana" w:cstheme="minorHAnsi"/>
          <w:sz w:val="20"/>
          <w:szCs w:val="20"/>
          <w:lang w:val="en-US"/>
        </w:rPr>
        <w:t>(see South Sudan Relief and Rehabilitation Commission, above)</w:t>
      </w:r>
      <w:r w:rsidR="003A2908" w:rsidRPr="003E2544">
        <w:rPr>
          <w:rFonts w:ascii="Verdana" w:eastAsia="Calibri" w:hAnsi="Verdana" w:cstheme="minorHAnsi"/>
          <w:sz w:val="20"/>
          <w:szCs w:val="20"/>
          <w:lang w:val="en-US"/>
        </w:rPr>
        <w:t>.</w:t>
      </w:r>
      <w:r w:rsidR="005335F6">
        <w:rPr>
          <w:rFonts w:ascii="Verdana" w:eastAsia="Calibri" w:hAnsi="Verdana" w:cstheme="minorHAnsi"/>
          <w:sz w:val="20"/>
          <w:szCs w:val="20"/>
          <w:lang w:val="en-US"/>
        </w:rPr>
        <w:t xml:space="preserve"> </w:t>
      </w:r>
      <w:r w:rsidR="005335F6">
        <w:rPr>
          <w:rFonts w:ascii="Verdana" w:eastAsia="Calibri" w:hAnsi="Verdana" w:cstheme="minorBidi"/>
          <w:sz w:val="20"/>
          <w:szCs w:val="20"/>
          <w:lang w:val="en-US"/>
        </w:rPr>
        <w:t xml:space="preserve">The JP will support the SRRC </w:t>
      </w:r>
      <w:r w:rsidR="005335F6" w:rsidRPr="003E2544">
        <w:rPr>
          <w:rFonts w:ascii="Verdana" w:eastAsia="Calibri" w:hAnsi="Verdana" w:cstheme="minorBidi"/>
          <w:sz w:val="20"/>
          <w:szCs w:val="20"/>
          <w:lang w:val="en-US"/>
        </w:rPr>
        <w:t xml:space="preserve">to map the scope and scale of humanitarian and development programmes </w:t>
      </w:r>
      <w:r w:rsidR="005335F6">
        <w:rPr>
          <w:rFonts w:ascii="Verdana" w:eastAsia="Calibri" w:hAnsi="Verdana" w:cstheme="minorBidi"/>
          <w:sz w:val="20"/>
          <w:szCs w:val="20"/>
          <w:lang w:val="en-US"/>
        </w:rPr>
        <w:t>at state level as it c</w:t>
      </w:r>
      <w:r w:rsidR="005335F6" w:rsidRPr="003E2544">
        <w:rPr>
          <w:rFonts w:ascii="Verdana" w:eastAsia="Calibri" w:hAnsi="Verdana" w:cstheme="minorBidi"/>
          <w:sz w:val="20"/>
          <w:szCs w:val="20"/>
          <w:lang w:val="en-US"/>
        </w:rPr>
        <w:t>urrently lacks the linkages and capacity</w:t>
      </w:r>
      <w:r w:rsidR="005335F6">
        <w:rPr>
          <w:rFonts w:ascii="Verdana" w:eastAsia="Calibri" w:hAnsi="Verdana" w:cstheme="minorBidi"/>
          <w:sz w:val="20"/>
          <w:szCs w:val="20"/>
          <w:lang w:val="en-US"/>
        </w:rPr>
        <w:t xml:space="preserve"> to do so</w:t>
      </w:r>
      <w:r w:rsidR="005335F6" w:rsidRPr="003E2544">
        <w:rPr>
          <w:rFonts w:ascii="Verdana" w:eastAsia="Calibri" w:hAnsi="Verdana" w:cstheme="minorBidi"/>
          <w:sz w:val="20"/>
          <w:szCs w:val="20"/>
          <w:lang w:val="en-US"/>
        </w:rPr>
        <w:t>.</w:t>
      </w:r>
    </w:p>
    <w:p w14:paraId="320F826D" w14:textId="77777777" w:rsidR="009B0002" w:rsidRPr="003E2544" w:rsidRDefault="009B0002" w:rsidP="00245274">
      <w:pPr>
        <w:pStyle w:val="ListParagraph"/>
        <w:spacing w:line="240" w:lineRule="auto"/>
        <w:ind w:left="360"/>
        <w:rPr>
          <w:rFonts w:ascii="Verdana" w:eastAsia="Calibri" w:hAnsi="Verdana" w:cstheme="minorHAnsi"/>
          <w:sz w:val="20"/>
          <w:szCs w:val="20"/>
          <w:lang w:val="en-US"/>
        </w:rPr>
      </w:pPr>
    </w:p>
    <w:p w14:paraId="0CE327C7" w14:textId="0DB9EC86" w:rsidR="00F30EDC" w:rsidRPr="003E2544" w:rsidRDefault="00F30EDC" w:rsidP="00245274">
      <w:pPr>
        <w:pStyle w:val="ListParagraph"/>
        <w:numPr>
          <w:ilvl w:val="0"/>
          <w:numId w:val="71"/>
        </w:numPr>
        <w:spacing w:line="240" w:lineRule="auto"/>
        <w:rPr>
          <w:rFonts w:ascii="Verdana" w:eastAsia="Calibri" w:hAnsi="Verdana" w:cstheme="minorBidi"/>
          <w:sz w:val="20"/>
          <w:szCs w:val="20"/>
          <w:lang w:val="en-US"/>
        </w:rPr>
      </w:pPr>
      <w:r w:rsidRPr="003E2544">
        <w:rPr>
          <w:rFonts w:ascii="Verdana" w:eastAsia="Calibri" w:hAnsi="Verdana" w:cstheme="minorBidi"/>
          <w:b/>
          <w:bCs/>
          <w:sz w:val="20"/>
          <w:szCs w:val="20"/>
          <w:lang w:val="en-US"/>
        </w:rPr>
        <w:t xml:space="preserve">The </w:t>
      </w:r>
      <w:r w:rsidR="00D2690D" w:rsidRPr="003E2544">
        <w:rPr>
          <w:rFonts w:ascii="Verdana" w:eastAsia="Calibri" w:hAnsi="Verdana" w:cstheme="minorBidi"/>
          <w:b/>
          <w:bCs/>
          <w:sz w:val="20"/>
          <w:szCs w:val="20"/>
          <w:lang w:val="en-US"/>
        </w:rPr>
        <w:t>State Legislative Assembly</w:t>
      </w:r>
      <w:r w:rsidR="00DA6EF9" w:rsidRPr="003E2544">
        <w:rPr>
          <w:rFonts w:ascii="Verdana" w:eastAsia="Calibri" w:hAnsi="Verdana" w:cstheme="minorBidi"/>
          <w:b/>
          <w:bCs/>
          <w:sz w:val="20"/>
          <w:szCs w:val="20"/>
          <w:lang w:val="en-US"/>
        </w:rPr>
        <w:t xml:space="preserve"> </w:t>
      </w:r>
      <w:r w:rsidR="00F50291" w:rsidRPr="003E2544">
        <w:rPr>
          <w:rFonts w:ascii="Verdana" w:eastAsia="Calibri" w:hAnsi="Verdana" w:cstheme="minorBidi"/>
          <w:b/>
          <w:bCs/>
          <w:sz w:val="20"/>
          <w:szCs w:val="20"/>
          <w:lang w:val="en-US"/>
        </w:rPr>
        <w:t>(SLA)</w:t>
      </w:r>
      <w:r w:rsidR="007A199D" w:rsidRPr="003E2544">
        <w:rPr>
          <w:rFonts w:ascii="Verdana" w:eastAsia="Calibri" w:hAnsi="Verdana" w:cstheme="minorBidi"/>
          <w:sz w:val="20"/>
          <w:szCs w:val="20"/>
          <w:lang w:val="en-US"/>
        </w:rPr>
        <w:t xml:space="preserve"> </w:t>
      </w:r>
      <w:r w:rsidR="00A5371F" w:rsidRPr="003E2544">
        <w:rPr>
          <w:rFonts w:ascii="Verdana" w:eastAsia="Calibri" w:hAnsi="Verdana" w:cstheme="minorBidi"/>
          <w:sz w:val="20"/>
          <w:szCs w:val="20"/>
          <w:lang w:val="en-US"/>
        </w:rPr>
        <w:t xml:space="preserve">members </w:t>
      </w:r>
      <w:r w:rsidR="006B62EF" w:rsidRPr="003E2544">
        <w:rPr>
          <w:rFonts w:ascii="Verdana" w:eastAsia="Calibri" w:hAnsi="Verdana" w:cstheme="minorBidi"/>
          <w:sz w:val="20"/>
          <w:szCs w:val="20"/>
          <w:lang w:val="en-US"/>
        </w:rPr>
        <w:t>will</w:t>
      </w:r>
      <w:r w:rsidR="00A5371F" w:rsidRPr="003E2544">
        <w:rPr>
          <w:rFonts w:ascii="Verdana" w:eastAsia="Calibri" w:hAnsi="Verdana" w:cstheme="minorBidi"/>
          <w:sz w:val="20"/>
          <w:szCs w:val="20"/>
          <w:lang w:val="en-US"/>
        </w:rPr>
        <w:t xml:space="preserve"> </w:t>
      </w:r>
      <w:r w:rsidR="00F3120E">
        <w:rPr>
          <w:rFonts w:ascii="Verdana" w:eastAsia="Calibri" w:hAnsi="Verdana" w:cstheme="minorBidi"/>
          <w:sz w:val="20"/>
          <w:szCs w:val="20"/>
          <w:lang w:val="en-US"/>
        </w:rPr>
        <w:t xml:space="preserve">have their capacities </w:t>
      </w:r>
      <w:r w:rsidR="00A5371F" w:rsidRPr="003E2544">
        <w:rPr>
          <w:rFonts w:ascii="Verdana" w:eastAsia="Calibri" w:hAnsi="Verdana" w:cstheme="minorBidi"/>
          <w:sz w:val="20"/>
          <w:szCs w:val="20"/>
          <w:lang w:val="en-US"/>
        </w:rPr>
        <w:t xml:space="preserve">strengthened </w:t>
      </w:r>
      <w:r w:rsidR="00F3120E">
        <w:rPr>
          <w:rFonts w:ascii="Verdana" w:eastAsia="Calibri" w:hAnsi="Verdana" w:cstheme="minorBidi"/>
          <w:sz w:val="20"/>
          <w:szCs w:val="20"/>
          <w:lang w:val="en-US"/>
        </w:rPr>
        <w:t xml:space="preserve">through the JP </w:t>
      </w:r>
      <w:r w:rsidRPr="003E2544">
        <w:rPr>
          <w:rFonts w:ascii="Verdana" w:eastAsia="Calibri" w:hAnsi="Verdana" w:cstheme="minorBidi"/>
          <w:sz w:val="20"/>
          <w:szCs w:val="20"/>
          <w:lang w:val="en-US"/>
        </w:rPr>
        <w:t>to integrate SDGs in development plan</w:t>
      </w:r>
      <w:r w:rsidR="00934AB4" w:rsidRPr="003E2544">
        <w:rPr>
          <w:rFonts w:ascii="Verdana" w:eastAsia="Calibri" w:hAnsi="Verdana" w:cstheme="minorBidi"/>
          <w:sz w:val="20"/>
          <w:szCs w:val="20"/>
          <w:lang w:val="en-US"/>
        </w:rPr>
        <w:t>s</w:t>
      </w:r>
      <w:r w:rsidR="01C55A04" w:rsidRPr="003E2544">
        <w:rPr>
          <w:rFonts w:ascii="Verdana" w:eastAsia="Calibri" w:hAnsi="Verdana" w:cstheme="minorBidi"/>
          <w:sz w:val="20"/>
          <w:szCs w:val="20"/>
          <w:lang w:val="en-US"/>
        </w:rPr>
        <w:t>,</w:t>
      </w:r>
      <w:r w:rsidRPr="003E2544">
        <w:rPr>
          <w:rFonts w:ascii="Verdana" w:eastAsia="Calibri" w:hAnsi="Verdana" w:cstheme="minorBidi"/>
          <w:sz w:val="20"/>
          <w:szCs w:val="20"/>
          <w:lang w:val="en-US"/>
        </w:rPr>
        <w:t xml:space="preserve"> </w:t>
      </w:r>
      <w:r w:rsidR="00D2690D" w:rsidRPr="003E2544">
        <w:rPr>
          <w:rFonts w:ascii="Verdana" w:eastAsia="Calibri" w:hAnsi="Verdana" w:cstheme="minorBidi"/>
          <w:sz w:val="20"/>
          <w:szCs w:val="20"/>
          <w:lang w:val="en-US"/>
        </w:rPr>
        <w:t>scrutinize budget</w:t>
      </w:r>
      <w:r w:rsidRPr="003E2544">
        <w:rPr>
          <w:rFonts w:ascii="Verdana" w:eastAsia="Calibri" w:hAnsi="Verdana" w:cstheme="minorBidi"/>
          <w:sz w:val="20"/>
          <w:szCs w:val="20"/>
          <w:lang w:val="en-US"/>
        </w:rPr>
        <w:t xml:space="preserve"> submissions and hold the executive to account</w:t>
      </w:r>
      <w:r w:rsidR="00934AB4" w:rsidRPr="003E2544">
        <w:rPr>
          <w:rFonts w:ascii="Verdana" w:eastAsia="Calibri" w:hAnsi="Verdana" w:cstheme="minorBidi"/>
          <w:sz w:val="20"/>
          <w:szCs w:val="20"/>
          <w:lang w:val="en-US"/>
        </w:rPr>
        <w:t xml:space="preserve">. </w:t>
      </w:r>
      <w:r w:rsidRPr="003E2544">
        <w:rPr>
          <w:rFonts w:ascii="Verdana" w:eastAsia="Calibri" w:hAnsi="Verdana" w:cstheme="minorBidi"/>
          <w:sz w:val="20"/>
          <w:szCs w:val="20"/>
          <w:lang w:val="en-US"/>
        </w:rPr>
        <w:t>The SLA will be involved in budget transparency</w:t>
      </w:r>
      <w:r w:rsidR="00934AB4" w:rsidRPr="003E2544">
        <w:rPr>
          <w:rFonts w:ascii="Verdana" w:eastAsia="Calibri" w:hAnsi="Verdana" w:cstheme="minorBidi"/>
          <w:sz w:val="20"/>
          <w:szCs w:val="20"/>
          <w:lang w:val="en-US"/>
        </w:rPr>
        <w:t xml:space="preserve"> and </w:t>
      </w:r>
      <w:r w:rsidRPr="003E2544">
        <w:rPr>
          <w:rFonts w:ascii="Verdana" w:eastAsia="Calibri" w:hAnsi="Verdana" w:cstheme="minorBidi"/>
          <w:sz w:val="20"/>
          <w:szCs w:val="20"/>
          <w:lang w:val="en-US"/>
        </w:rPr>
        <w:t>accountability activities, including holding community consultation forums.</w:t>
      </w:r>
    </w:p>
    <w:p w14:paraId="055AC795" w14:textId="77777777" w:rsidR="009B0002" w:rsidRPr="003E2544" w:rsidRDefault="009B0002" w:rsidP="00245274">
      <w:pPr>
        <w:pStyle w:val="ListParagraph"/>
        <w:spacing w:line="240" w:lineRule="auto"/>
        <w:ind w:left="360"/>
        <w:rPr>
          <w:rFonts w:ascii="Verdana" w:eastAsia="Calibri" w:hAnsi="Verdana" w:cstheme="minorBidi"/>
          <w:sz w:val="20"/>
          <w:szCs w:val="20"/>
          <w:lang w:val="en-US"/>
        </w:rPr>
      </w:pPr>
    </w:p>
    <w:p w14:paraId="54940233" w14:textId="6FF07A93" w:rsidR="00336D7B" w:rsidRPr="003E2544" w:rsidRDefault="00F30EDC" w:rsidP="00245274">
      <w:pPr>
        <w:pStyle w:val="ListParagraph"/>
        <w:numPr>
          <w:ilvl w:val="0"/>
          <w:numId w:val="71"/>
        </w:numPr>
        <w:spacing w:line="240" w:lineRule="auto"/>
        <w:rPr>
          <w:rFonts w:ascii="Verdana" w:eastAsia="Calibri" w:hAnsi="Verdana" w:cstheme="minorBidi"/>
          <w:sz w:val="20"/>
          <w:szCs w:val="20"/>
          <w:lang w:val="en-US"/>
        </w:rPr>
      </w:pPr>
      <w:r w:rsidRPr="003E2544">
        <w:rPr>
          <w:rFonts w:ascii="Verdana" w:eastAsia="Calibri" w:hAnsi="Verdana" w:cstheme="minorBidi"/>
          <w:b/>
          <w:bCs/>
          <w:sz w:val="20"/>
          <w:szCs w:val="20"/>
          <w:lang w:val="en-US"/>
        </w:rPr>
        <w:t xml:space="preserve">The </w:t>
      </w:r>
      <w:r w:rsidR="156F9DB3" w:rsidRPr="003E2544">
        <w:rPr>
          <w:rFonts w:ascii="Verdana" w:eastAsia="Calibri" w:hAnsi="Verdana" w:cstheme="minorBidi"/>
          <w:b/>
          <w:bCs/>
          <w:sz w:val="20"/>
          <w:szCs w:val="20"/>
          <w:lang w:val="en-US"/>
        </w:rPr>
        <w:t>p</w:t>
      </w:r>
      <w:r w:rsidR="00D2690D" w:rsidRPr="003E2544">
        <w:rPr>
          <w:rFonts w:ascii="Verdana" w:eastAsia="Calibri" w:hAnsi="Verdana" w:cstheme="minorBidi"/>
          <w:b/>
          <w:bCs/>
          <w:sz w:val="20"/>
          <w:szCs w:val="20"/>
          <w:lang w:val="en-US"/>
        </w:rPr>
        <w:t>rivate sector</w:t>
      </w:r>
      <w:r w:rsidR="00A5371F" w:rsidRPr="003E2544">
        <w:rPr>
          <w:rFonts w:ascii="Verdana" w:eastAsia="Calibri" w:hAnsi="Verdana" w:cstheme="minorBidi"/>
          <w:b/>
          <w:bCs/>
          <w:sz w:val="20"/>
          <w:szCs w:val="20"/>
          <w:lang w:val="en-US"/>
        </w:rPr>
        <w:t xml:space="preserve"> </w:t>
      </w:r>
      <w:r w:rsidR="422833AF" w:rsidRPr="003E2544">
        <w:rPr>
          <w:rFonts w:ascii="Verdana" w:eastAsia="Calibri" w:hAnsi="Verdana" w:cstheme="minorBidi"/>
          <w:sz w:val="20"/>
          <w:szCs w:val="20"/>
          <w:lang w:val="en-US"/>
        </w:rPr>
        <w:t>including banks and money operators,</w:t>
      </w:r>
      <w:r w:rsidR="006B62EF" w:rsidRPr="003E2544">
        <w:rPr>
          <w:rFonts w:ascii="Verdana" w:eastAsia="Calibri" w:hAnsi="Verdana" w:cstheme="minorBidi"/>
          <w:sz w:val="20"/>
          <w:szCs w:val="20"/>
          <w:lang w:val="en-US"/>
        </w:rPr>
        <w:t xml:space="preserve"> </w:t>
      </w:r>
      <w:r w:rsidR="00485DD2" w:rsidRPr="003E2544">
        <w:rPr>
          <w:rFonts w:ascii="Verdana" w:eastAsia="Calibri" w:hAnsi="Verdana" w:cstheme="minorBidi"/>
          <w:sz w:val="20"/>
          <w:szCs w:val="20"/>
          <w:lang w:val="en-US"/>
        </w:rPr>
        <w:t>support</w:t>
      </w:r>
      <w:r w:rsidR="75A4BA87" w:rsidRPr="003E2544">
        <w:rPr>
          <w:rFonts w:ascii="Verdana" w:eastAsia="Calibri" w:hAnsi="Verdana" w:cstheme="minorBidi"/>
          <w:sz w:val="20"/>
          <w:szCs w:val="20"/>
          <w:lang w:val="en-US"/>
        </w:rPr>
        <w:t>s</w:t>
      </w:r>
      <w:r w:rsidR="00485DD2" w:rsidRPr="003E2544">
        <w:rPr>
          <w:rFonts w:ascii="Verdana" w:eastAsia="Calibri" w:hAnsi="Verdana" w:cstheme="minorBidi"/>
          <w:sz w:val="20"/>
          <w:szCs w:val="20"/>
          <w:lang w:val="en-US"/>
        </w:rPr>
        <w:t xml:space="preserve"> communities through </w:t>
      </w:r>
      <w:r w:rsidR="009B019F" w:rsidRPr="003E2544">
        <w:rPr>
          <w:rFonts w:ascii="Verdana" w:eastAsia="Calibri" w:hAnsi="Verdana" w:cstheme="minorBidi"/>
          <w:sz w:val="20"/>
          <w:szCs w:val="20"/>
          <w:lang w:val="en-US"/>
        </w:rPr>
        <w:t>co</w:t>
      </w:r>
      <w:r w:rsidR="00F3120E">
        <w:rPr>
          <w:rFonts w:ascii="Verdana" w:eastAsia="Calibri" w:hAnsi="Verdana" w:cstheme="minorBidi"/>
          <w:sz w:val="20"/>
          <w:szCs w:val="20"/>
          <w:lang w:val="en-US"/>
        </w:rPr>
        <w:t>r</w:t>
      </w:r>
      <w:r w:rsidR="009B019F" w:rsidRPr="003E2544">
        <w:rPr>
          <w:rFonts w:ascii="Verdana" w:eastAsia="Calibri" w:hAnsi="Verdana" w:cstheme="minorBidi"/>
          <w:sz w:val="20"/>
          <w:szCs w:val="20"/>
          <w:lang w:val="en-US"/>
        </w:rPr>
        <w:t>p</w:t>
      </w:r>
      <w:r w:rsidR="00F3120E">
        <w:rPr>
          <w:rFonts w:ascii="Verdana" w:eastAsia="Calibri" w:hAnsi="Verdana" w:cstheme="minorBidi"/>
          <w:sz w:val="20"/>
          <w:szCs w:val="20"/>
          <w:lang w:val="en-US"/>
        </w:rPr>
        <w:t>o</w:t>
      </w:r>
      <w:r w:rsidR="009B019F" w:rsidRPr="003E2544">
        <w:rPr>
          <w:rFonts w:ascii="Verdana" w:eastAsia="Calibri" w:hAnsi="Verdana" w:cstheme="minorBidi"/>
          <w:sz w:val="20"/>
          <w:szCs w:val="20"/>
          <w:lang w:val="en-US"/>
        </w:rPr>
        <w:t>rat</w:t>
      </w:r>
      <w:r w:rsidR="4DCA29B3" w:rsidRPr="003E2544">
        <w:rPr>
          <w:rFonts w:ascii="Verdana" w:eastAsia="Calibri" w:hAnsi="Verdana" w:cstheme="minorBidi"/>
          <w:sz w:val="20"/>
          <w:szCs w:val="20"/>
          <w:lang w:val="en-US"/>
        </w:rPr>
        <w:t>e</w:t>
      </w:r>
      <w:r w:rsidR="009B019F" w:rsidRPr="003E2544">
        <w:rPr>
          <w:rFonts w:ascii="Verdana" w:eastAsia="Calibri" w:hAnsi="Verdana" w:cstheme="minorBidi"/>
          <w:sz w:val="20"/>
          <w:szCs w:val="20"/>
          <w:lang w:val="en-US"/>
        </w:rPr>
        <w:t xml:space="preserve"> social responsibility (CSR)</w:t>
      </w:r>
      <w:r w:rsidR="00336D7B" w:rsidRPr="003E2544">
        <w:rPr>
          <w:rFonts w:ascii="Verdana" w:eastAsia="Calibri" w:hAnsi="Verdana" w:cstheme="minorBidi"/>
          <w:sz w:val="20"/>
          <w:szCs w:val="20"/>
          <w:lang w:val="en-US"/>
        </w:rPr>
        <w:t xml:space="preserve"> programmes</w:t>
      </w:r>
      <w:r w:rsidRPr="003E2544">
        <w:rPr>
          <w:rFonts w:ascii="Verdana" w:eastAsia="Calibri" w:hAnsi="Verdana" w:cstheme="minorBidi"/>
          <w:sz w:val="20"/>
          <w:szCs w:val="20"/>
          <w:lang w:val="en-US"/>
        </w:rPr>
        <w:t xml:space="preserve">. An example </w:t>
      </w:r>
      <w:r w:rsidR="009B019F" w:rsidRPr="003E2544">
        <w:rPr>
          <w:rFonts w:ascii="Verdana" w:eastAsia="Calibri" w:hAnsi="Verdana" w:cstheme="minorBidi"/>
          <w:sz w:val="20"/>
          <w:szCs w:val="20"/>
          <w:lang w:val="en-US"/>
        </w:rPr>
        <w:t xml:space="preserve">in </w:t>
      </w:r>
      <w:proofErr w:type="spellStart"/>
      <w:r w:rsidR="009B019F" w:rsidRPr="003E2544">
        <w:rPr>
          <w:rFonts w:ascii="Verdana" w:eastAsia="Calibri" w:hAnsi="Verdana" w:cstheme="minorBidi"/>
          <w:sz w:val="20"/>
          <w:szCs w:val="20"/>
          <w:lang w:val="en-US"/>
        </w:rPr>
        <w:t>Gbudue</w:t>
      </w:r>
      <w:proofErr w:type="spellEnd"/>
      <w:r w:rsidR="009B019F" w:rsidRPr="003E2544">
        <w:rPr>
          <w:rFonts w:ascii="Verdana" w:eastAsia="Calibri" w:hAnsi="Verdana" w:cstheme="minorBidi"/>
          <w:sz w:val="20"/>
          <w:szCs w:val="20"/>
          <w:lang w:val="en-US"/>
        </w:rPr>
        <w:t xml:space="preserve"> state</w:t>
      </w:r>
      <w:r w:rsidRPr="003E2544">
        <w:rPr>
          <w:rFonts w:ascii="Verdana" w:eastAsia="Calibri" w:hAnsi="Verdana" w:cstheme="minorBidi"/>
          <w:sz w:val="20"/>
          <w:szCs w:val="20"/>
          <w:lang w:val="en-US"/>
        </w:rPr>
        <w:t xml:space="preserve"> is a </w:t>
      </w:r>
      <w:r w:rsidR="009B019F" w:rsidRPr="003E2544">
        <w:rPr>
          <w:rFonts w:ascii="Verdana" w:eastAsia="Calibri" w:hAnsi="Verdana" w:cstheme="minorBidi"/>
          <w:sz w:val="20"/>
          <w:szCs w:val="20"/>
          <w:lang w:val="en-US"/>
        </w:rPr>
        <w:t xml:space="preserve">timber company </w:t>
      </w:r>
      <w:r w:rsidRPr="003E2544">
        <w:rPr>
          <w:rFonts w:ascii="Verdana" w:eastAsia="Calibri" w:hAnsi="Verdana" w:cstheme="minorBidi"/>
          <w:sz w:val="20"/>
          <w:szCs w:val="20"/>
          <w:lang w:val="en-US"/>
        </w:rPr>
        <w:t>c</w:t>
      </w:r>
      <w:r w:rsidR="009B019F" w:rsidRPr="003E2544">
        <w:rPr>
          <w:rFonts w:ascii="Verdana" w:eastAsia="Calibri" w:hAnsi="Verdana" w:cstheme="minorBidi"/>
          <w:sz w:val="20"/>
          <w:szCs w:val="20"/>
          <w:lang w:val="en-US"/>
        </w:rPr>
        <w:t>onstructi</w:t>
      </w:r>
      <w:r w:rsidRPr="003E2544">
        <w:rPr>
          <w:rFonts w:ascii="Verdana" w:eastAsia="Calibri" w:hAnsi="Verdana" w:cstheme="minorBidi"/>
          <w:sz w:val="20"/>
          <w:szCs w:val="20"/>
          <w:lang w:val="en-US"/>
        </w:rPr>
        <w:t xml:space="preserve">ng and </w:t>
      </w:r>
      <w:r w:rsidR="009B019F" w:rsidRPr="003E2544">
        <w:rPr>
          <w:rFonts w:ascii="Verdana" w:eastAsia="Calibri" w:hAnsi="Verdana" w:cstheme="minorBidi"/>
          <w:sz w:val="20"/>
          <w:szCs w:val="20"/>
          <w:lang w:val="en-US"/>
        </w:rPr>
        <w:t>rehabilitati</w:t>
      </w:r>
      <w:r w:rsidRPr="003E2544">
        <w:rPr>
          <w:rFonts w:ascii="Verdana" w:eastAsia="Calibri" w:hAnsi="Verdana" w:cstheme="minorBidi"/>
          <w:sz w:val="20"/>
          <w:szCs w:val="20"/>
          <w:lang w:val="en-US"/>
        </w:rPr>
        <w:t>ng</w:t>
      </w:r>
      <w:r w:rsidR="009B019F" w:rsidRPr="003E2544">
        <w:rPr>
          <w:rFonts w:ascii="Verdana" w:eastAsia="Calibri" w:hAnsi="Verdana" w:cstheme="minorBidi"/>
          <w:sz w:val="20"/>
          <w:szCs w:val="20"/>
          <w:lang w:val="en-US"/>
        </w:rPr>
        <w:t xml:space="preserve"> school</w:t>
      </w:r>
      <w:r w:rsidRPr="003E2544">
        <w:rPr>
          <w:rFonts w:ascii="Verdana" w:eastAsia="Calibri" w:hAnsi="Verdana" w:cstheme="minorBidi"/>
          <w:sz w:val="20"/>
          <w:szCs w:val="20"/>
          <w:lang w:val="en-US"/>
        </w:rPr>
        <w:t xml:space="preserve"> and </w:t>
      </w:r>
      <w:r w:rsidR="009B019F" w:rsidRPr="003E2544">
        <w:rPr>
          <w:rFonts w:ascii="Verdana" w:eastAsia="Calibri" w:hAnsi="Verdana" w:cstheme="minorBidi"/>
          <w:sz w:val="20"/>
          <w:szCs w:val="20"/>
          <w:lang w:val="en-US"/>
        </w:rPr>
        <w:t>health facilities</w:t>
      </w:r>
      <w:r w:rsidR="0E754AE6" w:rsidRPr="003E2544">
        <w:rPr>
          <w:rFonts w:ascii="Verdana" w:eastAsia="Calibri" w:hAnsi="Verdana" w:cstheme="minorBidi"/>
          <w:sz w:val="20"/>
          <w:szCs w:val="20"/>
          <w:lang w:val="en-US"/>
        </w:rPr>
        <w:t>.</w:t>
      </w:r>
      <w:r w:rsidR="00934AB4" w:rsidRPr="003E2544">
        <w:rPr>
          <w:rFonts w:ascii="Verdana" w:eastAsia="Calibri" w:hAnsi="Verdana" w:cstheme="minorBidi"/>
          <w:sz w:val="20"/>
          <w:szCs w:val="20"/>
          <w:lang w:val="en-US"/>
        </w:rPr>
        <w:t xml:space="preserve"> </w:t>
      </w:r>
      <w:r w:rsidR="009B019F" w:rsidRPr="003E2544">
        <w:rPr>
          <w:rFonts w:ascii="Verdana" w:eastAsia="Calibri" w:hAnsi="Verdana" w:cstheme="minorBidi"/>
          <w:sz w:val="20"/>
          <w:szCs w:val="20"/>
          <w:lang w:val="en-US"/>
        </w:rPr>
        <w:t xml:space="preserve">The JP will involve </w:t>
      </w:r>
      <w:r w:rsidR="00336D7B" w:rsidRPr="003E2544">
        <w:rPr>
          <w:rFonts w:ascii="Verdana" w:eastAsia="Calibri" w:hAnsi="Verdana" w:cstheme="minorBidi"/>
          <w:sz w:val="20"/>
          <w:szCs w:val="20"/>
          <w:lang w:val="en-US"/>
        </w:rPr>
        <w:t>the private sector</w:t>
      </w:r>
      <w:r w:rsidR="009B019F" w:rsidRPr="003E2544">
        <w:rPr>
          <w:rFonts w:ascii="Verdana" w:eastAsia="Calibri" w:hAnsi="Verdana" w:cstheme="minorBidi"/>
          <w:sz w:val="20"/>
          <w:szCs w:val="20"/>
          <w:lang w:val="en-US"/>
        </w:rPr>
        <w:t xml:space="preserve"> in</w:t>
      </w:r>
      <w:r w:rsidR="000E6D10" w:rsidRPr="003E2544">
        <w:rPr>
          <w:rFonts w:ascii="Verdana" w:eastAsia="Calibri" w:hAnsi="Verdana" w:cstheme="minorBidi"/>
          <w:sz w:val="20"/>
          <w:szCs w:val="20"/>
          <w:lang w:val="en-US"/>
        </w:rPr>
        <w:t xml:space="preserve"> </w:t>
      </w:r>
      <w:r w:rsidR="00336D7B" w:rsidRPr="003E2544">
        <w:rPr>
          <w:rFonts w:ascii="Verdana" w:eastAsia="Calibri" w:hAnsi="Verdana" w:cstheme="minorBidi"/>
          <w:sz w:val="20"/>
          <w:szCs w:val="20"/>
          <w:lang w:val="en-US"/>
        </w:rPr>
        <w:t xml:space="preserve">development </w:t>
      </w:r>
      <w:r w:rsidR="000E6D10" w:rsidRPr="003E2544">
        <w:rPr>
          <w:rFonts w:ascii="Verdana" w:eastAsia="Calibri" w:hAnsi="Verdana" w:cstheme="minorBidi"/>
          <w:sz w:val="20"/>
          <w:szCs w:val="20"/>
          <w:lang w:val="en-US"/>
        </w:rPr>
        <w:t>planning</w:t>
      </w:r>
      <w:r w:rsidR="00336D7B" w:rsidRPr="003E2544">
        <w:rPr>
          <w:rFonts w:ascii="Verdana" w:eastAsia="Calibri" w:hAnsi="Verdana" w:cstheme="minorBidi"/>
          <w:sz w:val="20"/>
          <w:szCs w:val="20"/>
          <w:lang w:val="en-US"/>
        </w:rPr>
        <w:t xml:space="preserve"> and through this</w:t>
      </w:r>
      <w:r w:rsidR="2C363D16" w:rsidRPr="003E2544">
        <w:rPr>
          <w:rFonts w:ascii="Verdana" w:eastAsia="Calibri" w:hAnsi="Verdana" w:cstheme="minorBidi"/>
          <w:sz w:val="20"/>
          <w:szCs w:val="20"/>
          <w:lang w:val="en-US"/>
        </w:rPr>
        <w:t>,</w:t>
      </w:r>
      <w:r w:rsidR="00336D7B" w:rsidRPr="003E2544">
        <w:rPr>
          <w:rFonts w:ascii="Verdana" w:eastAsia="Calibri" w:hAnsi="Verdana" w:cstheme="minorBidi"/>
          <w:sz w:val="20"/>
          <w:szCs w:val="20"/>
          <w:lang w:val="en-US"/>
        </w:rPr>
        <w:t xml:space="preserve"> explore channels for private sector SDG funding</w:t>
      </w:r>
      <w:r w:rsidR="00934AB4" w:rsidRPr="003E2544">
        <w:rPr>
          <w:rFonts w:ascii="Verdana" w:eastAsia="Calibri" w:hAnsi="Verdana" w:cstheme="minorBidi"/>
          <w:sz w:val="20"/>
          <w:szCs w:val="20"/>
          <w:lang w:val="en-US"/>
        </w:rPr>
        <w:t>.</w:t>
      </w:r>
      <w:r w:rsidR="00336D7B" w:rsidRPr="003E2544">
        <w:rPr>
          <w:rFonts w:ascii="Verdana" w:eastAsia="Calibri" w:hAnsi="Verdana" w:cstheme="minorBidi"/>
          <w:sz w:val="20"/>
          <w:szCs w:val="20"/>
          <w:lang w:val="en-US"/>
        </w:rPr>
        <w:t xml:space="preserve">  </w:t>
      </w:r>
    </w:p>
    <w:p w14:paraId="5E605BBA" w14:textId="77777777" w:rsidR="009B0002" w:rsidRPr="003E2544" w:rsidRDefault="009B0002" w:rsidP="00245274">
      <w:pPr>
        <w:pStyle w:val="ListParagraph"/>
        <w:spacing w:line="240" w:lineRule="auto"/>
        <w:ind w:left="360"/>
        <w:rPr>
          <w:rFonts w:ascii="Verdana" w:eastAsia="Calibri" w:hAnsi="Verdana" w:cstheme="minorBidi"/>
          <w:sz w:val="20"/>
          <w:szCs w:val="20"/>
          <w:lang w:val="en-US"/>
        </w:rPr>
      </w:pPr>
    </w:p>
    <w:p w14:paraId="59024ABA" w14:textId="31ABCF61" w:rsidR="00D2690D" w:rsidRPr="003E2544" w:rsidRDefault="00D2690D" w:rsidP="00245274">
      <w:pPr>
        <w:pStyle w:val="ListParagraph"/>
        <w:numPr>
          <w:ilvl w:val="0"/>
          <w:numId w:val="71"/>
        </w:numPr>
        <w:spacing w:line="240" w:lineRule="auto"/>
        <w:rPr>
          <w:rFonts w:ascii="Verdana" w:eastAsia="Calibri" w:hAnsi="Verdana" w:cstheme="minorBidi"/>
          <w:sz w:val="20"/>
          <w:szCs w:val="20"/>
          <w:lang w:val="en-US"/>
        </w:rPr>
      </w:pPr>
      <w:r w:rsidRPr="003E2544">
        <w:rPr>
          <w:rFonts w:ascii="Verdana" w:eastAsia="Calibri" w:hAnsi="Verdana" w:cstheme="minorBidi"/>
          <w:b/>
          <w:bCs/>
          <w:sz w:val="20"/>
          <w:szCs w:val="20"/>
          <w:lang w:val="en-US"/>
        </w:rPr>
        <w:t>Medi</w:t>
      </w:r>
      <w:r w:rsidR="00556394" w:rsidRPr="003E2544">
        <w:rPr>
          <w:rFonts w:ascii="Verdana" w:eastAsia="Calibri" w:hAnsi="Verdana" w:cstheme="minorBidi"/>
          <w:b/>
          <w:bCs/>
          <w:sz w:val="20"/>
          <w:szCs w:val="20"/>
          <w:lang w:val="en-US"/>
        </w:rPr>
        <w:t>a</w:t>
      </w:r>
      <w:r w:rsidR="00A5371F" w:rsidRPr="003E2544">
        <w:rPr>
          <w:rFonts w:ascii="Verdana" w:eastAsia="Calibri" w:hAnsi="Verdana" w:cstheme="minorBidi"/>
          <w:sz w:val="20"/>
          <w:szCs w:val="20"/>
          <w:lang w:val="en-US"/>
        </w:rPr>
        <w:t xml:space="preserve"> </w:t>
      </w:r>
      <w:r w:rsidR="00556394" w:rsidRPr="003E2544">
        <w:rPr>
          <w:rFonts w:ascii="Verdana" w:eastAsia="Calibri" w:hAnsi="Verdana" w:cstheme="minorBidi"/>
          <w:sz w:val="20"/>
          <w:szCs w:val="20"/>
          <w:lang w:val="en-US"/>
        </w:rPr>
        <w:t>especially radio</w:t>
      </w:r>
      <w:r w:rsidR="00963B6D" w:rsidRPr="003E2544">
        <w:rPr>
          <w:rFonts w:ascii="Verdana" w:eastAsia="Calibri" w:hAnsi="Verdana" w:cstheme="minorBidi"/>
          <w:sz w:val="20"/>
          <w:szCs w:val="20"/>
          <w:lang w:val="en-US"/>
        </w:rPr>
        <w:t>,</w:t>
      </w:r>
      <w:r w:rsidR="00556394" w:rsidRPr="003E2544">
        <w:rPr>
          <w:rFonts w:ascii="Verdana" w:eastAsia="Calibri" w:hAnsi="Verdana" w:cstheme="minorBidi"/>
          <w:sz w:val="20"/>
          <w:szCs w:val="20"/>
          <w:lang w:val="en-US"/>
        </w:rPr>
        <w:t xml:space="preserve"> </w:t>
      </w:r>
      <w:r w:rsidR="00336D7B" w:rsidRPr="003E2544">
        <w:rPr>
          <w:rFonts w:ascii="Verdana" w:eastAsia="Calibri" w:hAnsi="Verdana" w:cstheme="minorBidi"/>
          <w:sz w:val="20"/>
          <w:szCs w:val="20"/>
          <w:lang w:val="en-US"/>
        </w:rPr>
        <w:t>which is</w:t>
      </w:r>
      <w:r w:rsidR="00963B6D" w:rsidRPr="003E2544">
        <w:rPr>
          <w:rFonts w:ascii="Verdana" w:eastAsia="Calibri" w:hAnsi="Verdana" w:cstheme="minorBidi"/>
          <w:sz w:val="20"/>
          <w:szCs w:val="20"/>
          <w:lang w:val="en-US"/>
        </w:rPr>
        <w:t xml:space="preserve"> the most prevalent communication </w:t>
      </w:r>
      <w:r w:rsidR="00336D7B" w:rsidRPr="003E2544">
        <w:rPr>
          <w:rFonts w:ascii="Verdana" w:eastAsia="Calibri" w:hAnsi="Verdana" w:cstheme="minorBidi"/>
          <w:sz w:val="20"/>
          <w:szCs w:val="20"/>
          <w:lang w:val="en-US"/>
        </w:rPr>
        <w:t>channel for the majority of South Sudanese,</w:t>
      </w:r>
      <w:r w:rsidR="00963B6D" w:rsidRPr="003E2544">
        <w:rPr>
          <w:rFonts w:ascii="Verdana" w:eastAsia="Calibri" w:hAnsi="Verdana" w:cstheme="minorBidi"/>
          <w:sz w:val="20"/>
          <w:szCs w:val="20"/>
          <w:lang w:val="en-US"/>
        </w:rPr>
        <w:t xml:space="preserve"> </w:t>
      </w:r>
      <w:r w:rsidR="00556394" w:rsidRPr="003E2544">
        <w:rPr>
          <w:rFonts w:ascii="Verdana" w:eastAsia="Calibri" w:hAnsi="Verdana" w:cstheme="minorBidi"/>
          <w:sz w:val="20"/>
          <w:szCs w:val="20"/>
          <w:lang w:val="en-US"/>
        </w:rPr>
        <w:t>will be used for advocacy purpose</w:t>
      </w:r>
      <w:r w:rsidR="00336D7B" w:rsidRPr="003E2544">
        <w:rPr>
          <w:rFonts w:ascii="Verdana" w:eastAsia="Calibri" w:hAnsi="Verdana" w:cstheme="minorBidi"/>
          <w:sz w:val="20"/>
          <w:szCs w:val="20"/>
          <w:lang w:val="en-US"/>
        </w:rPr>
        <w:t xml:space="preserve"> in budget consultation, awareness and transparency, citizens</w:t>
      </w:r>
      <w:r w:rsidR="216B2F6A" w:rsidRPr="003E2544">
        <w:rPr>
          <w:rFonts w:ascii="Verdana" w:eastAsia="Calibri" w:hAnsi="Verdana" w:cstheme="minorBidi"/>
          <w:sz w:val="20"/>
          <w:szCs w:val="20"/>
          <w:lang w:val="en-US"/>
        </w:rPr>
        <w:t>’</w:t>
      </w:r>
      <w:r w:rsidR="00336D7B" w:rsidRPr="003E2544">
        <w:rPr>
          <w:rFonts w:ascii="Verdana" w:eastAsia="Calibri" w:hAnsi="Verdana" w:cstheme="minorBidi"/>
          <w:sz w:val="20"/>
          <w:szCs w:val="20"/>
          <w:lang w:val="en-US"/>
        </w:rPr>
        <w:t xml:space="preserve"> budgeting and inputting to community development planning.</w:t>
      </w:r>
    </w:p>
    <w:p w14:paraId="273F89CA" w14:textId="77777777" w:rsidR="009B0002" w:rsidRPr="003E2544" w:rsidRDefault="009B0002" w:rsidP="00245274">
      <w:pPr>
        <w:pStyle w:val="ListParagraph"/>
        <w:spacing w:line="240" w:lineRule="auto"/>
        <w:ind w:left="360"/>
        <w:rPr>
          <w:rFonts w:ascii="Verdana" w:eastAsia="Calibri" w:hAnsi="Verdana" w:cstheme="minorBidi"/>
          <w:sz w:val="20"/>
          <w:szCs w:val="20"/>
          <w:lang w:val="en-US"/>
        </w:rPr>
      </w:pPr>
    </w:p>
    <w:p w14:paraId="34B809FE" w14:textId="1B53DD4E" w:rsidR="23916A73" w:rsidRPr="003E2544" w:rsidRDefault="5213E1CE" w:rsidP="00245274">
      <w:pPr>
        <w:pStyle w:val="ListParagraph"/>
        <w:numPr>
          <w:ilvl w:val="0"/>
          <w:numId w:val="71"/>
        </w:numPr>
        <w:spacing w:line="240" w:lineRule="auto"/>
        <w:rPr>
          <w:rFonts w:ascii="Verdana" w:eastAsia="Calibri" w:hAnsi="Verdana" w:cstheme="minorBidi"/>
          <w:sz w:val="20"/>
          <w:szCs w:val="20"/>
          <w:lang w:val="en-US"/>
        </w:rPr>
      </w:pPr>
      <w:r w:rsidRPr="003E2544">
        <w:rPr>
          <w:rFonts w:ascii="Verdana" w:eastAsia="Calibri" w:hAnsi="Verdana" w:cstheme="minorBidi"/>
          <w:b/>
          <w:bCs/>
          <w:sz w:val="20"/>
          <w:szCs w:val="20"/>
          <w:lang w:val="en-US"/>
        </w:rPr>
        <w:t xml:space="preserve">Civil Society </w:t>
      </w:r>
      <w:r w:rsidR="00F3120E" w:rsidRPr="003E2544">
        <w:rPr>
          <w:rFonts w:ascii="Verdana" w:eastAsia="Calibri" w:hAnsi="Verdana" w:cstheme="minorBidi"/>
          <w:b/>
          <w:bCs/>
          <w:sz w:val="20"/>
          <w:szCs w:val="20"/>
          <w:lang w:val="en-US"/>
        </w:rPr>
        <w:t>Organizations</w:t>
      </w:r>
      <w:r w:rsidR="29106D69" w:rsidRPr="003E2544">
        <w:rPr>
          <w:rFonts w:ascii="Verdana" w:eastAsia="Calibri" w:hAnsi="Verdana" w:cstheme="minorBidi"/>
          <w:b/>
          <w:bCs/>
          <w:sz w:val="20"/>
          <w:szCs w:val="20"/>
          <w:lang w:val="en-US"/>
        </w:rPr>
        <w:t xml:space="preserve"> (CSOs)</w:t>
      </w:r>
      <w:r w:rsidR="29106D69" w:rsidRPr="003E2544">
        <w:rPr>
          <w:rFonts w:ascii="Verdana" w:eastAsia="Calibri" w:hAnsi="Verdana" w:cstheme="minorBidi"/>
          <w:sz w:val="20"/>
          <w:szCs w:val="20"/>
          <w:lang w:val="en-US"/>
        </w:rPr>
        <w:t xml:space="preserve"> </w:t>
      </w:r>
      <w:r w:rsidR="03B2F809" w:rsidRPr="003E2544">
        <w:rPr>
          <w:rFonts w:ascii="Verdana" w:eastAsia="Calibri" w:hAnsi="Verdana" w:cstheme="minorBidi"/>
          <w:sz w:val="20"/>
          <w:szCs w:val="20"/>
          <w:lang w:val="en-US"/>
        </w:rPr>
        <w:t xml:space="preserve">can play </w:t>
      </w:r>
      <w:r w:rsidRPr="003E2544">
        <w:rPr>
          <w:rFonts w:ascii="Verdana" w:eastAsia="Calibri" w:hAnsi="Verdana" w:cstheme="minorBidi"/>
          <w:sz w:val="20"/>
          <w:szCs w:val="20"/>
          <w:lang w:val="en-US"/>
        </w:rPr>
        <w:t xml:space="preserve">an </w:t>
      </w:r>
      <w:r w:rsidR="03B2F809" w:rsidRPr="003E2544">
        <w:rPr>
          <w:rFonts w:ascii="Verdana" w:eastAsia="Calibri" w:hAnsi="Verdana" w:cstheme="minorBidi"/>
          <w:sz w:val="20"/>
          <w:szCs w:val="20"/>
          <w:lang w:val="en-US"/>
        </w:rPr>
        <w:t xml:space="preserve">external </w:t>
      </w:r>
      <w:r w:rsidRPr="003E2544">
        <w:rPr>
          <w:rFonts w:ascii="Verdana" w:eastAsia="Calibri" w:hAnsi="Verdana" w:cstheme="minorBidi"/>
          <w:sz w:val="20"/>
          <w:szCs w:val="20"/>
          <w:lang w:val="en-US"/>
        </w:rPr>
        <w:t>oversight function in the budgeting cycle</w:t>
      </w:r>
      <w:r w:rsidR="03B2F809" w:rsidRPr="003E2544">
        <w:rPr>
          <w:rFonts w:ascii="Verdana" w:eastAsia="Calibri" w:hAnsi="Verdana" w:cstheme="minorBidi"/>
          <w:sz w:val="20"/>
          <w:szCs w:val="20"/>
          <w:lang w:val="en-US"/>
        </w:rPr>
        <w:t xml:space="preserve">. </w:t>
      </w:r>
      <w:r w:rsidR="37E482BF" w:rsidRPr="003E2544">
        <w:rPr>
          <w:rFonts w:ascii="Verdana" w:eastAsia="Calibri" w:hAnsi="Verdana" w:cstheme="minorBidi"/>
          <w:sz w:val="20"/>
          <w:szCs w:val="20"/>
          <w:lang w:val="en-US"/>
        </w:rPr>
        <w:t>CSOs a</w:t>
      </w:r>
      <w:r w:rsidRPr="003E2544">
        <w:rPr>
          <w:rFonts w:ascii="Verdana" w:eastAsia="Calibri" w:hAnsi="Verdana" w:cstheme="minorBidi"/>
          <w:sz w:val="20"/>
          <w:szCs w:val="20"/>
          <w:lang w:val="en-US"/>
        </w:rPr>
        <w:t xml:space="preserve">dvocate for increased spending on social services </w:t>
      </w:r>
      <w:r w:rsidR="37E482BF" w:rsidRPr="003E2544">
        <w:rPr>
          <w:rFonts w:ascii="Verdana" w:eastAsia="Calibri" w:hAnsi="Verdana" w:cstheme="minorBidi"/>
          <w:sz w:val="20"/>
          <w:szCs w:val="20"/>
          <w:lang w:val="en-US"/>
        </w:rPr>
        <w:t xml:space="preserve">and </w:t>
      </w:r>
      <w:r w:rsidR="03B2F809" w:rsidRPr="003E2544">
        <w:rPr>
          <w:rFonts w:ascii="Verdana" w:eastAsia="Calibri" w:hAnsi="Verdana" w:cstheme="minorBidi"/>
          <w:sz w:val="20"/>
          <w:szCs w:val="20"/>
          <w:lang w:val="en-US"/>
        </w:rPr>
        <w:t xml:space="preserve">promote the </w:t>
      </w:r>
      <w:r w:rsidR="00F3120E" w:rsidRPr="003E2544">
        <w:rPr>
          <w:rFonts w:ascii="Verdana" w:eastAsia="Calibri" w:hAnsi="Verdana" w:cstheme="minorBidi"/>
          <w:sz w:val="20"/>
          <w:szCs w:val="20"/>
          <w:lang w:val="en-US"/>
        </w:rPr>
        <w:t>realization</w:t>
      </w:r>
      <w:r w:rsidR="03B2F809" w:rsidRPr="003E2544">
        <w:rPr>
          <w:rFonts w:ascii="Verdana" w:eastAsia="Calibri" w:hAnsi="Verdana" w:cstheme="minorBidi"/>
          <w:sz w:val="20"/>
          <w:szCs w:val="20"/>
          <w:lang w:val="en-US"/>
        </w:rPr>
        <w:t xml:space="preserve"> of </w:t>
      </w:r>
      <w:r w:rsidR="720F95C0" w:rsidRPr="003E2544">
        <w:rPr>
          <w:rFonts w:ascii="Verdana" w:eastAsia="Calibri" w:hAnsi="Verdana" w:cstheme="minorBidi"/>
          <w:sz w:val="20"/>
          <w:szCs w:val="20"/>
          <w:lang w:val="en-US"/>
        </w:rPr>
        <w:t xml:space="preserve">a </w:t>
      </w:r>
      <w:r w:rsidR="37E482BF" w:rsidRPr="003E2544">
        <w:rPr>
          <w:rFonts w:ascii="Verdana" w:eastAsia="Calibri" w:hAnsi="Verdana" w:cstheme="minorBidi"/>
          <w:sz w:val="20"/>
          <w:szCs w:val="20"/>
          <w:lang w:val="en-US"/>
        </w:rPr>
        <w:t>human right</w:t>
      </w:r>
      <w:r w:rsidR="03B2F809" w:rsidRPr="003E2544">
        <w:rPr>
          <w:rFonts w:ascii="Verdana" w:eastAsia="Calibri" w:hAnsi="Verdana" w:cstheme="minorBidi"/>
          <w:sz w:val="20"/>
          <w:szCs w:val="20"/>
          <w:lang w:val="en-US"/>
        </w:rPr>
        <w:t>s</w:t>
      </w:r>
      <w:r w:rsidR="0C88DCBB" w:rsidRPr="003E2544">
        <w:rPr>
          <w:rFonts w:ascii="Verdana" w:eastAsia="Calibri" w:hAnsi="Verdana" w:cstheme="minorBidi"/>
          <w:sz w:val="20"/>
          <w:szCs w:val="20"/>
          <w:lang w:val="en-US"/>
        </w:rPr>
        <w:t>-based approach to sustainable development</w:t>
      </w:r>
      <w:r w:rsidR="03B2F809" w:rsidRPr="003E2544">
        <w:rPr>
          <w:rFonts w:ascii="Verdana" w:eastAsia="Calibri" w:hAnsi="Verdana" w:cstheme="minorBidi"/>
          <w:sz w:val="20"/>
          <w:szCs w:val="20"/>
          <w:lang w:val="en-US"/>
        </w:rPr>
        <w:t xml:space="preserve">. </w:t>
      </w:r>
      <w:r w:rsidR="53931F15" w:rsidRPr="003E2544">
        <w:rPr>
          <w:rFonts w:ascii="Verdana" w:eastAsia="Calibri" w:hAnsi="Verdana" w:cstheme="minorBidi"/>
          <w:sz w:val="20"/>
          <w:szCs w:val="20"/>
          <w:lang w:val="en-US"/>
        </w:rPr>
        <w:t xml:space="preserve">The JP will involve CSOs in </w:t>
      </w:r>
      <w:r w:rsidRPr="003E2544">
        <w:rPr>
          <w:rFonts w:ascii="Verdana" w:eastAsia="Calibri" w:hAnsi="Verdana" w:cstheme="minorBidi"/>
          <w:sz w:val="20"/>
          <w:szCs w:val="20"/>
          <w:lang w:val="en-US"/>
        </w:rPr>
        <w:t xml:space="preserve">development planning and budgeting processes. </w:t>
      </w:r>
    </w:p>
    <w:p w14:paraId="505E5082" w14:textId="77777777" w:rsidR="009B0002" w:rsidRPr="003E2544" w:rsidRDefault="009B0002" w:rsidP="00245274">
      <w:pPr>
        <w:pStyle w:val="ListParagraph"/>
        <w:spacing w:line="240" w:lineRule="auto"/>
        <w:ind w:left="360"/>
        <w:rPr>
          <w:rFonts w:ascii="Verdana" w:eastAsia="Calibri" w:hAnsi="Verdana" w:cstheme="minorBidi"/>
          <w:sz w:val="20"/>
          <w:szCs w:val="20"/>
          <w:lang w:val="en-US"/>
        </w:rPr>
      </w:pPr>
    </w:p>
    <w:p w14:paraId="2DF548B8" w14:textId="7EDEE98D" w:rsidR="009E5F8E" w:rsidRPr="005335F6" w:rsidRDefault="23916A73" w:rsidP="00245274">
      <w:pPr>
        <w:pStyle w:val="ListParagraph"/>
        <w:numPr>
          <w:ilvl w:val="0"/>
          <w:numId w:val="71"/>
        </w:numPr>
        <w:spacing w:line="240" w:lineRule="auto"/>
        <w:rPr>
          <w:rFonts w:ascii="Verdana" w:eastAsia="Calibri" w:hAnsi="Verdana" w:cstheme="minorBidi"/>
          <w:sz w:val="20"/>
          <w:szCs w:val="20"/>
          <w:lang w:val="en-US"/>
        </w:rPr>
        <w:sectPr w:rsidR="009E5F8E" w:rsidRPr="005335F6" w:rsidSect="00975396">
          <w:pgSz w:w="12240" w:h="15840"/>
          <w:pgMar w:top="1440" w:right="1440" w:bottom="1440" w:left="1440" w:header="144" w:footer="180" w:gutter="0"/>
          <w:cols w:space="720"/>
          <w:docGrid w:linePitch="360"/>
        </w:sectPr>
      </w:pPr>
      <w:r w:rsidRPr="003E2544">
        <w:rPr>
          <w:rFonts w:ascii="Verdana" w:eastAsia="Calibri" w:hAnsi="Verdana" w:cstheme="minorBidi"/>
          <w:b/>
          <w:bCs/>
          <w:sz w:val="20"/>
          <w:szCs w:val="20"/>
          <w:lang w:val="en-US"/>
        </w:rPr>
        <w:t xml:space="preserve">Communities </w:t>
      </w:r>
      <w:r w:rsidRPr="003E2544">
        <w:rPr>
          <w:rFonts w:ascii="Verdana" w:eastAsia="Calibri" w:hAnsi="Verdana" w:cstheme="minorBidi"/>
          <w:sz w:val="20"/>
          <w:szCs w:val="20"/>
          <w:lang w:val="en-US"/>
        </w:rPr>
        <w:t xml:space="preserve">will be key stakeholders as part of the citizens’ engagement and </w:t>
      </w:r>
      <w:r w:rsidR="5A3000B0" w:rsidRPr="003E2544">
        <w:rPr>
          <w:rFonts w:ascii="Verdana" w:eastAsia="Calibri" w:hAnsi="Verdana" w:cstheme="minorBidi"/>
          <w:sz w:val="20"/>
          <w:szCs w:val="20"/>
          <w:lang w:val="en-US"/>
        </w:rPr>
        <w:t xml:space="preserve">community-based </w:t>
      </w:r>
      <w:r w:rsidRPr="003E2544">
        <w:rPr>
          <w:rFonts w:ascii="Verdana" w:eastAsia="Calibri" w:hAnsi="Verdana" w:cstheme="minorBidi"/>
          <w:sz w:val="20"/>
          <w:szCs w:val="20"/>
          <w:lang w:val="en-US"/>
        </w:rPr>
        <w:t xml:space="preserve">oversight mechanisms during the budgeting cycle at </w:t>
      </w:r>
      <w:r w:rsidR="009B5B47">
        <w:rPr>
          <w:rFonts w:ascii="Verdana" w:eastAsia="Calibri" w:hAnsi="Verdana" w:cstheme="minorBidi"/>
          <w:sz w:val="20"/>
          <w:szCs w:val="20"/>
          <w:lang w:val="en-US"/>
        </w:rPr>
        <w:t>subnational</w:t>
      </w:r>
      <w:r w:rsidRPr="003E2544">
        <w:rPr>
          <w:rFonts w:ascii="Verdana" w:eastAsia="Calibri" w:hAnsi="Verdana" w:cstheme="minorBidi"/>
          <w:sz w:val="20"/>
          <w:szCs w:val="20"/>
          <w:lang w:val="en-US"/>
        </w:rPr>
        <w:t xml:space="preserve"> level. Existing community platforms</w:t>
      </w:r>
      <w:r w:rsidR="51C673EA" w:rsidRPr="003E2544">
        <w:rPr>
          <w:rFonts w:ascii="Verdana" w:eastAsia="Calibri" w:hAnsi="Verdana" w:cstheme="minorBidi"/>
          <w:sz w:val="20"/>
          <w:szCs w:val="20"/>
          <w:lang w:val="en-US"/>
        </w:rPr>
        <w:t xml:space="preserve"> (network of community mobili</w:t>
      </w:r>
      <w:r w:rsidR="00F3120E">
        <w:rPr>
          <w:rFonts w:ascii="Verdana" w:eastAsia="Calibri" w:hAnsi="Verdana" w:cstheme="minorBidi"/>
          <w:sz w:val="20"/>
          <w:szCs w:val="20"/>
          <w:lang w:val="en-US"/>
        </w:rPr>
        <w:t>z</w:t>
      </w:r>
      <w:r w:rsidR="51C673EA" w:rsidRPr="003E2544">
        <w:rPr>
          <w:rFonts w:ascii="Verdana" w:eastAsia="Calibri" w:hAnsi="Verdana" w:cstheme="minorBidi"/>
          <w:sz w:val="20"/>
          <w:szCs w:val="20"/>
          <w:lang w:val="en-US"/>
        </w:rPr>
        <w:t>ers in the three States)</w:t>
      </w:r>
      <w:r w:rsidRPr="003E2544">
        <w:rPr>
          <w:rFonts w:ascii="Verdana" w:eastAsia="Calibri" w:hAnsi="Verdana" w:cstheme="minorBidi"/>
          <w:sz w:val="20"/>
          <w:szCs w:val="20"/>
          <w:lang w:val="en-US"/>
        </w:rPr>
        <w:t xml:space="preserve"> supported by UNICEF will be leveraged</w:t>
      </w:r>
      <w:r w:rsidR="790AD65D" w:rsidRPr="003E2544">
        <w:rPr>
          <w:rFonts w:ascii="Verdana" w:eastAsia="Calibri" w:hAnsi="Verdana" w:cstheme="minorBidi"/>
          <w:sz w:val="20"/>
          <w:szCs w:val="20"/>
          <w:lang w:val="en-US"/>
        </w:rPr>
        <w:t>.</w:t>
      </w:r>
    </w:p>
    <w:p w14:paraId="0FD6156F" w14:textId="171FF3F0" w:rsidR="00272BF8" w:rsidRPr="008C7B9E" w:rsidRDefault="00AF31EA" w:rsidP="009701E1">
      <w:pPr>
        <w:pStyle w:val="Heading2"/>
        <w:spacing w:line="240" w:lineRule="auto"/>
      </w:pPr>
      <w:r w:rsidRPr="008C7B9E">
        <w:lastRenderedPageBreak/>
        <w:t xml:space="preserve">2. </w:t>
      </w:r>
      <w:r w:rsidR="00272BF8" w:rsidRPr="008C7B9E">
        <w:t xml:space="preserve">Programme Strategy </w:t>
      </w:r>
    </w:p>
    <w:p w14:paraId="230109AF" w14:textId="77777777" w:rsidR="00272BF8" w:rsidRPr="003E2544" w:rsidRDefault="00272BF8" w:rsidP="00245274">
      <w:pPr>
        <w:spacing w:line="240" w:lineRule="auto"/>
        <w:rPr>
          <w:rFonts w:ascii="Verdana" w:eastAsia="Calibri" w:hAnsi="Verdana" w:cs="Times New Roman"/>
          <w:color w:val="000000" w:themeColor="text1"/>
          <w:szCs w:val="24"/>
        </w:rPr>
      </w:pPr>
    </w:p>
    <w:p w14:paraId="79DD478D" w14:textId="29B8EF23" w:rsidR="00272BF8" w:rsidRPr="003E2544" w:rsidRDefault="00272BF8" w:rsidP="009701E1">
      <w:pPr>
        <w:pStyle w:val="Heading3"/>
        <w:spacing w:line="240" w:lineRule="auto"/>
      </w:pPr>
      <w:r w:rsidRPr="003E2544">
        <w:t xml:space="preserve">2.1. Overall strategy </w:t>
      </w:r>
    </w:p>
    <w:p w14:paraId="04A00BD4" w14:textId="353D56A4" w:rsidR="00371438" w:rsidRDefault="00371438" w:rsidP="00245274">
      <w:pPr>
        <w:spacing w:line="240" w:lineRule="auto"/>
        <w:jc w:val="both"/>
        <w:rPr>
          <w:rFonts w:ascii="Verdana" w:hAnsi="Verdana"/>
          <w:sz w:val="20"/>
          <w:szCs w:val="20"/>
        </w:rPr>
      </w:pPr>
      <w:r w:rsidRPr="003E2544">
        <w:rPr>
          <w:rFonts w:ascii="Verdana" w:hAnsi="Verdana"/>
          <w:sz w:val="20"/>
          <w:szCs w:val="20"/>
        </w:rPr>
        <w:t xml:space="preserve">The JP is aligned with the mandate of R-TGoNU to build peace institutions and prepare for democracy and economic development in South Sudan. </w:t>
      </w:r>
      <w:r w:rsidR="538994BF" w:rsidRPr="003E2544">
        <w:rPr>
          <w:rFonts w:ascii="Verdana" w:hAnsi="Verdana"/>
          <w:sz w:val="20"/>
          <w:szCs w:val="20"/>
        </w:rPr>
        <w:t xml:space="preserve">The JP is </w:t>
      </w:r>
      <w:r w:rsidR="008A5867">
        <w:rPr>
          <w:rFonts w:ascii="Verdana" w:hAnsi="Verdana"/>
          <w:sz w:val="20"/>
          <w:szCs w:val="20"/>
        </w:rPr>
        <w:t xml:space="preserve">a </w:t>
      </w:r>
      <w:r w:rsidR="538994BF" w:rsidRPr="003E2544">
        <w:rPr>
          <w:rFonts w:ascii="Verdana" w:hAnsi="Verdana"/>
          <w:sz w:val="20"/>
          <w:szCs w:val="20"/>
        </w:rPr>
        <w:t>transformational</w:t>
      </w:r>
      <w:r w:rsidR="008A5867">
        <w:rPr>
          <w:rFonts w:ascii="Verdana" w:hAnsi="Verdana"/>
          <w:sz w:val="20"/>
          <w:szCs w:val="20"/>
        </w:rPr>
        <w:t xml:space="preserve"> PFM </w:t>
      </w:r>
      <w:r>
        <w:rPr>
          <w:rFonts w:ascii="Verdana" w:hAnsi="Verdana"/>
          <w:sz w:val="20"/>
          <w:szCs w:val="20"/>
        </w:rPr>
        <w:t>programme</w:t>
      </w:r>
      <w:r w:rsidR="575A02B9" w:rsidRPr="003E2544">
        <w:rPr>
          <w:rFonts w:ascii="Verdana" w:hAnsi="Verdana"/>
          <w:sz w:val="20"/>
          <w:szCs w:val="20"/>
        </w:rPr>
        <w:t xml:space="preserve"> </w:t>
      </w:r>
      <w:r w:rsidR="538994BF" w:rsidRPr="003E2544">
        <w:rPr>
          <w:rFonts w:ascii="Verdana" w:hAnsi="Verdana"/>
          <w:sz w:val="20"/>
          <w:szCs w:val="20"/>
        </w:rPr>
        <w:t xml:space="preserve">as it supports rapid </w:t>
      </w:r>
      <w:r w:rsidR="580CB71C" w:rsidRPr="003E2544">
        <w:rPr>
          <w:rFonts w:ascii="Verdana" w:hAnsi="Verdana"/>
          <w:sz w:val="20"/>
          <w:szCs w:val="20"/>
        </w:rPr>
        <w:t>capacity building and system</w:t>
      </w:r>
      <w:r>
        <w:rPr>
          <w:rFonts w:ascii="Verdana" w:hAnsi="Verdana"/>
          <w:sz w:val="20"/>
          <w:szCs w:val="20"/>
        </w:rPr>
        <w:t>s</w:t>
      </w:r>
      <w:r w:rsidR="580CB71C" w:rsidRPr="003E2544">
        <w:rPr>
          <w:rFonts w:ascii="Verdana" w:hAnsi="Verdana"/>
          <w:sz w:val="20"/>
          <w:szCs w:val="20"/>
        </w:rPr>
        <w:t xml:space="preserve"> </w:t>
      </w:r>
      <w:r w:rsidR="575A02B9" w:rsidRPr="003E2544">
        <w:rPr>
          <w:rFonts w:ascii="Verdana" w:hAnsi="Verdana"/>
          <w:sz w:val="20"/>
          <w:szCs w:val="20"/>
        </w:rPr>
        <w:t>strengthening</w:t>
      </w:r>
      <w:r w:rsidR="580CB71C" w:rsidRPr="003E2544">
        <w:rPr>
          <w:rFonts w:ascii="Verdana" w:hAnsi="Verdana"/>
          <w:sz w:val="20"/>
          <w:szCs w:val="20"/>
        </w:rPr>
        <w:t xml:space="preserve"> for the existing GRSS </w:t>
      </w:r>
      <w:r w:rsidR="575A02B9" w:rsidRPr="003E2544">
        <w:rPr>
          <w:rFonts w:ascii="Verdana" w:hAnsi="Verdana"/>
          <w:sz w:val="20"/>
          <w:szCs w:val="20"/>
        </w:rPr>
        <w:t xml:space="preserve">development planning, revenue collection and expenditure management </w:t>
      </w:r>
      <w:r w:rsidR="580CB71C" w:rsidRPr="003E2544">
        <w:rPr>
          <w:rFonts w:ascii="Verdana" w:hAnsi="Verdana"/>
          <w:sz w:val="20"/>
          <w:szCs w:val="20"/>
        </w:rPr>
        <w:t>agencies</w:t>
      </w:r>
      <w:r w:rsidR="656E14C9" w:rsidRPr="003E2544">
        <w:rPr>
          <w:rFonts w:ascii="Verdana" w:hAnsi="Verdana"/>
          <w:sz w:val="20"/>
          <w:szCs w:val="20"/>
        </w:rPr>
        <w:t xml:space="preserve">. </w:t>
      </w:r>
    </w:p>
    <w:p w14:paraId="13E7628D" w14:textId="77777777" w:rsidR="00371438" w:rsidRDefault="00371438" w:rsidP="00245274">
      <w:pPr>
        <w:spacing w:line="240" w:lineRule="auto"/>
        <w:jc w:val="both"/>
        <w:rPr>
          <w:rFonts w:ascii="Verdana" w:hAnsi="Verdana"/>
          <w:sz w:val="20"/>
          <w:szCs w:val="20"/>
        </w:rPr>
      </w:pPr>
    </w:p>
    <w:p w14:paraId="0DDC9F5E" w14:textId="64252ACB" w:rsidR="001A0D2B" w:rsidRDefault="656E14C9" w:rsidP="00245274">
      <w:pPr>
        <w:spacing w:line="240" w:lineRule="auto"/>
        <w:jc w:val="both"/>
        <w:rPr>
          <w:rFonts w:ascii="Verdana" w:eastAsia="Calibri" w:hAnsi="Verdana" w:cs="Times New Roman"/>
          <w:i/>
          <w:sz w:val="20"/>
          <w:szCs w:val="20"/>
        </w:rPr>
      </w:pPr>
      <w:r w:rsidRPr="003E2544">
        <w:rPr>
          <w:rFonts w:ascii="Verdana" w:hAnsi="Verdana"/>
          <w:sz w:val="20"/>
          <w:szCs w:val="20"/>
        </w:rPr>
        <w:t>In addition, the JP approach is innovative as it s</w:t>
      </w:r>
      <w:r w:rsidR="1F55F3A6" w:rsidRPr="003E2544">
        <w:rPr>
          <w:rFonts w:ascii="Verdana" w:hAnsi="Verdana"/>
          <w:sz w:val="20"/>
          <w:szCs w:val="20"/>
        </w:rPr>
        <w:t>eeks to strengthen both the</w:t>
      </w:r>
      <w:r w:rsidRPr="003E2544">
        <w:rPr>
          <w:rFonts w:ascii="Verdana" w:hAnsi="Verdana"/>
          <w:sz w:val="20"/>
          <w:szCs w:val="20"/>
        </w:rPr>
        <w:t xml:space="preserve"> supply (revenue) and demand (expenditure)</w:t>
      </w:r>
      <w:r w:rsidR="1F3EDB7D" w:rsidRPr="003E2544">
        <w:rPr>
          <w:rFonts w:ascii="Verdana" w:hAnsi="Verdana"/>
          <w:sz w:val="20"/>
          <w:szCs w:val="20"/>
        </w:rPr>
        <w:t xml:space="preserve"> sides of </w:t>
      </w:r>
      <w:r w:rsidR="001A0D2B">
        <w:rPr>
          <w:rFonts w:ascii="Verdana" w:hAnsi="Verdana"/>
          <w:sz w:val="20"/>
          <w:szCs w:val="20"/>
        </w:rPr>
        <w:t>PFM</w:t>
      </w:r>
      <w:r w:rsidR="009B3AA4" w:rsidRPr="003E2544">
        <w:rPr>
          <w:rFonts w:ascii="Verdana" w:hAnsi="Verdana"/>
          <w:sz w:val="20"/>
          <w:szCs w:val="20"/>
        </w:rPr>
        <w:t xml:space="preserve"> which contributes to SDG 16 </w:t>
      </w:r>
      <w:r w:rsidR="00BE1F89" w:rsidRPr="003E2544">
        <w:rPr>
          <w:rFonts w:ascii="Verdana" w:hAnsi="Verdana"/>
          <w:sz w:val="20"/>
          <w:szCs w:val="20"/>
        </w:rPr>
        <w:t xml:space="preserve">especially </w:t>
      </w:r>
      <w:r w:rsidR="00BE1F89" w:rsidRPr="003E2544">
        <w:rPr>
          <w:rFonts w:ascii="Verdana" w:hAnsi="Verdana"/>
          <w:i/>
          <w:iCs/>
          <w:sz w:val="20"/>
          <w:szCs w:val="20"/>
        </w:rPr>
        <w:t xml:space="preserve">Target 16.6 </w:t>
      </w:r>
      <w:r w:rsidR="009B3AA4" w:rsidRPr="003E2544">
        <w:rPr>
          <w:rFonts w:ascii="Verdana" w:hAnsi="Verdana"/>
          <w:i/>
          <w:iCs/>
          <w:sz w:val="20"/>
          <w:szCs w:val="20"/>
        </w:rPr>
        <w:t xml:space="preserve">Develop effective, accountable and transparent institutions </w:t>
      </w:r>
      <w:r w:rsidR="009B3AA4" w:rsidRPr="003E2544">
        <w:rPr>
          <w:rFonts w:ascii="Verdana" w:hAnsi="Verdana"/>
          <w:sz w:val="20"/>
          <w:szCs w:val="20"/>
        </w:rPr>
        <w:t>and</w:t>
      </w:r>
      <w:r w:rsidR="009B3AA4" w:rsidRPr="003E2544">
        <w:rPr>
          <w:rFonts w:ascii="Verdana" w:hAnsi="Verdana"/>
          <w:i/>
          <w:iCs/>
          <w:sz w:val="20"/>
          <w:szCs w:val="20"/>
        </w:rPr>
        <w:t xml:space="preserve"> </w:t>
      </w:r>
      <w:r w:rsidR="009B3AA4" w:rsidRPr="003E2544">
        <w:rPr>
          <w:rFonts w:ascii="Verdana" w:hAnsi="Verdana"/>
          <w:sz w:val="20"/>
          <w:szCs w:val="20"/>
        </w:rPr>
        <w:t>SDG 17</w:t>
      </w:r>
      <w:r w:rsidR="009B3AA4" w:rsidRPr="003E2544">
        <w:rPr>
          <w:rFonts w:ascii="Verdana" w:hAnsi="Verdana"/>
          <w:i/>
          <w:iCs/>
          <w:sz w:val="20"/>
          <w:szCs w:val="20"/>
        </w:rPr>
        <w:t xml:space="preserve"> </w:t>
      </w:r>
      <w:r w:rsidR="00BE1F89" w:rsidRPr="003E2544">
        <w:rPr>
          <w:rFonts w:ascii="Verdana" w:hAnsi="Verdana"/>
          <w:i/>
          <w:iCs/>
          <w:sz w:val="20"/>
          <w:szCs w:val="20"/>
        </w:rPr>
        <w:t xml:space="preserve">Target 17.1 </w:t>
      </w:r>
      <w:r w:rsidR="00BE1F89" w:rsidRPr="003E2544">
        <w:rPr>
          <w:rFonts w:ascii="Verdana" w:eastAsia="Calibri" w:hAnsi="Verdana" w:cs="Times New Roman"/>
          <w:i/>
          <w:iCs/>
          <w:sz w:val="20"/>
          <w:szCs w:val="20"/>
        </w:rPr>
        <w:t>Strengthen domestic resource mobilization</w:t>
      </w:r>
      <w:r w:rsidRPr="003E2544">
        <w:rPr>
          <w:rFonts w:ascii="Verdana" w:hAnsi="Verdana"/>
          <w:sz w:val="20"/>
          <w:szCs w:val="20"/>
        </w:rPr>
        <w:t>. It therefore tackles funding challenges in a more holistic manner than previous silo-based interventions. Moreover, the JP will enhance coordination between development partners and the GRSS and capture the support provided by development partners in the NDS, INFF, SDS</w:t>
      </w:r>
      <w:r w:rsidR="00371438">
        <w:rPr>
          <w:rFonts w:ascii="Verdana" w:hAnsi="Verdana"/>
          <w:sz w:val="20"/>
          <w:szCs w:val="20"/>
        </w:rPr>
        <w:t>s</w:t>
      </w:r>
      <w:r w:rsidRPr="003E2544">
        <w:rPr>
          <w:rFonts w:ascii="Verdana" w:hAnsi="Verdana"/>
          <w:sz w:val="20"/>
          <w:szCs w:val="20"/>
        </w:rPr>
        <w:t xml:space="preserve"> and </w:t>
      </w:r>
      <w:r w:rsidR="00A33CD9">
        <w:rPr>
          <w:rFonts w:ascii="Verdana" w:hAnsi="Verdana"/>
          <w:sz w:val="20"/>
          <w:szCs w:val="20"/>
        </w:rPr>
        <w:t>S</w:t>
      </w:r>
      <w:r w:rsidR="00A33CD9" w:rsidRPr="003E2544">
        <w:rPr>
          <w:rFonts w:ascii="Verdana" w:hAnsi="Verdana"/>
          <w:sz w:val="20"/>
          <w:szCs w:val="20"/>
        </w:rPr>
        <w:t xml:space="preserve">ector </w:t>
      </w:r>
      <w:r w:rsidR="00A33CD9">
        <w:rPr>
          <w:rFonts w:ascii="Verdana" w:hAnsi="Verdana"/>
          <w:sz w:val="20"/>
          <w:szCs w:val="20"/>
        </w:rPr>
        <w:t>P</w:t>
      </w:r>
      <w:r w:rsidR="00A33CD9" w:rsidRPr="003E2544">
        <w:rPr>
          <w:rFonts w:ascii="Verdana" w:hAnsi="Verdana"/>
          <w:sz w:val="20"/>
          <w:szCs w:val="20"/>
        </w:rPr>
        <w:t>lans</w:t>
      </w:r>
      <w:r w:rsidR="04BE8316" w:rsidRPr="003E2544">
        <w:rPr>
          <w:rFonts w:ascii="Verdana" w:hAnsi="Verdana"/>
          <w:sz w:val="20"/>
          <w:szCs w:val="20"/>
        </w:rPr>
        <w:t>,</w:t>
      </w:r>
      <w:r w:rsidRPr="003E2544">
        <w:rPr>
          <w:rFonts w:ascii="Verdana" w:hAnsi="Verdana"/>
          <w:sz w:val="20"/>
          <w:szCs w:val="20"/>
        </w:rPr>
        <w:t xml:space="preserve"> which has not been included to date.</w:t>
      </w:r>
      <w:r w:rsidR="00BE1F89" w:rsidRPr="003E2544">
        <w:rPr>
          <w:rFonts w:ascii="Verdana" w:hAnsi="Verdana"/>
          <w:sz w:val="20"/>
          <w:szCs w:val="20"/>
        </w:rPr>
        <w:t xml:space="preserve"> This will contribute to SDG 17 especially Target </w:t>
      </w:r>
      <w:r w:rsidR="00BE1F89" w:rsidRPr="003E2544">
        <w:rPr>
          <w:rFonts w:ascii="Verdana" w:hAnsi="Verdana"/>
          <w:i/>
          <w:iCs/>
          <w:sz w:val="20"/>
          <w:szCs w:val="20"/>
        </w:rPr>
        <w:t xml:space="preserve">17.3 </w:t>
      </w:r>
      <w:r w:rsidR="00BE1F89" w:rsidRPr="003E2544">
        <w:rPr>
          <w:rFonts w:ascii="Verdana" w:eastAsia="Calibri" w:hAnsi="Verdana" w:cs="Times New Roman"/>
          <w:i/>
          <w:iCs/>
          <w:sz w:val="20"/>
          <w:szCs w:val="20"/>
        </w:rPr>
        <w:t>Mobilize additional financial resources.</w:t>
      </w:r>
      <w:r w:rsidR="00BE1F89" w:rsidRPr="003E2544">
        <w:rPr>
          <w:rFonts w:ascii="Verdana" w:eastAsia="Calibri" w:hAnsi="Verdana" w:cs="Times New Roman"/>
          <w:i/>
          <w:sz w:val="20"/>
          <w:szCs w:val="20"/>
        </w:rPr>
        <w:t xml:space="preserve"> </w:t>
      </w:r>
    </w:p>
    <w:p w14:paraId="5234E917" w14:textId="77777777" w:rsidR="001A0D2B" w:rsidRPr="005335F6" w:rsidRDefault="001A0D2B" w:rsidP="00245274">
      <w:pPr>
        <w:spacing w:line="240" w:lineRule="auto"/>
        <w:jc w:val="both"/>
        <w:rPr>
          <w:rFonts w:ascii="Verdana" w:eastAsia="Calibri" w:hAnsi="Verdana" w:cs="Times New Roman"/>
          <w:iCs/>
          <w:sz w:val="20"/>
          <w:szCs w:val="20"/>
        </w:rPr>
      </w:pPr>
    </w:p>
    <w:p w14:paraId="5282FBF3" w14:textId="5228DF09" w:rsidR="538994BF" w:rsidRPr="003E2544" w:rsidRDefault="001A0D2B" w:rsidP="00245274">
      <w:pPr>
        <w:spacing w:line="240" w:lineRule="auto"/>
        <w:jc w:val="both"/>
        <w:rPr>
          <w:rFonts w:ascii="Verdana" w:eastAsia="Verdana" w:hAnsi="Verdana" w:cs="Verdana"/>
          <w:sz w:val="20"/>
          <w:szCs w:val="20"/>
        </w:rPr>
      </w:pPr>
      <w:r w:rsidRPr="005335F6">
        <w:rPr>
          <w:rFonts w:ascii="Verdana" w:eastAsia="Calibri" w:hAnsi="Verdana" w:cs="Times New Roman"/>
          <w:iCs/>
          <w:sz w:val="20"/>
          <w:szCs w:val="20"/>
        </w:rPr>
        <w:t>The JP</w:t>
      </w:r>
      <w:r>
        <w:rPr>
          <w:rFonts w:ascii="Verdana" w:eastAsia="Calibri" w:hAnsi="Verdana" w:cs="Times New Roman"/>
          <w:i/>
          <w:sz w:val="20"/>
          <w:szCs w:val="20"/>
        </w:rPr>
        <w:t xml:space="preserve"> </w:t>
      </w:r>
      <w:r w:rsidR="05A2984A" w:rsidRPr="003E2544">
        <w:rPr>
          <w:rFonts w:ascii="Verdana" w:eastAsia="Verdana" w:hAnsi="Verdana" w:cs="Verdana"/>
          <w:sz w:val="20"/>
          <w:szCs w:val="20"/>
        </w:rPr>
        <w:t>also places greater emphasis on a human rights-based approach to sustainable development, as reiterated in “The Highest Aspiration: A Call to Action for Human Rights 2020” launched by the Secretary-General in February 2020</w:t>
      </w:r>
      <w:r w:rsidR="003C3D7C" w:rsidRPr="003E2544">
        <w:rPr>
          <w:rStyle w:val="FootnoteReference"/>
          <w:rFonts w:ascii="Verdana" w:eastAsia="Verdana" w:hAnsi="Verdana" w:cs="Verdana"/>
          <w:sz w:val="20"/>
          <w:szCs w:val="20"/>
        </w:rPr>
        <w:footnoteReference w:id="20"/>
      </w:r>
      <w:r w:rsidR="00BE1F89" w:rsidRPr="003E2544">
        <w:rPr>
          <w:rFonts w:ascii="Verdana" w:eastAsia="Verdana" w:hAnsi="Verdana" w:cs="Verdana"/>
          <w:sz w:val="20"/>
          <w:szCs w:val="20"/>
        </w:rPr>
        <w:t xml:space="preserve">. This will contribute to </w:t>
      </w:r>
      <w:r w:rsidR="00BE1F89" w:rsidRPr="003E2544">
        <w:rPr>
          <w:rFonts w:ascii="Verdana" w:hAnsi="Verdana"/>
          <w:sz w:val="20"/>
          <w:szCs w:val="20"/>
        </w:rPr>
        <w:t xml:space="preserve">SDG 10 by </w:t>
      </w:r>
      <w:r w:rsidR="00BE1F89" w:rsidRPr="003E2544">
        <w:rPr>
          <w:rFonts w:ascii="Verdana" w:eastAsia="Verdana" w:hAnsi="Verdana" w:cs="Verdana"/>
          <w:sz w:val="20"/>
          <w:szCs w:val="20"/>
        </w:rPr>
        <w:t>i</w:t>
      </w:r>
      <w:r w:rsidR="00BE1F89" w:rsidRPr="003E2544">
        <w:rPr>
          <w:rFonts w:ascii="Verdana" w:hAnsi="Verdana"/>
          <w:sz w:val="20"/>
          <w:szCs w:val="20"/>
        </w:rPr>
        <w:t xml:space="preserve">ncreasing budget allocations </w:t>
      </w:r>
      <w:r>
        <w:rPr>
          <w:rFonts w:ascii="Verdana" w:hAnsi="Verdana"/>
          <w:sz w:val="20"/>
          <w:szCs w:val="20"/>
        </w:rPr>
        <w:t>for</w:t>
      </w:r>
      <w:r w:rsidRPr="003E2544">
        <w:rPr>
          <w:rFonts w:ascii="Verdana" w:hAnsi="Verdana"/>
          <w:sz w:val="20"/>
          <w:szCs w:val="20"/>
        </w:rPr>
        <w:t xml:space="preserve"> </w:t>
      </w:r>
      <w:r w:rsidR="00BE1F89" w:rsidRPr="003E2544">
        <w:rPr>
          <w:rFonts w:ascii="Verdana" w:hAnsi="Verdana"/>
          <w:sz w:val="20"/>
          <w:szCs w:val="20"/>
        </w:rPr>
        <w:t xml:space="preserve">the most marginalized groups of society. </w:t>
      </w:r>
      <w:r w:rsidR="79DFFEB3" w:rsidRPr="003E2544">
        <w:rPr>
          <w:rFonts w:ascii="Verdana" w:eastAsia="Verdana" w:hAnsi="Verdana" w:cs="Verdana"/>
          <w:sz w:val="20"/>
          <w:szCs w:val="20"/>
        </w:rPr>
        <w:t xml:space="preserve">In accordance with this approach, </w:t>
      </w:r>
      <w:r w:rsidR="00033E62" w:rsidRPr="003E2544">
        <w:rPr>
          <w:rFonts w:ascii="Verdana" w:eastAsia="Verdana" w:hAnsi="Verdana" w:cs="Verdana"/>
          <w:sz w:val="20"/>
          <w:szCs w:val="20"/>
        </w:rPr>
        <w:t xml:space="preserve">the </w:t>
      </w:r>
      <w:r w:rsidR="79DFFEB3" w:rsidRPr="003E2544">
        <w:rPr>
          <w:rFonts w:ascii="Verdana" w:eastAsia="Verdana" w:hAnsi="Verdana" w:cs="Verdana"/>
          <w:sz w:val="20"/>
          <w:szCs w:val="20"/>
        </w:rPr>
        <w:t>GRSS will take greater ownership of its responsibility as the primary duty-bearer in providing essential services to the people of South Sudan through allocation of national revenue to the health, education and other human rights-related sectors.</w:t>
      </w:r>
      <w:r w:rsidR="009B3AA4" w:rsidRPr="003E2544">
        <w:rPr>
          <w:rFonts w:ascii="Verdana" w:eastAsia="Verdana" w:hAnsi="Verdana" w:cs="Verdana"/>
          <w:sz w:val="20"/>
          <w:szCs w:val="20"/>
        </w:rPr>
        <w:t xml:space="preserve"> </w:t>
      </w:r>
      <w:r w:rsidR="00C332D1" w:rsidRPr="003E2544">
        <w:rPr>
          <w:rFonts w:ascii="Verdana" w:eastAsia="Verdana" w:hAnsi="Verdana" w:cs="Verdana"/>
          <w:sz w:val="20"/>
          <w:szCs w:val="20"/>
        </w:rPr>
        <w:t>This</w:t>
      </w:r>
      <w:r w:rsidR="00BE1F89" w:rsidRPr="003E2544">
        <w:rPr>
          <w:rFonts w:ascii="Verdana" w:eastAsia="Verdana" w:hAnsi="Verdana" w:cs="Verdana"/>
          <w:sz w:val="20"/>
          <w:szCs w:val="20"/>
        </w:rPr>
        <w:t xml:space="preserve"> will </w:t>
      </w:r>
      <w:r w:rsidR="00C332D1" w:rsidRPr="003E2544">
        <w:rPr>
          <w:rFonts w:ascii="Verdana" w:hAnsi="Verdana"/>
          <w:sz w:val="20"/>
          <w:szCs w:val="20"/>
        </w:rPr>
        <w:t xml:space="preserve">enable a paradigm shift toward increased budget allocations to social services </w:t>
      </w:r>
      <w:r w:rsidR="00BE1F89" w:rsidRPr="003E2544">
        <w:rPr>
          <w:rFonts w:ascii="Verdana" w:hAnsi="Verdana"/>
          <w:sz w:val="20"/>
          <w:szCs w:val="20"/>
        </w:rPr>
        <w:t xml:space="preserve">which contributes to </w:t>
      </w:r>
      <w:r w:rsidR="00C332D1" w:rsidRPr="003E2544">
        <w:rPr>
          <w:rFonts w:ascii="Verdana" w:hAnsi="Verdana"/>
          <w:sz w:val="20"/>
          <w:szCs w:val="20"/>
        </w:rPr>
        <w:t>SDG</w:t>
      </w:r>
      <w:r>
        <w:rPr>
          <w:rFonts w:ascii="Verdana" w:hAnsi="Verdana"/>
          <w:sz w:val="20"/>
          <w:szCs w:val="20"/>
        </w:rPr>
        <w:t>s</w:t>
      </w:r>
      <w:r w:rsidR="00C332D1" w:rsidRPr="003E2544">
        <w:rPr>
          <w:rFonts w:ascii="Verdana" w:hAnsi="Verdana"/>
          <w:sz w:val="20"/>
          <w:szCs w:val="20"/>
        </w:rPr>
        <w:t xml:space="preserve"> 1, 3, 4, 5, </w:t>
      </w:r>
      <w:r w:rsidR="00BE1F89" w:rsidRPr="003E2544">
        <w:rPr>
          <w:rFonts w:ascii="Verdana" w:hAnsi="Verdana"/>
          <w:sz w:val="20"/>
          <w:szCs w:val="20"/>
        </w:rPr>
        <w:t xml:space="preserve">and </w:t>
      </w:r>
      <w:r w:rsidR="00C332D1" w:rsidRPr="003E2544">
        <w:rPr>
          <w:rFonts w:ascii="Verdana" w:hAnsi="Verdana"/>
          <w:sz w:val="20"/>
          <w:szCs w:val="20"/>
        </w:rPr>
        <w:t>6</w:t>
      </w:r>
      <w:r w:rsidR="00BE1F89" w:rsidRPr="003E2544">
        <w:rPr>
          <w:rFonts w:ascii="Verdana" w:hAnsi="Verdana"/>
          <w:sz w:val="20"/>
          <w:szCs w:val="20"/>
        </w:rPr>
        <w:t>.</w:t>
      </w:r>
    </w:p>
    <w:p w14:paraId="5E78531D" w14:textId="77777777" w:rsidR="00A537AA" w:rsidRPr="003E2544" w:rsidRDefault="00A537AA" w:rsidP="00245274">
      <w:pPr>
        <w:spacing w:line="240" w:lineRule="auto"/>
        <w:jc w:val="both"/>
        <w:rPr>
          <w:rFonts w:ascii="Verdana" w:hAnsi="Verdana"/>
        </w:rPr>
      </w:pPr>
    </w:p>
    <w:p w14:paraId="54F8FFC5" w14:textId="290AC47C" w:rsidR="001019EA" w:rsidRPr="003E2544" w:rsidRDefault="00D8148D" w:rsidP="00245274">
      <w:pPr>
        <w:spacing w:line="240" w:lineRule="auto"/>
        <w:jc w:val="both"/>
        <w:rPr>
          <w:rFonts w:ascii="Verdana" w:hAnsi="Verdana"/>
          <w:sz w:val="20"/>
          <w:szCs w:val="20"/>
        </w:rPr>
      </w:pPr>
      <w:r w:rsidRPr="003E2544">
        <w:rPr>
          <w:rFonts w:ascii="Verdana" w:hAnsi="Verdana"/>
          <w:sz w:val="20"/>
          <w:szCs w:val="20"/>
        </w:rPr>
        <w:t>Most NDS 201</w:t>
      </w:r>
      <w:r w:rsidR="00A900E7">
        <w:rPr>
          <w:rFonts w:ascii="Verdana" w:hAnsi="Verdana"/>
          <w:sz w:val="20"/>
          <w:szCs w:val="20"/>
        </w:rPr>
        <w:t>8</w:t>
      </w:r>
      <w:r w:rsidR="001A0D2B">
        <w:rPr>
          <w:rFonts w:ascii="Verdana" w:hAnsi="Verdana"/>
          <w:sz w:val="20"/>
          <w:szCs w:val="20"/>
        </w:rPr>
        <w:t>–</w:t>
      </w:r>
      <w:r w:rsidRPr="003E2544">
        <w:rPr>
          <w:rFonts w:ascii="Verdana" w:hAnsi="Verdana"/>
          <w:sz w:val="20"/>
          <w:szCs w:val="20"/>
        </w:rPr>
        <w:t>202</w:t>
      </w:r>
      <w:r w:rsidR="009C097B" w:rsidRPr="003E2544">
        <w:rPr>
          <w:rFonts w:ascii="Verdana" w:hAnsi="Verdana"/>
          <w:sz w:val="20"/>
          <w:szCs w:val="20"/>
        </w:rPr>
        <w:t>1</w:t>
      </w:r>
      <w:r w:rsidRPr="003E2544">
        <w:rPr>
          <w:rFonts w:ascii="Verdana" w:hAnsi="Verdana"/>
          <w:sz w:val="20"/>
          <w:szCs w:val="20"/>
        </w:rPr>
        <w:t xml:space="preserve"> goals and target</w:t>
      </w:r>
      <w:r w:rsidR="003D51F0" w:rsidRPr="003E2544">
        <w:rPr>
          <w:rFonts w:ascii="Verdana" w:hAnsi="Verdana"/>
          <w:sz w:val="20"/>
          <w:szCs w:val="20"/>
        </w:rPr>
        <w:t>s</w:t>
      </w:r>
      <w:r w:rsidRPr="003E2544">
        <w:rPr>
          <w:rFonts w:ascii="Verdana" w:hAnsi="Verdana"/>
          <w:sz w:val="20"/>
          <w:szCs w:val="20"/>
        </w:rPr>
        <w:t xml:space="preserve"> were not achieved</w:t>
      </w:r>
      <w:r w:rsidR="00F377B3" w:rsidRPr="003E2544">
        <w:rPr>
          <w:rFonts w:ascii="Verdana" w:hAnsi="Verdana"/>
          <w:sz w:val="20"/>
          <w:szCs w:val="20"/>
        </w:rPr>
        <w:t xml:space="preserve"> </w:t>
      </w:r>
      <w:r w:rsidRPr="003E2544">
        <w:rPr>
          <w:rFonts w:ascii="Verdana" w:hAnsi="Verdana"/>
          <w:sz w:val="20"/>
          <w:szCs w:val="20"/>
        </w:rPr>
        <w:t xml:space="preserve">due to the civil war and economic and governance crisis in the country. </w:t>
      </w:r>
      <w:r w:rsidR="004F4441" w:rsidRPr="003E2544">
        <w:rPr>
          <w:rFonts w:ascii="Verdana" w:hAnsi="Verdana"/>
          <w:sz w:val="20"/>
          <w:szCs w:val="20"/>
        </w:rPr>
        <w:t>Through complementary support from the UN, t</w:t>
      </w:r>
      <w:r w:rsidRPr="003E2544">
        <w:rPr>
          <w:rFonts w:ascii="Verdana" w:hAnsi="Verdana"/>
          <w:sz w:val="20"/>
          <w:szCs w:val="20"/>
        </w:rPr>
        <w:t xml:space="preserve">he </w:t>
      </w:r>
      <w:r w:rsidR="004F4441" w:rsidRPr="003E2544">
        <w:rPr>
          <w:rFonts w:ascii="Verdana" w:hAnsi="Verdana"/>
          <w:sz w:val="20"/>
          <w:szCs w:val="20"/>
        </w:rPr>
        <w:t xml:space="preserve">upcoming </w:t>
      </w:r>
      <w:r w:rsidRPr="003E2544">
        <w:rPr>
          <w:rFonts w:ascii="Verdana" w:hAnsi="Verdana"/>
          <w:sz w:val="20"/>
          <w:szCs w:val="20"/>
        </w:rPr>
        <w:t>NDS 20</w:t>
      </w:r>
      <w:r w:rsidR="00226BF1" w:rsidRPr="003E2544">
        <w:rPr>
          <w:rFonts w:ascii="Verdana" w:hAnsi="Verdana"/>
          <w:sz w:val="20"/>
          <w:szCs w:val="20"/>
        </w:rPr>
        <w:t>2</w:t>
      </w:r>
      <w:r w:rsidR="006326FD" w:rsidRPr="003E2544">
        <w:rPr>
          <w:rFonts w:ascii="Verdana" w:hAnsi="Verdana"/>
          <w:sz w:val="20"/>
          <w:szCs w:val="20"/>
        </w:rPr>
        <w:t>2</w:t>
      </w:r>
      <w:r w:rsidR="001A0D2B">
        <w:rPr>
          <w:rFonts w:ascii="Verdana" w:hAnsi="Verdana"/>
          <w:sz w:val="20"/>
          <w:szCs w:val="20"/>
        </w:rPr>
        <w:t>–</w:t>
      </w:r>
      <w:r w:rsidRPr="003E2544">
        <w:rPr>
          <w:rFonts w:ascii="Verdana" w:hAnsi="Verdana"/>
          <w:sz w:val="20"/>
          <w:szCs w:val="20"/>
        </w:rPr>
        <w:t>202</w:t>
      </w:r>
      <w:r w:rsidR="006326FD" w:rsidRPr="003E2544">
        <w:rPr>
          <w:rFonts w:ascii="Verdana" w:hAnsi="Verdana"/>
          <w:sz w:val="20"/>
          <w:szCs w:val="20"/>
        </w:rPr>
        <w:t>4</w:t>
      </w:r>
      <w:r w:rsidRPr="003E2544">
        <w:rPr>
          <w:rFonts w:ascii="Verdana" w:hAnsi="Verdana"/>
          <w:sz w:val="20"/>
          <w:szCs w:val="20"/>
        </w:rPr>
        <w:t xml:space="preserve"> </w:t>
      </w:r>
      <w:r w:rsidR="00FF0B9D" w:rsidRPr="003E2544">
        <w:rPr>
          <w:rFonts w:ascii="Verdana" w:hAnsi="Verdana"/>
          <w:sz w:val="20"/>
          <w:szCs w:val="20"/>
        </w:rPr>
        <w:t xml:space="preserve">will </w:t>
      </w:r>
      <w:r w:rsidRPr="003E2544">
        <w:rPr>
          <w:rFonts w:ascii="Verdana" w:hAnsi="Verdana"/>
          <w:sz w:val="20"/>
          <w:szCs w:val="20"/>
        </w:rPr>
        <w:t>allow all stakeholders to contribute to the re</w:t>
      </w:r>
      <w:r w:rsidR="00A537AA" w:rsidRPr="003E2544">
        <w:rPr>
          <w:rFonts w:ascii="Verdana" w:hAnsi="Verdana"/>
          <w:sz w:val="20"/>
          <w:szCs w:val="20"/>
        </w:rPr>
        <w:t xml:space="preserve">development </w:t>
      </w:r>
      <w:r w:rsidRPr="003E2544">
        <w:rPr>
          <w:rFonts w:ascii="Verdana" w:hAnsi="Verdana"/>
          <w:sz w:val="20"/>
          <w:szCs w:val="20"/>
        </w:rPr>
        <w:t xml:space="preserve">of </w:t>
      </w:r>
      <w:r w:rsidR="00F377B3" w:rsidRPr="003E2544">
        <w:rPr>
          <w:rFonts w:ascii="Verdana" w:hAnsi="Verdana"/>
          <w:sz w:val="20"/>
          <w:szCs w:val="20"/>
        </w:rPr>
        <w:t>South Sudan</w:t>
      </w:r>
      <w:r w:rsidRPr="003E2544">
        <w:rPr>
          <w:rFonts w:ascii="Verdana" w:hAnsi="Verdana"/>
          <w:sz w:val="20"/>
          <w:szCs w:val="20"/>
        </w:rPr>
        <w:t xml:space="preserve">, extend existing funding mechanisms and facilitate new </w:t>
      </w:r>
      <w:r w:rsidR="00A537AA" w:rsidRPr="003E2544">
        <w:rPr>
          <w:rFonts w:ascii="Verdana" w:hAnsi="Verdana"/>
          <w:sz w:val="20"/>
          <w:szCs w:val="20"/>
        </w:rPr>
        <w:t>funding mechanisms</w:t>
      </w:r>
      <w:r w:rsidR="001019EA" w:rsidRPr="003E2544">
        <w:rPr>
          <w:rFonts w:ascii="Verdana" w:hAnsi="Verdana"/>
          <w:sz w:val="20"/>
          <w:szCs w:val="20"/>
        </w:rPr>
        <w:t xml:space="preserve">, </w:t>
      </w:r>
      <w:r w:rsidR="00A537AA" w:rsidRPr="003E2544">
        <w:rPr>
          <w:rFonts w:ascii="Verdana" w:hAnsi="Verdana"/>
          <w:sz w:val="20"/>
          <w:szCs w:val="20"/>
        </w:rPr>
        <w:t>focused on</w:t>
      </w:r>
      <w:r w:rsidR="001019EA" w:rsidRPr="003E2544">
        <w:rPr>
          <w:rFonts w:ascii="Verdana" w:hAnsi="Verdana"/>
          <w:sz w:val="20"/>
          <w:szCs w:val="20"/>
        </w:rPr>
        <w:t xml:space="preserve"> SDG </w:t>
      </w:r>
      <w:r w:rsidRPr="003E2544">
        <w:rPr>
          <w:rFonts w:ascii="Verdana" w:hAnsi="Verdana"/>
          <w:sz w:val="20"/>
          <w:szCs w:val="20"/>
        </w:rPr>
        <w:t>delivery by</w:t>
      </w:r>
      <w:r w:rsidR="00F377B3" w:rsidRPr="003E2544">
        <w:rPr>
          <w:rFonts w:ascii="Verdana" w:hAnsi="Verdana"/>
          <w:sz w:val="20"/>
          <w:szCs w:val="20"/>
        </w:rPr>
        <w:t>:</w:t>
      </w:r>
      <w:r w:rsidRPr="003E2544">
        <w:rPr>
          <w:rFonts w:ascii="Verdana" w:hAnsi="Verdana"/>
          <w:sz w:val="20"/>
          <w:szCs w:val="20"/>
        </w:rPr>
        <w:t xml:space="preserve"> (</w:t>
      </w:r>
      <w:r w:rsidR="001019EA" w:rsidRPr="003E2544">
        <w:rPr>
          <w:rFonts w:ascii="Verdana" w:hAnsi="Verdana"/>
          <w:sz w:val="20"/>
          <w:szCs w:val="20"/>
        </w:rPr>
        <w:t xml:space="preserve">1) aligning </w:t>
      </w:r>
      <w:r w:rsidR="00F377B3" w:rsidRPr="003E2544">
        <w:rPr>
          <w:rFonts w:ascii="Verdana" w:hAnsi="Verdana"/>
          <w:sz w:val="20"/>
          <w:szCs w:val="20"/>
        </w:rPr>
        <w:t xml:space="preserve">the </w:t>
      </w:r>
      <w:r w:rsidR="001019EA" w:rsidRPr="003E2544">
        <w:rPr>
          <w:rFonts w:ascii="Verdana" w:hAnsi="Verdana"/>
          <w:sz w:val="20"/>
          <w:szCs w:val="20"/>
        </w:rPr>
        <w:t>NDS to the SDG</w:t>
      </w:r>
      <w:r w:rsidR="001D7BC7" w:rsidRPr="003E2544">
        <w:rPr>
          <w:rFonts w:ascii="Verdana" w:hAnsi="Verdana"/>
          <w:sz w:val="20"/>
          <w:szCs w:val="20"/>
        </w:rPr>
        <w:t>s</w:t>
      </w:r>
      <w:r w:rsidR="00482FF7" w:rsidRPr="003E2544">
        <w:rPr>
          <w:rFonts w:ascii="Verdana" w:hAnsi="Verdana"/>
          <w:sz w:val="20"/>
          <w:szCs w:val="20"/>
        </w:rPr>
        <w:t xml:space="preserve"> as well as</w:t>
      </w:r>
      <w:r w:rsidR="001D7BC7" w:rsidRPr="003E2544">
        <w:rPr>
          <w:rFonts w:ascii="Verdana" w:hAnsi="Verdana"/>
          <w:sz w:val="20"/>
          <w:szCs w:val="20"/>
        </w:rPr>
        <w:t xml:space="preserve"> develop</w:t>
      </w:r>
      <w:r w:rsidR="001019EA" w:rsidRPr="003E2544">
        <w:rPr>
          <w:rFonts w:ascii="Verdana" w:hAnsi="Verdana"/>
          <w:sz w:val="20"/>
          <w:szCs w:val="20"/>
        </w:rPr>
        <w:t xml:space="preserve"> </w:t>
      </w:r>
      <w:r w:rsidR="00FF0B9D" w:rsidRPr="003E2544">
        <w:rPr>
          <w:rFonts w:ascii="Verdana" w:hAnsi="Verdana"/>
          <w:sz w:val="20"/>
          <w:szCs w:val="20"/>
        </w:rPr>
        <w:t xml:space="preserve">an </w:t>
      </w:r>
      <w:r w:rsidR="001019EA" w:rsidRPr="003E2544">
        <w:rPr>
          <w:rFonts w:ascii="Verdana" w:hAnsi="Verdana"/>
          <w:sz w:val="20"/>
          <w:szCs w:val="20"/>
        </w:rPr>
        <w:t>INFF inclusive of donors, IFIs, UN agencies, NGOs and the private sector. (2) Investing in evidence-based decision making</w:t>
      </w:r>
      <w:r w:rsidR="00226BF1" w:rsidRPr="003E2544">
        <w:rPr>
          <w:rFonts w:ascii="Verdana" w:hAnsi="Verdana"/>
          <w:sz w:val="20"/>
          <w:szCs w:val="20"/>
        </w:rPr>
        <w:t xml:space="preserve"> and</w:t>
      </w:r>
      <w:r w:rsidR="001019EA" w:rsidRPr="003E2544">
        <w:rPr>
          <w:rFonts w:ascii="Verdana" w:hAnsi="Verdana"/>
          <w:sz w:val="20"/>
          <w:szCs w:val="20"/>
        </w:rPr>
        <w:t xml:space="preserve"> increasing PFM transparency</w:t>
      </w:r>
      <w:r w:rsidR="00F377B3" w:rsidRPr="003E2544">
        <w:rPr>
          <w:rFonts w:ascii="Verdana" w:hAnsi="Verdana"/>
          <w:sz w:val="20"/>
          <w:szCs w:val="20"/>
        </w:rPr>
        <w:t xml:space="preserve">; </w:t>
      </w:r>
      <w:r w:rsidR="001019EA" w:rsidRPr="003E2544">
        <w:rPr>
          <w:rFonts w:ascii="Verdana" w:hAnsi="Verdana"/>
          <w:sz w:val="20"/>
          <w:szCs w:val="20"/>
        </w:rPr>
        <w:t xml:space="preserve">and (3) Supporting </w:t>
      </w:r>
      <w:r w:rsidR="009B5B47">
        <w:rPr>
          <w:rFonts w:ascii="Verdana" w:hAnsi="Verdana"/>
          <w:sz w:val="20"/>
          <w:szCs w:val="20"/>
        </w:rPr>
        <w:t>subnational</w:t>
      </w:r>
      <w:r w:rsidR="001019EA" w:rsidRPr="003E2544">
        <w:rPr>
          <w:rFonts w:ascii="Verdana" w:hAnsi="Verdana"/>
          <w:sz w:val="20"/>
          <w:szCs w:val="20"/>
        </w:rPr>
        <w:t xml:space="preserve"> MDAs to develop, finance and implement NDS</w:t>
      </w:r>
      <w:r w:rsidR="001A0D2B">
        <w:rPr>
          <w:rFonts w:ascii="Verdana" w:hAnsi="Verdana"/>
          <w:sz w:val="20"/>
          <w:szCs w:val="20"/>
        </w:rPr>
        <w:t>-</w:t>
      </w:r>
      <w:r w:rsidR="001019EA" w:rsidRPr="003E2544">
        <w:rPr>
          <w:rFonts w:ascii="Verdana" w:hAnsi="Verdana"/>
          <w:sz w:val="20"/>
          <w:szCs w:val="20"/>
        </w:rPr>
        <w:t xml:space="preserve"> and SDG</w:t>
      </w:r>
      <w:r w:rsidR="001A0D2B">
        <w:rPr>
          <w:rFonts w:ascii="Verdana" w:hAnsi="Verdana"/>
          <w:sz w:val="20"/>
          <w:szCs w:val="20"/>
        </w:rPr>
        <w:t>-</w:t>
      </w:r>
      <w:r w:rsidR="001019EA" w:rsidRPr="003E2544">
        <w:rPr>
          <w:rFonts w:ascii="Verdana" w:hAnsi="Verdana"/>
          <w:sz w:val="20"/>
          <w:szCs w:val="20"/>
        </w:rPr>
        <w:t xml:space="preserve">aligned </w:t>
      </w:r>
      <w:r w:rsidR="00F20405" w:rsidRPr="003E2544">
        <w:rPr>
          <w:rFonts w:ascii="Verdana" w:hAnsi="Verdana"/>
          <w:sz w:val="20"/>
          <w:szCs w:val="20"/>
        </w:rPr>
        <w:t>plans and strategies.</w:t>
      </w:r>
      <w:r w:rsidR="001019EA" w:rsidRPr="003E2544">
        <w:rPr>
          <w:rFonts w:ascii="Verdana" w:hAnsi="Verdana"/>
          <w:sz w:val="20"/>
          <w:szCs w:val="20"/>
        </w:rPr>
        <w:t xml:space="preserve"> Most importantly, the JP will invest 34% </w:t>
      </w:r>
      <w:r w:rsidR="00226BF1" w:rsidRPr="003E2544">
        <w:rPr>
          <w:rFonts w:ascii="Verdana" w:hAnsi="Verdana"/>
          <w:sz w:val="20"/>
          <w:szCs w:val="20"/>
        </w:rPr>
        <w:t xml:space="preserve">of the total Joint SDG </w:t>
      </w:r>
      <w:r w:rsidR="00A33CD9">
        <w:rPr>
          <w:rFonts w:ascii="Verdana" w:hAnsi="Verdana"/>
          <w:sz w:val="20"/>
          <w:szCs w:val="20"/>
        </w:rPr>
        <w:t>F</w:t>
      </w:r>
      <w:r w:rsidR="00226BF1" w:rsidRPr="003E2544">
        <w:rPr>
          <w:rFonts w:ascii="Verdana" w:hAnsi="Verdana"/>
          <w:sz w:val="20"/>
          <w:szCs w:val="20"/>
        </w:rPr>
        <w:t>und budget</w:t>
      </w:r>
      <w:r w:rsidR="001019EA" w:rsidRPr="003E2544">
        <w:rPr>
          <w:rFonts w:ascii="Verdana" w:hAnsi="Verdana"/>
          <w:sz w:val="20"/>
          <w:szCs w:val="20"/>
        </w:rPr>
        <w:t xml:space="preserve"> </w:t>
      </w:r>
      <w:r w:rsidR="001A0D2B" w:rsidRPr="003E2544">
        <w:rPr>
          <w:rFonts w:ascii="Verdana" w:hAnsi="Verdana"/>
          <w:sz w:val="20"/>
          <w:szCs w:val="20"/>
        </w:rPr>
        <w:t xml:space="preserve">(USD 309,074) </w:t>
      </w:r>
      <w:r w:rsidR="001019EA" w:rsidRPr="003E2544">
        <w:rPr>
          <w:rFonts w:ascii="Verdana" w:hAnsi="Verdana"/>
          <w:sz w:val="20"/>
          <w:szCs w:val="20"/>
        </w:rPr>
        <w:t xml:space="preserve">in the capacity enhancement of PFM institutions to improve spending and mitigate misuse of funding. </w:t>
      </w:r>
    </w:p>
    <w:p w14:paraId="67701471" w14:textId="51CD2F0E" w:rsidR="003D51F0" w:rsidRPr="003E2544" w:rsidRDefault="003D51F0" w:rsidP="00245274">
      <w:pPr>
        <w:spacing w:line="240" w:lineRule="auto"/>
        <w:jc w:val="both"/>
        <w:rPr>
          <w:rFonts w:ascii="Verdana" w:hAnsi="Verdana"/>
          <w:sz w:val="20"/>
          <w:szCs w:val="20"/>
        </w:rPr>
      </w:pPr>
    </w:p>
    <w:p w14:paraId="47931D87" w14:textId="6C8F25E3" w:rsidR="003D51F0" w:rsidRPr="003E2544" w:rsidRDefault="003D51F0" w:rsidP="00245274">
      <w:pPr>
        <w:spacing w:line="240" w:lineRule="auto"/>
        <w:jc w:val="both"/>
        <w:rPr>
          <w:rFonts w:ascii="Verdana" w:hAnsi="Verdana"/>
          <w:sz w:val="20"/>
          <w:szCs w:val="20"/>
        </w:rPr>
      </w:pPr>
      <w:r w:rsidRPr="003E2544">
        <w:rPr>
          <w:rFonts w:ascii="Verdana" w:hAnsi="Verdana"/>
          <w:sz w:val="20"/>
          <w:szCs w:val="20"/>
        </w:rPr>
        <w:t xml:space="preserve">Improving </w:t>
      </w:r>
      <w:r w:rsidR="63346AA7" w:rsidRPr="003E2544">
        <w:rPr>
          <w:rFonts w:ascii="Verdana" w:hAnsi="Verdana"/>
          <w:sz w:val="20"/>
          <w:szCs w:val="20"/>
        </w:rPr>
        <w:t xml:space="preserve">domestic </w:t>
      </w:r>
      <w:r w:rsidRPr="003E2544">
        <w:rPr>
          <w:rFonts w:ascii="Verdana" w:hAnsi="Verdana"/>
          <w:sz w:val="20"/>
          <w:szCs w:val="20"/>
        </w:rPr>
        <w:t>revenue collection is essential to t</w:t>
      </w:r>
      <w:r w:rsidR="00F377B3" w:rsidRPr="003E2544">
        <w:rPr>
          <w:rFonts w:ascii="Verdana" w:hAnsi="Verdana"/>
          <w:sz w:val="20"/>
          <w:szCs w:val="20"/>
        </w:rPr>
        <w:t>he</w:t>
      </w:r>
      <w:r w:rsidRPr="003E2544">
        <w:rPr>
          <w:rFonts w:ascii="Verdana" w:hAnsi="Verdana"/>
          <w:sz w:val="20"/>
          <w:szCs w:val="20"/>
        </w:rPr>
        <w:t xml:space="preserve"> </w:t>
      </w:r>
      <w:r w:rsidR="00F377B3" w:rsidRPr="003E2544">
        <w:rPr>
          <w:rFonts w:ascii="Verdana" w:hAnsi="Verdana"/>
          <w:sz w:val="20"/>
          <w:szCs w:val="20"/>
        </w:rPr>
        <w:t>sustainable</w:t>
      </w:r>
      <w:r w:rsidRPr="003E2544">
        <w:rPr>
          <w:rFonts w:ascii="Verdana" w:hAnsi="Verdana"/>
          <w:sz w:val="20"/>
          <w:szCs w:val="20"/>
        </w:rPr>
        <w:t xml:space="preserve"> development of South Sudan. The country will be dependent on donor contributions for an extended period of time as the </w:t>
      </w:r>
      <w:r w:rsidR="13A161E2" w:rsidRPr="003E2544">
        <w:rPr>
          <w:rFonts w:ascii="Verdana" w:hAnsi="Verdana"/>
          <w:sz w:val="20"/>
          <w:szCs w:val="20"/>
        </w:rPr>
        <w:t xml:space="preserve">potential </w:t>
      </w:r>
      <w:r w:rsidRPr="003E2544">
        <w:rPr>
          <w:rFonts w:ascii="Verdana" w:hAnsi="Verdana"/>
          <w:sz w:val="20"/>
          <w:szCs w:val="20"/>
        </w:rPr>
        <w:t xml:space="preserve">of increasing oil revenue (which comprises 90% of government revenue) </w:t>
      </w:r>
      <w:r w:rsidR="00F20405" w:rsidRPr="003E2544">
        <w:rPr>
          <w:rFonts w:ascii="Verdana" w:hAnsi="Verdana"/>
          <w:sz w:val="20"/>
          <w:szCs w:val="20"/>
        </w:rPr>
        <w:t>will be slowed by</w:t>
      </w:r>
      <w:r w:rsidRPr="003E2544">
        <w:rPr>
          <w:rFonts w:ascii="Verdana" w:hAnsi="Verdana"/>
          <w:sz w:val="20"/>
          <w:szCs w:val="20"/>
        </w:rPr>
        <w:t xml:space="preserve"> </w:t>
      </w:r>
      <w:r w:rsidR="00216AA6" w:rsidRPr="003E2544">
        <w:rPr>
          <w:rFonts w:ascii="Verdana" w:hAnsi="Verdana"/>
          <w:sz w:val="20"/>
          <w:szCs w:val="20"/>
        </w:rPr>
        <w:t xml:space="preserve">a range of factors, including </w:t>
      </w:r>
      <w:r w:rsidR="00F377B3" w:rsidRPr="003E2544">
        <w:rPr>
          <w:rFonts w:ascii="Verdana" w:hAnsi="Verdana"/>
          <w:sz w:val="20"/>
          <w:szCs w:val="20"/>
        </w:rPr>
        <w:t>outdated</w:t>
      </w:r>
      <w:r w:rsidRPr="003E2544">
        <w:rPr>
          <w:rFonts w:ascii="Verdana" w:hAnsi="Verdana"/>
          <w:sz w:val="20"/>
          <w:szCs w:val="20"/>
        </w:rPr>
        <w:t xml:space="preserve"> equipment, low levels of local technical capacity</w:t>
      </w:r>
      <w:r w:rsidR="00216AA6" w:rsidRPr="003E2544">
        <w:rPr>
          <w:rFonts w:ascii="Verdana" w:hAnsi="Verdana"/>
          <w:sz w:val="20"/>
          <w:szCs w:val="20"/>
        </w:rPr>
        <w:t>, volatility and competition in the global market</w:t>
      </w:r>
      <w:r w:rsidR="001A0D2B">
        <w:rPr>
          <w:rFonts w:ascii="Verdana" w:hAnsi="Verdana"/>
          <w:sz w:val="20"/>
          <w:szCs w:val="20"/>
        </w:rPr>
        <w:t>,</w:t>
      </w:r>
      <w:r w:rsidR="00216AA6" w:rsidRPr="003E2544">
        <w:rPr>
          <w:rFonts w:ascii="Verdana" w:hAnsi="Verdana"/>
          <w:sz w:val="20"/>
          <w:szCs w:val="20"/>
        </w:rPr>
        <w:t xml:space="preserve"> and the destruction of oil infrastructure during the civil war. The World Bank and oil rating agencies predict that crude oil demand will begin to peak in the next five</w:t>
      </w:r>
      <w:r w:rsidR="00C03223">
        <w:rPr>
          <w:rFonts w:ascii="Verdana" w:hAnsi="Verdana"/>
          <w:sz w:val="20"/>
          <w:szCs w:val="20"/>
        </w:rPr>
        <w:t xml:space="preserve"> to </w:t>
      </w:r>
      <w:r w:rsidR="00216AA6" w:rsidRPr="003E2544">
        <w:rPr>
          <w:rFonts w:ascii="Verdana" w:hAnsi="Verdana"/>
          <w:sz w:val="20"/>
          <w:szCs w:val="20"/>
        </w:rPr>
        <w:t>ten years and the price of oil will stabilize in the 70</w:t>
      </w:r>
      <w:r w:rsidR="77230D80" w:rsidRPr="003E2544">
        <w:rPr>
          <w:rFonts w:ascii="Verdana" w:hAnsi="Verdana"/>
          <w:sz w:val="20"/>
          <w:szCs w:val="20"/>
        </w:rPr>
        <w:t xml:space="preserve"> </w:t>
      </w:r>
      <w:r w:rsidR="00216AA6" w:rsidRPr="003E2544">
        <w:rPr>
          <w:rFonts w:ascii="Verdana" w:hAnsi="Verdana"/>
          <w:sz w:val="20"/>
          <w:szCs w:val="20"/>
        </w:rPr>
        <w:t>US</w:t>
      </w:r>
      <w:r w:rsidR="54B63946" w:rsidRPr="003E2544">
        <w:rPr>
          <w:rFonts w:ascii="Verdana" w:hAnsi="Verdana"/>
          <w:sz w:val="20"/>
          <w:szCs w:val="20"/>
        </w:rPr>
        <w:t>D</w:t>
      </w:r>
      <w:r w:rsidR="00216AA6" w:rsidRPr="003E2544">
        <w:rPr>
          <w:rFonts w:ascii="Verdana" w:hAnsi="Verdana"/>
          <w:sz w:val="20"/>
          <w:szCs w:val="20"/>
        </w:rPr>
        <w:t xml:space="preserve"> per barrel range. These forecasts pre-date the impact of the Corona</w:t>
      </w:r>
      <w:r w:rsidRPr="003E2544">
        <w:rPr>
          <w:rFonts w:ascii="Verdana" w:hAnsi="Verdana"/>
          <w:sz w:val="20"/>
          <w:szCs w:val="20"/>
        </w:rPr>
        <w:t xml:space="preserve"> </w:t>
      </w:r>
      <w:r w:rsidR="248D25C4" w:rsidRPr="003E2544">
        <w:rPr>
          <w:rFonts w:ascii="Verdana" w:hAnsi="Verdana"/>
          <w:sz w:val="20"/>
          <w:szCs w:val="20"/>
        </w:rPr>
        <w:t>v</w:t>
      </w:r>
      <w:r w:rsidR="00216AA6" w:rsidRPr="003E2544">
        <w:rPr>
          <w:rFonts w:ascii="Verdana" w:hAnsi="Verdana"/>
          <w:sz w:val="20"/>
          <w:szCs w:val="20"/>
        </w:rPr>
        <w:t xml:space="preserve">irus </w:t>
      </w:r>
      <w:r w:rsidR="39C8C6B2" w:rsidRPr="003E2544">
        <w:rPr>
          <w:rFonts w:ascii="Verdana" w:hAnsi="Verdana"/>
          <w:sz w:val="20"/>
          <w:szCs w:val="20"/>
        </w:rPr>
        <w:t xml:space="preserve">epidemic </w:t>
      </w:r>
      <w:r w:rsidR="00216AA6" w:rsidRPr="003E2544">
        <w:rPr>
          <w:rFonts w:ascii="Verdana" w:hAnsi="Verdana"/>
          <w:sz w:val="20"/>
          <w:szCs w:val="20"/>
        </w:rPr>
        <w:t xml:space="preserve">which has led to a large downward swing in the demand for oil.  </w:t>
      </w:r>
      <w:r w:rsidR="00F20405" w:rsidRPr="003E2544">
        <w:rPr>
          <w:rFonts w:ascii="Verdana" w:hAnsi="Verdana"/>
          <w:sz w:val="20"/>
          <w:szCs w:val="20"/>
        </w:rPr>
        <w:t>In addition, t</w:t>
      </w:r>
      <w:r w:rsidR="00F377B3" w:rsidRPr="003E2544">
        <w:rPr>
          <w:rFonts w:ascii="Verdana" w:hAnsi="Verdana"/>
          <w:sz w:val="20"/>
          <w:szCs w:val="20"/>
        </w:rPr>
        <w:t xml:space="preserve">he collection of </w:t>
      </w:r>
      <w:r w:rsidR="2A5737DC" w:rsidRPr="003E2544">
        <w:rPr>
          <w:rFonts w:ascii="Verdana" w:hAnsi="Verdana"/>
          <w:sz w:val="20"/>
          <w:szCs w:val="20"/>
        </w:rPr>
        <w:lastRenderedPageBreak/>
        <w:t xml:space="preserve">its </w:t>
      </w:r>
      <w:r w:rsidR="00F377B3" w:rsidRPr="003E2544">
        <w:rPr>
          <w:rFonts w:ascii="Verdana" w:hAnsi="Verdana"/>
          <w:sz w:val="20"/>
          <w:szCs w:val="20"/>
        </w:rPr>
        <w:t>own revenue is severely limited by high poverty levels, the disruption of livelihood</w:t>
      </w:r>
      <w:r w:rsidR="001502CC">
        <w:rPr>
          <w:rFonts w:ascii="Verdana" w:hAnsi="Verdana"/>
          <w:sz w:val="20"/>
          <w:szCs w:val="20"/>
        </w:rPr>
        <w:t>s</w:t>
      </w:r>
      <w:r w:rsidR="00F377B3" w:rsidRPr="003E2544">
        <w:rPr>
          <w:rFonts w:ascii="Verdana" w:hAnsi="Verdana"/>
          <w:sz w:val="20"/>
          <w:szCs w:val="20"/>
        </w:rPr>
        <w:t>, markets and subsistence agriculture</w:t>
      </w:r>
      <w:r w:rsidR="00A25F0B" w:rsidRPr="003E2544">
        <w:rPr>
          <w:rFonts w:ascii="Verdana" w:hAnsi="Verdana"/>
          <w:sz w:val="20"/>
          <w:szCs w:val="20"/>
        </w:rPr>
        <w:t>,</w:t>
      </w:r>
      <w:r w:rsidR="00F377B3" w:rsidRPr="003E2544">
        <w:rPr>
          <w:rFonts w:ascii="Verdana" w:hAnsi="Verdana"/>
          <w:sz w:val="20"/>
          <w:szCs w:val="20"/>
        </w:rPr>
        <w:t xml:space="preserve"> the </w:t>
      </w:r>
      <w:r w:rsidR="00A25F0B" w:rsidRPr="003E2544">
        <w:rPr>
          <w:rFonts w:ascii="Verdana" w:hAnsi="Verdana"/>
          <w:sz w:val="20"/>
          <w:szCs w:val="20"/>
        </w:rPr>
        <w:t>migration of citizens away from households and the lack of physical infrastructure</w:t>
      </w:r>
      <w:r w:rsidR="00F20405" w:rsidRPr="003E2544">
        <w:rPr>
          <w:rFonts w:ascii="Verdana" w:hAnsi="Verdana"/>
          <w:sz w:val="20"/>
          <w:szCs w:val="20"/>
        </w:rPr>
        <w:t>.</w:t>
      </w:r>
      <w:r w:rsidR="0067541E" w:rsidRPr="003E2544">
        <w:rPr>
          <w:rFonts w:ascii="Verdana" w:hAnsi="Verdana"/>
          <w:sz w:val="20"/>
          <w:szCs w:val="20"/>
        </w:rPr>
        <w:t xml:space="preserve"> </w:t>
      </w:r>
      <w:r w:rsidR="00216AA6" w:rsidRPr="003E2544">
        <w:rPr>
          <w:rFonts w:ascii="Verdana" w:hAnsi="Verdana"/>
          <w:sz w:val="20"/>
          <w:szCs w:val="20"/>
        </w:rPr>
        <w:t xml:space="preserve">South Sudan </w:t>
      </w:r>
      <w:r w:rsidR="00F377B3" w:rsidRPr="003E2544">
        <w:rPr>
          <w:rFonts w:ascii="Verdana" w:hAnsi="Verdana"/>
          <w:sz w:val="20"/>
          <w:szCs w:val="20"/>
        </w:rPr>
        <w:t>therefor</w:t>
      </w:r>
      <w:r w:rsidR="00A25F0B" w:rsidRPr="003E2544">
        <w:rPr>
          <w:rFonts w:ascii="Verdana" w:hAnsi="Verdana"/>
          <w:sz w:val="20"/>
          <w:szCs w:val="20"/>
        </w:rPr>
        <w:t>e</w:t>
      </w:r>
      <w:r w:rsidR="00F377B3" w:rsidRPr="003E2544">
        <w:rPr>
          <w:rFonts w:ascii="Verdana" w:hAnsi="Verdana"/>
          <w:sz w:val="20"/>
          <w:szCs w:val="20"/>
        </w:rPr>
        <w:t xml:space="preserve"> </w:t>
      </w:r>
      <w:r w:rsidR="00216AA6" w:rsidRPr="003E2544">
        <w:rPr>
          <w:rFonts w:ascii="Verdana" w:hAnsi="Verdana"/>
          <w:sz w:val="20"/>
          <w:szCs w:val="20"/>
        </w:rPr>
        <w:t xml:space="preserve">needs to rapidly increase its non-oil revenue. To do this </w:t>
      </w:r>
      <w:r w:rsidR="001502CC">
        <w:rPr>
          <w:rFonts w:ascii="Verdana" w:hAnsi="Verdana"/>
          <w:sz w:val="20"/>
          <w:szCs w:val="20"/>
        </w:rPr>
        <w:t>it</w:t>
      </w:r>
      <w:r w:rsidR="001502CC" w:rsidRPr="003E2544">
        <w:rPr>
          <w:rFonts w:ascii="Verdana" w:hAnsi="Verdana"/>
          <w:sz w:val="20"/>
          <w:szCs w:val="20"/>
        </w:rPr>
        <w:t xml:space="preserve"> </w:t>
      </w:r>
      <w:r w:rsidR="00216AA6" w:rsidRPr="003E2544">
        <w:rPr>
          <w:rFonts w:ascii="Verdana" w:hAnsi="Verdana"/>
          <w:sz w:val="20"/>
          <w:szCs w:val="20"/>
        </w:rPr>
        <w:t>need</w:t>
      </w:r>
      <w:r w:rsidR="001502CC">
        <w:rPr>
          <w:rFonts w:ascii="Verdana" w:hAnsi="Verdana"/>
          <w:sz w:val="20"/>
          <w:szCs w:val="20"/>
        </w:rPr>
        <w:t>s</w:t>
      </w:r>
      <w:r w:rsidR="00216AA6" w:rsidRPr="003E2544">
        <w:rPr>
          <w:rFonts w:ascii="Verdana" w:hAnsi="Verdana"/>
          <w:sz w:val="20"/>
          <w:szCs w:val="20"/>
        </w:rPr>
        <w:t xml:space="preserve"> to leverage FDI, primarily in banking, finance, telecommunications and construction</w:t>
      </w:r>
      <w:r w:rsidR="00F377B3" w:rsidRPr="003E2544">
        <w:rPr>
          <w:rFonts w:ascii="Verdana" w:hAnsi="Verdana"/>
          <w:sz w:val="20"/>
          <w:szCs w:val="20"/>
        </w:rPr>
        <w:t xml:space="preserve">. Investor confidence can only be built on strong, transparent state institutions, and this JP aims to kick-start the re-building </w:t>
      </w:r>
      <w:r w:rsidR="00EB49B9" w:rsidRPr="003E2544">
        <w:rPr>
          <w:rFonts w:ascii="Verdana" w:hAnsi="Verdana"/>
          <w:sz w:val="20"/>
          <w:szCs w:val="20"/>
        </w:rPr>
        <w:t>of planning</w:t>
      </w:r>
      <w:r w:rsidR="00F377B3" w:rsidRPr="003E2544">
        <w:rPr>
          <w:rFonts w:ascii="Verdana" w:hAnsi="Verdana"/>
          <w:sz w:val="20"/>
          <w:szCs w:val="20"/>
        </w:rPr>
        <w:t>, development, revenue mobilization and expenditure</w:t>
      </w:r>
      <w:r w:rsidR="001502CC">
        <w:rPr>
          <w:rFonts w:ascii="Verdana" w:hAnsi="Verdana"/>
          <w:sz w:val="20"/>
          <w:szCs w:val="20"/>
        </w:rPr>
        <w:t>,</w:t>
      </w:r>
      <w:r w:rsidR="00F377B3" w:rsidRPr="003E2544">
        <w:rPr>
          <w:rFonts w:ascii="Verdana" w:hAnsi="Verdana"/>
          <w:sz w:val="20"/>
          <w:szCs w:val="20"/>
        </w:rPr>
        <w:t xml:space="preserve"> and social sector delivery agencies.</w:t>
      </w:r>
    </w:p>
    <w:p w14:paraId="49108EA0" w14:textId="77777777" w:rsidR="001019EA" w:rsidRPr="003E2544" w:rsidRDefault="001019EA" w:rsidP="00245274">
      <w:pPr>
        <w:spacing w:line="240" w:lineRule="auto"/>
        <w:jc w:val="both"/>
        <w:rPr>
          <w:rFonts w:ascii="Verdana" w:hAnsi="Verdana"/>
          <w:sz w:val="20"/>
          <w:szCs w:val="20"/>
        </w:rPr>
      </w:pPr>
    </w:p>
    <w:p w14:paraId="18325305" w14:textId="5740E829" w:rsidR="001502CC" w:rsidRDefault="538994BF" w:rsidP="00245274">
      <w:pPr>
        <w:spacing w:line="240" w:lineRule="auto"/>
        <w:jc w:val="both"/>
        <w:rPr>
          <w:rFonts w:ascii="Verdana" w:hAnsi="Verdana"/>
          <w:sz w:val="20"/>
          <w:szCs w:val="20"/>
        </w:rPr>
      </w:pPr>
      <w:r w:rsidRPr="003E2544">
        <w:rPr>
          <w:rFonts w:ascii="Verdana" w:hAnsi="Verdana"/>
          <w:sz w:val="20"/>
          <w:szCs w:val="20"/>
        </w:rPr>
        <w:t xml:space="preserve">The added value of the UN </w:t>
      </w:r>
      <w:r w:rsidR="00C117D4">
        <w:rPr>
          <w:rFonts w:ascii="Verdana" w:hAnsi="Verdana"/>
          <w:sz w:val="20"/>
          <w:szCs w:val="20"/>
        </w:rPr>
        <w:t xml:space="preserve">and PUNOs </w:t>
      </w:r>
      <w:r w:rsidRPr="003E2544">
        <w:rPr>
          <w:rFonts w:ascii="Verdana" w:hAnsi="Verdana"/>
          <w:sz w:val="20"/>
          <w:szCs w:val="20"/>
        </w:rPr>
        <w:t xml:space="preserve">is </w:t>
      </w:r>
      <w:r w:rsidR="00C117D4">
        <w:rPr>
          <w:rFonts w:ascii="Verdana" w:hAnsi="Verdana"/>
          <w:sz w:val="20"/>
          <w:szCs w:val="20"/>
        </w:rPr>
        <w:t xml:space="preserve">their role as </w:t>
      </w:r>
      <w:r w:rsidRPr="003E2544">
        <w:rPr>
          <w:rFonts w:ascii="Verdana" w:hAnsi="Verdana"/>
          <w:sz w:val="20"/>
          <w:szCs w:val="20"/>
        </w:rPr>
        <w:t xml:space="preserve">trusted </w:t>
      </w:r>
      <w:r w:rsidR="00C117D4">
        <w:rPr>
          <w:rFonts w:ascii="Verdana" w:hAnsi="Verdana"/>
          <w:sz w:val="20"/>
          <w:szCs w:val="20"/>
        </w:rPr>
        <w:t xml:space="preserve">Government and stakeholder </w:t>
      </w:r>
      <w:r w:rsidRPr="003E2544">
        <w:rPr>
          <w:rFonts w:ascii="Verdana" w:hAnsi="Verdana"/>
          <w:sz w:val="20"/>
          <w:szCs w:val="20"/>
        </w:rPr>
        <w:t xml:space="preserve">partners, with a track record of delivery on thematic </w:t>
      </w:r>
      <w:r w:rsidR="5606FBBD" w:rsidRPr="003E2544">
        <w:rPr>
          <w:rFonts w:ascii="Verdana" w:hAnsi="Verdana"/>
          <w:sz w:val="20"/>
          <w:szCs w:val="20"/>
        </w:rPr>
        <w:t xml:space="preserve">human rights, </w:t>
      </w:r>
      <w:r w:rsidRPr="003E2544">
        <w:rPr>
          <w:rFonts w:ascii="Verdana" w:hAnsi="Verdana"/>
          <w:sz w:val="20"/>
          <w:szCs w:val="20"/>
        </w:rPr>
        <w:t>social sector and institutional programmes</w:t>
      </w:r>
      <w:r w:rsidR="00C117D4">
        <w:rPr>
          <w:rFonts w:ascii="Verdana" w:hAnsi="Verdana"/>
          <w:sz w:val="20"/>
          <w:szCs w:val="20"/>
        </w:rPr>
        <w:t xml:space="preserve"> – </w:t>
      </w:r>
      <w:r w:rsidRPr="003E2544">
        <w:rPr>
          <w:rFonts w:ascii="Verdana" w:hAnsi="Verdana"/>
          <w:sz w:val="20"/>
          <w:szCs w:val="20"/>
        </w:rPr>
        <w:t xml:space="preserve">including </w:t>
      </w:r>
      <w:r w:rsidR="759004FA" w:rsidRPr="003E2544">
        <w:rPr>
          <w:rFonts w:ascii="Verdana" w:hAnsi="Verdana"/>
          <w:sz w:val="20"/>
          <w:szCs w:val="20"/>
        </w:rPr>
        <w:t xml:space="preserve">during the crisis period, </w:t>
      </w:r>
      <w:r w:rsidRPr="003E2544">
        <w:rPr>
          <w:rFonts w:ascii="Verdana" w:hAnsi="Verdana"/>
          <w:sz w:val="20"/>
          <w:szCs w:val="20"/>
        </w:rPr>
        <w:t xml:space="preserve">when many other partners withdrew from South Sudan. </w:t>
      </w:r>
      <w:r w:rsidR="001502CC">
        <w:rPr>
          <w:rFonts w:ascii="Verdana" w:hAnsi="Verdana"/>
          <w:sz w:val="20"/>
          <w:szCs w:val="20"/>
        </w:rPr>
        <w:t>Example programmes include</w:t>
      </w:r>
      <w:r w:rsidR="005335F6">
        <w:rPr>
          <w:rFonts w:ascii="Verdana" w:hAnsi="Verdana"/>
          <w:sz w:val="20"/>
          <w:szCs w:val="20"/>
        </w:rPr>
        <w:t xml:space="preserve"> (see </w:t>
      </w:r>
      <w:r w:rsidR="00852A5B" w:rsidRPr="003E2544">
        <w:rPr>
          <w:rFonts w:ascii="Verdana" w:hAnsi="Verdana"/>
          <w:sz w:val="20"/>
          <w:szCs w:val="20"/>
        </w:rPr>
        <w:t xml:space="preserve">Annex </w:t>
      </w:r>
      <w:r w:rsidR="00852A5B">
        <w:rPr>
          <w:rFonts w:ascii="Verdana" w:hAnsi="Verdana"/>
          <w:sz w:val="20"/>
          <w:szCs w:val="20"/>
        </w:rPr>
        <w:t xml:space="preserve">7. </w:t>
      </w:r>
      <w:r w:rsidR="00852A5B" w:rsidRPr="003E2544">
        <w:rPr>
          <w:rFonts w:ascii="Verdana" w:hAnsi="Verdana"/>
          <w:sz w:val="20"/>
          <w:szCs w:val="20"/>
        </w:rPr>
        <w:t xml:space="preserve">PFM cycle mapping exercise </w:t>
      </w:r>
      <w:r w:rsidR="00852A5B">
        <w:rPr>
          <w:rFonts w:ascii="Verdana" w:hAnsi="Verdana"/>
          <w:sz w:val="20"/>
          <w:szCs w:val="20"/>
        </w:rPr>
        <w:t>for more information</w:t>
      </w:r>
      <w:r w:rsidR="00852A5B" w:rsidRPr="003E2544">
        <w:rPr>
          <w:rFonts w:ascii="Verdana" w:hAnsi="Verdana"/>
          <w:sz w:val="20"/>
          <w:szCs w:val="20"/>
        </w:rPr>
        <w:t>)</w:t>
      </w:r>
      <w:r w:rsidR="001502CC">
        <w:rPr>
          <w:rFonts w:ascii="Verdana" w:hAnsi="Verdana"/>
          <w:sz w:val="20"/>
          <w:szCs w:val="20"/>
        </w:rPr>
        <w:t>:</w:t>
      </w:r>
      <w:r w:rsidR="00C117D4">
        <w:rPr>
          <w:rFonts w:ascii="Verdana" w:hAnsi="Verdana"/>
          <w:sz w:val="20"/>
          <w:szCs w:val="20"/>
        </w:rPr>
        <w:t xml:space="preserve"> </w:t>
      </w:r>
    </w:p>
    <w:p w14:paraId="3CE491FA" w14:textId="0634B452" w:rsidR="001502CC" w:rsidRDefault="001502CC" w:rsidP="00245274">
      <w:pPr>
        <w:pStyle w:val="ListParagraph"/>
        <w:numPr>
          <w:ilvl w:val="0"/>
          <w:numId w:val="85"/>
        </w:numPr>
        <w:spacing w:line="240" w:lineRule="auto"/>
        <w:rPr>
          <w:rFonts w:ascii="Verdana" w:hAnsi="Verdana"/>
          <w:sz w:val="20"/>
          <w:szCs w:val="20"/>
        </w:rPr>
      </w:pPr>
      <w:r w:rsidRPr="005335F6">
        <w:rPr>
          <w:rFonts w:ascii="Verdana" w:hAnsi="Verdana"/>
          <w:b/>
          <w:bCs/>
          <w:sz w:val="20"/>
          <w:szCs w:val="20"/>
        </w:rPr>
        <w:t>UNDP:</w:t>
      </w:r>
      <w:r w:rsidRPr="005335F6">
        <w:rPr>
          <w:rFonts w:ascii="Verdana" w:hAnsi="Verdana"/>
          <w:sz w:val="20"/>
          <w:szCs w:val="20"/>
        </w:rPr>
        <w:t xml:space="preserve"> </w:t>
      </w:r>
      <w:r w:rsidR="538994BF" w:rsidRPr="005335F6">
        <w:rPr>
          <w:rFonts w:ascii="Verdana" w:hAnsi="Verdana"/>
          <w:sz w:val="20"/>
          <w:szCs w:val="20"/>
        </w:rPr>
        <w:t xml:space="preserve">The UNDP’s </w:t>
      </w:r>
      <w:r w:rsidR="4DCB11D8" w:rsidRPr="005335F6">
        <w:rPr>
          <w:rFonts w:ascii="Verdana" w:hAnsi="Verdana"/>
          <w:sz w:val="20"/>
          <w:szCs w:val="20"/>
        </w:rPr>
        <w:t>‘</w:t>
      </w:r>
      <w:r w:rsidR="538994BF" w:rsidRPr="005335F6">
        <w:rPr>
          <w:rFonts w:ascii="Verdana" w:hAnsi="Verdana"/>
          <w:sz w:val="20"/>
          <w:szCs w:val="20"/>
        </w:rPr>
        <w:t xml:space="preserve">Support to PFM Project’ (supported by AfDB and </w:t>
      </w:r>
      <w:r w:rsidR="202ED061" w:rsidRPr="005335F6">
        <w:rPr>
          <w:rFonts w:ascii="Verdana" w:hAnsi="Verdana"/>
          <w:sz w:val="20"/>
          <w:szCs w:val="20"/>
        </w:rPr>
        <w:t xml:space="preserve">the </w:t>
      </w:r>
      <w:r w:rsidR="538994BF" w:rsidRPr="005335F6">
        <w:rPr>
          <w:rFonts w:ascii="Verdana" w:hAnsi="Verdana"/>
          <w:sz w:val="20"/>
          <w:szCs w:val="20"/>
        </w:rPr>
        <w:t>Gov</w:t>
      </w:r>
      <w:r w:rsidR="420E6DA1" w:rsidRPr="005335F6">
        <w:rPr>
          <w:rFonts w:ascii="Verdana" w:hAnsi="Verdana"/>
          <w:sz w:val="20"/>
          <w:szCs w:val="20"/>
        </w:rPr>
        <w:t>ernment</w:t>
      </w:r>
      <w:r w:rsidR="538994BF" w:rsidRPr="005335F6">
        <w:rPr>
          <w:rFonts w:ascii="Verdana" w:hAnsi="Verdana"/>
          <w:sz w:val="20"/>
          <w:szCs w:val="20"/>
        </w:rPr>
        <w:t xml:space="preserve"> of Japan) has been operational </w:t>
      </w:r>
      <w:r w:rsidR="00986EA8">
        <w:rPr>
          <w:rFonts w:ascii="Verdana" w:hAnsi="Verdana"/>
          <w:sz w:val="20"/>
          <w:szCs w:val="20"/>
        </w:rPr>
        <w:t xml:space="preserve">since 2016 in its current form </w:t>
      </w:r>
      <w:r w:rsidR="759004FA" w:rsidRPr="005335F6">
        <w:rPr>
          <w:rFonts w:ascii="Verdana" w:hAnsi="Verdana"/>
          <w:sz w:val="20"/>
          <w:szCs w:val="20"/>
        </w:rPr>
        <w:t>and</w:t>
      </w:r>
      <w:r w:rsidR="538994BF" w:rsidRPr="005335F6">
        <w:rPr>
          <w:rFonts w:ascii="Verdana" w:hAnsi="Verdana"/>
          <w:sz w:val="20"/>
          <w:szCs w:val="20"/>
        </w:rPr>
        <w:t xml:space="preserve"> </w:t>
      </w:r>
      <w:r w:rsidR="3C01FA8B" w:rsidRPr="005335F6">
        <w:rPr>
          <w:rFonts w:ascii="Verdana" w:hAnsi="Verdana"/>
          <w:sz w:val="20"/>
          <w:szCs w:val="20"/>
        </w:rPr>
        <w:t>played</w:t>
      </w:r>
      <w:r w:rsidR="538994BF" w:rsidRPr="005335F6">
        <w:rPr>
          <w:rFonts w:ascii="Verdana" w:hAnsi="Verdana"/>
          <w:sz w:val="20"/>
          <w:szCs w:val="20"/>
        </w:rPr>
        <w:t xml:space="preserve"> a major </w:t>
      </w:r>
      <w:r w:rsidR="759004FA" w:rsidRPr="005335F6">
        <w:rPr>
          <w:rFonts w:ascii="Verdana" w:hAnsi="Verdana"/>
          <w:sz w:val="20"/>
          <w:szCs w:val="20"/>
        </w:rPr>
        <w:t>role in</w:t>
      </w:r>
      <w:r w:rsidR="538994BF" w:rsidRPr="005335F6">
        <w:rPr>
          <w:rFonts w:ascii="Verdana" w:hAnsi="Verdana"/>
          <w:sz w:val="20"/>
          <w:szCs w:val="20"/>
        </w:rPr>
        <w:t xml:space="preserve"> developing NDS 201</w:t>
      </w:r>
      <w:r w:rsidR="00A900E7">
        <w:rPr>
          <w:rFonts w:ascii="Verdana" w:hAnsi="Verdana"/>
          <w:sz w:val="20"/>
          <w:szCs w:val="20"/>
        </w:rPr>
        <w:t>8</w:t>
      </w:r>
      <w:r w:rsidRPr="005335F6">
        <w:rPr>
          <w:rFonts w:ascii="Verdana" w:hAnsi="Verdana"/>
          <w:sz w:val="20"/>
          <w:szCs w:val="20"/>
        </w:rPr>
        <w:t>–</w:t>
      </w:r>
      <w:r w:rsidR="538994BF" w:rsidRPr="005335F6">
        <w:rPr>
          <w:rFonts w:ascii="Verdana" w:hAnsi="Verdana"/>
          <w:sz w:val="20"/>
          <w:szCs w:val="20"/>
        </w:rPr>
        <w:t xml:space="preserve">2021. </w:t>
      </w:r>
      <w:r>
        <w:rPr>
          <w:rFonts w:ascii="Verdana" w:hAnsi="Verdana"/>
          <w:sz w:val="20"/>
          <w:szCs w:val="20"/>
        </w:rPr>
        <w:t xml:space="preserve">Other </w:t>
      </w:r>
      <w:r w:rsidR="538994BF" w:rsidRPr="005335F6">
        <w:rPr>
          <w:rFonts w:ascii="Verdana" w:hAnsi="Verdana"/>
          <w:sz w:val="20"/>
          <w:szCs w:val="20"/>
        </w:rPr>
        <w:t xml:space="preserve">programmes include </w:t>
      </w:r>
      <w:r w:rsidRPr="005335F6">
        <w:rPr>
          <w:rFonts w:ascii="Verdana" w:hAnsi="Verdana"/>
          <w:sz w:val="20"/>
          <w:szCs w:val="20"/>
        </w:rPr>
        <w:t xml:space="preserve">the </w:t>
      </w:r>
      <w:r w:rsidR="538994BF" w:rsidRPr="005335F6">
        <w:rPr>
          <w:rFonts w:ascii="Verdana" w:hAnsi="Verdana"/>
          <w:sz w:val="20"/>
          <w:szCs w:val="20"/>
        </w:rPr>
        <w:t>UNDP GEM</w:t>
      </w:r>
      <w:r w:rsidR="06C87F40" w:rsidRPr="005335F6">
        <w:rPr>
          <w:rFonts w:ascii="Verdana" w:hAnsi="Verdana"/>
          <w:sz w:val="20"/>
          <w:szCs w:val="20"/>
        </w:rPr>
        <w:t>S</w:t>
      </w:r>
      <w:r w:rsidR="538994BF" w:rsidRPr="005335F6">
        <w:rPr>
          <w:rFonts w:ascii="Verdana" w:hAnsi="Verdana"/>
          <w:sz w:val="20"/>
          <w:szCs w:val="20"/>
        </w:rPr>
        <w:t xml:space="preserve"> </w:t>
      </w:r>
      <w:r w:rsidR="06C87F40" w:rsidRPr="005335F6">
        <w:rPr>
          <w:rFonts w:ascii="Verdana" w:hAnsi="Verdana"/>
          <w:sz w:val="20"/>
          <w:szCs w:val="20"/>
        </w:rPr>
        <w:t>Project</w:t>
      </w:r>
      <w:r>
        <w:rPr>
          <w:rFonts w:ascii="Verdana" w:hAnsi="Verdana"/>
          <w:sz w:val="20"/>
          <w:szCs w:val="20"/>
        </w:rPr>
        <w:t>.</w:t>
      </w:r>
    </w:p>
    <w:p w14:paraId="1B3C7295" w14:textId="69A3E567" w:rsidR="001019EA" w:rsidRPr="005335F6" w:rsidRDefault="001502CC" w:rsidP="005335F6">
      <w:pPr>
        <w:pStyle w:val="ListParagraph"/>
        <w:numPr>
          <w:ilvl w:val="0"/>
          <w:numId w:val="85"/>
        </w:numPr>
        <w:spacing w:line="240" w:lineRule="auto"/>
        <w:rPr>
          <w:rFonts w:ascii="Verdana" w:hAnsi="Verdana"/>
          <w:sz w:val="20"/>
          <w:szCs w:val="20"/>
        </w:rPr>
      </w:pPr>
      <w:r>
        <w:rPr>
          <w:rFonts w:ascii="Verdana" w:hAnsi="Verdana"/>
          <w:b/>
          <w:bCs/>
          <w:sz w:val="20"/>
          <w:szCs w:val="20"/>
        </w:rPr>
        <w:t>UNICEF:</w:t>
      </w:r>
      <w:r>
        <w:rPr>
          <w:rFonts w:ascii="Verdana" w:hAnsi="Verdana"/>
          <w:sz w:val="20"/>
          <w:szCs w:val="20"/>
        </w:rPr>
        <w:t xml:space="preserve"> I</w:t>
      </w:r>
      <w:r w:rsidR="538994BF" w:rsidRPr="005335F6">
        <w:rPr>
          <w:rFonts w:ascii="Verdana" w:hAnsi="Verdana"/>
          <w:sz w:val="20"/>
          <w:szCs w:val="20"/>
        </w:rPr>
        <w:t xml:space="preserve">n addition to </w:t>
      </w:r>
      <w:r w:rsidR="120F6CBD" w:rsidRPr="005335F6">
        <w:rPr>
          <w:rFonts w:ascii="Verdana" w:hAnsi="Verdana"/>
          <w:sz w:val="20"/>
          <w:szCs w:val="20"/>
        </w:rPr>
        <w:t xml:space="preserve">providing </w:t>
      </w:r>
      <w:r w:rsidR="538994BF" w:rsidRPr="005335F6">
        <w:rPr>
          <w:rFonts w:ascii="Verdana" w:hAnsi="Verdana"/>
          <w:sz w:val="20"/>
          <w:szCs w:val="20"/>
        </w:rPr>
        <w:t>ongoing social sector support,</w:t>
      </w:r>
      <w:r w:rsidR="4DCB11D8" w:rsidRPr="005335F6">
        <w:rPr>
          <w:rFonts w:ascii="Verdana" w:hAnsi="Verdana"/>
          <w:sz w:val="20"/>
          <w:szCs w:val="20"/>
        </w:rPr>
        <w:t xml:space="preserve"> </w:t>
      </w:r>
      <w:r>
        <w:rPr>
          <w:rFonts w:ascii="Verdana" w:hAnsi="Verdana"/>
          <w:sz w:val="20"/>
          <w:szCs w:val="20"/>
        </w:rPr>
        <w:t xml:space="preserve">UNICEF </w:t>
      </w:r>
      <w:r w:rsidR="4DCB11D8" w:rsidRPr="005335F6">
        <w:rPr>
          <w:rFonts w:ascii="Verdana" w:hAnsi="Verdana"/>
          <w:sz w:val="20"/>
          <w:szCs w:val="20"/>
        </w:rPr>
        <w:t>has been</w:t>
      </w:r>
      <w:r w:rsidR="538994BF" w:rsidRPr="005335F6">
        <w:rPr>
          <w:rFonts w:ascii="Verdana" w:hAnsi="Verdana"/>
          <w:sz w:val="20"/>
          <w:szCs w:val="20"/>
        </w:rPr>
        <w:t xml:space="preserve"> continuing its successful PFM capacity building</w:t>
      </w:r>
      <w:r w:rsidR="4DCB11D8" w:rsidRPr="005335F6">
        <w:rPr>
          <w:rFonts w:ascii="Verdana" w:hAnsi="Verdana"/>
          <w:sz w:val="20"/>
          <w:szCs w:val="20"/>
        </w:rPr>
        <w:t xml:space="preserve"> programme under the </w:t>
      </w:r>
      <w:r w:rsidR="683184A3" w:rsidRPr="005335F6">
        <w:rPr>
          <w:rFonts w:ascii="Verdana" w:hAnsi="Verdana"/>
          <w:sz w:val="20"/>
          <w:szCs w:val="20"/>
        </w:rPr>
        <w:t>three</w:t>
      </w:r>
      <w:r w:rsidR="4DCB11D8" w:rsidRPr="005335F6">
        <w:rPr>
          <w:rFonts w:ascii="Verdana" w:hAnsi="Verdana"/>
          <w:sz w:val="20"/>
          <w:szCs w:val="20"/>
        </w:rPr>
        <w:t>-year workplan with MoFP, around the budgeting cycle</w:t>
      </w:r>
      <w:r>
        <w:rPr>
          <w:rFonts w:ascii="Verdana" w:hAnsi="Verdana"/>
          <w:sz w:val="20"/>
          <w:szCs w:val="20"/>
        </w:rPr>
        <w:t>. I</w:t>
      </w:r>
      <w:r w:rsidR="4DCB11D8" w:rsidRPr="005335F6">
        <w:rPr>
          <w:rFonts w:ascii="Verdana" w:hAnsi="Verdana"/>
          <w:sz w:val="20"/>
          <w:szCs w:val="20"/>
        </w:rPr>
        <w:t>n 2019, State Budget Workshops were revived</w:t>
      </w:r>
      <w:r w:rsidR="77FC5EAF" w:rsidRPr="005335F6">
        <w:rPr>
          <w:rFonts w:ascii="Verdana" w:hAnsi="Verdana"/>
          <w:sz w:val="20"/>
          <w:szCs w:val="20"/>
        </w:rPr>
        <w:t>,</w:t>
      </w:r>
      <w:r w:rsidR="4DCB11D8" w:rsidRPr="005335F6">
        <w:rPr>
          <w:rFonts w:ascii="Verdana" w:hAnsi="Verdana"/>
          <w:sz w:val="20"/>
          <w:szCs w:val="20"/>
        </w:rPr>
        <w:t xml:space="preserve"> reaching 300 state level MoFP officials with knowledge and practical tools on budget preparations</w:t>
      </w:r>
      <w:r>
        <w:rPr>
          <w:rFonts w:ascii="Verdana" w:hAnsi="Verdana"/>
          <w:sz w:val="20"/>
          <w:szCs w:val="20"/>
        </w:rPr>
        <w:t xml:space="preserve">. Meanwhile </w:t>
      </w:r>
      <w:r w:rsidR="4DCB11D8" w:rsidRPr="005335F6">
        <w:rPr>
          <w:rFonts w:ascii="Verdana" w:hAnsi="Verdana"/>
          <w:sz w:val="20"/>
          <w:szCs w:val="20"/>
        </w:rPr>
        <w:t xml:space="preserve">MoFP </w:t>
      </w:r>
      <w:r>
        <w:rPr>
          <w:rFonts w:ascii="Verdana" w:hAnsi="Verdana"/>
          <w:sz w:val="20"/>
          <w:szCs w:val="20"/>
        </w:rPr>
        <w:t>has been</w:t>
      </w:r>
      <w:r w:rsidRPr="005335F6">
        <w:rPr>
          <w:rFonts w:ascii="Verdana" w:hAnsi="Verdana"/>
          <w:sz w:val="20"/>
          <w:szCs w:val="20"/>
        </w:rPr>
        <w:t xml:space="preserve"> </w:t>
      </w:r>
      <w:r w:rsidR="4DCB11D8" w:rsidRPr="005335F6">
        <w:rPr>
          <w:rFonts w:ascii="Verdana" w:hAnsi="Verdana"/>
          <w:sz w:val="20"/>
          <w:szCs w:val="20"/>
        </w:rPr>
        <w:t xml:space="preserve">supported on the production of various evidence products including budget briefs and citizens’ budgets since 2018. </w:t>
      </w:r>
    </w:p>
    <w:p w14:paraId="79048B87" w14:textId="77777777" w:rsidR="001019EA" w:rsidRPr="003E2544" w:rsidRDefault="001019EA" w:rsidP="00245274">
      <w:pPr>
        <w:spacing w:line="240" w:lineRule="auto"/>
        <w:rPr>
          <w:rFonts w:ascii="Verdana" w:hAnsi="Verdana"/>
          <w:sz w:val="20"/>
          <w:szCs w:val="20"/>
        </w:rPr>
      </w:pPr>
    </w:p>
    <w:p w14:paraId="03565ACD" w14:textId="77777777" w:rsidR="00A33CD9" w:rsidRDefault="001019EA" w:rsidP="00245274">
      <w:pPr>
        <w:spacing w:line="240" w:lineRule="auto"/>
        <w:jc w:val="both"/>
        <w:rPr>
          <w:rFonts w:ascii="Verdana" w:hAnsi="Verdana"/>
          <w:sz w:val="20"/>
          <w:szCs w:val="20"/>
        </w:rPr>
      </w:pPr>
      <w:r w:rsidRPr="003E2544">
        <w:rPr>
          <w:rFonts w:ascii="Verdana" w:hAnsi="Verdana"/>
          <w:sz w:val="20"/>
          <w:szCs w:val="20"/>
        </w:rPr>
        <w:t xml:space="preserve">The JP aligns </w:t>
      </w:r>
      <w:r w:rsidR="4B256BCB" w:rsidRPr="003E2544">
        <w:rPr>
          <w:rFonts w:ascii="Verdana" w:hAnsi="Verdana"/>
          <w:sz w:val="20"/>
          <w:szCs w:val="20"/>
        </w:rPr>
        <w:t>with</w:t>
      </w:r>
      <w:r w:rsidRPr="003E2544">
        <w:rPr>
          <w:rFonts w:ascii="Verdana" w:hAnsi="Verdana"/>
          <w:sz w:val="20"/>
          <w:szCs w:val="20"/>
        </w:rPr>
        <w:t xml:space="preserve"> UN and national priorities and initiatives, </w:t>
      </w:r>
      <w:r w:rsidR="00885408" w:rsidRPr="003E2544">
        <w:rPr>
          <w:rFonts w:ascii="Verdana" w:hAnsi="Verdana"/>
          <w:sz w:val="20"/>
          <w:szCs w:val="20"/>
        </w:rPr>
        <w:t>including</w:t>
      </w:r>
      <w:r w:rsidR="2B8E758A" w:rsidRPr="003E2544">
        <w:rPr>
          <w:rFonts w:ascii="Verdana" w:hAnsi="Verdana"/>
          <w:sz w:val="20"/>
          <w:szCs w:val="20"/>
        </w:rPr>
        <w:t>:</w:t>
      </w:r>
      <w:r w:rsidR="00885408" w:rsidRPr="003E2544">
        <w:rPr>
          <w:rFonts w:ascii="Verdana" w:hAnsi="Verdana"/>
          <w:sz w:val="20"/>
          <w:szCs w:val="20"/>
        </w:rPr>
        <w:t xml:space="preserve"> </w:t>
      </w:r>
    </w:p>
    <w:p w14:paraId="2E18EF8D" w14:textId="77777777" w:rsidR="00A33CD9" w:rsidRDefault="00226BF1" w:rsidP="00245274">
      <w:pPr>
        <w:pStyle w:val="ListParagraph"/>
        <w:numPr>
          <w:ilvl w:val="0"/>
          <w:numId w:val="86"/>
        </w:numPr>
        <w:spacing w:line="240" w:lineRule="auto"/>
        <w:rPr>
          <w:rFonts w:ascii="Verdana" w:hAnsi="Verdana"/>
          <w:sz w:val="20"/>
          <w:szCs w:val="20"/>
        </w:rPr>
      </w:pPr>
      <w:r w:rsidRPr="005335F6">
        <w:rPr>
          <w:rFonts w:ascii="Verdana" w:hAnsi="Verdana"/>
          <w:sz w:val="20"/>
          <w:szCs w:val="20"/>
          <w:u w:val="single"/>
        </w:rPr>
        <w:t>R-</w:t>
      </w:r>
      <w:r w:rsidR="001019EA" w:rsidRPr="005335F6">
        <w:rPr>
          <w:rFonts w:ascii="Verdana" w:hAnsi="Verdana"/>
          <w:sz w:val="20"/>
          <w:szCs w:val="20"/>
          <w:u w:val="single"/>
        </w:rPr>
        <w:t>ARCSS Chapter IV:</w:t>
      </w:r>
      <w:r w:rsidR="001019EA" w:rsidRPr="005335F6">
        <w:rPr>
          <w:rFonts w:ascii="Verdana" w:hAnsi="Verdana"/>
          <w:sz w:val="20"/>
          <w:szCs w:val="20"/>
        </w:rPr>
        <w:t xml:space="preserve"> economic and financial reforms for effective public service delivery</w:t>
      </w:r>
      <w:r w:rsidR="3D52493D" w:rsidRPr="005335F6">
        <w:rPr>
          <w:rFonts w:ascii="Verdana" w:hAnsi="Verdana"/>
          <w:sz w:val="20"/>
          <w:szCs w:val="20"/>
        </w:rPr>
        <w:t>;</w:t>
      </w:r>
      <w:r w:rsidR="001019EA" w:rsidRPr="005335F6">
        <w:rPr>
          <w:rFonts w:ascii="Verdana" w:hAnsi="Verdana"/>
          <w:sz w:val="20"/>
          <w:szCs w:val="20"/>
        </w:rPr>
        <w:t xml:space="preserve"> </w:t>
      </w:r>
    </w:p>
    <w:p w14:paraId="5E9A71EE" w14:textId="777C7EE8" w:rsidR="00A33CD9" w:rsidRDefault="001019EA" w:rsidP="00245274">
      <w:pPr>
        <w:pStyle w:val="ListParagraph"/>
        <w:numPr>
          <w:ilvl w:val="0"/>
          <w:numId w:val="86"/>
        </w:numPr>
        <w:spacing w:line="240" w:lineRule="auto"/>
        <w:rPr>
          <w:rFonts w:ascii="Verdana" w:hAnsi="Verdana"/>
          <w:sz w:val="20"/>
          <w:szCs w:val="20"/>
        </w:rPr>
      </w:pPr>
      <w:r w:rsidRPr="005335F6">
        <w:rPr>
          <w:rFonts w:ascii="Verdana" w:hAnsi="Verdana"/>
          <w:sz w:val="20"/>
          <w:szCs w:val="20"/>
          <w:u w:val="single"/>
        </w:rPr>
        <w:t>NDS: Accountability Sector Results Framework</w:t>
      </w:r>
      <w:r w:rsidR="00A33CD9" w:rsidRPr="005335F6">
        <w:rPr>
          <w:rFonts w:ascii="Verdana" w:hAnsi="Verdana"/>
          <w:sz w:val="20"/>
          <w:szCs w:val="20"/>
        </w:rPr>
        <w:t xml:space="preserve"> </w:t>
      </w:r>
      <w:r w:rsidRPr="005335F6">
        <w:rPr>
          <w:rFonts w:ascii="Verdana" w:hAnsi="Verdana"/>
          <w:sz w:val="20"/>
          <w:szCs w:val="20"/>
        </w:rPr>
        <w:t xml:space="preserve">Indicator 1-intensify revenue mobilization and 2- </w:t>
      </w:r>
      <w:r w:rsidR="00A33CD9" w:rsidRPr="005335F6">
        <w:rPr>
          <w:rFonts w:ascii="Verdana" w:hAnsi="Verdana"/>
          <w:sz w:val="20"/>
          <w:szCs w:val="20"/>
        </w:rPr>
        <w:t>institutionalize</w:t>
      </w:r>
      <w:r w:rsidRPr="005335F6">
        <w:rPr>
          <w:rFonts w:ascii="Verdana" w:hAnsi="Verdana"/>
          <w:sz w:val="20"/>
          <w:szCs w:val="20"/>
        </w:rPr>
        <w:t xml:space="preserve"> citizen engagement and participation; </w:t>
      </w:r>
    </w:p>
    <w:p w14:paraId="5A9DCCB0" w14:textId="77777777" w:rsidR="00A33CD9" w:rsidRDefault="001019EA" w:rsidP="00245274">
      <w:pPr>
        <w:pStyle w:val="ListParagraph"/>
        <w:numPr>
          <w:ilvl w:val="0"/>
          <w:numId w:val="86"/>
        </w:numPr>
        <w:spacing w:line="240" w:lineRule="auto"/>
        <w:rPr>
          <w:rFonts w:ascii="Verdana" w:hAnsi="Verdana"/>
          <w:sz w:val="20"/>
          <w:szCs w:val="20"/>
        </w:rPr>
      </w:pPr>
      <w:r w:rsidRPr="005335F6">
        <w:rPr>
          <w:rFonts w:ascii="Verdana" w:hAnsi="Verdana"/>
          <w:sz w:val="20"/>
          <w:szCs w:val="20"/>
          <w:u w:val="single"/>
        </w:rPr>
        <w:t>Social Service Cluster Results Framework</w:t>
      </w:r>
      <w:r w:rsidRPr="005335F6">
        <w:rPr>
          <w:rFonts w:ascii="Verdana" w:hAnsi="Verdana"/>
          <w:sz w:val="20"/>
          <w:szCs w:val="20"/>
        </w:rPr>
        <w:t xml:space="preserve"> indicators on the percentage of budge</w:t>
      </w:r>
      <w:r w:rsidR="00A25F0B" w:rsidRPr="005335F6">
        <w:rPr>
          <w:rFonts w:ascii="Verdana" w:hAnsi="Verdana"/>
          <w:sz w:val="20"/>
          <w:szCs w:val="20"/>
        </w:rPr>
        <w:t>ts</w:t>
      </w:r>
      <w:r w:rsidRPr="005335F6">
        <w:rPr>
          <w:rFonts w:ascii="Verdana" w:hAnsi="Verdana"/>
          <w:sz w:val="20"/>
          <w:szCs w:val="20"/>
        </w:rPr>
        <w:t xml:space="preserve"> to social services (baseline 5%; 3-yr target 15%), health, (baseline 2%, 3-yr target, 7%); and social and humanitarian (baseline: 0.1; 3-yr target: 10%)</w:t>
      </w:r>
      <w:r w:rsidR="00A33CD9">
        <w:rPr>
          <w:rFonts w:ascii="Verdana" w:hAnsi="Verdana"/>
          <w:sz w:val="20"/>
          <w:szCs w:val="20"/>
        </w:rPr>
        <w:t>;</w:t>
      </w:r>
    </w:p>
    <w:p w14:paraId="77014CBD" w14:textId="7E1D9040" w:rsidR="001019EA" w:rsidRPr="005335F6" w:rsidRDefault="001019EA" w:rsidP="005335F6">
      <w:pPr>
        <w:pStyle w:val="ListParagraph"/>
        <w:numPr>
          <w:ilvl w:val="0"/>
          <w:numId w:val="86"/>
        </w:numPr>
        <w:spacing w:line="240" w:lineRule="auto"/>
        <w:rPr>
          <w:rFonts w:ascii="Verdana" w:hAnsi="Verdana"/>
          <w:sz w:val="20"/>
          <w:szCs w:val="20"/>
        </w:rPr>
      </w:pPr>
      <w:r w:rsidRPr="005335F6">
        <w:rPr>
          <w:rFonts w:ascii="Verdana" w:hAnsi="Verdana"/>
          <w:sz w:val="20"/>
          <w:szCs w:val="20"/>
          <w:u w:val="single"/>
        </w:rPr>
        <w:t>UN Co</w:t>
      </w:r>
      <w:r w:rsidR="0098657E" w:rsidRPr="005335F6">
        <w:rPr>
          <w:rFonts w:ascii="Verdana" w:hAnsi="Verdana"/>
          <w:sz w:val="20"/>
          <w:szCs w:val="20"/>
          <w:u w:val="single"/>
        </w:rPr>
        <w:t>operation</w:t>
      </w:r>
      <w:r w:rsidRPr="005335F6">
        <w:rPr>
          <w:rFonts w:ascii="Verdana" w:hAnsi="Verdana"/>
          <w:sz w:val="20"/>
          <w:szCs w:val="20"/>
          <w:u w:val="single"/>
        </w:rPr>
        <w:t xml:space="preserve"> Framework</w:t>
      </w:r>
      <w:r w:rsidR="0098657E" w:rsidRPr="005335F6">
        <w:rPr>
          <w:rFonts w:ascii="Verdana" w:hAnsi="Verdana"/>
          <w:sz w:val="20"/>
          <w:szCs w:val="20"/>
          <w:u w:val="single"/>
        </w:rPr>
        <w:t xml:space="preserve"> (UNCF)</w:t>
      </w:r>
      <w:r w:rsidRPr="005335F6">
        <w:rPr>
          <w:rFonts w:ascii="Verdana" w:hAnsi="Verdana"/>
          <w:sz w:val="20"/>
          <w:szCs w:val="20"/>
        </w:rPr>
        <w:t>: all citizens, particularly women, children, the poorest and most vulnerable benefit from strengthened peace infrastructures and accountable governance (Outcome 1)</w:t>
      </w:r>
      <w:r w:rsidR="00226BF1" w:rsidRPr="005335F6">
        <w:rPr>
          <w:rFonts w:ascii="Verdana" w:hAnsi="Verdana"/>
          <w:sz w:val="20"/>
          <w:szCs w:val="20"/>
        </w:rPr>
        <w:t xml:space="preserve"> </w:t>
      </w:r>
      <w:r w:rsidRPr="005335F6">
        <w:rPr>
          <w:rFonts w:ascii="Verdana" w:hAnsi="Verdana"/>
          <w:sz w:val="20"/>
          <w:szCs w:val="20"/>
        </w:rPr>
        <w:t>and improved basic healthcare, nutrition, education and WASH services (Outcome 3).</w:t>
      </w:r>
    </w:p>
    <w:p w14:paraId="67E5C855" w14:textId="77777777" w:rsidR="00552A64" w:rsidRPr="003E2544" w:rsidRDefault="00552A64" w:rsidP="00245274">
      <w:pPr>
        <w:spacing w:line="240" w:lineRule="auto"/>
        <w:jc w:val="both"/>
        <w:rPr>
          <w:rFonts w:ascii="Verdana" w:hAnsi="Verdana"/>
          <w:sz w:val="20"/>
          <w:szCs w:val="20"/>
        </w:rPr>
      </w:pPr>
    </w:p>
    <w:p w14:paraId="34ED8110" w14:textId="23995AFF" w:rsidR="001019EA" w:rsidRPr="003E2544" w:rsidRDefault="25416A83" w:rsidP="00245274">
      <w:pPr>
        <w:spacing w:line="240" w:lineRule="auto"/>
        <w:jc w:val="both"/>
        <w:rPr>
          <w:rFonts w:ascii="Verdana" w:hAnsi="Verdana"/>
          <w:sz w:val="20"/>
          <w:szCs w:val="20"/>
        </w:rPr>
      </w:pPr>
      <w:r w:rsidRPr="003E2544">
        <w:rPr>
          <w:rFonts w:ascii="Verdana" w:hAnsi="Verdana"/>
          <w:sz w:val="20"/>
          <w:szCs w:val="20"/>
        </w:rPr>
        <w:t xml:space="preserve">The MoFP </w:t>
      </w:r>
      <w:r w:rsidR="4AD952D8" w:rsidRPr="003E2544">
        <w:rPr>
          <w:rFonts w:ascii="Verdana" w:hAnsi="Verdana"/>
          <w:sz w:val="20"/>
          <w:szCs w:val="20"/>
        </w:rPr>
        <w:t>and M</w:t>
      </w:r>
      <w:r w:rsidR="00226BF1" w:rsidRPr="003E2544">
        <w:rPr>
          <w:rFonts w:ascii="Verdana" w:hAnsi="Verdana"/>
          <w:sz w:val="20"/>
          <w:szCs w:val="20"/>
        </w:rPr>
        <w:t>o</w:t>
      </w:r>
      <w:r w:rsidR="4AD952D8" w:rsidRPr="003E2544">
        <w:rPr>
          <w:rFonts w:ascii="Verdana" w:hAnsi="Verdana"/>
          <w:sz w:val="20"/>
          <w:szCs w:val="20"/>
        </w:rPr>
        <w:t>GCSW</w:t>
      </w:r>
      <w:r w:rsidR="00226BF1" w:rsidRPr="003E2544">
        <w:rPr>
          <w:rFonts w:ascii="Verdana" w:hAnsi="Verdana"/>
          <w:sz w:val="20"/>
          <w:szCs w:val="20"/>
        </w:rPr>
        <w:t xml:space="preserve"> </w:t>
      </w:r>
      <w:r w:rsidR="7B9257CB" w:rsidRPr="003E2544">
        <w:rPr>
          <w:rFonts w:ascii="Verdana" w:hAnsi="Verdana"/>
          <w:sz w:val="20"/>
          <w:szCs w:val="20"/>
        </w:rPr>
        <w:t xml:space="preserve">will </w:t>
      </w:r>
      <w:r w:rsidRPr="003E2544">
        <w:rPr>
          <w:rFonts w:ascii="Verdana" w:hAnsi="Verdana"/>
          <w:sz w:val="20"/>
          <w:szCs w:val="20"/>
        </w:rPr>
        <w:t>provide policy guidance and coordinate the design, implementation, monitoring and evaluation of the JP</w:t>
      </w:r>
      <w:r w:rsidR="11EF596E" w:rsidRPr="003E2544">
        <w:rPr>
          <w:rFonts w:ascii="Verdana" w:hAnsi="Verdana"/>
          <w:sz w:val="20"/>
          <w:szCs w:val="20"/>
        </w:rPr>
        <w:t xml:space="preserve">. </w:t>
      </w:r>
      <w:r w:rsidR="4AD952D8" w:rsidRPr="003E2544">
        <w:rPr>
          <w:rFonts w:ascii="Verdana" w:hAnsi="Verdana"/>
          <w:sz w:val="20"/>
          <w:szCs w:val="20"/>
        </w:rPr>
        <w:t xml:space="preserve">The JP is built on the existing platform of </w:t>
      </w:r>
      <w:r w:rsidRPr="003E2544">
        <w:rPr>
          <w:rFonts w:ascii="Verdana" w:hAnsi="Verdana"/>
          <w:sz w:val="20"/>
          <w:szCs w:val="20"/>
        </w:rPr>
        <w:t xml:space="preserve">UNICEF’s </w:t>
      </w:r>
      <w:r w:rsidR="4AD952D8" w:rsidRPr="003E2544">
        <w:rPr>
          <w:rFonts w:ascii="Verdana" w:hAnsi="Verdana"/>
          <w:sz w:val="20"/>
          <w:szCs w:val="20"/>
        </w:rPr>
        <w:t>partnership workplan with</w:t>
      </w:r>
      <w:r w:rsidRPr="003E2544">
        <w:rPr>
          <w:rFonts w:ascii="Verdana" w:hAnsi="Verdana"/>
          <w:sz w:val="20"/>
          <w:szCs w:val="20"/>
        </w:rPr>
        <w:t xml:space="preserve"> the Directorate of Budgets </w:t>
      </w:r>
      <w:r w:rsidR="4AD952D8" w:rsidRPr="003E2544">
        <w:rPr>
          <w:rFonts w:ascii="Verdana" w:hAnsi="Verdana"/>
          <w:sz w:val="20"/>
          <w:szCs w:val="20"/>
        </w:rPr>
        <w:t xml:space="preserve">and </w:t>
      </w:r>
      <w:r w:rsidR="1E48DAC9" w:rsidRPr="003E2544">
        <w:rPr>
          <w:rFonts w:ascii="Verdana" w:hAnsi="Verdana"/>
          <w:sz w:val="20"/>
          <w:szCs w:val="20"/>
        </w:rPr>
        <w:t xml:space="preserve">that of </w:t>
      </w:r>
      <w:r w:rsidRPr="003E2544">
        <w:rPr>
          <w:rFonts w:ascii="Verdana" w:hAnsi="Verdana"/>
          <w:sz w:val="20"/>
          <w:szCs w:val="20"/>
        </w:rPr>
        <w:t>UNDP</w:t>
      </w:r>
      <w:r w:rsidR="4AD952D8" w:rsidRPr="003E2544">
        <w:rPr>
          <w:rFonts w:ascii="Verdana" w:hAnsi="Verdana"/>
          <w:sz w:val="20"/>
          <w:szCs w:val="20"/>
        </w:rPr>
        <w:t>’s</w:t>
      </w:r>
      <w:r w:rsidRPr="003E2544">
        <w:rPr>
          <w:rFonts w:ascii="Verdana" w:hAnsi="Verdana"/>
          <w:sz w:val="20"/>
          <w:szCs w:val="20"/>
        </w:rPr>
        <w:t xml:space="preserve"> </w:t>
      </w:r>
      <w:r w:rsidR="4AD952D8" w:rsidRPr="003E2544">
        <w:rPr>
          <w:rFonts w:ascii="Verdana" w:hAnsi="Verdana"/>
          <w:sz w:val="20"/>
          <w:szCs w:val="20"/>
        </w:rPr>
        <w:t>with</w:t>
      </w:r>
      <w:r w:rsidRPr="003E2544">
        <w:rPr>
          <w:rFonts w:ascii="Verdana" w:hAnsi="Verdana"/>
          <w:sz w:val="20"/>
          <w:szCs w:val="20"/>
        </w:rPr>
        <w:t xml:space="preserve"> </w:t>
      </w:r>
      <w:r w:rsidR="7B9257CB" w:rsidRPr="003E2544">
        <w:rPr>
          <w:rFonts w:ascii="Verdana" w:hAnsi="Verdana"/>
          <w:sz w:val="20"/>
          <w:szCs w:val="20"/>
        </w:rPr>
        <w:t xml:space="preserve">the </w:t>
      </w:r>
      <w:r w:rsidRPr="003E2544">
        <w:rPr>
          <w:rFonts w:ascii="Verdana" w:hAnsi="Verdana"/>
          <w:sz w:val="20"/>
          <w:szCs w:val="20"/>
        </w:rPr>
        <w:t>Directorate of Aid Coordination, both critical actors in mobilizing domestic and external resources for NDS implementation</w:t>
      </w:r>
      <w:r w:rsidR="001019EA" w:rsidRPr="003E2544">
        <w:rPr>
          <w:rFonts w:ascii="Verdana" w:hAnsi="Verdana"/>
          <w:sz w:val="20"/>
          <w:szCs w:val="20"/>
          <w:vertAlign w:val="superscript"/>
        </w:rPr>
        <w:footnoteReference w:id="21"/>
      </w:r>
      <w:r w:rsidRPr="003E2544">
        <w:rPr>
          <w:rFonts w:ascii="Verdana" w:hAnsi="Verdana"/>
          <w:sz w:val="20"/>
          <w:szCs w:val="20"/>
        </w:rPr>
        <w:t xml:space="preserve">. After the </w:t>
      </w:r>
      <w:r w:rsidR="595CD6BC" w:rsidRPr="003E2544">
        <w:rPr>
          <w:rFonts w:ascii="Verdana" w:hAnsi="Verdana"/>
          <w:sz w:val="20"/>
          <w:szCs w:val="20"/>
        </w:rPr>
        <w:t>JP</w:t>
      </w:r>
      <w:r w:rsidRPr="003E2544">
        <w:rPr>
          <w:rFonts w:ascii="Verdana" w:hAnsi="Verdana"/>
          <w:sz w:val="20"/>
          <w:szCs w:val="20"/>
        </w:rPr>
        <w:t xml:space="preserve"> is completed, it is expected that these </w:t>
      </w:r>
      <w:r w:rsidR="4D75CBA7" w:rsidRPr="003E2544">
        <w:rPr>
          <w:rFonts w:ascii="Verdana" w:hAnsi="Verdana"/>
          <w:sz w:val="20"/>
          <w:szCs w:val="20"/>
        </w:rPr>
        <w:t>two</w:t>
      </w:r>
      <w:r w:rsidRPr="003E2544">
        <w:rPr>
          <w:rFonts w:ascii="Verdana" w:hAnsi="Verdana"/>
          <w:sz w:val="20"/>
          <w:szCs w:val="20"/>
        </w:rPr>
        <w:t xml:space="preserve"> agencies will </w:t>
      </w:r>
      <w:r w:rsidR="7B9257CB" w:rsidRPr="003E2544">
        <w:rPr>
          <w:rFonts w:ascii="Verdana" w:hAnsi="Verdana"/>
          <w:sz w:val="20"/>
          <w:szCs w:val="20"/>
        </w:rPr>
        <w:t xml:space="preserve">continue to </w:t>
      </w:r>
      <w:r w:rsidRPr="003E2544">
        <w:rPr>
          <w:rFonts w:ascii="Verdana" w:hAnsi="Verdana"/>
          <w:sz w:val="20"/>
          <w:szCs w:val="20"/>
        </w:rPr>
        <w:t>spearhead systems strengthening</w:t>
      </w:r>
      <w:r w:rsidR="7B9257CB" w:rsidRPr="003E2544">
        <w:rPr>
          <w:rFonts w:ascii="Verdana" w:hAnsi="Verdana"/>
          <w:sz w:val="20"/>
          <w:szCs w:val="20"/>
        </w:rPr>
        <w:t>, promote gender, child and vulnerable sub-group responsive budgets and build transparent and accountable mechanisms</w:t>
      </w:r>
      <w:r w:rsidRPr="003E2544">
        <w:rPr>
          <w:rFonts w:ascii="Verdana" w:hAnsi="Verdana"/>
          <w:sz w:val="20"/>
          <w:szCs w:val="20"/>
        </w:rPr>
        <w:t xml:space="preserve"> at </w:t>
      </w:r>
      <w:r w:rsidR="7B9257CB" w:rsidRPr="003E2544">
        <w:rPr>
          <w:rFonts w:ascii="Verdana" w:hAnsi="Verdana"/>
          <w:sz w:val="20"/>
          <w:szCs w:val="20"/>
        </w:rPr>
        <w:t xml:space="preserve">national and </w:t>
      </w:r>
      <w:r w:rsidR="009B5B47">
        <w:rPr>
          <w:rFonts w:ascii="Verdana" w:hAnsi="Verdana"/>
          <w:sz w:val="20"/>
          <w:szCs w:val="20"/>
        </w:rPr>
        <w:t>subnational</w:t>
      </w:r>
      <w:r w:rsidRPr="003E2544">
        <w:rPr>
          <w:rFonts w:ascii="Verdana" w:hAnsi="Verdana"/>
          <w:sz w:val="20"/>
          <w:szCs w:val="20"/>
        </w:rPr>
        <w:t xml:space="preserve"> level, replicating the </w:t>
      </w:r>
      <w:r w:rsidR="7B9257CB" w:rsidRPr="003E2544">
        <w:rPr>
          <w:rFonts w:ascii="Verdana" w:hAnsi="Verdana"/>
          <w:sz w:val="20"/>
          <w:szCs w:val="20"/>
        </w:rPr>
        <w:t xml:space="preserve">JP </w:t>
      </w:r>
      <w:r w:rsidRPr="003E2544">
        <w:rPr>
          <w:rFonts w:ascii="Verdana" w:hAnsi="Verdana"/>
          <w:sz w:val="20"/>
          <w:szCs w:val="20"/>
        </w:rPr>
        <w:t xml:space="preserve">interventions in all </w:t>
      </w:r>
      <w:r w:rsidR="70B5002C" w:rsidRPr="003E2544">
        <w:rPr>
          <w:rFonts w:ascii="Verdana" w:hAnsi="Verdana"/>
          <w:sz w:val="20"/>
          <w:szCs w:val="20"/>
        </w:rPr>
        <w:t>ten</w:t>
      </w:r>
      <w:r w:rsidRPr="003E2544">
        <w:rPr>
          <w:rFonts w:ascii="Verdana" w:hAnsi="Verdana"/>
          <w:sz w:val="20"/>
          <w:szCs w:val="20"/>
        </w:rPr>
        <w:t xml:space="preserve"> states in collaboration with the AfDB on Non-Oil Revenue Mobilization and Accountability (NORMA) phase 2. </w:t>
      </w:r>
      <w:r w:rsidR="7B9257CB" w:rsidRPr="003E2544">
        <w:rPr>
          <w:rFonts w:ascii="Verdana" w:hAnsi="Verdana"/>
          <w:sz w:val="20"/>
          <w:szCs w:val="20"/>
        </w:rPr>
        <w:t>To ensure sustainability, GRSS needs to e</w:t>
      </w:r>
      <w:r w:rsidRPr="003E2544">
        <w:rPr>
          <w:rFonts w:ascii="Verdana" w:hAnsi="Verdana"/>
          <w:sz w:val="20"/>
          <w:szCs w:val="20"/>
        </w:rPr>
        <w:t xml:space="preserve">xplore new </w:t>
      </w:r>
      <w:r w:rsidR="3734E89D" w:rsidRPr="003E2544">
        <w:rPr>
          <w:rFonts w:ascii="Verdana" w:hAnsi="Verdana"/>
          <w:sz w:val="20"/>
          <w:szCs w:val="20"/>
        </w:rPr>
        <w:t xml:space="preserve">avenues of </w:t>
      </w:r>
      <w:r w:rsidRPr="003E2544">
        <w:rPr>
          <w:rFonts w:ascii="Verdana" w:hAnsi="Verdana"/>
          <w:sz w:val="20"/>
          <w:szCs w:val="20"/>
        </w:rPr>
        <w:t xml:space="preserve">collaboration with the World Bank and other </w:t>
      </w:r>
      <w:r w:rsidR="006D3C13" w:rsidRPr="003E2544">
        <w:rPr>
          <w:rFonts w:ascii="Verdana" w:hAnsi="Verdana"/>
          <w:sz w:val="20"/>
          <w:szCs w:val="20"/>
        </w:rPr>
        <w:t>IFIs</w:t>
      </w:r>
      <w:r w:rsidR="71A5B746" w:rsidRPr="003E2544">
        <w:rPr>
          <w:rFonts w:ascii="Verdana" w:hAnsi="Verdana"/>
          <w:sz w:val="20"/>
          <w:szCs w:val="20"/>
        </w:rPr>
        <w:t xml:space="preserve"> and</w:t>
      </w:r>
      <w:r w:rsidRPr="003E2544">
        <w:rPr>
          <w:rFonts w:ascii="Verdana" w:hAnsi="Verdana"/>
          <w:sz w:val="20"/>
          <w:szCs w:val="20"/>
        </w:rPr>
        <w:t xml:space="preserve"> contribute to the larger </w:t>
      </w:r>
      <w:r w:rsidR="004C4451" w:rsidRPr="003E2544">
        <w:rPr>
          <w:rFonts w:ascii="Verdana" w:hAnsi="Verdana"/>
          <w:sz w:val="20"/>
          <w:szCs w:val="20"/>
        </w:rPr>
        <w:t xml:space="preserve">PFM </w:t>
      </w:r>
      <w:r w:rsidR="00D2107D" w:rsidRPr="003E2544">
        <w:rPr>
          <w:rFonts w:ascii="Verdana" w:hAnsi="Verdana"/>
          <w:sz w:val="20"/>
          <w:szCs w:val="20"/>
        </w:rPr>
        <w:t xml:space="preserve">programmes </w:t>
      </w:r>
      <w:r w:rsidRPr="003E2544">
        <w:rPr>
          <w:rFonts w:ascii="Verdana" w:hAnsi="Verdana"/>
          <w:sz w:val="20"/>
          <w:szCs w:val="20"/>
        </w:rPr>
        <w:t xml:space="preserve">which can be scaled up with the infusion of the SDG </w:t>
      </w:r>
      <w:r w:rsidR="00A33CD9">
        <w:rPr>
          <w:rFonts w:ascii="Verdana" w:hAnsi="Verdana"/>
          <w:sz w:val="20"/>
          <w:szCs w:val="20"/>
        </w:rPr>
        <w:t>F</w:t>
      </w:r>
      <w:r w:rsidRPr="003E2544">
        <w:rPr>
          <w:rFonts w:ascii="Verdana" w:hAnsi="Verdana"/>
          <w:sz w:val="20"/>
          <w:szCs w:val="20"/>
        </w:rPr>
        <w:t>und to have a greater impact under the 201</w:t>
      </w:r>
      <w:r w:rsidR="006175FE" w:rsidRPr="003E2544">
        <w:rPr>
          <w:rFonts w:ascii="Verdana" w:hAnsi="Verdana"/>
          <w:sz w:val="20"/>
          <w:szCs w:val="20"/>
        </w:rPr>
        <w:t>8</w:t>
      </w:r>
      <w:r w:rsidR="00A33CD9">
        <w:rPr>
          <w:rFonts w:ascii="Verdana" w:hAnsi="Verdana"/>
          <w:sz w:val="20"/>
          <w:szCs w:val="20"/>
        </w:rPr>
        <w:t>–</w:t>
      </w:r>
      <w:r w:rsidRPr="003E2544">
        <w:rPr>
          <w:rFonts w:ascii="Verdana" w:hAnsi="Verdana"/>
          <w:sz w:val="20"/>
          <w:szCs w:val="20"/>
        </w:rPr>
        <w:t xml:space="preserve">2021 and the </w:t>
      </w:r>
      <w:r w:rsidR="7B9257CB" w:rsidRPr="003E2544">
        <w:rPr>
          <w:rFonts w:ascii="Verdana" w:hAnsi="Verdana"/>
          <w:sz w:val="20"/>
          <w:szCs w:val="20"/>
        </w:rPr>
        <w:t>2022</w:t>
      </w:r>
      <w:r w:rsidR="00A33CD9">
        <w:rPr>
          <w:rFonts w:ascii="Verdana" w:hAnsi="Verdana"/>
          <w:sz w:val="20"/>
          <w:szCs w:val="20"/>
        </w:rPr>
        <w:t>–</w:t>
      </w:r>
      <w:r w:rsidR="7B9257CB" w:rsidRPr="003E2544">
        <w:rPr>
          <w:rFonts w:ascii="Verdana" w:hAnsi="Verdana"/>
          <w:sz w:val="20"/>
          <w:szCs w:val="20"/>
        </w:rPr>
        <w:t>202</w:t>
      </w:r>
      <w:r w:rsidR="009C097B" w:rsidRPr="003E2544">
        <w:rPr>
          <w:rFonts w:ascii="Verdana" w:hAnsi="Verdana"/>
          <w:sz w:val="20"/>
          <w:szCs w:val="20"/>
        </w:rPr>
        <w:t>4</w:t>
      </w:r>
      <w:r w:rsidR="7B9257CB" w:rsidRPr="003E2544">
        <w:rPr>
          <w:rFonts w:ascii="Verdana" w:hAnsi="Verdana"/>
          <w:sz w:val="20"/>
          <w:szCs w:val="20"/>
        </w:rPr>
        <w:t xml:space="preserve"> </w:t>
      </w:r>
      <w:r w:rsidRPr="003E2544">
        <w:rPr>
          <w:rFonts w:ascii="Verdana" w:hAnsi="Verdana"/>
          <w:sz w:val="20"/>
          <w:szCs w:val="20"/>
        </w:rPr>
        <w:t>NDS</w:t>
      </w:r>
      <w:r w:rsidR="000066BF" w:rsidRPr="003E2544">
        <w:rPr>
          <w:rFonts w:ascii="Verdana" w:hAnsi="Verdana"/>
          <w:sz w:val="20"/>
          <w:szCs w:val="20"/>
        </w:rPr>
        <w:t>s</w:t>
      </w:r>
      <w:r w:rsidRPr="003E2544">
        <w:rPr>
          <w:rFonts w:ascii="Verdana" w:hAnsi="Verdana"/>
          <w:sz w:val="20"/>
          <w:szCs w:val="20"/>
        </w:rPr>
        <w:t xml:space="preserve">. </w:t>
      </w:r>
    </w:p>
    <w:p w14:paraId="5273F9FA" w14:textId="2679711C" w:rsidR="5F029D6F" w:rsidRPr="003E2544" w:rsidRDefault="5F029D6F" w:rsidP="00245274">
      <w:pPr>
        <w:spacing w:line="240" w:lineRule="auto"/>
        <w:jc w:val="both"/>
        <w:rPr>
          <w:rFonts w:ascii="Verdana" w:hAnsi="Verdana"/>
          <w:sz w:val="20"/>
          <w:szCs w:val="20"/>
        </w:rPr>
      </w:pPr>
    </w:p>
    <w:p w14:paraId="04A09A23" w14:textId="4A1D8282" w:rsidR="00905698" w:rsidRPr="003E2544" w:rsidRDefault="00272BF8" w:rsidP="00852A5B">
      <w:pPr>
        <w:pStyle w:val="Heading3"/>
        <w:spacing w:line="240" w:lineRule="auto"/>
        <w:rPr>
          <w:i/>
          <w:color w:val="C45911" w:themeColor="accent2" w:themeShade="BF"/>
          <w:sz w:val="18"/>
          <w:szCs w:val="18"/>
        </w:rPr>
      </w:pPr>
      <w:r w:rsidRPr="003E2544">
        <w:lastRenderedPageBreak/>
        <w:t xml:space="preserve">2.2 Theory of Change </w:t>
      </w:r>
    </w:p>
    <w:p w14:paraId="013DCEEA" w14:textId="77777777" w:rsidR="00575D9B" w:rsidRPr="003E2544" w:rsidRDefault="00575D9B" w:rsidP="00245274">
      <w:pPr>
        <w:spacing w:line="240" w:lineRule="auto"/>
        <w:rPr>
          <w:rFonts w:ascii="Verdana" w:hAnsi="Verdana"/>
          <w:b/>
          <w:bCs/>
          <w:sz w:val="20"/>
          <w:szCs w:val="20"/>
        </w:rPr>
      </w:pPr>
    </w:p>
    <w:p w14:paraId="3E1ABE9E" w14:textId="77777777" w:rsidR="002E06B5" w:rsidRPr="00852A5B" w:rsidRDefault="002E06B5" w:rsidP="001924E0">
      <w:pPr>
        <w:pStyle w:val="ListParagraph"/>
        <w:numPr>
          <w:ilvl w:val="0"/>
          <w:numId w:val="84"/>
        </w:numPr>
        <w:spacing w:line="240" w:lineRule="auto"/>
        <w:ind w:left="360"/>
        <w:rPr>
          <w:rFonts w:ascii="Verdana" w:hAnsi="Verdana"/>
          <w:b/>
          <w:bCs/>
          <w:sz w:val="19"/>
          <w:szCs w:val="19"/>
        </w:rPr>
      </w:pPr>
      <w:r w:rsidRPr="00852A5B">
        <w:rPr>
          <w:rFonts w:ascii="Verdana" w:hAnsi="Verdana"/>
          <w:b/>
          <w:bCs/>
          <w:sz w:val="19"/>
          <w:szCs w:val="19"/>
        </w:rPr>
        <w:t>Summary</w:t>
      </w:r>
    </w:p>
    <w:p w14:paraId="1A316F76" w14:textId="1D1808EA" w:rsidR="00157105" w:rsidRPr="00852A5B" w:rsidRDefault="00742D4F" w:rsidP="00852A5B">
      <w:pPr>
        <w:spacing w:line="240" w:lineRule="auto"/>
        <w:rPr>
          <w:rFonts w:ascii="Verdana" w:hAnsi="Verdana"/>
          <w:sz w:val="19"/>
          <w:szCs w:val="19"/>
        </w:rPr>
      </w:pPr>
      <w:r w:rsidRPr="00852A5B">
        <w:rPr>
          <w:rFonts w:ascii="Verdana" w:hAnsi="Verdana"/>
          <w:sz w:val="19"/>
          <w:szCs w:val="19"/>
        </w:rPr>
        <w:t>The logic of the theory of change of this JP is that</w:t>
      </w:r>
      <w:r w:rsidR="00157105" w:rsidRPr="00852A5B">
        <w:rPr>
          <w:rFonts w:ascii="Verdana" w:hAnsi="Verdana"/>
          <w:sz w:val="19"/>
          <w:szCs w:val="19"/>
        </w:rPr>
        <w:t>:</w:t>
      </w:r>
    </w:p>
    <w:p w14:paraId="585A3506" w14:textId="04E86D33" w:rsidR="00AF0CE0" w:rsidRPr="003E2544" w:rsidRDefault="00AF0CE0" w:rsidP="00245274">
      <w:pPr>
        <w:spacing w:line="240" w:lineRule="auto"/>
        <w:jc w:val="both"/>
        <w:rPr>
          <w:rFonts w:ascii="Verdana" w:hAnsi="Verdana"/>
          <w:sz w:val="20"/>
          <w:szCs w:val="20"/>
        </w:rPr>
      </w:pPr>
      <w:r w:rsidRPr="003E2544">
        <w:rPr>
          <w:rFonts w:ascii="Verdana" w:hAnsi="Verdana"/>
          <w:b/>
          <w:bCs/>
          <w:i/>
          <w:iCs/>
          <w:sz w:val="20"/>
          <w:szCs w:val="20"/>
        </w:rPr>
        <w:t xml:space="preserve">If </w:t>
      </w:r>
      <w:r w:rsidRPr="003E2544">
        <w:rPr>
          <w:rFonts w:ascii="Verdana" w:hAnsi="Verdana"/>
          <w:sz w:val="20"/>
          <w:szCs w:val="20"/>
        </w:rPr>
        <w:t>an SDG-aligned National Development Strategy (NDS), State Development Strategies (SDS</w:t>
      </w:r>
      <w:r w:rsidR="00A33CD9">
        <w:rPr>
          <w:rFonts w:ascii="Verdana" w:hAnsi="Verdana"/>
          <w:sz w:val="20"/>
          <w:szCs w:val="20"/>
        </w:rPr>
        <w:t>s</w:t>
      </w:r>
      <w:r w:rsidRPr="003E2544">
        <w:rPr>
          <w:rFonts w:ascii="Verdana" w:hAnsi="Verdana"/>
          <w:sz w:val="20"/>
          <w:szCs w:val="20"/>
        </w:rPr>
        <w:t xml:space="preserve">), Sector Plans, and a robust Integrated National Financing Framework (INFF) are developed and implemented in consultation with donors, private sector, and communities including vulnerable population;  </w:t>
      </w:r>
    </w:p>
    <w:p w14:paraId="17B0FCE7" w14:textId="77777777" w:rsidR="00AF0CE0" w:rsidRPr="003E2544" w:rsidRDefault="00AF0CE0" w:rsidP="00245274">
      <w:pPr>
        <w:spacing w:line="240" w:lineRule="auto"/>
        <w:jc w:val="both"/>
        <w:rPr>
          <w:rFonts w:ascii="Verdana" w:hAnsi="Verdana"/>
          <w:sz w:val="20"/>
          <w:szCs w:val="20"/>
        </w:rPr>
      </w:pPr>
      <w:r w:rsidRPr="003E2544">
        <w:rPr>
          <w:rFonts w:ascii="Verdana" w:hAnsi="Verdana"/>
          <w:b/>
          <w:bCs/>
          <w:i/>
          <w:iCs/>
          <w:sz w:val="20"/>
          <w:szCs w:val="20"/>
        </w:rPr>
        <w:t xml:space="preserve">If </w:t>
      </w:r>
      <w:r w:rsidRPr="003E2544">
        <w:rPr>
          <w:rFonts w:ascii="Verdana" w:hAnsi="Verdana"/>
          <w:sz w:val="20"/>
          <w:szCs w:val="20"/>
        </w:rPr>
        <w:t xml:space="preserve">government capacity to mobilize domestic revenue is enhanced; </w:t>
      </w:r>
    </w:p>
    <w:p w14:paraId="7BE2D599" w14:textId="77777777" w:rsidR="00AF0CE0" w:rsidRPr="003E2544" w:rsidRDefault="00AF0CE0" w:rsidP="00245274">
      <w:pPr>
        <w:spacing w:line="240" w:lineRule="auto"/>
        <w:jc w:val="both"/>
        <w:rPr>
          <w:rFonts w:ascii="Verdana" w:hAnsi="Verdana"/>
          <w:sz w:val="20"/>
          <w:szCs w:val="20"/>
        </w:rPr>
      </w:pPr>
      <w:r w:rsidRPr="003E2544">
        <w:rPr>
          <w:rFonts w:ascii="Verdana" w:hAnsi="Verdana"/>
          <w:b/>
          <w:bCs/>
          <w:i/>
          <w:iCs/>
          <w:sz w:val="20"/>
          <w:szCs w:val="20"/>
        </w:rPr>
        <w:t xml:space="preserve">If </w:t>
      </w:r>
      <w:r w:rsidRPr="003E2544">
        <w:rPr>
          <w:rFonts w:ascii="Verdana" w:hAnsi="Verdana"/>
          <w:sz w:val="20"/>
          <w:szCs w:val="20"/>
        </w:rPr>
        <w:t xml:space="preserve">budget planning, formulation, spending, reporting, and financial oversight is improved; </w:t>
      </w:r>
    </w:p>
    <w:p w14:paraId="48294AD0" w14:textId="2E9F259B" w:rsidR="00AF0CE0" w:rsidRDefault="00AF0CE0" w:rsidP="00245274">
      <w:pPr>
        <w:spacing w:line="240" w:lineRule="auto"/>
        <w:jc w:val="both"/>
        <w:rPr>
          <w:rFonts w:ascii="Verdana" w:hAnsi="Verdana"/>
          <w:sz w:val="20"/>
          <w:szCs w:val="20"/>
        </w:rPr>
      </w:pPr>
      <w:r w:rsidRPr="003E2544">
        <w:rPr>
          <w:rFonts w:ascii="Verdana" w:hAnsi="Verdana"/>
          <w:b/>
          <w:bCs/>
          <w:i/>
          <w:iCs/>
          <w:sz w:val="20"/>
          <w:szCs w:val="20"/>
        </w:rPr>
        <w:t>Then</w:t>
      </w:r>
      <w:r w:rsidRPr="003E2544">
        <w:rPr>
          <w:rFonts w:ascii="Verdana" w:hAnsi="Verdana"/>
          <w:sz w:val="20"/>
          <w:szCs w:val="20"/>
        </w:rPr>
        <w:t xml:space="preserve"> the Government of South Sudan and selected States will equitably allocate greater resources to</w:t>
      </w:r>
      <w:r w:rsidRPr="003E2544">
        <w:rPr>
          <w:rFonts w:ascii="Verdana" w:hAnsi="Verdana"/>
          <w:b/>
          <w:bCs/>
          <w:sz w:val="20"/>
          <w:szCs w:val="20"/>
        </w:rPr>
        <w:t xml:space="preserve"> </w:t>
      </w:r>
      <w:r w:rsidRPr="003E2544">
        <w:rPr>
          <w:rFonts w:ascii="Verdana" w:hAnsi="Verdana"/>
          <w:sz w:val="20"/>
          <w:szCs w:val="20"/>
        </w:rPr>
        <w:t>critical SDG-related social services and ensure their efficient, effective and transparent utilization to strengthen resilience, social cohesion and benefit all people, especially the most deprived and vulnerable children and women.</w:t>
      </w:r>
    </w:p>
    <w:p w14:paraId="2A7278DC" w14:textId="049369B1" w:rsidR="002E06B5" w:rsidRDefault="002E06B5" w:rsidP="00245274">
      <w:pPr>
        <w:spacing w:line="240" w:lineRule="auto"/>
        <w:jc w:val="both"/>
        <w:rPr>
          <w:rFonts w:ascii="Verdana" w:hAnsi="Verdana"/>
          <w:sz w:val="20"/>
          <w:szCs w:val="20"/>
        </w:rPr>
      </w:pPr>
    </w:p>
    <w:p w14:paraId="3805C8EC" w14:textId="1F30CD7B" w:rsidR="002E06B5" w:rsidRPr="00852A5B" w:rsidRDefault="002E06B5" w:rsidP="00FD45BC">
      <w:pPr>
        <w:pStyle w:val="ListParagraph"/>
        <w:numPr>
          <w:ilvl w:val="0"/>
          <w:numId w:val="84"/>
        </w:numPr>
        <w:spacing w:line="240" w:lineRule="auto"/>
        <w:ind w:left="360"/>
        <w:rPr>
          <w:rFonts w:ascii="Verdana" w:hAnsi="Verdana"/>
          <w:b/>
          <w:bCs/>
          <w:sz w:val="20"/>
          <w:szCs w:val="20"/>
        </w:rPr>
      </w:pPr>
      <w:r w:rsidRPr="00852A5B">
        <w:rPr>
          <w:rFonts w:ascii="Verdana" w:hAnsi="Verdana"/>
          <w:b/>
          <w:bCs/>
          <w:sz w:val="20"/>
          <w:szCs w:val="20"/>
        </w:rPr>
        <w:t>Detailed explanation</w:t>
      </w:r>
    </w:p>
    <w:p w14:paraId="1173A2F7" w14:textId="01BBE723" w:rsidR="00764DB0" w:rsidRPr="008B4FF4" w:rsidRDefault="00A33CD9" w:rsidP="00245274">
      <w:pPr>
        <w:tabs>
          <w:tab w:val="left" w:pos="5205"/>
        </w:tabs>
        <w:spacing w:line="240" w:lineRule="auto"/>
        <w:jc w:val="both"/>
        <w:rPr>
          <w:rFonts w:ascii="Verdana" w:hAnsi="Verdana"/>
          <w:sz w:val="20"/>
          <w:szCs w:val="20"/>
        </w:rPr>
      </w:pPr>
      <w:r w:rsidRPr="008B4FF4">
        <w:rPr>
          <w:rFonts w:ascii="Verdana" w:hAnsi="Verdana"/>
          <w:sz w:val="20"/>
          <w:szCs w:val="20"/>
        </w:rPr>
        <w:t xml:space="preserve">By 2030, </w:t>
      </w:r>
      <w:r w:rsidR="002E06B5" w:rsidRPr="008B4FF4">
        <w:rPr>
          <w:rFonts w:ascii="Verdana" w:hAnsi="Verdana"/>
          <w:sz w:val="20"/>
          <w:szCs w:val="20"/>
        </w:rPr>
        <w:t>the JP will contribute to “</w:t>
      </w:r>
      <w:r w:rsidR="00852A5B" w:rsidRPr="008B4FF4">
        <w:rPr>
          <w:rFonts w:ascii="Verdana" w:hAnsi="Verdana"/>
          <w:sz w:val="20"/>
          <w:szCs w:val="20"/>
        </w:rPr>
        <w:t>15</w:t>
      </w:r>
      <w:r w:rsidR="002E06B5" w:rsidRPr="008B4FF4">
        <w:rPr>
          <w:rFonts w:ascii="Verdana" w:hAnsi="Verdana"/>
          <w:sz w:val="20"/>
          <w:szCs w:val="20"/>
        </w:rPr>
        <w:t>% budget allocation and expenditure increase to national priorities and social services related to the government priority SDGs</w:t>
      </w:r>
      <w:r w:rsidRPr="008B4FF4">
        <w:rPr>
          <w:rFonts w:ascii="Verdana" w:hAnsi="Verdana"/>
          <w:sz w:val="20"/>
          <w:szCs w:val="20"/>
        </w:rPr>
        <w:t xml:space="preserve"> </w:t>
      </w:r>
      <w:r w:rsidR="002E06B5" w:rsidRPr="008B4FF4">
        <w:rPr>
          <w:rFonts w:ascii="Verdana" w:hAnsi="Verdana"/>
          <w:sz w:val="20"/>
          <w:szCs w:val="20"/>
        </w:rPr>
        <w:t xml:space="preserve">16, 4, 1, 3, 5, 6, 10, and 17.” This will be achieved through establishing a robust, effective and transparent PFM system at national and subnational level to optimally utilize available resources including national revenue as well as other financing resources </w:t>
      </w:r>
      <w:r w:rsidRPr="008B4FF4">
        <w:rPr>
          <w:rFonts w:ascii="Verdana" w:hAnsi="Verdana"/>
          <w:sz w:val="20"/>
          <w:szCs w:val="20"/>
        </w:rPr>
        <w:t xml:space="preserve">such as </w:t>
      </w:r>
      <w:r w:rsidR="002E06B5" w:rsidRPr="008B4FF4">
        <w:rPr>
          <w:rFonts w:ascii="Verdana" w:hAnsi="Verdana"/>
          <w:sz w:val="20"/>
          <w:szCs w:val="20"/>
        </w:rPr>
        <w:t>ODA and the private sector. In this long-term vision, this JP aims to support the top-down process of drafting and revising policy and strategy</w:t>
      </w:r>
      <w:r w:rsidR="002E06B5" w:rsidRPr="00986EA8">
        <w:rPr>
          <w:rFonts w:ascii="Verdana" w:hAnsi="Verdana"/>
          <w:sz w:val="20"/>
          <w:szCs w:val="20"/>
          <w:vertAlign w:val="superscript"/>
        </w:rPr>
        <w:footnoteReference w:id="22"/>
      </w:r>
      <w:r w:rsidR="002E06B5" w:rsidRPr="008B4FF4">
        <w:rPr>
          <w:rFonts w:ascii="Verdana" w:hAnsi="Verdana"/>
          <w:sz w:val="20"/>
          <w:szCs w:val="20"/>
        </w:rPr>
        <w:t xml:space="preserve">, as well as building the capacity of national and subnational government especially focusing on the three states of Central Equatoria, Western Equatoria and Northern Bahr el Ghazal to realize full implementation of their PFM responsibilities. This will later scale up to </w:t>
      </w:r>
      <w:r w:rsidR="00764DB0" w:rsidRPr="008B4FF4">
        <w:rPr>
          <w:rFonts w:ascii="Verdana" w:hAnsi="Verdana"/>
          <w:sz w:val="20"/>
          <w:szCs w:val="20"/>
        </w:rPr>
        <w:t xml:space="preserve">include </w:t>
      </w:r>
      <w:r w:rsidR="002E06B5" w:rsidRPr="008B4FF4">
        <w:rPr>
          <w:rFonts w:ascii="Verdana" w:hAnsi="Verdana"/>
          <w:sz w:val="20"/>
          <w:szCs w:val="20"/>
        </w:rPr>
        <w:t xml:space="preserve">all the ten states in South Sudan in collaboration with the other PFM actors including AfDB, the Government of Japan and the </w:t>
      </w:r>
      <w:r w:rsidR="00764DB0" w:rsidRPr="008B4FF4">
        <w:rPr>
          <w:rFonts w:ascii="Verdana" w:hAnsi="Verdana"/>
          <w:sz w:val="20"/>
          <w:szCs w:val="20"/>
        </w:rPr>
        <w:t>World Bank</w:t>
      </w:r>
      <w:r w:rsidR="002E06B5" w:rsidRPr="008B4FF4">
        <w:rPr>
          <w:rFonts w:ascii="Verdana" w:hAnsi="Verdana"/>
          <w:sz w:val="20"/>
          <w:szCs w:val="20"/>
        </w:rPr>
        <w:t xml:space="preserve">. </w:t>
      </w:r>
    </w:p>
    <w:p w14:paraId="4D81A07E" w14:textId="77777777" w:rsidR="00764DB0" w:rsidRDefault="00764DB0" w:rsidP="00245274">
      <w:pPr>
        <w:tabs>
          <w:tab w:val="left" w:pos="5205"/>
        </w:tabs>
        <w:spacing w:line="240" w:lineRule="auto"/>
        <w:jc w:val="both"/>
        <w:rPr>
          <w:rFonts w:ascii="Verdana" w:hAnsi="Verdana"/>
          <w:sz w:val="19"/>
          <w:szCs w:val="19"/>
        </w:rPr>
      </w:pPr>
    </w:p>
    <w:p w14:paraId="17CAE15B" w14:textId="35A5A83F" w:rsidR="002E06B5" w:rsidRPr="00DE2DB3" w:rsidRDefault="00764DB0" w:rsidP="00245274">
      <w:pPr>
        <w:tabs>
          <w:tab w:val="left" w:pos="5205"/>
        </w:tabs>
        <w:spacing w:line="240" w:lineRule="auto"/>
        <w:jc w:val="both"/>
        <w:rPr>
          <w:rFonts w:ascii="Verdana" w:hAnsi="Verdana"/>
          <w:sz w:val="20"/>
          <w:szCs w:val="20"/>
        </w:rPr>
      </w:pPr>
      <w:r w:rsidRPr="00DE2DB3">
        <w:rPr>
          <w:rFonts w:ascii="Verdana" w:hAnsi="Verdana"/>
          <w:sz w:val="20"/>
          <w:szCs w:val="20"/>
        </w:rPr>
        <w:t>T</w:t>
      </w:r>
      <w:r w:rsidR="002E06B5" w:rsidRPr="00DE2DB3">
        <w:rPr>
          <w:rFonts w:ascii="Verdana" w:hAnsi="Verdana"/>
          <w:sz w:val="20"/>
          <w:szCs w:val="20"/>
        </w:rPr>
        <w:t>he JP will focus on the following interventions:</w:t>
      </w:r>
    </w:p>
    <w:p w14:paraId="5D343121" w14:textId="77777777" w:rsidR="002E06B5" w:rsidRPr="003E2544" w:rsidRDefault="002E06B5" w:rsidP="00245274">
      <w:pPr>
        <w:spacing w:line="240" w:lineRule="auto"/>
        <w:jc w:val="both"/>
        <w:rPr>
          <w:rFonts w:ascii="Verdana" w:hAnsi="Verdana"/>
          <w:sz w:val="19"/>
          <w:szCs w:val="19"/>
        </w:rPr>
      </w:pPr>
    </w:p>
    <w:p w14:paraId="364DAD5C" w14:textId="561F4E05" w:rsidR="002E06B5" w:rsidRPr="003E2544" w:rsidRDefault="002E06B5" w:rsidP="00245274">
      <w:pPr>
        <w:tabs>
          <w:tab w:val="left" w:pos="5205"/>
        </w:tabs>
        <w:spacing w:line="240" w:lineRule="auto"/>
        <w:jc w:val="both"/>
        <w:rPr>
          <w:rFonts w:ascii="Verdana" w:hAnsi="Verdana"/>
          <w:b/>
          <w:bCs/>
          <w:sz w:val="19"/>
          <w:szCs w:val="19"/>
        </w:rPr>
      </w:pPr>
      <w:r w:rsidRPr="003E2544">
        <w:rPr>
          <w:rFonts w:ascii="Verdana" w:hAnsi="Verdana"/>
          <w:b/>
          <w:bCs/>
          <w:sz w:val="19"/>
          <w:szCs w:val="19"/>
        </w:rPr>
        <w:t>Revenue mobilization systems strengthened in Central Equatoria, Western Equatoria and Northern Bahr el Ghazal states</w:t>
      </w:r>
    </w:p>
    <w:p w14:paraId="5D006B40" w14:textId="43215523" w:rsidR="002E06B5" w:rsidRPr="008B4FF4" w:rsidRDefault="002E06B5" w:rsidP="00245274">
      <w:pPr>
        <w:tabs>
          <w:tab w:val="left" w:pos="5205"/>
        </w:tabs>
        <w:spacing w:line="240" w:lineRule="auto"/>
        <w:jc w:val="both"/>
        <w:rPr>
          <w:rFonts w:ascii="Verdana" w:hAnsi="Verdana"/>
          <w:sz w:val="20"/>
          <w:szCs w:val="20"/>
        </w:rPr>
      </w:pPr>
      <w:r w:rsidRPr="008B4FF4">
        <w:rPr>
          <w:rFonts w:ascii="Verdana" w:hAnsi="Verdana"/>
          <w:sz w:val="20"/>
          <w:szCs w:val="20"/>
        </w:rPr>
        <w:t xml:space="preserve">Improving the quality of </w:t>
      </w:r>
      <w:r w:rsidR="00682BA2" w:rsidRPr="008B4FF4">
        <w:rPr>
          <w:rFonts w:ascii="Verdana" w:hAnsi="Verdana"/>
          <w:sz w:val="20"/>
          <w:szCs w:val="20"/>
        </w:rPr>
        <w:t>PFM</w:t>
      </w:r>
      <w:r w:rsidRPr="008B4FF4">
        <w:rPr>
          <w:rFonts w:ascii="Verdana" w:hAnsi="Verdana"/>
          <w:sz w:val="20"/>
          <w:szCs w:val="20"/>
        </w:rPr>
        <w:t xml:space="preserve"> especially revenue management, will increase the level of accountability and citizens’ trust in national and subnational government units. For instance, through the UNDP </w:t>
      </w:r>
      <w:r w:rsidR="00682BA2" w:rsidRPr="00963A48">
        <w:rPr>
          <w:rFonts w:ascii="Verdana" w:hAnsi="Verdana"/>
          <w:sz w:val="20"/>
          <w:szCs w:val="20"/>
        </w:rPr>
        <w:t>Support to</w:t>
      </w:r>
      <w:r w:rsidR="00682BA2" w:rsidRPr="008B4FF4">
        <w:rPr>
          <w:rFonts w:ascii="Verdana" w:hAnsi="Verdana"/>
          <w:sz w:val="20"/>
          <w:szCs w:val="20"/>
        </w:rPr>
        <w:t xml:space="preserve"> </w:t>
      </w:r>
      <w:r w:rsidRPr="008B4FF4">
        <w:rPr>
          <w:rFonts w:ascii="Verdana" w:hAnsi="Verdana"/>
          <w:sz w:val="20"/>
          <w:szCs w:val="20"/>
        </w:rPr>
        <w:t xml:space="preserve">PFM project, locally mobilized taxes were used to construct “Khor muss bridge” between </w:t>
      </w:r>
      <w:proofErr w:type="spellStart"/>
      <w:r w:rsidRPr="008B4FF4">
        <w:rPr>
          <w:rFonts w:ascii="Verdana" w:hAnsi="Verdana"/>
          <w:sz w:val="20"/>
          <w:szCs w:val="20"/>
        </w:rPr>
        <w:t>Magwi</w:t>
      </w:r>
      <w:proofErr w:type="spellEnd"/>
      <w:r w:rsidRPr="008B4FF4">
        <w:rPr>
          <w:rFonts w:ascii="Verdana" w:hAnsi="Verdana"/>
          <w:sz w:val="20"/>
          <w:szCs w:val="20"/>
        </w:rPr>
        <w:t xml:space="preserve"> and Torit town at a cost of 25,000 USD. This newly constructed bridge links 12 counties of Torit State to Juba, Nimule, </w:t>
      </w:r>
      <w:proofErr w:type="spellStart"/>
      <w:r w:rsidRPr="008B4FF4">
        <w:rPr>
          <w:rFonts w:ascii="Verdana" w:hAnsi="Verdana"/>
          <w:sz w:val="20"/>
          <w:szCs w:val="20"/>
        </w:rPr>
        <w:t>Magwi</w:t>
      </w:r>
      <w:proofErr w:type="spellEnd"/>
      <w:r w:rsidRPr="008B4FF4">
        <w:rPr>
          <w:rFonts w:ascii="Verdana" w:hAnsi="Verdana"/>
          <w:sz w:val="20"/>
          <w:szCs w:val="20"/>
        </w:rPr>
        <w:t xml:space="preserve"> and Uganda, reducing the transportation costs, easing the business environment and facilitating movements of goods and people. This, combined with the improvement in the enabling environment for the SRA to collect taxes, helped the SRA in Torit to increase revenue mobilization by 620%</w:t>
      </w:r>
      <w:r w:rsidRPr="00986EA8">
        <w:rPr>
          <w:rFonts w:ascii="Verdana" w:hAnsi="Verdana"/>
          <w:sz w:val="20"/>
          <w:szCs w:val="20"/>
          <w:vertAlign w:val="superscript"/>
        </w:rPr>
        <w:footnoteReference w:id="23"/>
      </w:r>
      <w:r w:rsidRPr="008B4FF4">
        <w:rPr>
          <w:rFonts w:ascii="Verdana" w:hAnsi="Verdana"/>
          <w:sz w:val="20"/>
          <w:szCs w:val="20"/>
        </w:rPr>
        <w:t xml:space="preserve"> within the first month of establishment. This type of success story will encourage taxpayers</w:t>
      </w:r>
      <w:r w:rsidR="00682BA2" w:rsidRPr="008B4FF4">
        <w:rPr>
          <w:rFonts w:ascii="Verdana" w:hAnsi="Verdana"/>
          <w:sz w:val="20"/>
          <w:szCs w:val="20"/>
        </w:rPr>
        <w:t>,</w:t>
      </w:r>
      <w:r w:rsidRPr="008B4FF4">
        <w:rPr>
          <w:rFonts w:ascii="Verdana" w:hAnsi="Verdana"/>
          <w:sz w:val="20"/>
          <w:szCs w:val="20"/>
        </w:rPr>
        <w:t xml:space="preserve"> </w:t>
      </w:r>
      <w:r w:rsidR="00682BA2" w:rsidRPr="008B4FF4">
        <w:rPr>
          <w:rFonts w:ascii="Verdana" w:hAnsi="Verdana"/>
          <w:sz w:val="20"/>
          <w:szCs w:val="20"/>
        </w:rPr>
        <w:t>as they</w:t>
      </w:r>
      <w:r w:rsidRPr="008B4FF4">
        <w:rPr>
          <w:rFonts w:ascii="Verdana" w:hAnsi="Verdana"/>
          <w:sz w:val="20"/>
          <w:szCs w:val="20"/>
        </w:rPr>
        <w:t xml:space="preserve"> see how the taxes that they contributed were utilized. Built on the UNDP’s successful engagement with the SRAs in the former </w:t>
      </w:r>
      <w:proofErr w:type="spellStart"/>
      <w:r w:rsidRPr="008B4FF4">
        <w:rPr>
          <w:rFonts w:ascii="Verdana" w:hAnsi="Verdana"/>
          <w:sz w:val="20"/>
          <w:szCs w:val="20"/>
        </w:rPr>
        <w:t>Jubek</w:t>
      </w:r>
      <w:proofErr w:type="spellEnd"/>
      <w:r w:rsidRPr="008B4FF4">
        <w:rPr>
          <w:rFonts w:ascii="Verdana" w:hAnsi="Verdana"/>
          <w:sz w:val="20"/>
          <w:szCs w:val="20"/>
        </w:rPr>
        <w:t xml:space="preserve">, Aweil and </w:t>
      </w:r>
      <w:proofErr w:type="spellStart"/>
      <w:r w:rsidRPr="008B4FF4">
        <w:rPr>
          <w:rFonts w:ascii="Verdana" w:hAnsi="Verdana"/>
          <w:sz w:val="20"/>
          <w:szCs w:val="20"/>
        </w:rPr>
        <w:t>Gbudue</w:t>
      </w:r>
      <w:proofErr w:type="spellEnd"/>
      <w:r w:rsidRPr="008B4FF4">
        <w:rPr>
          <w:rFonts w:ascii="Verdana" w:hAnsi="Verdana"/>
          <w:sz w:val="20"/>
          <w:szCs w:val="20"/>
        </w:rPr>
        <w:t xml:space="preserve"> states (now Central Equatoria, Western Equatoria and Northern Bahr el Ghazal), the JP will further consolidate its efforts by filling identified gaps of lack of institutional capacity, and lack of awareness among taxpayers on the importance of taxes. </w:t>
      </w:r>
    </w:p>
    <w:p w14:paraId="741F655E" w14:textId="77777777" w:rsidR="002E06B5" w:rsidRPr="003E2544" w:rsidRDefault="002E06B5" w:rsidP="00245274">
      <w:pPr>
        <w:tabs>
          <w:tab w:val="left" w:pos="5205"/>
        </w:tabs>
        <w:spacing w:line="240" w:lineRule="auto"/>
        <w:jc w:val="both"/>
        <w:rPr>
          <w:rFonts w:ascii="Verdana" w:hAnsi="Verdana"/>
          <w:sz w:val="19"/>
          <w:szCs w:val="19"/>
        </w:rPr>
      </w:pPr>
    </w:p>
    <w:p w14:paraId="1BF902C2" w14:textId="77777777" w:rsidR="00DA3CF9" w:rsidRDefault="00DA3CF9" w:rsidP="00245274">
      <w:pPr>
        <w:tabs>
          <w:tab w:val="left" w:pos="5205"/>
        </w:tabs>
        <w:spacing w:line="240" w:lineRule="auto"/>
        <w:jc w:val="both"/>
        <w:rPr>
          <w:rFonts w:ascii="Verdana" w:hAnsi="Verdana"/>
          <w:b/>
          <w:bCs/>
          <w:sz w:val="19"/>
          <w:szCs w:val="19"/>
        </w:rPr>
      </w:pPr>
    </w:p>
    <w:p w14:paraId="7380AF4C" w14:textId="52D3A1F5" w:rsidR="002E06B5" w:rsidRPr="003E2544" w:rsidRDefault="002E06B5" w:rsidP="00245274">
      <w:pPr>
        <w:tabs>
          <w:tab w:val="left" w:pos="5205"/>
        </w:tabs>
        <w:spacing w:line="240" w:lineRule="auto"/>
        <w:jc w:val="both"/>
        <w:rPr>
          <w:rFonts w:ascii="Verdana" w:hAnsi="Verdana"/>
          <w:b/>
          <w:bCs/>
          <w:sz w:val="19"/>
          <w:szCs w:val="19"/>
        </w:rPr>
      </w:pPr>
      <w:r w:rsidRPr="003E2544">
        <w:rPr>
          <w:rFonts w:ascii="Verdana" w:hAnsi="Verdana"/>
          <w:b/>
          <w:bCs/>
          <w:sz w:val="19"/>
          <w:szCs w:val="19"/>
        </w:rPr>
        <w:lastRenderedPageBreak/>
        <w:t xml:space="preserve">Effective PFM institutions reactivated and established at national and </w:t>
      </w:r>
      <w:r>
        <w:rPr>
          <w:rFonts w:ascii="Verdana" w:hAnsi="Verdana"/>
          <w:b/>
          <w:bCs/>
          <w:sz w:val="19"/>
          <w:szCs w:val="19"/>
        </w:rPr>
        <w:t>subnational</w:t>
      </w:r>
      <w:r w:rsidRPr="003E2544">
        <w:rPr>
          <w:rFonts w:ascii="Verdana" w:hAnsi="Verdana"/>
          <w:b/>
          <w:bCs/>
          <w:sz w:val="19"/>
          <w:szCs w:val="19"/>
        </w:rPr>
        <w:t xml:space="preserve"> level especially targeting Central Equatoria, Western Equatoria and Northern Bahr el Ghazal states</w:t>
      </w:r>
    </w:p>
    <w:p w14:paraId="2AD1E308" w14:textId="5C75E02C" w:rsidR="002E06B5" w:rsidRPr="008B4FF4" w:rsidRDefault="002E06B5" w:rsidP="008B4FF4">
      <w:pPr>
        <w:tabs>
          <w:tab w:val="left" w:pos="5205"/>
        </w:tabs>
        <w:spacing w:line="240" w:lineRule="auto"/>
        <w:jc w:val="both"/>
        <w:rPr>
          <w:rFonts w:ascii="Verdana" w:hAnsi="Verdana"/>
          <w:sz w:val="20"/>
          <w:szCs w:val="20"/>
        </w:rPr>
      </w:pPr>
      <w:r w:rsidRPr="008B4FF4">
        <w:rPr>
          <w:rFonts w:ascii="Verdana" w:hAnsi="Verdana"/>
          <w:sz w:val="20"/>
          <w:szCs w:val="20"/>
        </w:rPr>
        <w:t>The JP will establish a government led State Mentoring Team</w:t>
      </w:r>
      <w:r w:rsidR="005F7322" w:rsidRPr="008B4FF4">
        <w:rPr>
          <w:rFonts w:ascii="Verdana" w:hAnsi="Verdana"/>
          <w:sz w:val="20"/>
          <w:szCs w:val="20"/>
        </w:rPr>
        <w:t xml:space="preserve"> (SMT)</w:t>
      </w:r>
      <w:r w:rsidRPr="008B4FF4">
        <w:rPr>
          <w:rFonts w:ascii="Verdana" w:hAnsi="Verdana"/>
          <w:sz w:val="20"/>
          <w:szCs w:val="20"/>
        </w:rPr>
        <w:t xml:space="preserve">. The MoFP, NRA and line ministries will select their delegates (15–20 officers), focusing on </w:t>
      </w:r>
      <w:r w:rsidR="00B50161" w:rsidRPr="008B4FF4">
        <w:rPr>
          <w:rFonts w:ascii="Verdana" w:hAnsi="Verdana"/>
          <w:sz w:val="20"/>
          <w:szCs w:val="20"/>
        </w:rPr>
        <w:t xml:space="preserve">staff </w:t>
      </w:r>
      <w:r w:rsidRPr="008B4FF4">
        <w:rPr>
          <w:rFonts w:ascii="Verdana" w:hAnsi="Verdana"/>
          <w:sz w:val="20"/>
          <w:szCs w:val="20"/>
        </w:rPr>
        <w:t>who will</w:t>
      </w:r>
      <w:r w:rsidR="00B50161" w:rsidRPr="008B4FF4">
        <w:rPr>
          <w:rFonts w:ascii="Verdana" w:hAnsi="Verdana"/>
          <w:sz w:val="20"/>
          <w:szCs w:val="20"/>
        </w:rPr>
        <w:t xml:space="preserve"> be</w:t>
      </w:r>
      <w:r w:rsidRPr="008B4FF4">
        <w:rPr>
          <w:rFonts w:ascii="Verdana" w:hAnsi="Verdana"/>
          <w:sz w:val="20"/>
          <w:szCs w:val="20"/>
        </w:rPr>
        <w:t xml:space="preserve">/are involved in subnational capacity building </w:t>
      </w:r>
      <w:r w:rsidR="00852A5B" w:rsidRPr="008B4FF4">
        <w:rPr>
          <w:rFonts w:ascii="Verdana" w:hAnsi="Verdana"/>
          <w:sz w:val="20"/>
          <w:szCs w:val="20"/>
        </w:rPr>
        <w:t>– e.g.</w:t>
      </w:r>
      <w:r w:rsidRPr="008B4FF4">
        <w:rPr>
          <w:rFonts w:ascii="Verdana" w:hAnsi="Verdana"/>
          <w:sz w:val="20"/>
          <w:szCs w:val="20"/>
        </w:rPr>
        <w:t xml:space="preserve"> </w:t>
      </w:r>
      <w:r w:rsidR="00B50161" w:rsidRPr="008B4FF4">
        <w:rPr>
          <w:rFonts w:ascii="Verdana" w:hAnsi="Verdana"/>
          <w:sz w:val="20"/>
          <w:szCs w:val="20"/>
        </w:rPr>
        <w:t>f</w:t>
      </w:r>
      <w:r w:rsidRPr="008B4FF4">
        <w:rPr>
          <w:rFonts w:ascii="Verdana" w:hAnsi="Verdana"/>
          <w:sz w:val="20"/>
          <w:szCs w:val="20"/>
        </w:rPr>
        <w:t>or MoFP</w:t>
      </w:r>
      <w:r w:rsidR="00B50161" w:rsidRPr="008B4FF4">
        <w:rPr>
          <w:rFonts w:ascii="Verdana" w:hAnsi="Verdana"/>
          <w:sz w:val="20"/>
          <w:szCs w:val="20"/>
        </w:rPr>
        <w:t>, the Intergovernmental Fiscal Relations Unit (</w:t>
      </w:r>
      <w:r w:rsidRPr="008B4FF4">
        <w:rPr>
          <w:rFonts w:ascii="Verdana" w:hAnsi="Verdana"/>
          <w:sz w:val="20"/>
          <w:szCs w:val="20"/>
        </w:rPr>
        <w:t>IGFR</w:t>
      </w:r>
      <w:r w:rsidR="00B50161" w:rsidRPr="008B4FF4">
        <w:rPr>
          <w:rFonts w:ascii="Verdana" w:hAnsi="Verdana"/>
          <w:sz w:val="20"/>
          <w:szCs w:val="20"/>
        </w:rPr>
        <w:t>)</w:t>
      </w:r>
      <w:r w:rsidRPr="008B4FF4">
        <w:rPr>
          <w:rFonts w:ascii="Verdana" w:hAnsi="Verdana"/>
          <w:sz w:val="20"/>
          <w:szCs w:val="20"/>
        </w:rPr>
        <w:t xml:space="preserve"> Unit. Through a five-day training workshop in Juba, the members of the </w:t>
      </w:r>
      <w:r w:rsidR="000069BF" w:rsidRPr="008B4FF4">
        <w:rPr>
          <w:rFonts w:ascii="Verdana" w:hAnsi="Verdana"/>
          <w:sz w:val="20"/>
          <w:szCs w:val="20"/>
        </w:rPr>
        <w:t xml:space="preserve">SMT </w:t>
      </w:r>
      <w:r w:rsidRPr="008B4FF4">
        <w:rPr>
          <w:rFonts w:ascii="Verdana" w:hAnsi="Verdana"/>
          <w:sz w:val="20"/>
          <w:szCs w:val="20"/>
        </w:rPr>
        <w:t>will be equipped with: (1) knowledge and status of the SDGs in South Sudan</w:t>
      </w:r>
      <w:r w:rsidR="00B50161" w:rsidRPr="008B4FF4">
        <w:rPr>
          <w:rFonts w:ascii="Verdana" w:hAnsi="Verdana"/>
          <w:sz w:val="20"/>
          <w:szCs w:val="20"/>
        </w:rPr>
        <w:t>;</w:t>
      </w:r>
      <w:r w:rsidRPr="008B4FF4">
        <w:rPr>
          <w:rFonts w:ascii="Verdana" w:hAnsi="Verdana"/>
          <w:sz w:val="20"/>
          <w:szCs w:val="20"/>
        </w:rPr>
        <w:t xml:space="preserve"> (2) the NDS and alignment with SDGs; (3) updated guidelines on revenue collection and management; (4) strategic and operational planning</w:t>
      </w:r>
      <w:r w:rsidR="00B50161" w:rsidRPr="008B4FF4">
        <w:rPr>
          <w:rFonts w:ascii="Verdana" w:hAnsi="Verdana"/>
          <w:sz w:val="20"/>
          <w:szCs w:val="20"/>
        </w:rPr>
        <w:t>;</w:t>
      </w:r>
      <w:r w:rsidRPr="008B4FF4">
        <w:rPr>
          <w:rFonts w:ascii="Verdana" w:hAnsi="Verdana"/>
          <w:sz w:val="20"/>
          <w:szCs w:val="20"/>
        </w:rPr>
        <w:t xml:space="preserve"> (5) audit procedures and familiariz</w:t>
      </w:r>
      <w:r w:rsidR="00B50161" w:rsidRPr="008B4FF4">
        <w:rPr>
          <w:rFonts w:ascii="Verdana" w:hAnsi="Verdana"/>
          <w:sz w:val="20"/>
          <w:szCs w:val="20"/>
        </w:rPr>
        <w:t xml:space="preserve">ation </w:t>
      </w:r>
      <w:r w:rsidRPr="008B4FF4">
        <w:rPr>
          <w:rFonts w:ascii="Verdana" w:hAnsi="Verdana"/>
          <w:sz w:val="20"/>
          <w:szCs w:val="20"/>
        </w:rPr>
        <w:t>with recent budgeting guidelines (post-February 2020 onwards)</w:t>
      </w:r>
      <w:r w:rsidR="00B50161" w:rsidRPr="008B4FF4">
        <w:rPr>
          <w:rFonts w:ascii="Verdana" w:hAnsi="Verdana"/>
          <w:sz w:val="20"/>
          <w:szCs w:val="20"/>
        </w:rPr>
        <w:t>;</w:t>
      </w:r>
      <w:r w:rsidRPr="008B4FF4">
        <w:rPr>
          <w:rFonts w:ascii="Verdana" w:hAnsi="Verdana"/>
          <w:sz w:val="20"/>
          <w:szCs w:val="20"/>
        </w:rPr>
        <w:t xml:space="preserve"> (6) information on changes in legislation; (7) issues of transparency and accountability, including (8) legislative oversight; (9) human rights and gender equality</w:t>
      </w:r>
      <w:r w:rsidR="00B50161" w:rsidRPr="008B4FF4">
        <w:rPr>
          <w:rFonts w:ascii="Verdana" w:hAnsi="Verdana"/>
          <w:sz w:val="20"/>
          <w:szCs w:val="20"/>
        </w:rPr>
        <w:t>;</w:t>
      </w:r>
      <w:r w:rsidRPr="008B4FF4">
        <w:rPr>
          <w:rFonts w:ascii="Verdana" w:hAnsi="Verdana"/>
          <w:sz w:val="20"/>
          <w:szCs w:val="20"/>
        </w:rPr>
        <w:t xml:space="preserve"> and (10) specific sector SDG implementation. After the completion of this </w:t>
      </w:r>
      <w:proofErr w:type="spellStart"/>
      <w:r w:rsidRPr="008B4FF4">
        <w:rPr>
          <w:rFonts w:ascii="Verdana" w:hAnsi="Verdana"/>
          <w:sz w:val="20"/>
          <w:szCs w:val="20"/>
        </w:rPr>
        <w:t>ToT</w:t>
      </w:r>
      <w:proofErr w:type="spellEnd"/>
      <w:r w:rsidRPr="008B4FF4">
        <w:rPr>
          <w:rFonts w:ascii="Verdana" w:hAnsi="Verdana"/>
          <w:sz w:val="20"/>
          <w:szCs w:val="20"/>
        </w:rPr>
        <w:t xml:space="preserve"> in Juba, the </w:t>
      </w:r>
      <w:r w:rsidR="005F7322" w:rsidRPr="008B4FF4">
        <w:rPr>
          <w:rFonts w:ascii="Verdana" w:hAnsi="Verdana"/>
          <w:sz w:val="20"/>
          <w:szCs w:val="20"/>
        </w:rPr>
        <w:t>SMT</w:t>
      </w:r>
      <w:r w:rsidRPr="008B4FF4">
        <w:rPr>
          <w:rFonts w:ascii="Verdana" w:hAnsi="Verdana"/>
          <w:sz w:val="20"/>
          <w:szCs w:val="20"/>
        </w:rPr>
        <w:t xml:space="preserve"> will be deployed to the target states of Central Equatoria, Western Equatoria and Northern Bahr el Ghazal to conduct training for the State </w:t>
      </w:r>
      <w:r w:rsidR="00B50161" w:rsidRPr="00852A5B">
        <w:rPr>
          <w:rFonts w:ascii="Verdana" w:hAnsi="Verdana"/>
          <w:sz w:val="20"/>
          <w:szCs w:val="20"/>
        </w:rPr>
        <w:t>Director General</w:t>
      </w:r>
      <w:r w:rsidR="00B50161" w:rsidRPr="008B4FF4">
        <w:rPr>
          <w:rFonts w:ascii="Verdana" w:hAnsi="Verdana"/>
          <w:sz w:val="20"/>
          <w:szCs w:val="20"/>
        </w:rPr>
        <w:t xml:space="preserve"> (DG) </w:t>
      </w:r>
      <w:r w:rsidRPr="008B4FF4">
        <w:rPr>
          <w:rFonts w:ascii="Verdana" w:hAnsi="Verdana"/>
          <w:sz w:val="20"/>
          <w:szCs w:val="20"/>
        </w:rPr>
        <w:t xml:space="preserve">of Finance and Administration; SRA, state line ministries; and representatives from counties. </w:t>
      </w:r>
    </w:p>
    <w:p w14:paraId="50FF7D73" w14:textId="77777777" w:rsidR="002E06B5" w:rsidRPr="003E2544" w:rsidRDefault="002E06B5" w:rsidP="00245274">
      <w:pPr>
        <w:tabs>
          <w:tab w:val="left" w:pos="5205"/>
        </w:tabs>
        <w:spacing w:line="240" w:lineRule="auto"/>
        <w:jc w:val="both"/>
        <w:rPr>
          <w:rFonts w:ascii="Verdana" w:hAnsi="Verdana"/>
          <w:sz w:val="19"/>
          <w:szCs w:val="19"/>
        </w:rPr>
      </w:pPr>
    </w:p>
    <w:p w14:paraId="747C92EB" w14:textId="63B2E27F" w:rsidR="002E06B5" w:rsidRPr="003E2544" w:rsidRDefault="002E06B5" w:rsidP="00245274">
      <w:pPr>
        <w:tabs>
          <w:tab w:val="left" w:pos="5205"/>
        </w:tabs>
        <w:spacing w:line="240" w:lineRule="auto"/>
        <w:jc w:val="both"/>
        <w:rPr>
          <w:rFonts w:ascii="Verdana" w:hAnsi="Verdana"/>
          <w:b/>
          <w:bCs/>
          <w:sz w:val="19"/>
          <w:szCs w:val="19"/>
        </w:rPr>
      </w:pPr>
      <w:r w:rsidRPr="003E2544">
        <w:rPr>
          <w:rFonts w:ascii="Verdana" w:hAnsi="Verdana"/>
          <w:b/>
          <w:bCs/>
          <w:sz w:val="19"/>
          <w:szCs w:val="19"/>
        </w:rPr>
        <w:t>SDG</w:t>
      </w:r>
      <w:r w:rsidR="00682BA2">
        <w:rPr>
          <w:rFonts w:ascii="Verdana" w:hAnsi="Verdana"/>
          <w:b/>
          <w:bCs/>
          <w:sz w:val="19"/>
          <w:szCs w:val="19"/>
        </w:rPr>
        <w:t>-</w:t>
      </w:r>
      <w:r w:rsidRPr="003E2544">
        <w:rPr>
          <w:rFonts w:ascii="Verdana" w:hAnsi="Verdana"/>
          <w:b/>
          <w:bCs/>
          <w:sz w:val="19"/>
          <w:szCs w:val="19"/>
        </w:rPr>
        <w:t xml:space="preserve">aligned national and </w:t>
      </w:r>
      <w:r>
        <w:rPr>
          <w:rFonts w:ascii="Verdana" w:hAnsi="Verdana"/>
          <w:b/>
          <w:bCs/>
          <w:sz w:val="19"/>
          <w:szCs w:val="19"/>
        </w:rPr>
        <w:t>subnational</w:t>
      </w:r>
      <w:r w:rsidRPr="003E2544">
        <w:rPr>
          <w:rFonts w:ascii="Verdana" w:hAnsi="Verdana"/>
          <w:b/>
          <w:bCs/>
          <w:sz w:val="19"/>
          <w:szCs w:val="19"/>
        </w:rPr>
        <w:t xml:space="preserve"> level development strategies rolled out through evidence-based decision making and inclusive consultations</w:t>
      </w:r>
    </w:p>
    <w:p w14:paraId="6A1D4205" w14:textId="7A735514" w:rsidR="002E06B5" w:rsidRPr="008B4FF4" w:rsidRDefault="002E06B5" w:rsidP="008B4FF4">
      <w:pPr>
        <w:tabs>
          <w:tab w:val="left" w:pos="5205"/>
        </w:tabs>
        <w:spacing w:line="240" w:lineRule="auto"/>
        <w:jc w:val="both"/>
        <w:rPr>
          <w:rFonts w:ascii="Verdana" w:hAnsi="Verdana"/>
          <w:sz w:val="20"/>
          <w:szCs w:val="20"/>
        </w:rPr>
      </w:pPr>
      <w:r w:rsidRPr="008B4FF4">
        <w:rPr>
          <w:rFonts w:ascii="Verdana" w:hAnsi="Verdana"/>
          <w:sz w:val="20"/>
          <w:szCs w:val="20"/>
        </w:rPr>
        <w:t>SDG</w:t>
      </w:r>
      <w:r w:rsidR="008D7B3C" w:rsidRPr="008B4FF4">
        <w:rPr>
          <w:rFonts w:ascii="Verdana" w:hAnsi="Verdana"/>
          <w:sz w:val="20"/>
          <w:szCs w:val="20"/>
        </w:rPr>
        <w:t>-</w:t>
      </w:r>
      <w:r w:rsidRPr="008B4FF4">
        <w:rPr>
          <w:rFonts w:ascii="Verdana" w:hAnsi="Verdana"/>
          <w:sz w:val="20"/>
          <w:szCs w:val="20"/>
        </w:rPr>
        <w:t xml:space="preserve">aligned national and subnational development strategies will navigate South Sudan towards the realization of SDGs in the long </w:t>
      </w:r>
      <w:r w:rsidR="008D7B3C" w:rsidRPr="008B4FF4">
        <w:rPr>
          <w:rFonts w:ascii="Verdana" w:hAnsi="Verdana"/>
          <w:sz w:val="20"/>
          <w:szCs w:val="20"/>
        </w:rPr>
        <w:t>term</w:t>
      </w:r>
      <w:r w:rsidRPr="008B4FF4">
        <w:rPr>
          <w:rFonts w:ascii="Verdana" w:hAnsi="Verdana"/>
          <w:sz w:val="20"/>
          <w:szCs w:val="20"/>
        </w:rPr>
        <w:t>. The JP, therefore, will organize consultation workshops to develop the NDS and INFF 202</w:t>
      </w:r>
      <w:r w:rsidR="00852A5B" w:rsidRPr="008B4FF4">
        <w:rPr>
          <w:rFonts w:ascii="Verdana" w:hAnsi="Verdana"/>
          <w:sz w:val="20"/>
          <w:szCs w:val="20"/>
        </w:rPr>
        <w:t>2</w:t>
      </w:r>
      <w:r w:rsidR="008D7B3C" w:rsidRPr="008B4FF4">
        <w:rPr>
          <w:rFonts w:ascii="Verdana" w:hAnsi="Verdana"/>
          <w:sz w:val="20"/>
          <w:szCs w:val="20"/>
        </w:rPr>
        <w:t>–</w:t>
      </w:r>
      <w:r w:rsidRPr="008B4FF4">
        <w:rPr>
          <w:rFonts w:ascii="Verdana" w:hAnsi="Verdana"/>
          <w:sz w:val="20"/>
          <w:szCs w:val="20"/>
        </w:rPr>
        <w:t>202</w:t>
      </w:r>
      <w:r w:rsidR="00852A5B" w:rsidRPr="008B4FF4">
        <w:rPr>
          <w:rFonts w:ascii="Verdana" w:hAnsi="Verdana"/>
          <w:sz w:val="20"/>
          <w:szCs w:val="20"/>
        </w:rPr>
        <w:t>4</w:t>
      </w:r>
      <w:r w:rsidRPr="008B4FF4">
        <w:rPr>
          <w:rFonts w:ascii="Verdana" w:hAnsi="Verdana"/>
          <w:sz w:val="20"/>
          <w:szCs w:val="20"/>
        </w:rPr>
        <w:t xml:space="preserve"> at national level and SDSs and </w:t>
      </w:r>
      <w:r w:rsidR="008D7B3C" w:rsidRPr="008B4FF4">
        <w:rPr>
          <w:rFonts w:ascii="Verdana" w:hAnsi="Verdana"/>
          <w:sz w:val="20"/>
          <w:szCs w:val="20"/>
        </w:rPr>
        <w:t>S</w:t>
      </w:r>
      <w:r w:rsidRPr="008B4FF4">
        <w:rPr>
          <w:rFonts w:ascii="Verdana" w:hAnsi="Verdana"/>
          <w:sz w:val="20"/>
          <w:szCs w:val="20"/>
        </w:rPr>
        <w:t xml:space="preserve">ector </w:t>
      </w:r>
      <w:r w:rsidR="008D7B3C" w:rsidRPr="008B4FF4">
        <w:rPr>
          <w:rFonts w:ascii="Verdana" w:hAnsi="Verdana"/>
          <w:sz w:val="20"/>
          <w:szCs w:val="20"/>
        </w:rPr>
        <w:t>P</w:t>
      </w:r>
      <w:r w:rsidRPr="008B4FF4">
        <w:rPr>
          <w:rFonts w:ascii="Verdana" w:hAnsi="Verdana"/>
          <w:sz w:val="20"/>
          <w:szCs w:val="20"/>
        </w:rPr>
        <w:t xml:space="preserve">lans at subnational level. Following the planning process, the JP will hold state budget workshops to support relevant authorities to formulate budgets that are aligned to </w:t>
      </w:r>
      <w:r w:rsidR="008D7B3C" w:rsidRPr="008B4FF4">
        <w:rPr>
          <w:rFonts w:ascii="Verdana" w:hAnsi="Verdana"/>
          <w:sz w:val="20"/>
          <w:szCs w:val="20"/>
        </w:rPr>
        <w:t xml:space="preserve">the </w:t>
      </w:r>
      <w:r w:rsidRPr="008B4FF4">
        <w:rPr>
          <w:rFonts w:ascii="Verdana" w:hAnsi="Verdana"/>
          <w:sz w:val="20"/>
          <w:szCs w:val="20"/>
        </w:rPr>
        <w:t xml:space="preserve">SDGs. The process will be inclusive of donors, the private sector, NGOs and community members who play key roles in development of the country. In parallel, the JP will continue generating financial data for transparency and </w:t>
      </w:r>
      <w:r w:rsidR="008D7B3C" w:rsidRPr="008B4FF4">
        <w:rPr>
          <w:rFonts w:ascii="Verdana" w:hAnsi="Verdana"/>
          <w:sz w:val="20"/>
          <w:szCs w:val="20"/>
        </w:rPr>
        <w:t>for e</w:t>
      </w:r>
      <w:r w:rsidRPr="008B4FF4">
        <w:rPr>
          <w:rFonts w:ascii="Verdana" w:hAnsi="Verdana"/>
          <w:sz w:val="20"/>
          <w:szCs w:val="20"/>
        </w:rPr>
        <w:t xml:space="preserve">vidence-based decision-making purposes. </w:t>
      </w:r>
    </w:p>
    <w:p w14:paraId="7F7AB55F" w14:textId="77777777" w:rsidR="002E06B5" w:rsidRPr="008B4FF4" w:rsidRDefault="002E06B5" w:rsidP="008B4FF4">
      <w:pPr>
        <w:tabs>
          <w:tab w:val="left" w:pos="5205"/>
        </w:tabs>
        <w:spacing w:line="240" w:lineRule="auto"/>
        <w:jc w:val="both"/>
        <w:rPr>
          <w:rFonts w:ascii="Verdana" w:hAnsi="Verdana"/>
          <w:sz w:val="20"/>
          <w:szCs w:val="20"/>
        </w:rPr>
      </w:pPr>
    </w:p>
    <w:p w14:paraId="456DA678" w14:textId="769B7A89" w:rsidR="00682BA2" w:rsidRDefault="002E06B5" w:rsidP="00245274">
      <w:pPr>
        <w:spacing w:line="240" w:lineRule="auto"/>
        <w:jc w:val="both"/>
        <w:rPr>
          <w:rFonts w:ascii="Verdana" w:hAnsi="Verdana"/>
          <w:b/>
          <w:bCs/>
          <w:color w:val="000000" w:themeColor="text1"/>
          <w:sz w:val="19"/>
          <w:szCs w:val="19"/>
        </w:rPr>
      </w:pPr>
      <w:r w:rsidRPr="003E2544">
        <w:rPr>
          <w:rFonts w:ascii="Verdana" w:hAnsi="Verdana"/>
          <w:b/>
          <w:bCs/>
          <w:color w:val="000000" w:themeColor="text1"/>
          <w:sz w:val="19"/>
          <w:szCs w:val="19"/>
        </w:rPr>
        <w:t>Strengthen</w:t>
      </w:r>
      <w:r w:rsidR="00682BA2">
        <w:rPr>
          <w:rFonts w:ascii="Verdana" w:hAnsi="Verdana"/>
          <w:b/>
          <w:bCs/>
          <w:color w:val="000000" w:themeColor="text1"/>
          <w:sz w:val="19"/>
          <w:szCs w:val="19"/>
        </w:rPr>
        <w:t xml:space="preserve">ed </w:t>
      </w:r>
      <w:r w:rsidRPr="003E2544">
        <w:rPr>
          <w:rFonts w:ascii="Verdana" w:hAnsi="Verdana"/>
          <w:b/>
          <w:bCs/>
          <w:color w:val="000000" w:themeColor="text1"/>
          <w:sz w:val="19"/>
          <w:szCs w:val="19"/>
        </w:rPr>
        <w:t>PFM partnerships</w:t>
      </w:r>
    </w:p>
    <w:p w14:paraId="218CEB82" w14:textId="3452B316" w:rsidR="002E06B5" w:rsidRPr="008B4FF4" w:rsidRDefault="002E06B5" w:rsidP="008B4FF4">
      <w:pPr>
        <w:tabs>
          <w:tab w:val="left" w:pos="5205"/>
        </w:tabs>
        <w:spacing w:line="240" w:lineRule="auto"/>
        <w:jc w:val="both"/>
        <w:rPr>
          <w:rFonts w:ascii="Verdana" w:hAnsi="Verdana"/>
          <w:sz w:val="20"/>
          <w:szCs w:val="20"/>
        </w:rPr>
      </w:pPr>
      <w:r w:rsidRPr="008B4FF4">
        <w:rPr>
          <w:rFonts w:ascii="Verdana" w:hAnsi="Verdana"/>
          <w:sz w:val="20"/>
          <w:szCs w:val="20"/>
        </w:rPr>
        <w:t xml:space="preserve">Throughout the JP implementation, there will a focus on rebuilding and strengthening coordination mechanisms at national and subnational levels, led by a Project Steering Committee chaired by MoFP, and with participation </w:t>
      </w:r>
      <w:r w:rsidR="008D7B3C" w:rsidRPr="008B4FF4">
        <w:rPr>
          <w:rFonts w:ascii="Verdana" w:hAnsi="Verdana"/>
          <w:sz w:val="20"/>
          <w:szCs w:val="20"/>
        </w:rPr>
        <w:t xml:space="preserve">from </w:t>
      </w:r>
      <w:r w:rsidRPr="008B4FF4">
        <w:rPr>
          <w:rFonts w:ascii="Verdana" w:hAnsi="Verdana"/>
          <w:sz w:val="20"/>
          <w:szCs w:val="20"/>
        </w:rPr>
        <w:t xml:space="preserve">NRA, </w:t>
      </w:r>
      <w:r w:rsidR="008D7B3C" w:rsidRPr="008B4FF4">
        <w:rPr>
          <w:rFonts w:ascii="Verdana" w:hAnsi="Verdana"/>
          <w:sz w:val="20"/>
          <w:szCs w:val="20"/>
        </w:rPr>
        <w:t>the UN Resident Coordinator’s Office (</w:t>
      </w:r>
      <w:r w:rsidRPr="008B4FF4">
        <w:rPr>
          <w:rFonts w:ascii="Verdana" w:hAnsi="Verdana"/>
          <w:sz w:val="20"/>
          <w:szCs w:val="20"/>
        </w:rPr>
        <w:t>RCO</w:t>
      </w:r>
      <w:r w:rsidR="008D7B3C" w:rsidRPr="008B4FF4">
        <w:rPr>
          <w:rFonts w:ascii="Verdana" w:hAnsi="Verdana"/>
          <w:sz w:val="20"/>
          <w:szCs w:val="20"/>
        </w:rPr>
        <w:t>)</w:t>
      </w:r>
      <w:r w:rsidRPr="008B4FF4">
        <w:rPr>
          <w:rFonts w:ascii="Verdana" w:hAnsi="Verdana"/>
          <w:sz w:val="20"/>
          <w:szCs w:val="20"/>
        </w:rPr>
        <w:t xml:space="preserve"> and PUNO</w:t>
      </w:r>
      <w:r w:rsidR="008D7B3C" w:rsidRPr="008B4FF4">
        <w:rPr>
          <w:rFonts w:ascii="Verdana" w:hAnsi="Verdana"/>
          <w:sz w:val="20"/>
          <w:szCs w:val="20"/>
        </w:rPr>
        <w:t>s</w:t>
      </w:r>
      <w:r w:rsidRPr="008B4FF4">
        <w:rPr>
          <w:rFonts w:ascii="Verdana" w:hAnsi="Verdana"/>
          <w:sz w:val="20"/>
          <w:szCs w:val="20"/>
        </w:rPr>
        <w:t xml:space="preserve">. At subnational level, coordination and oversight committees will also be reactivated.  In addition, there will be strong coordination among PFM actors through the monthly PFM Donor Working Group (PDWG). </w:t>
      </w:r>
    </w:p>
    <w:p w14:paraId="3C0E9DDC" w14:textId="6E17F2B2" w:rsidR="002E06B5" w:rsidRDefault="002E06B5" w:rsidP="00245274">
      <w:pPr>
        <w:spacing w:line="240" w:lineRule="auto"/>
        <w:rPr>
          <w:rFonts w:ascii="Verdana" w:hAnsi="Verdana"/>
          <w:b/>
          <w:bCs/>
          <w:sz w:val="20"/>
          <w:szCs w:val="20"/>
        </w:rPr>
      </w:pPr>
    </w:p>
    <w:p w14:paraId="27C67F57" w14:textId="214B1AFC" w:rsidR="00654A80" w:rsidRPr="00654A80" w:rsidRDefault="00654A80" w:rsidP="009E006E">
      <w:pPr>
        <w:pStyle w:val="ListParagraph"/>
        <w:numPr>
          <w:ilvl w:val="0"/>
          <w:numId w:val="84"/>
        </w:numPr>
        <w:spacing w:line="240" w:lineRule="auto"/>
        <w:ind w:left="360"/>
        <w:rPr>
          <w:rFonts w:ascii="Verdana" w:hAnsi="Verdana"/>
          <w:b/>
          <w:bCs/>
          <w:sz w:val="20"/>
          <w:szCs w:val="20"/>
        </w:rPr>
      </w:pPr>
      <w:r>
        <w:rPr>
          <w:rFonts w:ascii="Verdana" w:hAnsi="Verdana"/>
          <w:b/>
          <w:bCs/>
          <w:sz w:val="20"/>
          <w:szCs w:val="20"/>
        </w:rPr>
        <w:t xml:space="preserve">How strengthened PFM Institutions support managing the impact of COVID 19 in </w:t>
      </w:r>
      <w:r w:rsidRPr="00654A80">
        <w:rPr>
          <w:rFonts w:ascii="Verdana" w:hAnsi="Verdana"/>
          <w:b/>
          <w:bCs/>
          <w:sz w:val="20"/>
          <w:szCs w:val="20"/>
        </w:rPr>
        <w:t>South Sudan</w:t>
      </w:r>
    </w:p>
    <w:p w14:paraId="59570233" w14:textId="79FC3165" w:rsidR="00654A80" w:rsidRDefault="00654A80" w:rsidP="00245274">
      <w:pPr>
        <w:spacing w:line="240" w:lineRule="auto"/>
        <w:rPr>
          <w:rFonts w:ascii="Verdana" w:hAnsi="Verdana"/>
          <w:b/>
          <w:bCs/>
          <w:sz w:val="20"/>
          <w:szCs w:val="20"/>
        </w:rPr>
      </w:pPr>
    </w:p>
    <w:p w14:paraId="3BC66E26" w14:textId="7CA2B895" w:rsidR="009A43C3" w:rsidRDefault="0075768E" w:rsidP="009E006E">
      <w:pPr>
        <w:spacing w:line="240" w:lineRule="auto"/>
        <w:jc w:val="both"/>
        <w:rPr>
          <w:rFonts w:ascii="Verdana" w:hAnsi="Verdana"/>
          <w:sz w:val="20"/>
          <w:szCs w:val="20"/>
        </w:rPr>
      </w:pPr>
      <w:r>
        <w:rPr>
          <w:rFonts w:ascii="Verdana" w:hAnsi="Verdana"/>
          <w:sz w:val="20"/>
          <w:szCs w:val="20"/>
        </w:rPr>
        <w:t xml:space="preserve">A weak PFM system discourages lending institutions </w:t>
      </w:r>
      <w:r w:rsidR="009A43C3">
        <w:rPr>
          <w:rFonts w:ascii="Verdana" w:hAnsi="Verdana"/>
          <w:sz w:val="20"/>
          <w:szCs w:val="20"/>
        </w:rPr>
        <w:t>(</w:t>
      </w:r>
      <w:r w:rsidR="005E66CD">
        <w:rPr>
          <w:rFonts w:ascii="Verdana" w:hAnsi="Verdana"/>
          <w:sz w:val="20"/>
          <w:szCs w:val="20"/>
        </w:rPr>
        <w:t xml:space="preserve">such as the </w:t>
      </w:r>
      <w:r w:rsidR="005E66CD" w:rsidRPr="00A729DB">
        <w:rPr>
          <w:rFonts w:ascii="Verdana" w:hAnsi="Verdana"/>
          <w:sz w:val="20"/>
          <w:szCs w:val="20"/>
        </w:rPr>
        <w:t xml:space="preserve">International Monetary Fund (IMF); World Bank and African Development </w:t>
      </w:r>
      <w:r w:rsidR="00D45386">
        <w:rPr>
          <w:rFonts w:ascii="Verdana" w:hAnsi="Verdana"/>
          <w:sz w:val="20"/>
          <w:szCs w:val="20"/>
        </w:rPr>
        <w:t>Bank</w:t>
      </w:r>
      <w:r w:rsidR="009A43C3">
        <w:rPr>
          <w:rFonts w:ascii="Verdana" w:hAnsi="Verdana"/>
          <w:sz w:val="20"/>
          <w:szCs w:val="20"/>
        </w:rPr>
        <w:t>)</w:t>
      </w:r>
      <w:r w:rsidR="00D45386">
        <w:rPr>
          <w:rFonts w:ascii="Verdana" w:hAnsi="Verdana"/>
          <w:sz w:val="20"/>
          <w:szCs w:val="20"/>
        </w:rPr>
        <w:t xml:space="preserve"> </w:t>
      </w:r>
      <w:r>
        <w:rPr>
          <w:rFonts w:ascii="Verdana" w:hAnsi="Verdana"/>
          <w:sz w:val="20"/>
          <w:szCs w:val="20"/>
        </w:rPr>
        <w:t xml:space="preserve">granting </w:t>
      </w:r>
      <w:r w:rsidR="009A43C3">
        <w:rPr>
          <w:rFonts w:ascii="Verdana" w:hAnsi="Verdana"/>
          <w:sz w:val="20"/>
          <w:szCs w:val="20"/>
        </w:rPr>
        <w:t>much needed COVID 19 assistance</w:t>
      </w:r>
      <w:r w:rsidR="003A2FF6">
        <w:rPr>
          <w:rFonts w:ascii="Verdana" w:hAnsi="Verdana"/>
          <w:sz w:val="20"/>
          <w:szCs w:val="20"/>
        </w:rPr>
        <w:t xml:space="preserve"> </w:t>
      </w:r>
      <w:r w:rsidR="009A43C3">
        <w:rPr>
          <w:rFonts w:ascii="Verdana" w:hAnsi="Verdana"/>
          <w:sz w:val="20"/>
          <w:szCs w:val="20"/>
        </w:rPr>
        <w:t xml:space="preserve">as the lack </w:t>
      </w:r>
      <w:r w:rsidR="00B978E5">
        <w:rPr>
          <w:rFonts w:ascii="Verdana" w:hAnsi="Verdana"/>
          <w:sz w:val="20"/>
          <w:szCs w:val="20"/>
        </w:rPr>
        <w:t>of basic</w:t>
      </w:r>
      <w:r w:rsidR="009A43C3">
        <w:rPr>
          <w:rFonts w:ascii="Verdana" w:hAnsi="Verdana"/>
          <w:sz w:val="20"/>
          <w:szCs w:val="20"/>
        </w:rPr>
        <w:t xml:space="preserve"> PFM systems</w:t>
      </w:r>
      <w:r w:rsidR="003A2FF6">
        <w:rPr>
          <w:rFonts w:ascii="Verdana" w:hAnsi="Verdana"/>
          <w:sz w:val="20"/>
          <w:szCs w:val="20"/>
        </w:rPr>
        <w:t xml:space="preserve"> and </w:t>
      </w:r>
      <w:r w:rsidR="00B65266">
        <w:rPr>
          <w:rFonts w:ascii="Verdana" w:hAnsi="Verdana"/>
          <w:sz w:val="20"/>
          <w:szCs w:val="20"/>
        </w:rPr>
        <w:t>the lack of implementation of previous PFM reform criteria</w:t>
      </w:r>
      <w:r w:rsidR="003A2FF6">
        <w:rPr>
          <w:rFonts w:ascii="Verdana" w:hAnsi="Verdana"/>
          <w:sz w:val="20"/>
          <w:szCs w:val="20"/>
        </w:rPr>
        <w:t xml:space="preserve"> </w:t>
      </w:r>
      <w:r w:rsidR="00B65266">
        <w:rPr>
          <w:rFonts w:ascii="Verdana" w:hAnsi="Verdana"/>
          <w:sz w:val="20"/>
          <w:szCs w:val="20"/>
        </w:rPr>
        <w:t xml:space="preserve">deter granting further loan facilities. </w:t>
      </w:r>
      <w:r w:rsidR="00D61EBC">
        <w:rPr>
          <w:rFonts w:ascii="Verdana" w:hAnsi="Verdana"/>
          <w:sz w:val="20"/>
          <w:szCs w:val="20"/>
        </w:rPr>
        <w:t xml:space="preserve"> Furthermore, the financial management and reporting by sub-national government, where basic health and social protection services are delivered</w:t>
      </w:r>
      <w:r w:rsidR="003A2FF6">
        <w:rPr>
          <w:rFonts w:ascii="Verdana" w:hAnsi="Verdana"/>
          <w:sz w:val="20"/>
          <w:szCs w:val="20"/>
        </w:rPr>
        <w:t>,</w:t>
      </w:r>
      <w:r w:rsidR="00D61EBC">
        <w:rPr>
          <w:rFonts w:ascii="Verdana" w:hAnsi="Verdana"/>
          <w:sz w:val="20"/>
          <w:szCs w:val="20"/>
        </w:rPr>
        <w:t xml:space="preserve"> are virtually non-existent, implying that there is no accountability for the funds intended for those affected by COVID 19.  </w:t>
      </w:r>
      <w:r w:rsidR="003A2FF6">
        <w:rPr>
          <w:rFonts w:ascii="Verdana" w:hAnsi="Verdana"/>
          <w:sz w:val="20"/>
          <w:szCs w:val="20"/>
        </w:rPr>
        <w:t>A transparent PFM system increases the ability of the GRSS to attract much needed financial a</w:t>
      </w:r>
      <w:r w:rsidR="00881A30">
        <w:rPr>
          <w:rFonts w:ascii="Verdana" w:hAnsi="Verdana"/>
          <w:sz w:val="20"/>
          <w:szCs w:val="20"/>
        </w:rPr>
        <w:t xml:space="preserve">ssistance </w:t>
      </w:r>
      <w:r w:rsidR="003A2FF6">
        <w:rPr>
          <w:rFonts w:ascii="Verdana" w:hAnsi="Verdana"/>
          <w:sz w:val="20"/>
          <w:szCs w:val="20"/>
        </w:rPr>
        <w:t>and increases the likelihood of much needed social service</w:t>
      </w:r>
      <w:r w:rsidR="00881A30">
        <w:rPr>
          <w:rFonts w:ascii="Verdana" w:hAnsi="Verdana"/>
          <w:sz w:val="20"/>
          <w:szCs w:val="20"/>
        </w:rPr>
        <w:t>s being delivered.</w:t>
      </w:r>
    </w:p>
    <w:p w14:paraId="63EBD869" w14:textId="77777777" w:rsidR="009A43C3" w:rsidRDefault="009A43C3" w:rsidP="009A43C3">
      <w:pPr>
        <w:spacing w:line="240" w:lineRule="auto"/>
        <w:rPr>
          <w:rFonts w:ascii="Verdana" w:hAnsi="Verdana"/>
          <w:sz w:val="20"/>
          <w:szCs w:val="20"/>
        </w:rPr>
      </w:pPr>
    </w:p>
    <w:p w14:paraId="6C840714" w14:textId="44FDBD99" w:rsidR="00E81DB7" w:rsidRDefault="00E81DB7" w:rsidP="009E006E">
      <w:pPr>
        <w:rPr>
          <w:rFonts w:ascii="Verdana" w:hAnsi="Verdana"/>
          <w:b/>
          <w:bCs/>
          <w:sz w:val="20"/>
          <w:szCs w:val="20"/>
        </w:rPr>
      </w:pPr>
    </w:p>
    <w:p w14:paraId="555F8267" w14:textId="0E148EAC" w:rsidR="009E006E" w:rsidRDefault="009E006E" w:rsidP="009E006E">
      <w:pPr>
        <w:rPr>
          <w:rFonts w:ascii="Verdana" w:hAnsi="Verdana"/>
          <w:b/>
          <w:bCs/>
          <w:sz w:val="20"/>
          <w:szCs w:val="20"/>
        </w:rPr>
      </w:pPr>
    </w:p>
    <w:p w14:paraId="45B22085" w14:textId="77777777" w:rsidR="004425EC" w:rsidRDefault="004425EC" w:rsidP="009E006E">
      <w:pPr>
        <w:rPr>
          <w:rFonts w:ascii="Verdana" w:hAnsi="Verdana"/>
          <w:b/>
          <w:bCs/>
          <w:sz w:val="20"/>
          <w:szCs w:val="20"/>
        </w:rPr>
      </w:pPr>
    </w:p>
    <w:p w14:paraId="3E673E12" w14:textId="631175BD" w:rsidR="002E06B5" w:rsidRPr="00963A48" w:rsidRDefault="002E06B5" w:rsidP="009A43C3">
      <w:pPr>
        <w:pStyle w:val="ListParagraph"/>
        <w:numPr>
          <w:ilvl w:val="0"/>
          <w:numId w:val="84"/>
        </w:numPr>
        <w:spacing w:line="240" w:lineRule="auto"/>
        <w:ind w:left="360"/>
        <w:rPr>
          <w:rFonts w:ascii="Verdana" w:hAnsi="Verdana"/>
          <w:b/>
          <w:bCs/>
          <w:sz w:val="20"/>
          <w:szCs w:val="20"/>
        </w:rPr>
      </w:pPr>
      <w:proofErr w:type="spellStart"/>
      <w:r>
        <w:rPr>
          <w:rFonts w:ascii="Verdana" w:hAnsi="Verdana"/>
          <w:b/>
          <w:bCs/>
          <w:sz w:val="20"/>
          <w:szCs w:val="20"/>
        </w:rPr>
        <w:lastRenderedPageBreak/>
        <w:t>ToC</w:t>
      </w:r>
      <w:proofErr w:type="spellEnd"/>
      <w:r>
        <w:rPr>
          <w:rFonts w:ascii="Verdana" w:hAnsi="Verdana"/>
          <w:b/>
          <w:bCs/>
          <w:sz w:val="20"/>
          <w:szCs w:val="20"/>
        </w:rPr>
        <w:t xml:space="preserve"> assumptions</w:t>
      </w:r>
    </w:p>
    <w:p w14:paraId="280BDDBE" w14:textId="77777777" w:rsidR="002E06B5" w:rsidRPr="00852A5B" w:rsidRDefault="002E06B5" w:rsidP="00852A5B">
      <w:pPr>
        <w:spacing w:line="240" w:lineRule="auto"/>
        <w:rPr>
          <w:rFonts w:ascii="Verdana" w:hAnsi="Verdana"/>
          <w:b/>
          <w:bCs/>
          <w:sz w:val="20"/>
          <w:szCs w:val="20"/>
        </w:rPr>
      </w:pPr>
    </w:p>
    <w:p w14:paraId="412888D1" w14:textId="1AF5106D" w:rsidR="005F53BD" w:rsidRPr="001D26ED" w:rsidRDefault="005F53BD" w:rsidP="001D26ED">
      <w:pPr>
        <w:tabs>
          <w:tab w:val="left" w:pos="5205"/>
        </w:tabs>
        <w:spacing w:line="240" w:lineRule="auto"/>
        <w:jc w:val="both"/>
        <w:rPr>
          <w:rFonts w:ascii="Verdana" w:hAnsi="Verdana"/>
          <w:sz w:val="20"/>
          <w:szCs w:val="20"/>
        </w:rPr>
      </w:pPr>
      <w:r w:rsidRPr="001D26ED">
        <w:rPr>
          <w:rFonts w:ascii="Verdana" w:hAnsi="Verdana"/>
          <w:sz w:val="20"/>
          <w:szCs w:val="20"/>
        </w:rPr>
        <w:t xml:space="preserve">This theory of change </w:t>
      </w:r>
      <w:r w:rsidR="00742D4F" w:rsidRPr="001D26ED">
        <w:rPr>
          <w:rFonts w:ascii="Verdana" w:hAnsi="Verdana"/>
          <w:sz w:val="20"/>
          <w:szCs w:val="20"/>
        </w:rPr>
        <w:t xml:space="preserve">is based on </w:t>
      </w:r>
      <w:r w:rsidR="00110CE5" w:rsidRPr="001D26ED">
        <w:rPr>
          <w:rFonts w:ascii="Verdana" w:hAnsi="Verdana"/>
          <w:sz w:val="20"/>
          <w:szCs w:val="20"/>
        </w:rPr>
        <w:t xml:space="preserve">the following </w:t>
      </w:r>
      <w:r w:rsidRPr="001D26ED">
        <w:rPr>
          <w:rFonts w:ascii="Verdana" w:hAnsi="Verdana"/>
          <w:sz w:val="20"/>
          <w:szCs w:val="20"/>
        </w:rPr>
        <w:t xml:space="preserve">set of assumptions: </w:t>
      </w:r>
    </w:p>
    <w:p w14:paraId="18BC384D" w14:textId="40D83570" w:rsidR="00484A2B" w:rsidRPr="001D26ED" w:rsidRDefault="00484A2B" w:rsidP="001D26ED">
      <w:pPr>
        <w:pStyle w:val="ListParagraph"/>
        <w:numPr>
          <w:ilvl w:val="0"/>
          <w:numId w:val="94"/>
        </w:numPr>
        <w:tabs>
          <w:tab w:val="left" w:pos="5205"/>
        </w:tabs>
        <w:spacing w:line="240" w:lineRule="auto"/>
        <w:rPr>
          <w:rFonts w:ascii="Verdana" w:hAnsi="Verdana"/>
          <w:sz w:val="20"/>
          <w:szCs w:val="20"/>
        </w:rPr>
      </w:pPr>
      <w:r w:rsidRPr="001D26ED">
        <w:rPr>
          <w:rFonts w:ascii="Verdana" w:hAnsi="Verdana"/>
          <w:sz w:val="20"/>
          <w:szCs w:val="20"/>
        </w:rPr>
        <w:t xml:space="preserve">The ability of political role players to maintain the existing interim government institutions and </w:t>
      </w:r>
      <w:r w:rsidR="0071287B" w:rsidRPr="001D26ED">
        <w:rPr>
          <w:rFonts w:ascii="Verdana" w:hAnsi="Verdana"/>
          <w:sz w:val="20"/>
          <w:szCs w:val="20"/>
        </w:rPr>
        <w:t>mechanisms and</w:t>
      </w:r>
      <w:r w:rsidRPr="001D26ED">
        <w:rPr>
          <w:rFonts w:ascii="Verdana" w:hAnsi="Verdana"/>
          <w:sz w:val="20"/>
          <w:szCs w:val="20"/>
        </w:rPr>
        <w:t xml:space="preserve"> navigate a forward trajectory. If the current </w:t>
      </w:r>
      <w:r w:rsidR="0065369B" w:rsidRPr="001D26ED">
        <w:rPr>
          <w:rFonts w:ascii="Verdana" w:hAnsi="Verdana"/>
          <w:sz w:val="20"/>
          <w:szCs w:val="20"/>
        </w:rPr>
        <w:t>interim peace</w:t>
      </w:r>
      <w:r w:rsidRPr="001D26ED">
        <w:rPr>
          <w:rFonts w:ascii="Verdana" w:hAnsi="Verdana"/>
          <w:sz w:val="20"/>
          <w:szCs w:val="20"/>
        </w:rPr>
        <w:t xml:space="preserve"> accord holds, the JP can be successfully implemented. </w:t>
      </w:r>
    </w:p>
    <w:p w14:paraId="149D8EC3" w14:textId="6A09C467" w:rsidR="00C857AA" w:rsidRPr="001D26ED" w:rsidRDefault="00C857AA" w:rsidP="001D26ED">
      <w:pPr>
        <w:pStyle w:val="ListParagraph"/>
        <w:numPr>
          <w:ilvl w:val="0"/>
          <w:numId w:val="94"/>
        </w:numPr>
        <w:tabs>
          <w:tab w:val="left" w:pos="5205"/>
        </w:tabs>
        <w:spacing w:line="240" w:lineRule="auto"/>
        <w:rPr>
          <w:rFonts w:ascii="Verdana" w:hAnsi="Verdana"/>
          <w:sz w:val="20"/>
          <w:szCs w:val="20"/>
        </w:rPr>
      </w:pPr>
      <w:r w:rsidRPr="001D26ED">
        <w:rPr>
          <w:rFonts w:ascii="Verdana" w:hAnsi="Verdana"/>
          <w:sz w:val="20"/>
          <w:szCs w:val="20"/>
        </w:rPr>
        <w:t>Stability in oil production</w:t>
      </w:r>
      <w:r w:rsidR="7265E974" w:rsidRPr="001D26ED">
        <w:rPr>
          <w:rFonts w:ascii="Verdana" w:hAnsi="Verdana"/>
          <w:sz w:val="20"/>
          <w:szCs w:val="20"/>
        </w:rPr>
        <w:t>,</w:t>
      </w:r>
      <w:r w:rsidRPr="001D26ED">
        <w:rPr>
          <w:rFonts w:ascii="Verdana" w:hAnsi="Verdana"/>
          <w:sz w:val="20"/>
          <w:szCs w:val="20"/>
        </w:rPr>
        <w:t xml:space="preserve"> oil price</w:t>
      </w:r>
      <w:r w:rsidR="0440AE9D" w:rsidRPr="001D26ED">
        <w:rPr>
          <w:rFonts w:ascii="Verdana" w:hAnsi="Verdana"/>
          <w:sz w:val="20"/>
          <w:szCs w:val="20"/>
        </w:rPr>
        <w:t>s</w:t>
      </w:r>
      <w:r w:rsidRPr="001D26ED">
        <w:rPr>
          <w:rFonts w:ascii="Verdana" w:hAnsi="Verdana"/>
          <w:sz w:val="20"/>
          <w:szCs w:val="20"/>
        </w:rPr>
        <w:t xml:space="preserve"> and </w:t>
      </w:r>
      <w:r w:rsidR="11DAE39A" w:rsidRPr="001D26ED">
        <w:rPr>
          <w:rFonts w:ascii="Verdana" w:hAnsi="Verdana"/>
          <w:sz w:val="20"/>
          <w:szCs w:val="20"/>
        </w:rPr>
        <w:t xml:space="preserve">in the </w:t>
      </w:r>
      <w:r w:rsidRPr="001D26ED">
        <w:rPr>
          <w:rFonts w:ascii="Verdana" w:hAnsi="Verdana"/>
          <w:sz w:val="20"/>
          <w:szCs w:val="20"/>
        </w:rPr>
        <w:t>country</w:t>
      </w:r>
      <w:r w:rsidR="03CBF4AA" w:rsidRPr="001D26ED">
        <w:rPr>
          <w:rFonts w:ascii="Verdana" w:hAnsi="Verdana"/>
          <w:sz w:val="20"/>
          <w:szCs w:val="20"/>
        </w:rPr>
        <w:t>’s</w:t>
      </w:r>
      <w:r w:rsidRPr="001D26ED">
        <w:rPr>
          <w:rFonts w:ascii="Verdana" w:hAnsi="Verdana"/>
          <w:sz w:val="20"/>
          <w:szCs w:val="20"/>
        </w:rPr>
        <w:t xml:space="preserve"> economy</w:t>
      </w:r>
      <w:r w:rsidR="00F87D69" w:rsidRPr="001D26ED">
        <w:rPr>
          <w:rFonts w:ascii="Verdana" w:hAnsi="Verdana"/>
          <w:sz w:val="20"/>
          <w:szCs w:val="20"/>
        </w:rPr>
        <w:t xml:space="preserve"> </w:t>
      </w:r>
      <w:r w:rsidR="091DAD51" w:rsidRPr="001D26ED">
        <w:rPr>
          <w:rFonts w:ascii="Verdana" w:hAnsi="Verdana"/>
          <w:sz w:val="20"/>
          <w:szCs w:val="20"/>
        </w:rPr>
        <w:t xml:space="preserve">is </w:t>
      </w:r>
      <w:r w:rsidR="00F87D69" w:rsidRPr="001D26ED">
        <w:rPr>
          <w:rFonts w:ascii="Verdana" w:hAnsi="Verdana"/>
          <w:sz w:val="20"/>
          <w:szCs w:val="20"/>
        </w:rPr>
        <w:t>maintain</w:t>
      </w:r>
      <w:r w:rsidR="4803B2C9" w:rsidRPr="001D26ED">
        <w:rPr>
          <w:rFonts w:ascii="Verdana" w:hAnsi="Verdana"/>
          <w:sz w:val="20"/>
          <w:szCs w:val="20"/>
        </w:rPr>
        <w:t>ed</w:t>
      </w:r>
      <w:r w:rsidR="68C7FDDB" w:rsidRPr="001D26ED">
        <w:rPr>
          <w:rFonts w:ascii="Verdana" w:hAnsi="Verdana"/>
          <w:sz w:val="20"/>
          <w:szCs w:val="20"/>
        </w:rPr>
        <w:t>.</w:t>
      </w:r>
      <w:r w:rsidR="00F87D69" w:rsidRPr="001D26ED">
        <w:rPr>
          <w:rFonts w:ascii="Verdana" w:hAnsi="Verdana"/>
          <w:sz w:val="20"/>
          <w:szCs w:val="20"/>
        </w:rPr>
        <w:t xml:space="preserve"> </w:t>
      </w:r>
    </w:p>
    <w:p w14:paraId="089A4DE8" w14:textId="02EB344E" w:rsidR="00F87D69" w:rsidRPr="001D26ED" w:rsidRDefault="00F87D69" w:rsidP="001D26ED">
      <w:pPr>
        <w:pStyle w:val="ListParagraph"/>
        <w:numPr>
          <w:ilvl w:val="0"/>
          <w:numId w:val="94"/>
        </w:numPr>
        <w:tabs>
          <w:tab w:val="left" w:pos="5205"/>
        </w:tabs>
        <w:spacing w:line="240" w:lineRule="auto"/>
        <w:rPr>
          <w:rFonts w:ascii="Verdana" w:hAnsi="Verdana"/>
          <w:sz w:val="20"/>
          <w:szCs w:val="20"/>
        </w:rPr>
      </w:pPr>
      <w:r w:rsidRPr="001D26ED">
        <w:rPr>
          <w:rFonts w:ascii="Verdana" w:hAnsi="Verdana"/>
          <w:sz w:val="20"/>
          <w:szCs w:val="20"/>
        </w:rPr>
        <w:t>Existing PFM actors including UNDP GEMS, World Bank, AfDB, and the Government of Japan remain interested in investing toward PFM institutional capacity development</w:t>
      </w:r>
      <w:r w:rsidR="00902EB2" w:rsidRPr="001D26ED">
        <w:rPr>
          <w:rFonts w:ascii="Verdana" w:hAnsi="Verdana"/>
          <w:sz w:val="20"/>
          <w:szCs w:val="20"/>
        </w:rPr>
        <w:t xml:space="preserve">. </w:t>
      </w:r>
    </w:p>
    <w:p w14:paraId="37497671" w14:textId="14424CAF" w:rsidR="002E06B5" w:rsidRPr="001D26ED" w:rsidRDefault="00C857AA" w:rsidP="001D26ED">
      <w:pPr>
        <w:pStyle w:val="ListParagraph"/>
        <w:numPr>
          <w:ilvl w:val="0"/>
          <w:numId w:val="94"/>
        </w:numPr>
        <w:tabs>
          <w:tab w:val="left" w:pos="5205"/>
        </w:tabs>
        <w:spacing w:line="240" w:lineRule="auto"/>
        <w:rPr>
          <w:rFonts w:ascii="Verdana" w:hAnsi="Verdana"/>
          <w:sz w:val="20"/>
          <w:szCs w:val="20"/>
        </w:rPr>
      </w:pPr>
      <w:r w:rsidRPr="001D26ED">
        <w:rPr>
          <w:rFonts w:ascii="Verdana" w:hAnsi="Verdana"/>
          <w:sz w:val="20"/>
          <w:szCs w:val="20"/>
        </w:rPr>
        <w:t>Taxpayers are incentivized to pay taxes</w:t>
      </w:r>
      <w:r w:rsidR="2B7E80D5" w:rsidRPr="001D26ED">
        <w:rPr>
          <w:rFonts w:ascii="Verdana" w:hAnsi="Verdana"/>
          <w:sz w:val="20"/>
          <w:szCs w:val="20"/>
        </w:rPr>
        <w:t>.</w:t>
      </w:r>
      <w:r w:rsidR="009E4F22" w:rsidRPr="001D26ED">
        <w:rPr>
          <w:rFonts w:ascii="Verdana" w:hAnsi="Verdana"/>
          <w:sz w:val="20"/>
          <w:szCs w:val="20"/>
        </w:rPr>
        <w:t xml:space="preserve"> </w:t>
      </w:r>
    </w:p>
    <w:p w14:paraId="2113D559" w14:textId="298EC957" w:rsidR="003949E4" w:rsidRPr="00DA3CF9" w:rsidRDefault="008060E9" w:rsidP="008B5897">
      <w:pPr>
        <w:pStyle w:val="ListParagraph"/>
        <w:numPr>
          <w:ilvl w:val="0"/>
          <w:numId w:val="94"/>
        </w:numPr>
        <w:tabs>
          <w:tab w:val="left" w:pos="5205"/>
        </w:tabs>
        <w:spacing w:line="240" w:lineRule="auto"/>
        <w:rPr>
          <w:rFonts w:ascii="Verdana" w:hAnsi="Verdana"/>
          <w:sz w:val="20"/>
          <w:szCs w:val="20"/>
          <w:lang w:val="en-US"/>
        </w:rPr>
        <w:sectPr w:rsidR="003949E4" w:rsidRPr="00DA3CF9" w:rsidSect="005335F6">
          <w:pgSz w:w="12240" w:h="15840"/>
          <w:pgMar w:top="1440" w:right="1440" w:bottom="1440" w:left="1440" w:header="720" w:footer="180" w:gutter="0"/>
          <w:cols w:space="720"/>
          <w:docGrid w:linePitch="360"/>
        </w:sectPr>
      </w:pPr>
      <w:r w:rsidRPr="00DA3CF9">
        <w:rPr>
          <w:rFonts w:ascii="Verdana" w:hAnsi="Verdana"/>
          <w:sz w:val="20"/>
          <w:szCs w:val="20"/>
        </w:rPr>
        <w:t xml:space="preserve">NDS, INFF, SDSs and Sector </w:t>
      </w:r>
      <w:r w:rsidR="00B35218" w:rsidRPr="00DA3CF9">
        <w:rPr>
          <w:rFonts w:ascii="Verdana" w:hAnsi="Verdana"/>
          <w:sz w:val="20"/>
          <w:szCs w:val="20"/>
        </w:rPr>
        <w:t>Plan p</w:t>
      </w:r>
      <w:r w:rsidR="00E30065" w:rsidRPr="00DA3CF9">
        <w:rPr>
          <w:rFonts w:ascii="Verdana" w:hAnsi="Verdana"/>
          <w:sz w:val="20"/>
          <w:szCs w:val="20"/>
        </w:rPr>
        <w:t xml:space="preserve">lanning processes are done in </w:t>
      </w:r>
      <w:r w:rsidR="70A6F395" w:rsidRPr="00DA3CF9">
        <w:rPr>
          <w:rFonts w:ascii="Verdana" w:hAnsi="Verdana"/>
          <w:sz w:val="20"/>
          <w:szCs w:val="20"/>
        </w:rPr>
        <w:t xml:space="preserve">an </w:t>
      </w:r>
      <w:r w:rsidR="00E30065" w:rsidRPr="00DA3CF9">
        <w:rPr>
          <w:rFonts w:ascii="Verdana" w:hAnsi="Verdana"/>
          <w:sz w:val="20"/>
          <w:szCs w:val="20"/>
        </w:rPr>
        <w:t xml:space="preserve">inclusive manner </w:t>
      </w:r>
      <w:r w:rsidR="4C669A44" w:rsidRPr="00DA3CF9">
        <w:rPr>
          <w:rFonts w:ascii="Verdana" w:hAnsi="Verdana"/>
          <w:sz w:val="20"/>
          <w:szCs w:val="20"/>
        </w:rPr>
        <w:t>involving</w:t>
      </w:r>
      <w:r w:rsidR="00B35218" w:rsidRPr="00DA3CF9">
        <w:rPr>
          <w:rFonts w:ascii="Verdana" w:hAnsi="Verdana"/>
          <w:sz w:val="20"/>
          <w:szCs w:val="20"/>
        </w:rPr>
        <w:t xml:space="preserve"> </w:t>
      </w:r>
      <w:r w:rsidR="6E039E19" w:rsidRPr="00DA3CF9">
        <w:rPr>
          <w:rFonts w:ascii="Verdana" w:hAnsi="Verdana"/>
          <w:sz w:val="20"/>
          <w:szCs w:val="20"/>
        </w:rPr>
        <w:t>parliamentarians</w:t>
      </w:r>
      <w:r w:rsidR="00C822CB" w:rsidRPr="00DA3CF9">
        <w:rPr>
          <w:rFonts w:ascii="Verdana" w:hAnsi="Verdana"/>
          <w:sz w:val="20"/>
          <w:szCs w:val="20"/>
        </w:rPr>
        <w:t xml:space="preserve">, </w:t>
      </w:r>
      <w:r w:rsidR="6143098C" w:rsidRPr="00DA3CF9">
        <w:rPr>
          <w:rFonts w:ascii="Verdana" w:hAnsi="Verdana"/>
          <w:sz w:val="20"/>
          <w:szCs w:val="20"/>
        </w:rPr>
        <w:t>the p</w:t>
      </w:r>
      <w:r w:rsidR="00E30065" w:rsidRPr="00DA3CF9">
        <w:rPr>
          <w:rFonts w:ascii="Verdana" w:hAnsi="Verdana"/>
          <w:sz w:val="20"/>
          <w:szCs w:val="20"/>
        </w:rPr>
        <w:t xml:space="preserve">rivate </w:t>
      </w:r>
      <w:r w:rsidR="00C03223" w:rsidRPr="00DA3CF9">
        <w:rPr>
          <w:rFonts w:ascii="Verdana" w:hAnsi="Verdana"/>
          <w:sz w:val="20"/>
          <w:szCs w:val="20"/>
        </w:rPr>
        <w:t>s</w:t>
      </w:r>
      <w:r w:rsidR="00E30065" w:rsidRPr="00DA3CF9">
        <w:rPr>
          <w:rFonts w:ascii="Verdana" w:hAnsi="Verdana"/>
          <w:sz w:val="20"/>
          <w:szCs w:val="20"/>
        </w:rPr>
        <w:t>ector (domestic &amp; international)</w:t>
      </w:r>
      <w:r w:rsidR="00B35218" w:rsidRPr="00DA3CF9">
        <w:rPr>
          <w:rFonts w:ascii="Verdana" w:hAnsi="Verdana"/>
          <w:sz w:val="20"/>
          <w:szCs w:val="20"/>
        </w:rPr>
        <w:t xml:space="preserve">, </w:t>
      </w:r>
      <w:r w:rsidR="2415F0B9" w:rsidRPr="00DA3CF9">
        <w:rPr>
          <w:rFonts w:ascii="Verdana" w:hAnsi="Verdana"/>
          <w:sz w:val="20"/>
          <w:szCs w:val="20"/>
        </w:rPr>
        <w:t>i</w:t>
      </w:r>
      <w:r w:rsidR="00E30065" w:rsidRPr="00DA3CF9">
        <w:rPr>
          <w:rFonts w:ascii="Verdana" w:hAnsi="Verdana"/>
          <w:sz w:val="20"/>
          <w:szCs w:val="20"/>
        </w:rPr>
        <w:t xml:space="preserve">nternational </w:t>
      </w:r>
      <w:r w:rsidR="5D56616F" w:rsidRPr="00DA3CF9">
        <w:rPr>
          <w:rFonts w:ascii="Verdana" w:hAnsi="Verdana"/>
          <w:sz w:val="20"/>
          <w:szCs w:val="20"/>
        </w:rPr>
        <w:t>d</w:t>
      </w:r>
      <w:r w:rsidR="00E30065" w:rsidRPr="00DA3CF9">
        <w:rPr>
          <w:rFonts w:ascii="Verdana" w:hAnsi="Verdana"/>
          <w:sz w:val="20"/>
          <w:szCs w:val="20"/>
        </w:rPr>
        <w:t>onors</w:t>
      </w:r>
      <w:r w:rsidR="00B35218" w:rsidRPr="00DA3CF9">
        <w:rPr>
          <w:rFonts w:ascii="Verdana" w:hAnsi="Verdana"/>
          <w:sz w:val="20"/>
          <w:szCs w:val="20"/>
        </w:rPr>
        <w:t>,</w:t>
      </w:r>
      <w:r w:rsidR="00AF4F41" w:rsidRPr="00DA3CF9">
        <w:rPr>
          <w:rFonts w:ascii="Verdana" w:hAnsi="Verdana"/>
          <w:sz w:val="20"/>
          <w:szCs w:val="20"/>
        </w:rPr>
        <w:t xml:space="preserve"> IFIs,</w:t>
      </w:r>
      <w:r w:rsidR="00B35218" w:rsidRPr="00DA3CF9">
        <w:rPr>
          <w:rFonts w:ascii="Verdana" w:hAnsi="Verdana"/>
          <w:sz w:val="20"/>
          <w:szCs w:val="20"/>
        </w:rPr>
        <w:t xml:space="preserve"> </w:t>
      </w:r>
      <w:r w:rsidR="00E30065" w:rsidRPr="00DA3CF9">
        <w:rPr>
          <w:rFonts w:ascii="Verdana" w:hAnsi="Verdana"/>
          <w:sz w:val="20"/>
          <w:szCs w:val="20"/>
        </w:rPr>
        <w:t>CSOs</w:t>
      </w:r>
      <w:r w:rsidR="00B35218" w:rsidRPr="00DA3CF9">
        <w:rPr>
          <w:rFonts w:ascii="Verdana" w:hAnsi="Verdana"/>
          <w:sz w:val="20"/>
          <w:szCs w:val="20"/>
        </w:rPr>
        <w:t xml:space="preserve">, </w:t>
      </w:r>
      <w:r w:rsidR="00512770" w:rsidRPr="00DA3CF9">
        <w:rPr>
          <w:rFonts w:ascii="Verdana" w:hAnsi="Verdana"/>
          <w:sz w:val="20"/>
          <w:szCs w:val="20"/>
        </w:rPr>
        <w:t xml:space="preserve">and </w:t>
      </w:r>
      <w:r w:rsidR="1877FB18" w:rsidRPr="00DA3CF9">
        <w:rPr>
          <w:rFonts w:ascii="Verdana" w:hAnsi="Verdana"/>
          <w:sz w:val="20"/>
          <w:szCs w:val="20"/>
        </w:rPr>
        <w:t>v</w:t>
      </w:r>
      <w:r w:rsidR="00E30065" w:rsidRPr="00DA3CF9">
        <w:rPr>
          <w:rFonts w:ascii="Verdana" w:hAnsi="Verdana"/>
          <w:sz w:val="20"/>
          <w:szCs w:val="20"/>
        </w:rPr>
        <w:t>ulnerable population</w:t>
      </w:r>
      <w:r w:rsidR="02DE71FA" w:rsidRPr="00DA3CF9">
        <w:rPr>
          <w:rFonts w:ascii="Verdana" w:hAnsi="Verdana"/>
          <w:sz w:val="20"/>
          <w:szCs w:val="20"/>
        </w:rPr>
        <w:t>s</w:t>
      </w:r>
      <w:r w:rsidR="00723134" w:rsidRPr="00DA3CF9">
        <w:rPr>
          <w:rFonts w:ascii="Verdana" w:hAnsi="Verdana"/>
          <w:sz w:val="20"/>
          <w:szCs w:val="20"/>
        </w:rPr>
        <w:t xml:space="preserve"> including</w:t>
      </w:r>
      <w:r w:rsidR="00512770" w:rsidRPr="00DA3CF9">
        <w:rPr>
          <w:rFonts w:ascii="Verdana" w:hAnsi="Verdana"/>
          <w:sz w:val="20"/>
          <w:szCs w:val="20"/>
        </w:rPr>
        <w:t xml:space="preserve"> women and persons with disabilities.</w:t>
      </w:r>
    </w:p>
    <w:p w14:paraId="7BD0DF41" w14:textId="36B6C716" w:rsidR="00905698" w:rsidRDefault="00905698" w:rsidP="007944BD">
      <w:pPr>
        <w:pStyle w:val="ListParagraph"/>
        <w:numPr>
          <w:ilvl w:val="0"/>
          <w:numId w:val="84"/>
        </w:numPr>
        <w:spacing w:line="240" w:lineRule="auto"/>
        <w:ind w:left="360"/>
        <w:rPr>
          <w:b/>
          <w:bCs/>
        </w:rPr>
      </w:pPr>
      <w:r w:rsidRPr="00920FAD">
        <w:rPr>
          <w:b/>
          <w:bCs/>
        </w:rPr>
        <w:lastRenderedPageBreak/>
        <w:t>Graphical Representation</w:t>
      </w:r>
    </w:p>
    <w:p w14:paraId="32964946" w14:textId="3A5D4A2E" w:rsidR="003B4637" w:rsidRPr="003B4637" w:rsidRDefault="003B4637" w:rsidP="003B4637">
      <w:pPr>
        <w:spacing w:line="240" w:lineRule="auto"/>
        <w:rPr>
          <w:b/>
          <w:bCs/>
        </w:rPr>
      </w:pPr>
    </w:p>
    <w:p w14:paraId="7A579621" w14:textId="5374278F" w:rsidR="00EF35CE" w:rsidRPr="00610763" w:rsidRDefault="00610763" w:rsidP="00245274">
      <w:pPr>
        <w:spacing w:line="240" w:lineRule="auto"/>
        <w:rPr>
          <w:b/>
          <w:bCs/>
        </w:rPr>
      </w:pPr>
      <w:r>
        <w:rPr>
          <w:b/>
          <w:bCs/>
          <w:noProof/>
        </w:rPr>
        <w:drawing>
          <wp:inline distT="0" distB="0" distL="0" distR="0" wp14:anchorId="606DAEA2" wp14:editId="306857B3">
            <wp:extent cx="9127490" cy="60388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3016" cy="6049122"/>
                    </a:xfrm>
                    <a:prstGeom prst="rect">
                      <a:avLst/>
                    </a:prstGeom>
                    <a:noFill/>
                  </pic:spPr>
                </pic:pic>
              </a:graphicData>
            </a:graphic>
          </wp:inline>
        </w:drawing>
      </w:r>
    </w:p>
    <w:p w14:paraId="26BE77EC" w14:textId="77777777" w:rsidR="00FD45BC" w:rsidRDefault="00FD45BC" w:rsidP="00852A5B">
      <w:pPr>
        <w:pStyle w:val="Heading3"/>
        <w:spacing w:line="240" w:lineRule="auto"/>
        <w:sectPr w:rsidR="00FD45BC" w:rsidSect="00560D09">
          <w:pgSz w:w="15840" w:h="12240" w:orient="landscape"/>
          <w:pgMar w:top="720" w:right="720" w:bottom="720" w:left="720" w:header="720" w:footer="720" w:gutter="0"/>
          <w:cols w:space="720"/>
          <w:docGrid w:linePitch="360"/>
        </w:sectPr>
      </w:pPr>
    </w:p>
    <w:p w14:paraId="35EBD19B" w14:textId="45D2100C" w:rsidR="00272BF8" w:rsidRPr="003E2544" w:rsidRDefault="00272BF8" w:rsidP="00852A5B">
      <w:pPr>
        <w:pStyle w:val="Heading3"/>
        <w:spacing w:line="240" w:lineRule="auto"/>
      </w:pPr>
      <w:r w:rsidRPr="003E2544">
        <w:lastRenderedPageBreak/>
        <w:t>2.3 Expected results by outcome and outputs</w:t>
      </w:r>
    </w:p>
    <w:p w14:paraId="03672892" w14:textId="278C19F8" w:rsidR="00B42F98" w:rsidRPr="003E2544" w:rsidRDefault="00B42F98" w:rsidP="00245274">
      <w:pPr>
        <w:spacing w:line="240" w:lineRule="auto"/>
        <w:rPr>
          <w:rFonts w:ascii="Verdana" w:eastAsia="Calibri" w:hAnsi="Verdana" w:cs="Times New Roman"/>
          <w:i/>
          <w:color w:val="C45911" w:themeColor="accent2" w:themeShade="BF"/>
          <w:sz w:val="18"/>
          <w:szCs w:val="18"/>
        </w:rPr>
      </w:pPr>
    </w:p>
    <w:p w14:paraId="44F58E25" w14:textId="359C2595" w:rsidR="00F5279B" w:rsidRPr="003E2544" w:rsidRDefault="0066522C" w:rsidP="00245274">
      <w:pPr>
        <w:spacing w:line="240" w:lineRule="auto"/>
        <w:rPr>
          <w:rFonts w:ascii="Verdana" w:hAnsi="Verdana"/>
          <w:b/>
          <w:bCs/>
          <w:sz w:val="20"/>
          <w:szCs w:val="20"/>
        </w:rPr>
      </w:pPr>
      <w:r w:rsidRPr="003E2544">
        <w:rPr>
          <w:rFonts w:ascii="Verdana" w:hAnsi="Verdana"/>
          <w:b/>
          <w:bCs/>
          <w:sz w:val="20"/>
          <w:szCs w:val="20"/>
        </w:rPr>
        <w:t>JP</w:t>
      </w:r>
      <w:r w:rsidR="00FF1250" w:rsidRPr="003E2544">
        <w:rPr>
          <w:rFonts w:ascii="Verdana" w:hAnsi="Verdana"/>
          <w:b/>
          <w:bCs/>
          <w:sz w:val="20"/>
          <w:szCs w:val="20"/>
        </w:rPr>
        <w:t xml:space="preserve"> </w:t>
      </w:r>
      <w:r w:rsidRPr="003E2544">
        <w:rPr>
          <w:rFonts w:ascii="Verdana" w:hAnsi="Verdana"/>
          <w:b/>
          <w:bCs/>
          <w:sz w:val="20"/>
          <w:szCs w:val="20"/>
        </w:rPr>
        <w:t>Outcome</w:t>
      </w:r>
    </w:p>
    <w:p w14:paraId="047A71BF" w14:textId="17474B03" w:rsidR="000671C3" w:rsidRPr="003E2544" w:rsidRDefault="009D3197" w:rsidP="00245274">
      <w:pPr>
        <w:spacing w:line="240" w:lineRule="auto"/>
        <w:jc w:val="both"/>
        <w:rPr>
          <w:rFonts w:ascii="Verdana" w:hAnsi="Verdana"/>
          <w:sz w:val="20"/>
          <w:szCs w:val="20"/>
        </w:rPr>
      </w:pPr>
      <w:r>
        <w:rPr>
          <w:rFonts w:ascii="Verdana" w:hAnsi="Verdana"/>
          <w:sz w:val="20"/>
          <w:szCs w:val="20"/>
        </w:rPr>
        <w:t xml:space="preserve">Achievement of a </w:t>
      </w:r>
      <w:r w:rsidR="005E3459">
        <w:rPr>
          <w:rFonts w:ascii="Verdana" w:hAnsi="Verdana"/>
          <w:sz w:val="20"/>
          <w:szCs w:val="20"/>
        </w:rPr>
        <w:t>7</w:t>
      </w:r>
      <w:r w:rsidR="00012BF7" w:rsidRPr="003E2544">
        <w:rPr>
          <w:rFonts w:ascii="Verdana" w:hAnsi="Verdana"/>
          <w:sz w:val="20"/>
          <w:szCs w:val="20"/>
        </w:rPr>
        <w:t xml:space="preserve">% increase in </w:t>
      </w:r>
      <w:r w:rsidR="00AE3213" w:rsidRPr="003E2544">
        <w:rPr>
          <w:rFonts w:ascii="Verdana" w:hAnsi="Verdana"/>
          <w:sz w:val="20"/>
          <w:szCs w:val="20"/>
        </w:rPr>
        <w:t xml:space="preserve">budget allocation </w:t>
      </w:r>
      <w:r w:rsidR="0066522C" w:rsidRPr="003E2544">
        <w:rPr>
          <w:rFonts w:ascii="Verdana" w:hAnsi="Verdana"/>
          <w:sz w:val="20"/>
          <w:szCs w:val="20"/>
        </w:rPr>
        <w:t xml:space="preserve">to </w:t>
      </w:r>
      <w:r w:rsidR="00AE3213" w:rsidRPr="003E2544">
        <w:rPr>
          <w:rFonts w:ascii="Verdana" w:hAnsi="Verdana"/>
          <w:sz w:val="20"/>
          <w:szCs w:val="20"/>
        </w:rPr>
        <w:t xml:space="preserve">national priorities and social services </w:t>
      </w:r>
      <w:r w:rsidR="0066522C" w:rsidRPr="003E2544">
        <w:rPr>
          <w:rFonts w:ascii="Verdana" w:hAnsi="Verdana"/>
          <w:sz w:val="20"/>
          <w:szCs w:val="20"/>
        </w:rPr>
        <w:t xml:space="preserve">which work toward the achievement of the SDGs </w:t>
      </w:r>
      <w:r w:rsidR="00E4522F" w:rsidRPr="003E2544">
        <w:rPr>
          <w:rFonts w:ascii="Verdana" w:hAnsi="Verdana"/>
          <w:sz w:val="20"/>
          <w:szCs w:val="20"/>
        </w:rPr>
        <w:t xml:space="preserve">especially </w:t>
      </w:r>
      <w:r w:rsidR="004A6D39">
        <w:rPr>
          <w:rFonts w:ascii="Verdana" w:hAnsi="Verdana"/>
          <w:sz w:val="20"/>
          <w:szCs w:val="20"/>
        </w:rPr>
        <w:t xml:space="preserve">SDG </w:t>
      </w:r>
      <w:r w:rsidR="00E4522F" w:rsidRPr="003E2544">
        <w:rPr>
          <w:rFonts w:ascii="Verdana" w:hAnsi="Verdana"/>
          <w:sz w:val="20"/>
          <w:szCs w:val="20"/>
        </w:rPr>
        <w:t xml:space="preserve">16, 4, 1, 3, 5, 6, 10, and 17 </w:t>
      </w:r>
      <w:r w:rsidR="00DD122E" w:rsidRPr="003E2544">
        <w:rPr>
          <w:rFonts w:ascii="Verdana" w:hAnsi="Verdana"/>
          <w:sz w:val="20"/>
          <w:szCs w:val="20"/>
        </w:rPr>
        <w:t>through establishing a</w:t>
      </w:r>
      <w:r w:rsidR="0066522C" w:rsidRPr="003E2544">
        <w:rPr>
          <w:rFonts w:ascii="Verdana" w:hAnsi="Verdana"/>
          <w:sz w:val="20"/>
          <w:szCs w:val="20"/>
        </w:rPr>
        <w:t xml:space="preserve">n efficient and effective </w:t>
      </w:r>
      <w:r w:rsidR="000671C3" w:rsidRPr="003E2544">
        <w:rPr>
          <w:rFonts w:ascii="Verdana" w:hAnsi="Verdana"/>
          <w:sz w:val="20"/>
          <w:szCs w:val="20"/>
        </w:rPr>
        <w:t>PFM mechanism</w:t>
      </w:r>
      <w:r w:rsidR="0066522C" w:rsidRPr="003E2544">
        <w:rPr>
          <w:rFonts w:ascii="Verdana" w:hAnsi="Verdana"/>
          <w:sz w:val="20"/>
          <w:szCs w:val="20"/>
        </w:rPr>
        <w:t xml:space="preserve"> based on the principles of transparency and accountability</w:t>
      </w:r>
      <w:r w:rsidR="000671C3" w:rsidRPr="003E2544">
        <w:rPr>
          <w:rFonts w:ascii="Verdana" w:hAnsi="Verdana"/>
          <w:sz w:val="20"/>
          <w:szCs w:val="20"/>
        </w:rPr>
        <w:t>.</w:t>
      </w:r>
    </w:p>
    <w:p w14:paraId="6E0F8B22" w14:textId="77777777" w:rsidR="00B26B61" w:rsidRPr="003E2544" w:rsidRDefault="00B26B61" w:rsidP="00245274">
      <w:pPr>
        <w:spacing w:line="240" w:lineRule="auto"/>
        <w:rPr>
          <w:rFonts w:ascii="Verdana" w:hAnsi="Verdana"/>
          <w:sz w:val="20"/>
          <w:szCs w:val="20"/>
        </w:rPr>
      </w:pPr>
    </w:p>
    <w:p w14:paraId="536838E8" w14:textId="3854951F" w:rsidR="000671C3" w:rsidRPr="003E2544" w:rsidRDefault="000671C3" w:rsidP="00245274">
      <w:pPr>
        <w:spacing w:line="240" w:lineRule="auto"/>
        <w:rPr>
          <w:rFonts w:ascii="Verdana" w:hAnsi="Verdana"/>
          <w:b/>
          <w:bCs/>
          <w:sz w:val="20"/>
          <w:szCs w:val="20"/>
        </w:rPr>
      </w:pPr>
      <w:r w:rsidRPr="003E2544">
        <w:rPr>
          <w:rFonts w:ascii="Verdana" w:hAnsi="Verdana"/>
          <w:b/>
          <w:bCs/>
          <w:sz w:val="20"/>
          <w:szCs w:val="20"/>
        </w:rPr>
        <w:t>JP</w:t>
      </w:r>
      <w:r w:rsidR="00FF1250" w:rsidRPr="003E2544">
        <w:rPr>
          <w:rFonts w:ascii="Verdana" w:hAnsi="Verdana"/>
          <w:b/>
          <w:bCs/>
          <w:sz w:val="20"/>
          <w:szCs w:val="20"/>
        </w:rPr>
        <w:t xml:space="preserve"> </w:t>
      </w:r>
      <w:r w:rsidRPr="003E2544">
        <w:rPr>
          <w:rFonts w:ascii="Verdana" w:hAnsi="Verdana"/>
          <w:b/>
          <w:bCs/>
          <w:sz w:val="20"/>
          <w:szCs w:val="20"/>
        </w:rPr>
        <w:t>Outputs</w:t>
      </w:r>
    </w:p>
    <w:p w14:paraId="4FC56A65" w14:textId="615C203B" w:rsidR="000671C3" w:rsidRPr="003E2544" w:rsidRDefault="2BCEAB2F" w:rsidP="00245274">
      <w:pPr>
        <w:tabs>
          <w:tab w:val="left" w:pos="5205"/>
        </w:tabs>
        <w:spacing w:line="240" w:lineRule="auto"/>
        <w:jc w:val="both"/>
        <w:rPr>
          <w:rFonts w:ascii="Verdana" w:hAnsi="Verdana"/>
          <w:sz w:val="20"/>
          <w:szCs w:val="20"/>
        </w:rPr>
      </w:pPr>
      <w:r w:rsidRPr="003E2544">
        <w:rPr>
          <w:rFonts w:ascii="Verdana" w:hAnsi="Verdana"/>
          <w:b/>
          <w:bCs/>
          <w:sz w:val="20"/>
          <w:szCs w:val="20"/>
        </w:rPr>
        <w:t>Output 1</w:t>
      </w:r>
      <w:r w:rsidR="00634E33">
        <w:rPr>
          <w:rFonts w:ascii="Verdana" w:hAnsi="Verdana"/>
          <w:b/>
          <w:bCs/>
          <w:sz w:val="20"/>
          <w:szCs w:val="20"/>
        </w:rPr>
        <w:t xml:space="preserve"> Capacity Development</w:t>
      </w:r>
      <w:r w:rsidRPr="003E2544">
        <w:rPr>
          <w:rFonts w:ascii="Verdana" w:hAnsi="Verdana"/>
          <w:b/>
          <w:bCs/>
          <w:sz w:val="20"/>
          <w:szCs w:val="20"/>
        </w:rPr>
        <w:t>:</w:t>
      </w:r>
      <w:r w:rsidRPr="003E2544">
        <w:rPr>
          <w:rFonts w:ascii="Verdana" w:hAnsi="Verdana"/>
          <w:sz w:val="20"/>
          <w:szCs w:val="20"/>
        </w:rPr>
        <w:t xml:space="preserve"> 15% revenue mobilization increase in</w:t>
      </w:r>
      <w:r w:rsidR="58D82317" w:rsidRPr="003E2544">
        <w:rPr>
          <w:rFonts w:ascii="Verdana" w:hAnsi="Verdana"/>
          <w:sz w:val="20"/>
          <w:szCs w:val="20"/>
        </w:rPr>
        <w:t xml:space="preserve"> Central Equatoria, Western Equatoria and Norther</w:t>
      </w:r>
      <w:r w:rsidR="6F27716D" w:rsidRPr="003E2544">
        <w:rPr>
          <w:rFonts w:ascii="Verdana" w:hAnsi="Verdana"/>
          <w:sz w:val="20"/>
          <w:szCs w:val="20"/>
        </w:rPr>
        <w:t>n</w:t>
      </w:r>
      <w:r w:rsidR="58D82317" w:rsidRPr="003E2544">
        <w:rPr>
          <w:rFonts w:ascii="Verdana" w:hAnsi="Verdana"/>
          <w:sz w:val="20"/>
          <w:szCs w:val="20"/>
        </w:rPr>
        <w:t xml:space="preserve"> Bahr el Ghazal</w:t>
      </w:r>
      <w:r w:rsidRPr="003E2544">
        <w:rPr>
          <w:rFonts w:ascii="Verdana" w:hAnsi="Verdana"/>
          <w:sz w:val="20"/>
          <w:szCs w:val="20"/>
        </w:rPr>
        <w:t xml:space="preserve"> states</w:t>
      </w:r>
      <w:r w:rsidR="15E1138C" w:rsidRPr="003E2544">
        <w:rPr>
          <w:rFonts w:ascii="Verdana" w:hAnsi="Verdana"/>
          <w:sz w:val="20"/>
          <w:szCs w:val="20"/>
        </w:rPr>
        <w:t xml:space="preserve"> </w:t>
      </w:r>
      <w:r w:rsidR="00596D66" w:rsidRPr="003E2544">
        <w:rPr>
          <w:rFonts w:ascii="Verdana" w:hAnsi="Verdana"/>
          <w:sz w:val="20"/>
          <w:szCs w:val="20"/>
        </w:rPr>
        <w:t>by 202</w:t>
      </w:r>
      <w:r w:rsidR="005E3459">
        <w:rPr>
          <w:rFonts w:ascii="Verdana" w:hAnsi="Verdana"/>
          <w:sz w:val="20"/>
          <w:szCs w:val="20"/>
        </w:rPr>
        <w:t>2</w:t>
      </w:r>
      <w:r w:rsidR="00596D66" w:rsidRPr="003E2544">
        <w:rPr>
          <w:rFonts w:ascii="Verdana" w:hAnsi="Verdana"/>
          <w:sz w:val="20"/>
          <w:szCs w:val="20"/>
        </w:rPr>
        <w:t xml:space="preserve"> </w:t>
      </w:r>
      <w:r w:rsidR="15E1138C" w:rsidRPr="003E2544">
        <w:rPr>
          <w:rFonts w:ascii="Verdana" w:hAnsi="Verdana"/>
          <w:sz w:val="20"/>
          <w:szCs w:val="20"/>
        </w:rPr>
        <w:t>(UNDP lead)</w:t>
      </w:r>
      <w:r w:rsidR="6A2AB733" w:rsidRPr="003E2544">
        <w:rPr>
          <w:rFonts w:ascii="Verdana" w:hAnsi="Verdana"/>
          <w:sz w:val="20"/>
          <w:szCs w:val="20"/>
        </w:rPr>
        <w:t>.</w:t>
      </w:r>
    </w:p>
    <w:p w14:paraId="118A09DB" w14:textId="4744DAA0" w:rsidR="00A64EFD" w:rsidRPr="003E2544" w:rsidRDefault="003171DE" w:rsidP="00245274">
      <w:pPr>
        <w:tabs>
          <w:tab w:val="left" w:pos="5205"/>
        </w:tabs>
        <w:spacing w:line="240" w:lineRule="auto"/>
        <w:jc w:val="both"/>
        <w:rPr>
          <w:rFonts w:ascii="Verdana" w:hAnsi="Verdana"/>
          <w:sz w:val="20"/>
          <w:szCs w:val="20"/>
        </w:rPr>
      </w:pPr>
      <w:r w:rsidRPr="003E2544">
        <w:rPr>
          <w:rFonts w:ascii="Verdana" w:hAnsi="Verdana"/>
          <w:sz w:val="20"/>
          <w:szCs w:val="20"/>
        </w:rPr>
        <w:t xml:space="preserve">Key </w:t>
      </w:r>
      <w:r w:rsidR="00A64EFD" w:rsidRPr="003E2544">
        <w:rPr>
          <w:rFonts w:ascii="Verdana" w:hAnsi="Verdana"/>
          <w:sz w:val="20"/>
          <w:szCs w:val="20"/>
        </w:rPr>
        <w:t>results</w:t>
      </w:r>
      <w:r w:rsidR="7571186F" w:rsidRPr="003E2544">
        <w:rPr>
          <w:rFonts w:ascii="Verdana" w:hAnsi="Verdana"/>
          <w:sz w:val="20"/>
          <w:szCs w:val="20"/>
        </w:rPr>
        <w:t>:</w:t>
      </w:r>
    </w:p>
    <w:p w14:paraId="124A33F7" w14:textId="146ECD0E" w:rsidR="000069BF" w:rsidRPr="000069BF" w:rsidRDefault="00A64EFD" w:rsidP="00245274">
      <w:pPr>
        <w:pStyle w:val="ListParagraph"/>
        <w:numPr>
          <w:ilvl w:val="0"/>
          <w:numId w:val="50"/>
        </w:numPr>
        <w:spacing w:line="240" w:lineRule="auto"/>
        <w:rPr>
          <w:rFonts w:ascii="Verdana" w:hAnsi="Verdana"/>
          <w:sz w:val="20"/>
          <w:szCs w:val="20"/>
          <w:lang w:val="en-US"/>
        </w:rPr>
      </w:pPr>
      <w:r w:rsidRPr="000069BF">
        <w:rPr>
          <w:rFonts w:ascii="Verdana" w:hAnsi="Verdana"/>
          <w:sz w:val="20"/>
          <w:szCs w:val="20"/>
          <w:lang w:val="en-US"/>
        </w:rPr>
        <w:t xml:space="preserve">A revenue mobilization reporting system established in accordance with </w:t>
      </w:r>
      <w:r w:rsidR="00D56FAC" w:rsidRPr="000069BF">
        <w:rPr>
          <w:rFonts w:ascii="Verdana" w:hAnsi="Verdana"/>
          <w:sz w:val="20"/>
          <w:szCs w:val="20"/>
          <w:lang w:val="en-US"/>
        </w:rPr>
        <w:t xml:space="preserve">the </w:t>
      </w:r>
      <w:r w:rsidR="000069BF" w:rsidRPr="000069BF">
        <w:rPr>
          <w:rFonts w:ascii="Verdana" w:hAnsi="Verdana"/>
          <w:sz w:val="20"/>
          <w:szCs w:val="20"/>
        </w:rPr>
        <w:t>Public Financial Management and Accountability Act, 2011.</w:t>
      </w:r>
    </w:p>
    <w:p w14:paraId="23C2C845" w14:textId="7B7971B0" w:rsidR="00A64EFD" w:rsidRPr="000069BF" w:rsidRDefault="07483496" w:rsidP="00245274">
      <w:pPr>
        <w:pStyle w:val="ListParagraph"/>
        <w:numPr>
          <w:ilvl w:val="0"/>
          <w:numId w:val="50"/>
        </w:numPr>
        <w:spacing w:line="240" w:lineRule="auto"/>
        <w:rPr>
          <w:rFonts w:ascii="Verdana" w:eastAsiaTheme="minorEastAsia" w:hAnsi="Verdana" w:cstheme="minorBidi"/>
          <w:sz w:val="20"/>
          <w:szCs w:val="20"/>
          <w:lang w:val="en-US"/>
        </w:rPr>
      </w:pPr>
      <w:r w:rsidRPr="000069BF">
        <w:rPr>
          <w:rFonts w:ascii="Verdana" w:hAnsi="Verdana"/>
          <w:sz w:val="20"/>
          <w:szCs w:val="20"/>
          <w:lang w:val="en-US"/>
        </w:rPr>
        <w:t xml:space="preserve">IT equipment installed at the </w:t>
      </w:r>
      <w:r w:rsidR="1D5A1780" w:rsidRPr="000069BF">
        <w:rPr>
          <w:rFonts w:ascii="Verdana" w:hAnsi="Verdana"/>
          <w:sz w:val="20"/>
          <w:szCs w:val="20"/>
          <w:lang w:val="en-US"/>
        </w:rPr>
        <w:t>Central Equatoria, Western Equatoria and Norther</w:t>
      </w:r>
      <w:r w:rsidR="18D7B5EF" w:rsidRPr="000069BF">
        <w:rPr>
          <w:rFonts w:ascii="Verdana" w:hAnsi="Verdana"/>
          <w:sz w:val="20"/>
          <w:szCs w:val="20"/>
          <w:lang w:val="en-US"/>
        </w:rPr>
        <w:t>n</w:t>
      </w:r>
      <w:r w:rsidR="1D5A1780" w:rsidRPr="000069BF">
        <w:rPr>
          <w:rFonts w:ascii="Verdana" w:hAnsi="Verdana"/>
          <w:sz w:val="20"/>
          <w:szCs w:val="20"/>
          <w:lang w:val="en-US"/>
        </w:rPr>
        <w:t xml:space="preserve"> Bahr el Ghazal</w:t>
      </w:r>
      <w:r w:rsidR="1D0E54E5" w:rsidRPr="000069BF">
        <w:rPr>
          <w:rFonts w:ascii="Verdana" w:hAnsi="Verdana"/>
          <w:sz w:val="20"/>
          <w:szCs w:val="20"/>
          <w:lang w:val="en-US"/>
        </w:rPr>
        <w:t xml:space="preserve"> </w:t>
      </w:r>
      <w:r w:rsidRPr="000069BF">
        <w:rPr>
          <w:rFonts w:ascii="Verdana" w:hAnsi="Verdana"/>
          <w:sz w:val="20"/>
          <w:szCs w:val="20"/>
          <w:lang w:val="en-US"/>
        </w:rPr>
        <w:t>state revenue authority office</w:t>
      </w:r>
      <w:r w:rsidR="1D0E54E5" w:rsidRPr="000069BF">
        <w:rPr>
          <w:rFonts w:ascii="Verdana" w:hAnsi="Verdana"/>
          <w:sz w:val="20"/>
          <w:szCs w:val="20"/>
          <w:lang w:val="en-US"/>
        </w:rPr>
        <w:t>s</w:t>
      </w:r>
      <w:r w:rsidR="5C3E84C8" w:rsidRPr="000069BF">
        <w:rPr>
          <w:rFonts w:ascii="Verdana" w:hAnsi="Verdana"/>
          <w:sz w:val="20"/>
          <w:szCs w:val="20"/>
          <w:lang w:val="en-US"/>
        </w:rPr>
        <w:t>.</w:t>
      </w:r>
      <w:r w:rsidRPr="000069BF">
        <w:rPr>
          <w:rFonts w:ascii="Verdana" w:hAnsi="Verdana"/>
          <w:sz w:val="20"/>
          <w:szCs w:val="20"/>
          <w:lang w:val="en-US"/>
        </w:rPr>
        <w:t xml:space="preserve"> </w:t>
      </w:r>
    </w:p>
    <w:p w14:paraId="0289CFEB" w14:textId="6EC0645C" w:rsidR="00A64EFD" w:rsidRPr="003E2544" w:rsidRDefault="00D465D7" w:rsidP="00245274">
      <w:pPr>
        <w:pStyle w:val="ListParagraph"/>
        <w:numPr>
          <w:ilvl w:val="0"/>
          <w:numId w:val="50"/>
        </w:numPr>
        <w:spacing w:line="240" w:lineRule="auto"/>
        <w:rPr>
          <w:rFonts w:ascii="Verdana" w:hAnsi="Verdana"/>
          <w:sz w:val="20"/>
          <w:szCs w:val="20"/>
          <w:lang w:val="en-US"/>
        </w:rPr>
      </w:pPr>
      <w:r w:rsidRPr="003E2544">
        <w:rPr>
          <w:rFonts w:ascii="Verdana" w:hAnsi="Verdana"/>
          <w:sz w:val="20"/>
          <w:szCs w:val="20"/>
          <w:lang w:val="en-US"/>
        </w:rPr>
        <w:t>C</w:t>
      </w:r>
      <w:r w:rsidR="00A64EFD" w:rsidRPr="003E2544">
        <w:rPr>
          <w:rFonts w:ascii="Verdana" w:hAnsi="Verdana"/>
          <w:sz w:val="20"/>
          <w:szCs w:val="20"/>
          <w:lang w:val="en-US"/>
        </w:rPr>
        <w:t>oordination</w:t>
      </w:r>
      <w:r w:rsidR="00CF024D" w:rsidRPr="003E2544">
        <w:rPr>
          <w:rFonts w:ascii="Verdana" w:hAnsi="Verdana"/>
          <w:sz w:val="20"/>
          <w:szCs w:val="20"/>
          <w:lang w:val="en-US"/>
        </w:rPr>
        <w:t xml:space="preserve"> among</w:t>
      </w:r>
      <w:r w:rsidR="00A64EFD" w:rsidRPr="003E2544">
        <w:rPr>
          <w:rFonts w:ascii="Verdana" w:hAnsi="Verdana"/>
          <w:sz w:val="20"/>
          <w:szCs w:val="20"/>
          <w:lang w:val="en-US"/>
        </w:rPr>
        <w:t xml:space="preserve"> tax collecting agencies </w:t>
      </w:r>
      <w:r w:rsidR="00CF024D" w:rsidRPr="003E2544">
        <w:rPr>
          <w:rFonts w:ascii="Verdana" w:hAnsi="Verdana"/>
          <w:sz w:val="20"/>
          <w:szCs w:val="20"/>
          <w:lang w:val="en-US"/>
        </w:rPr>
        <w:t xml:space="preserve">at the </w:t>
      </w:r>
      <w:r w:rsidR="00A64EFD" w:rsidRPr="003E2544">
        <w:rPr>
          <w:rFonts w:ascii="Verdana" w:hAnsi="Verdana"/>
          <w:sz w:val="20"/>
          <w:szCs w:val="20"/>
          <w:lang w:val="en-US"/>
        </w:rPr>
        <w:t>national</w:t>
      </w:r>
      <w:r w:rsidR="00294041" w:rsidRPr="003E2544">
        <w:rPr>
          <w:rFonts w:ascii="Verdana" w:hAnsi="Verdana"/>
          <w:sz w:val="20"/>
          <w:szCs w:val="20"/>
          <w:lang w:val="en-US"/>
        </w:rPr>
        <w:t xml:space="preserve"> and </w:t>
      </w:r>
      <w:r w:rsidR="009B5B47">
        <w:rPr>
          <w:rFonts w:ascii="Verdana" w:hAnsi="Verdana"/>
          <w:sz w:val="20"/>
          <w:szCs w:val="20"/>
          <w:lang w:val="en-US"/>
        </w:rPr>
        <w:t>subnational</w:t>
      </w:r>
      <w:r w:rsidR="00A64EFD" w:rsidRPr="003E2544">
        <w:rPr>
          <w:rFonts w:ascii="Verdana" w:hAnsi="Verdana"/>
          <w:sz w:val="20"/>
          <w:szCs w:val="20"/>
          <w:lang w:val="en-US"/>
        </w:rPr>
        <w:t xml:space="preserve"> level</w:t>
      </w:r>
      <w:r w:rsidR="00CF024D" w:rsidRPr="003E2544">
        <w:rPr>
          <w:rFonts w:ascii="Verdana" w:hAnsi="Verdana"/>
          <w:sz w:val="20"/>
          <w:szCs w:val="20"/>
          <w:lang w:val="en-US"/>
        </w:rPr>
        <w:t xml:space="preserve"> improved</w:t>
      </w:r>
      <w:r w:rsidR="004A1936" w:rsidRPr="003E2544">
        <w:rPr>
          <w:rFonts w:ascii="Verdana" w:hAnsi="Verdana"/>
          <w:sz w:val="20"/>
          <w:szCs w:val="20"/>
          <w:lang w:val="en-US"/>
        </w:rPr>
        <w:t>.</w:t>
      </w:r>
    </w:p>
    <w:p w14:paraId="7BFA1D78" w14:textId="3E9F3444" w:rsidR="00A64EFD" w:rsidRPr="003E2544" w:rsidRDefault="00A64EFD" w:rsidP="00245274">
      <w:pPr>
        <w:pStyle w:val="ListParagraph"/>
        <w:numPr>
          <w:ilvl w:val="0"/>
          <w:numId w:val="50"/>
        </w:numPr>
        <w:spacing w:line="240" w:lineRule="auto"/>
        <w:rPr>
          <w:rFonts w:ascii="Verdana" w:hAnsi="Verdana"/>
          <w:sz w:val="20"/>
          <w:szCs w:val="20"/>
          <w:lang w:val="en-US"/>
        </w:rPr>
      </w:pPr>
      <w:r w:rsidRPr="003E2544">
        <w:rPr>
          <w:rFonts w:ascii="Verdana" w:hAnsi="Verdana"/>
          <w:sz w:val="20"/>
          <w:szCs w:val="20"/>
          <w:lang w:val="en-US"/>
        </w:rPr>
        <w:t>Taxpayer database installed</w:t>
      </w:r>
      <w:r w:rsidR="004A1936" w:rsidRPr="003E2544">
        <w:rPr>
          <w:rFonts w:ascii="Verdana" w:hAnsi="Verdana"/>
          <w:sz w:val="20"/>
          <w:szCs w:val="20"/>
          <w:lang w:val="en-US"/>
        </w:rPr>
        <w:t>.</w:t>
      </w:r>
    </w:p>
    <w:p w14:paraId="3331F11E" w14:textId="01587DA9" w:rsidR="237740F6" w:rsidRPr="003E2544" w:rsidRDefault="237740F6" w:rsidP="00245274">
      <w:pPr>
        <w:pStyle w:val="ListParagraph"/>
        <w:numPr>
          <w:ilvl w:val="0"/>
          <w:numId w:val="50"/>
        </w:numPr>
        <w:spacing w:line="240" w:lineRule="auto"/>
        <w:rPr>
          <w:rFonts w:ascii="Verdana" w:hAnsi="Verdana"/>
          <w:sz w:val="20"/>
          <w:szCs w:val="20"/>
          <w:lang w:val="en-US"/>
        </w:rPr>
      </w:pPr>
      <w:r w:rsidRPr="003E2544">
        <w:rPr>
          <w:rFonts w:ascii="Verdana" w:hAnsi="Verdana"/>
          <w:sz w:val="20"/>
          <w:szCs w:val="20"/>
          <w:lang w:val="en-US"/>
        </w:rPr>
        <w:t xml:space="preserve">SRAs equipped with skills on efficient tax collection and management. </w:t>
      </w:r>
    </w:p>
    <w:p w14:paraId="7580C06D" w14:textId="77777777" w:rsidR="003171DE" w:rsidRPr="003E2544" w:rsidRDefault="003171DE" w:rsidP="00245274">
      <w:pPr>
        <w:tabs>
          <w:tab w:val="left" w:pos="5205"/>
        </w:tabs>
        <w:spacing w:line="240" w:lineRule="auto"/>
        <w:jc w:val="both"/>
        <w:rPr>
          <w:rFonts w:ascii="Verdana" w:hAnsi="Verdana"/>
          <w:sz w:val="20"/>
          <w:szCs w:val="20"/>
        </w:rPr>
      </w:pPr>
    </w:p>
    <w:p w14:paraId="603DD6C6" w14:textId="44055965" w:rsidR="000671C3" w:rsidRPr="003E2544" w:rsidRDefault="2BCEAB2F" w:rsidP="00245274">
      <w:pPr>
        <w:spacing w:line="240" w:lineRule="auto"/>
        <w:jc w:val="both"/>
        <w:rPr>
          <w:rFonts w:ascii="Verdana" w:hAnsi="Verdana"/>
          <w:sz w:val="20"/>
          <w:szCs w:val="20"/>
        </w:rPr>
      </w:pPr>
      <w:r w:rsidRPr="003E2544">
        <w:rPr>
          <w:rFonts w:ascii="Verdana" w:hAnsi="Verdana"/>
          <w:b/>
          <w:bCs/>
          <w:sz w:val="20"/>
          <w:szCs w:val="20"/>
        </w:rPr>
        <w:t>Output 2</w:t>
      </w:r>
      <w:r w:rsidR="00634E33">
        <w:rPr>
          <w:rFonts w:ascii="Verdana" w:hAnsi="Verdana"/>
          <w:b/>
          <w:bCs/>
          <w:sz w:val="20"/>
          <w:szCs w:val="20"/>
        </w:rPr>
        <w:t xml:space="preserve"> Capacity Enhancement</w:t>
      </w:r>
      <w:r w:rsidRPr="003E2544">
        <w:rPr>
          <w:rFonts w:ascii="Verdana" w:hAnsi="Verdana"/>
          <w:b/>
          <w:bCs/>
          <w:sz w:val="20"/>
          <w:szCs w:val="20"/>
        </w:rPr>
        <w:t>:</w:t>
      </w:r>
      <w:r w:rsidR="00C31225" w:rsidRPr="003E2544">
        <w:rPr>
          <w:rFonts w:ascii="Verdana" w:hAnsi="Verdana"/>
          <w:sz w:val="20"/>
          <w:szCs w:val="20"/>
        </w:rPr>
        <w:t xml:space="preserve"> </w:t>
      </w:r>
      <w:r w:rsidR="00A941C0" w:rsidRPr="003E2544">
        <w:rPr>
          <w:rFonts w:ascii="Verdana" w:hAnsi="Verdana"/>
          <w:sz w:val="20"/>
          <w:szCs w:val="20"/>
        </w:rPr>
        <w:t xml:space="preserve"> </w:t>
      </w:r>
      <w:r w:rsidR="00F90E24" w:rsidRPr="003E2544">
        <w:rPr>
          <w:rFonts w:ascii="Verdana" w:hAnsi="Verdana"/>
          <w:sz w:val="20"/>
          <w:szCs w:val="20"/>
        </w:rPr>
        <w:t>22</w:t>
      </w:r>
      <w:r w:rsidR="00A941C0" w:rsidRPr="003E2544">
        <w:rPr>
          <w:rFonts w:ascii="Verdana" w:hAnsi="Verdana"/>
          <w:sz w:val="20"/>
          <w:szCs w:val="20"/>
        </w:rPr>
        <w:t xml:space="preserve"> s</w:t>
      </w:r>
      <w:r w:rsidR="2C010F6A" w:rsidRPr="003E2544">
        <w:rPr>
          <w:rFonts w:ascii="Verdana" w:hAnsi="Verdana"/>
          <w:sz w:val="20"/>
          <w:szCs w:val="20"/>
        </w:rPr>
        <w:t xml:space="preserve">trengthened </w:t>
      </w:r>
      <w:r w:rsidR="00A941C0" w:rsidRPr="003E2544">
        <w:rPr>
          <w:rFonts w:ascii="Verdana" w:hAnsi="Verdana"/>
          <w:sz w:val="20"/>
          <w:szCs w:val="20"/>
        </w:rPr>
        <w:t xml:space="preserve">and gender-responsive </w:t>
      </w:r>
      <w:r w:rsidRPr="003E2544">
        <w:rPr>
          <w:rFonts w:ascii="Verdana" w:hAnsi="Verdana"/>
          <w:sz w:val="20"/>
          <w:szCs w:val="20"/>
        </w:rPr>
        <w:t xml:space="preserve">PFM institutions at national </w:t>
      </w:r>
      <w:r w:rsidR="2E93432E" w:rsidRPr="003E2544">
        <w:rPr>
          <w:rFonts w:ascii="Verdana" w:hAnsi="Verdana"/>
          <w:sz w:val="20"/>
          <w:szCs w:val="20"/>
        </w:rPr>
        <w:t xml:space="preserve">and </w:t>
      </w:r>
      <w:r w:rsidR="009B5B47">
        <w:rPr>
          <w:rFonts w:ascii="Verdana" w:hAnsi="Verdana"/>
          <w:sz w:val="20"/>
          <w:szCs w:val="20"/>
        </w:rPr>
        <w:t>subnational</w:t>
      </w:r>
      <w:r w:rsidRPr="003E2544">
        <w:rPr>
          <w:rFonts w:ascii="Verdana" w:hAnsi="Verdana"/>
          <w:sz w:val="20"/>
          <w:szCs w:val="20"/>
        </w:rPr>
        <w:t xml:space="preserve"> level</w:t>
      </w:r>
      <w:r w:rsidR="2E93432E" w:rsidRPr="003E2544">
        <w:rPr>
          <w:rFonts w:ascii="Verdana" w:hAnsi="Verdana"/>
          <w:sz w:val="20"/>
          <w:szCs w:val="20"/>
        </w:rPr>
        <w:t>s</w:t>
      </w:r>
      <w:r w:rsidRPr="003E2544">
        <w:rPr>
          <w:rFonts w:ascii="Verdana" w:hAnsi="Verdana"/>
          <w:sz w:val="20"/>
          <w:szCs w:val="20"/>
        </w:rPr>
        <w:t xml:space="preserve"> especially targeting</w:t>
      </w:r>
      <w:r w:rsidR="65C183A1" w:rsidRPr="003E2544">
        <w:rPr>
          <w:rFonts w:ascii="Verdana" w:hAnsi="Verdana"/>
          <w:sz w:val="20"/>
          <w:szCs w:val="20"/>
        </w:rPr>
        <w:t xml:space="preserve"> Central Equatoria, Western Equatoria and Norther</w:t>
      </w:r>
      <w:r w:rsidR="6C65FC8B" w:rsidRPr="003E2544">
        <w:rPr>
          <w:rFonts w:ascii="Verdana" w:hAnsi="Verdana"/>
          <w:sz w:val="20"/>
          <w:szCs w:val="20"/>
        </w:rPr>
        <w:t>n</w:t>
      </w:r>
      <w:r w:rsidR="65C183A1" w:rsidRPr="003E2544">
        <w:rPr>
          <w:rFonts w:ascii="Verdana" w:hAnsi="Verdana"/>
          <w:sz w:val="20"/>
          <w:szCs w:val="20"/>
        </w:rPr>
        <w:t xml:space="preserve"> Bahr el Ghazal</w:t>
      </w:r>
      <w:r w:rsidRPr="003E2544">
        <w:rPr>
          <w:rFonts w:ascii="Verdana" w:hAnsi="Verdana"/>
          <w:sz w:val="20"/>
          <w:szCs w:val="20"/>
        </w:rPr>
        <w:t xml:space="preserve"> states</w:t>
      </w:r>
      <w:r w:rsidR="064A2D55" w:rsidRPr="003E2544">
        <w:rPr>
          <w:rFonts w:ascii="Verdana" w:hAnsi="Verdana"/>
          <w:sz w:val="20"/>
          <w:szCs w:val="20"/>
        </w:rPr>
        <w:t xml:space="preserve"> </w:t>
      </w:r>
      <w:r w:rsidR="00A941C0" w:rsidRPr="003E2544">
        <w:rPr>
          <w:rFonts w:ascii="Verdana" w:hAnsi="Verdana"/>
          <w:sz w:val="20"/>
          <w:szCs w:val="20"/>
        </w:rPr>
        <w:t>by 202</w:t>
      </w:r>
      <w:r w:rsidR="005E3459">
        <w:rPr>
          <w:rFonts w:ascii="Verdana" w:hAnsi="Verdana"/>
          <w:sz w:val="20"/>
          <w:szCs w:val="20"/>
        </w:rPr>
        <w:t>2</w:t>
      </w:r>
      <w:r w:rsidR="00A941C0" w:rsidRPr="003E2544">
        <w:rPr>
          <w:rFonts w:ascii="Verdana" w:hAnsi="Verdana"/>
          <w:sz w:val="20"/>
          <w:szCs w:val="20"/>
        </w:rPr>
        <w:t xml:space="preserve"> </w:t>
      </w:r>
      <w:r w:rsidR="064A2D55" w:rsidRPr="003E2544">
        <w:rPr>
          <w:rFonts w:ascii="Verdana" w:hAnsi="Verdana"/>
          <w:sz w:val="20"/>
          <w:szCs w:val="20"/>
        </w:rPr>
        <w:t>(UNICEF lead)</w:t>
      </w:r>
      <w:r w:rsidR="00D56FAC" w:rsidRPr="003E2544">
        <w:rPr>
          <w:rFonts w:ascii="Verdana" w:hAnsi="Verdana"/>
          <w:sz w:val="20"/>
          <w:szCs w:val="20"/>
        </w:rPr>
        <w:t>.</w:t>
      </w:r>
    </w:p>
    <w:p w14:paraId="5C936A76" w14:textId="446974E7" w:rsidR="003171DE" w:rsidRPr="003E2544" w:rsidRDefault="003171DE" w:rsidP="00245274">
      <w:pPr>
        <w:tabs>
          <w:tab w:val="left" w:pos="5205"/>
        </w:tabs>
        <w:spacing w:line="240" w:lineRule="auto"/>
        <w:jc w:val="both"/>
        <w:rPr>
          <w:rFonts w:ascii="Verdana" w:hAnsi="Verdana"/>
          <w:sz w:val="20"/>
          <w:szCs w:val="20"/>
        </w:rPr>
      </w:pPr>
      <w:r w:rsidRPr="003E2544">
        <w:rPr>
          <w:rFonts w:ascii="Verdana" w:hAnsi="Verdana"/>
          <w:sz w:val="20"/>
          <w:szCs w:val="20"/>
        </w:rPr>
        <w:t xml:space="preserve">Key </w:t>
      </w:r>
      <w:r w:rsidR="00A64EFD" w:rsidRPr="003E2544">
        <w:rPr>
          <w:rFonts w:ascii="Verdana" w:hAnsi="Verdana"/>
          <w:sz w:val="20"/>
          <w:szCs w:val="20"/>
        </w:rPr>
        <w:t>results</w:t>
      </w:r>
      <w:r w:rsidR="3CFAC9C5" w:rsidRPr="003E2544">
        <w:rPr>
          <w:rFonts w:ascii="Verdana" w:hAnsi="Verdana"/>
          <w:sz w:val="20"/>
          <w:szCs w:val="20"/>
        </w:rPr>
        <w:t>:</w:t>
      </w:r>
    </w:p>
    <w:p w14:paraId="4B5A2E2D" w14:textId="07DDE87F" w:rsidR="00A64EFD" w:rsidRPr="003E2544" w:rsidRDefault="00A64EFD" w:rsidP="00245274">
      <w:pPr>
        <w:pStyle w:val="ListParagraph"/>
        <w:numPr>
          <w:ilvl w:val="0"/>
          <w:numId w:val="51"/>
        </w:numPr>
        <w:spacing w:line="240" w:lineRule="auto"/>
        <w:rPr>
          <w:rFonts w:ascii="Verdana" w:hAnsi="Verdana"/>
          <w:sz w:val="20"/>
          <w:szCs w:val="20"/>
          <w:lang w:val="en-US"/>
        </w:rPr>
      </w:pPr>
      <w:r w:rsidRPr="003E2544">
        <w:rPr>
          <w:rFonts w:ascii="Verdana" w:eastAsia="Times New Roman" w:hAnsi="Verdana" w:cs="Calibri"/>
          <w:sz w:val="20"/>
          <w:szCs w:val="20"/>
          <w:lang w:val="en-US" w:eastAsia="ja-JP"/>
        </w:rPr>
        <w:t>A government</w:t>
      </w:r>
      <w:r w:rsidR="00D56FAC" w:rsidRPr="003E2544">
        <w:rPr>
          <w:rFonts w:ascii="Verdana" w:eastAsia="Times New Roman" w:hAnsi="Verdana" w:cs="Calibri"/>
          <w:sz w:val="20"/>
          <w:szCs w:val="20"/>
          <w:lang w:val="en-US" w:eastAsia="ja-JP"/>
        </w:rPr>
        <w:t>-</w:t>
      </w:r>
      <w:r w:rsidRPr="003E2544">
        <w:rPr>
          <w:rFonts w:ascii="Verdana" w:eastAsia="Times New Roman" w:hAnsi="Verdana" w:cs="Calibri"/>
          <w:sz w:val="20"/>
          <w:szCs w:val="20"/>
          <w:lang w:val="en-US" w:eastAsia="ja-JP"/>
        </w:rPr>
        <w:t xml:space="preserve">led </w:t>
      </w:r>
      <w:r w:rsidR="45D727AA" w:rsidRPr="003E2544">
        <w:rPr>
          <w:rFonts w:ascii="Verdana" w:eastAsia="Times New Roman" w:hAnsi="Verdana" w:cs="Calibri"/>
          <w:sz w:val="20"/>
          <w:szCs w:val="20"/>
          <w:lang w:val="en-US" w:eastAsia="ja-JP"/>
        </w:rPr>
        <w:t xml:space="preserve">SMT </w:t>
      </w:r>
      <w:r w:rsidR="2CAF7E60" w:rsidRPr="003E2544">
        <w:rPr>
          <w:rFonts w:ascii="Verdana" w:eastAsia="Times New Roman" w:hAnsi="Verdana" w:cs="Calibri"/>
          <w:sz w:val="20"/>
          <w:szCs w:val="20"/>
          <w:lang w:val="en-US" w:eastAsia="ja-JP"/>
        </w:rPr>
        <w:t>established</w:t>
      </w:r>
      <w:r w:rsidR="004A1936" w:rsidRPr="003E2544">
        <w:rPr>
          <w:rFonts w:ascii="Verdana" w:eastAsia="Times New Roman" w:hAnsi="Verdana" w:cs="Calibri"/>
          <w:sz w:val="20"/>
          <w:szCs w:val="20"/>
          <w:lang w:val="en-US" w:eastAsia="ja-JP"/>
        </w:rPr>
        <w:t>.</w:t>
      </w:r>
      <w:r w:rsidR="003C06F4" w:rsidRPr="003E2544">
        <w:rPr>
          <w:rFonts w:ascii="Verdana" w:eastAsia="Times New Roman" w:hAnsi="Verdana" w:cs="Calibri"/>
          <w:sz w:val="20"/>
          <w:szCs w:val="20"/>
          <w:lang w:val="en-US" w:eastAsia="ja-JP"/>
        </w:rPr>
        <w:t xml:space="preserve"> The JP will aim to have 50% women member</w:t>
      </w:r>
      <w:r w:rsidR="005F7322">
        <w:rPr>
          <w:rFonts w:ascii="Verdana" w:eastAsia="Times New Roman" w:hAnsi="Verdana" w:cs="Calibri"/>
          <w:sz w:val="20"/>
          <w:szCs w:val="20"/>
          <w:lang w:val="en-US" w:eastAsia="ja-JP"/>
        </w:rPr>
        <w:t>s</w:t>
      </w:r>
      <w:r w:rsidR="003C06F4" w:rsidRPr="003E2544">
        <w:rPr>
          <w:rFonts w:ascii="Verdana" w:eastAsia="Times New Roman" w:hAnsi="Verdana" w:cs="Calibri"/>
          <w:sz w:val="20"/>
          <w:szCs w:val="20"/>
          <w:lang w:val="en-US" w:eastAsia="ja-JP"/>
        </w:rPr>
        <w:t>.</w:t>
      </w:r>
    </w:p>
    <w:p w14:paraId="5DAA4246" w14:textId="672CF453" w:rsidR="00A64EFD" w:rsidRPr="003E2544" w:rsidRDefault="00A64EFD" w:rsidP="00245274">
      <w:pPr>
        <w:pStyle w:val="ListParagraph"/>
        <w:numPr>
          <w:ilvl w:val="0"/>
          <w:numId w:val="51"/>
        </w:numPr>
        <w:spacing w:line="240" w:lineRule="auto"/>
        <w:rPr>
          <w:rFonts w:ascii="Verdana" w:eastAsia="Times New Roman" w:hAnsi="Verdana" w:cs="Calibri"/>
          <w:sz w:val="20"/>
          <w:szCs w:val="20"/>
          <w:lang w:val="en-US" w:eastAsia="ja-JP"/>
        </w:rPr>
      </w:pPr>
      <w:proofErr w:type="spellStart"/>
      <w:r w:rsidRPr="003E2544">
        <w:rPr>
          <w:rFonts w:ascii="Verdana" w:eastAsia="Times New Roman" w:hAnsi="Verdana" w:cs="Calibri"/>
          <w:sz w:val="20"/>
          <w:szCs w:val="20"/>
          <w:lang w:val="en-US" w:eastAsia="ja-JP"/>
        </w:rPr>
        <w:t>ToT</w:t>
      </w:r>
      <w:proofErr w:type="spellEnd"/>
      <w:r w:rsidRPr="003E2544">
        <w:rPr>
          <w:rFonts w:ascii="Verdana" w:eastAsia="Times New Roman" w:hAnsi="Verdana" w:cs="Calibri"/>
          <w:sz w:val="20"/>
          <w:szCs w:val="20"/>
          <w:lang w:val="en-US" w:eastAsia="ja-JP"/>
        </w:rPr>
        <w:t xml:space="preserve"> training </w:t>
      </w:r>
      <w:r w:rsidR="00D56FAC" w:rsidRPr="003E2544">
        <w:rPr>
          <w:rFonts w:ascii="Verdana" w:eastAsia="Times New Roman" w:hAnsi="Verdana" w:cs="Calibri"/>
          <w:sz w:val="20"/>
          <w:szCs w:val="20"/>
          <w:lang w:val="en-US" w:eastAsia="ja-JP"/>
        </w:rPr>
        <w:t xml:space="preserve">carried out </w:t>
      </w:r>
      <w:r w:rsidRPr="003E2544">
        <w:rPr>
          <w:rFonts w:ascii="Verdana" w:eastAsia="Times New Roman" w:hAnsi="Verdana" w:cs="Calibri"/>
          <w:sz w:val="20"/>
          <w:szCs w:val="20"/>
          <w:lang w:val="en-US" w:eastAsia="ja-JP"/>
        </w:rPr>
        <w:t xml:space="preserve">in Juba to familiarize the </w:t>
      </w:r>
      <w:r w:rsidR="00E373D6" w:rsidRPr="003E2544">
        <w:rPr>
          <w:rFonts w:ascii="Verdana" w:eastAsia="Times New Roman" w:hAnsi="Verdana" w:cs="Calibri"/>
          <w:sz w:val="20"/>
          <w:szCs w:val="20"/>
          <w:lang w:val="en-US" w:eastAsia="ja-JP"/>
        </w:rPr>
        <w:t>SMT</w:t>
      </w:r>
      <w:r w:rsidR="003C06F4" w:rsidRPr="003E2544">
        <w:rPr>
          <w:rFonts w:ascii="Verdana" w:eastAsia="Times New Roman" w:hAnsi="Verdana" w:cs="Calibri"/>
          <w:sz w:val="20"/>
          <w:szCs w:val="20"/>
          <w:lang w:val="en-US" w:eastAsia="ja-JP"/>
        </w:rPr>
        <w:t xml:space="preserve"> with PFM principles and gender and human rights responsive planning and budgeting</w:t>
      </w:r>
      <w:r w:rsidR="004A1936" w:rsidRPr="003E2544">
        <w:rPr>
          <w:rFonts w:ascii="Verdana" w:eastAsia="Times New Roman" w:hAnsi="Verdana" w:cs="Calibri"/>
          <w:sz w:val="20"/>
          <w:szCs w:val="20"/>
          <w:lang w:val="en-US" w:eastAsia="ja-JP"/>
        </w:rPr>
        <w:t>.</w:t>
      </w:r>
      <w:r w:rsidR="003C06F4" w:rsidRPr="003E2544">
        <w:rPr>
          <w:rFonts w:ascii="Verdana" w:eastAsia="Times New Roman" w:hAnsi="Verdana" w:cs="Calibri"/>
          <w:sz w:val="20"/>
          <w:szCs w:val="20"/>
          <w:lang w:val="en-US" w:eastAsia="ja-JP"/>
        </w:rPr>
        <w:t xml:space="preserve"> </w:t>
      </w:r>
    </w:p>
    <w:p w14:paraId="67BD4DAC" w14:textId="54EB87A9" w:rsidR="00A64EFD" w:rsidRPr="003E2544" w:rsidRDefault="6F51D79E" w:rsidP="00245274">
      <w:pPr>
        <w:pStyle w:val="ListParagraph"/>
        <w:numPr>
          <w:ilvl w:val="0"/>
          <w:numId w:val="51"/>
        </w:numPr>
        <w:spacing w:line="240" w:lineRule="auto"/>
        <w:rPr>
          <w:rFonts w:ascii="Verdana" w:eastAsiaTheme="minorEastAsia" w:hAnsi="Verdana" w:cstheme="minorBidi"/>
          <w:sz w:val="20"/>
          <w:szCs w:val="20"/>
          <w:lang w:val="en-US"/>
        </w:rPr>
      </w:pPr>
      <w:r w:rsidRPr="003E2544">
        <w:rPr>
          <w:rFonts w:ascii="Verdana" w:eastAsia="Times New Roman" w:hAnsi="Verdana" w:cs="Calibri"/>
          <w:sz w:val="20"/>
          <w:szCs w:val="20"/>
          <w:lang w:val="en-US" w:eastAsia="ja-JP"/>
        </w:rPr>
        <w:t>S</w:t>
      </w:r>
      <w:r w:rsidR="559C6108" w:rsidRPr="003E2544">
        <w:rPr>
          <w:rFonts w:ascii="Verdana" w:eastAsia="Times New Roman" w:hAnsi="Verdana" w:cs="Calibri"/>
          <w:sz w:val="20"/>
          <w:szCs w:val="20"/>
          <w:lang w:val="en-US" w:eastAsia="ja-JP"/>
        </w:rPr>
        <w:t>tate</w:t>
      </w:r>
      <w:r w:rsidR="00D56FAC" w:rsidRPr="003E2544">
        <w:rPr>
          <w:rFonts w:ascii="Verdana" w:eastAsia="Times New Roman" w:hAnsi="Verdana" w:cs="Calibri"/>
          <w:sz w:val="20"/>
          <w:szCs w:val="20"/>
          <w:lang w:val="en-US" w:eastAsia="ja-JP"/>
        </w:rPr>
        <w:t>-</w:t>
      </w:r>
      <w:r w:rsidR="559C6108" w:rsidRPr="003E2544">
        <w:rPr>
          <w:rFonts w:ascii="Verdana" w:eastAsia="Times New Roman" w:hAnsi="Verdana" w:cs="Calibri"/>
          <w:sz w:val="20"/>
          <w:szCs w:val="20"/>
          <w:lang w:val="en-US" w:eastAsia="ja-JP"/>
        </w:rPr>
        <w:t>level training</w:t>
      </w:r>
      <w:r w:rsidR="00D56FAC" w:rsidRPr="003E2544">
        <w:rPr>
          <w:rFonts w:ascii="Verdana" w:eastAsia="Times New Roman" w:hAnsi="Verdana" w:cs="Calibri"/>
          <w:sz w:val="20"/>
          <w:szCs w:val="20"/>
          <w:lang w:val="en-US" w:eastAsia="ja-JP"/>
        </w:rPr>
        <w:t>s</w:t>
      </w:r>
      <w:r w:rsidR="559C6108" w:rsidRPr="003E2544">
        <w:rPr>
          <w:rFonts w:ascii="Verdana" w:eastAsia="Times New Roman" w:hAnsi="Verdana" w:cs="Calibri"/>
          <w:sz w:val="20"/>
          <w:szCs w:val="20"/>
          <w:lang w:val="en-US" w:eastAsia="ja-JP"/>
        </w:rPr>
        <w:t xml:space="preserve"> in </w:t>
      </w:r>
      <w:r w:rsidR="413A8F03" w:rsidRPr="003E2544">
        <w:rPr>
          <w:rFonts w:ascii="Verdana" w:hAnsi="Verdana"/>
          <w:sz w:val="20"/>
          <w:szCs w:val="20"/>
          <w:lang w:val="en-US"/>
        </w:rPr>
        <w:t>Central Equatoria, Western Equatoria and Norther</w:t>
      </w:r>
      <w:r w:rsidR="3362D1F3" w:rsidRPr="003E2544">
        <w:rPr>
          <w:rFonts w:ascii="Verdana" w:hAnsi="Verdana"/>
          <w:sz w:val="20"/>
          <w:szCs w:val="20"/>
          <w:lang w:val="en-US"/>
        </w:rPr>
        <w:t>n</w:t>
      </w:r>
      <w:r w:rsidR="413A8F03" w:rsidRPr="003E2544">
        <w:rPr>
          <w:rFonts w:ascii="Verdana" w:hAnsi="Verdana"/>
          <w:sz w:val="20"/>
          <w:szCs w:val="20"/>
          <w:lang w:val="en-US"/>
        </w:rPr>
        <w:t xml:space="preserve"> Bahr el Ghazal</w:t>
      </w:r>
      <w:r w:rsidR="559C6108" w:rsidRPr="003E2544">
        <w:rPr>
          <w:rFonts w:ascii="Verdana" w:hAnsi="Verdana"/>
          <w:sz w:val="20"/>
          <w:szCs w:val="20"/>
          <w:lang w:val="en-US"/>
        </w:rPr>
        <w:t xml:space="preserve"> states </w:t>
      </w:r>
      <w:r w:rsidRPr="003E2544">
        <w:rPr>
          <w:rFonts w:ascii="Verdana" w:hAnsi="Verdana"/>
          <w:sz w:val="20"/>
          <w:szCs w:val="20"/>
          <w:lang w:val="en-US"/>
        </w:rPr>
        <w:t>conducted by the SMT</w:t>
      </w:r>
      <w:r w:rsidR="5C3E84C8" w:rsidRPr="003E2544">
        <w:rPr>
          <w:rFonts w:ascii="Verdana" w:hAnsi="Verdana"/>
          <w:sz w:val="20"/>
          <w:szCs w:val="20"/>
          <w:lang w:val="en-US"/>
        </w:rPr>
        <w:t>.</w:t>
      </w:r>
      <w:r w:rsidR="003C06F4" w:rsidRPr="003E2544">
        <w:rPr>
          <w:rFonts w:ascii="Verdana" w:hAnsi="Verdana"/>
          <w:sz w:val="20"/>
          <w:szCs w:val="20"/>
          <w:lang w:val="en-US"/>
        </w:rPr>
        <w:t xml:space="preserve"> </w:t>
      </w:r>
      <w:r w:rsidR="003C06F4" w:rsidRPr="003E2544">
        <w:rPr>
          <w:rFonts w:ascii="Verdana" w:eastAsia="Times New Roman" w:hAnsi="Verdana" w:cs="Calibri"/>
          <w:sz w:val="20"/>
          <w:szCs w:val="20"/>
          <w:lang w:val="en-US" w:eastAsia="ja-JP"/>
        </w:rPr>
        <w:t>The equal representation of women will be ensured.</w:t>
      </w:r>
    </w:p>
    <w:p w14:paraId="64599BF2" w14:textId="2A3E78A0" w:rsidR="00A64EFD" w:rsidRPr="003E2544" w:rsidRDefault="00D56FAC" w:rsidP="00245274">
      <w:pPr>
        <w:pStyle w:val="ListParagraph"/>
        <w:numPr>
          <w:ilvl w:val="0"/>
          <w:numId w:val="51"/>
        </w:numPr>
        <w:spacing w:line="240" w:lineRule="auto"/>
        <w:rPr>
          <w:rFonts w:ascii="Verdana" w:eastAsiaTheme="minorEastAsia" w:hAnsi="Verdana" w:cstheme="minorBidi"/>
          <w:sz w:val="20"/>
          <w:szCs w:val="20"/>
          <w:lang w:val="en-US"/>
        </w:rPr>
      </w:pPr>
      <w:r w:rsidRPr="003E2544">
        <w:rPr>
          <w:rFonts w:ascii="Verdana" w:eastAsia="Times New Roman" w:hAnsi="Verdana" w:cs="Calibri"/>
          <w:sz w:val="20"/>
          <w:szCs w:val="20"/>
          <w:lang w:val="en-US" w:eastAsia="ja-JP"/>
        </w:rPr>
        <w:t>Supervision</w:t>
      </w:r>
      <w:r w:rsidR="7C3D43FF" w:rsidRPr="003E2544">
        <w:rPr>
          <w:rFonts w:ascii="Verdana" w:eastAsia="Times New Roman" w:hAnsi="Verdana" w:cs="Calibri"/>
          <w:sz w:val="20"/>
          <w:szCs w:val="20"/>
          <w:lang w:val="en-US" w:eastAsia="ja-JP"/>
        </w:rPr>
        <w:t xml:space="preserve"> </w:t>
      </w:r>
      <w:r w:rsidRPr="003E2544">
        <w:rPr>
          <w:rFonts w:ascii="Verdana" w:eastAsia="Times New Roman" w:hAnsi="Verdana" w:cs="Calibri"/>
          <w:sz w:val="20"/>
          <w:szCs w:val="20"/>
          <w:lang w:val="en-US" w:eastAsia="ja-JP"/>
        </w:rPr>
        <w:t xml:space="preserve">and support effectively provided by the SMT </w:t>
      </w:r>
      <w:r w:rsidR="348082FD" w:rsidRPr="003E2544">
        <w:rPr>
          <w:rFonts w:ascii="Verdana" w:eastAsia="Times New Roman" w:hAnsi="Verdana" w:cs="Calibri"/>
          <w:sz w:val="20"/>
          <w:szCs w:val="20"/>
          <w:lang w:val="en-US" w:eastAsia="ja-JP"/>
        </w:rPr>
        <w:t>to</w:t>
      </w:r>
      <w:r w:rsidR="253356A3" w:rsidRPr="003E2544">
        <w:rPr>
          <w:rFonts w:ascii="Verdana" w:eastAsia="Times New Roman" w:hAnsi="Verdana" w:cs="Calibri"/>
          <w:sz w:val="20"/>
          <w:szCs w:val="20"/>
          <w:lang w:val="en-US" w:eastAsia="ja-JP"/>
        </w:rPr>
        <w:t xml:space="preserve"> </w:t>
      </w:r>
      <w:r w:rsidR="5F5DEC93" w:rsidRPr="003E2544">
        <w:rPr>
          <w:rFonts w:ascii="Verdana" w:hAnsi="Verdana"/>
          <w:sz w:val="20"/>
          <w:szCs w:val="20"/>
          <w:lang w:val="en-US"/>
        </w:rPr>
        <w:t>Central Equatoria, Western Equatoria and Norther</w:t>
      </w:r>
      <w:r w:rsidR="14B64832" w:rsidRPr="003E2544">
        <w:rPr>
          <w:rFonts w:ascii="Verdana" w:hAnsi="Verdana"/>
          <w:sz w:val="20"/>
          <w:szCs w:val="20"/>
          <w:lang w:val="en-US"/>
        </w:rPr>
        <w:t>n</w:t>
      </w:r>
      <w:r w:rsidR="5F5DEC93" w:rsidRPr="003E2544">
        <w:rPr>
          <w:rFonts w:ascii="Verdana" w:hAnsi="Verdana"/>
          <w:sz w:val="20"/>
          <w:szCs w:val="20"/>
          <w:lang w:val="en-US"/>
        </w:rPr>
        <w:t xml:space="preserve"> Bahr el Ghazal</w:t>
      </w:r>
      <w:r w:rsidR="253356A3" w:rsidRPr="003E2544">
        <w:rPr>
          <w:rFonts w:ascii="Verdana" w:hAnsi="Verdana"/>
          <w:sz w:val="20"/>
          <w:szCs w:val="20"/>
          <w:lang w:val="en-US"/>
        </w:rPr>
        <w:t xml:space="preserve"> states</w:t>
      </w:r>
      <w:r w:rsidR="5C3E84C8" w:rsidRPr="003E2544">
        <w:rPr>
          <w:rFonts w:ascii="Verdana" w:hAnsi="Verdana"/>
          <w:sz w:val="20"/>
          <w:szCs w:val="20"/>
          <w:lang w:val="en-US"/>
        </w:rPr>
        <w:t>.</w:t>
      </w:r>
    </w:p>
    <w:p w14:paraId="5DEDB037" w14:textId="0E52D4E0" w:rsidR="00A64EFD" w:rsidRPr="003E2544" w:rsidRDefault="001B615D" w:rsidP="00245274">
      <w:pPr>
        <w:pStyle w:val="ListParagraph"/>
        <w:numPr>
          <w:ilvl w:val="0"/>
          <w:numId w:val="51"/>
        </w:numPr>
        <w:spacing w:line="240" w:lineRule="auto"/>
        <w:rPr>
          <w:rFonts w:ascii="Verdana" w:hAnsi="Verdana"/>
          <w:sz w:val="20"/>
          <w:szCs w:val="20"/>
          <w:lang w:val="en-US"/>
        </w:rPr>
      </w:pPr>
      <w:r w:rsidRPr="003E2544">
        <w:rPr>
          <w:rFonts w:ascii="Verdana" w:eastAsia="Times New Roman" w:hAnsi="Verdana" w:cs="Calibri"/>
          <w:sz w:val="20"/>
          <w:szCs w:val="20"/>
          <w:lang w:val="en-US" w:eastAsia="ja-JP"/>
        </w:rPr>
        <w:t>P</w:t>
      </w:r>
      <w:r w:rsidR="00A64EFD" w:rsidRPr="003E2544">
        <w:rPr>
          <w:rFonts w:ascii="Verdana" w:eastAsia="Times New Roman" w:hAnsi="Verdana" w:cs="Calibri"/>
          <w:sz w:val="20"/>
          <w:szCs w:val="20"/>
          <w:lang w:val="en-US" w:eastAsia="ja-JP"/>
        </w:rPr>
        <w:t xml:space="preserve">lanning, </w:t>
      </w:r>
      <w:r w:rsidR="57F1D887" w:rsidRPr="003E2544">
        <w:rPr>
          <w:rFonts w:ascii="Verdana" w:eastAsia="Times New Roman" w:hAnsi="Verdana" w:cs="Calibri"/>
          <w:sz w:val="20"/>
          <w:szCs w:val="20"/>
          <w:lang w:val="en-US" w:eastAsia="ja-JP"/>
        </w:rPr>
        <w:t>b</w:t>
      </w:r>
      <w:r w:rsidR="00A64EFD" w:rsidRPr="003E2544">
        <w:rPr>
          <w:rFonts w:ascii="Verdana" w:eastAsia="Times New Roman" w:hAnsi="Verdana" w:cs="Calibri"/>
          <w:sz w:val="20"/>
          <w:szCs w:val="20"/>
          <w:lang w:val="en-US" w:eastAsia="ja-JP"/>
        </w:rPr>
        <w:t xml:space="preserve">udgeting, </w:t>
      </w:r>
      <w:r w:rsidR="51678AA2" w:rsidRPr="003E2544">
        <w:rPr>
          <w:rFonts w:ascii="Verdana" w:eastAsia="Times New Roman" w:hAnsi="Verdana" w:cs="Calibri"/>
          <w:sz w:val="20"/>
          <w:szCs w:val="20"/>
          <w:lang w:val="en-US" w:eastAsia="ja-JP"/>
        </w:rPr>
        <w:t>a</w:t>
      </w:r>
      <w:r w:rsidR="00A64EFD" w:rsidRPr="003E2544">
        <w:rPr>
          <w:rFonts w:ascii="Verdana" w:eastAsia="Times New Roman" w:hAnsi="Verdana" w:cs="Calibri"/>
          <w:sz w:val="20"/>
          <w:szCs w:val="20"/>
          <w:lang w:val="en-US" w:eastAsia="ja-JP"/>
        </w:rPr>
        <w:t xml:space="preserve">udit and </w:t>
      </w:r>
      <w:r w:rsidR="72A79ECA" w:rsidRPr="003E2544">
        <w:rPr>
          <w:rFonts w:ascii="Verdana" w:eastAsia="Times New Roman" w:hAnsi="Verdana" w:cs="Calibri"/>
          <w:sz w:val="20"/>
          <w:szCs w:val="20"/>
          <w:lang w:val="en-US" w:eastAsia="ja-JP"/>
        </w:rPr>
        <w:t>r</w:t>
      </w:r>
      <w:r w:rsidR="00A64EFD" w:rsidRPr="003E2544">
        <w:rPr>
          <w:rFonts w:ascii="Verdana" w:eastAsia="Times New Roman" w:hAnsi="Verdana" w:cs="Calibri"/>
          <w:sz w:val="20"/>
          <w:szCs w:val="20"/>
          <w:lang w:val="en-US" w:eastAsia="ja-JP"/>
        </w:rPr>
        <w:t xml:space="preserve">eporting </w:t>
      </w:r>
      <w:r w:rsidR="729B003B" w:rsidRPr="003E2544">
        <w:rPr>
          <w:rFonts w:ascii="Verdana" w:eastAsia="Times New Roman" w:hAnsi="Verdana" w:cs="Calibri"/>
          <w:sz w:val="20"/>
          <w:szCs w:val="20"/>
          <w:lang w:val="en-US" w:eastAsia="ja-JP"/>
        </w:rPr>
        <w:t>g</w:t>
      </w:r>
      <w:r w:rsidR="00A64EFD" w:rsidRPr="003E2544">
        <w:rPr>
          <w:rFonts w:ascii="Verdana" w:eastAsia="Times New Roman" w:hAnsi="Verdana" w:cs="Calibri"/>
          <w:sz w:val="20"/>
          <w:szCs w:val="20"/>
          <w:lang w:val="en-US" w:eastAsia="ja-JP"/>
        </w:rPr>
        <w:t xml:space="preserve">uidelines </w:t>
      </w:r>
      <w:r w:rsidRPr="003E2544">
        <w:rPr>
          <w:rFonts w:ascii="Verdana" w:eastAsia="Times New Roman" w:hAnsi="Verdana" w:cs="Calibri"/>
          <w:sz w:val="20"/>
          <w:szCs w:val="20"/>
          <w:lang w:val="en-US" w:eastAsia="ja-JP"/>
        </w:rPr>
        <w:t>developed</w:t>
      </w:r>
      <w:r w:rsidR="004A1936" w:rsidRPr="003E2544">
        <w:rPr>
          <w:rFonts w:ascii="Verdana" w:eastAsia="Times New Roman" w:hAnsi="Verdana" w:cs="Calibri"/>
          <w:sz w:val="20"/>
          <w:szCs w:val="20"/>
          <w:lang w:val="en-US" w:eastAsia="ja-JP"/>
        </w:rPr>
        <w:t>.</w:t>
      </w:r>
      <w:r w:rsidR="003C06F4" w:rsidRPr="003E2544">
        <w:rPr>
          <w:rFonts w:ascii="Verdana" w:eastAsia="Times New Roman" w:hAnsi="Verdana" w:cs="Calibri"/>
          <w:sz w:val="20"/>
          <w:szCs w:val="20"/>
          <w:lang w:val="en-US" w:eastAsia="ja-JP"/>
        </w:rPr>
        <w:t xml:space="preserve"> The Budget Circular and relevant State Budget Guidelines will be updated to ensure gender responsive national budgets are prepared.</w:t>
      </w:r>
    </w:p>
    <w:p w14:paraId="44485B34" w14:textId="3D20ED9D" w:rsidR="003171DE" w:rsidRPr="003E2544" w:rsidRDefault="003171DE" w:rsidP="00245274">
      <w:pPr>
        <w:tabs>
          <w:tab w:val="left" w:pos="5205"/>
        </w:tabs>
        <w:spacing w:line="240" w:lineRule="auto"/>
        <w:rPr>
          <w:rFonts w:ascii="Verdana" w:eastAsia="Times New Roman" w:hAnsi="Verdana" w:cs="Calibri"/>
          <w:sz w:val="20"/>
          <w:szCs w:val="20"/>
          <w:lang w:eastAsia="ja-JP"/>
        </w:rPr>
      </w:pPr>
    </w:p>
    <w:p w14:paraId="0076DF43" w14:textId="5E5397CD" w:rsidR="00347C08" w:rsidRPr="003E2544" w:rsidRDefault="000671C3" w:rsidP="00245274">
      <w:pPr>
        <w:tabs>
          <w:tab w:val="left" w:pos="5205"/>
        </w:tabs>
        <w:spacing w:line="240" w:lineRule="auto"/>
        <w:jc w:val="both"/>
        <w:rPr>
          <w:rFonts w:ascii="Verdana" w:hAnsi="Verdana"/>
          <w:sz w:val="20"/>
          <w:szCs w:val="20"/>
        </w:rPr>
      </w:pPr>
      <w:r w:rsidRPr="003E2544">
        <w:rPr>
          <w:rFonts w:ascii="Verdana" w:hAnsi="Verdana"/>
          <w:b/>
          <w:bCs/>
          <w:sz w:val="20"/>
          <w:szCs w:val="20"/>
        </w:rPr>
        <w:t>Output 3</w:t>
      </w:r>
      <w:r w:rsidR="00634E33">
        <w:rPr>
          <w:rFonts w:ascii="Verdana" w:hAnsi="Verdana"/>
          <w:b/>
          <w:bCs/>
          <w:sz w:val="20"/>
          <w:szCs w:val="20"/>
        </w:rPr>
        <w:t xml:space="preserve"> Stakeholder Engagement</w:t>
      </w:r>
      <w:r w:rsidRPr="003E2544">
        <w:rPr>
          <w:rFonts w:ascii="Verdana" w:hAnsi="Verdana"/>
          <w:b/>
          <w:bCs/>
          <w:sz w:val="20"/>
          <w:szCs w:val="20"/>
        </w:rPr>
        <w:t>:</w:t>
      </w:r>
      <w:r w:rsidRPr="003E2544">
        <w:rPr>
          <w:rFonts w:ascii="Verdana" w:hAnsi="Verdana"/>
          <w:sz w:val="20"/>
          <w:szCs w:val="20"/>
        </w:rPr>
        <w:t xml:space="preserve"> </w:t>
      </w:r>
      <w:r w:rsidR="00B95C72" w:rsidRPr="003E2544">
        <w:rPr>
          <w:rFonts w:ascii="Verdana" w:hAnsi="Verdana"/>
          <w:sz w:val="20"/>
          <w:szCs w:val="20"/>
        </w:rPr>
        <w:t xml:space="preserve">Improved transparency and coordination </w:t>
      </w:r>
      <w:r w:rsidR="00C5380F" w:rsidRPr="003E2544">
        <w:rPr>
          <w:rFonts w:ascii="Verdana" w:hAnsi="Verdana"/>
          <w:sz w:val="20"/>
          <w:szCs w:val="20"/>
        </w:rPr>
        <w:t xml:space="preserve">in the </w:t>
      </w:r>
      <w:r w:rsidR="00C509E2" w:rsidRPr="003E2544">
        <w:rPr>
          <w:rFonts w:ascii="Verdana" w:hAnsi="Verdana"/>
          <w:sz w:val="20"/>
          <w:szCs w:val="20"/>
        </w:rPr>
        <w:t>preparation</w:t>
      </w:r>
      <w:r w:rsidR="00C5380F" w:rsidRPr="003E2544">
        <w:rPr>
          <w:rFonts w:ascii="Verdana" w:hAnsi="Verdana"/>
          <w:sz w:val="20"/>
          <w:szCs w:val="20"/>
        </w:rPr>
        <w:t xml:space="preserve"> of </w:t>
      </w:r>
      <w:r w:rsidR="00C509E2" w:rsidRPr="003E2544">
        <w:rPr>
          <w:rFonts w:ascii="Verdana" w:hAnsi="Verdana"/>
          <w:sz w:val="20"/>
          <w:szCs w:val="20"/>
        </w:rPr>
        <w:t>SDG</w:t>
      </w:r>
      <w:r w:rsidR="79556279" w:rsidRPr="003E2544">
        <w:rPr>
          <w:rFonts w:ascii="Verdana" w:hAnsi="Verdana"/>
          <w:sz w:val="20"/>
          <w:szCs w:val="20"/>
        </w:rPr>
        <w:t>-aligned</w:t>
      </w:r>
      <w:r w:rsidR="00C509E2" w:rsidRPr="003E2544">
        <w:rPr>
          <w:rFonts w:ascii="Verdana" w:hAnsi="Verdana"/>
          <w:sz w:val="20"/>
          <w:szCs w:val="20"/>
        </w:rPr>
        <w:t xml:space="preserve"> </w:t>
      </w:r>
      <w:r w:rsidR="00C5380F" w:rsidRPr="003E2544">
        <w:rPr>
          <w:rFonts w:ascii="Verdana" w:hAnsi="Verdana"/>
          <w:sz w:val="20"/>
          <w:szCs w:val="20"/>
        </w:rPr>
        <w:t xml:space="preserve">national and state level </w:t>
      </w:r>
      <w:r w:rsidR="00C509E2" w:rsidRPr="003E2544">
        <w:rPr>
          <w:rFonts w:ascii="Verdana" w:hAnsi="Verdana"/>
          <w:sz w:val="20"/>
          <w:szCs w:val="20"/>
        </w:rPr>
        <w:t xml:space="preserve">development </w:t>
      </w:r>
      <w:r w:rsidR="00C5380F" w:rsidRPr="003E2544">
        <w:rPr>
          <w:rFonts w:ascii="Verdana" w:hAnsi="Verdana"/>
          <w:sz w:val="20"/>
          <w:szCs w:val="20"/>
        </w:rPr>
        <w:t>strategies</w:t>
      </w:r>
      <w:r w:rsidR="00A941C0" w:rsidRPr="003E2544">
        <w:rPr>
          <w:rFonts w:ascii="Verdana" w:hAnsi="Verdana"/>
          <w:sz w:val="20"/>
          <w:szCs w:val="20"/>
        </w:rPr>
        <w:t xml:space="preserve"> by 202</w:t>
      </w:r>
      <w:r w:rsidR="005E3459">
        <w:rPr>
          <w:rFonts w:ascii="Verdana" w:hAnsi="Verdana"/>
          <w:sz w:val="20"/>
          <w:szCs w:val="20"/>
        </w:rPr>
        <w:t>2</w:t>
      </w:r>
      <w:r w:rsidR="00C5380F" w:rsidRPr="003E2544">
        <w:rPr>
          <w:rFonts w:ascii="Verdana" w:hAnsi="Verdana"/>
          <w:sz w:val="20"/>
          <w:szCs w:val="20"/>
        </w:rPr>
        <w:t xml:space="preserve"> </w:t>
      </w:r>
      <w:r w:rsidR="00B95C72" w:rsidRPr="003E2544">
        <w:rPr>
          <w:rFonts w:ascii="Verdana" w:hAnsi="Verdana"/>
          <w:sz w:val="20"/>
          <w:szCs w:val="20"/>
        </w:rPr>
        <w:t>(UNDP and UNICEF lead)</w:t>
      </w:r>
    </w:p>
    <w:p w14:paraId="79031BD2" w14:textId="6CB24CA5" w:rsidR="1EF51D52" w:rsidRPr="003E2544" w:rsidRDefault="1EF51D52" w:rsidP="00245274">
      <w:pPr>
        <w:spacing w:line="240" w:lineRule="auto"/>
        <w:jc w:val="both"/>
        <w:rPr>
          <w:rFonts w:ascii="Verdana" w:hAnsi="Verdana"/>
          <w:sz w:val="20"/>
          <w:szCs w:val="20"/>
        </w:rPr>
      </w:pPr>
      <w:r w:rsidRPr="003E2544">
        <w:rPr>
          <w:rFonts w:ascii="Verdana" w:hAnsi="Verdana"/>
          <w:sz w:val="20"/>
          <w:szCs w:val="20"/>
        </w:rPr>
        <w:t>Key results:</w:t>
      </w:r>
    </w:p>
    <w:p w14:paraId="48FC2DD9" w14:textId="76DDEA72" w:rsidR="005A047D" w:rsidRPr="003E2544" w:rsidRDefault="109D9230" w:rsidP="00245274">
      <w:pPr>
        <w:pStyle w:val="ListParagraph"/>
        <w:numPr>
          <w:ilvl w:val="0"/>
          <w:numId w:val="56"/>
        </w:numPr>
        <w:spacing w:line="240" w:lineRule="auto"/>
        <w:rPr>
          <w:rFonts w:ascii="Verdana" w:eastAsia="Times New Roman" w:hAnsi="Verdana" w:cs="Calibri"/>
          <w:sz w:val="20"/>
          <w:szCs w:val="20"/>
          <w:lang w:val="en-US" w:eastAsia="ja-JP"/>
        </w:rPr>
      </w:pPr>
      <w:r w:rsidRPr="003E2544">
        <w:rPr>
          <w:rFonts w:ascii="Verdana" w:eastAsia="Times New Roman" w:hAnsi="Verdana" w:cs="Calibri"/>
          <w:sz w:val="20"/>
          <w:szCs w:val="20"/>
          <w:lang w:val="en-US" w:eastAsia="ja-JP"/>
        </w:rPr>
        <w:t>SDG</w:t>
      </w:r>
      <w:r w:rsidR="005F7322">
        <w:rPr>
          <w:rFonts w:ascii="Verdana" w:eastAsia="Times New Roman" w:hAnsi="Verdana" w:cs="Calibri"/>
          <w:sz w:val="20"/>
          <w:szCs w:val="20"/>
          <w:lang w:val="en-US" w:eastAsia="ja-JP"/>
        </w:rPr>
        <w:t>-</w:t>
      </w:r>
      <w:r w:rsidR="19CFC5D7" w:rsidRPr="003E2544">
        <w:rPr>
          <w:rFonts w:ascii="Verdana" w:eastAsia="Times New Roman" w:hAnsi="Verdana" w:cs="Calibri"/>
          <w:sz w:val="20"/>
          <w:szCs w:val="20"/>
          <w:lang w:val="en-US" w:eastAsia="ja-JP"/>
        </w:rPr>
        <w:t>align</w:t>
      </w:r>
      <w:r w:rsidR="46FB7596" w:rsidRPr="003E2544">
        <w:rPr>
          <w:rFonts w:ascii="Verdana" w:eastAsia="Times New Roman" w:hAnsi="Verdana" w:cs="Calibri"/>
          <w:sz w:val="20"/>
          <w:szCs w:val="20"/>
          <w:lang w:val="en-US" w:eastAsia="ja-JP"/>
        </w:rPr>
        <w:t>ed</w:t>
      </w:r>
      <w:r w:rsidR="19CFC5D7" w:rsidRPr="003E2544">
        <w:rPr>
          <w:rFonts w:ascii="Verdana" w:eastAsia="Times New Roman" w:hAnsi="Verdana" w:cs="Calibri"/>
          <w:sz w:val="20"/>
          <w:szCs w:val="20"/>
          <w:lang w:val="en-US" w:eastAsia="ja-JP"/>
        </w:rPr>
        <w:t xml:space="preserve"> </w:t>
      </w:r>
      <w:r w:rsidR="543CD914" w:rsidRPr="003E2544">
        <w:rPr>
          <w:rFonts w:ascii="Verdana" w:eastAsia="Times New Roman" w:hAnsi="Verdana" w:cs="Calibri"/>
          <w:sz w:val="20"/>
          <w:szCs w:val="20"/>
          <w:lang w:val="en-US" w:eastAsia="ja-JP"/>
        </w:rPr>
        <w:t>NDS and INFF (2022</w:t>
      </w:r>
      <w:r w:rsidR="005F7322">
        <w:rPr>
          <w:rFonts w:ascii="Verdana" w:eastAsia="Times New Roman" w:hAnsi="Verdana" w:cs="Calibri"/>
          <w:sz w:val="20"/>
          <w:szCs w:val="20"/>
          <w:lang w:val="en-US" w:eastAsia="ja-JP"/>
        </w:rPr>
        <w:t>–</w:t>
      </w:r>
      <w:r w:rsidR="543CD914" w:rsidRPr="003E2544">
        <w:rPr>
          <w:rFonts w:ascii="Verdana" w:eastAsia="Times New Roman" w:hAnsi="Verdana" w:cs="Calibri"/>
          <w:sz w:val="20"/>
          <w:szCs w:val="20"/>
          <w:lang w:val="en-US" w:eastAsia="ja-JP"/>
        </w:rPr>
        <w:t xml:space="preserve">2024) </w:t>
      </w:r>
      <w:r w:rsidR="32AD5860" w:rsidRPr="003E2544">
        <w:rPr>
          <w:rFonts w:ascii="Verdana" w:eastAsia="Times New Roman" w:hAnsi="Verdana" w:cs="Calibri"/>
          <w:sz w:val="20"/>
          <w:szCs w:val="20"/>
          <w:lang w:val="en-US" w:eastAsia="ja-JP"/>
        </w:rPr>
        <w:t>developed</w:t>
      </w:r>
      <w:r w:rsidR="5C3E84C8" w:rsidRPr="003E2544">
        <w:rPr>
          <w:rFonts w:ascii="Verdana" w:eastAsia="Times New Roman" w:hAnsi="Verdana" w:cs="Calibri"/>
          <w:sz w:val="20"/>
          <w:szCs w:val="20"/>
          <w:lang w:val="en-US" w:eastAsia="ja-JP"/>
        </w:rPr>
        <w:t>.</w:t>
      </w:r>
      <w:r w:rsidR="005F7322">
        <w:rPr>
          <w:rFonts w:ascii="Verdana" w:eastAsia="Times New Roman" w:hAnsi="Verdana" w:cs="Calibri"/>
          <w:sz w:val="20"/>
          <w:szCs w:val="20"/>
          <w:lang w:val="en-US" w:eastAsia="ja-JP"/>
        </w:rPr>
        <w:t xml:space="preserve"> </w:t>
      </w:r>
    </w:p>
    <w:p w14:paraId="31EDA492" w14:textId="10E84871" w:rsidR="000671C3" w:rsidRPr="003E2544" w:rsidRDefault="543CD914" w:rsidP="00245274">
      <w:pPr>
        <w:pStyle w:val="ListParagraph"/>
        <w:numPr>
          <w:ilvl w:val="0"/>
          <w:numId w:val="56"/>
        </w:numPr>
        <w:spacing w:line="240" w:lineRule="auto"/>
        <w:rPr>
          <w:rFonts w:ascii="Verdana" w:eastAsiaTheme="minorEastAsia" w:hAnsi="Verdana" w:cstheme="minorBidi"/>
          <w:sz w:val="20"/>
          <w:szCs w:val="20"/>
          <w:lang w:val="en-US" w:eastAsia="ja-JP"/>
        </w:rPr>
      </w:pPr>
      <w:r w:rsidRPr="003E2544">
        <w:rPr>
          <w:rFonts w:ascii="Verdana" w:eastAsia="Times New Roman" w:hAnsi="Verdana" w:cs="Calibri"/>
          <w:sz w:val="20"/>
          <w:szCs w:val="20"/>
          <w:lang w:val="en-US" w:eastAsia="ja-JP"/>
        </w:rPr>
        <w:t>NDS and SDG-align</w:t>
      </w:r>
      <w:r w:rsidR="616B88FA" w:rsidRPr="003E2544">
        <w:rPr>
          <w:rFonts w:ascii="Verdana" w:eastAsia="Times New Roman" w:hAnsi="Verdana" w:cs="Calibri"/>
          <w:sz w:val="20"/>
          <w:szCs w:val="20"/>
          <w:lang w:val="en-US" w:eastAsia="ja-JP"/>
        </w:rPr>
        <w:t>ed</w:t>
      </w:r>
      <w:r w:rsidRPr="003E2544">
        <w:rPr>
          <w:rFonts w:ascii="Verdana" w:eastAsia="Times New Roman" w:hAnsi="Verdana" w:cs="Calibri"/>
          <w:sz w:val="20"/>
          <w:szCs w:val="20"/>
          <w:lang w:val="en-US" w:eastAsia="ja-JP"/>
        </w:rPr>
        <w:t xml:space="preserve"> SDS</w:t>
      </w:r>
      <w:r w:rsidR="005F7322">
        <w:rPr>
          <w:rFonts w:ascii="Verdana" w:eastAsia="Times New Roman" w:hAnsi="Verdana" w:cs="Calibri"/>
          <w:sz w:val="20"/>
          <w:szCs w:val="20"/>
          <w:lang w:val="en-US" w:eastAsia="ja-JP"/>
        </w:rPr>
        <w:t>s</w:t>
      </w:r>
      <w:r w:rsidRPr="003E2544">
        <w:rPr>
          <w:rFonts w:ascii="Verdana" w:eastAsia="Times New Roman" w:hAnsi="Verdana" w:cs="Calibri"/>
          <w:sz w:val="20"/>
          <w:szCs w:val="20"/>
          <w:lang w:val="en-US" w:eastAsia="ja-JP"/>
        </w:rPr>
        <w:t xml:space="preserve"> and Sector Plans </w:t>
      </w:r>
      <w:r w:rsidR="1124EB38" w:rsidRPr="003E2544">
        <w:rPr>
          <w:rFonts w:ascii="Verdana" w:eastAsia="Times New Roman" w:hAnsi="Verdana" w:cs="Calibri"/>
          <w:sz w:val="20"/>
          <w:szCs w:val="20"/>
          <w:lang w:val="en-US" w:eastAsia="ja-JP"/>
        </w:rPr>
        <w:t>developed</w:t>
      </w:r>
      <w:r w:rsidR="44FEA739" w:rsidRPr="003E2544">
        <w:rPr>
          <w:rFonts w:ascii="Verdana" w:eastAsia="Times New Roman" w:hAnsi="Verdana" w:cs="Calibri"/>
          <w:sz w:val="20"/>
          <w:szCs w:val="20"/>
          <w:lang w:val="en-US" w:eastAsia="ja-JP"/>
        </w:rPr>
        <w:t xml:space="preserve"> </w:t>
      </w:r>
      <w:r w:rsidR="2B0C47C6" w:rsidRPr="003E2544">
        <w:rPr>
          <w:rFonts w:ascii="Verdana" w:eastAsia="Times New Roman" w:hAnsi="Verdana" w:cs="Calibri"/>
          <w:sz w:val="20"/>
          <w:szCs w:val="20"/>
          <w:lang w:val="en-US" w:eastAsia="ja-JP"/>
        </w:rPr>
        <w:t>by re-established State Development Planning Committees (SDPC</w:t>
      </w:r>
      <w:r w:rsidR="005F7322">
        <w:rPr>
          <w:rFonts w:ascii="Verdana" w:eastAsia="Times New Roman" w:hAnsi="Verdana" w:cs="Calibri"/>
          <w:sz w:val="20"/>
          <w:szCs w:val="20"/>
          <w:lang w:val="en-US" w:eastAsia="ja-JP"/>
        </w:rPr>
        <w:t>s</w:t>
      </w:r>
      <w:r w:rsidR="2B0C47C6" w:rsidRPr="003E2544">
        <w:rPr>
          <w:rFonts w:ascii="Verdana" w:eastAsia="Times New Roman" w:hAnsi="Verdana" w:cs="Calibri"/>
          <w:sz w:val="20"/>
          <w:szCs w:val="20"/>
          <w:lang w:val="en-US" w:eastAsia="ja-JP"/>
        </w:rPr>
        <w:t xml:space="preserve">) </w:t>
      </w:r>
      <w:r w:rsidR="44FEA739" w:rsidRPr="003E2544">
        <w:rPr>
          <w:rFonts w:ascii="Verdana" w:eastAsia="Times New Roman" w:hAnsi="Verdana" w:cs="Calibri"/>
          <w:sz w:val="20"/>
          <w:szCs w:val="20"/>
          <w:lang w:val="en-US" w:eastAsia="ja-JP"/>
        </w:rPr>
        <w:t xml:space="preserve">in </w:t>
      </w:r>
      <w:r w:rsidR="7377AC6E" w:rsidRPr="003E2544">
        <w:rPr>
          <w:rFonts w:ascii="Verdana" w:hAnsi="Verdana"/>
          <w:sz w:val="20"/>
          <w:szCs w:val="20"/>
          <w:lang w:val="en-US"/>
        </w:rPr>
        <w:t>Central Equatoria, Western Equatoria and Norther</w:t>
      </w:r>
      <w:r w:rsidR="41DD1050" w:rsidRPr="003E2544">
        <w:rPr>
          <w:rFonts w:ascii="Verdana" w:hAnsi="Verdana"/>
          <w:sz w:val="20"/>
          <w:szCs w:val="20"/>
          <w:lang w:val="en-US"/>
        </w:rPr>
        <w:t>n</w:t>
      </w:r>
      <w:r w:rsidR="7377AC6E" w:rsidRPr="003E2544">
        <w:rPr>
          <w:rFonts w:ascii="Verdana" w:hAnsi="Verdana"/>
          <w:sz w:val="20"/>
          <w:szCs w:val="20"/>
          <w:lang w:val="en-US"/>
        </w:rPr>
        <w:t xml:space="preserve"> Bahr el Ghazal</w:t>
      </w:r>
      <w:r w:rsidR="44FEA739" w:rsidRPr="003E2544">
        <w:rPr>
          <w:rFonts w:ascii="Verdana" w:hAnsi="Verdana"/>
          <w:sz w:val="20"/>
          <w:szCs w:val="20"/>
          <w:lang w:val="en-US"/>
        </w:rPr>
        <w:t xml:space="preserve"> states</w:t>
      </w:r>
      <w:r w:rsidRPr="003E2544">
        <w:rPr>
          <w:rFonts w:ascii="Verdana" w:eastAsia="Times New Roman" w:hAnsi="Verdana" w:cs="Calibri"/>
          <w:sz w:val="20"/>
          <w:szCs w:val="20"/>
          <w:lang w:val="en-US" w:eastAsia="ja-JP"/>
        </w:rPr>
        <w:t>.</w:t>
      </w:r>
    </w:p>
    <w:p w14:paraId="5C2AC44E" w14:textId="75DA01A5" w:rsidR="00E0238A" w:rsidRPr="003E2544" w:rsidRDefault="44FEA739" w:rsidP="00245274">
      <w:pPr>
        <w:pStyle w:val="ListParagraph"/>
        <w:numPr>
          <w:ilvl w:val="0"/>
          <w:numId w:val="56"/>
        </w:numPr>
        <w:spacing w:line="240" w:lineRule="auto"/>
        <w:rPr>
          <w:rFonts w:ascii="Verdana" w:eastAsiaTheme="minorEastAsia" w:hAnsi="Verdana" w:cstheme="minorBidi"/>
          <w:sz w:val="20"/>
          <w:szCs w:val="20"/>
          <w:lang w:val="en-US" w:eastAsia="ja-JP"/>
        </w:rPr>
      </w:pPr>
      <w:r w:rsidRPr="003E2544">
        <w:rPr>
          <w:rFonts w:ascii="Verdana" w:eastAsia="Times New Roman" w:hAnsi="Verdana" w:cs="Calibri"/>
          <w:sz w:val="20"/>
          <w:szCs w:val="20"/>
          <w:lang w:val="en-US" w:eastAsia="ja-JP"/>
        </w:rPr>
        <w:t>S</w:t>
      </w:r>
      <w:r w:rsidR="25CA0F49" w:rsidRPr="003E2544">
        <w:rPr>
          <w:rFonts w:ascii="Verdana" w:eastAsia="Times New Roman" w:hAnsi="Verdana" w:cs="Calibri"/>
          <w:sz w:val="20"/>
          <w:szCs w:val="20"/>
          <w:lang w:val="en-US" w:eastAsia="ja-JP"/>
        </w:rPr>
        <w:t>tate budgets</w:t>
      </w:r>
      <w:r w:rsidRPr="003E2544">
        <w:rPr>
          <w:rFonts w:ascii="Verdana" w:eastAsia="Times New Roman" w:hAnsi="Verdana" w:cs="Calibri"/>
          <w:sz w:val="20"/>
          <w:szCs w:val="20"/>
          <w:lang w:val="en-US" w:eastAsia="ja-JP"/>
        </w:rPr>
        <w:t xml:space="preserve"> in alignment with SDS</w:t>
      </w:r>
      <w:r w:rsidR="005F7322">
        <w:rPr>
          <w:rFonts w:ascii="Verdana" w:eastAsia="Times New Roman" w:hAnsi="Verdana" w:cs="Calibri"/>
          <w:sz w:val="20"/>
          <w:szCs w:val="20"/>
          <w:lang w:val="en-US" w:eastAsia="ja-JP"/>
        </w:rPr>
        <w:t>s</w:t>
      </w:r>
      <w:r w:rsidRPr="003E2544">
        <w:rPr>
          <w:rFonts w:ascii="Verdana" w:eastAsia="Times New Roman" w:hAnsi="Verdana" w:cs="Calibri"/>
          <w:sz w:val="20"/>
          <w:szCs w:val="20"/>
          <w:lang w:val="en-US" w:eastAsia="ja-JP"/>
        </w:rPr>
        <w:t xml:space="preserve"> and Sector Plans developed in</w:t>
      </w:r>
      <w:r w:rsidR="20B13EBC" w:rsidRPr="003E2544">
        <w:rPr>
          <w:rFonts w:ascii="Verdana" w:eastAsia="Times New Roman" w:hAnsi="Verdana" w:cs="Calibri"/>
          <w:sz w:val="20"/>
          <w:szCs w:val="20"/>
          <w:lang w:val="en-US" w:eastAsia="ja-JP"/>
        </w:rPr>
        <w:t xml:space="preserve"> </w:t>
      </w:r>
      <w:r w:rsidR="239A08A2" w:rsidRPr="003E2544">
        <w:rPr>
          <w:rFonts w:ascii="Verdana" w:hAnsi="Verdana"/>
          <w:sz w:val="20"/>
          <w:szCs w:val="20"/>
          <w:lang w:val="en-US"/>
        </w:rPr>
        <w:t>Central Equatoria, Western Equatoria and Norther</w:t>
      </w:r>
      <w:r w:rsidR="7628D1CC" w:rsidRPr="003E2544">
        <w:rPr>
          <w:rFonts w:ascii="Verdana" w:hAnsi="Verdana"/>
          <w:sz w:val="20"/>
          <w:szCs w:val="20"/>
          <w:lang w:val="en-US"/>
        </w:rPr>
        <w:t>n</w:t>
      </w:r>
      <w:r w:rsidR="239A08A2" w:rsidRPr="003E2544">
        <w:rPr>
          <w:rFonts w:ascii="Verdana" w:hAnsi="Verdana"/>
          <w:sz w:val="20"/>
          <w:szCs w:val="20"/>
          <w:lang w:val="en-US"/>
        </w:rPr>
        <w:t xml:space="preserve"> Bahr el Ghazal</w:t>
      </w:r>
      <w:r w:rsidRPr="003E2544">
        <w:rPr>
          <w:rFonts w:ascii="Verdana" w:hAnsi="Verdana"/>
          <w:sz w:val="20"/>
          <w:szCs w:val="20"/>
          <w:lang w:val="en-US"/>
        </w:rPr>
        <w:t xml:space="preserve"> states</w:t>
      </w:r>
      <w:r w:rsidRPr="003E2544">
        <w:rPr>
          <w:rFonts w:ascii="Verdana" w:eastAsia="Times New Roman" w:hAnsi="Verdana" w:cs="Calibri"/>
          <w:sz w:val="20"/>
          <w:szCs w:val="20"/>
          <w:lang w:val="en-US" w:eastAsia="ja-JP"/>
        </w:rPr>
        <w:t>.</w:t>
      </w:r>
    </w:p>
    <w:p w14:paraId="1ED112ED" w14:textId="39A655A3" w:rsidR="00D73AC1" w:rsidRPr="003E2544" w:rsidRDefault="00A94314" w:rsidP="00245274">
      <w:pPr>
        <w:pStyle w:val="ListParagraph"/>
        <w:numPr>
          <w:ilvl w:val="0"/>
          <w:numId w:val="56"/>
        </w:numPr>
        <w:spacing w:line="240" w:lineRule="auto"/>
        <w:rPr>
          <w:rFonts w:ascii="Verdana" w:eastAsia="Times New Roman" w:hAnsi="Verdana" w:cs="Calibri"/>
          <w:sz w:val="20"/>
          <w:szCs w:val="20"/>
          <w:lang w:val="en-US" w:eastAsia="ja-JP"/>
        </w:rPr>
      </w:pPr>
      <w:r w:rsidRPr="003E2544">
        <w:rPr>
          <w:rFonts w:ascii="Verdana" w:eastAsia="Times New Roman" w:hAnsi="Verdana" w:cs="Calibri"/>
          <w:sz w:val="20"/>
          <w:szCs w:val="20"/>
          <w:lang w:val="en-US" w:eastAsia="ja-JP"/>
        </w:rPr>
        <w:t>A</w:t>
      </w:r>
      <w:r w:rsidR="00D73AC1" w:rsidRPr="003E2544">
        <w:rPr>
          <w:rFonts w:ascii="Verdana" w:eastAsia="Times New Roman" w:hAnsi="Verdana" w:cs="Calibri"/>
          <w:sz w:val="20"/>
          <w:szCs w:val="20"/>
          <w:lang w:val="en-US" w:eastAsia="ja-JP"/>
        </w:rPr>
        <w:t xml:space="preserve"> national dashboard to monitor state online financial and </w:t>
      </w:r>
      <w:r w:rsidR="007D34BC" w:rsidRPr="003E2544">
        <w:rPr>
          <w:rFonts w:ascii="Verdana" w:eastAsia="Times New Roman" w:hAnsi="Verdana" w:cs="Calibri"/>
          <w:sz w:val="20"/>
          <w:szCs w:val="20"/>
          <w:lang w:val="en-US" w:eastAsia="ja-JP"/>
        </w:rPr>
        <w:t>operational reporting</w:t>
      </w:r>
      <w:r w:rsidR="00D73AC1" w:rsidRPr="003E2544">
        <w:rPr>
          <w:rFonts w:ascii="Verdana" w:eastAsia="Times New Roman" w:hAnsi="Verdana" w:cs="Calibri"/>
          <w:sz w:val="20"/>
          <w:szCs w:val="20"/>
          <w:lang w:val="en-US" w:eastAsia="ja-JP"/>
        </w:rPr>
        <w:t xml:space="preserve"> (including on SDG related </w:t>
      </w:r>
      <w:r w:rsidR="005F690D" w:rsidRPr="003E2544">
        <w:rPr>
          <w:rFonts w:ascii="Verdana" w:eastAsia="Times New Roman" w:hAnsi="Verdana" w:cs="Calibri"/>
          <w:sz w:val="20"/>
          <w:szCs w:val="20"/>
          <w:lang w:val="en-US" w:eastAsia="ja-JP"/>
        </w:rPr>
        <w:t xml:space="preserve">programmes) </w:t>
      </w:r>
      <w:r w:rsidR="007D34BC" w:rsidRPr="003E2544">
        <w:rPr>
          <w:rFonts w:ascii="Verdana" w:eastAsia="Times New Roman" w:hAnsi="Verdana" w:cs="Calibri"/>
          <w:sz w:val="20"/>
          <w:szCs w:val="20"/>
          <w:lang w:val="en-US" w:eastAsia="ja-JP"/>
        </w:rPr>
        <w:t>operational</w:t>
      </w:r>
      <w:r w:rsidR="00D56FAC" w:rsidRPr="003E2544">
        <w:rPr>
          <w:rFonts w:ascii="Verdana" w:eastAsia="Times New Roman" w:hAnsi="Verdana" w:cs="Calibri"/>
          <w:sz w:val="20"/>
          <w:szCs w:val="20"/>
          <w:lang w:val="en-US" w:eastAsia="ja-JP"/>
        </w:rPr>
        <w:t>ized</w:t>
      </w:r>
      <w:r w:rsidR="007D34BC" w:rsidRPr="003E2544">
        <w:rPr>
          <w:rFonts w:ascii="Verdana" w:eastAsia="Times New Roman" w:hAnsi="Verdana" w:cs="Calibri"/>
          <w:sz w:val="20"/>
          <w:szCs w:val="20"/>
          <w:lang w:val="en-US" w:eastAsia="ja-JP"/>
        </w:rPr>
        <w:t xml:space="preserve">. </w:t>
      </w:r>
    </w:p>
    <w:p w14:paraId="1AA2D559" w14:textId="0CFC4D83" w:rsidR="00764E27" w:rsidRPr="003E2544" w:rsidRDefault="00D56FAC" w:rsidP="00245274">
      <w:pPr>
        <w:pStyle w:val="ListParagraph"/>
        <w:numPr>
          <w:ilvl w:val="0"/>
          <w:numId w:val="56"/>
        </w:numPr>
        <w:spacing w:line="240" w:lineRule="auto"/>
        <w:rPr>
          <w:rFonts w:ascii="Verdana" w:eastAsia="Times New Roman" w:hAnsi="Verdana" w:cs="Calibri"/>
          <w:sz w:val="20"/>
          <w:szCs w:val="20"/>
          <w:lang w:val="en-US" w:eastAsia="ja-JP"/>
        </w:rPr>
      </w:pPr>
      <w:r w:rsidRPr="003E2544">
        <w:rPr>
          <w:rFonts w:ascii="Verdana" w:eastAsia="Times New Roman" w:hAnsi="Verdana" w:cs="Calibri"/>
          <w:sz w:val="20"/>
          <w:szCs w:val="20"/>
          <w:lang w:val="en-US" w:eastAsia="ja-JP"/>
        </w:rPr>
        <w:t xml:space="preserve">Routine spending analyses developed to inform budget decisions and spending processes at national and state levels </w:t>
      </w:r>
      <w:r w:rsidR="005F7322">
        <w:rPr>
          <w:rFonts w:ascii="Verdana" w:eastAsia="Times New Roman" w:hAnsi="Verdana" w:cs="Calibri"/>
          <w:sz w:val="20"/>
          <w:szCs w:val="20"/>
          <w:lang w:val="en-US" w:eastAsia="ja-JP"/>
        </w:rPr>
        <w:t>–</w:t>
      </w:r>
      <w:r w:rsidR="005F7322" w:rsidRPr="003E2544">
        <w:rPr>
          <w:rFonts w:ascii="Verdana" w:eastAsia="Times New Roman" w:hAnsi="Verdana" w:cs="Calibri"/>
          <w:sz w:val="20"/>
          <w:szCs w:val="20"/>
          <w:lang w:val="en-US" w:eastAsia="ja-JP"/>
        </w:rPr>
        <w:t xml:space="preserve"> </w:t>
      </w:r>
      <w:r w:rsidRPr="003E2544">
        <w:rPr>
          <w:rFonts w:ascii="Verdana" w:eastAsia="Times New Roman" w:hAnsi="Verdana" w:cs="Calibri"/>
          <w:sz w:val="20"/>
          <w:szCs w:val="20"/>
          <w:lang w:val="en-US" w:eastAsia="ja-JP"/>
        </w:rPr>
        <w:t>b</w:t>
      </w:r>
      <w:r w:rsidR="4F0D17E4" w:rsidRPr="003E2544">
        <w:rPr>
          <w:rFonts w:ascii="Verdana" w:eastAsia="Times New Roman" w:hAnsi="Verdana" w:cs="Calibri"/>
          <w:sz w:val="20"/>
          <w:szCs w:val="20"/>
          <w:lang w:val="en-US" w:eastAsia="ja-JP"/>
        </w:rPr>
        <w:t xml:space="preserve">udget </w:t>
      </w:r>
      <w:r w:rsidRPr="003E2544">
        <w:rPr>
          <w:rFonts w:ascii="Verdana" w:eastAsia="Times New Roman" w:hAnsi="Verdana" w:cs="Calibri"/>
          <w:sz w:val="20"/>
          <w:szCs w:val="20"/>
          <w:lang w:val="en-US" w:eastAsia="ja-JP"/>
        </w:rPr>
        <w:t>b</w:t>
      </w:r>
      <w:r w:rsidR="4F0D17E4" w:rsidRPr="003E2544">
        <w:rPr>
          <w:rFonts w:ascii="Verdana" w:eastAsia="Times New Roman" w:hAnsi="Verdana" w:cs="Calibri"/>
          <w:sz w:val="20"/>
          <w:szCs w:val="20"/>
          <w:lang w:val="en-US" w:eastAsia="ja-JP"/>
        </w:rPr>
        <w:t xml:space="preserve">riefs, </w:t>
      </w:r>
      <w:r w:rsidR="29E3CE9F" w:rsidRPr="003E2544">
        <w:rPr>
          <w:rFonts w:ascii="Verdana" w:eastAsia="Times New Roman" w:hAnsi="Verdana" w:cs="Calibri"/>
          <w:sz w:val="20"/>
          <w:szCs w:val="20"/>
          <w:lang w:val="en-US" w:eastAsia="ja-JP"/>
        </w:rPr>
        <w:t>Citizen’s Budget</w:t>
      </w:r>
      <w:r w:rsidRPr="003E2544">
        <w:rPr>
          <w:rFonts w:ascii="Verdana" w:eastAsia="Times New Roman" w:hAnsi="Verdana" w:cs="Calibri"/>
          <w:sz w:val="20"/>
          <w:szCs w:val="20"/>
          <w:lang w:val="en-US" w:eastAsia="ja-JP"/>
        </w:rPr>
        <w:t>s</w:t>
      </w:r>
      <w:r w:rsidR="6D45F7FF" w:rsidRPr="003E2544">
        <w:rPr>
          <w:rFonts w:ascii="Verdana" w:eastAsia="Times New Roman" w:hAnsi="Verdana" w:cs="Calibri"/>
          <w:sz w:val="20"/>
          <w:szCs w:val="20"/>
          <w:lang w:val="en-US" w:eastAsia="ja-JP"/>
        </w:rPr>
        <w:t>,</w:t>
      </w:r>
      <w:r w:rsidR="29E3CE9F" w:rsidRPr="003E2544">
        <w:rPr>
          <w:rFonts w:ascii="Verdana" w:eastAsia="Times New Roman" w:hAnsi="Verdana" w:cs="Calibri"/>
          <w:sz w:val="20"/>
          <w:szCs w:val="20"/>
          <w:lang w:val="en-US" w:eastAsia="ja-JP"/>
        </w:rPr>
        <w:t xml:space="preserve"> </w:t>
      </w:r>
      <w:r w:rsidR="09A4B1BD" w:rsidRPr="003E2544">
        <w:rPr>
          <w:rFonts w:ascii="Verdana" w:eastAsia="Times New Roman" w:hAnsi="Verdana" w:cs="Calibri"/>
          <w:sz w:val="20"/>
          <w:szCs w:val="20"/>
          <w:lang w:val="en-US" w:eastAsia="ja-JP"/>
        </w:rPr>
        <w:t>Public Expenditure Review</w:t>
      </w:r>
      <w:r w:rsidRPr="003E2544">
        <w:rPr>
          <w:rFonts w:ascii="Verdana" w:eastAsia="Times New Roman" w:hAnsi="Verdana" w:cs="Calibri"/>
          <w:sz w:val="20"/>
          <w:szCs w:val="20"/>
          <w:lang w:val="en-US" w:eastAsia="ja-JP"/>
        </w:rPr>
        <w:t>s</w:t>
      </w:r>
      <w:r w:rsidR="09A4B1BD" w:rsidRPr="003E2544">
        <w:rPr>
          <w:rFonts w:ascii="Verdana" w:eastAsia="Times New Roman" w:hAnsi="Verdana" w:cs="Calibri"/>
          <w:sz w:val="20"/>
          <w:szCs w:val="20"/>
          <w:lang w:val="en-US" w:eastAsia="ja-JP"/>
        </w:rPr>
        <w:t xml:space="preserve"> </w:t>
      </w:r>
      <w:r w:rsidR="005F7322">
        <w:rPr>
          <w:rFonts w:ascii="Verdana" w:eastAsia="Times New Roman" w:hAnsi="Verdana" w:cs="Calibri"/>
          <w:sz w:val="20"/>
          <w:szCs w:val="20"/>
          <w:lang w:val="en-US" w:eastAsia="ja-JP"/>
        </w:rPr>
        <w:t>(</w:t>
      </w:r>
      <w:r w:rsidR="09A4B1BD" w:rsidRPr="003E2544">
        <w:rPr>
          <w:rFonts w:ascii="Verdana" w:eastAsia="Times New Roman" w:hAnsi="Verdana" w:cs="Calibri"/>
          <w:sz w:val="20"/>
          <w:szCs w:val="20"/>
          <w:lang w:val="en-US" w:eastAsia="ja-JP"/>
        </w:rPr>
        <w:t>PER</w:t>
      </w:r>
      <w:r w:rsidRPr="003E2544">
        <w:rPr>
          <w:rFonts w:ascii="Verdana" w:eastAsia="Times New Roman" w:hAnsi="Verdana" w:cs="Calibri"/>
          <w:sz w:val="20"/>
          <w:szCs w:val="20"/>
          <w:lang w:val="en-US" w:eastAsia="ja-JP"/>
        </w:rPr>
        <w:t>s</w:t>
      </w:r>
      <w:r w:rsidR="005F7322">
        <w:rPr>
          <w:rFonts w:ascii="Verdana" w:eastAsia="Times New Roman" w:hAnsi="Verdana" w:cs="Calibri"/>
          <w:sz w:val="20"/>
          <w:szCs w:val="20"/>
          <w:lang w:val="en-US" w:eastAsia="ja-JP"/>
        </w:rPr>
        <w:t>)</w:t>
      </w:r>
      <w:r w:rsidRPr="003E2544">
        <w:rPr>
          <w:rFonts w:ascii="Verdana" w:eastAsia="Times New Roman" w:hAnsi="Verdana" w:cs="Calibri"/>
          <w:sz w:val="20"/>
          <w:szCs w:val="20"/>
          <w:lang w:val="en-US" w:eastAsia="ja-JP"/>
        </w:rPr>
        <w:t xml:space="preserve">, </w:t>
      </w:r>
      <w:r w:rsidR="09A4B1BD" w:rsidRPr="003E2544">
        <w:rPr>
          <w:rFonts w:ascii="Verdana" w:eastAsia="Times New Roman" w:hAnsi="Verdana" w:cs="Calibri"/>
          <w:sz w:val="20"/>
          <w:szCs w:val="20"/>
          <w:lang w:val="en-US" w:eastAsia="ja-JP"/>
        </w:rPr>
        <w:t>Public Expenditure Tracking Survey</w:t>
      </w:r>
      <w:r w:rsidRPr="003E2544">
        <w:rPr>
          <w:rFonts w:ascii="Verdana" w:eastAsia="Times New Roman" w:hAnsi="Verdana" w:cs="Calibri"/>
          <w:sz w:val="20"/>
          <w:szCs w:val="20"/>
          <w:lang w:val="en-US" w:eastAsia="ja-JP"/>
        </w:rPr>
        <w:t xml:space="preserve">s </w:t>
      </w:r>
      <w:r w:rsidR="005F7322">
        <w:rPr>
          <w:rFonts w:ascii="Verdana" w:eastAsia="Times New Roman" w:hAnsi="Verdana" w:cs="Calibri"/>
          <w:sz w:val="20"/>
          <w:szCs w:val="20"/>
          <w:lang w:val="en-US" w:eastAsia="ja-JP"/>
        </w:rPr>
        <w:t>(</w:t>
      </w:r>
      <w:r w:rsidRPr="003E2544">
        <w:rPr>
          <w:rFonts w:ascii="Verdana" w:eastAsia="Times New Roman" w:hAnsi="Verdana" w:cs="Calibri"/>
          <w:sz w:val="20"/>
          <w:szCs w:val="20"/>
          <w:lang w:val="en-US" w:eastAsia="ja-JP"/>
        </w:rPr>
        <w:t>PETS</w:t>
      </w:r>
      <w:r w:rsidR="005F7322">
        <w:rPr>
          <w:rFonts w:ascii="Verdana" w:eastAsia="Times New Roman" w:hAnsi="Verdana" w:cs="Calibri"/>
          <w:sz w:val="20"/>
          <w:szCs w:val="20"/>
          <w:lang w:val="en-US" w:eastAsia="ja-JP"/>
        </w:rPr>
        <w:t>)</w:t>
      </w:r>
      <w:r w:rsidRPr="003E2544">
        <w:rPr>
          <w:rFonts w:ascii="Verdana" w:eastAsia="Times New Roman" w:hAnsi="Verdana" w:cs="Calibri"/>
          <w:sz w:val="20"/>
          <w:szCs w:val="20"/>
          <w:lang w:val="en-US" w:eastAsia="ja-JP"/>
        </w:rPr>
        <w:t>, Open Budget Surveys, etc.</w:t>
      </w:r>
      <w:r w:rsidR="003C06F4" w:rsidRPr="003E2544">
        <w:rPr>
          <w:rFonts w:ascii="Verdana" w:eastAsia="Times New Roman" w:hAnsi="Verdana" w:cs="Calibri"/>
          <w:sz w:val="20"/>
          <w:szCs w:val="20"/>
          <w:lang w:val="en-US" w:eastAsia="ja-JP"/>
        </w:rPr>
        <w:t xml:space="preserve"> Gender analysis will be integrated into these analyses.</w:t>
      </w:r>
    </w:p>
    <w:p w14:paraId="688E8F02" w14:textId="2BFBF83F" w:rsidR="004A1936" w:rsidRPr="003E2544" w:rsidRDefault="3260D357" w:rsidP="00245274">
      <w:pPr>
        <w:pStyle w:val="ListParagraph"/>
        <w:numPr>
          <w:ilvl w:val="0"/>
          <w:numId w:val="56"/>
        </w:numPr>
        <w:spacing w:line="240" w:lineRule="auto"/>
        <w:rPr>
          <w:rFonts w:ascii="Verdana" w:eastAsia="Times New Roman" w:hAnsi="Verdana" w:cs="Calibri"/>
          <w:sz w:val="20"/>
          <w:szCs w:val="20"/>
          <w:lang w:val="en-US" w:eastAsia="ja-JP"/>
        </w:rPr>
      </w:pPr>
      <w:r w:rsidRPr="003E2544">
        <w:rPr>
          <w:rFonts w:ascii="Verdana" w:eastAsia="Times New Roman" w:hAnsi="Verdana" w:cs="Calibri"/>
          <w:sz w:val="20"/>
          <w:szCs w:val="20"/>
          <w:lang w:val="en-US" w:eastAsia="ja-JP"/>
        </w:rPr>
        <w:lastRenderedPageBreak/>
        <w:t xml:space="preserve">PFM actors’ coordination improved through the monthly </w:t>
      </w:r>
      <w:r w:rsidR="005F7322" w:rsidRPr="003E2544">
        <w:rPr>
          <w:rFonts w:ascii="Verdana" w:hAnsi="Verdana"/>
          <w:color w:val="000000" w:themeColor="text1"/>
          <w:sz w:val="19"/>
          <w:szCs w:val="19"/>
        </w:rPr>
        <w:t>PDWG</w:t>
      </w:r>
      <w:r w:rsidRPr="003E2544">
        <w:rPr>
          <w:rFonts w:ascii="Verdana" w:hAnsi="Verdana"/>
          <w:sz w:val="20"/>
          <w:szCs w:val="20"/>
          <w:lang w:val="en-US"/>
        </w:rPr>
        <w:t>.</w:t>
      </w:r>
    </w:p>
    <w:p w14:paraId="34744835" w14:textId="0D781E2D" w:rsidR="55BAABD7" w:rsidRPr="003E2544" w:rsidRDefault="55BAABD7" w:rsidP="00245274">
      <w:pPr>
        <w:pStyle w:val="ListParagraph"/>
        <w:numPr>
          <w:ilvl w:val="0"/>
          <w:numId w:val="56"/>
        </w:numPr>
        <w:spacing w:line="240" w:lineRule="auto"/>
        <w:rPr>
          <w:rFonts w:ascii="Verdana" w:eastAsiaTheme="minorEastAsia" w:hAnsi="Verdana" w:cstheme="minorBidi"/>
          <w:color w:val="000000" w:themeColor="text1"/>
          <w:sz w:val="20"/>
          <w:szCs w:val="20"/>
          <w:lang w:val="en-US"/>
        </w:rPr>
      </w:pPr>
      <w:r w:rsidRPr="003E2544">
        <w:rPr>
          <w:rFonts w:ascii="Verdana" w:hAnsi="Verdana"/>
          <w:sz w:val="20"/>
          <w:szCs w:val="20"/>
          <w:lang w:val="en-US"/>
        </w:rPr>
        <w:t>PFM actors’ understanding of human rights</w:t>
      </w:r>
      <w:r w:rsidR="00D56FAC" w:rsidRPr="003E2544">
        <w:rPr>
          <w:rFonts w:ascii="Verdana" w:hAnsi="Verdana"/>
          <w:sz w:val="20"/>
          <w:szCs w:val="20"/>
          <w:lang w:val="en-US"/>
        </w:rPr>
        <w:t xml:space="preserve"> and life-cycle </w:t>
      </w:r>
      <w:r w:rsidRPr="003E2544">
        <w:rPr>
          <w:rFonts w:ascii="Verdana" w:hAnsi="Verdana"/>
          <w:sz w:val="20"/>
          <w:szCs w:val="20"/>
          <w:lang w:val="en-US"/>
        </w:rPr>
        <w:t>approaches to sustainable development</w:t>
      </w:r>
      <w:r w:rsidRPr="003E2544">
        <w:rPr>
          <w:rFonts w:ascii="Verdana" w:eastAsia="Verdana" w:hAnsi="Verdana" w:cs="Verdana"/>
          <w:color w:val="000000" w:themeColor="text1"/>
          <w:sz w:val="20"/>
          <w:szCs w:val="20"/>
          <w:lang w:val="en-US"/>
        </w:rPr>
        <w:t xml:space="preserve"> improved as part of training/sensitization efforts by the JP.</w:t>
      </w:r>
    </w:p>
    <w:p w14:paraId="0A548548" w14:textId="68B9CADE" w:rsidR="00B373A3" w:rsidRPr="003E2544" w:rsidRDefault="3260D357" w:rsidP="00245274">
      <w:pPr>
        <w:pStyle w:val="ListParagraph"/>
        <w:numPr>
          <w:ilvl w:val="0"/>
          <w:numId w:val="56"/>
        </w:numPr>
        <w:spacing w:line="240" w:lineRule="auto"/>
        <w:rPr>
          <w:rFonts w:ascii="Verdana" w:eastAsiaTheme="minorEastAsia" w:hAnsi="Verdana" w:cstheme="minorBidi"/>
          <w:sz w:val="20"/>
          <w:szCs w:val="20"/>
          <w:lang w:val="en-US" w:eastAsia="ja-JP"/>
        </w:rPr>
      </w:pPr>
      <w:r w:rsidRPr="003E2544">
        <w:rPr>
          <w:rFonts w:ascii="Verdana" w:eastAsia="Times New Roman" w:hAnsi="Verdana" w:cs="Calibri"/>
          <w:sz w:val="20"/>
          <w:szCs w:val="20"/>
          <w:lang w:val="en-US" w:eastAsia="ja-JP"/>
        </w:rPr>
        <w:t>A</w:t>
      </w:r>
      <w:r w:rsidR="620CAB87" w:rsidRPr="003E2544">
        <w:rPr>
          <w:rFonts w:ascii="Verdana" w:eastAsia="Times New Roman" w:hAnsi="Verdana" w:cs="Calibri"/>
          <w:sz w:val="20"/>
          <w:szCs w:val="20"/>
          <w:lang w:val="en-US" w:eastAsia="ja-JP"/>
        </w:rPr>
        <w:t xml:space="preserve">wareness on the </w:t>
      </w:r>
      <w:r w:rsidR="60CC3F70" w:rsidRPr="003E2544">
        <w:rPr>
          <w:rFonts w:ascii="Verdana" w:eastAsia="Times New Roman" w:hAnsi="Verdana" w:cs="Calibri"/>
          <w:sz w:val="20"/>
          <w:szCs w:val="20"/>
          <w:lang w:val="en-US" w:eastAsia="ja-JP"/>
        </w:rPr>
        <w:t xml:space="preserve">PFM cycle </w:t>
      </w:r>
      <w:r w:rsidR="620CAB87" w:rsidRPr="003E2544">
        <w:rPr>
          <w:rFonts w:ascii="Verdana" w:eastAsia="Times New Roman" w:hAnsi="Verdana" w:cs="Calibri"/>
          <w:sz w:val="20"/>
          <w:szCs w:val="20"/>
          <w:lang w:val="en-US" w:eastAsia="ja-JP"/>
        </w:rPr>
        <w:t xml:space="preserve">raised </w:t>
      </w:r>
      <w:r w:rsidR="60CC3F70" w:rsidRPr="003E2544">
        <w:rPr>
          <w:rFonts w:ascii="Verdana" w:eastAsia="Times New Roman" w:hAnsi="Verdana" w:cs="Calibri"/>
          <w:sz w:val="20"/>
          <w:szCs w:val="20"/>
          <w:lang w:val="en-US" w:eastAsia="ja-JP"/>
        </w:rPr>
        <w:t>through citizens’ engagement events and participatory radio programme (i.e. Our Voices interactive)</w:t>
      </w:r>
      <w:r w:rsidR="098F046A" w:rsidRPr="003E2544">
        <w:rPr>
          <w:rFonts w:ascii="Verdana" w:eastAsia="Verdana" w:hAnsi="Verdana" w:cs="Verdana"/>
          <w:sz w:val="20"/>
          <w:szCs w:val="20"/>
          <w:lang w:val="en-US"/>
        </w:rPr>
        <w:t>.</w:t>
      </w:r>
    </w:p>
    <w:p w14:paraId="0DA8BC59" w14:textId="143A9093" w:rsidR="00F5279B" w:rsidRPr="003E2544" w:rsidRDefault="00F5279B" w:rsidP="00245274">
      <w:pPr>
        <w:spacing w:line="240" w:lineRule="auto"/>
        <w:rPr>
          <w:rFonts w:ascii="Verdana" w:eastAsia="Calibri" w:hAnsi="Verdana" w:cs="Times New Roman"/>
          <w:i/>
          <w:color w:val="C45911" w:themeColor="accent2" w:themeShade="BF"/>
          <w:sz w:val="18"/>
          <w:szCs w:val="18"/>
        </w:rPr>
      </w:pPr>
    </w:p>
    <w:p w14:paraId="5F8F7288" w14:textId="580AF040" w:rsidR="00A65B3F" w:rsidRPr="003E2544" w:rsidRDefault="00B06CD3" w:rsidP="00245274">
      <w:pPr>
        <w:spacing w:line="240" w:lineRule="auto"/>
        <w:contextualSpacing/>
        <w:jc w:val="both"/>
        <w:rPr>
          <w:rFonts w:ascii="Verdana" w:hAnsi="Verdana"/>
          <w:sz w:val="20"/>
          <w:szCs w:val="20"/>
        </w:rPr>
      </w:pPr>
      <w:r w:rsidRPr="003E2544">
        <w:rPr>
          <w:rFonts w:ascii="Verdana" w:hAnsi="Verdana"/>
          <w:sz w:val="20"/>
          <w:szCs w:val="20"/>
        </w:rPr>
        <w:t>Enhanced capacity of government</w:t>
      </w:r>
      <w:r w:rsidR="00A65B3F" w:rsidRPr="003E2544">
        <w:rPr>
          <w:rFonts w:ascii="Verdana" w:hAnsi="Verdana"/>
          <w:sz w:val="20"/>
          <w:szCs w:val="20"/>
        </w:rPr>
        <w:t xml:space="preserve"> institutions </w:t>
      </w:r>
      <w:r w:rsidR="000A0593" w:rsidRPr="003E2544">
        <w:rPr>
          <w:rFonts w:ascii="Verdana" w:hAnsi="Verdana"/>
          <w:sz w:val="20"/>
          <w:szCs w:val="20"/>
        </w:rPr>
        <w:t xml:space="preserve">in </w:t>
      </w:r>
      <w:r w:rsidR="005F7322">
        <w:rPr>
          <w:rFonts w:ascii="Verdana" w:hAnsi="Verdana"/>
          <w:sz w:val="20"/>
          <w:szCs w:val="20"/>
        </w:rPr>
        <w:t>PFM</w:t>
      </w:r>
      <w:r w:rsidR="000A0593" w:rsidRPr="003E2544">
        <w:rPr>
          <w:rFonts w:ascii="Verdana" w:hAnsi="Verdana"/>
          <w:sz w:val="20"/>
          <w:szCs w:val="20"/>
        </w:rPr>
        <w:t xml:space="preserve"> </w:t>
      </w:r>
      <w:r w:rsidR="00634E33">
        <w:rPr>
          <w:rFonts w:ascii="Verdana" w:hAnsi="Verdana"/>
          <w:sz w:val="20"/>
          <w:szCs w:val="20"/>
        </w:rPr>
        <w:t>(Outputs 1</w:t>
      </w:r>
      <w:r w:rsidR="00852A5B">
        <w:rPr>
          <w:rFonts w:ascii="Verdana" w:hAnsi="Verdana"/>
          <w:sz w:val="20"/>
          <w:szCs w:val="20"/>
        </w:rPr>
        <w:t xml:space="preserve"> and 2</w:t>
      </w:r>
      <w:r w:rsidR="00634E33">
        <w:rPr>
          <w:rFonts w:ascii="Verdana" w:hAnsi="Verdana"/>
          <w:sz w:val="20"/>
          <w:szCs w:val="20"/>
        </w:rPr>
        <w:t xml:space="preserve">) </w:t>
      </w:r>
      <w:r w:rsidR="000A0593" w:rsidRPr="003E2544">
        <w:rPr>
          <w:rFonts w:ascii="Verdana" w:hAnsi="Verdana"/>
          <w:sz w:val="20"/>
          <w:szCs w:val="20"/>
        </w:rPr>
        <w:t>contribute</w:t>
      </w:r>
      <w:r w:rsidR="00711568" w:rsidRPr="003E2544">
        <w:rPr>
          <w:rFonts w:ascii="Verdana" w:hAnsi="Verdana"/>
          <w:sz w:val="20"/>
          <w:szCs w:val="20"/>
        </w:rPr>
        <w:t>s</w:t>
      </w:r>
      <w:r w:rsidR="000A0593" w:rsidRPr="003E2544">
        <w:rPr>
          <w:rFonts w:ascii="Verdana" w:hAnsi="Verdana"/>
          <w:sz w:val="20"/>
          <w:szCs w:val="20"/>
        </w:rPr>
        <w:t xml:space="preserve"> to</w:t>
      </w:r>
      <w:r w:rsidR="00E27B2E" w:rsidRPr="003E2544">
        <w:rPr>
          <w:rFonts w:ascii="Verdana" w:hAnsi="Verdana"/>
          <w:sz w:val="20"/>
          <w:szCs w:val="20"/>
        </w:rPr>
        <w:t xml:space="preserve"> </w:t>
      </w:r>
      <w:r w:rsidR="00A65B3F" w:rsidRPr="003E2544">
        <w:rPr>
          <w:rFonts w:ascii="Verdana" w:hAnsi="Verdana"/>
          <w:sz w:val="20"/>
          <w:szCs w:val="20"/>
        </w:rPr>
        <w:t>SDG 16</w:t>
      </w:r>
      <w:r w:rsidR="006B4F71" w:rsidRPr="003E2544">
        <w:rPr>
          <w:rFonts w:ascii="Verdana" w:hAnsi="Verdana"/>
          <w:sz w:val="20"/>
          <w:szCs w:val="20"/>
        </w:rPr>
        <w:t xml:space="preserve"> especially 16.6: Develop effective, accountable and transparent institutions at all levels</w:t>
      </w:r>
      <w:r w:rsidR="00A65B3F" w:rsidRPr="003E2544">
        <w:rPr>
          <w:rFonts w:ascii="Verdana" w:hAnsi="Verdana"/>
          <w:sz w:val="20"/>
          <w:szCs w:val="20"/>
        </w:rPr>
        <w:t xml:space="preserve">; </w:t>
      </w:r>
      <w:r w:rsidR="00711568" w:rsidRPr="003E2544">
        <w:rPr>
          <w:rFonts w:ascii="Verdana" w:hAnsi="Verdana"/>
          <w:sz w:val="20"/>
          <w:szCs w:val="20"/>
        </w:rPr>
        <w:t>S</w:t>
      </w:r>
      <w:r w:rsidR="00A65B3F" w:rsidRPr="003E2544">
        <w:rPr>
          <w:rFonts w:ascii="Verdana" w:hAnsi="Verdana"/>
          <w:sz w:val="20"/>
          <w:szCs w:val="20"/>
        </w:rPr>
        <w:t>trengthen</w:t>
      </w:r>
      <w:r w:rsidR="00711568" w:rsidRPr="003E2544">
        <w:rPr>
          <w:rFonts w:ascii="Verdana" w:hAnsi="Verdana"/>
          <w:sz w:val="20"/>
          <w:szCs w:val="20"/>
        </w:rPr>
        <w:t>ed capac</w:t>
      </w:r>
      <w:r w:rsidR="00CF67C9" w:rsidRPr="003E2544">
        <w:rPr>
          <w:rFonts w:ascii="Verdana" w:hAnsi="Verdana"/>
          <w:sz w:val="20"/>
          <w:szCs w:val="20"/>
        </w:rPr>
        <w:t>ity in</w:t>
      </w:r>
      <w:r w:rsidR="00A65B3F" w:rsidRPr="003E2544">
        <w:rPr>
          <w:rFonts w:ascii="Verdana" w:hAnsi="Verdana"/>
          <w:sz w:val="20"/>
          <w:szCs w:val="20"/>
        </w:rPr>
        <w:t xml:space="preserve"> domestic resource mobilization</w:t>
      </w:r>
      <w:r w:rsidR="00CF67C9" w:rsidRPr="003E2544">
        <w:rPr>
          <w:rFonts w:ascii="Verdana" w:hAnsi="Verdana"/>
          <w:sz w:val="20"/>
          <w:szCs w:val="20"/>
        </w:rPr>
        <w:t xml:space="preserve"> </w:t>
      </w:r>
      <w:r w:rsidR="00634E33">
        <w:rPr>
          <w:rFonts w:ascii="Verdana" w:hAnsi="Verdana"/>
          <w:sz w:val="20"/>
          <w:szCs w:val="20"/>
        </w:rPr>
        <w:t xml:space="preserve">(Output 1) </w:t>
      </w:r>
      <w:r w:rsidR="00CF67C9" w:rsidRPr="003E2544">
        <w:rPr>
          <w:rFonts w:ascii="Verdana" w:hAnsi="Verdana"/>
          <w:sz w:val="20"/>
          <w:szCs w:val="20"/>
        </w:rPr>
        <w:t>contributes to</w:t>
      </w:r>
      <w:r w:rsidR="00A65B3F" w:rsidRPr="003E2544">
        <w:rPr>
          <w:rFonts w:ascii="Verdana" w:hAnsi="Verdana"/>
          <w:sz w:val="20"/>
          <w:szCs w:val="20"/>
        </w:rPr>
        <w:t xml:space="preserve"> SDG 17</w:t>
      </w:r>
      <w:r w:rsidR="00CF67C9" w:rsidRPr="003E2544">
        <w:rPr>
          <w:rFonts w:ascii="Verdana" w:hAnsi="Verdana"/>
          <w:sz w:val="20"/>
          <w:szCs w:val="20"/>
        </w:rPr>
        <w:t xml:space="preserve">, especially 17.1: Strengthen domestic resource mobilization, including through international support to developing countries, to improve domestic capacity for tax and other revenue collection and </w:t>
      </w:r>
      <w:r w:rsidR="00BA05CE" w:rsidRPr="003E2544">
        <w:rPr>
          <w:rFonts w:ascii="Verdana" w:hAnsi="Verdana"/>
          <w:sz w:val="20"/>
          <w:szCs w:val="20"/>
        </w:rPr>
        <w:t>17.3: Mobilize additional financial resources for developing countries from multiple sources. Developing SDG</w:t>
      </w:r>
      <w:r w:rsidR="00634E33">
        <w:rPr>
          <w:rFonts w:ascii="Verdana" w:hAnsi="Verdana"/>
          <w:sz w:val="20"/>
          <w:szCs w:val="20"/>
        </w:rPr>
        <w:t>-</w:t>
      </w:r>
      <w:r w:rsidR="00BA05CE" w:rsidRPr="003E2544">
        <w:rPr>
          <w:rFonts w:ascii="Verdana" w:hAnsi="Verdana"/>
          <w:sz w:val="20"/>
          <w:szCs w:val="20"/>
        </w:rPr>
        <w:t xml:space="preserve">aligning </w:t>
      </w:r>
      <w:r w:rsidR="00F24FBF" w:rsidRPr="003E2544">
        <w:rPr>
          <w:rFonts w:ascii="Verdana" w:hAnsi="Verdana"/>
          <w:sz w:val="20"/>
          <w:szCs w:val="20"/>
        </w:rPr>
        <w:t xml:space="preserve">NDS, INFF, SDSs, and Sector Plans </w:t>
      </w:r>
      <w:r w:rsidR="00634E33">
        <w:rPr>
          <w:rFonts w:ascii="Verdana" w:hAnsi="Verdana"/>
          <w:sz w:val="20"/>
          <w:szCs w:val="20"/>
        </w:rPr>
        <w:t xml:space="preserve">(Output 3) </w:t>
      </w:r>
      <w:r w:rsidR="00F24FBF" w:rsidRPr="003E2544">
        <w:rPr>
          <w:rFonts w:ascii="Verdana" w:hAnsi="Verdana"/>
          <w:sz w:val="20"/>
          <w:szCs w:val="20"/>
        </w:rPr>
        <w:t xml:space="preserve">will </w:t>
      </w:r>
      <w:r w:rsidR="00A65B3F" w:rsidRPr="003E2544">
        <w:rPr>
          <w:rFonts w:ascii="Verdana" w:hAnsi="Verdana"/>
          <w:sz w:val="20"/>
          <w:szCs w:val="20"/>
        </w:rPr>
        <w:t>enabl</w:t>
      </w:r>
      <w:r w:rsidR="00F24FBF" w:rsidRPr="003E2544">
        <w:rPr>
          <w:rFonts w:ascii="Verdana" w:hAnsi="Verdana"/>
          <w:sz w:val="20"/>
          <w:szCs w:val="20"/>
        </w:rPr>
        <w:t>e</w:t>
      </w:r>
      <w:r w:rsidR="00A65B3F" w:rsidRPr="003E2544">
        <w:rPr>
          <w:rFonts w:ascii="Verdana" w:hAnsi="Verdana"/>
          <w:sz w:val="20"/>
          <w:szCs w:val="20"/>
        </w:rPr>
        <w:t xml:space="preserve"> a paradigm shift toward increased budget allocations to social services (SDG 1, 3, 4, 5, 6) and</w:t>
      </w:r>
      <w:r w:rsidR="00F24FBF" w:rsidRPr="003E2544">
        <w:rPr>
          <w:rFonts w:ascii="Verdana" w:hAnsi="Verdana"/>
          <w:sz w:val="20"/>
          <w:szCs w:val="20"/>
        </w:rPr>
        <w:t xml:space="preserve"> its inclusive </w:t>
      </w:r>
      <w:r w:rsidR="00E0135E" w:rsidRPr="003E2544">
        <w:rPr>
          <w:rFonts w:ascii="Verdana" w:hAnsi="Verdana"/>
          <w:sz w:val="20"/>
          <w:szCs w:val="20"/>
        </w:rPr>
        <w:t>consultative process</w:t>
      </w:r>
      <w:r w:rsidR="00F54075" w:rsidRPr="003E2544">
        <w:rPr>
          <w:rFonts w:ascii="Verdana" w:hAnsi="Verdana"/>
          <w:sz w:val="20"/>
          <w:szCs w:val="20"/>
        </w:rPr>
        <w:t xml:space="preserve"> with youth, women, and people with disabilit</w:t>
      </w:r>
      <w:r w:rsidR="6D02982A" w:rsidRPr="003E2544">
        <w:rPr>
          <w:rFonts w:ascii="Verdana" w:hAnsi="Verdana"/>
          <w:sz w:val="20"/>
          <w:szCs w:val="20"/>
        </w:rPr>
        <w:t>ies</w:t>
      </w:r>
      <w:r w:rsidR="00F54075" w:rsidRPr="003E2544">
        <w:rPr>
          <w:rFonts w:ascii="Verdana" w:hAnsi="Verdana"/>
          <w:sz w:val="20"/>
          <w:szCs w:val="20"/>
        </w:rPr>
        <w:t xml:space="preserve"> </w:t>
      </w:r>
      <w:r w:rsidR="00A65B3F" w:rsidRPr="003E2544">
        <w:rPr>
          <w:rFonts w:ascii="Verdana" w:hAnsi="Verdana"/>
          <w:sz w:val="20"/>
          <w:szCs w:val="20"/>
        </w:rPr>
        <w:t>under the SDG principle of ‘leave no one behind</w:t>
      </w:r>
      <w:r w:rsidR="00946C16" w:rsidRPr="003E2544">
        <w:rPr>
          <w:rFonts w:ascii="Verdana" w:hAnsi="Verdana"/>
          <w:sz w:val="20"/>
          <w:szCs w:val="20"/>
        </w:rPr>
        <w:t xml:space="preserve">’ </w:t>
      </w:r>
      <w:r w:rsidR="00A65B3F" w:rsidRPr="003E2544">
        <w:rPr>
          <w:rFonts w:ascii="Verdana" w:hAnsi="Verdana"/>
          <w:sz w:val="20"/>
          <w:szCs w:val="20"/>
        </w:rPr>
        <w:t xml:space="preserve">will include thematic spotlights </w:t>
      </w:r>
      <w:r w:rsidR="00634E33">
        <w:rPr>
          <w:rFonts w:ascii="Verdana" w:hAnsi="Verdana"/>
          <w:sz w:val="20"/>
          <w:szCs w:val="20"/>
        </w:rPr>
        <w:t>on</w:t>
      </w:r>
      <w:r w:rsidR="00634E33" w:rsidRPr="003E2544">
        <w:rPr>
          <w:rFonts w:ascii="Verdana" w:hAnsi="Verdana"/>
          <w:sz w:val="20"/>
          <w:szCs w:val="20"/>
        </w:rPr>
        <w:t xml:space="preserve"> </w:t>
      </w:r>
      <w:r w:rsidR="00A65B3F" w:rsidRPr="003E2544">
        <w:rPr>
          <w:rFonts w:ascii="Verdana" w:hAnsi="Verdana"/>
          <w:sz w:val="20"/>
          <w:szCs w:val="20"/>
        </w:rPr>
        <w:t xml:space="preserve">the importance of increased budget allocations </w:t>
      </w:r>
      <w:r w:rsidR="00634E33">
        <w:rPr>
          <w:rFonts w:ascii="Verdana" w:hAnsi="Verdana"/>
          <w:sz w:val="20"/>
          <w:szCs w:val="20"/>
        </w:rPr>
        <w:t xml:space="preserve">for </w:t>
      </w:r>
      <w:r w:rsidR="00A65B3F" w:rsidRPr="003E2544">
        <w:rPr>
          <w:rFonts w:ascii="Verdana" w:hAnsi="Verdana"/>
          <w:sz w:val="20"/>
          <w:szCs w:val="20"/>
        </w:rPr>
        <w:t xml:space="preserve">the most marginalized groups of society (SDG 10). </w:t>
      </w:r>
    </w:p>
    <w:p w14:paraId="1269B402" w14:textId="77777777" w:rsidR="00F501D8" w:rsidRPr="003E2544" w:rsidRDefault="00F501D8" w:rsidP="00245274">
      <w:pPr>
        <w:spacing w:line="240" w:lineRule="auto"/>
        <w:rPr>
          <w:rFonts w:ascii="Verdana" w:eastAsia="Calibri" w:hAnsi="Verdana" w:cs="Times New Roman"/>
          <w:i/>
          <w:color w:val="C45911" w:themeColor="accent2" w:themeShade="BF"/>
          <w:sz w:val="18"/>
          <w:szCs w:val="18"/>
        </w:rPr>
      </w:pPr>
    </w:p>
    <w:p w14:paraId="42F82E29" w14:textId="77C274DC" w:rsidR="0091109A" w:rsidRPr="003E2544" w:rsidRDefault="004A1936" w:rsidP="009701E1">
      <w:pPr>
        <w:pStyle w:val="Heading3"/>
        <w:spacing w:line="240" w:lineRule="auto"/>
      </w:pPr>
      <w:r w:rsidRPr="003E2544">
        <w:t>Future scenario for early 2022</w:t>
      </w:r>
    </w:p>
    <w:p w14:paraId="52AE05E6" w14:textId="77777777" w:rsidR="00596D66" w:rsidRPr="003E2544" w:rsidRDefault="00596D66" w:rsidP="00245274">
      <w:pPr>
        <w:spacing w:line="240" w:lineRule="auto"/>
        <w:rPr>
          <w:rFonts w:ascii="Verdana" w:hAnsi="Verdana"/>
          <w:b/>
          <w:bCs/>
          <w:sz w:val="20"/>
          <w:szCs w:val="20"/>
        </w:rPr>
      </w:pPr>
    </w:p>
    <w:p w14:paraId="168D06EA" w14:textId="368560EC" w:rsidR="0034199F" w:rsidRPr="003E2544" w:rsidRDefault="0034199F" w:rsidP="00245274">
      <w:pPr>
        <w:pStyle w:val="NormalWeb"/>
        <w:shd w:val="clear" w:color="auto" w:fill="FFFFFF"/>
        <w:spacing w:before="0" w:beforeAutospacing="0" w:after="0" w:afterAutospacing="0"/>
        <w:jc w:val="both"/>
        <w:rPr>
          <w:rFonts w:eastAsiaTheme="minorEastAsia"/>
          <w:color w:val="000000"/>
        </w:rPr>
      </w:pPr>
      <w:r w:rsidRPr="003E2544">
        <w:rPr>
          <w:rFonts w:ascii="Verdana" w:hAnsi="Verdana"/>
          <w:color w:val="201F1E"/>
          <w:sz w:val="20"/>
          <w:szCs w:val="20"/>
          <w:bdr w:val="none" w:sz="0" w:space="0" w:color="auto" w:frame="1"/>
        </w:rPr>
        <w:t xml:space="preserve">Forty-five days after the DGs of Finance and Administration from Central and Western Equatoria and Northern Bahr el Ghazal receive the Budget Call Circular, with transfer ceilings for </w:t>
      </w:r>
      <w:r w:rsidR="00B75DD6">
        <w:rPr>
          <w:rFonts w:ascii="Verdana" w:hAnsi="Verdana"/>
          <w:color w:val="201F1E"/>
          <w:sz w:val="20"/>
          <w:szCs w:val="20"/>
          <w:bdr w:val="none" w:sz="0" w:space="0" w:color="auto" w:frame="1"/>
        </w:rPr>
        <w:t>F</w:t>
      </w:r>
      <w:r w:rsidRPr="003E2544">
        <w:rPr>
          <w:rFonts w:ascii="Verdana" w:hAnsi="Verdana"/>
          <w:color w:val="201F1E"/>
          <w:sz w:val="20"/>
          <w:szCs w:val="20"/>
          <w:bdr w:val="none" w:sz="0" w:space="0" w:color="auto" w:frame="1"/>
        </w:rPr>
        <w:t xml:space="preserve">Y 2022/23, their state budgets are submitted to their State Legislature for approval.  This marks a milestone </w:t>
      </w:r>
      <w:r w:rsidR="00B75DD6">
        <w:rPr>
          <w:rFonts w:ascii="Verdana" w:hAnsi="Verdana"/>
          <w:color w:val="201F1E"/>
          <w:sz w:val="20"/>
          <w:szCs w:val="20"/>
          <w:bdr w:val="none" w:sz="0" w:space="0" w:color="auto" w:frame="1"/>
        </w:rPr>
        <w:t>for</w:t>
      </w:r>
      <w:r w:rsidRPr="003E2544">
        <w:rPr>
          <w:rFonts w:ascii="Verdana" w:hAnsi="Verdana"/>
          <w:color w:val="201F1E"/>
          <w:sz w:val="20"/>
          <w:szCs w:val="20"/>
          <w:bdr w:val="none" w:sz="0" w:space="0" w:color="auto" w:frame="1"/>
        </w:rPr>
        <w:t xml:space="preserve"> the peace dividend, establishing robust government institutions and achieving the SDGs. A multi-year, MoFP scoreboard measures and </w:t>
      </w:r>
      <w:r w:rsidR="00B75DD6" w:rsidRPr="003E2544">
        <w:rPr>
          <w:rFonts w:ascii="Verdana" w:hAnsi="Verdana"/>
          <w:color w:val="201F1E"/>
          <w:sz w:val="20"/>
          <w:szCs w:val="20"/>
          <w:bdr w:val="none" w:sz="0" w:space="0" w:color="auto" w:frame="1"/>
        </w:rPr>
        <w:t>publicizes</w:t>
      </w:r>
      <w:r w:rsidRPr="003E2544">
        <w:rPr>
          <w:rFonts w:ascii="Verdana" w:hAnsi="Verdana"/>
          <w:color w:val="201F1E"/>
          <w:sz w:val="20"/>
          <w:szCs w:val="20"/>
          <w:bdr w:val="none" w:sz="0" w:space="0" w:color="auto" w:frame="1"/>
        </w:rPr>
        <w:t xml:space="preserve"> these achievements and other PFM achievements. </w:t>
      </w:r>
    </w:p>
    <w:p w14:paraId="3B4EF841" w14:textId="77777777" w:rsidR="0034199F" w:rsidRPr="003E2544" w:rsidRDefault="0034199F" w:rsidP="00245274">
      <w:pPr>
        <w:pStyle w:val="NormalWeb"/>
        <w:shd w:val="clear" w:color="auto" w:fill="FFFFFF"/>
        <w:spacing w:before="0" w:beforeAutospacing="0" w:after="0" w:afterAutospacing="0"/>
        <w:jc w:val="both"/>
        <w:rPr>
          <w:color w:val="000000"/>
        </w:rPr>
      </w:pPr>
      <w:r w:rsidRPr="003E2544">
        <w:rPr>
          <w:rFonts w:ascii="Verdana" w:hAnsi="Verdana"/>
          <w:color w:val="201F1E"/>
          <w:sz w:val="20"/>
          <w:szCs w:val="20"/>
          <w:bdr w:val="none" w:sz="0" w:space="0" w:color="auto" w:frame="1"/>
        </w:rPr>
        <w:t> </w:t>
      </w:r>
    </w:p>
    <w:p w14:paraId="5F96A6C2" w14:textId="35E41D6B" w:rsidR="0034199F" w:rsidRPr="003E2544" w:rsidRDefault="0034199F" w:rsidP="00245274">
      <w:pPr>
        <w:pStyle w:val="NormalWeb"/>
        <w:shd w:val="clear" w:color="auto" w:fill="FFFFFF"/>
        <w:spacing w:before="0" w:beforeAutospacing="0" w:after="0" w:afterAutospacing="0"/>
        <w:jc w:val="both"/>
        <w:rPr>
          <w:color w:val="000000"/>
        </w:rPr>
      </w:pPr>
      <w:r w:rsidRPr="003E2544">
        <w:rPr>
          <w:rFonts w:ascii="Verdana" w:hAnsi="Verdana"/>
          <w:color w:val="201F1E"/>
          <w:sz w:val="20"/>
          <w:szCs w:val="20"/>
          <w:bdr w:val="none" w:sz="0" w:space="0" w:color="auto" w:frame="1"/>
        </w:rPr>
        <w:t xml:space="preserve">The County Transfer Monitoring Committees (CMTC) in all 10 states will meet the following week. The link between budgets and plans has been strengthened as most members of the CMTC sit on the State Development Planning Committee, which re-convened in 2021. The CMTC will revise their plans for the new FY and be trained in mentoring skills to support county planning and budgeting.  In 2021 none of the three states submitted approved budgets to the MoFP and only one state submitted a financial report. </w:t>
      </w:r>
    </w:p>
    <w:p w14:paraId="318855D1" w14:textId="77777777" w:rsidR="0034199F" w:rsidRPr="003E2544" w:rsidRDefault="0034199F" w:rsidP="00245274">
      <w:pPr>
        <w:pStyle w:val="NormalWeb"/>
        <w:shd w:val="clear" w:color="auto" w:fill="FFFFFF"/>
        <w:spacing w:before="0" w:beforeAutospacing="0" w:after="0" w:afterAutospacing="0"/>
        <w:jc w:val="both"/>
        <w:rPr>
          <w:color w:val="000000"/>
        </w:rPr>
      </w:pPr>
      <w:r w:rsidRPr="003E2544">
        <w:rPr>
          <w:rFonts w:ascii="Verdana" w:hAnsi="Verdana"/>
          <w:color w:val="201F1E"/>
          <w:sz w:val="20"/>
          <w:szCs w:val="20"/>
          <w:bdr w:val="none" w:sz="0" w:space="0" w:color="auto" w:frame="1"/>
        </w:rPr>
        <w:t> </w:t>
      </w:r>
    </w:p>
    <w:p w14:paraId="5650F7A2" w14:textId="31CAA41B" w:rsidR="0034199F" w:rsidRPr="003E2544" w:rsidRDefault="0034199F" w:rsidP="00245274">
      <w:pPr>
        <w:pStyle w:val="NormalWeb"/>
        <w:shd w:val="clear" w:color="auto" w:fill="FFFFFF"/>
        <w:spacing w:before="0" w:beforeAutospacing="0" w:after="0" w:afterAutospacing="0"/>
        <w:jc w:val="both"/>
        <w:rPr>
          <w:color w:val="000000"/>
        </w:rPr>
      </w:pPr>
      <w:r w:rsidRPr="003E2544">
        <w:rPr>
          <w:rFonts w:ascii="Verdana" w:hAnsi="Verdana"/>
          <w:color w:val="201F1E"/>
          <w:sz w:val="20"/>
          <w:szCs w:val="20"/>
          <w:bdr w:val="none" w:sz="0" w:space="0" w:color="auto" w:frame="1"/>
        </w:rPr>
        <w:t xml:space="preserve">The DG Finance </w:t>
      </w:r>
      <w:r w:rsidR="00E64D9E">
        <w:rPr>
          <w:rFonts w:ascii="Verdana" w:hAnsi="Verdana"/>
          <w:color w:val="201F1E"/>
          <w:sz w:val="20"/>
          <w:szCs w:val="20"/>
          <w:bdr w:val="none" w:sz="0" w:space="0" w:color="auto" w:frame="1"/>
        </w:rPr>
        <w:t xml:space="preserve">will </w:t>
      </w:r>
      <w:r w:rsidRPr="003E2544">
        <w:rPr>
          <w:rFonts w:ascii="Verdana" w:hAnsi="Verdana"/>
          <w:color w:val="201F1E"/>
          <w:sz w:val="20"/>
          <w:szCs w:val="20"/>
          <w:bdr w:val="none" w:sz="0" w:space="0" w:color="auto" w:frame="1"/>
        </w:rPr>
        <w:t>prepar</w:t>
      </w:r>
      <w:r w:rsidR="00E64D9E">
        <w:rPr>
          <w:rFonts w:ascii="Verdana" w:hAnsi="Verdana"/>
          <w:color w:val="201F1E"/>
          <w:sz w:val="20"/>
          <w:szCs w:val="20"/>
          <w:bdr w:val="none" w:sz="0" w:space="0" w:color="auto" w:frame="1"/>
        </w:rPr>
        <w:t xml:space="preserve">e </w:t>
      </w:r>
      <w:r w:rsidRPr="003E2544">
        <w:rPr>
          <w:rFonts w:ascii="Verdana" w:hAnsi="Verdana"/>
          <w:color w:val="201F1E"/>
          <w:sz w:val="20"/>
          <w:szCs w:val="20"/>
          <w:bdr w:val="none" w:sz="0" w:space="0" w:color="auto" w:frame="1"/>
        </w:rPr>
        <w:t xml:space="preserve">for a hearing at the </w:t>
      </w:r>
      <w:r w:rsidR="00B75DD6">
        <w:rPr>
          <w:rFonts w:ascii="Verdana" w:hAnsi="Verdana"/>
          <w:color w:val="201F1E"/>
          <w:sz w:val="20"/>
          <w:szCs w:val="20"/>
          <w:bdr w:val="none" w:sz="0" w:space="0" w:color="auto" w:frame="1"/>
        </w:rPr>
        <w:t>SLA</w:t>
      </w:r>
      <w:r w:rsidRPr="003E2544">
        <w:rPr>
          <w:rFonts w:ascii="Verdana" w:hAnsi="Verdana"/>
          <w:color w:val="201F1E"/>
          <w:sz w:val="20"/>
          <w:szCs w:val="20"/>
          <w:bdr w:val="none" w:sz="0" w:space="0" w:color="auto" w:frame="1"/>
        </w:rPr>
        <w:t xml:space="preserve"> to defend the budget and a number of </w:t>
      </w:r>
      <w:r w:rsidR="00B75DD6">
        <w:rPr>
          <w:rFonts w:ascii="Verdana" w:hAnsi="Verdana"/>
          <w:color w:val="201F1E"/>
          <w:sz w:val="20"/>
          <w:szCs w:val="20"/>
          <w:bdr w:val="none" w:sz="0" w:space="0" w:color="auto" w:frame="1"/>
        </w:rPr>
        <w:t>CSOs</w:t>
      </w:r>
      <w:r w:rsidRPr="003E2544">
        <w:rPr>
          <w:rFonts w:ascii="Verdana" w:hAnsi="Verdana"/>
          <w:color w:val="201F1E"/>
          <w:sz w:val="20"/>
          <w:szCs w:val="20"/>
          <w:bdr w:val="none" w:sz="0" w:space="0" w:color="auto" w:frame="1"/>
        </w:rPr>
        <w:t xml:space="preserve"> will attend to ask questions around the allocations to primary health care, poverty alleviation and women’s entrepreneurship projects.  The </w:t>
      </w:r>
      <w:r w:rsidR="00B75DD6">
        <w:rPr>
          <w:rFonts w:ascii="Verdana" w:hAnsi="Verdana"/>
          <w:color w:val="201F1E"/>
          <w:sz w:val="20"/>
          <w:szCs w:val="20"/>
          <w:bdr w:val="none" w:sz="0" w:space="0" w:color="auto" w:frame="1"/>
        </w:rPr>
        <w:t>three</w:t>
      </w:r>
      <w:r w:rsidRPr="003E2544">
        <w:rPr>
          <w:rFonts w:ascii="Verdana" w:hAnsi="Verdana"/>
          <w:color w:val="201F1E"/>
          <w:sz w:val="20"/>
          <w:szCs w:val="20"/>
          <w:bdr w:val="none" w:sz="0" w:space="0" w:color="auto" w:frame="1"/>
        </w:rPr>
        <w:t xml:space="preserve"> states have re-</w:t>
      </w:r>
      <w:r w:rsidR="00B75DD6" w:rsidRPr="003E2544">
        <w:rPr>
          <w:rFonts w:ascii="Verdana" w:hAnsi="Verdana"/>
          <w:color w:val="201F1E"/>
          <w:sz w:val="20"/>
          <w:szCs w:val="20"/>
          <w:bdr w:val="none" w:sz="0" w:space="0" w:color="auto" w:frame="1"/>
        </w:rPr>
        <w:t>prioritized</w:t>
      </w:r>
      <w:r w:rsidRPr="003E2544">
        <w:rPr>
          <w:rFonts w:ascii="Verdana" w:hAnsi="Verdana"/>
          <w:color w:val="201F1E"/>
          <w:sz w:val="20"/>
          <w:szCs w:val="20"/>
          <w:bdr w:val="none" w:sz="0" w:space="0" w:color="auto" w:frame="1"/>
        </w:rPr>
        <w:t xml:space="preserve"> their discretionary revenue to supplement the conditional social sector grants. In addition, </w:t>
      </w:r>
      <w:r w:rsidR="00B75DD6">
        <w:rPr>
          <w:rFonts w:ascii="Verdana" w:hAnsi="Verdana"/>
          <w:color w:val="201F1E"/>
          <w:sz w:val="20"/>
          <w:szCs w:val="20"/>
          <w:bdr w:val="none" w:sz="0" w:space="0" w:color="auto" w:frame="1"/>
        </w:rPr>
        <w:t>SRAs</w:t>
      </w:r>
      <w:r w:rsidRPr="003E2544">
        <w:rPr>
          <w:rFonts w:ascii="Verdana" w:hAnsi="Verdana"/>
          <w:color w:val="201F1E"/>
          <w:sz w:val="20"/>
          <w:szCs w:val="20"/>
          <w:bdr w:val="none" w:sz="0" w:space="0" w:color="auto" w:frame="1"/>
        </w:rPr>
        <w:t xml:space="preserve"> are fully operational and plan to increase revenue by 100% in </w:t>
      </w:r>
      <w:r w:rsidR="00B75DD6">
        <w:rPr>
          <w:rFonts w:ascii="Verdana" w:hAnsi="Verdana"/>
          <w:color w:val="201F1E"/>
          <w:sz w:val="20"/>
          <w:szCs w:val="20"/>
          <w:bdr w:val="none" w:sz="0" w:space="0" w:color="auto" w:frame="1"/>
        </w:rPr>
        <w:t xml:space="preserve">FY </w:t>
      </w:r>
      <w:r w:rsidRPr="003E2544">
        <w:rPr>
          <w:rFonts w:ascii="Verdana" w:hAnsi="Verdana"/>
          <w:color w:val="201F1E"/>
          <w:sz w:val="20"/>
          <w:szCs w:val="20"/>
          <w:bdr w:val="none" w:sz="0" w:space="0" w:color="auto" w:frame="1"/>
        </w:rPr>
        <w:t>2022/23.</w:t>
      </w:r>
      <w:r w:rsidR="00B75DD6">
        <w:rPr>
          <w:rFonts w:ascii="Verdana" w:hAnsi="Verdana"/>
          <w:color w:val="201F1E"/>
          <w:sz w:val="20"/>
          <w:szCs w:val="20"/>
          <w:bdr w:val="none" w:sz="0" w:space="0" w:color="auto" w:frame="1"/>
        </w:rPr>
        <w:t xml:space="preserve"> </w:t>
      </w:r>
      <w:r w:rsidRPr="003E2544">
        <w:rPr>
          <w:rFonts w:ascii="Verdana" w:hAnsi="Verdana"/>
          <w:color w:val="201F1E"/>
          <w:sz w:val="20"/>
          <w:szCs w:val="20"/>
          <w:bdr w:val="none" w:sz="0" w:space="0" w:color="auto" w:frame="1"/>
        </w:rPr>
        <w:t>Two years since the Government of National Unity (GNU) was formed, there are many areas which require attention, and the DG has the full support of the State Governor to increase the efficient use of resources.</w:t>
      </w:r>
    </w:p>
    <w:p w14:paraId="0C76AC67" w14:textId="77777777" w:rsidR="000C0F5E" w:rsidRPr="003E2544" w:rsidRDefault="000C0F5E" w:rsidP="00245274">
      <w:pPr>
        <w:spacing w:line="240" w:lineRule="auto"/>
        <w:jc w:val="both"/>
        <w:rPr>
          <w:rFonts w:ascii="Verdana" w:hAnsi="Verdana"/>
          <w:sz w:val="20"/>
          <w:szCs w:val="20"/>
        </w:rPr>
      </w:pPr>
    </w:p>
    <w:p w14:paraId="6B42F02E" w14:textId="77777777" w:rsidR="009701E1" w:rsidRDefault="009701E1" w:rsidP="00245274">
      <w:pPr>
        <w:spacing w:line="240" w:lineRule="auto"/>
        <w:rPr>
          <w:rFonts w:ascii="Verdana" w:hAnsi="Verdana"/>
          <w:b/>
          <w:bCs/>
          <w:sz w:val="20"/>
          <w:szCs w:val="20"/>
        </w:rPr>
        <w:sectPr w:rsidR="009701E1" w:rsidSect="00761B42">
          <w:pgSz w:w="12240" w:h="15840"/>
          <w:pgMar w:top="1440" w:right="1440" w:bottom="1440" w:left="1440" w:header="720" w:footer="720" w:gutter="0"/>
          <w:cols w:space="720"/>
          <w:docGrid w:linePitch="360"/>
        </w:sectPr>
      </w:pPr>
    </w:p>
    <w:p w14:paraId="2501D40B" w14:textId="3448E340" w:rsidR="023F838F" w:rsidRPr="003E2544" w:rsidRDefault="00E64D9E" w:rsidP="00245274">
      <w:pPr>
        <w:spacing w:line="240" w:lineRule="auto"/>
        <w:rPr>
          <w:rFonts w:ascii="Verdana" w:hAnsi="Verdana"/>
        </w:rPr>
      </w:pPr>
      <w:r>
        <w:rPr>
          <w:rFonts w:ascii="Verdana" w:hAnsi="Verdana"/>
          <w:b/>
          <w:bCs/>
          <w:sz w:val="20"/>
          <w:szCs w:val="20"/>
        </w:rPr>
        <w:lastRenderedPageBreak/>
        <w:t>202</w:t>
      </w:r>
      <w:r w:rsidR="009701E1">
        <w:rPr>
          <w:rFonts w:ascii="Verdana" w:hAnsi="Verdana"/>
          <w:b/>
          <w:bCs/>
          <w:sz w:val="20"/>
          <w:szCs w:val="20"/>
        </w:rPr>
        <w:t>2</w:t>
      </w:r>
      <w:r>
        <w:rPr>
          <w:rFonts w:ascii="Verdana" w:hAnsi="Verdana"/>
          <w:b/>
          <w:bCs/>
          <w:sz w:val="20"/>
          <w:szCs w:val="20"/>
        </w:rPr>
        <w:t xml:space="preserve"> Outcomes</w:t>
      </w:r>
    </w:p>
    <w:tbl>
      <w:tblPr>
        <w:tblW w:w="5000" w:type="pct"/>
        <w:tblLook w:val="04A0" w:firstRow="1" w:lastRow="0" w:firstColumn="1" w:lastColumn="0" w:noHBand="0" w:noVBand="1"/>
      </w:tblPr>
      <w:tblGrid>
        <w:gridCol w:w="474"/>
        <w:gridCol w:w="8886"/>
      </w:tblGrid>
      <w:tr w:rsidR="00753486" w:rsidRPr="003E2544" w14:paraId="297004C8" w14:textId="77777777" w:rsidTr="0088655A">
        <w:trPr>
          <w:cantSplit/>
          <w:trHeight w:val="2924"/>
        </w:trPr>
        <w:tc>
          <w:tcPr>
            <w:tcW w:w="298" w:type="pct"/>
            <w:shd w:val="clear" w:color="auto" w:fill="auto"/>
            <w:textDirection w:val="btLr"/>
            <w:vAlign w:val="center"/>
          </w:tcPr>
          <w:p w14:paraId="3715E59E" w14:textId="77777777" w:rsidR="00753486" w:rsidRPr="003E2544" w:rsidRDefault="00753486" w:rsidP="00245274">
            <w:pPr>
              <w:spacing w:line="240" w:lineRule="auto"/>
              <w:ind w:left="113" w:right="113"/>
              <w:jc w:val="center"/>
              <w:rPr>
                <w:rFonts w:ascii="Myriad Pro" w:hAnsi="Myriad Pro"/>
                <w:b/>
                <w:bCs/>
              </w:rPr>
            </w:pPr>
            <w:r w:rsidRPr="003E2544">
              <w:rPr>
                <w:rFonts w:ascii="Myriad Pro" w:hAnsi="Myriad Pro"/>
                <w:b/>
                <w:bCs/>
              </w:rPr>
              <w:t>Output               Outcome</w:t>
            </w:r>
          </w:p>
        </w:tc>
        <w:tc>
          <w:tcPr>
            <w:tcW w:w="4702" w:type="pct"/>
            <w:shd w:val="clear" w:color="auto" w:fill="auto"/>
            <w:vAlign w:val="center"/>
          </w:tcPr>
          <w:p w14:paraId="5E16BD7B" w14:textId="77777777" w:rsidR="00753486" w:rsidRPr="003E2544" w:rsidRDefault="00753486" w:rsidP="00245274">
            <w:pPr>
              <w:spacing w:line="240" w:lineRule="auto"/>
              <w:jc w:val="right"/>
              <w:rPr>
                <w:rFonts w:ascii="Myriad Pro" w:hAnsi="Myriad Pro"/>
              </w:rPr>
            </w:pPr>
            <w:r w:rsidRPr="003E2544">
              <w:rPr>
                <w:rFonts w:ascii="Myriad Pro" w:hAnsi="Myriad Pro"/>
                <w:noProof/>
              </w:rPr>
              <mc:AlternateContent>
                <mc:Choice Requires="wps">
                  <w:drawing>
                    <wp:anchor distT="0" distB="0" distL="114300" distR="114300" simplePos="0" relativeHeight="251657216" behindDoc="0" locked="0" layoutInCell="1" allowOverlap="1" wp14:anchorId="5F63F0A2" wp14:editId="738DD0A2">
                      <wp:simplePos x="0" y="0"/>
                      <wp:positionH relativeFrom="column">
                        <wp:posOffset>302895</wp:posOffset>
                      </wp:positionH>
                      <wp:positionV relativeFrom="paragraph">
                        <wp:posOffset>2419985</wp:posOffset>
                      </wp:positionV>
                      <wp:extent cx="1097280" cy="446405"/>
                      <wp:effectExtent l="0" t="0" r="7620" b="0"/>
                      <wp:wrapNone/>
                      <wp:docPr id="29" name="Text Box 29"/>
                      <wp:cNvGraphicFramePr/>
                      <a:graphic xmlns:a="http://schemas.openxmlformats.org/drawingml/2006/main">
                        <a:graphicData uri="http://schemas.microsoft.com/office/word/2010/wordprocessingShape">
                          <wps:wsp>
                            <wps:cNvSpPr txBox="1"/>
                            <wps:spPr>
                              <a:xfrm>
                                <a:off x="0" y="0"/>
                                <a:ext cx="1097280" cy="446405"/>
                              </a:xfrm>
                              <a:prstGeom prst="roundRect">
                                <a:avLst/>
                              </a:prstGeom>
                              <a:solidFill>
                                <a:srgbClr val="ED7D31"/>
                              </a:solidFill>
                              <a:ln w="12700" cap="flat" cmpd="sng" algn="ctr">
                                <a:noFill/>
                                <a:prstDash val="solid"/>
                                <a:miter lim="800000"/>
                              </a:ln>
                              <a:effectLst/>
                            </wps:spPr>
                            <wps:txbx>
                              <w:txbxContent>
                                <w:p w14:paraId="63906E25" w14:textId="77777777" w:rsidR="005712F8" w:rsidRPr="000655BE" w:rsidRDefault="005712F8" w:rsidP="00753486">
                                  <w:pPr>
                                    <w:jc w:val="center"/>
                                    <w:rPr>
                                      <w:rFonts w:ascii="Myriad Pro" w:hAnsi="Myriad Pro"/>
                                      <w:b/>
                                      <w:bCs/>
                                      <w:color w:val="FFFFFF" w:themeColor="background1"/>
                                      <w:sz w:val="16"/>
                                      <w:szCs w:val="16"/>
                                    </w:rPr>
                                  </w:pPr>
                                  <w:r w:rsidRPr="000655BE">
                                    <w:rPr>
                                      <w:rFonts w:ascii="Myriad Pro" w:hAnsi="Myriad Pro"/>
                                      <w:b/>
                                      <w:bCs/>
                                      <w:color w:val="FFFFFF" w:themeColor="background1"/>
                                      <w:sz w:val="16"/>
                                      <w:szCs w:val="16"/>
                                    </w:rPr>
                                    <w:t>Capacity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3F0A2" id="Text Box 29" o:spid="_x0000_s1026" style="position:absolute;left:0;text-align:left;margin-left:23.85pt;margin-top:190.55pt;width:86.4pt;height:3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" fillcolor="#ed7d31" stroked="f" strokeweight="1pt">
                      <v:stroke joinstyle="miter"/>
                      <v:textbox>
                        <w:txbxContent>
                          <w:p w14:paraId="63906E25" w14:textId="77777777" w:rsidR="005712F8" w:rsidRPr="000655BE" w:rsidRDefault="005712F8" w:rsidP="00753486">
                            <w:pPr>
                              <w:jc w:val="center"/>
                              <w:rPr>
                                <w:rFonts w:ascii="Myriad Pro" w:hAnsi="Myriad Pro"/>
                                <w:b/>
                                <w:bCs/>
                                <w:color w:val="FFFFFF" w:themeColor="background1"/>
                                <w:sz w:val="16"/>
                                <w:szCs w:val="16"/>
                              </w:rPr>
                            </w:pPr>
                            <w:r w:rsidRPr="000655BE">
                              <w:rPr>
                                <w:rFonts w:ascii="Myriad Pro" w:hAnsi="Myriad Pro"/>
                                <w:b/>
                                <w:bCs/>
                                <w:color w:val="FFFFFF" w:themeColor="background1"/>
                                <w:sz w:val="16"/>
                                <w:szCs w:val="16"/>
                              </w:rPr>
                              <w:t>Capacity Development</w:t>
                            </w:r>
                          </w:p>
                        </w:txbxContent>
                      </v:textbox>
                    </v:roundrect>
                  </w:pict>
                </mc:Fallback>
              </mc:AlternateContent>
            </w:r>
            <w:r w:rsidRPr="003E2544">
              <w:rPr>
                <w:rFonts w:ascii="Myriad Pro" w:hAnsi="Myriad Pro"/>
                <w:noProof/>
              </w:rPr>
              <mc:AlternateContent>
                <mc:Choice Requires="wps">
                  <w:drawing>
                    <wp:anchor distT="0" distB="0" distL="114300" distR="114300" simplePos="0" relativeHeight="251657217" behindDoc="0" locked="0" layoutInCell="1" allowOverlap="1" wp14:anchorId="3C1BF928" wp14:editId="2289D99B">
                      <wp:simplePos x="0" y="0"/>
                      <wp:positionH relativeFrom="column">
                        <wp:posOffset>2270125</wp:posOffset>
                      </wp:positionH>
                      <wp:positionV relativeFrom="paragraph">
                        <wp:posOffset>2409190</wp:posOffset>
                      </wp:positionV>
                      <wp:extent cx="1097280" cy="446405"/>
                      <wp:effectExtent l="0" t="0" r="7620" b="0"/>
                      <wp:wrapNone/>
                      <wp:docPr id="30" name="Text Box 30"/>
                      <wp:cNvGraphicFramePr/>
                      <a:graphic xmlns:a="http://schemas.openxmlformats.org/drawingml/2006/main">
                        <a:graphicData uri="http://schemas.microsoft.com/office/word/2010/wordprocessingShape">
                          <wps:wsp>
                            <wps:cNvSpPr txBox="1"/>
                            <wps:spPr>
                              <a:xfrm>
                                <a:off x="0" y="0"/>
                                <a:ext cx="1097280" cy="446405"/>
                              </a:xfrm>
                              <a:prstGeom prst="roundRect">
                                <a:avLst/>
                              </a:prstGeom>
                              <a:solidFill>
                                <a:srgbClr val="ED7D31"/>
                              </a:solidFill>
                              <a:ln w="12700" cap="flat" cmpd="sng" algn="ctr">
                                <a:noFill/>
                                <a:prstDash val="solid"/>
                                <a:miter lim="800000"/>
                              </a:ln>
                              <a:effectLst/>
                            </wps:spPr>
                            <wps:txbx>
                              <w:txbxContent>
                                <w:p w14:paraId="10AA8DEB" w14:textId="77777777" w:rsidR="005712F8" w:rsidRPr="000655BE" w:rsidRDefault="005712F8" w:rsidP="00753486">
                                  <w:pPr>
                                    <w:jc w:val="center"/>
                                    <w:rPr>
                                      <w:rFonts w:ascii="Myriad Pro" w:hAnsi="Myriad Pro"/>
                                      <w:b/>
                                      <w:bCs/>
                                      <w:color w:val="FFFFFF" w:themeColor="background1"/>
                                      <w:sz w:val="16"/>
                                      <w:szCs w:val="16"/>
                                    </w:rPr>
                                  </w:pPr>
                                  <w:r>
                                    <w:rPr>
                                      <w:rFonts w:ascii="Myriad Pro" w:hAnsi="Myriad Pro"/>
                                      <w:b/>
                                      <w:bCs/>
                                      <w:color w:val="FFFFFF" w:themeColor="background1"/>
                                      <w:sz w:val="16"/>
                                      <w:szCs w:val="16"/>
                                    </w:rPr>
                                    <w:t>Capacity Enhancement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BF928" id="Text Box 30" o:spid="_x0000_s1027" style="position:absolute;left:0;text-align:left;margin-left:178.75pt;margin-top:189.7pt;width:86.4pt;height:35.1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" fillcolor="#ed7d31" stroked="f" strokeweight="1pt">
                      <v:stroke joinstyle="miter"/>
                      <v:textbox>
                        <w:txbxContent>
                          <w:p w14:paraId="10AA8DEB" w14:textId="77777777" w:rsidR="005712F8" w:rsidRPr="000655BE" w:rsidRDefault="005712F8" w:rsidP="00753486">
                            <w:pPr>
                              <w:jc w:val="center"/>
                              <w:rPr>
                                <w:rFonts w:ascii="Myriad Pro" w:hAnsi="Myriad Pro"/>
                                <w:b/>
                                <w:bCs/>
                                <w:color w:val="FFFFFF" w:themeColor="background1"/>
                                <w:sz w:val="16"/>
                                <w:szCs w:val="16"/>
                              </w:rPr>
                            </w:pPr>
                            <w:r>
                              <w:rPr>
                                <w:rFonts w:ascii="Myriad Pro" w:hAnsi="Myriad Pro"/>
                                <w:b/>
                                <w:bCs/>
                                <w:color w:val="FFFFFF" w:themeColor="background1"/>
                                <w:sz w:val="16"/>
                                <w:szCs w:val="16"/>
                              </w:rPr>
                              <w:t>Capacity Enhancement</w:t>
                            </w:r>
                          </w:p>
                        </w:txbxContent>
                      </v:textbox>
                    </v:roundrect>
                  </w:pict>
                </mc:Fallback>
              </mc:AlternateContent>
            </w:r>
            <w:r w:rsidRPr="003E2544">
              <w:rPr>
                <w:rFonts w:ascii="Myriad Pro" w:hAnsi="Myriad Pro"/>
                <w:noProof/>
              </w:rPr>
              <mc:AlternateContent>
                <mc:Choice Requires="wps">
                  <w:drawing>
                    <wp:anchor distT="0" distB="0" distL="114300" distR="114300" simplePos="0" relativeHeight="251657218" behindDoc="0" locked="0" layoutInCell="1" allowOverlap="1" wp14:anchorId="5D648075" wp14:editId="1D6DC170">
                      <wp:simplePos x="0" y="0"/>
                      <wp:positionH relativeFrom="column">
                        <wp:posOffset>4247515</wp:posOffset>
                      </wp:positionH>
                      <wp:positionV relativeFrom="paragraph">
                        <wp:posOffset>2409190</wp:posOffset>
                      </wp:positionV>
                      <wp:extent cx="1097280" cy="446405"/>
                      <wp:effectExtent l="0" t="0" r="7620" b="0"/>
                      <wp:wrapNone/>
                      <wp:docPr id="31" name="Text Box 31"/>
                      <wp:cNvGraphicFramePr/>
                      <a:graphic xmlns:a="http://schemas.openxmlformats.org/drawingml/2006/main">
                        <a:graphicData uri="http://schemas.microsoft.com/office/word/2010/wordprocessingShape">
                          <wps:wsp>
                            <wps:cNvSpPr txBox="1"/>
                            <wps:spPr>
                              <a:xfrm>
                                <a:off x="0" y="0"/>
                                <a:ext cx="1097280" cy="446405"/>
                              </a:xfrm>
                              <a:prstGeom prst="roundRect">
                                <a:avLst/>
                              </a:prstGeom>
                              <a:solidFill>
                                <a:srgbClr val="ED7D31"/>
                              </a:solidFill>
                              <a:ln w="12700" cap="flat" cmpd="sng" algn="ctr">
                                <a:noFill/>
                                <a:prstDash val="solid"/>
                                <a:miter lim="800000"/>
                              </a:ln>
                              <a:effectLst/>
                            </wps:spPr>
                            <wps:txbx>
                              <w:txbxContent>
                                <w:p w14:paraId="4D94D382" w14:textId="77777777" w:rsidR="005712F8" w:rsidRPr="000655BE" w:rsidRDefault="005712F8" w:rsidP="00753486">
                                  <w:pPr>
                                    <w:jc w:val="center"/>
                                    <w:rPr>
                                      <w:rFonts w:ascii="Myriad Pro" w:hAnsi="Myriad Pro"/>
                                      <w:b/>
                                      <w:bCs/>
                                      <w:color w:val="FFFFFF" w:themeColor="background1"/>
                                      <w:sz w:val="16"/>
                                      <w:szCs w:val="16"/>
                                    </w:rPr>
                                  </w:pPr>
                                  <w:r>
                                    <w:rPr>
                                      <w:rFonts w:ascii="Myriad Pro" w:hAnsi="Myriad Pro"/>
                                      <w:b/>
                                      <w:bCs/>
                                      <w:color w:val="FFFFFF" w:themeColor="background1"/>
                                      <w:sz w:val="16"/>
                                      <w:szCs w:val="16"/>
                                    </w:rPr>
                                    <w:t>Stakeholder</w:t>
                                  </w:r>
                                  <w:r w:rsidRPr="000655BE">
                                    <w:rPr>
                                      <w:rFonts w:ascii="Myriad Pro" w:hAnsi="Myriad Pro"/>
                                      <w:b/>
                                      <w:bCs/>
                                      <w:color w:val="FFFFFF" w:themeColor="background1"/>
                                      <w:sz w:val="16"/>
                                      <w:szCs w:val="16"/>
                                    </w:rPr>
                                    <w:t xml:space="preserve">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48075" id="Text Box 31" o:spid="_x0000_s1028" style="position:absolute;left:0;text-align:left;margin-left:334.45pt;margin-top:189.7pt;width:86.4pt;height:35.15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" fillcolor="#ed7d31" stroked="f" strokeweight="1pt">
                      <v:stroke joinstyle="miter"/>
                      <v:textbox>
                        <w:txbxContent>
                          <w:p w14:paraId="4D94D382" w14:textId="77777777" w:rsidR="005712F8" w:rsidRPr="000655BE" w:rsidRDefault="005712F8" w:rsidP="00753486">
                            <w:pPr>
                              <w:jc w:val="center"/>
                              <w:rPr>
                                <w:rFonts w:ascii="Myriad Pro" w:hAnsi="Myriad Pro"/>
                                <w:b/>
                                <w:bCs/>
                                <w:color w:val="FFFFFF" w:themeColor="background1"/>
                                <w:sz w:val="16"/>
                                <w:szCs w:val="16"/>
                              </w:rPr>
                            </w:pPr>
                            <w:r>
                              <w:rPr>
                                <w:rFonts w:ascii="Myriad Pro" w:hAnsi="Myriad Pro"/>
                                <w:b/>
                                <w:bCs/>
                                <w:color w:val="FFFFFF" w:themeColor="background1"/>
                                <w:sz w:val="16"/>
                                <w:szCs w:val="16"/>
                              </w:rPr>
                              <w:t>Stakeholder</w:t>
                            </w:r>
                            <w:r w:rsidRPr="000655BE">
                              <w:rPr>
                                <w:rFonts w:ascii="Myriad Pro" w:hAnsi="Myriad Pro"/>
                                <w:b/>
                                <w:bCs/>
                                <w:color w:val="FFFFFF" w:themeColor="background1"/>
                                <w:sz w:val="16"/>
                                <w:szCs w:val="16"/>
                              </w:rPr>
                              <w:t xml:space="preserve"> Engagement</w:t>
                            </w:r>
                          </w:p>
                        </w:txbxContent>
                      </v:textbox>
                    </v:roundrect>
                  </w:pict>
                </mc:Fallback>
              </mc:AlternateContent>
            </w:r>
            <w:r w:rsidRPr="003E2544">
              <w:rPr>
                <w:rFonts w:ascii="Myriad Pro" w:hAnsi="Myriad Pro"/>
                <w:noProof/>
              </w:rPr>
              <w:drawing>
                <wp:inline distT="0" distB="0" distL="0" distR="0" wp14:anchorId="00684101" wp14:editId="16A2AD06">
                  <wp:extent cx="5561965" cy="2800350"/>
                  <wp:effectExtent l="38100" t="0" r="76835" b="0"/>
                  <wp:docPr id="33" name="Diagram 3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r w:rsidR="00753486" w:rsidRPr="003E2544" w14:paraId="431C2754" w14:textId="77777777" w:rsidTr="0088655A">
        <w:trPr>
          <w:cantSplit/>
          <w:trHeight w:val="20"/>
        </w:trPr>
        <w:tc>
          <w:tcPr>
            <w:tcW w:w="298" w:type="pct"/>
            <w:shd w:val="clear" w:color="auto" w:fill="auto"/>
            <w:textDirection w:val="btLr"/>
            <w:vAlign w:val="center"/>
          </w:tcPr>
          <w:p w14:paraId="4974321D" w14:textId="77777777" w:rsidR="00753486" w:rsidRPr="003E2544" w:rsidRDefault="00753486" w:rsidP="00245274">
            <w:pPr>
              <w:spacing w:line="240" w:lineRule="auto"/>
              <w:ind w:left="113" w:right="113"/>
              <w:jc w:val="center"/>
              <w:rPr>
                <w:rFonts w:ascii="Myriad Pro" w:hAnsi="Myriad Pro"/>
                <w:b/>
                <w:bCs/>
              </w:rPr>
            </w:pPr>
          </w:p>
        </w:tc>
        <w:tc>
          <w:tcPr>
            <w:tcW w:w="4702" w:type="pct"/>
            <w:shd w:val="clear" w:color="auto" w:fill="auto"/>
            <w:vAlign w:val="center"/>
          </w:tcPr>
          <w:p w14:paraId="09B36AFD" w14:textId="77777777" w:rsidR="00753486" w:rsidRPr="003E2544" w:rsidRDefault="00753486" w:rsidP="00245274">
            <w:pPr>
              <w:spacing w:line="240" w:lineRule="auto"/>
              <w:jc w:val="right"/>
              <w:rPr>
                <w:rFonts w:ascii="Myriad Pro" w:hAnsi="Myriad Pro"/>
              </w:rPr>
            </w:pPr>
          </w:p>
        </w:tc>
      </w:tr>
      <w:tr w:rsidR="00753486" w:rsidRPr="003E2544" w14:paraId="7E716606" w14:textId="77777777" w:rsidTr="0088655A">
        <w:trPr>
          <w:cantSplit/>
          <w:trHeight w:val="1296"/>
        </w:trPr>
        <w:tc>
          <w:tcPr>
            <w:tcW w:w="298" w:type="pct"/>
            <w:shd w:val="clear" w:color="auto" w:fill="auto"/>
            <w:textDirection w:val="btLr"/>
            <w:vAlign w:val="center"/>
          </w:tcPr>
          <w:p w14:paraId="2A1D9CEE" w14:textId="78B3A517" w:rsidR="00753486" w:rsidRPr="003E2544" w:rsidRDefault="00753486" w:rsidP="00245274">
            <w:pPr>
              <w:spacing w:line="240" w:lineRule="auto"/>
              <w:ind w:left="113" w:right="113"/>
              <w:jc w:val="center"/>
              <w:rPr>
                <w:rFonts w:ascii="Myriad Pro" w:hAnsi="Myriad Pro"/>
                <w:b/>
                <w:bCs/>
              </w:rPr>
            </w:pPr>
          </w:p>
        </w:tc>
        <w:tc>
          <w:tcPr>
            <w:tcW w:w="4702" w:type="pct"/>
            <w:shd w:val="clear" w:color="auto" w:fill="auto"/>
            <w:vAlign w:val="center"/>
          </w:tcPr>
          <w:p w14:paraId="4D1A2104" w14:textId="5D2DEF82" w:rsidR="00753486" w:rsidRPr="003E2544" w:rsidRDefault="00753486" w:rsidP="00245274">
            <w:pPr>
              <w:spacing w:line="240" w:lineRule="auto"/>
              <w:rPr>
                <w:rFonts w:ascii="Myriad Pro" w:hAnsi="Myriad Pro"/>
              </w:rPr>
            </w:pPr>
            <w:r w:rsidRPr="003E2544">
              <w:rPr>
                <w:rFonts w:ascii="Myriad Pro" w:hAnsi="Myriad Pro"/>
                <w:noProof/>
              </w:rPr>
              <mc:AlternateContent>
                <mc:Choice Requires="wps">
                  <w:drawing>
                    <wp:inline distT="0" distB="0" distL="0" distR="0" wp14:anchorId="1F16F118" wp14:editId="0DABDBB3">
                      <wp:extent cx="5448300" cy="1409700"/>
                      <wp:effectExtent l="19050" t="19050" r="19050" b="19050"/>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409700"/>
                              </a:xfrm>
                              <a:prstGeom prst="rect">
                                <a:avLst/>
                              </a:prstGeom>
                              <a:solidFill>
                                <a:srgbClr val="FFFFFF"/>
                              </a:solidFill>
                              <a:ln w="31750" algn="ctr">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11BE54" w14:textId="42C08161" w:rsidR="005712F8" w:rsidRPr="00852A5B" w:rsidRDefault="005712F8" w:rsidP="00852A5B">
                                  <w:pPr>
                                    <w:rPr>
                                      <w:rFonts w:ascii="Verdana" w:hAnsi="Verdana"/>
                                      <w:b/>
                                      <w:bCs/>
                                      <w:sz w:val="20"/>
                                      <w:szCs w:val="20"/>
                                    </w:rPr>
                                  </w:pPr>
                                  <w:r w:rsidRPr="00852A5B">
                                    <w:rPr>
                                      <w:rFonts w:ascii="Verdana" w:hAnsi="Verdana"/>
                                      <w:b/>
                                      <w:bCs/>
                                      <w:sz w:val="20"/>
                                      <w:szCs w:val="20"/>
                                    </w:rPr>
                                    <w:t>Pr</w:t>
                                  </w:r>
                                  <w:r>
                                    <w:rPr>
                                      <w:rFonts w:ascii="Verdana" w:hAnsi="Verdana"/>
                                      <w:b/>
                                      <w:bCs/>
                                      <w:sz w:val="20"/>
                                      <w:szCs w:val="20"/>
                                    </w:rPr>
                                    <w:t xml:space="preserve">oblem </w:t>
                                  </w:r>
                                  <w:r w:rsidRPr="00852A5B">
                                    <w:rPr>
                                      <w:rFonts w:ascii="Verdana" w:hAnsi="Verdana"/>
                                      <w:b/>
                                      <w:bCs/>
                                      <w:sz w:val="20"/>
                                      <w:szCs w:val="20"/>
                                    </w:rPr>
                                    <w:t>Statement</w:t>
                                  </w:r>
                                </w:p>
                                <w:p w14:paraId="7B574F76" w14:textId="1DDF000D" w:rsidR="005712F8" w:rsidRDefault="005712F8" w:rsidP="00753486">
                                  <w:pPr>
                                    <w:pStyle w:val="ListParagraph"/>
                                    <w:numPr>
                                      <w:ilvl w:val="0"/>
                                      <w:numId w:val="49"/>
                                    </w:numPr>
                                    <w:rPr>
                                      <w:rFonts w:ascii="Verdana" w:hAnsi="Verdana"/>
                                      <w:sz w:val="20"/>
                                      <w:szCs w:val="20"/>
                                    </w:rPr>
                                  </w:pPr>
                                  <w:r w:rsidRPr="00EE39C9">
                                    <w:rPr>
                                      <w:rFonts w:ascii="Verdana" w:hAnsi="Verdana"/>
                                      <w:sz w:val="20"/>
                                      <w:szCs w:val="20"/>
                                    </w:rPr>
                                    <w:t>Weak revenue mobilization, management, coordination and analysis at national and sub-national level</w:t>
                                  </w:r>
                                </w:p>
                                <w:p w14:paraId="5F9064EA" w14:textId="77777777" w:rsidR="005712F8" w:rsidRDefault="005712F8" w:rsidP="00753486">
                                  <w:pPr>
                                    <w:numPr>
                                      <w:ilvl w:val="0"/>
                                      <w:numId w:val="49"/>
                                    </w:numPr>
                                    <w:contextualSpacing/>
                                    <w:jc w:val="both"/>
                                    <w:rPr>
                                      <w:rFonts w:ascii="Verdana" w:hAnsi="Verdana"/>
                                      <w:sz w:val="20"/>
                                      <w:szCs w:val="20"/>
                                      <w:lang w:val="en"/>
                                    </w:rPr>
                                  </w:pPr>
                                  <w:r w:rsidRPr="00F85211">
                                    <w:rPr>
                                      <w:rFonts w:ascii="Verdana" w:hAnsi="Verdana"/>
                                      <w:sz w:val="20"/>
                                      <w:szCs w:val="20"/>
                                      <w:lang w:val="en"/>
                                    </w:rPr>
                                    <w:t>Inadequate planning, budgeting, expenditure control and reporting at national and sub-national government</w:t>
                                  </w:r>
                                  <w:r>
                                    <w:rPr>
                                      <w:rFonts w:ascii="Verdana" w:hAnsi="Verdana"/>
                                      <w:sz w:val="20"/>
                                      <w:szCs w:val="20"/>
                                      <w:lang w:val="en"/>
                                    </w:rPr>
                                    <w:t xml:space="preserve"> level</w:t>
                                  </w:r>
                                </w:p>
                                <w:p w14:paraId="417C595F" w14:textId="77777777" w:rsidR="005712F8" w:rsidRPr="009550A8" w:rsidRDefault="005712F8" w:rsidP="00753486">
                                  <w:pPr>
                                    <w:pStyle w:val="ListParagraph"/>
                                    <w:numPr>
                                      <w:ilvl w:val="0"/>
                                      <w:numId w:val="49"/>
                                    </w:numPr>
                                    <w:rPr>
                                      <w:rFonts w:ascii="Verdana" w:hAnsi="Verdana"/>
                                      <w:sz w:val="20"/>
                                      <w:szCs w:val="20"/>
                                    </w:rPr>
                                  </w:pPr>
                                  <w:r>
                                    <w:rPr>
                                      <w:rFonts w:ascii="Verdana" w:hAnsi="Verdana"/>
                                      <w:sz w:val="20"/>
                                      <w:szCs w:val="20"/>
                                    </w:rPr>
                                    <w:t xml:space="preserve">Inadequate gender-responsive budget planning and reporting processes </w:t>
                                  </w:r>
                                </w:p>
                                <w:p w14:paraId="5A7D6EB9" w14:textId="77777777" w:rsidR="005712F8" w:rsidRPr="00091DC5" w:rsidRDefault="005712F8" w:rsidP="00753486">
                                  <w:pPr>
                                    <w:pStyle w:val="ListParagraph"/>
                                    <w:numPr>
                                      <w:ilvl w:val="0"/>
                                      <w:numId w:val="49"/>
                                    </w:numPr>
                                    <w:rPr>
                                      <w:rFonts w:ascii="Verdana" w:hAnsi="Verdana"/>
                                      <w:sz w:val="20"/>
                                      <w:szCs w:val="20"/>
                                    </w:rPr>
                                  </w:pPr>
                                  <w:r w:rsidRPr="00091DC5">
                                    <w:rPr>
                                      <w:rFonts w:ascii="Verdana" w:hAnsi="Verdana"/>
                                      <w:sz w:val="20"/>
                                      <w:szCs w:val="20"/>
                                    </w:rPr>
                                    <w:t xml:space="preserve">Lack of transparency because of </w:t>
                                  </w:r>
                                  <w:r>
                                    <w:rPr>
                                      <w:rFonts w:ascii="Verdana" w:hAnsi="Verdana"/>
                                      <w:sz w:val="20"/>
                                      <w:szCs w:val="20"/>
                                    </w:rPr>
                                    <w:t xml:space="preserve">lack of civic engagement </w:t>
                                  </w:r>
                                  <w:r w:rsidRPr="00091DC5">
                                    <w:rPr>
                                      <w:rFonts w:ascii="Verdana" w:hAnsi="Verdana"/>
                                      <w:sz w:val="20"/>
                                      <w:szCs w:val="20"/>
                                    </w:rPr>
                                    <w:t xml:space="preserve">and lack of data </w:t>
                                  </w:r>
                                </w:p>
                              </w:txbxContent>
                            </wps:txbx>
                            <wps:bodyPr rot="0" vert="horz" wrap="square" lIns="91440" tIns="45720" rIns="91440" bIns="45720" anchor="t" anchorCtr="0" upright="1">
                              <a:noAutofit/>
                            </wps:bodyPr>
                          </wps:wsp>
                        </a:graphicData>
                      </a:graphic>
                    </wp:inline>
                  </w:drawing>
                </mc:Choice>
                <mc:Fallback>
                  <w:pict>
                    <v:rect w14:anchorId="1F16F118" id="Rectangle 32" o:spid="_x0000_s1029" style="width:429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" strokecolor="#4472c4" strokeweight="2.5pt">
                      <v:shadow color="#868686"/>
                      <v:textbox>
                        <w:txbxContent>
                          <w:p w14:paraId="0F11BE54" w14:textId="42C08161" w:rsidR="005712F8" w:rsidRPr="00852A5B" w:rsidRDefault="005712F8" w:rsidP="00852A5B">
                            <w:pPr>
                              <w:rPr>
                                <w:rFonts w:ascii="Verdana" w:hAnsi="Verdana"/>
                                <w:b/>
                                <w:bCs/>
                                <w:sz w:val="20"/>
                                <w:szCs w:val="20"/>
                              </w:rPr>
                            </w:pPr>
                            <w:r w:rsidRPr="00852A5B">
                              <w:rPr>
                                <w:rFonts w:ascii="Verdana" w:hAnsi="Verdana"/>
                                <w:b/>
                                <w:bCs/>
                                <w:sz w:val="20"/>
                                <w:szCs w:val="20"/>
                              </w:rPr>
                              <w:t>Pr</w:t>
                            </w:r>
                            <w:r>
                              <w:rPr>
                                <w:rFonts w:ascii="Verdana" w:hAnsi="Verdana"/>
                                <w:b/>
                                <w:bCs/>
                                <w:sz w:val="20"/>
                                <w:szCs w:val="20"/>
                              </w:rPr>
                              <w:t xml:space="preserve">oblem </w:t>
                            </w:r>
                            <w:r w:rsidRPr="00852A5B">
                              <w:rPr>
                                <w:rFonts w:ascii="Verdana" w:hAnsi="Verdana"/>
                                <w:b/>
                                <w:bCs/>
                                <w:sz w:val="20"/>
                                <w:szCs w:val="20"/>
                              </w:rPr>
                              <w:t>Statement</w:t>
                            </w:r>
                          </w:p>
                          <w:p w14:paraId="7B574F76" w14:textId="1DDF000D" w:rsidR="005712F8" w:rsidRDefault="005712F8" w:rsidP="00753486">
                            <w:pPr>
                              <w:pStyle w:val="ListParagraph"/>
                              <w:numPr>
                                <w:ilvl w:val="0"/>
                                <w:numId w:val="49"/>
                              </w:numPr>
                              <w:rPr>
                                <w:rFonts w:ascii="Verdana" w:hAnsi="Verdana"/>
                                <w:sz w:val="20"/>
                                <w:szCs w:val="20"/>
                              </w:rPr>
                            </w:pPr>
                            <w:r w:rsidRPr="00EE39C9">
                              <w:rPr>
                                <w:rFonts w:ascii="Verdana" w:hAnsi="Verdana"/>
                                <w:sz w:val="20"/>
                                <w:szCs w:val="20"/>
                              </w:rPr>
                              <w:t>Weak revenue mobilization, management, coordination and analysis at national and sub-national level</w:t>
                            </w:r>
                          </w:p>
                          <w:p w14:paraId="5F9064EA" w14:textId="77777777" w:rsidR="005712F8" w:rsidRDefault="005712F8" w:rsidP="00753486">
                            <w:pPr>
                              <w:numPr>
                                <w:ilvl w:val="0"/>
                                <w:numId w:val="49"/>
                              </w:numPr>
                              <w:contextualSpacing/>
                              <w:jc w:val="both"/>
                              <w:rPr>
                                <w:rFonts w:ascii="Verdana" w:hAnsi="Verdana"/>
                                <w:sz w:val="20"/>
                                <w:szCs w:val="20"/>
                                <w:lang w:val="en"/>
                              </w:rPr>
                            </w:pPr>
                            <w:r w:rsidRPr="00F85211">
                              <w:rPr>
                                <w:rFonts w:ascii="Verdana" w:hAnsi="Verdana"/>
                                <w:sz w:val="20"/>
                                <w:szCs w:val="20"/>
                                <w:lang w:val="en"/>
                              </w:rPr>
                              <w:t>Inadequate planning, budgeting, expenditure control and reporting at national and sub-national government</w:t>
                            </w:r>
                            <w:r>
                              <w:rPr>
                                <w:rFonts w:ascii="Verdana" w:hAnsi="Verdana"/>
                                <w:sz w:val="20"/>
                                <w:szCs w:val="20"/>
                                <w:lang w:val="en"/>
                              </w:rPr>
                              <w:t xml:space="preserve"> level</w:t>
                            </w:r>
                          </w:p>
                          <w:p w14:paraId="417C595F" w14:textId="77777777" w:rsidR="005712F8" w:rsidRPr="009550A8" w:rsidRDefault="005712F8" w:rsidP="00753486">
                            <w:pPr>
                              <w:pStyle w:val="ListParagraph"/>
                              <w:numPr>
                                <w:ilvl w:val="0"/>
                                <w:numId w:val="49"/>
                              </w:numPr>
                              <w:rPr>
                                <w:rFonts w:ascii="Verdana" w:hAnsi="Verdana"/>
                                <w:sz w:val="20"/>
                                <w:szCs w:val="20"/>
                              </w:rPr>
                            </w:pPr>
                            <w:r>
                              <w:rPr>
                                <w:rFonts w:ascii="Verdana" w:hAnsi="Verdana"/>
                                <w:sz w:val="20"/>
                                <w:szCs w:val="20"/>
                              </w:rPr>
                              <w:t xml:space="preserve">Inadequate gender-responsive budget planning and reporting processes </w:t>
                            </w:r>
                          </w:p>
                          <w:p w14:paraId="5A7D6EB9" w14:textId="77777777" w:rsidR="005712F8" w:rsidRPr="00091DC5" w:rsidRDefault="005712F8" w:rsidP="00753486">
                            <w:pPr>
                              <w:pStyle w:val="ListParagraph"/>
                              <w:numPr>
                                <w:ilvl w:val="0"/>
                                <w:numId w:val="49"/>
                              </w:numPr>
                              <w:rPr>
                                <w:rFonts w:ascii="Verdana" w:hAnsi="Verdana"/>
                                <w:sz w:val="20"/>
                                <w:szCs w:val="20"/>
                              </w:rPr>
                            </w:pPr>
                            <w:r w:rsidRPr="00091DC5">
                              <w:rPr>
                                <w:rFonts w:ascii="Verdana" w:hAnsi="Verdana"/>
                                <w:sz w:val="20"/>
                                <w:szCs w:val="20"/>
                              </w:rPr>
                              <w:t xml:space="preserve">Lack of transparency because of </w:t>
                            </w:r>
                            <w:r>
                              <w:rPr>
                                <w:rFonts w:ascii="Verdana" w:hAnsi="Verdana"/>
                                <w:sz w:val="20"/>
                                <w:szCs w:val="20"/>
                              </w:rPr>
                              <w:t xml:space="preserve">lack of civic engagement </w:t>
                            </w:r>
                            <w:r w:rsidRPr="00091DC5">
                              <w:rPr>
                                <w:rFonts w:ascii="Verdana" w:hAnsi="Verdana"/>
                                <w:sz w:val="20"/>
                                <w:szCs w:val="20"/>
                              </w:rPr>
                              <w:t xml:space="preserve">and lack of data </w:t>
                            </w:r>
                          </w:p>
                        </w:txbxContent>
                      </v:textbox>
                      <w10:anchorlock/>
                    </v:rect>
                  </w:pict>
                </mc:Fallback>
              </mc:AlternateContent>
            </w:r>
          </w:p>
        </w:tc>
      </w:tr>
    </w:tbl>
    <w:p w14:paraId="3E1756D9" w14:textId="77777777" w:rsidR="00753486" w:rsidRPr="003E2544" w:rsidRDefault="00753486" w:rsidP="00245274">
      <w:pPr>
        <w:spacing w:line="240" w:lineRule="auto"/>
        <w:rPr>
          <w:rFonts w:ascii="Verdana" w:hAnsi="Verdana"/>
        </w:rPr>
      </w:pPr>
    </w:p>
    <w:p w14:paraId="6069D4AB" w14:textId="77777777" w:rsidR="009701E1" w:rsidRDefault="009701E1">
      <w:pPr>
        <w:pStyle w:val="Heading3"/>
        <w:spacing w:line="240" w:lineRule="auto"/>
        <w:sectPr w:rsidR="009701E1" w:rsidSect="00761B42">
          <w:pgSz w:w="12240" w:h="15840"/>
          <w:pgMar w:top="1440" w:right="1440" w:bottom="1440" w:left="1440" w:header="720" w:footer="720" w:gutter="0"/>
          <w:cols w:space="720"/>
          <w:docGrid w:linePitch="360"/>
        </w:sectPr>
      </w:pPr>
      <w:bookmarkStart w:id="5" w:name="_Hlk33610296"/>
    </w:p>
    <w:p w14:paraId="752D4D76" w14:textId="23A9CE5C" w:rsidR="00272BF8" w:rsidRPr="003E2544" w:rsidRDefault="00272BF8" w:rsidP="00852A5B">
      <w:pPr>
        <w:pStyle w:val="Heading3"/>
        <w:spacing w:line="240" w:lineRule="auto"/>
      </w:pPr>
      <w:r w:rsidRPr="003E2544">
        <w:lastRenderedPageBreak/>
        <w:t xml:space="preserve">2.4 Budget and value for money </w:t>
      </w:r>
      <w:bookmarkEnd w:id="5"/>
    </w:p>
    <w:p w14:paraId="3CBE0EAE" w14:textId="06568B46" w:rsidR="00272BF8" w:rsidRPr="003E2544" w:rsidRDefault="00272BF8" w:rsidP="00245274">
      <w:pPr>
        <w:spacing w:line="240" w:lineRule="auto"/>
        <w:rPr>
          <w:rFonts w:ascii="Verdana" w:eastAsia="Calibri" w:hAnsi="Verdana" w:cs="Times New Roman"/>
          <w:i/>
          <w:color w:val="C45911" w:themeColor="accent2" w:themeShade="BF"/>
          <w:sz w:val="20"/>
          <w:szCs w:val="20"/>
        </w:rPr>
      </w:pPr>
    </w:p>
    <w:p w14:paraId="1612C9DE" w14:textId="734A533B" w:rsidR="00557698" w:rsidRPr="00852A5B" w:rsidRDefault="00557698" w:rsidP="00245274">
      <w:pPr>
        <w:spacing w:line="240" w:lineRule="auto"/>
        <w:jc w:val="both"/>
        <w:rPr>
          <w:rFonts w:ascii="Verdana" w:eastAsia="Calibri" w:hAnsi="Verdana" w:cs="Times New Roman"/>
          <w:sz w:val="20"/>
          <w:szCs w:val="20"/>
        </w:rPr>
      </w:pPr>
      <w:r w:rsidRPr="000465E0">
        <w:rPr>
          <w:rFonts w:ascii="Verdana" w:eastAsia="Calibri" w:hAnsi="Verdana" w:cs="Times New Roman"/>
          <w:sz w:val="20"/>
          <w:szCs w:val="20"/>
        </w:rPr>
        <w:t xml:space="preserve">The PUNO </w:t>
      </w:r>
      <w:r w:rsidRPr="00DC4150">
        <w:rPr>
          <w:rFonts w:ascii="Verdana" w:eastAsia="Calibri" w:hAnsi="Verdana" w:cs="Times New Roman"/>
          <w:sz w:val="20"/>
          <w:szCs w:val="20"/>
        </w:rPr>
        <w:t>joint delivery platform will cut unnecessary expenditures</w:t>
      </w:r>
      <w:r w:rsidRPr="003455B0">
        <w:rPr>
          <w:rFonts w:ascii="Verdana" w:eastAsia="Calibri" w:hAnsi="Verdana" w:cs="Times New Roman"/>
          <w:sz w:val="20"/>
          <w:szCs w:val="20"/>
        </w:rPr>
        <w:t xml:space="preserve"> and overhead costs. </w:t>
      </w:r>
      <w:r w:rsidRPr="00852A5B">
        <w:rPr>
          <w:rFonts w:ascii="Verdana" w:eastAsia="Calibri" w:hAnsi="Verdana" w:cs="Times New Roman"/>
          <w:sz w:val="20"/>
          <w:szCs w:val="20"/>
        </w:rPr>
        <w:t xml:space="preserve">The JP has an advantage over other implementation strategies as it is based on established workplans and </w:t>
      </w:r>
      <w:r w:rsidRPr="003E2544">
        <w:rPr>
          <w:rFonts w:ascii="Verdana" w:eastAsia="Calibri" w:hAnsi="Verdana"/>
          <w:color w:val="000000" w:themeColor="text1"/>
          <w:sz w:val="20"/>
          <w:szCs w:val="20"/>
        </w:rPr>
        <w:t xml:space="preserve">existing strategic frameworks of cooperation between the PUNOs and GRSS, which have already demonstrated tangible results. </w:t>
      </w:r>
      <w:r w:rsidR="00245274" w:rsidRPr="00E13A2D">
        <w:rPr>
          <w:rFonts w:ascii="Verdana" w:eastAsia="Calibri" w:hAnsi="Verdana"/>
          <w:sz w:val="20"/>
          <w:szCs w:val="20"/>
        </w:rPr>
        <w:t xml:space="preserve">If another development partner were to initiate a programme of this nature, they would need to create new workplans. </w:t>
      </w:r>
      <w:r w:rsidR="00245274">
        <w:rPr>
          <w:rFonts w:ascii="Verdana" w:eastAsia="Calibri" w:hAnsi="Verdana" w:cs="Times New Roman"/>
          <w:sz w:val="20"/>
          <w:szCs w:val="20"/>
        </w:rPr>
        <w:t>The established cooperation is</w:t>
      </w:r>
      <w:r w:rsidRPr="00852A5B">
        <w:rPr>
          <w:rFonts w:ascii="Verdana" w:eastAsia="Calibri" w:hAnsi="Verdana" w:cs="Times New Roman"/>
          <w:sz w:val="20"/>
          <w:szCs w:val="20"/>
        </w:rPr>
        <w:t xml:space="preserve"> reflected </w:t>
      </w:r>
      <w:r w:rsidRPr="000465E0">
        <w:rPr>
          <w:rFonts w:ascii="Verdana" w:eastAsia="Calibri" w:hAnsi="Verdana" w:cs="Times New Roman"/>
          <w:sz w:val="20"/>
          <w:szCs w:val="20"/>
        </w:rPr>
        <w:t>in</w:t>
      </w:r>
      <w:r w:rsidRPr="00852A5B">
        <w:rPr>
          <w:rFonts w:ascii="Verdana" w:eastAsia="Calibri" w:hAnsi="Verdana" w:cs="Times New Roman"/>
          <w:sz w:val="20"/>
          <w:szCs w:val="20"/>
        </w:rPr>
        <w:t xml:space="preserve"> the PUNO contribution to the JP </w:t>
      </w:r>
      <w:r w:rsidR="00245274">
        <w:rPr>
          <w:rFonts w:ascii="Verdana" w:eastAsia="Calibri" w:hAnsi="Verdana" w:cs="Times New Roman"/>
          <w:sz w:val="20"/>
          <w:szCs w:val="20"/>
        </w:rPr>
        <w:t>of</w:t>
      </w:r>
      <w:r w:rsidRPr="00D66711">
        <w:rPr>
          <w:rFonts w:ascii="Verdana" w:eastAsia="Calibri" w:hAnsi="Verdana" w:cs="Times New Roman"/>
          <w:sz w:val="20"/>
          <w:szCs w:val="20"/>
        </w:rPr>
        <w:t xml:space="preserve"> USD 1,123,051</w:t>
      </w:r>
      <w:r w:rsidR="00245274">
        <w:rPr>
          <w:rFonts w:ascii="Verdana" w:eastAsia="Calibri" w:hAnsi="Verdana" w:cs="Times New Roman"/>
          <w:sz w:val="20"/>
          <w:szCs w:val="20"/>
        </w:rPr>
        <w:t>,</w:t>
      </w:r>
      <w:r w:rsidRPr="000465E0">
        <w:rPr>
          <w:rFonts w:ascii="Verdana" w:eastAsia="Calibri" w:hAnsi="Verdana" w:cs="Times New Roman"/>
          <w:sz w:val="20"/>
          <w:szCs w:val="20"/>
        </w:rPr>
        <w:t xml:space="preserve"> which is</w:t>
      </w:r>
      <w:r w:rsidRPr="00852A5B">
        <w:rPr>
          <w:rFonts w:ascii="Verdana" w:eastAsia="Calibri" w:hAnsi="Verdana" w:cs="Times New Roman"/>
          <w:sz w:val="20"/>
          <w:szCs w:val="20"/>
        </w:rPr>
        <w:t xml:space="preserve"> larger than </w:t>
      </w:r>
      <w:r w:rsidR="00245274">
        <w:rPr>
          <w:rFonts w:ascii="Verdana" w:eastAsia="Calibri" w:hAnsi="Verdana" w:cs="Times New Roman"/>
          <w:sz w:val="20"/>
          <w:szCs w:val="20"/>
        </w:rPr>
        <w:t xml:space="preserve">the </w:t>
      </w:r>
      <w:r w:rsidR="00245274" w:rsidRPr="00DC4150">
        <w:rPr>
          <w:rFonts w:ascii="Verdana" w:eastAsia="Calibri" w:hAnsi="Verdana" w:cs="Times New Roman"/>
          <w:sz w:val="20"/>
          <w:szCs w:val="20"/>
        </w:rPr>
        <w:t>JP budget</w:t>
      </w:r>
      <w:r w:rsidR="00245274">
        <w:rPr>
          <w:rFonts w:ascii="Verdana" w:eastAsia="Calibri" w:hAnsi="Verdana" w:cs="Times New Roman"/>
          <w:sz w:val="20"/>
          <w:szCs w:val="20"/>
        </w:rPr>
        <w:t xml:space="preserve"> of </w:t>
      </w:r>
      <w:r w:rsidRPr="000465E0">
        <w:rPr>
          <w:rFonts w:ascii="Verdana" w:eastAsia="Calibri" w:hAnsi="Verdana" w:cs="Times New Roman"/>
          <w:sz w:val="20"/>
          <w:szCs w:val="20"/>
        </w:rPr>
        <w:t>USD 1,000,000</w:t>
      </w:r>
      <w:r w:rsidRPr="003455B0">
        <w:rPr>
          <w:rFonts w:ascii="Verdana" w:eastAsia="Calibri" w:hAnsi="Verdana" w:cs="Times New Roman"/>
          <w:sz w:val="20"/>
          <w:szCs w:val="20"/>
        </w:rPr>
        <w:t>. This complementary funding com</w:t>
      </w:r>
      <w:r w:rsidR="00245274">
        <w:rPr>
          <w:rFonts w:ascii="Verdana" w:eastAsia="Calibri" w:hAnsi="Verdana" w:cs="Times New Roman"/>
          <w:sz w:val="20"/>
          <w:szCs w:val="20"/>
        </w:rPr>
        <w:t xml:space="preserve">es </w:t>
      </w:r>
      <w:r w:rsidRPr="003455B0">
        <w:rPr>
          <w:rFonts w:ascii="Verdana" w:eastAsia="Calibri" w:hAnsi="Verdana" w:cs="Times New Roman"/>
          <w:sz w:val="20"/>
          <w:szCs w:val="20"/>
        </w:rPr>
        <w:t>from the ongoing projects listed Annex 1. Th</w:t>
      </w:r>
      <w:r w:rsidR="00245274">
        <w:rPr>
          <w:rFonts w:ascii="Verdana" w:eastAsia="Calibri" w:hAnsi="Verdana" w:cs="Times New Roman"/>
          <w:sz w:val="20"/>
          <w:szCs w:val="20"/>
        </w:rPr>
        <w:t xml:space="preserve">e funding </w:t>
      </w:r>
      <w:r w:rsidRPr="003455B0">
        <w:rPr>
          <w:rFonts w:ascii="Verdana" w:eastAsia="Calibri" w:hAnsi="Verdana" w:cs="Times New Roman"/>
          <w:sz w:val="20"/>
          <w:szCs w:val="20"/>
        </w:rPr>
        <w:t xml:space="preserve">does not </w:t>
      </w:r>
      <w:r w:rsidR="00245274">
        <w:rPr>
          <w:rFonts w:ascii="Verdana" w:eastAsia="Calibri" w:hAnsi="Verdana" w:cs="Times New Roman"/>
          <w:sz w:val="20"/>
          <w:szCs w:val="20"/>
        </w:rPr>
        <w:t xml:space="preserve">only </w:t>
      </w:r>
      <w:r w:rsidRPr="003455B0">
        <w:rPr>
          <w:rFonts w:ascii="Verdana" w:eastAsia="Calibri" w:hAnsi="Verdana" w:cs="Times New Roman"/>
          <w:sz w:val="20"/>
          <w:szCs w:val="20"/>
        </w:rPr>
        <w:t>cover programme costs but s</w:t>
      </w:r>
      <w:r w:rsidRPr="00852A5B">
        <w:rPr>
          <w:rFonts w:ascii="Verdana" w:eastAsia="Calibri" w:hAnsi="Verdana" w:cs="Times New Roman"/>
          <w:sz w:val="20"/>
          <w:szCs w:val="20"/>
        </w:rPr>
        <w:t xml:space="preserve">ome of the costs for </w:t>
      </w:r>
      <w:r w:rsidRPr="000465E0">
        <w:rPr>
          <w:rFonts w:ascii="Verdana" w:eastAsia="Calibri" w:hAnsi="Verdana" w:cs="Times New Roman"/>
          <w:sz w:val="20"/>
          <w:szCs w:val="20"/>
        </w:rPr>
        <w:t>project o</w:t>
      </w:r>
      <w:r w:rsidRPr="00852A5B">
        <w:rPr>
          <w:rFonts w:ascii="Verdana" w:eastAsia="Calibri" w:hAnsi="Verdana" w:cs="Times New Roman"/>
          <w:sz w:val="20"/>
          <w:szCs w:val="20"/>
        </w:rPr>
        <w:t>peration and monitoring</w:t>
      </w:r>
      <w:r w:rsidRPr="000465E0">
        <w:rPr>
          <w:rFonts w:ascii="Verdana" w:eastAsia="Calibri" w:hAnsi="Verdana" w:cs="Times New Roman"/>
          <w:sz w:val="20"/>
          <w:szCs w:val="20"/>
        </w:rPr>
        <w:t xml:space="preserve">. </w:t>
      </w:r>
      <w:r w:rsidRPr="00852A5B">
        <w:rPr>
          <w:rFonts w:ascii="Verdana" w:eastAsia="Calibri" w:hAnsi="Verdana"/>
          <w:sz w:val="20"/>
          <w:szCs w:val="20"/>
        </w:rPr>
        <w:t>In addition, PUNO</w:t>
      </w:r>
      <w:r w:rsidR="00245274">
        <w:rPr>
          <w:rFonts w:ascii="Verdana" w:eastAsia="Calibri" w:hAnsi="Verdana"/>
          <w:sz w:val="20"/>
          <w:szCs w:val="20"/>
        </w:rPr>
        <w:t>s</w:t>
      </w:r>
      <w:r w:rsidRPr="00852A5B">
        <w:rPr>
          <w:rFonts w:ascii="Verdana" w:eastAsia="Calibri" w:hAnsi="Verdana"/>
          <w:sz w:val="20"/>
          <w:szCs w:val="20"/>
        </w:rPr>
        <w:t xml:space="preserve"> have a track record of collaboration on JPs and are currently collaborating on PFM reform as articulated in Annex 7 PFM Cycle Mapping Exercise. </w:t>
      </w:r>
    </w:p>
    <w:p w14:paraId="7CA4AE60" w14:textId="6ABB238C" w:rsidR="229E78B5" w:rsidRPr="003E2544" w:rsidRDefault="229E78B5" w:rsidP="00245274">
      <w:pPr>
        <w:spacing w:line="240" w:lineRule="auto"/>
        <w:jc w:val="both"/>
        <w:rPr>
          <w:rFonts w:ascii="Verdana" w:eastAsia="Calibri" w:hAnsi="Verdana"/>
          <w:color w:val="000000" w:themeColor="text1"/>
          <w:sz w:val="20"/>
          <w:szCs w:val="20"/>
        </w:rPr>
      </w:pPr>
    </w:p>
    <w:p w14:paraId="4F50D8F0" w14:textId="2112BBDF" w:rsidR="000A1663" w:rsidRPr="003E2544" w:rsidRDefault="0D27EA86" w:rsidP="00245274">
      <w:pPr>
        <w:pStyle w:val="NormalWeb"/>
        <w:spacing w:before="0" w:beforeAutospacing="0"/>
        <w:jc w:val="both"/>
        <w:rPr>
          <w:rFonts w:ascii="Verdana" w:hAnsi="Verdana" w:cs="Arial"/>
          <w:color w:val="000000" w:themeColor="text1"/>
        </w:rPr>
      </w:pPr>
      <w:r w:rsidRPr="003E2544">
        <w:rPr>
          <w:rFonts w:ascii="Verdana" w:eastAsia="Calibri" w:hAnsi="Verdana"/>
          <w:color w:val="000000" w:themeColor="text1"/>
          <w:sz w:val="20"/>
          <w:szCs w:val="20"/>
        </w:rPr>
        <w:t>T</w:t>
      </w:r>
      <w:r w:rsidR="24B0FAA5" w:rsidRPr="003E2544">
        <w:rPr>
          <w:rFonts w:ascii="Verdana" w:eastAsia="Calibri" w:hAnsi="Verdana"/>
          <w:color w:val="000000" w:themeColor="text1"/>
          <w:sz w:val="20"/>
          <w:szCs w:val="20"/>
        </w:rPr>
        <w:t>he</w:t>
      </w:r>
      <w:r w:rsidR="000A1663" w:rsidRPr="003E2544">
        <w:rPr>
          <w:rFonts w:ascii="Verdana" w:eastAsia="Calibri" w:hAnsi="Verdana"/>
          <w:color w:val="000000" w:themeColor="text1"/>
          <w:sz w:val="20"/>
          <w:szCs w:val="20"/>
        </w:rPr>
        <w:t xml:space="preserve"> JP aims to strengthen and expand the scope of these workplans, without establishing new structures.  The 2019 PFM Capacity Assessment Study by UNICEF </w:t>
      </w:r>
      <w:r w:rsidR="00D56FAC" w:rsidRPr="003E2544">
        <w:rPr>
          <w:rFonts w:ascii="Verdana" w:eastAsia="Calibri" w:hAnsi="Verdana"/>
          <w:color w:val="000000" w:themeColor="text1"/>
          <w:sz w:val="20"/>
          <w:szCs w:val="20"/>
        </w:rPr>
        <w:t xml:space="preserve">identified the key </w:t>
      </w:r>
      <w:r w:rsidR="000A1663" w:rsidRPr="003E2544">
        <w:rPr>
          <w:rFonts w:ascii="Verdana" w:eastAsia="Calibri" w:hAnsi="Verdana"/>
          <w:color w:val="000000" w:themeColor="text1"/>
          <w:sz w:val="20"/>
          <w:szCs w:val="20"/>
        </w:rPr>
        <w:t>gaps</w:t>
      </w:r>
      <w:r w:rsidR="00D56FAC" w:rsidRPr="003E2544">
        <w:rPr>
          <w:rFonts w:ascii="Verdana" w:eastAsia="Calibri" w:hAnsi="Verdana"/>
          <w:color w:val="000000" w:themeColor="text1"/>
          <w:sz w:val="20"/>
          <w:szCs w:val="20"/>
        </w:rPr>
        <w:t xml:space="preserve"> that </w:t>
      </w:r>
      <w:r w:rsidR="00345877">
        <w:rPr>
          <w:rFonts w:ascii="Verdana" w:eastAsia="Calibri" w:hAnsi="Verdana"/>
          <w:color w:val="000000" w:themeColor="text1"/>
          <w:sz w:val="20"/>
          <w:szCs w:val="20"/>
        </w:rPr>
        <w:t>GRSS</w:t>
      </w:r>
      <w:r w:rsidR="00D56FAC" w:rsidRPr="003E2544">
        <w:rPr>
          <w:rFonts w:ascii="Verdana" w:eastAsia="Calibri" w:hAnsi="Verdana"/>
          <w:color w:val="000000" w:themeColor="text1"/>
          <w:sz w:val="20"/>
          <w:szCs w:val="20"/>
        </w:rPr>
        <w:t xml:space="preserve"> needs to address</w:t>
      </w:r>
      <w:r w:rsidR="000A1663" w:rsidRPr="003E2544">
        <w:rPr>
          <w:rFonts w:ascii="Verdana" w:eastAsia="Calibri" w:hAnsi="Verdana"/>
          <w:color w:val="000000" w:themeColor="text1"/>
          <w:sz w:val="20"/>
          <w:szCs w:val="20"/>
        </w:rPr>
        <w:t xml:space="preserve">. UNICEF stepped into the important arena of </w:t>
      </w:r>
      <w:r w:rsidR="009B5B47">
        <w:rPr>
          <w:rFonts w:ascii="Verdana" w:eastAsia="Calibri" w:hAnsi="Verdana"/>
          <w:color w:val="000000" w:themeColor="text1"/>
          <w:sz w:val="20"/>
          <w:szCs w:val="20"/>
        </w:rPr>
        <w:t>subnational</w:t>
      </w:r>
      <w:r w:rsidR="000A1663" w:rsidRPr="003E2544">
        <w:rPr>
          <w:rFonts w:ascii="Verdana" w:eastAsia="Calibri" w:hAnsi="Verdana"/>
          <w:color w:val="000000" w:themeColor="text1"/>
          <w:sz w:val="20"/>
          <w:szCs w:val="20"/>
        </w:rPr>
        <w:t xml:space="preserve"> capacity building, and together with UNDP, resuscitated the </w:t>
      </w:r>
      <w:r w:rsidR="00345877">
        <w:rPr>
          <w:rFonts w:ascii="Verdana" w:eastAsia="Calibri" w:hAnsi="Verdana"/>
          <w:color w:val="000000" w:themeColor="text1"/>
          <w:sz w:val="20"/>
          <w:szCs w:val="20"/>
        </w:rPr>
        <w:t>P</w:t>
      </w:r>
      <w:r w:rsidR="001B7812">
        <w:rPr>
          <w:rFonts w:ascii="Verdana" w:eastAsia="Calibri" w:hAnsi="Verdana"/>
          <w:color w:val="000000" w:themeColor="text1"/>
          <w:sz w:val="20"/>
          <w:szCs w:val="20"/>
        </w:rPr>
        <w:t>D</w:t>
      </w:r>
      <w:r w:rsidR="00345877">
        <w:rPr>
          <w:rFonts w:ascii="Verdana" w:eastAsia="Calibri" w:hAnsi="Verdana"/>
          <w:color w:val="000000" w:themeColor="text1"/>
          <w:sz w:val="20"/>
          <w:szCs w:val="20"/>
        </w:rPr>
        <w:t>WG</w:t>
      </w:r>
      <w:r w:rsidR="000A1663" w:rsidRPr="003E2544">
        <w:rPr>
          <w:rFonts w:ascii="Verdana" w:eastAsia="Calibri" w:hAnsi="Verdana"/>
          <w:color w:val="000000" w:themeColor="text1"/>
          <w:sz w:val="20"/>
          <w:szCs w:val="20"/>
        </w:rPr>
        <w:t>, which to some extent acts as a gatekeeper for new programmes, as partners collaborate and share information.</w:t>
      </w:r>
    </w:p>
    <w:p w14:paraId="25B93AFB" w14:textId="09816144" w:rsidR="00710709" w:rsidRPr="003E2544" w:rsidRDefault="000A1663" w:rsidP="00245274">
      <w:pPr>
        <w:pStyle w:val="NormalWeb"/>
        <w:jc w:val="both"/>
        <w:rPr>
          <w:rFonts w:ascii="Verdana" w:eastAsia="Calibri" w:hAnsi="Verdana"/>
          <w:color w:val="000000"/>
          <w:sz w:val="20"/>
          <w:szCs w:val="20"/>
        </w:rPr>
      </w:pPr>
      <w:r w:rsidRPr="003E2544">
        <w:rPr>
          <w:rFonts w:ascii="Verdana" w:eastAsia="Calibri" w:hAnsi="Verdana"/>
          <w:color w:val="000000" w:themeColor="text1"/>
          <w:sz w:val="20"/>
          <w:szCs w:val="20"/>
        </w:rPr>
        <w:t>UNDP and UNICEF not only have a good track record on PFM activities</w:t>
      </w:r>
      <w:r w:rsidR="2904464F" w:rsidRPr="003E2544">
        <w:rPr>
          <w:rFonts w:ascii="Verdana" w:eastAsia="Calibri" w:hAnsi="Verdana"/>
          <w:color w:val="000000" w:themeColor="text1"/>
          <w:sz w:val="20"/>
          <w:szCs w:val="20"/>
        </w:rPr>
        <w:t>,</w:t>
      </w:r>
      <w:r w:rsidRPr="003E2544">
        <w:rPr>
          <w:rFonts w:ascii="Verdana" w:eastAsia="Calibri" w:hAnsi="Verdana"/>
          <w:color w:val="000000" w:themeColor="text1"/>
          <w:sz w:val="20"/>
          <w:szCs w:val="20"/>
        </w:rPr>
        <w:t xml:space="preserve"> </w:t>
      </w:r>
      <w:r w:rsidR="00710709" w:rsidRPr="003E2544">
        <w:rPr>
          <w:rFonts w:ascii="Verdana" w:eastAsia="Calibri" w:hAnsi="Verdana"/>
          <w:color w:val="000000" w:themeColor="text1"/>
          <w:sz w:val="20"/>
          <w:szCs w:val="20"/>
        </w:rPr>
        <w:t xml:space="preserve">with existing dedicated PFM experts </w:t>
      </w:r>
      <w:r w:rsidRPr="003E2544">
        <w:rPr>
          <w:rFonts w:ascii="Verdana" w:eastAsia="Calibri" w:hAnsi="Verdana"/>
          <w:color w:val="000000" w:themeColor="text1"/>
          <w:sz w:val="20"/>
          <w:szCs w:val="20"/>
        </w:rPr>
        <w:t>in South Sudan</w:t>
      </w:r>
      <w:r w:rsidR="424F2AD1" w:rsidRPr="003E2544">
        <w:rPr>
          <w:rFonts w:ascii="Verdana" w:eastAsia="Calibri" w:hAnsi="Verdana"/>
          <w:color w:val="000000" w:themeColor="text1"/>
          <w:sz w:val="20"/>
          <w:szCs w:val="20"/>
        </w:rPr>
        <w:t>, they</w:t>
      </w:r>
      <w:r w:rsidRPr="003E2544">
        <w:rPr>
          <w:rFonts w:ascii="Verdana" w:eastAsia="Calibri" w:hAnsi="Verdana"/>
          <w:color w:val="000000" w:themeColor="text1"/>
          <w:sz w:val="20"/>
          <w:szCs w:val="20"/>
        </w:rPr>
        <w:t xml:space="preserve"> can also draw on their thematic </w:t>
      </w:r>
      <w:r w:rsidR="008A6E6F" w:rsidRPr="003E2544">
        <w:rPr>
          <w:rFonts w:ascii="Verdana" w:eastAsia="Calibri" w:hAnsi="Verdana"/>
          <w:color w:val="000000" w:themeColor="text1"/>
          <w:sz w:val="20"/>
          <w:szCs w:val="20"/>
        </w:rPr>
        <w:t xml:space="preserve">expertise </w:t>
      </w:r>
      <w:r w:rsidRPr="003E2544">
        <w:rPr>
          <w:rFonts w:ascii="Verdana" w:eastAsia="Calibri" w:hAnsi="Verdana"/>
          <w:color w:val="000000" w:themeColor="text1"/>
          <w:sz w:val="20"/>
          <w:szCs w:val="20"/>
        </w:rPr>
        <w:t xml:space="preserve">with dedicated sectoral experts in </w:t>
      </w:r>
      <w:r w:rsidR="008A6E6F" w:rsidRPr="003E2544">
        <w:rPr>
          <w:rFonts w:ascii="Verdana" w:eastAsia="Calibri" w:hAnsi="Verdana"/>
          <w:color w:val="000000" w:themeColor="text1"/>
          <w:sz w:val="20"/>
          <w:szCs w:val="20"/>
        </w:rPr>
        <w:t>health, nutrition, education, WASH and child protection</w:t>
      </w:r>
      <w:r w:rsidRPr="003E2544">
        <w:rPr>
          <w:rFonts w:ascii="Verdana" w:eastAsia="Calibri" w:hAnsi="Verdana"/>
          <w:color w:val="000000" w:themeColor="text1"/>
          <w:sz w:val="20"/>
          <w:szCs w:val="20"/>
        </w:rPr>
        <w:t xml:space="preserve"> and cross-cutting aspects such as gender and local governance</w:t>
      </w:r>
      <w:r w:rsidR="06445E5A" w:rsidRPr="003E2544">
        <w:rPr>
          <w:rFonts w:ascii="Verdana" w:eastAsia="Calibri" w:hAnsi="Verdana"/>
          <w:color w:val="000000" w:themeColor="text1"/>
          <w:sz w:val="20"/>
          <w:szCs w:val="20"/>
        </w:rPr>
        <w:t>, and from their respective regional advisers in Kenya and South Africa</w:t>
      </w:r>
      <w:r w:rsidR="008A6E6F" w:rsidRPr="003E2544">
        <w:rPr>
          <w:rFonts w:ascii="Verdana" w:eastAsia="Calibri" w:hAnsi="Verdana"/>
          <w:color w:val="000000" w:themeColor="text1"/>
          <w:sz w:val="20"/>
          <w:szCs w:val="20"/>
        </w:rPr>
        <w:t xml:space="preserve">. </w:t>
      </w:r>
    </w:p>
    <w:p w14:paraId="1FFF891A" w14:textId="5C27E381" w:rsidR="1C469F8A" w:rsidRPr="003E2544" w:rsidRDefault="00245274" w:rsidP="00245274">
      <w:pPr>
        <w:spacing w:line="240" w:lineRule="auto"/>
        <w:jc w:val="both"/>
        <w:rPr>
          <w:rFonts w:ascii="Verdana" w:eastAsia="Verdana" w:hAnsi="Verdana" w:cs="Verdana"/>
          <w:color w:val="000000" w:themeColor="text1"/>
          <w:sz w:val="20"/>
          <w:szCs w:val="20"/>
        </w:rPr>
      </w:pPr>
      <w:r w:rsidRPr="003E2544">
        <w:rPr>
          <w:rFonts w:ascii="Verdana" w:eastAsia="Calibri" w:hAnsi="Verdana"/>
          <w:color w:val="000000" w:themeColor="text1"/>
          <w:sz w:val="20"/>
          <w:szCs w:val="20"/>
        </w:rPr>
        <w:t xml:space="preserve">UNDP and UNICEF </w:t>
      </w:r>
      <w:r w:rsidR="1C469F8A" w:rsidRPr="003E2544">
        <w:rPr>
          <w:rFonts w:ascii="Verdana" w:eastAsia="Calibri" w:hAnsi="Verdana" w:cs="Times New Roman"/>
          <w:color w:val="000000" w:themeColor="text1"/>
          <w:sz w:val="20"/>
          <w:szCs w:val="20"/>
          <w:lang w:eastAsia="ja-JP"/>
        </w:rPr>
        <w:t>have an extensive physical presence throughout the country</w:t>
      </w:r>
      <w:r w:rsidR="691879DE" w:rsidRPr="003E2544">
        <w:rPr>
          <w:rFonts w:ascii="Verdana" w:eastAsia="Calibri" w:hAnsi="Verdana" w:cs="Times New Roman"/>
          <w:color w:val="000000" w:themeColor="text1"/>
          <w:sz w:val="20"/>
          <w:szCs w:val="20"/>
          <w:lang w:eastAsia="ja-JP"/>
        </w:rPr>
        <w:t xml:space="preserve"> and can also leverage the sectoral experts in field offices across all </w:t>
      </w:r>
      <w:r w:rsidR="2FAD8A82" w:rsidRPr="003E2544">
        <w:rPr>
          <w:rFonts w:ascii="Verdana" w:eastAsia="Calibri" w:hAnsi="Verdana" w:cs="Times New Roman"/>
          <w:color w:val="000000" w:themeColor="text1"/>
          <w:sz w:val="20"/>
          <w:szCs w:val="20"/>
          <w:lang w:eastAsia="ja-JP"/>
        </w:rPr>
        <w:t>ten</w:t>
      </w:r>
      <w:r w:rsidR="691879DE" w:rsidRPr="003E2544">
        <w:rPr>
          <w:rFonts w:ascii="Verdana" w:eastAsia="Calibri" w:hAnsi="Verdana" w:cs="Times New Roman"/>
          <w:color w:val="000000" w:themeColor="text1"/>
          <w:sz w:val="20"/>
          <w:szCs w:val="20"/>
          <w:lang w:eastAsia="ja-JP"/>
        </w:rPr>
        <w:t xml:space="preserve"> </w:t>
      </w:r>
      <w:r w:rsidR="79041DB6" w:rsidRPr="003E2544">
        <w:rPr>
          <w:rFonts w:ascii="Verdana" w:eastAsia="Calibri" w:hAnsi="Verdana" w:cs="Times New Roman"/>
          <w:color w:val="000000" w:themeColor="text1"/>
          <w:sz w:val="20"/>
          <w:szCs w:val="20"/>
          <w:lang w:eastAsia="ja-JP"/>
        </w:rPr>
        <w:t>s</w:t>
      </w:r>
      <w:r w:rsidR="691879DE" w:rsidRPr="003E2544">
        <w:rPr>
          <w:rFonts w:ascii="Verdana" w:eastAsia="Calibri" w:hAnsi="Verdana" w:cs="Times New Roman"/>
          <w:color w:val="000000" w:themeColor="text1"/>
          <w:sz w:val="20"/>
          <w:szCs w:val="20"/>
          <w:lang w:eastAsia="ja-JP"/>
        </w:rPr>
        <w:t>tates to work closely with the state level counterparts – MoFP and SRAs</w:t>
      </w:r>
      <w:r w:rsidR="1C469F8A" w:rsidRPr="003E2544">
        <w:rPr>
          <w:rFonts w:ascii="Verdana" w:eastAsia="Calibri" w:hAnsi="Verdana" w:cs="Times New Roman"/>
          <w:color w:val="000000" w:themeColor="text1"/>
          <w:sz w:val="20"/>
          <w:szCs w:val="20"/>
          <w:lang w:eastAsia="ja-JP"/>
        </w:rPr>
        <w:t xml:space="preserve">. </w:t>
      </w:r>
      <w:r w:rsidR="1CCD3F0D" w:rsidRPr="003E2544">
        <w:rPr>
          <w:rFonts w:ascii="Verdana" w:eastAsia="Verdana" w:hAnsi="Verdana" w:cs="Verdana"/>
          <w:color w:val="000000" w:themeColor="text1"/>
          <w:sz w:val="20"/>
          <w:szCs w:val="20"/>
        </w:rPr>
        <w:t xml:space="preserve">OHCHR, for example, has field offices in all </w:t>
      </w:r>
      <w:r w:rsidR="5E5C7081" w:rsidRPr="003E2544">
        <w:rPr>
          <w:rFonts w:ascii="Verdana" w:eastAsia="Verdana" w:hAnsi="Verdana" w:cs="Verdana"/>
          <w:color w:val="000000" w:themeColor="text1"/>
          <w:sz w:val="20"/>
          <w:szCs w:val="20"/>
        </w:rPr>
        <w:t>ten</w:t>
      </w:r>
      <w:r w:rsidR="16CE4FCE" w:rsidRPr="003E2544">
        <w:rPr>
          <w:rFonts w:ascii="Verdana" w:eastAsia="Verdana" w:hAnsi="Verdana" w:cs="Verdana"/>
          <w:color w:val="000000" w:themeColor="text1"/>
          <w:sz w:val="20"/>
          <w:szCs w:val="20"/>
        </w:rPr>
        <w:t xml:space="preserve"> </w:t>
      </w:r>
      <w:r w:rsidR="1CCD3F0D" w:rsidRPr="003E2544">
        <w:rPr>
          <w:rFonts w:ascii="Verdana" w:eastAsia="Verdana" w:hAnsi="Verdana" w:cs="Verdana"/>
          <w:color w:val="000000" w:themeColor="text1"/>
          <w:sz w:val="20"/>
          <w:szCs w:val="20"/>
        </w:rPr>
        <w:t>states and could facilitate capacity</w:t>
      </w:r>
      <w:r w:rsidR="00345877">
        <w:rPr>
          <w:rFonts w:ascii="Verdana" w:eastAsia="Verdana" w:hAnsi="Verdana" w:cs="Verdana"/>
          <w:color w:val="000000" w:themeColor="text1"/>
          <w:sz w:val="20"/>
          <w:szCs w:val="20"/>
        </w:rPr>
        <w:t xml:space="preserve"> </w:t>
      </w:r>
      <w:r w:rsidR="1CCD3F0D" w:rsidRPr="003E2544">
        <w:rPr>
          <w:rFonts w:ascii="Verdana" w:eastAsia="Verdana" w:hAnsi="Verdana" w:cs="Verdana"/>
          <w:color w:val="000000" w:themeColor="text1"/>
          <w:sz w:val="20"/>
          <w:szCs w:val="20"/>
        </w:rPr>
        <w:t>building efforts on a human rights-based approach</w:t>
      </w:r>
      <w:r w:rsidR="00345877">
        <w:rPr>
          <w:rFonts w:ascii="Verdana" w:eastAsia="Verdana" w:hAnsi="Verdana" w:cs="Verdana"/>
          <w:color w:val="000000" w:themeColor="text1"/>
          <w:sz w:val="20"/>
          <w:szCs w:val="20"/>
        </w:rPr>
        <w:t>es</w:t>
      </w:r>
      <w:r w:rsidR="1CCD3F0D" w:rsidRPr="003E2544">
        <w:rPr>
          <w:rFonts w:ascii="Verdana" w:eastAsia="Verdana" w:hAnsi="Verdana" w:cs="Verdana"/>
          <w:color w:val="000000" w:themeColor="text1"/>
          <w:sz w:val="20"/>
          <w:szCs w:val="20"/>
        </w:rPr>
        <w:t xml:space="preserve"> to sustainable development.</w:t>
      </w:r>
    </w:p>
    <w:p w14:paraId="19B2EBDA" w14:textId="77777777" w:rsidR="00710709" w:rsidRPr="003E2544" w:rsidRDefault="00710709" w:rsidP="00245274">
      <w:pPr>
        <w:spacing w:line="240" w:lineRule="auto"/>
        <w:jc w:val="both"/>
        <w:rPr>
          <w:rFonts w:ascii="Verdana" w:eastAsia="Calibri" w:hAnsi="Verdana" w:cs="Times New Roman"/>
          <w:color w:val="000000"/>
          <w:sz w:val="20"/>
          <w:szCs w:val="20"/>
          <w:lang w:eastAsia="ja-JP"/>
        </w:rPr>
      </w:pPr>
    </w:p>
    <w:p w14:paraId="087C51AD" w14:textId="7798D9C4" w:rsidR="00D61ACB" w:rsidRDefault="00345877" w:rsidP="00245274">
      <w:pPr>
        <w:spacing w:line="240" w:lineRule="auto"/>
        <w:jc w:val="both"/>
        <w:rPr>
          <w:rFonts w:ascii="Verdana" w:hAnsi="Verdana"/>
          <w:color w:val="000000" w:themeColor="text1"/>
          <w:sz w:val="20"/>
          <w:szCs w:val="20"/>
        </w:rPr>
      </w:pPr>
      <w:r>
        <w:rPr>
          <w:rFonts w:ascii="Verdana" w:hAnsi="Verdana"/>
          <w:color w:val="000000" w:themeColor="text1"/>
          <w:sz w:val="20"/>
          <w:szCs w:val="20"/>
        </w:rPr>
        <w:t xml:space="preserve">UNDP and UNICEF </w:t>
      </w:r>
      <w:r w:rsidR="008A6E6F" w:rsidRPr="003E2544">
        <w:rPr>
          <w:rFonts w:ascii="Verdana" w:hAnsi="Verdana"/>
          <w:color w:val="000000" w:themeColor="text1"/>
          <w:sz w:val="20"/>
          <w:szCs w:val="20"/>
        </w:rPr>
        <w:t xml:space="preserve">have developed strong and trusted partnerships over many years with government, civil society and communities and have a global framework of partnership. The two </w:t>
      </w:r>
      <w:r w:rsidR="00D61ACB">
        <w:rPr>
          <w:rFonts w:ascii="Verdana" w:hAnsi="Verdana"/>
          <w:color w:val="000000" w:themeColor="text1"/>
          <w:sz w:val="20"/>
          <w:szCs w:val="20"/>
        </w:rPr>
        <w:t xml:space="preserve">respective </w:t>
      </w:r>
      <w:r w:rsidR="008A6E6F" w:rsidRPr="003E2544">
        <w:rPr>
          <w:rFonts w:ascii="Verdana" w:hAnsi="Verdana"/>
          <w:color w:val="000000" w:themeColor="text1"/>
          <w:sz w:val="20"/>
          <w:szCs w:val="20"/>
        </w:rPr>
        <w:t xml:space="preserve">Executive Directors issued a Joint Call for Action in 2019 to encourage greater collaboration between the two agencies at country level. The SDG </w:t>
      </w:r>
      <w:r w:rsidR="00D61ACB">
        <w:rPr>
          <w:rFonts w:ascii="Verdana" w:hAnsi="Verdana"/>
          <w:color w:val="000000" w:themeColor="text1"/>
          <w:sz w:val="20"/>
          <w:szCs w:val="20"/>
        </w:rPr>
        <w:t>F</w:t>
      </w:r>
      <w:r w:rsidR="008A6E6F" w:rsidRPr="003E2544">
        <w:rPr>
          <w:rFonts w:ascii="Verdana" w:hAnsi="Verdana"/>
          <w:color w:val="000000" w:themeColor="text1"/>
          <w:sz w:val="20"/>
          <w:szCs w:val="20"/>
        </w:rPr>
        <w:t xml:space="preserve">und </w:t>
      </w:r>
      <w:r w:rsidR="00451D13" w:rsidRPr="003E2544">
        <w:rPr>
          <w:rFonts w:ascii="Verdana" w:hAnsi="Verdana"/>
          <w:color w:val="000000" w:themeColor="text1"/>
          <w:sz w:val="20"/>
          <w:szCs w:val="20"/>
        </w:rPr>
        <w:t xml:space="preserve">will be catalytic in that it </w:t>
      </w:r>
      <w:r w:rsidR="008A6E6F" w:rsidRPr="003E2544">
        <w:rPr>
          <w:rFonts w:ascii="Verdana" w:hAnsi="Verdana"/>
          <w:color w:val="000000" w:themeColor="text1"/>
          <w:sz w:val="20"/>
          <w:szCs w:val="20"/>
        </w:rPr>
        <w:t>complement</w:t>
      </w:r>
      <w:r w:rsidR="00451D13" w:rsidRPr="003E2544">
        <w:rPr>
          <w:rFonts w:ascii="Verdana" w:hAnsi="Verdana"/>
          <w:color w:val="000000" w:themeColor="text1"/>
          <w:sz w:val="20"/>
          <w:szCs w:val="20"/>
        </w:rPr>
        <w:t>s</w:t>
      </w:r>
      <w:r w:rsidR="008A6E6F" w:rsidRPr="003E2544">
        <w:rPr>
          <w:rFonts w:ascii="Verdana" w:hAnsi="Verdana"/>
          <w:color w:val="000000" w:themeColor="text1"/>
          <w:sz w:val="20"/>
          <w:szCs w:val="20"/>
        </w:rPr>
        <w:t xml:space="preserve"> existing </w:t>
      </w:r>
      <w:r w:rsidR="00451D13" w:rsidRPr="003E2544">
        <w:rPr>
          <w:rFonts w:ascii="Verdana" w:hAnsi="Verdana"/>
          <w:color w:val="000000" w:themeColor="text1"/>
          <w:sz w:val="20"/>
          <w:szCs w:val="20"/>
        </w:rPr>
        <w:t xml:space="preserve">and upcoming </w:t>
      </w:r>
      <w:r w:rsidR="008A6E6F" w:rsidRPr="003E2544">
        <w:rPr>
          <w:rFonts w:ascii="Verdana" w:hAnsi="Verdana"/>
          <w:color w:val="000000" w:themeColor="text1"/>
          <w:sz w:val="20"/>
          <w:szCs w:val="20"/>
        </w:rPr>
        <w:t>resources of the two agencies on PFM and leverage</w:t>
      </w:r>
      <w:r w:rsidR="00D61ACB">
        <w:rPr>
          <w:rFonts w:ascii="Verdana" w:hAnsi="Verdana"/>
          <w:color w:val="000000" w:themeColor="text1"/>
          <w:sz w:val="20"/>
          <w:szCs w:val="20"/>
        </w:rPr>
        <w:t>s</w:t>
      </w:r>
      <w:r w:rsidR="008A6E6F" w:rsidRPr="003E2544">
        <w:rPr>
          <w:rFonts w:ascii="Verdana" w:hAnsi="Verdana"/>
          <w:color w:val="000000" w:themeColor="text1"/>
          <w:sz w:val="20"/>
          <w:szCs w:val="20"/>
        </w:rPr>
        <w:t xml:space="preserve"> </w:t>
      </w:r>
      <w:r w:rsidR="008A6E6F" w:rsidRPr="003E2544">
        <w:rPr>
          <w:rFonts w:ascii="Verdana" w:eastAsia="Calibri" w:hAnsi="Verdana" w:cs="Times New Roman"/>
          <w:color w:val="000000" w:themeColor="text1"/>
          <w:sz w:val="20"/>
          <w:szCs w:val="20"/>
          <w:lang w:eastAsia="ja-JP"/>
        </w:rPr>
        <w:t>the</w:t>
      </w:r>
      <w:r w:rsidR="17B42163" w:rsidRPr="003E2544">
        <w:rPr>
          <w:rFonts w:ascii="Verdana" w:eastAsia="Calibri" w:hAnsi="Verdana" w:cs="Times New Roman"/>
          <w:color w:val="000000" w:themeColor="text1"/>
          <w:sz w:val="20"/>
          <w:szCs w:val="20"/>
          <w:lang w:eastAsia="ja-JP"/>
        </w:rPr>
        <w:t>ir</w:t>
      </w:r>
      <w:r w:rsidR="008A6E6F" w:rsidRPr="003E2544">
        <w:rPr>
          <w:rFonts w:ascii="Verdana" w:hAnsi="Verdana"/>
          <w:color w:val="000000" w:themeColor="text1"/>
          <w:sz w:val="20"/>
          <w:szCs w:val="20"/>
        </w:rPr>
        <w:t xml:space="preserve"> respective expertise to help achieve multiple SDGs</w:t>
      </w:r>
      <w:r w:rsidR="0047543F" w:rsidRPr="003E2544">
        <w:rPr>
          <w:rFonts w:ascii="Verdana" w:hAnsi="Verdana"/>
          <w:color w:val="000000" w:themeColor="text1"/>
          <w:sz w:val="20"/>
          <w:szCs w:val="20"/>
        </w:rPr>
        <w:t xml:space="preserve"> and capitalize on the renewed commitment of </w:t>
      </w:r>
      <w:r w:rsidR="00D61ACB">
        <w:rPr>
          <w:rFonts w:ascii="Verdana" w:hAnsi="Verdana"/>
          <w:color w:val="000000" w:themeColor="text1"/>
          <w:sz w:val="20"/>
          <w:szCs w:val="20"/>
        </w:rPr>
        <w:t>GRSS</w:t>
      </w:r>
      <w:r w:rsidR="0047543F" w:rsidRPr="003E2544">
        <w:rPr>
          <w:rFonts w:ascii="Verdana" w:hAnsi="Verdana"/>
          <w:color w:val="000000" w:themeColor="text1"/>
          <w:sz w:val="20"/>
          <w:szCs w:val="20"/>
        </w:rPr>
        <w:t xml:space="preserve"> and partners following the formation of </w:t>
      </w:r>
      <w:r w:rsidR="00D61ACB" w:rsidRPr="003E2544">
        <w:rPr>
          <w:rFonts w:ascii="Verdana" w:hAnsi="Verdana"/>
          <w:color w:val="000000"/>
          <w:sz w:val="20"/>
          <w:szCs w:val="20"/>
        </w:rPr>
        <w:t>R-TGoNU</w:t>
      </w:r>
      <w:r w:rsidR="00D61ACB" w:rsidRPr="003E2544" w:rsidDel="00D61ACB">
        <w:rPr>
          <w:rFonts w:ascii="Verdana" w:hAnsi="Verdana"/>
          <w:color w:val="000000" w:themeColor="text1"/>
          <w:sz w:val="20"/>
          <w:szCs w:val="20"/>
        </w:rPr>
        <w:t xml:space="preserve"> </w:t>
      </w:r>
      <w:r w:rsidR="0047543F" w:rsidRPr="003E2544">
        <w:rPr>
          <w:rFonts w:ascii="Verdana" w:hAnsi="Verdana"/>
          <w:color w:val="000000" w:themeColor="text1"/>
          <w:sz w:val="20"/>
          <w:szCs w:val="20"/>
        </w:rPr>
        <w:t>on 22 February to implement the R-ARCSS and NDS.</w:t>
      </w:r>
      <w:r w:rsidR="00451D13" w:rsidRPr="003E2544">
        <w:rPr>
          <w:rFonts w:ascii="Verdana" w:hAnsi="Verdana"/>
          <w:color w:val="000000" w:themeColor="text1"/>
          <w:sz w:val="20"/>
          <w:szCs w:val="20"/>
        </w:rPr>
        <w:t xml:space="preserve"> </w:t>
      </w:r>
    </w:p>
    <w:p w14:paraId="140ABDAC" w14:textId="77777777" w:rsidR="00D61ACB" w:rsidRDefault="00D61ACB" w:rsidP="00245274">
      <w:pPr>
        <w:spacing w:line="240" w:lineRule="auto"/>
        <w:jc w:val="both"/>
        <w:rPr>
          <w:rFonts w:ascii="Verdana" w:hAnsi="Verdana"/>
          <w:color w:val="000000" w:themeColor="text1"/>
          <w:sz w:val="20"/>
          <w:szCs w:val="20"/>
        </w:rPr>
      </w:pPr>
    </w:p>
    <w:p w14:paraId="212CA79B" w14:textId="6A347823" w:rsidR="008A6E6F" w:rsidRDefault="00DE18C4" w:rsidP="00245274">
      <w:pPr>
        <w:spacing w:line="240" w:lineRule="auto"/>
        <w:jc w:val="both"/>
        <w:rPr>
          <w:rFonts w:ascii="Verdana" w:hAnsi="Verdana"/>
          <w:color w:val="000000" w:themeColor="text1"/>
          <w:sz w:val="20"/>
          <w:szCs w:val="20"/>
        </w:rPr>
      </w:pPr>
      <w:r w:rsidRPr="003E2544">
        <w:rPr>
          <w:rFonts w:ascii="Verdana" w:eastAsia="Calibri" w:hAnsi="Verdana" w:cs="Times New Roman"/>
          <w:color w:val="000000" w:themeColor="text1"/>
          <w:sz w:val="20"/>
          <w:szCs w:val="20"/>
          <w:lang w:eastAsia="ja-JP"/>
        </w:rPr>
        <w:t>T</w:t>
      </w:r>
      <w:r w:rsidR="008A6E6F" w:rsidRPr="003E2544">
        <w:rPr>
          <w:rFonts w:ascii="Verdana" w:eastAsia="Calibri" w:hAnsi="Verdana" w:cs="Times New Roman"/>
          <w:color w:val="000000" w:themeColor="text1"/>
          <w:sz w:val="20"/>
          <w:szCs w:val="20"/>
          <w:lang w:eastAsia="ja-JP"/>
        </w:rPr>
        <w:t>he</w:t>
      </w:r>
      <w:r w:rsidR="008C120E" w:rsidRPr="003E2544">
        <w:rPr>
          <w:rFonts w:ascii="Verdana" w:eastAsia="Calibri" w:hAnsi="Verdana" w:cs="Times New Roman"/>
          <w:color w:val="000000" w:themeColor="text1"/>
          <w:sz w:val="20"/>
          <w:szCs w:val="20"/>
          <w:lang w:eastAsia="ja-JP"/>
        </w:rPr>
        <w:t>re are</w:t>
      </w:r>
      <w:r w:rsidR="008A6E6F" w:rsidRPr="003E2544">
        <w:rPr>
          <w:rFonts w:ascii="Verdana" w:hAnsi="Verdana"/>
          <w:color w:val="000000" w:themeColor="text1"/>
          <w:sz w:val="20"/>
          <w:szCs w:val="20"/>
        </w:rPr>
        <w:t xml:space="preserve"> </w:t>
      </w:r>
      <w:r w:rsidR="008C120E" w:rsidRPr="003E2544">
        <w:rPr>
          <w:rFonts w:ascii="Verdana" w:hAnsi="Verdana"/>
          <w:color w:val="000000" w:themeColor="text1"/>
          <w:sz w:val="20"/>
          <w:szCs w:val="20"/>
        </w:rPr>
        <w:t xml:space="preserve">strong </w:t>
      </w:r>
      <w:r w:rsidR="008A6E6F" w:rsidRPr="003E2544">
        <w:rPr>
          <w:rFonts w:ascii="Verdana" w:hAnsi="Verdana"/>
          <w:color w:val="000000" w:themeColor="text1"/>
          <w:sz w:val="20"/>
          <w:szCs w:val="20"/>
        </w:rPr>
        <w:t>prospects that the PUNOs</w:t>
      </w:r>
      <w:r w:rsidR="00D61ACB">
        <w:rPr>
          <w:rFonts w:ascii="Verdana" w:hAnsi="Verdana"/>
          <w:color w:val="000000" w:themeColor="text1"/>
          <w:sz w:val="20"/>
          <w:szCs w:val="20"/>
        </w:rPr>
        <w:t xml:space="preserve"> </w:t>
      </w:r>
      <w:r w:rsidR="0047543F" w:rsidRPr="003E2544">
        <w:rPr>
          <w:rFonts w:ascii="Verdana" w:hAnsi="Verdana"/>
          <w:color w:val="000000" w:themeColor="text1"/>
          <w:sz w:val="20"/>
          <w:szCs w:val="20"/>
        </w:rPr>
        <w:t>which are operating under the UNCF Outcome 1 (Governance) and 3 (Social Services)</w:t>
      </w:r>
      <w:r w:rsidR="008A6E6F" w:rsidRPr="003E2544">
        <w:rPr>
          <w:rFonts w:ascii="Verdana" w:hAnsi="Verdana"/>
          <w:color w:val="000000" w:themeColor="text1"/>
          <w:sz w:val="20"/>
          <w:szCs w:val="20"/>
        </w:rPr>
        <w:t xml:space="preserve"> will </w:t>
      </w:r>
      <w:r w:rsidR="00D61ACB" w:rsidRPr="003E2544">
        <w:rPr>
          <w:rFonts w:ascii="Verdana" w:hAnsi="Verdana"/>
          <w:color w:val="000000" w:themeColor="text1"/>
          <w:sz w:val="20"/>
          <w:szCs w:val="20"/>
        </w:rPr>
        <w:t>mobilize</w:t>
      </w:r>
      <w:r w:rsidR="008A6E6F" w:rsidRPr="003E2544">
        <w:rPr>
          <w:rFonts w:ascii="Verdana" w:hAnsi="Verdana"/>
          <w:color w:val="000000" w:themeColor="text1"/>
          <w:sz w:val="20"/>
          <w:szCs w:val="20"/>
        </w:rPr>
        <w:t xml:space="preserve"> additional resources to complement the JP</w:t>
      </w:r>
      <w:r w:rsidR="00D61ACB">
        <w:rPr>
          <w:rFonts w:ascii="Verdana" w:hAnsi="Verdana"/>
          <w:color w:val="000000" w:themeColor="text1"/>
          <w:sz w:val="20"/>
          <w:szCs w:val="20"/>
        </w:rPr>
        <w:t>. U</w:t>
      </w:r>
      <w:r w:rsidR="008A6E6F" w:rsidRPr="003E2544">
        <w:rPr>
          <w:rFonts w:ascii="Verdana" w:hAnsi="Verdana"/>
          <w:color w:val="000000" w:themeColor="text1"/>
          <w:sz w:val="20"/>
          <w:szCs w:val="20"/>
        </w:rPr>
        <w:t xml:space="preserve">sing </w:t>
      </w:r>
      <w:r w:rsidR="524FB1A9" w:rsidRPr="003E2544">
        <w:rPr>
          <w:rFonts w:ascii="Verdana" w:eastAsia="Calibri" w:hAnsi="Verdana" w:cs="Times New Roman"/>
          <w:color w:val="000000" w:themeColor="text1"/>
          <w:sz w:val="20"/>
          <w:szCs w:val="20"/>
          <w:lang w:eastAsia="ja-JP"/>
        </w:rPr>
        <w:t>their</w:t>
      </w:r>
      <w:r w:rsidR="008A6E6F" w:rsidRPr="003E2544">
        <w:rPr>
          <w:rFonts w:ascii="Verdana" w:hAnsi="Verdana"/>
          <w:color w:val="000000" w:themeColor="text1"/>
          <w:sz w:val="20"/>
          <w:szCs w:val="20"/>
        </w:rPr>
        <w:t xml:space="preserve"> neutral convening power</w:t>
      </w:r>
      <w:r w:rsidR="008C120E" w:rsidRPr="003E2544">
        <w:rPr>
          <w:rFonts w:ascii="Verdana" w:hAnsi="Verdana"/>
          <w:color w:val="000000" w:themeColor="text1"/>
          <w:sz w:val="20"/>
          <w:szCs w:val="20"/>
        </w:rPr>
        <w:t>s</w:t>
      </w:r>
      <w:r w:rsidR="008A6E6F" w:rsidRPr="003E2544">
        <w:rPr>
          <w:rFonts w:ascii="Verdana" w:hAnsi="Verdana"/>
          <w:color w:val="000000" w:themeColor="text1"/>
          <w:sz w:val="20"/>
          <w:szCs w:val="20"/>
        </w:rPr>
        <w:t xml:space="preserve">, </w:t>
      </w:r>
      <w:r w:rsidR="008C120E" w:rsidRPr="003E2544">
        <w:rPr>
          <w:rFonts w:ascii="Verdana" w:hAnsi="Verdana"/>
          <w:color w:val="000000" w:themeColor="text1"/>
          <w:sz w:val="20"/>
          <w:szCs w:val="20"/>
        </w:rPr>
        <w:t xml:space="preserve">through the support of the RCO, the PUNOs </w:t>
      </w:r>
      <w:r w:rsidR="008A6E6F" w:rsidRPr="003E2544">
        <w:rPr>
          <w:rFonts w:ascii="Verdana" w:hAnsi="Verdana"/>
          <w:color w:val="000000" w:themeColor="text1"/>
          <w:sz w:val="20"/>
          <w:szCs w:val="20"/>
        </w:rPr>
        <w:t xml:space="preserve">bring together other UN agencies under the UNCF, </w:t>
      </w:r>
      <w:r w:rsidR="00D61ACB">
        <w:rPr>
          <w:rFonts w:ascii="Verdana" w:hAnsi="Verdana"/>
          <w:color w:val="000000" w:themeColor="text1"/>
          <w:sz w:val="20"/>
          <w:szCs w:val="20"/>
        </w:rPr>
        <w:t xml:space="preserve">as well as </w:t>
      </w:r>
      <w:r w:rsidR="008A6E6F" w:rsidRPr="003E2544">
        <w:rPr>
          <w:rFonts w:ascii="Verdana" w:hAnsi="Verdana"/>
          <w:color w:val="000000" w:themeColor="text1"/>
          <w:sz w:val="20"/>
          <w:szCs w:val="20"/>
        </w:rPr>
        <w:t>donors, IFIs and relevant Ministries such as those representing social service sectors (e.g. Ministr</w:t>
      </w:r>
      <w:r w:rsidR="00D61ACB">
        <w:rPr>
          <w:rFonts w:ascii="Verdana" w:hAnsi="Verdana"/>
          <w:color w:val="000000" w:themeColor="text1"/>
          <w:sz w:val="20"/>
          <w:szCs w:val="20"/>
        </w:rPr>
        <w:t xml:space="preserve">ies </w:t>
      </w:r>
      <w:r w:rsidR="008A6E6F" w:rsidRPr="003E2544">
        <w:rPr>
          <w:rFonts w:ascii="Verdana" w:hAnsi="Verdana"/>
          <w:color w:val="000000" w:themeColor="text1"/>
          <w:sz w:val="20"/>
          <w:szCs w:val="20"/>
        </w:rPr>
        <w:t>of Education, Health, Water, Gender, Child and Social Welfare, Agriculture).</w:t>
      </w:r>
    </w:p>
    <w:p w14:paraId="05C888A7" w14:textId="77777777" w:rsidR="00D61ACB" w:rsidRPr="003E2544" w:rsidRDefault="00D61ACB" w:rsidP="00245274">
      <w:pPr>
        <w:spacing w:line="240" w:lineRule="auto"/>
        <w:jc w:val="both"/>
        <w:rPr>
          <w:rFonts w:ascii="Verdana" w:eastAsia="Calibri" w:hAnsi="Verdana" w:cs="Times New Roman"/>
          <w:color w:val="000000"/>
          <w:sz w:val="20"/>
          <w:szCs w:val="20"/>
          <w:lang w:eastAsia="ja-JP"/>
        </w:rPr>
      </w:pPr>
    </w:p>
    <w:p w14:paraId="2548539A" w14:textId="380D80E3" w:rsidR="00245274" w:rsidRDefault="00245274" w:rsidP="00245274">
      <w:pPr>
        <w:spacing w:line="240" w:lineRule="auto"/>
        <w:jc w:val="both"/>
        <w:rPr>
          <w:rFonts w:ascii="Verdana" w:eastAsia="Calibri" w:hAnsi="Verdana" w:cs="Times New Roman"/>
          <w:sz w:val="20"/>
          <w:szCs w:val="20"/>
        </w:rPr>
      </w:pPr>
      <w:r>
        <w:rPr>
          <w:rFonts w:ascii="Verdana" w:eastAsia="Calibri" w:hAnsi="Verdana"/>
          <w:sz w:val="20"/>
          <w:szCs w:val="20"/>
        </w:rPr>
        <w:t xml:space="preserve">The JP has budgeted </w:t>
      </w:r>
      <w:r w:rsidRPr="00852A5B">
        <w:rPr>
          <w:rFonts w:ascii="Verdana" w:eastAsia="Calibri" w:hAnsi="Verdana"/>
          <w:sz w:val="20"/>
          <w:szCs w:val="20"/>
        </w:rPr>
        <w:t>67</w:t>
      </w:r>
      <w:r>
        <w:rPr>
          <w:rFonts w:ascii="Verdana" w:eastAsia="Calibri" w:hAnsi="Verdana"/>
          <w:sz w:val="20"/>
          <w:szCs w:val="20"/>
        </w:rPr>
        <w:t xml:space="preserve"> per cent</w:t>
      </w:r>
      <w:r w:rsidRPr="00852A5B">
        <w:rPr>
          <w:rFonts w:ascii="Verdana" w:eastAsia="Calibri" w:hAnsi="Verdana"/>
          <w:sz w:val="20"/>
          <w:szCs w:val="20"/>
        </w:rPr>
        <w:t xml:space="preserve"> (USD 1,395,537) of the total budget (USD 2,123,051) for gender equality or women’s empowerment (See Annex </w:t>
      </w:r>
      <w:r>
        <w:rPr>
          <w:rFonts w:ascii="Verdana" w:eastAsia="Calibri" w:hAnsi="Verdana"/>
          <w:sz w:val="20"/>
          <w:szCs w:val="20"/>
        </w:rPr>
        <w:t>4</w:t>
      </w:r>
      <w:r w:rsidRPr="00852A5B">
        <w:rPr>
          <w:rFonts w:ascii="Verdana" w:eastAsia="Calibri" w:hAnsi="Verdana"/>
          <w:sz w:val="20"/>
          <w:szCs w:val="20"/>
        </w:rPr>
        <w:t xml:space="preserve"> Gender </w:t>
      </w:r>
      <w:r>
        <w:rPr>
          <w:rFonts w:ascii="Verdana" w:eastAsia="Calibri" w:hAnsi="Verdana"/>
          <w:sz w:val="20"/>
          <w:szCs w:val="20"/>
        </w:rPr>
        <w:t>M</w:t>
      </w:r>
      <w:r w:rsidRPr="00852A5B">
        <w:rPr>
          <w:rFonts w:ascii="Verdana" w:eastAsia="Calibri" w:hAnsi="Verdana"/>
          <w:sz w:val="20"/>
          <w:szCs w:val="20"/>
        </w:rPr>
        <w:t xml:space="preserve">arker </w:t>
      </w:r>
      <w:r>
        <w:rPr>
          <w:rFonts w:ascii="Verdana" w:eastAsia="Calibri" w:hAnsi="Verdana"/>
          <w:sz w:val="20"/>
          <w:szCs w:val="20"/>
        </w:rPr>
        <w:t>M</w:t>
      </w:r>
      <w:r w:rsidRPr="00852A5B">
        <w:rPr>
          <w:rFonts w:ascii="Verdana" w:eastAsia="Calibri" w:hAnsi="Verdana"/>
          <w:sz w:val="20"/>
          <w:szCs w:val="20"/>
        </w:rPr>
        <w:t>atrix)</w:t>
      </w:r>
      <w:r>
        <w:rPr>
          <w:rFonts w:ascii="Verdana" w:eastAsia="Calibri" w:hAnsi="Verdana"/>
          <w:sz w:val="20"/>
          <w:szCs w:val="20"/>
        </w:rPr>
        <w:t xml:space="preserve">. The JP </w:t>
      </w:r>
      <w:r w:rsidRPr="00852A5B">
        <w:rPr>
          <w:rFonts w:ascii="Verdana" w:eastAsia="Calibri" w:hAnsi="Verdana"/>
          <w:sz w:val="20"/>
          <w:szCs w:val="20"/>
        </w:rPr>
        <w:t xml:space="preserve">Output 2: 22 strengthened and gender-responsive PFM institutions at national and sub-national levels especially targeting Central Equatoria, Western Equatoria and Northern Bahr </w:t>
      </w:r>
      <w:r w:rsidRPr="00852A5B">
        <w:rPr>
          <w:rFonts w:ascii="Verdana" w:eastAsia="Calibri" w:hAnsi="Verdana"/>
          <w:sz w:val="20"/>
          <w:szCs w:val="20"/>
        </w:rPr>
        <w:lastRenderedPageBreak/>
        <w:t>el Ghazal states by 202</w:t>
      </w:r>
      <w:r w:rsidR="0034258E">
        <w:rPr>
          <w:rFonts w:ascii="Verdana" w:eastAsia="Calibri" w:hAnsi="Verdana"/>
          <w:sz w:val="20"/>
          <w:szCs w:val="20"/>
        </w:rPr>
        <w:t>2</w:t>
      </w:r>
      <w:r w:rsidRPr="00852A5B">
        <w:rPr>
          <w:rFonts w:ascii="Verdana" w:eastAsia="Calibri" w:hAnsi="Verdana"/>
          <w:sz w:val="20"/>
          <w:szCs w:val="20"/>
        </w:rPr>
        <w:t xml:space="preserve"> and </w:t>
      </w:r>
      <w:r>
        <w:rPr>
          <w:rFonts w:ascii="Verdana" w:eastAsia="Calibri" w:hAnsi="Verdana"/>
          <w:sz w:val="20"/>
          <w:szCs w:val="20"/>
        </w:rPr>
        <w:t xml:space="preserve">the </w:t>
      </w:r>
      <w:r w:rsidRPr="00D72E3D">
        <w:rPr>
          <w:rFonts w:ascii="Verdana" w:eastAsia="Calibri" w:hAnsi="Verdana"/>
          <w:sz w:val="20"/>
          <w:szCs w:val="20"/>
        </w:rPr>
        <w:t>activities</w:t>
      </w:r>
      <w:r>
        <w:rPr>
          <w:rFonts w:ascii="Verdana" w:eastAsia="Calibri" w:hAnsi="Verdana"/>
          <w:sz w:val="20"/>
          <w:szCs w:val="20"/>
        </w:rPr>
        <w:t xml:space="preserve"> </w:t>
      </w:r>
      <w:r w:rsidRPr="00D72E3D">
        <w:rPr>
          <w:rFonts w:ascii="Verdana" w:eastAsia="Calibri" w:hAnsi="Verdana"/>
          <w:sz w:val="20"/>
          <w:szCs w:val="20"/>
        </w:rPr>
        <w:t>1.1, 1.5, 2.1, 2.2, 2.3, 2.4, 2.5, 3.1, 3.2, 3.3, 3.4, 3.5, 3.6, 3.7, 3.8, 3.9, 3.12</w:t>
      </w:r>
      <w:r>
        <w:rPr>
          <w:rFonts w:ascii="Verdana" w:eastAsia="Calibri" w:hAnsi="Verdana"/>
          <w:sz w:val="20"/>
          <w:szCs w:val="20"/>
        </w:rPr>
        <w:t xml:space="preserve"> (Annex 5</w:t>
      </w:r>
      <w:r w:rsidRPr="006850F4">
        <w:rPr>
          <w:rFonts w:ascii="Verdana" w:eastAsia="Calibri" w:hAnsi="Verdana"/>
          <w:sz w:val="20"/>
          <w:szCs w:val="20"/>
        </w:rPr>
        <w:t>.3 Work plan</w:t>
      </w:r>
      <w:r>
        <w:rPr>
          <w:rFonts w:ascii="Verdana" w:eastAsia="Calibri" w:hAnsi="Verdana"/>
          <w:sz w:val="20"/>
          <w:szCs w:val="20"/>
        </w:rPr>
        <w:t xml:space="preserve">) </w:t>
      </w:r>
      <w:r w:rsidRPr="00852A5B">
        <w:rPr>
          <w:rFonts w:ascii="Verdana" w:eastAsia="Calibri" w:hAnsi="Verdana"/>
          <w:sz w:val="20"/>
          <w:szCs w:val="20"/>
        </w:rPr>
        <w:t xml:space="preserve">contributes to </w:t>
      </w:r>
      <w:r w:rsidRPr="00F644A3">
        <w:rPr>
          <w:rFonts w:ascii="Verdana" w:eastAsia="Calibri" w:hAnsi="Verdana"/>
          <w:sz w:val="20"/>
          <w:szCs w:val="20"/>
        </w:rPr>
        <w:t>gender equality or women’s empowerment</w:t>
      </w:r>
      <w:r>
        <w:rPr>
          <w:rFonts w:ascii="Verdana" w:eastAsia="Calibri" w:hAnsi="Verdana"/>
          <w:sz w:val="20"/>
          <w:szCs w:val="20"/>
        </w:rPr>
        <w:t xml:space="preserve">. </w:t>
      </w:r>
    </w:p>
    <w:p w14:paraId="62374E8E" w14:textId="77777777" w:rsidR="00245274" w:rsidRDefault="00245274" w:rsidP="00245274">
      <w:pPr>
        <w:spacing w:line="240" w:lineRule="auto"/>
        <w:jc w:val="both"/>
        <w:rPr>
          <w:rFonts w:ascii="Verdana" w:eastAsia="Calibri" w:hAnsi="Verdana" w:cs="Times New Roman"/>
          <w:sz w:val="20"/>
          <w:szCs w:val="20"/>
        </w:rPr>
      </w:pPr>
    </w:p>
    <w:p w14:paraId="018C3C4E" w14:textId="191061C1" w:rsidR="00506C13" w:rsidRPr="003E2544" w:rsidRDefault="00506C13" w:rsidP="00245274">
      <w:pPr>
        <w:spacing w:line="240" w:lineRule="auto"/>
        <w:jc w:val="both"/>
        <w:rPr>
          <w:rFonts w:ascii="Verdana" w:eastAsia="Calibri" w:hAnsi="Verdana" w:cs="Times New Roman"/>
          <w:i/>
          <w:iCs/>
          <w:color w:val="C45911" w:themeColor="accent2" w:themeShade="BF"/>
          <w:sz w:val="20"/>
          <w:szCs w:val="20"/>
        </w:rPr>
      </w:pPr>
      <w:r w:rsidRPr="003E2544">
        <w:rPr>
          <w:rFonts w:ascii="Verdana" w:eastAsia="Calibri" w:hAnsi="Verdana" w:cs="Times New Roman"/>
          <w:sz w:val="20"/>
          <w:szCs w:val="20"/>
        </w:rPr>
        <w:t xml:space="preserve">The training and mentoring components of the JP require contracting accommodation, catering and venue hire. The JP </w:t>
      </w:r>
      <w:r w:rsidR="00245274">
        <w:rPr>
          <w:rFonts w:ascii="Verdana" w:eastAsia="Calibri" w:hAnsi="Verdana" w:cs="Times New Roman"/>
          <w:sz w:val="20"/>
          <w:szCs w:val="20"/>
        </w:rPr>
        <w:t>will</w:t>
      </w:r>
      <w:r w:rsidR="00245274" w:rsidRPr="003E2544">
        <w:rPr>
          <w:rFonts w:ascii="Verdana" w:eastAsia="Calibri" w:hAnsi="Verdana" w:cs="Times New Roman"/>
          <w:sz w:val="20"/>
          <w:szCs w:val="20"/>
        </w:rPr>
        <w:t xml:space="preserve"> </w:t>
      </w:r>
      <w:r w:rsidRPr="003E2544">
        <w:rPr>
          <w:rFonts w:ascii="Verdana" w:eastAsia="Calibri" w:hAnsi="Verdana" w:cs="Times New Roman"/>
          <w:sz w:val="20"/>
          <w:szCs w:val="20"/>
        </w:rPr>
        <w:t>use this opportunity to promote women</w:t>
      </w:r>
      <w:r w:rsidR="00D61ACB">
        <w:rPr>
          <w:rFonts w:ascii="Verdana" w:eastAsia="Calibri" w:hAnsi="Verdana" w:cs="Times New Roman"/>
          <w:sz w:val="20"/>
          <w:szCs w:val="20"/>
        </w:rPr>
        <w:t>-</w:t>
      </w:r>
      <w:r w:rsidRPr="003E2544">
        <w:rPr>
          <w:rFonts w:ascii="Verdana" w:eastAsia="Calibri" w:hAnsi="Verdana" w:cs="Times New Roman"/>
          <w:sz w:val="20"/>
          <w:szCs w:val="20"/>
        </w:rPr>
        <w:t>run businesses and ensure the providers have good employment practices, and in this way indirectly promote the SDGs</w:t>
      </w:r>
      <w:r w:rsidRPr="003E2544">
        <w:rPr>
          <w:rFonts w:ascii="Verdana" w:eastAsia="Calibri" w:hAnsi="Verdana" w:cs="Times New Roman"/>
          <w:i/>
          <w:iCs/>
          <w:color w:val="C45911" w:themeColor="accent2" w:themeShade="BF"/>
          <w:sz w:val="20"/>
          <w:szCs w:val="20"/>
        </w:rPr>
        <w:t>.</w:t>
      </w:r>
    </w:p>
    <w:p w14:paraId="062D5932" w14:textId="14C39481" w:rsidR="0018332F" w:rsidRPr="003E2544" w:rsidRDefault="0018332F" w:rsidP="00245274">
      <w:pPr>
        <w:spacing w:line="240" w:lineRule="auto"/>
        <w:jc w:val="both"/>
        <w:rPr>
          <w:rFonts w:ascii="Verdana" w:eastAsia="Calibri" w:hAnsi="Verdana" w:cs="Times New Roman"/>
          <w:i/>
          <w:iCs/>
          <w:color w:val="C45911" w:themeColor="accent2" w:themeShade="BF"/>
          <w:sz w:val="20"/>
          <w:szCs w:val="20"/>
        </w:rPr>
      </w:pPr>
    </w:p>
    <w:p w14:paraId="33CD5F12" w14:textId="738D11C3" w:rsidR="004056E5" w:rsidRPr="00852A5B" w:rsidRDefault="004056E5" w:rsidP="00852A5B">
      <w:pPr>
        <w:spacing w:line="240" w:lineRule="auto"/>
        <w:jc w:val="both"/>
        <w:rPr>
          <w:rFonts w:ascii="Verdana" w:eastAsia="Calibri" w:hAnsi="Verdana" w:cs="Calibri"/>
          <w:bCs/>
          <w:sz w:val="20"/>
          <w:szCs w:val="20"/>
        </w:rPr>
      </w:pPr>
      <w:r w:rsidRPr="00852A5B">
        <w:rPr>
          <w:rFonts w:ascii="Verdana" w:eastAsia="Calibri" w:hAnsi="Verdana" w:cs="Calibri"/>
          <w:bCs/>
          <w:sz w:val="20"/>
          <w:szCs w:val="20"/>
        </w:rPr>
        <w:t xml:space="preserve">Some of the costs for </w:t>
      </w:r>
      <w:r w:rsidR="00D61ACB" w:rsidRPr="00852A5B">
        <w:rPr>
          <w:rFonts w:ascii="Verdana" w:eastAsia="Calibri" w:hAnsi="Verdana" w:cs="Calibri"/>
          <w:bCs/>
          <w:sz w:val="20"/>
          <w:szCs w:val="20"/>
        </w:rPr>
        <w:t>o</w:t>
      </w:r>
      <w:r w:rsidRPr="00852A5B">
        <w:rPr>
          <w:rFonts w:ascii="Verdana" w:eastAsia="Calibri" w:hAnsi="Verdana" w:cs="Calibri"/>
          <w:bCs/>
          <w:sz w:val="20"/>
          <w:szCs w:val="20"/>
        </w:rPr>
        <w:t xml:space="preserve">peration and regular monitoring will </w:t>
      </w:r>
      <w:r w:rsidR="00D61ACB" w:rsidRPr="00852A5B">
        <w:rPr>
          <w:rFonts w:ascii="Verdana" w:eastAsia="Calibri" w:hAnsi="Verdana" w:cs="Calibri"/>
          <w:bCs/>
          <w:sz w:val="20"/>
          <w:szCs w:val="20"/>
        </w:rPr>
        <w:t xml:space="preserve">be </w:t>
      </w:r>
      <w:r w:rsidRPr="00852A5B">
        <w:rPr>
          <w:rFonts w:ascii="Verdana" w:eastAsia="Calibri" w:hAnsi="Verdana" w:cs="Calibri"/>
          <w:bCs/>
          <w:sz w:val="20"/>
          <w:szCs w:val="20"/>
        </w:rPr>
        <w:t>covered by other</w:t>
      </w:r>
      <w:r w:rsidR="00D61ACB">
        <w:rPr>
          <w:rFonts w:ascii="Verdana" w:eastAsia="Calibri" w:hAnsi="Verdana" w:cs="Calibri"/>
          <w:bCs/>
          <w:sz w:val="20"/>
          <w:szCs w:val="20"/>
        </w:rPr>
        <w:t xml:space="preserve"> </w:t>
      </w:r>
      <w:r w:rsidRPr="00852A5B">
        <w:rPr>
          <w:rFonts w:ascii="Verdana" w:eastAsia="Calibri" w:hAnsi="Verdana" w:cs="Calibri"/>
          <w:bCs/>
          <w:sz w:val="20"/>
          <w:szCs w:val="20"/>
        </w:rPr>
        <w:t>complementing</w:t>
      </w:r>
      <w:r w:rsidR="00D61ACB">
        <w:rPr>
          <w:rFonts w:ascii="Verdana" w:eastAsia="Calibri" w:hAnsi="Verdana" w:cs="Calibri"/>
          <w:bCs/>
          <w:sz w:val="20"/>
          <w:szCs w:val="20"/>
        </w:rPr>
        <w:t xml:space="preserve"> </w:t>
      </w:r>
      <w:r w:rsidRPr="00852A5B">
        <w:rPr>
          <w:rFonts w:ascii="Verdana" w:eastAsia="Calibri" w:hAnsi="Verdana" w:cs="Calibri"/>
          <w:bCs/>
          <w:sz w:val="20"/>
          <w:szCs w:val="20"/>
        </w:rPr>
        <w:t xml:space="preserve">projects </w:t>
      </w:r>
      <w:r w:rsidR="00D61ACB" w:rsidRPr="00852A5B">
        <w:rPr>
          <w:rFonts w:ascii="Verdana" w:eastAsia="Calibri" w:hAnsi="Verdana" w:cs="Calibri"/>
          <w:bCs/>
          <w:sz w:val="20"/>
          <w:szCs w:val="20"/>
        </w:rPr>
        <w:t xml:space="preserve">detailed </w:t>
      </w:r>
      <w:r w:rsidRPr="00852A5B">
        <w:rPr>
          <w:rFonts w:ascii="Verdana" w:eastAsia="Calibri" w:hAnsi="Verdana" w:cs="Calibri"/>
          <w:bCs/>
          <w:sz w:val="20"/>
          <w:szCs w:val="20"/>
        </w:rPr>
        <w:t>in Annex 1. List of related initiatives</w:t>
      </w:r>
      <w:r w:rsidR="00D61ACB" w:rsidRPr="00852A5B">
        <w:rPr>
          <w:rFonts w:ascii="Verdana" w:eastAsia="Calibri" w:hAnsi="Verdana" w:cs="Calibri"/>
          <w:bCs/>
          <w:sz w:val="20"/>
          <w:szCs w:val="20"/>
        </w:rPr>
        <w:t>.</w:t>
      </w:r>
    </w:p>
    <w:p w14:paraId="03F8AB0E" w14:textId="77777777" w:rsidR="004056E5" w:rsidRPr="003E2544" w:rsidRDefault="004056E5" w:rsidP="00245274">
      <w:pPr>
        <w:spacing w:line="240" w:lineRule="auto"/>
        <w:rPr>
          <w:rFonts w:ascii="Verdana" w:eastAsia="Calibri" w:hAnsi="Verdana" w:cs="Calibri"/>
          <w:bCs/>
          <w:sz w:val="18"/>
          <w:szCs w:val="18"/>
        </w:rPr>
      </w:pPr>
    </w:p>
    <w:p w14:paraId="763FDF18" w14:textId="14AD78E6" w:rsidR="00C8224B" w:rsidRPr="003E2544" w:rsidRDefault="008A6E6F" w:rsidP="00245274">
      <w:pPr>
        <w:spacing w:line="240" w:lineRule="auto"/>
        <w:jc w:val="both"/>
        <w:rPr>
          <w:rFonts w:ascii="Verdana" w:eastAsia="Calibri" w:hAnsi="Verdana" w:cs="Times New Roman"/>
          <w:sz w:val="20"/>
          <w:szCs w:val="20"/>
        </w:rPr>
      </w:pPr>
      <w:r w:rsidRPr="003E2544">
        <w:rPr>
          <w:rFonts w:ascii="Verdana" w:eastAsia="Calibri" w:hAnsi="Verdana" w:cs="Times New Roman"/>
          <w:sz w:val="20"/>
          <w:szCs w:val="20"/>
        </w:rPr>
        <w:t>T</w:t>
      </w:r>
      <w:r w:rsidR="00C8224B" w:rsidRPr="003E2544">
        <w:rPr>
          <w:rFonts w:ascii="Verdana" w:eastAsia="Calibri" w:hAnsi="Verdana" w:cs="Times New Roman"/>
          <w:sz w:val="20"/>
          <w:szCs w:val="20"/>
        </w:rPr>
        <w:t xml:space="preserve">he </w:t>
      </w:r>
      <w:r w:rsidR="0037427F">
        <w:rPr>
          <w:rFonts w:ascii="Verdana" w:eastAsia="Calibri" w:hAnsi="Verdana" w:cs="Times New Roman"/>
          <w:sz w:val="20"/>
          <w:szCs w:val="20"/>
        </w:rPr>
        <w:t xml:space="preserve">JP </w:t>
      </w:r>
      <w:r w:rsidR="0037427F" w:rsidRPr="003E2544">
        <w:rPr>
          <w:rFonts w:ascii="Verdana" w:eastAsia="Calibri" w:hAnsi="Verdana" w:cs="Times New Roman"/>
          <w:sz w:val="20"/>
          <w:szCs w:val="20"/>
        </w:rPr>
        <w:t xml:space="preserve">provides an </w:t>
      </w:r>
      <w:r w:rsidR="00245274">
        <w:rPr>
          <w:rFonts w:ascii="Verdana" w:eastAsia="Calibri" w:hAnsi="Verdana" w:cs="Times New Roman"/>
          <w:sz w:val="20"/>
          <w:szCs w:val="20"/>
        </w:rPr>
        <w:t xml:space="preserve">important </w:t>
      </w:r>
      <w:r w:rsidR="0037427F" w:rsidRPr="003E2544">
        <w:rPr>
          <w:rFonts w:ascii="Verdana" w:eastAsia="Calibri" w:hAnsi="Verdana" w:cs="Times New Roman"/>
          <w:sz w:val="20"/>
          <w:szCs w:val="20"/>
        </w:rPr>
        <w:t xml:space="preserve">opportunity for the PUNOs to cooperate in </w:t>
      </w:r>
      <w:r w:rsidR="00245274" w:rsidRPr="003E2544">
        <w:rPr>
          <w:rFonts w:ascii="Verdana" w:eastAsia="Calibri" w:hAnsi="Verdana" w:cs="Times New Roman"/>
          <w:sz w:val="20"/>
          <w:szCs w:val="20"/>
        </w:rPr>
        <w:t xml:space="preserve">financing the SDGs </w:t>
      </w:r>
      <w:r w:rsidR="00245274">
        <w:rPr>
          <w:rFonts w:ascii="Verdana" w:eastAsia="Calibri" w:hAnsi="Verdana" w:cs="Times New Roman"/>
          <w:sz w:val="20"/>
          <w:szCs w:val="20"/>
        </w:rPr>
        <w:t xml:space="preserve">through </w:t>
      </w:r>
      <w:r w:rsidR="0037427F" w:rsidRPr="003E2544">
        <w:rPr>
          <w:rFonts w:ascii="Verdana" w:eastAsia="Calibri" w:hAnsi="Verdana" w:cs="Times New Roman"/>
          <w:sz w:val="20"/>
          <w:szCs w:val="20"/>
        </w:rPr>
        <w:t>a cost-effective integrated approach</w:t>
      </w:r>
      <w:r w:rsidR="0037427F">
        <w:rPr>
          <w:rFonts w:ascii="Verdana" w:eastAsia="Calibri" w:hAnsi="Verdana" w:cs="Times New Roman"/>
          <w:sz w:val="20"/>
          <w:szCs w:val="20"/>
        </w:rPr>
        <w:t>,</w:t>
      </w:r>
      <w:r w:rsidR="0037427F" w:rsidRPr="003E2544">
        <w:rPr>
          <w:rFonts w:ascii="Verdana" w:eastAsia="Calibri" w:hAnsi="Verdana" w:cs="Times New Roman"/>
          <w:sz w:val="20"/>
          <w:szCs w:val="20"/>
        </w:rPr>
        <w:t xml:space="preserve"> </w:t>
      </w:r>
      <w:r w:rsidR="0037427F">
        <w:rPr>
          <w:rFonts w:ascii="Verdana" w:eastAsia="Calibri" w:hAnsi="Verdana" w:cs="Times New Roman"/>
          <w:sz w:val="20"/>
          <w:szCs w:val="20"/>
        </w:rPr>
        <w:t xml:space="preserve">and its success will </w:t>
      </w:r>
      <w:r w:rsidR="008C39D1" w:rsidRPr="003E2544">
        <w:rPr>
          <w:rFonts w:ascii="Verdana" w:eastAsia="Calibri" w:hAnsi="Verdana" w:cs="Times New Roman"/>
          <w:sz w:val="20"/>
          <w:szCs w:val="20"/>
        </w:rPr>
        <w:t xml:space="preserve">build foundations for leveraging additional financing toward achieving the SDGs. </w:t>
      </w:r>
      <w:r w:rsidR="0057164A" w:rsidRPr="003E2544">
        <w:rPr>
          <w:rFonts w:ascii="Verdana" w:eastAsia="Calibri" w:hAnsi="Verdana" w:cs="Times New Roman"/>
          <w:sz w:val="20"/>
          <w:szCs w:val="20"/>
        </w:rPr>
        <w:t xml:space="preserve">A briefing on the draft </w:t>
      </w:r>
      <w:r w:rsidR="0037427F">
        <w:rPr>
          <w:rFonts w:ascii="Verdana" w:eastAsia="Calibri" w:hAnsi="Verdana" w:cs="Times New Roman"/>
          <w:sz w:val="20"/>
          <w:szCs w:val="20"/>
        </w:rPr>
        <w:t>JP</w:t>
      </w:r>
      <w:r w:rsidR="0057164A" w:rsidRPr="003E2544">
        <w:rPr>
          <w:rFonts w:ascii="Verdana" w:eastAsia="Calibri" w:hAnsi="Verdana" w:cs="Times New Roman"/>
          <w:sz w:val="20"/>
          <w:szCs w:val="20"/>
        </w:rPr>
        <w:t xml:space="preserve"> </w:t>
      </w:r>
      <w:proofErr w:type="spellStart"/>
      <w:r w:rsidR="0057164A" w:rsidRPr="003E2544">
        <w:rPr>
          <w:rFonts w:ascii="Verdana" w:eastAsia="Calibri" w:hAnsi="Verdana" w:cs="Times New Roman"/>
          <w:sz w:val="20"/>
          <w:szCs w:val="20"/>
        </w:rPr>
        <w:t>ToC</w:t>
      </w:r>
      <w:proofErr w:type="spellEnd"/>
      <w:r w:rsidR="0057164A" w:rsidRPr="003E2544">
        <w:rPr>
          <w:rFonts w:ascii="Verdana" w:eastAsia="Calibri" w:hAnsi="Verdana" w:cs="Times New Roman"/>
          <w:sz w:val="20"/>
          <w:szCs w:val="20"/>
        </w:rPr>
        <w:t xml:space="preserve"> was presented to the </w:t>
      </w:r>
      <w:r w:rsidR="0037427F">
        <w:rPr>
          <w:rFonts w:ascii="Verdana" w:eastAsia="Calibri" w:hAnsi="Verdana" w:cs="Times New Roman"/>
          <w:sz w:val="20"/>
          <w:szCs w:val="20"/>
        </w:rPr>
        <w:t>PDWG</w:t>
      </w:r>
      <w:r w:rsidR="0057164A" w:rsidRPr="003E2544">
        <w:rPr>
          <w:rFonts w:ascii="Verdana" w:eastAsia="Calibri" w:hAnsi="Verdana" w:cs="Times New Roman"/>
          <w:sz w:val="20"/>
          <w:szCs w:val="20"/>
        </w:rPr>
        <w:t xml:space="preserve"> in February 2020</w:t>
      </w:r>
      <w:r w:rsidR="0037427F">
        <w:rPr>
          <w:rFonts w:ascii="Verdana" w:eastAsia="Calibri" w:hAnsi="Verdana" w:cs="Times New Roman"/>
          <w:sz w:val="20"/>
          <w:szCs w:val="20"/>
        </w:rPr>
        <w:t xml:space="preserve"> </w:t>
      </w:r>
      <w:r w:rsidR="0057164A" w:rsidRPr="003E2544">
        <w:rPr>
          <w:rFonts w:ascii="Verdana" w:eastAsia="Calibri" w:hAnsi="Verdana" w:cs="Times New Roman"/>
          <w:sz w:val="20"/>
          <w:szCs w:val="20"/>
        </w:rPr>
        <w:t xml:space="preserve">to ensure other PFM actors such as World Bank, AfDB and </w:t>
      </w:r>
      <w:r w:rsidR="0037427F">
        <w:rPr>
          <w:rFonts w:ascii="Verdana" w:eastAsia="Calibri" w:hAnsi="Verdana" w:cs="Times New Roman"/>
          <w:sz w:val="20"/>
          <w:szCs w:val="20"/>
        </w:rPr>
        <w:t xml:space="preserve">relevant </w:t>
      </w:r>
      <w:r w:rsidR="0057164A" w:rsidRPr="003E2544">
        <w:rPr>
          <w:rFonts w:ascii="Verdana" w:eastAsia="Calibri" w:hAnsi="Verdana" w:cs="Times New Roman"/>
          <w:sz w:val="20"/>
          <w:szCs w:val="20"/>
        </w:rPr>
        <w:t xml:space="preserve">donor supported programmes (e.g. Norway, Japan) can be leveraged. </w:t>
      </w:r>
    </w:p>
    <w:p w14:paraId="45EAC7C8" w14:textId="77777777" w:rsidR="00990A47" w:rsidRPr="003E2544" w:rsidRDefault="00990A47" w:rsidP="00245274">
      <w:pPr>
        <w:spacing w:line="240" w:lineRule="auto"/>
        <w:rPr>
          <w:rFonts w:ascii="Verdana" w:eastAsia="Calibri" w:hAnsi="Verdana" w:cs="Times New Roman"/>
          <w:i/>
          <w:color w:val="C45911" w:themeColor="accent2" w:themeShade="BF"/>
          <w:sz w:val="18"/>
          <w:szCs w:val="18"/>
        </w:rPr>
      </w:pPr>
    </w:p>
    <w:p w14:paraId="34938884" w14:textId="434187DD" w:rsidR="00272BF8" w:rsidRPr="003E2544" w:rsidRDefault="00272BF8" w:rsidP="00852A5B">
      <w:pPr>
        <w:pStyle w:val="Heading3"/>
        <w:spacing w:line="240" w:lineRule="auto"/>
      </w:pPr>
      <w:r w:rsidRPr="003E2544">
        <w:t xml:space="preserve">2.5 </w:t>
      </w:r>
      <w:bookmarkStart w:id="6" w:name="_Hlk33610248"/>
      <w:r w:rsidRPr="003E2544">
        <w:t>Partnerships and stakeholder engagement</w:t>
      </w:r>
      <w:bookmarkEnd w:id="6"/>
    </w:p>
    <w:p w14:paraId="56EF5BA4" w14:textId="2019D4F9" w:rsidR="002B13ED" w:rsidRPr="003E2544" w:rsidRDefault="002B13ED" w:rsidP="00245274">
      <w:pPr>
        <w:spacing w:line="240" w:lineRule="auto"/>
        <w:rPr>
          <w:rFonts w:ascii="Verdana" w:eastAsia="Calibri" w:hAnsi="Verdana" w:cs="Times New Roman"/>
          <w:b/>
          <w:bCs/>
          <w:color w:val="000000" w:themeColor="text1"/>
          <w:sz w:val="18"/>
          <w:szCs w:val="18"/>
        </w:rPr>
      </w:pPr>
    </w:p>
    <w:p w14:paraId="0ACABC60" w14:textId="0FAF01D8" w:rsidR="00674BB6" w:rsidRPr="003E2544" w:rsidRDefault="007F693A" w:rsidP="00245274">
      <w:pPr>
        <w:spacing w:line="240" w:lineRule="auto"/>
        <w:jc w:val="both"/>
        <w:rPr>
          <w:rFonts w:ascii="Verdana" w:hAnsi="Verdana"/>
          <w:sz w:val="20"/>
          <w:szCs w:val="20"/>
        </w:rPr>
      </w:pPr>
      <w:r w:rsidRPr="003E2544">
        <w:rPr>
          <w:rFonts w:ascii="Verdana" w:hAnsi="Verdana"/>
          <w:sz w:val="20"/>
          <w:szCs w:val="20"/>
        </w:rPr>
        <w:t>Leadership by government is vital to the success</w:t>
      </w:r>
      <w:r w:rsidR="5CC99A2B" w:rsidRPr="003E2544">
        <w:rPr>
          <w:rFonts w:ascii="Verdana" w:hAnsi="Verdana"/>
          <w:sz w:val="20"/>
          <w:szCs w:val="20"/>
        </w:rPr>
        <w:t>ful</w:t>
      </w:r>
      <w:r w:rsidRPr="003E2544">
        <w:rPr>
          <w:rFonts w:ascii="Verdana" w:hAnsi="Verdana"/>
          <w:sz w:val="20"/>
          <w:szCs w:val="20"/>
        </w:rPr>
        <w:t xml:space="preserve"> implementation </w:t>
      </w:r>
      <w:r w:rsidR="50FEBE22" w:rsidRPr="003E2544">
        <w:rPr>
          <w:rFonts w:ascii="Verdana" w:hAnsi="Verdana"/>
          <w:sz w:val="20"/>
          <w:szCs w:val="20"/>
        </w:rPr>
        <w:t>of a program</w:t>
      </w:r>
      <w:r w:rsidR="00AB1741">
        <w:rPr>
          <w:rFonts w:ascii="Verdana" w:hAnsi="Verdana"/>
          <w:sz w:val="20"/>
          <w:szCs w:val="20"/>
        </w:rPr>
        <w:t>me</w:t>
      </w:r>
      <w:r w:rsidR="50FEBE22" w:rsidRPr="003E2544">
        <w:rPr>
          <w:rFonts w:ascii="Verdana" w:hAnsi="Verdana"/>
          <w:sz w:val="20"/>
          <w:szCs w:val="20"/>
        </w:rPr>
        <w:t xml:space="preserve"> of this nature</w:t>
      </w:r>
      <w:r w:rsidRPr="003E2544">
        <w:rPr>
          <w:rFonts w:ascii="Verdana" w:hAnsi="Verdana"/>
          <w:sz w:val="20"/>
          <w:szCs w:val="20"/>
        </w:rPr>
        <w:t xml:space="preserve">. In this new government dispensation, the focus of this SDG intervention needs to be on the long-term goal of rebuilding robust </w:t>
      </w:r>
      <w:r w:rsidR="008C39D1" w:rsidRPr="003E2544">
        <w:rPr>
          <w:rFonts w:ascii="Verdana" w:hAnsi="Verdana"/>
          <w:sz w:val="20"/>
          <w:szCs w:val="20"/>
        </w:rPr>
        <w:t>finance i</w:t>
      </w:r>
      <w:r w:rsidRPr="003E2544">
        <w:rPr>
          <w:rFonts w:ascii="Verdana" w:hAnsi="Verdana"/>
          <w:sz w:val="20"/>
          <w:szCs w:val="20"/>
        </w:rPr>
        <w:t xml:space="preserve">nstitutions, and </w:t>
      </w:r>
      <w:r w:rsidR="00AB1741">
        <w:rPr>
          <w:rFonts w:ascii="Verdana" w:hAnsi="Verdana"/>
          <w:sz w:val="20"/>
          <w:szCs w:val="20"/>
        </w:rPr>
        <w:t>g</w:t>
      </w:r>
      <w:r w:rsidRPr="003E2544">
        <w:rPr>
          <w:rFonts w:ascii="Verdana" w:hAnsi="Verdana"/>
          <w:sz w:val="20"/>
          <w:szCs w:val="20"/>
        </w:rPr>
        <w:t>overnment</w:t>
      </w:r>
      <w:r w:rsidR="00AB1741">
        <w:rPr>
          <w:rFonts w:ascii="Verdana" w:hAnsi="Verdana"/>
          <w:sz w:val="20"/>
          <w:szCs w:val="20"/>
        </w:rPr>
        <w:t>-</w:t>
      </w:r>
      <w:r w:rsidRPr="003E2544">
        <w:rPr>
          <w:rFonts w:ascii="Verdana" w:hAnsi="Verdana"/>
          <w:sz w:val="20"/>
          <w:szCs w:val="20"/>
        </w:rPr>
        <w:t xml:space="preserve">led commitment to achieving the SDGs. The JP </w:t>
      </w:r>
      <w:r w:rsidR="00AB1741">
        <w:rPr>
          <w:rFonts w:ascii="Verdana" w:hAnsi="Verdana"/>
          <w:sz w:val="20"/>
          <w:szCs w:val="20"/>
        </w:rPr>
        <w:t>m</w:t>
      </w:r>
      <w:r w:rsidRPr="003E2544">
        <w:rPr>
          <w:rFonts w:ascii="Verdana" w:hAnsi="Verdana"/>
          <w:sz w:val="20"/>
          <w:szCs w:val="20"/>
        </w:rPr>
        <w:t xml:space="preserve">anagement </w:t>
      </w:r>
      <w:r w:rsidR="00AB1741">
        <w:rPr>
          <w:rFonts w:ascii="Verdana" w:hAnsi="Verdana"/>
          <w:sz w:val="20"/>
          <w:szCs w:val="20"/>
        </w:rPr>
        <w:t>s</w:t>
      </w:r>
      <w:r w:rsidRPr="003E2544">
        <w:rPr>
          <w:rFonts w:ascii="Verdana" w:hAnsi="Verdana"/>
          <w:sz w:val="20"/>
          <w:szCs w:val="20"/>
        </w:rPr>
        <w:t xml:space="preserve">tructure and government involvement are described in Section 3.1 (below). </w:t>
      </w:r>
    </w:p>
    <w:p w14:paraId="63D2C0FE" w14:textId="77777777" w:rsidR="00674BB6" w:rsidRPr="003E2544" w:rsidRDefault="00674BB6" w:rsidP="00245274">
      <w:pPr>
        <w:spacing w:line="240" w:lineRule="auto"/>
        <w:jc w:val="both"/>
        <w:rPr>
          <w:rFonts w:ascii="Verdana" w:hAnsi="Verdana"/>
          <w:sz w:val="20"/>
          <w:szCs w:val="20"/>
        </w:rPr>
      </w:pPr>
    </w:p>
    <w:p w14:paraId="5D1C77DB" w14:textId="2313C03C" w:rsidR="007F693A" w:rsidRPr="003E2544" w:rsidRDefault="008C39D1" w:rsidP="00245274">
      <w:pPr>
        <w:spacing w:line="240" w:lineRule="auto"/>
        <w:jc w:val="both"/>
        <w:rPr>
          <w:rFonts w:ascii="Verdana" w:hAnsi="Verdana"/>
          <w:sz w:val="20"/>
          <w:szCs w:val="20"/>
        </w:rPr>
      </w:pPr>
      <w:r w:rsidRPr="003E2544">
        <w:rPr>
          <w:rFonts w:ascii="Verdana" w:hAnsi="Verdana"/>
          <w:sz w:val="20"/>
          <w:szCs w:val="20"/>
        </w:rPr>
        <w:t>I</w:t>
      </w:r>
      <w:r w:rsidR="007F693A" w:rsidRPr="003E2544">
        <w:rPr>
          <w:rFonts w:ascii="Verdana" w:hAnsi="Verdana"/>
          <w:sz w:val="20"/>
          <w:szCs w:val="20"/>
        </w:rPr>
        <w:t xml:space="preserve">n the current service delivery environment, with donors and partners providing most of the funds to run </w:t>
      </w:r>
      <w:r w:rsidR="00AB1741">
        <w:rPr>
          <w:rFonts w:ascii="Verdana" w:hAnsi="Verdana"/>
          <w:sz w:val="20"/>
          <w:szCs w:val="20"/>
        </w:rPr>
        <w:t>statutory</w:t>
      </w:r>
      <w:r w:rsidR="00AB1741" w:rsidRPr="003E2544">
        <w:rPr>
          <w:rFonts w:ascii="Verdana" w:hAnsi="Verdana"/>
          <w:sz w:val="20"/>
          <w:szCs w:val="20"/>
        </w:rPr>
        <w:t xml:space="preserve"> </w:t>
      </w:r>
      <w:r w:rsidR="007F693A" w:rsidRPr="003E2544">
        <w:rPr>
          <w:rFonts w:ascii="Verdana" w:hAnsi="Verdana"/>
          <w:sz w:val="20"/>
          <w:szCs w:val="20"/>
        </w:rPr>
        <w:t xml:space="preserve">social services, a strong commitment to actively building </w:t>
      </w:r>
      <w:r w:rsidR="00AB1741">
        <w:rPr>
          <w:rFonts w:ascii="Verdana" w:hAnsi="Verdana"/>
          <w:sz w:val="20"/>
          <w:szCs w:val="20"/>
        </w:rPr>
        <w:t>G</w:t>
      </w:r>
      <w:r w:rsidR="007F693A" w:rsidRPr="003E2544">
        <w:rPr>
          <w:rFonts w:ascii="Verdana" w:hAnsi="Verdana"/>
          <w:sz w:val="20"/>
          <w:szCs w:val="20"/>
        </w:rPr>
        <w:t>overnment ownership and leadership is necessary and must underpin each interaction with all levels of the GRSS. Both UNICEF and UNDP have team members who were GRSS employees, UNDP has</w:t>
      </w:r>
      <w:r w:rsidR="00091785" w:rsidRPr="003E2544">
        <w:rPr>
          <w:rFonts w:ascii="Verdana" w:hAnsi="Verdana"/>
          <w:sz w:val="20"/>
          <w:szCs w:val="20"/>
        </w:rPr>
        <w:t xml:space="preserve"> dedicated </w:t>
      </w:r>
      <w:r w:rsidR="007F2EF2" w:rsidRPr="003E2544">
        <w:rPr>
          <w:rFonts w:ascii="Verdana" w:hAnsi="Verdana"/>
          <w:sz w:val="20"/>
          <w:szCs w:val="20"/>
        </w:rPr>
        <w:t xml:space="preserve">technical </w:t>
      </w:r>
      <w:r w:rsidR="00091785" w:rsidRPr="003E2544">
        <w:rPr>
          <w:rFonts w:ascii="Verdana" w:hAnsi="Verdana"/>
          <w:sz w:val="20"/>
          <w:szCs w:val="20"/>
        </w:rPr>
        <w:t xml:space="preserve">staff </w:t>
      </w:r>
      <w:r w:rsidR="007F2EF2" w:rsidRPr="003E2544">
        <w:rPr>
          <w:rFonts w:ascii="Verdana" w:hAnsi="Verdana"/>
          <w:sz w:val="20"/>
          <w:szCs w:val="20"/>
        </w:rPr>
        <w:t xml:space="preserve">housed </w:t>
      </w:r>
      <w:r w:rsidR="007F693A" w:rsidRPr="003E2544">
        <w:rPr>
          <w:rFonts w:ascii="Verdana" w:hAnsi="Verdana"/>
          <w:sz w:val="20"/>
          <w:szCs w:val="20"/>
        </w:rPr>
        <w:t>in the MoFP</w:t>
      </w:r>
      <w:r w:rsidR="00AB1741">
        <w:rPr>
          <w:rFonts w:ascii="Verdana" w:hAnsi="Verdana"/>
          <w:sz w:val="20"/>
          <w:szCs w:val="20"/>
        </w:rPr>
        <w:t>,</w:t>
      </w:r>
      <w:r w:rsidR="007F693A" w:rsidRPr="003E2544">
        <w:rPr>
          <w:rFonts w:ascii="Verdana" w:hAnsi="Verdana"/>
          <w:sz w:val="20"/>
          <w:szCs w:val="20"/>
        </w:rPr>
        <w:t xml:space="preserve"> and both </w:t>
      </w:r>
      <w:r w:rsidR="6AD0DD20" w:rsidRPr="003E2544">
        <w:rPr>
          <w:rFonts w:ascii="Verdana" w:hAnsi="Verdana"/>
          <w:sz w:val="20"/>
          <w:szCs w:val="20"/>
        </w:rPr>
        <w:t xml:space="preserve">UNDP and UNICEF </w:t>
      </w:r>
      <w:r w:rsidR="007F693A" w:rsidRPr="003E2544">
        <w:rPr>
          <w:rFonts w:ascii="Verdana" w:hAnsi="Verdana"/>
          <w:sz w:val="20"/>
          <w:szCs w:val="20"/>
        </w:rPr>
        <w:t>are trusted GRSS partner</w:t>
      </w:r>
      <w:r w:rsidR="00506C13" w:rsidRPr="003E2544">
        <w:rPr>
          <w:rFonts w:ascii="Verdana" w:hAnsi="Verdana"/>
          <w:sz w:val="20"/>
          <w:szCs w:val="20"/>
        </w:rPr>
        <w:t>s</w:t>
      </w:r>
      <w:r w:rsidR="007F693A" w:rsidRPr="003E2544">
        <w:rPr>
          <w:rFonts w:ascii="Verdana" w:hAnsi="Verdana"/>
          <w:sz w:val="20"/>
          <w:szCs w:val="20"/>
        </w:rPr>
        <w:t xml:space="preserve">, engaged in various programmes with the GRSS and committed to </w:t>
      </w:r>
      <w:r w:rsidR="00AB1741">
        <w:rPr>
          <w:rFonts w:ascii="Verdana" w:hAnsi="Verdana"/>
          <w:sz w:val="20"/>
          <w:szCs w:val="20"/>
        </w:rPr>
        <w:t>G</w:t>
      </w:r>
      <w:r w:rsidR="007F693A" w:rsidRPr="003E2544">
        <w:rPr>
          <w:rFonts w:ascii="Verdana" w:hAnsi="Verdana"/>
          <w:sz w:val="20"/>
          <w:szCs w:val="20"/>
        </w:rPr>
        <w:t>overnment leadership and ownership.</w:t>
      </w:r>
    </w:p>
    <w:p w14:paraId="796AA9AB" w14:textId="0BFC058D" w:rsidR="00674BB6" w:rsidRPr="003E2544" w:rsidRDefault="00674BB6" w:rsidP="00245274">
      <w:pPr>
        <w:spacing w:line="240" w:lineRule="auto"/>
        <w:jc w:val="both"/>
        <w:rPr>
          <w:rFonts w:ascii="Verdana" w:hAnsi="Verdana"/>
          <w:sz w:val="20"/>
          <w:szCs w:val="20"/>
        </w:rPr>
      </w:pPr>
    </w:p>
    <w:p w14:paraId="5E6DB296" w14:textId="3789F8B3" w:rsidR="00674BB6" w:rsidRPr="003E2544" w:rsidRDefault="3C64AE05" w:rsidP="00245274">
      <w:pPr>
        <w:spacing w:line="240" w:lineRule="auto"/>
        <w:jc w:val="both"/>
        <w:rPr>
          <w:rFonts w:ascii="Verdana" w:eastAsia="Calibri" w:hAnsi="Verdana" w:cs="Times New Roman"/>
          <w:i/>
          <w:iCs/>
          <w:sz w:val="18"/>
          <w:szCs w:val="18"/>
        </w:rPr>
      </w:pPr>
      <w:r w:rsidRPr="003E2544">
        <w:rPr>
          <w:rFonts w:ascii="Verdana" w:hAnsi="Verdana" w:cstheme="minorBidi"/>
          <w:sz w:val="20"/>
          <w:szCs w:val="20"/>
        </w:rPr>
        <w:t xml:space="preserve">MoFP Directorates of Budget will lead the </w:t>
      </w:r>
      <w:r w:rsidR="595CD6BC" w:rsidRPr="003E2544">
        <w:rPr>
          <w:rFonts w:ascii="Verdana" w:hAnsi="Verdana" w:cstheme="minorBidi"/>
          <w:sz w:val="20"/>
          <w:szCs w:val="20"/>
        </w:rPr>
        <w:t>JP</w:t>
      </w:r>
      <w:r w:rsidRPr="003E2544">
        <w:rPr>
          <w:rFonts w:ascii="Verdana" w:hAnsi="Verdana" w:cstheme="minorBidi"/>
          <w:sz w:val="20"/>
          <w:szCs w:val="20"/>
        </w:rPr>
        <w:t xml:space="preserve"> by establishing and coordinating various stakeholders including </w:t>
      </w:r>
      <w:r w:rsidR="00AC002F">
        <w:rPr>
          <w:rFonts w:ascii="Verdana" w:hAnsi="Verdana" w:cstheme="minorBidi"/>
          <w:sz w:val="20"/>
          <w:szCs w:val="20"/>
        </w:rPr>
        <w:t>NRA</w:t>
      </w:r>
      <w:r w:rsidRPr="003E2544">
        <w:rPr>
          <w:rFonts w:ascii="Verdana" w:hAnsi="Verdana" w:cstheme="minorBidi"/>
          <w:sz w:val="20"/>
          <w:szCs w:val="20"/>
        </w:rPr>
        <w:t xml:space="preserve">, </w:t>
      </w:r>
      <w:r w:rsidR="00AC002F">
        <w:rPr>
          <w:rFonts w:ascii="Verdana" w:hAnsi="Verdana" w:cstheme="minorBidi"/>
          <w:sz w:val="20"/>
          <w:szCs w:val="20"/>
        </w:rPr>
        <w:t>NLA</w:t>
      </w:r>
      <w:r w:rsidRPr="003E2544">
        <w:rPr>
          <w:rFonts w:ascii="Verdana" w:hAnsi="Verdana" w:cstheme="minorBidi"/>
          <w:sz w:val="20"/>
          <w:szCs w:val="20"/>
        </w:rPr>
        <w:t xml:space="preserve">, State </w:t>
      </w:r>
      <w:proofErr w:type="spellStart"/>
      <w:r w:rsidR="00AC002F">
        <w:rPr>
          <w:rFonts w:ascii="Verdana" w:hAnsi="Verdana" w:cstheme="minorBidi"/>
          <w:sz w:val="20"/>
          <w:szCs w:val="20"/>
        </w:rPr>
        <w:t>MoFs</w:t>
      </w:r>
      <w:proofErr w:type="spellEnd"/>
      <w:r w:rsidRPr="003E2544">
        <w:rPr>
          <w:rFonts w:ascii="Verdana" w:hAnsi="Verdana" w:cstheme="minorBidi"/>
          <w:sz w:val="20"/>
          <w:szCs w:val="20"/>
        </w:rPr>
        <w:t xml:space="preserve"> as well as </w:t>
      </w:r>
      <w:r w:rsidR="00AC002F">
        <w:rPr>
          <w:rFonts w:ascii="Verdana" w:hAnsi="Verdana" w:cstheme="minorBidi"/>
          <w:sz w:val="20"/>
          <w:szCs w:val="20"/>
        </w:rPr>
        <w:t>SRAs</w:t>
      </w:r>
      <w:r w:rsidRPr="003E2544">
        <w:rPr>
          <w:rFonts w:ascii="Verdana" w:hAnsi="Verdana" w:cstheme="minorBidi"/>
          <w:sz w:val="20"/>
          <w:szCs w:val="20"/>
        </w:rPr>
        <w:t xml:space="preserve"> and </w:t>
      </w:r>
      <w:r w:rsidR="00AC002F">
        <w:rPr>
          <w:rFonts w:ascii="Verdana" w:hAnsi="Verdana" w:cstheme="minorBidi"/>
          <w:sz w:val="20"/>
          <w:szCs w:val="20"/>
        </w:rPr>
        <w:t>SLAs</w:t>
      </w:r>
      <w:r w:rsidRPr="003E2544">
        <w:rPr>
          <w:rFonts w:ascii="Verdana" w:hAnsi="Verdana" w:cstheme="minorBidi"/>
          <w:sz w:val="20"/>
          <w:szCs w:val="20"/>
        </w:rPr>
        <w:t xml:space="preserve"> in</w:t>
      </w:r>
      <w:r w:rsidR="3561B536" w:rsidRPr="003E2544">
        <w:rPr>
          <w:rFonts w:ascii="Verdana" w:hAnsi="Verdana"/>
          <w:sz w:val="20"/>
          <w:szCs w:val="20"/>
        </w:rPr>
        <w:t xml:space="preserve"> Central Equatoria, Western Equatoria and Northern Bahr el Ghazal</w:t>
      </w:r>
      <w:r w:rsidRPr="003E2544">
        <w:rPr>
          <w:rFonts w:ascii="Verdana" w:hAnsi="Verdana" w:cstheme="minorBidi"/>
          <w:sz w:val="20"/>
          <w:szCs w:val="20"/>
        </w:rPr>
        <w:t xml:space="preserve"> states</w:t>
      </w:r>
      <w:r w:rsidR="2DE16FE7" w:rsidRPr="003E2544">
        <w:rPr>
          <w:rFonts w:ascii="Verdana" w:hAnsi="Verdana" w:cstheme="minorBidi"/>
          <w:sz w:val="20"/>
          <w:szCs w:val="20"/>
        </w:rPr>
        <w:t>.</w:t>
      </w:r>
    </w:p>
    <w:p w14:paraId="487E52EA" w14:textId="77777777" w:rsidR="00674BB6" w:rsidRPr="003E2544" w:rsidRDefault="00674BB6" w:rsidP="00245274">
      <w:pPr>
        <w:spacing w:line="240" w:lineRule="auto"/>
        <w:jc w:val="both"/>
        <w:rPr>
          <w:rFonts w:ascii="Verdana" w:hAnsi="Verdana"/>
          <w:sz w:val="20"/>
          <w:szCs w:val="20"/>
        </w:rPr>
      </w:pPr>
    </w:p>
    <w:p w14:paraId="4C738A28" w14:textId="387A81EC" w:rsidR="00DC6CFC" w:rsidRPr="003E2544" w:rsidRDefault="00DC6CFC" w:rsidP="00245274">
      <w:pPr>
        <w:spacing w:line="240" w:lineRule="auto"/>
        <w:jc w:val="both"/>
        <w:rPr>
          <w:rFonts w:ascii="Verdana" w:hAnsi="Verdana"/>
          <w:sz w:val="20"/>
          <w:szCs w:val="20"/>
        </w:rPr>
      </w:pPr>
      <w:r w:rsidRPr="003E2544">
        <w:rPr>
          <w:rFonts w:ascii="Verdana" w:hAnsi="Verdana"/>
          <w:sz w:val="20"/>
          <w:szCs w:val="20"/>
        </w:rPr>
        <w:t>The </w:t>
      </w:r>
      <w:r w:rsidR="00AC002F">
        <w:rPr>
          <w:rFonts w:ascii="Verdana" w:hAnsi="Verdana"/>
          <w:sz w:val="20"/>
          <w:szCs w:val="20"/>
        </w:rPr>
        <w:t>PDWG</w:t>
      </w:r>
      <w:r w:rsidRPr="003E2544">
        <w:rPr>
          <w:rFonts w:ascii="Verdana" w:hAnsi="Verdana"/>
          <w:sz w:val="20"/>
          <w:szCs w:val="20"/>
        </w:rPr>
        <w:t xml:space="preserve">, which was revitalized by UNICEF in 2019, acts as a mechanism for coordinating PFM partner contributions. UNICEF and UNDP as core members </w:t>
      </w:r>
      <w:r w:rsidR="428C8A5D" w:rsidRPr="003E2544">
        <w:rPr>
          <w:rFonts w:ascii="Verdana" w:hAnsi="Verdana"/>
          <w:sz w:val="20"/>
          <w:szCs w:val="20"/>
        </w:rPr>
        <w:t xml:space="preserve">along </w:t>
      </w:r>
      <w:r w:rsidRPr="003E2544">
        <w:rPr>
          <w:rFonts w:ascii="Verdana" w:hAnsi="Verdana"/>
          <w:sz w:val="20"/>
          <w:szCs w:val="20"/>
        </w:rPr>
        <w:t>with the World Bank, AfDB</w:t>
      </w:r>
      <w:r w:rsidRPr="000460DF">
        <w:rPr>
          <w:rFonts w:ascii="Verdana" w:hAnsi="Verdana"/>
          <w:sz w:val="20"/>
          <w:szCs w:val="20"/>
        </w:rPr>
        <w:t xml:space="preserve">, </w:t>
      </w:r>
      <w:bookmarkStart w:id="7" w:name="_Hlk528230988"/>
      <w:r w:rsidR="000460DF" w:rsidRPr="00852A5B">
        <w:rPr>
          <w:rFonts w:ascii="Verdana" w:hAnsi="Verdana" w:cstheme="minorHAnsi"/>
          <w:sz w:val="20"/>
          <w:szCs w:val="20"/>
        </w:rPr>
        <w:t>UK Department for International Development</w:t>
      </w:r>
      <w:bookmarkEnd w:id="7"/>
      <w:r w:rsidR="000460DF" w:rsidRPr="000460DF">
        <w:rPr>
          <w:rFonts w:ascii="Verdana" w:hAnsi="Verdana"/>
          <w:sz w:val="20"/>
          <w:szCs w:val="20"/>
        </w:rPr>
        <w:t xml:space="preserve"> (</w:t>
      </w:r>
      <w:r w:rsidRPr="000460DF">
        <w:rPr>
          <w:rFonts w:ascii="Verdana" w:hAnsi="Verdana"/>
          <w:sz w:val="20"/>
          <w:szCs w:val="20"/>
        </w:rPr>
        <w:t>DFID</w:t>
      </w:r>
      <w:r w:rsidR="000460DF" w:rsidRPr="000460DF">
        <w:rPr>
          <w:rFonts w:ascii="Verdana" w:hAnsi="Verdana"/>
          <w:sz w:val="20"/>
          <w:szCs w:val="20"/>
        </w:rPr>
        <w:t>)</w:t>
      </w:r>
      <w:r w:rsidRPr="000460DF">
        <w:rPr>
          <w:rFonts w:ascii="Verdana" w:hAnsi="Verdana"/>
          <w:sz w:val="20"/>
          <w:szCs w:val="20"/>
        </w:rPr>
        <w:t xml:space="preserve">, Embassy of Norway, and </w:t>
      </w:r>
      <w:bookmarkStart w:id="8" w:name="_Hlk946720"/>
      <w:r w:rsidR="000460DF" w:rsidRPr="00852A5B">
        <w:rPr>
          <w:rFonts w:ascii="Verdana" w:hAnsi="Verdana" w:cstheme="minorHAnsi"/>
          <w:sz w:val="20"/>
          <w:szCs w:val="20"/>
        </w:rPr>
        <w:t>United States Agency for International Development</w:t>
      </w:r>
      <w:bookmarkEnd w:id="8"/>
      <w:r w:rsidR="000460DF" w:rsidRPr="000460DF">
        <w:rPr>
          <w:rFonts w:ascii="Verdana" w:hAnsi="Verdana"/>
          <w:sz w:val="20"/>
          <w:szCs w:val="20"/>
        </w:rPr>
        <w:t xml:space="preserve"> (</w:t>
      </w:r>
      <w:r w:rsidRPr="000460DF">
        <w:rPr>
          <w:rFonts w:ascii="Verdana" w:hAnsi="Verdana"/>
          <w:sz w:val="20"/>
          <w:szCs w:val="20"/>
        </w:rPr>
        <w:t>USAID</w:t>
      </w:r>
      <w:r w:rsidR="000460DF" w:rsidRPr="000460DF">
        <w:rPr>
          <w:rFonts w:ascii="Verdana" w:hAnsi="Verdana"/>
          <w:sz w:val="20"/>
          <w:szCs w:val="20"/>
        </w:rPr>
        <w:t>)</w:t>
      </w:r>
      <w:r w:rsidRPr="000460DF">
        <w:rPr>
          <w:rFonts w:ascii="Verdana" w:hAnsi="Verdana"/>
          <w:sz w:val="20"/>
          <w:szCs w:val="20"/>
        </w:rPr>
        <w:t>,</w:t>
      </w:r>
      <w:r w:rsidRPr="003E2544">
        <w:rPr>
          <w:rFonts w:ascii="Verdana" w:hAnsi="Verdana"/>
          <w:sz w:val="20"/>
          <w:szCs w:val="20"/>
        </w:rPr>
        <w:t xml:space="preserve"> will act as an interface between the JP activities and the interventions of PFM actors. The </w:t>
      </w:r>
      <w:r w:rsidR="00C23514">
        <w:rPr>
          <w:rFonts w:ascii="Verdana" w:hAnsi="Verdana"/>
          <w:sz w:val="20"/>
          <w:szCs w:val="20"/>
        </w:rPr>
        <w:t xml:space="preserve">PDWG </w:t>
      </w:r>
      <w:r w:rsidRPr="003E2544">
        <w:rPr>
          <w:rFonts w:ascii="Verdana" w:hAnsi="Verdana"/>
          <w:sz w:val="20"/>
          <w:szCs w:val="20"/>
        </w:rPr>
        <w:t>will invite the Under-Secretary Budget and Planning, Budget Director and other key MoFP units to information sharing sessions on a quarterly basis.</w:t>
      </w:r>
    </w:p>
    <w:p w14:paraId="7E8B98D8" w14:textId="77777777" w:rsidR="00DC6CFC" w:rsidRPr="003E2544" w:rsidRDefault="00DC6CFC" w:rsidP="00245274">
      <w:pPr>
        <w:spacing w:line="240" w:lineRule="auto"/>
        <w:jc w:val="both"/>
        <w:rPr>
          <w:rFonts w:ascii="Verdana" w:hAnsi="Verdana"/>
          <w:sz w:val="20"/>
          <w:szCs w:val="20"/>
        </w:rPr>
      </w:pPr>
    </w:p>
    <w:p w14:paraId="760B42E8" w14:textId="25DA4A1F" w:rsidR="00792F53" w:rsidRPr="003E2544" w:rsidRDefault="00792F53" w:rsidP="00245274">
      <w:pPr>
        <w:spacing w:line="240" w:lineRule="auto"/>
        <w:jc w:val="both"/>
        <w:rPr>
          <w:rFonts w:ascii="Verdana" w:hAnsi="Verdana"/>
          <w:sz w:val="20"/>
          <w:szCs w:val="20"/>
        </w:rPr>
      </w:pPr>
      <w:r w:rsidRPr="003E2544">
        <w:rPr>
          <w:rFonts w:ascii="Verdana" w:hAnsi="Verdana"/>
          <w:sz w:val="20"/>
          <w:szCs w:val="20"/>
        </w:rPr>
        <w:t>Since 2012 there has been a range of ongoing partner engagements</w:t>
      </w:r>
      <w:r w:rsidR="009672E5" w:rsidRPr="003E2544">
        <w:rPr>
          <w:rFonts w:ascii="Verdana" w:hAnsi="Verdana"/>
          <w:sz w:val="20"/>
          <w:szCs w:val="20"/>
        </w:rPr>
        <w:t xml:space="preserve"> in PFM in South Sudan</w:t>
      </w:r>
      <w:r w:rsidRPr="003E2544">
        <w:rPr>
          <w:rFonts w:ascii="Verdana" w:hAnsi="Verdana"/>
          <w:sz w:val="20"/>
          <w:szCs w:val="20"/>
        </w:rPr>
        <w:t>, including macro-economic forecasting and assessment by the IMF and World Bank</w:t>
      </w:r>
      <w:r w:rsidR="3123A130" w:rsidRPr="003E2544">
        <w:rPr>
          <w:rFonts w:ascii="Verdana" w:hAnsi="Verdana"/>
          <w:sz w:val="20"/>
          <w:szCs w:val="20"/>
        </w:rPr>
        <w:t>,</w:t>
      </w:r>
      <w:r w:rsidRPr="003E2544">
        <w:rPr>
          <w:rFonts w:ascii="Verdana" w:hAnsi="Verdana"/>
          <w:sz w:val="20"/>
          <w:szCs w:val="20"/>
        </w:rPr>
        <w:t xml:space="preserve"> </w:t>
      </w:r>
      <w:r w:rsidR="3262D34A" w:rsidRPr="003E2544">
        <w:rPr>
          <w:rFonts w:ascii="Verdana" w:hAnsi="Verdana"/>
          <w:sz w:val="20"/>
          <w:szCs w:val="20"/>
        </w:rPr>
        <w:t>a</w:t>
      </w:r>
      <w:r w:rsidRPr="003E2544">
        <w:rPr>
          <w:rFonts w:ascii="Verdana" w:hAnsi="Verdana"/>
          <w:sz w:val="20"/>
          <w:szCs w:val="20"/>
        </w:rPr>
        <w:t xml:space="preserve">id </w:t>
      </w:r>
      <w:r w:rsidR="00DC6CFC" w:rsidRPr="003E2544">
        <w:rPr>
          <w:rFonts w:ascii="Verdana" w:hAnsi="Verdana"/>
          <w:sz w:val="20"/>
          <w:szCs w:val="20"/>
        </w:rPr>
        <w:t>c</w:t>
      </w:r>
      <w:r w:rsidRPr="003E2544">
        <w:rPr>
          <w:rFonts w:ascii="Verdana" w:hAnsi="Verdana"/>
          <w:sz w:val="20"/>
          <w:szCs w:val="20"/>
        </w:rPr>
        <w:t xml:space="preserve">o-ordination and capacity building by UNDP, amendments to anti-corruption policies and laws by </w:t>
      </w:r>
      <w:bookmarkStart w:id="9" w:name="_Hlk531076002"/>
      <w:r w:rsidR="00C23514" w:rsidRPr="00852A5B">
        <w:rPr>
          <w:rFonts w:ascii="Verdana" w:hAnsi="Verdana"/>
          <w:sz w:val="20"/>
          <w:szCs w:val="20"/>
        </w:rPr>
        <w:t>United Nations Mission in South Sudan</w:t>
      </w:r>
      <w:bookmarkEnd w:id="9"/>
      <w:r w:rsidR="00C23514" w:rsidRPr="003E2544">
        <w:rPr>
          <w:rFonts w:ascii="Verdana" w:hAnsi="Verdana"/>
          <w:sz w:val="20"/>
          <w:szCs w:val="20"/>
        </w:rPr>
        <w:t xml:space="preserve"> </w:t>
      </w:r>
      <w:r w:rsidR="00C23514">
        <w:rPr>
          <w:rFonts w:ascii="Verdana" w:hAnsi="Verdana"/>
          <w:sz w:val="20"/>
          <w:szCs w:val="20"/>
        </w:rPr>
        <w:t>(</w:t>
      </w:r>
      <w:r w:rsidRPr="003E2544">
        <w:rPr>
          <w:rFonts w:ascii="Verdana" w:hAnsi="Verdana"/>
          <w:sz w:val="20"/>
          <w:szCs w:val="20"/>
        </w:rPr>
        <w:t>UNMISS</w:t>
      </w:r>
      <w:r w:rsidR="00C23514">
        <w:rPr>
          <w:rFonts w:ascii="Verdana" w:hAnsi="Verdana"/>
          <w:sz w:val="20"/>
          <w:szCs w:val="20"/>
        </w:rPr>
        <w:t>),</w:t>
      </w:r>
      <w:r w:rsidRPr="003E2544">
        <w:rPr>
          <w:rFonts w:ascii="Verdana" w:hAnsi="Verdana"/>
          <w:sz w:val="20"/>
          <w:szCs w:val="20"/>
        </w:rPr>
        <w:t xml:space="preserve"> and support to the reform of auditing through the Norwegian Embassy. </w:t>
      </w:r>
    </w:p>
    <w:p w14:paraId="31FA5E65" w14:textId="77777777" w:rsidR="009672E5" w:rsidRPr="003E2544" w:rsidRDefault="009672E5" w:rsidP="00245274">
      <w:pPr>
        <w:spacing w:line="240" w:lineRule="auto"/>
        <w:jc w:val="both"/>
        <w:rPr>
          <w:rFonts w:ascii="Verdana" w:hAnsi="Verdana"/>
          <w:sz w:val="20"/>
          <w:szCs w:val="20"/>
        </w:rPr>
      </w:pPr>
    </w:p>
    <w:p w14:paraId="4ABC9E9F" w14:textId="5622AEE1" w:rsidR="00791D46" w:rsidRPr="003E2544" w:rsidRDefault="00791D46" w:rsidP="00245274">
      <w:pPr>
        <w:spacing w:line="240" w:lineRule="auto"/>
        <w:jc w:val="both"/>
        <w:rPr>
          <w:rFonts w:ascii="Verdana" w:hAnsi="Verdana"/>
          <w:sz w:val="20"/>
          <w:szCs w:val="20"/>
        </w:rPr>
      </w:pPr>
      <w:r w:rsidRPr="003E2544">
        <w:rPr>
          <w:rFonts w:ascii="Verdana" w:hAnsi="Verdana"/>
          <w:sz w:val="20"/>
          <w:szCs w:val="20"/>
        </w:rPr>
        <w:lastRenderedPageBreak/>
        <w:t xml:space="preserve">The JP is designed around a good understanding of the various partner programmes. AfDB has an intervention focused on the Integrated Financial Management System (IFMIS). Currently, there is no functioning IFMIS in South Sudan, which is a key accountability issue. UNICEF has informally advised AfDB on their </w:t>
      </w:r>
      <w:r w:rsidR="009B5B47">
        <w:rPr>
          <w:rFonts w:ascii="Verdana" w:hAnsi="Verdana"/>
          <w:sz w:val="20"/>
          <w:szCs w:val="20"/>
        </w:rPr>
        <w:t>subnational</w:t>
      </w:r>
      <w:r w:rsidRPr="003E2544">
        <w:rPr>
          <w:rFonts w:ascii="Verdana" w:hAnsi="Verdana"/>
          <w:sz w:val="20"/>
          <w:szCs w:val="20"/>
        </w:rPr>
        <w:t xml:space="preserve"> experience in South Sudan, as well as IFMIS in other countries. If a new IFMIS is adopted as a result of the AfDB intervention, UNICEF would need to revise its </w:t>
      </w:r>
      <w:r w:rsidR="009B5B47">
        <w:rPr>
          <w:rFonts w:ascii="Verdana" w:hAnsi="Verdana"/>
          <w:sz w:val="20"/>
          <w:szCs w:val="20"/>
        </w:rPr>
        <w:t>subnational</w:t>
      </w:r>
      <w:r w:rsidRPr="003E2544">
        <w:rPr>
          <w:rFonts w:ascii="Verdana" w:hAnsi="Verdana"/>
          <w:sz w:val="20"/>
          <w:szCs w:val="20"/>
        </w:rPr>
        <w:t xml:space="preserve"> training material, and state mentors would need to be trained to support IFMIS implementation at </w:t>
      </w:r>
      <w:r w:rsidR="009B5B47">
        <w:rPr>
          <w:rFonts w:ascii="Verdana" w:hAnsi="Verdana"/>
          <w:sz w:val="20"/>
          <w:szCs w:val="20"/>
        </w:rPr>
        <w:t>subnational</w:t>
      </w:r>
      <w:r w:rsidRPr="003E2544">
        <w:rPr>
          <w:rFonts w:ascii="Verdana" w:hAnsi="Verdana"/>
          <w:sz w:val="20"/>
          <w:szCs w:val="20"/>
        </w:rPr>
        <w:t xml:space="preserve"> level. In addition, the Norwegian Embassy is engaged in a programme relating to accounting and auditing practices. This is an integral component of PFM and the JP will ensure logical linkages are made between </w:t>
      </w:r>
      <w:r w:rsidR="000C3093">
        <w:rPr>
          <w:rFonts w:ascii="Verdana" w:hAnsi="Verdana"/>
          <w:sz w:val="20"/>
          <w:szCs w:val="20"/>
        </w:rPr>
        <w:t xml:space="preserve">its </w:t>
      </w:r>
      <w:r w:rsidRPr="003E2544">
        <w:rPr>
          <w:rFonts w:ascii="Verdana" w:hAnsi="Verdana"/>
          <w:sz w:val="20"/>
          <w:szCs w:val="20"/>
        </w:rPr>
        <w:t>work and those of the Embassy.</w:t>
      </w:r>
    </w:p>
    <w:p w14:paraId="77E5BD5B" w14:textId="53E75746" w:rsidR="00CF66AA" w:rsidRPr="003E2544" w:rsidRDefault="00506C13" w:rsidP="00245274">
      <w:pPr>
        <w:spacing w:before="100" w:beforeAutospacing="1" w:after="100" w:afterAutospacing="1" w:line="240" w:lineRule="auto"/>
        <w:jc w:val="both"/>
        <w:rPr>
          <w:rFonts w:ascii="Verdana" w:eastAsia="Calibri" w:hAnsi="Verdana" w:cs="Times New Roman"/>
          <w:sz w:val="20"/>
          <w:szCs w:val="20"/>
        </w:rPr>
      </w:pPr>
      <w:r w:rsidRPr="003E2544">
        <w:rPr>
          <w:rFonts w:ascii="Verdana" w:eastAsia="Calibri" w:hAnsi="Verdana" w:cs="Times New Roman"/>
          <w:sz w:val="20"/>
          <w:szCs w:val="20"/>
        </w:rPr>
        <w:t>The private sector is s</w:t>
      </w:r>
      <w:r w:rsidR="00CF66AA" w:rsidRPr="003E2544">
        <w:rPr>
          <w:rFonts w:ascii="Verdana" w:eastAsia="Calibri" w:hAnsi="Verdana" w:cs="Times New Roman"/>
          <w:sz w:val="20"/>
          <w:szCs w:val="20"/>
        </w:rPr>
        <w:t>mall</w:t>
      </w:r>
      <w:r w:rsidRPr="003E2544">
        <w:rPr>
          <w:rFonts w:ascii="Verdana" w:eastAsia="Calibri" w:hAnsi="Verdana" w:cs="Times New Roman"/>
          <w:sz w:val="20"/>
          <w:szCs w:val="20"/>
        </w:rPr>
        <w:t xml:space="preserve"> </w:t>
      </w:r>
      <w:r w:rsidR="00CF66AA" w:rsidRPr="003E2544">
        <w:rPr>
          <w:rFonts w:ascii="Verdana" w:eastAsia="Calibri" w:hAnsi="Verdana" w:cs="Times New Roman"/>
          <w:sz w:val="20"/>
          <w:szCs w:val="20"/>
        </w:rPr>
        <w:t xml:space="preserve">and has diminished </w:t>
      </w:r>
      <w:r w:rsidR="000C3093">
        <w:rPr>
          <w:rFonts w:ascii="Verdana" w:eastAsia="Calibri" w:hAnsi="Verdana" w:cs="Times New Roman"/>
          <w:sz w:val="20"/>
          <w:szCs w:val="20"/>
        </w:rPr>
        <w:t xml:space="preserve">during </w:t>
      </w:r>
      <w:r w:rsidR="00CF66AA" w:rsidRPr="003E2544">
        <w:rPr>
          <w:rFonts w:ascii="Verdana" w:eastAsia="Calibri" w:hAnsi="Verdana" w:cs="Times New Roman"/>
          <w:sz w:val="20"/>
          <w:szCs w:val="20"/>
        </w:rPr>
        <w:t xml:space="preserve">the war and crisis period. </w:t>
      </w:r>
      <w:r w:rsidR="50F17E69" w:rsidRPr="003E2544">
        <w:rPr>
          <w:rFonts w:ascii="Verdana" w:eastAsia="Calibri" w:hAnsi="Verdana" w:cs="Times New Roman"/>
          <w:sz w:val="20"/>
          <w:szCs w:val="20"/>
        </w:rPr>
        <w:t>It</w:t>
      </w:r>
      <w:r w:rsidR="00CF66AA" w:rsidRPr="003E2544">
        <w:rPr>
          <w:rFonts w:ascii="Verdana" w:eastAsia="Calibri" w:hAnsi="Verdana" w:cs="Times New Roman"/>
          <w:sz w:val="20"/>
          <w:szCs w:val="20"/>
        </w:rPr>
        <w:t xml:space="preserve"> will however contribute and engage with the JP, both directly and indirectly</w:t>
      </w:r>
      <w:r w:rsidR="008C7B9E">
        <w:rPr>
          <w:rFonts w:ascii="Verdana" w:eastAsia="Calibri" w:hAnsi="Verdana" w:cs="Times New Roman"/>
          <w:sz w:val="20"/>
          <w:szCs w:val="20"/>
        </w:rPr>
        <w:t>,</w:t>
      </w:r>
      <w:r w:rsidR="00CF66AA" w:rsidRPr="003E2544">
        <w:rPr>
          <w:rFonts w:ascii="Verdana" w:eastAsia="Calibri" w:hAnsi="Verdana" w:cs="Times New Roman"/>
          <w:sz w:val="20"/>
          <w:szCs w:val="20"/>
        </w:rPr>
        <w:t xml:space="preserve"> in a number of ways. There are three or four major IFMIS providers</w:t>
      </w:r>
      <w:r w:rsidRPr="003E2544">
        <w:rPr>
          <w:rFonts w:ascii="Verdana" w:eastAsia="Calibri" w:hAnsi="Verdana" w:cs="Times New Roman"/>
          <w:sz w:val="20"/>
          <w:szCs w:val="20"/>
        </w:rPr>
        <w:t xml:space="preserve"> internationally</w:t>
      </w:r>
      <w:r w:rsidR="00CF66AA" w:rsidRPr="003E2544">
        <w:rPr>
          <w:rFonts w:ascii="Verdana" w:eastAsia="Calibri" w:hAnsi="Verdana" w:cs="Times New Roman"/>
          <w:sz w:val="20"/>
          <w:szCs w:val="20"/>
        </w:rPr>
        <w:t>. Indications are that the GRSS favor</w:t>
      </w:r>
      <w:r w:rsidR="24C97AC6" w:rsidRPr="003E2544">
        <w:rPr>
          <w:rFonts w:ascii="Verdana" w:eastAsia="Calibri" w:hAnsi="Verdana" w:cs="Times New Roman"/>
          <w:sz w:val="20"/>
          <w:szCs w:val="20"/>
        </w:rPr>
        <w:t>s</w:t>
      </w:r>
      <w:r w:rsidR="00CF66AA" w:rsidRPr="003E2544">
        <w:rPr>
          <w:rFonts w:ascii="Verdana" w:eastAsia="Calibri" w:hAnsi="Verdana" w:cs="Times New Roman"/>
          <w:sz w:val="20"/>
          <w:szCs w:val="20"/>
        </w:rPr>
        <w:t xml:space="preserve"> the use of </w:t>
      </w:r>
      <w:proofErr w:type="spellStart"/>
      <w:r w:rsidR="00CF66AA" w:rsidRPr="003E2544">
        <w:rPr>
          <w:rFonts w:ascii="Verdana" w:eastAsia="Calibri" w:hAnsi="Verdana" w:cs="Times New Roman"/>
          <w:sz w:val="20"/>
          <w:szCs w:val="20"/>
        </w:rPr>
        <w:t>Freebala</w:t>
      </w:r>
      <w:r w:rsidRPr="003E2544">
        <w:rPr>
          <w:rFonts w:ascii="Verdana" w:eastAsia="Calibri" w:hAnsi="Verdana" w:cs="Times New Roman"/>
          <w:sz w:val="20"/>
          <w:szCs w:val="20"/>
        </w:rPr>
        <w:t>nce</w:t>
      </w:r>
      <w:proofErr w:type="spellEnd"/>
      <w:r w:rsidRPr="003E2544">
        <w:rPr>
          <w:rFonts w:ascii="Verdana" w:eastAsia="Calibri" w:hAnsi="Verdana" w:cs="Times New Roman"/>
          <w:sz w:val="20"/>
          <w:szCs w:val="20"/>
        </w:rPr>
        <w:t>, a Canadian company,</w:t>
      </w:r>
      <w:r w:rsidR="00CF66AA" w:rsidRPr="003E2544">
        <w:rPr>
          <w:rFonts w:ascii="Verdana" w:eastAsia="Calibri" w:hAnsi="Verdana" w:cs="Times New Roman"/>
          <w:sz w:val="20"/>
          <w:szCs w:val="20"/>
        </w:rPr>
        <w:t xml:space="preserve"> </w:t>
      </w:r>
      <w:r w:rsidR="008C7B9E">
        <w:rPr>
          <w:rFonts w:ascii="Verdana" w:eastAsia="Calibri" w:hAnsi="Verdana" w:cs="Times New Roman"/>
          <w:sz w:val="20"/>
          <w:szCs w:val="20"/>
        </w:rPr>
        <w:t>which</w:t>
      </w:r>
      <w:r w:rsidR="008C7B9E" w:rsidRPr="003E2544">
        <w:rPr>
          <w:rFonts w:ascii="Verdana" w:eastAsia="Calibri" w:hAnsi="Verdana" w:cs="Times New Roman"/>
          <w:sz w:val="20"/>
          <w:szCs w:val="20"/>
        </w:rPr>
        <w:t xml:space="preserve"> </w:t>
      </w:r>
      <w:r w:rsidR="00CF66AA" w:rsidRPr="003E2544">
        <w:rPr>
          <w:rFonts w:ascii="Verdana" w:eastAsia="Calibri" w:hAnsi="Verdana" w:cs="Times New Roman"/>
          <w:sz w:val="20"/>
          <w:szCs w:val="20"/>
        </w:rPr>
        <w:t xml:space="preserve">provided </w:t>
      </w:r>
      <w:r w:rsidR="008C7B9E">
        <w:rPr>
          <w:rFonts w:ascii="Verdana" w:eastAsia="Calibri" w:hAnsi="Verdana" w:cs="Times New Roman"/>
          <w:sz w:val="20"/>
          <w:szCs w:val="20"/>
        </w:rPr>
        <w:t>its</w:t>
      </w:r>
      <w:r w:rsidR="008C7B9E" w:rsidRPr="003E2544">
        <w:rPr>
          <w:rFonts w:ascii="Verdana" w:eastAsia="Calibri" w:hAnsi="Verdana" w:cs="Times New Roman"/>
          <w:sz w:val="20"/>
          <w:szCs w:val="20"/>
        </w:rPr>
        <w:t xml:space="preserve"> </w:t>
      </w:r>
      <w:r w:rsidR="00CF66AA" w:rsidRPr="003E2544">
        <w:rPr>
          <w:rFonts w:ascii="Verdana" w:eastAsia="Calibri" w:hAnsi="Verdana" w:cs="Times New Roman"/>
          <w:sz w:val="20"/>
          <w:szCs w:val="20"/>
        </w:rPr>
        <w:t>system to GRSS in 2012, but the user license ha</w:t>
      </w:r>
      <w:r w:rsidRPr="003E2544">
        <w:rPr>
          <w:rFonts w:ascii="Verdana" w:eastAsia="Calibri" w:hAnsi="Verdana" w:cs="Times New Roman"/>
          <w:sz w:val="20"/>
          <w:szCs w:val="20"/>
        </w:rPr>
        <w:t>s</w:t>
      </w:r>
      <w:r w:rsidR="00CF66AA" w:rsidRPr="003E2544">
        <w:rPr>
          <w:rFonts w:ascii="Verdana" w:eastAsia="Calibri" w:hAnsi="Verdana" w:cs="Times New Roman"/>
          <w:sz w:val="20"/>
          <w:szCs w:val="20"/>
        </w:rPr>
        <w:t xml:space="preserve"> subsequently lapsed. Whether </w:t>
      </w:r>
      <w:proofErr w:type="spellStart"/>
      <w:r w:rsidR="00CF66AA" w:rsidRPr="003E2544">
        <w:rPr>
          <w:rFonts w:ascii="Verdana" w:eastAsia="Calibri" w:hAnsi="Verdana" w:cs="Times New Roman"/>
          <w:sz w:val="20"/>
          <w:szCs w:val="20"/>
        </w:rPr>
        <w:t>Freebalance</w:t>
      </w:r>
      <w:proofErr w:type="spellEnd"/>
      <w:r w:rsidR="00CF66AA" w:rsidRPr="003E2544">
        <w:rPr>
          <w:rFonts w:ascii="Verdana" w:eastAsia="Calibri" w:hAnsi="Verdana" w:cs="Times New Roman"/>
          <w:sz w:val="20"/>
          <w:szCs w:val="20"/>
        </w:rPr>
        <w:t xml:space="preserve"> or another IFMIS provider is contracted, </w:t>
      </w:r>
      <w:r w:rsidR="003560D9" w:rsidRPr="003E2544">
        <w:rPr>
          <w:rFonts w:ascii="Verdana" w:eastAsia="Calibri" w:hAnsi="Verdana" w:cs="Times New Roman"/>
          <w:sz w:val="20"/>
          <w:szCs w:val="20"/>
        </w:rPr>
        <w:t xml:space="preserve">the system </w:t>
      </w:r>
      <w:r w:rsidR="00CF66AA" w:rsidRPr="003E2544">
        <w:rPr>
          <w:rFonts w:ascii="Verdana" w:eastAsia="Calibri" w:hAnsi="Verdana" w:cs="Times New Roman"/>
          <w:sz w:val="20"/>
          <w:szCs w:val="20"/>
        </w:rPr>
        <w:t xml:space="preserve">can be used to support subnational PFM training.  IFMIS usage and the Chart of Accounts are already a module of the UNICEF/MoFP training. </w:t>
      </w:r>
      <w:r w:rsidR="009B5B47">
        <w:rPr>
          <w:rFonts w:ascii="Verdana" w:eastAsia="Calibri" w:hAnsi="Verdana" w:cs="Times New Roman"/>
          <w:sz w:val="20"/>
          <w:szCs w:val="20"/>
        </w:rPr>
        <w:t>Subnational</w:t>
      </w:r>
      <w:r w:rsidR="00CF66AA" w:rsidRPr="003E2544">
        <w:rPr>
          <w:rFonts w:ascii="Verdana" w:eastAsia="Calibri" w:hAnsi="Verdana" w:cs="Times New Roman"/>
          <w:sz w:val="20"/>
          <w:szCs w:val="20"/>
        </w:rPr>
        <w:t xml:space="preserve"> budgeting is currently done using an Excel workbook</w:t>
      </w:r>
      <w:r w:rsidR="004328C0" w:rsidRPr="003E2544">
        <w:rPr>
          <w:rFonts w:ascii="Verdana" w:eastAsia="Calibri" w:hAnsi="Verdana" w:cs="Times New Roman"/>
          <w:sz w:val="20"/>
          <w:szCs w:val="20"/>
        </w:rPr>
        <w:t>; i</w:t>
      </w:r>
      <w:r w:rsidR="00CF66AA" w:rsidRPr="003E2544">
        <w:rPr>
          <w:rFonts w:ascii="Verdana" w:eastAsia="Calibri" w:hAnsi="Verdana" w:cs="Times New Roman"/>
          <w:sz w:val="20"/>
          <w:szCs w:val="20"/>
        </w:rPr>
        <w:t>n 2019 UNICEF supported training, upgraded the programme and distributed the budget workbook to be used in 32 states</w:t>
      </w:r>
      <w:r w:rsidR="004328C0" w:rsidRPr="003E2544">
        <w:rPr>
          <w:rFonts w:ascii="Verdana" w:eastAsia="Calibri" w:hAnsi="Verdana" w:cs="Times New Roman"/>
          <w:sz w:val="20"/>
          <w:szCs w:val="20"/>
        </w:rPr>
        <w:t xml:space="preserve"> as an interim measure</w:t>
      </w:r>
      <w:r w:rsidR="00CF66AA" w:rsidRPr="003E2544">
        <w:rPr>
          <w:rFonts w:ascii="Verdana" w:eastAsia="Calibri" w:hAnsi="Verdana" w:cs="Times New Roman"/>
          <w:sz w:val="20"/>
          <w:szCs w:val="20"/>
        </w:rPr>
        <w:t>. If an IFMIS is introduced, its budget module would replace the current Excel workbook</w:t>
      </w:r>
      <w:r w:rsidR="004328C0" w:rsidRPr="003E2544">
        <w:rPr>
          <w:rFonts w:ascii="Verdana" w:eastAsia="Calibri" w:hAnsi="Verdana" w:cs="Times New Roman"/>
          <w:sz w:val="20"/>
          <w:szCs w:val="20"/>
        </w:rPr>
        <w:t xml:space="preserve">, and </w:t>
      </w:r>
      <w:r w:rsidR="00CF66AA" w:rsidRPr="003E2544">
        <w:rPr>
          <w:rFonts w:ascii="Verdana" w:eastAsia="Calibri" w:hAnsi="Verdana" w:cs="Times New Roman"/>
          <w:sz w:val="20"/>
          <w:szCs w:val="20"/>
        </w:rPr>
        <w:t xml:space="preserve">UNICEF and GRSS can explore </w:t>
      </w:r>
      <w:r w:rsidR="008C7B9E">
        <w:rPr>
          <w:rFonts w:ascii="Verdana" w:eastAsia="Calibri" w:hAnsi="Verdana" w:cs="Times New Roman"/>
          <w:sz w:val="20"/>
          <w:szCs w:val="20"/>
        </w:rPr>
        <w:t>ways</w:t>
      </w:r>
      <w:r w:rsidR="00CF66AA" w:rsidRPr="003E2544">
        <w:rPr>
          <w:rFonts w:ascii="Verdana" w:eastAsia="Calibri" w:hAnsi="Verdana" w:cs="Times New Roman"/>
          <w:sz w:val="20"/>
          <w:szCs w:val="20"/>
        </w:rPr>
        <w:t xml:space="preserve"> </w:t>
      </w:r>
      <w:r w:rsidR="008C7B9E">
        <w:rPr>
          <w:rFonts w:ascii="Verdana" w:eastAsia="Calibri" w:hAnsi="Verdana" w:cs="Times New Roman"/>
          <w:sz w:val="20"/>
          <w:szCs w:val="20"/>
        </w:rPr>
        <w:t xml:space="preserve">for </w:t>
      </w:r>
      <w:r w:rsidR="00CF66AA" w:rsidRPr="003E2544">
        <w:rPr>
          <w:rFonts w:ascii="Verdana" w:eastAsia="Calibri" w:hAnsi="Verdana" w:cs="Times New Roman"/>
          <w:sz w:val="20"/>
          <w:szCs w:val="20"/>
        </w:rPr>
        <w:t xml:space="preserve">the IFMIS provider </w:t>
      </w:r>
      <w:r w:rsidR="008C7B9E">
        <w:rPr>
          <w:rFonts w:ascii="Verdana" w:eastAsia="Calibri" w:hAnsi="Verdana" w:cs="Times New Roman"/>
          <w:sz w:val="20"/>
          <w:szCs w:val="20"/>
        </w:rPr>
        <w:t xml:space="preserve">to </w:t>
      </w:r>
      <w:r w:rsidR="00CF66AA" w:rsidRPr="003E2544">
        <w:rPr>
          <w:rFonts w:ascii="Verdana" w:eastAsia="Calibri" w:hAnsi="Verdana" w:cs="Times New Roman"/>
          <w:sz w:val="20"/>
          <w:szCs w:val="20"/>
        </w:rPr>
        <w:t xml:space="preserve">co-fund state level training. </w:t>
      </w:r>
    </w:p>
    <w:p w14:paraId="34FCB964" w14:textId="44277F85" w:rsidR="0087391B" w:rsidRPr="003E2544" w:rsidRDefault="008C7B9E" w:rsidP="00245274">
      <w:pPr>
        <w:spacing w:before="100" w:beforeAutospacing="1" w:after="100" w:afterAutospacing="1" w:line="240" w:lineRule="auto"/>
        <w:jc w:val="both"/>
        <w:rPr>
          <w:rFonts w:ascii="Verdana" w:eastAsia="Calibri" w:hAnsi="Verdana" w:cs="Times New Roman"/>
          <w:sz w:val="20"/>
          <w:szCs w:val="20"/>
        </w:rPr>
      </w:pPr>
      <w:r w:rsidRPr="003E2544">
        <w:rPr>
          <w:rFonts w:ascii="Verdana" w:eastAsia="Calibri" w:hAnsi="Verdana" w:cs="Times New Roman"/>
          <w:sz w:val="20"/>
          <w:szCs w:val="20"/>
        </w:rPr>
        <w:t xml:space="preserve">For a compliant and transparent PFM system, internet connectivity is crucial. </w:t>
      </w:r>
      <w:r>
        <w:rPr>
          <w:rFonts w:ascii="Verdana" w:eastAsia="Calibri" w:hAnsi="Verdana" w:cs="Times New Roman"/>
          <w:sz w:val="20"/>
          <w:szCs w:val="20"/>
        </w:rPr>
        <w:t>However, i</w:t>
      </w:r>
      <w:r w:rsidR="00CF66AA" w:rsidRPr="003E2544">
        <w:rPr>
          <w:rFonts w:ascii="Verdana" w:eastAsia="Calibri" w:hAnsi="Verdana" w:cs="Times New Roman"/>
          <w:sz w:val="20"/>
          <w:szCs w:val="20"/>
        </w:rPr>
        <w:t xml:space="preserve">nternet connectivity is virtually non-existent outside of Juba and other towns. The GRSS will address this issue through </w:t>
      </w:r>
      <w:r>
        <w:rPr>
          <w:rFonts w:ascii="Verdana" w:eastAsia="Calibri" w:hAnsi="Verdana" w:cs="Times New Roman"/>
          <w:sz w:val="20"/>
          <w:szCs w:val="20"/>
        </w:rPr>
        <w:t>its</w:t>
      </w:r>
      <w:r w:rsidRPr="003E2544">
        <w:rPr>
          <w:rFonts w:ascii="Verdana" w:eastAsia="Calibri" w:hAnsi="Verdana" w:cs="Times New Roman"/>
          <w:sz w:val="20"/>
          <w:szCs w:val="20"/>
        </w:rPr>
        <w:t xml:space="preserve"> </w:t>
      </w:r>
      <w:r w:rsidR="00CF66AA" w:rsidRPr="003E2544">
        <w:rPr>
          <w:rFonts w:ascii="Verdana" w:eastAsia="Calibri" w:hAnsi="Verdana" w:cs="Times New Roman"/>
          <w:sz w:val="20"/>
          <w:szCs w:val="20"/>
        </w:rPr>
        <w:t>formal licensing procedures. The reconstruction of connectivity infrastructure may provide funding opportunities. In addition, the banking system has virtually collapsed and as it is rebuilt and opens additional GRSS accounts, sponsorship and mutual support opportunities can be explored.</w:t>
      </w:r>
    </w:p>
    <w:p w14:paraId="5E03D2E1" w14:textId="5ACA7132" w:rsidR="0087391B" w:rsidRPr="003E2544" w:rsidRDefault="0087391B" w:rsidP="00245274">
      <w:pPr>
        <w:spacing w:before="100" w:beforeAutospacing="1" w:after="100" w:afterAutospacing="1" w:line="240" w:lineRule="auto"/>
        <w:jc w:val="both"/>
        <w:rPr>
          <w:rFonts w:ascii="Verdana" w:eastAsia="Verdana" w:hAnsi="Verdana" w:cs="Verdana"/>
          <w:sz w:val="20"/>
          <w:szCs w:val="20"/>
        </w:rPr>
      </w:pPr>
      <w:r w:rsidRPr="003E2544">
        <w:rPr>
          <w:rFonts w:ascii="Verdana" w:eastAsia="Verdana" w:hAnsi="Verdana" w:cs="Verdana"/>
          <w:sz w:val="20"/>
          <w:szCs w:val="20"/>
        </w:rPr>
        <w:t xml:space="preserve">UNICEF currently co-leads the UNCF social services pillar </w:t>
      </w:r>
      <w:r w:rsidR="5C54CF92" w:rsidRPr="003E2544">
        <w:rPr>
          <w:rFonts w:ascii="Verdana" w:eastAsia="Verdana" w:hAnsi="Verdana" w:cs="Verdana"/>
          <w:sz w:val="20"/>
          <w:szCs w:val="20"/>
        </w:rPr>
        <w:t>and</w:t>
      </w:r>
      <w:r w:rsidRPr="003E2544">
        <w:rPr>
          <w:rFonts w:ascii="Verdana" w:eastAsia="Verdana" w:hAnsi="Verdana" w:cs="Verdana"/>
          <w:sz w:val="20"/>
          <w:szCs w:val="20"/>
        </w:rPr>
        <w:t xml:space="preserve"> plays a cluster leadership role in Education, Nutrition and WASH, and sub-cluster for Child Protection</w:t>
      </w:r>
      <w:r w:rsidR="008C7B9E">
        <w:rPr>
          <w:rFonts w:ascii="Verdana" w:eastAsia="Verdana" w:hAnsi="Verdana" w:cs="Verdana"/>
          <w:sz w:val="20"/>
          <w:szCs w:val="20"/>
        </w:rPr>
        <w:t xml:space="preserve">. </w:t>
      </w:r>
      <w:r w:rsidRPr="003E2544">
        <w:rPr>
          <w:rFonts w:ascii="Verdana" w:eastAsia="Verdana" w:hAnsi="Verdana" w:cs="Verdana"/>
          <w:sz w:val="20"/>
          <w:szCs w:val="20"/>
        </w:rPr>
        <w:t xml:space="preserve">UNDP and UNICEF can therefore jointly advocate through multiple channels around the importance of prioritizing allocations towards social services that benefit vulnerable populations including children and women. UNICEF also supports </w:t>
      </w:r>
      <w:r w:rsidR="008C7B9E">
        <w:rPr>
          <w:rFonts w:ascii="Verdana" w:eastAsia="Verdana" w:hAnsi="Verdana" w:cs="Verdana"/>
          <w:sz w:val="20"/>
          <w:szCs w:val="20"/>
        </w:rPr>
        <w:t>MoGCSW</w:t>
      </w:r>
      <w:r w:rsidRPr="003E2544">
        <w:rPr>
          <w:rFonts w:ascii="Verdana" w:eastAsia="Verdana" w:hAnsi="Verdana" w:cs="Verdana"/>
          <w:sz w:val="20"/>
          <w:szCs w:val="20"/>
        </w:rPr>
        <w:t xml:space="preserve"> under a 2019</w:t>
      </w:r>
      <w:r w:rsidR="008C7B9E">
        <w:rPr>
          <w:rFonts w:ascii="Verdana" w:eastAsia="Verdana" w:hAnsi="Verdana" w:cs="Verdana"/>
          <w:sz w:val="20"/>
          <w:szCs w:val="20"/>
        </w:rPr>
        <w:t>–</w:t>
      </w:r>
      <w:r w:rsidRPr="003E2544">
        <w:rPr>
          <w:rFonts w:ascii="Verdana" w:eastAsia="Verdana" w:hAnsi="Verdana" w:cs="Verdana"/>
          <w:sz w:val="20"/>
          <w:szCs w:val="20"/>
        </w:rPr>
        <w:t>2021 Workplan on Social Protection, which is a dedicated target under SDG</w:t>
      </w:r>
      <w:r w:rsidR="008C7B9E">
        <w:rPr>
          <w:rFonts w:ascii="Verdana" w:eastAsia="Verdana" w:hAnsi="Verdana" w:cs="Verdana"/>
          <w:sz w:val="20"/>
          <w:szCs w:val="20"/>
        </w:rPr>
        <w:t xml:space="preserve"> </w:t>
      </w:r>
      <w:r w:rsidRPr="003E2544">
        <w:rPr>
          <w:rFonts w:ascii="Verdana" w:eastAsia="Verdana" w:hAnsi="Verdana" w:cs="Verdana"/>
          <w:sz w:val="20"/>
          <w:szCs w:val="20"/>
        </w:rPr>
        <w:t>1, which includes support to the strengthening of the National Social Protection Working Group, where advocacy around budget allocations for social services can be elevated</w:t>
      </w:r>
      <w:r w:rsidR="00BF3D9B" w:rsidRPr="003E2544">
        <w:rPr>
          <w:rFonts w:ascii="Verdana" w:eastAsia="Verdana" w:hAnsi="Verdana" w:cs="Verdana"/>
          <w:sz w:val="20"/>
          <w:szCs w:val="20"/>
        </w:rPr>
        <w:t>.</w:t>
      </w:r>
      <w:r w:rsidR="00366568" w:rsidRPr="003E2544">
        <w:rPr>
          <w:rFonts w:ascii="Verdana" w:eastAsia="Verdana" w:hAnsi="Verdana" w:cs="Verdana"/>
          <w:sz w:val="20"/>
          <w:szCs w:val="20"/>
        </w:rPr>
        <w:t xml:space="preserve"> Both UNICEF and UNDP are co-chairs of the UN </w:t>
      </w:r>
      <w:r w:rsidR="008C7B9E">
        <w:rPr>
          <w:rFonts w:ascii="Verdana" w:eastAsia="Verdana" w:hAnsi="Verdana" w:cs="Verdana"/>
          <w:sz w:val="20"/>
          <w:szCs w:val="20"/>
        </w:rPr>
        <w:t>Monitoring and Evaluation (</w:t>
      </w:r>
      <w:r w:rsidR="00366568" w:rsidRPr="003E2544">
        <w:rPr>
          <w:rFonts w:ascii="Verdana" w:eastAsia="Verdana" w:hAnsi="Verdana" w:cs="Verdana"/>
          <w:sz w:val="20"/>
          <w:szCs w:val="20"/>
        </w:rPr>
        <w:t>M&amp;E</w:t>
      </w:r>
      <w:r w:rsidR="008C7B9E">
        <w:rPr>
          <w:rFonts w:ascii="Verdana" w:eastAsia="Verdana" w:hAnsi="Verdana" w:cs="Verdana"/>
          <w:sz w:val="20"/>
          <w:szCs w:val="20"/>
        </w:rPr>
        <w:t>)</w:t>
      </w:r>
      <w:r w:rsidR="00366568" w:rsidRPr="003E2544">
        <w:rPr>
          <w:rFonts w:ascii="Verdana" w:eastAsia="Verdana" w:hAnsi="Verdana" w:cs="Verdana"/>
          <w:sz w:val="20"/>
          <w:szCs w:val="20"/>
        </w:rPr>
        <w:t xml:space="preserve"> Working Group under the </w:t>
      </w:r>
      <w:r w:rsidR="008C7B9E">
        <w:rPr>
          <w:rFonts w:ascii="Verdana" w:eastAsia="Verdana" w:hAnsi="Verdana" w:cs="Verdana"/>
          <w:sz w:val="20"/>
          <w:szCs w:val="20"/>
        </w:rPr>
        <w:t>UNCF</w:t>
      </w:r>
      <w:r w:rsidR="00366568" w:rsidRPr="003E2544">
        <w:rPr>
          <w:rFonts w:ascii="Verdana" w:eastAsia="Verdana" w:hAnsi="Verdana" w:cs="Verdana"/>
          <w:sz w:val="20"/>
          <w:szCs w:val="20"/>
        </w:rPr>
        <w:t>; there are complementary</w:t>
      </w:r>
      <w:r w:rsidR="00605013" w:rsidRPr="003E2544">
        <w:rPr>
          <w:rFonts w:ascii="Verdana" w:eastAsia="Verdana" w:hAnsi="Verdana" w:cs="Verdana"/>
          <w:sz w:val="20"/>
          <w:szCs w:val="20"/>
        </w:rPr>
        <w:t xml:space="preserve"> initiatives</w:t>
      </w:r>
      <w:r w:rsidR="00366568" w:rsidRPr="003E2544">
        <w:rPr>
          <w:rFonts w:ascii="Verdana" w:eastAsia="Verdana" w:hAnsi="Verdana" w:cs="Verdana"/>
          <w:sz w:val="20"/>
          <w:szCs w:val="20"/>
        </w:rPr>
        <w:t xml:space="preserve"> of the UN M&amp;E </w:t>
      </w:r>
      <w:r w:rsidR="008C7B9E" w:rsidRPr="003E2544">
        <w:rPr>
          <w:rFonts w:ascii="Verdana" w:eastAsia="Verdana" w:hAnsi="Verdana" w:cs="Verdana"/>
          <w:sz w:val="20"/>
          <w:szCs w:val="20"/>
        </w:rPr>
        <w:t>Working Group</w:t>
      </w:r>
      <w:r w:rsidR="008C7B9E" w:rsidRPr="003E2544" w:rsidDel="008C7B9E">
        <w:rPr>
          <w:rFonts w:ascii="Verdana" w:eastAsia="Verdana" w:hAnsi="Verdana" w:cs="Verdana"/>
          <w:sz w:val="20"/>
          <w:szCs w:val="20"/>
        </w:rPr>
        <w:t xml:space="preserve"> </w:t>
      </w:r>
      <w:r w:rsidR="00366568" w:rsidRPr="003E2544">
        <w:rPr>
          <w:rFonts w:ascii="Verdana" w:eastAsia="Verdana" w:hAnsi="Verdana" w:cs="Verdana"/>
          <w:sz w:val="20"/>
          <w:szCs w:val="20"/>
        </w:rPr>
        <w:t xml:space="preserve">to support </w:t>
      </w:r>
      <w:r w:rsidR="008C7B9E">
        <w:rPr>
          <w:rFonts w:ascii="Verdana" w:eastAsia="Verdana" w:hAnsi="Verdana" w:cs="Verdana"/>
          <w:sz w:val="20"/>
          <w:szCs w:val="20"/>
        </w:rPr>
        <w:t>GRSS to</w:t>
      </w:r>
      <w:r w:rsidR="00366568" w:rsidRPr="003E2544">
        <w:rPr>
          <w:rFonts w:ascii="Verdana" w:eastAsia="Verdana" w:hAnsi="Verdana" w:cs="Verdana"/>
          <w:sz w:val="20"/>
          <w:szCs w:val="20"/>
        </w:rPr>
        <w:t xml:space="preserve"> strengthen coordination around the SDGs, specifically to establish a National SDG monitoring taskforce in 2020</w:t>
      </w:r>
      <w:r w:rsidR="00546F01" w:rsidRPr="003E2544">
        <w:rPr>
          <w:rFonts w:ascii="Verdana" w:eastAsia="Verdana" w:hAnsi="Verdana" w:cs="Verdana"/>
          <w:sz w:val="20"/>
          <w:szCs w:val="20"/>
        </w:rPr>
        <w:t xml:space="preserve">, with the </w:t>
      </w:r>
      <w:r w:rsidR="008566CB" w:rsidRPr="003E2544">
        <w:rPr>
          <w:rFonts w:ascii="Verdana" w:eastAsia="Verdana" w:hAnsi="Verdana" w:cs="Verdana"/>
          <w:sz w:val="20"/>
          <w:szCs w:val="20"/>
        </w:rPr>
        <w:t xml:space="preserve">first national meeting with </w:t>
      </w:r>
      <w:r w:rsidR="008C7B9E">
        <w:rPr>
          <w:rFonts w:ascii="Verdana" w:eastAsia="Verdana" w:hAnsi="Verdana" w:cs="Verdana"/>
          <w:sz w:val="20"/>
          <w:szCs w:val="20"/>
        </w:rPr>
        <w:t>the National Bureau of Statistics</w:t>
      </w:r>
      <w:r w:rsidR="008566CB" w:rsidRPr="003E2544">
        <w:rPr>
          <w:rFonts w:ascii="Verdana" w:eastAsia="Verdana" w:hAnsi="Verdana" w:cs="Verdana"/>
          <w:sz w:val="20"/>
          <w:szCs w:val="20"/>
        </w:rPr>
        <w:t>, Ministries, UN and civil society, to launch the process held on 10 March 2020.</w:t>
      </w:r>
    </w:p>
    <w:p w14:paraId="580960CF" w14:textId="62296AE6" w:rsidR="00AA51C6" w:rsidRPr="003E2544" w:rsidRDefault="00BF3D9B" w:rsidP="00245274">
      <w:pPr>
        <w:spacing w:line="240" w:lineRule="auto"/>
        <w:jc w:val="both"/>
        <w:rPr>
          <w:rFonts w:ascii="Verdana" w:eastAsia="Verdana" w:hAnsi="Verdana" w:cs="Verdana"/>
          <w:sz w:val="20"/>
          <w:szCs w:val="20"/>
        </w:rPr>
      </w:pPr>
      <w:r w:rsidRPr="003E2544">
        <w:rPr>
          <w:rFonts w:ascii="Verdana" w:eastAsia="Verdana" w:hAnsi="Verdana" w:cs="Verdana"/>
          <w:sz w:val="20"/>
          <w:szCs w:val="20"/>
        </w:rPr>
        <w:t xml:space="preserve">The </w:t>
      </w:r>
      <w:r w:rsidR="0F939893" w:rsidRPr="003E2544">
        <w:rPr>
          <w:rFonts w:ascii="Verdana" w:eastAsia="Verdana" w:hAnsi="Verdana" w:cs="Verdana"/>
          <w:sz w:val="20"/>
          <w:szCs w:val="20"/>
        </w:rPr>
        <w:t>JP</w:t>
      </w:r>
      <w:r w:rsidRPr="003E2544">
        <w:rPr>
          <w:rFonts w:ascii="Verdana" w:eastAsia="Verdana" w:hAnsi="Verdana" w:cs="Verdana"/>
          <w:sz w:val="20"/>
          <w:szCs w:val="20"/>
        </w:rPr>
        <w:t xml:space="preserve"> works in tandem with and leverages additional partner financing.</w:t>
      </w:r>
      <w:r w:rsidR="002C651A" w:rsidRPr="003E2544">
        <w:rPr>
          <w:rFonts w:ascii="Verdana" w:eastAsia="Verdana" w:hAnsi="Verdana" w:cs="Verdana"/>
          <w:sz w:val="20"/>
          <w:szCs w:val="20"/>
        </w:rPr>
        <w:t xml:space="preserve"> This includes </w:t>
      </w:r>
      <w:r w:rsidR="008C7B9E">
        <w:rPr>
          <w:rFonts w:ascii="Verdana" w:eastAsia="Verdana" w:hAnsi="Verdana" w:cs="Verdana"/>
          <w:sz w:val="20"/>
          <w:szCs w:val="20"/>
        </w:rPr>
        <w:t>AfDB’s</w:t>
      </w:r>
      <w:r w:rsidRPr="003E2544">
        <w:rPr>
          <w:rFonts w:ascii="Verdana" w:eastAsia="Verdana" w:hAnsi="Verdana" w:cs="Verdana"/>
          <w:sz w:val="20"/>
          <w:szCs w:val="20"/>
        </w:rPr>
        <w:t xml:space="preserve"> programme implemented by UNDP which provides basic office equipment and training; advice on aid and debt; budgeting processes</w:t>
      </w:r>
      <w:r w:rsidR="008C7B9E">
        <w:rPr>
          <w:rFonts w:ascii="Verdana" w:eastAsia="Verdana" w:hAnsi="Verdana" w:cs="Verdana"/>
          <w:sz w:val="20"/>
          <w:szCs w:val="20"/>
        </w:rPr>
        <w:t>;</w:t>
      </w:r>
      <w:r w:rsidRPr="003E2544">
        <w:rPr>
          <w:rFonts w:ascii="Verdana" w:eastAsia="Verdana" w:hAnsi="Verdana" w:cs="Verdana"/>
          <w:sz w:val="20"/>
          <w:szCs w:val="20"/>
        </w:rPr>
        <w:t xml:space="preserve"> the establishment of </w:t>
      </w:r>
      <w:r w:rsidR="008C7B9E">
        <w:rPr>
          <w:rFonts w:ascii="Verdana" w:eastAsia="Verdana" w:hAnsi="Verdana" w:cs="Verdana"/>
          <w:sz w:val="20"/>
          <w:szCs w:val="20"/>
        </w:rPr>
        <w:t>an NRA;</w:t>
      </w:r>
      <w:r w:rsidRPr="003E2544">
        <w:rPr>
          <w:rFonts w:ascii="Verdana" w:eastAsia="Verdana" w:hAnsi="Verdana" w:cs="Verdana"/>
          <w:sz w:val="20"/>
          <w:szCs w:val="20"/>
        </w:rPr>
        <w:t xml:space="preserve"> </w:t>
      </w:r>
      <w:r w:rsidR="008C7B9E">
        <w:rPr>
          <w:rFonts w:ascii="Verdana" w:eastAsia="Verdana" w:hAnsi="Verdana" w:cs="Verdana"/>
          <w:sz w:val="20"/>
          <w:szCs w:val="20"/>
        </w:rPr>
        <w:t xml:space="preserve">and </w:t>
      </w:r>
      <w:r w:rsidRPr="003E2544">
        <w:rPr>
          <w:rFonts w:ascii="Verdana" w:eastAsia="Verdana" w:hAnsi="Verdana" w:cs="Verdana"/>
          <w:sz w:val="20"/>
          <w:szCs w:val="20"/>
        </w:rPr>
        <w:t>internal and external audit and IT suppor</w:t>
      </w:r>
      <w:r w:rsidR="0049691B" w:rsidRPr="003E2544">
        <w:rPr>
          <w:rFonts w:ascii="Verdana" w:eastAsia="Verdana" w:hAnsi="Verdana" w:cs="Verdana"/>
          <w:sz w:val="20"/>
          <w:szCs w:val="20"/>
        </w:rPr>
        <w:t xml:space="preserve">t. </w:t>
      </w:r>
    </w:p>
    <w:p w14:paraId="2A62D3A5" w14:textId="7453EB5A" w:rsidR="00AA51C6" w:rsidRPr="003E2544" w:rsidRDefault="00AA51C6" w:rsidP="00245274">
      <w:pPr>
        <w:spacing w:line="240" w:lineRule="auto"/>
        <w:jc w:val="both"/>
        <w:rPr>
          <w:rFonts w:ascii="Verdana" w:eastAsia="Verdana" w:hAnsi="Verdana" w:cs="Verdana"/>
          <w:sz w:val="20"/>
          <w:szCs w:val="20"/>
        </w:rPr>
      </w:pPr>
    </w:p>
    <w:p w14:paraId="57CE1096" w14:textId="46553EB5" w:rsidR="00BF3D9B" w:rsidRPr="003E2544" w:rsidRDefault="001D1966" w:rsidP="00245274">
      <w:pPr>
        <w:spacing w:line="240" w:lineRule="auto"/>
        <w:jc w:val="both"/>
        <w:rPr>
          <w:rFonts w:ascii="Verdana" w:eastAsia="Verdana" w:hAnsi="Verdana" w:cs="Verdana"/>
          <w:sz w:val="20"/>
          <w:szCs w:val="20"/>
        </w:rPr>
      </w:pPr>
      <w:r w:rsidRPr="003E2544">
        <w:rPr>
          <w:rFonts w:ascii="Verdana" w:eastAsia="Verdana" w:hAnsi="Verdana" w:cs="Verdana"/>
          <w:sz w:val="20"/>
          <w:szCs w:val="20"/>
        </w:rPr>
        <w:lastRenderedPageBreak/>
        <w:t xml:space="preserve">The </w:t>
      </w:r>
      <w:r w:rsidR="0132B22F" w:rsidRPr="003E2544">
        <w:rPr>
          <w:rFonts w:ascii="Verdana" w:eastAsia="Verdana" w:hAnsi="Verdana" w:cs="Verdana"/>
          <w:sz w:val="20"/>
          <w:szCs w:val="20"/>
        </w:rPr>
        <w:t>JP</w:t>
      </w:r>
      <w:r w:rsidRPr="003E2544">
        <w:rPr>
          <w:rFonts w:ascii="Verdana" w:eastAsia="Verdana" w:hAnsi="Verdana" w:cs="Verdana"/>
          <w:sz w:val="20"/>
          <w:szCs w:val="20"/>
        </w:rPr>
        <w:t xml:space="preserve"> will also include </w:t>
      </w:r>
      <w:r w:rsidR="0049691B" w:rsidRPr="003E2544">
        <w:rPr>
          <w:rFonts w:ascii="Verdana" w:eastAsia="Verdana" w:hAnsi="Verdana" w:cs="Verdana"/>
          <w:sz w:val="20"/>
          <w:szCs w:val="20"/>
        </w:rPr>
        <w:t xml:space="preserve">unique </w:t>
      </w:r>
      <w:r w:rsidRPr="003E2544">
        <w:rPr>
          <w:rFonts w:ascii="Verdana" w:eastAsia="Verdana" w:hAnsi="Verdana" w:cs="Verdana"/>
          <w:sz w:val="20"/>
          <w:szCs w:val="20"/>
        </w:rPr>
        <w:t xml:space="preserve">partnerships with the </w:t>
      </w:r>
      <w:r w:rsidR="00BF3D9B" w:rsidRPr="003E2544">
        <w:rPr>
          <w:rFonts w:ascii="Verdana" w:eastAsia="Verdana" w:hAnsi="Verdana" w:cs="Verdana"/>
          <w:sz w:val="20"/>
          <w:szCs w:val="20"/>
        </w:rPr>
        <w:t>Global Partnership for Education (GPE)</w:t>
      </w:r>
      <w:r w:rsidR="00AA51C6" w:rsidRPr="003E2544">
        <w:rPr>
          <w:rFonts w:ascii="Verdana" w:eastAsia="Verdana" w:hAnsi="Verdana" w:cs="Verdana"/>
          <w:sz w:val="20"/>
          <w:szCs w:val="20"/>
        </w:rPr>
        <w:t xml:space="preserve"> through </w:t>
      </w:r>
      <w:r w:rsidRPr="003E2544">
        <w:rPr>
          <w:rFonts w:ascii="Verdana" w:eastAsia="Verdana" w:hAnsi="Verdana" w:cs="Verdana"/>
          <w:sz w:val="20"/>
          <w:szCs w:val="20"/>
        </w:rPr>
        <w:t xml:space="preserve">implementing a complementary activity around </w:t>
      </w:r>
      <w:r w:rsidR="00AA51C6" w:rsidRPr="003E2544">
        <w:rPr>
          <w:rFonts w:ascii="Verdana" w:eastAsia="Verdana" w:hAnsi="Verdana" w:cs="Verdana"/>
          <w:sz w:val="20"/>
          <w:szCs w:val="20"/>
        </w:rPr>
        <w:t xml:space="preserve">the </w:t>
      </w:r>
      <w:r w:rsidR="00E1676D">
        <w:rPr>
          <w:rFonts w:ascii="Verdana" w:eastAsia="Verdana" w:hAnsi="Verdana" w:cs="Verdana"/>
          <w:sz w:val="20"/>
          <w:szCs w:val="20"/>
        </w:rPr>
        <w:t xml:space="preserve">education sector </w:t>
      </w:r>
      <w:r w:rsidR="002C651A" w:rsidRPr="003E2544">
        <w:rPr>
          <w:rFonts w:ascii="Verdana" w:eastAsia="Verdana" w:hAnsi="Verdana" w:cs="Verdana"/>
          <w:sz w:val="20"/>
          <w:szCs w:val="20"/>
        </w:rPr>
        <w:t>PER</w:t>
      </w:r>
      <w:r w:rsidR="00E1676D">
        <w:rPr>
          <w:rFonts w:ascii="Verdana" w:eastAsia="Verdana" w:hAnsi="Verdana" w:cs="Verdana"/>
          <w:sz w:val="20"/>
          <w:szCs w:val="20"/>
        </w:rPr>
        <w:t xml:space="preserve"> and </w:t>
      </w:r>
      <w:r w:rsidR="002C651A" w:rsidRPr="003E2544">
        <w:rPr>
          <w:rFonts w:ascii="Verdana" w:eastAsia="Verdana" w:hAnsi="Verdana" w:cs="Verdana"/>
          <w:sz w:val="20"/>
          <w:szCs w:val="20"/>
        </w:rPr>
        <w:t>P</w:t>
      </w:r>
      <w:r w:rsidR="00AA51C6" w:rsidRPr="003E2544">
        <w:rPr>
          <w:rFonts w:ascii="Verdana" w:eastAsia="Verdana" w:hAnsi="Verdana" w:cs="Verdana"/>
          <w:sz w:val="20"/>
          <w:szCs w:val="20"/>
        </w:rPr>
        <w:t>ETS,</w:t>
      </w:r>
      <w:r w:rsidRPr="003E2544">
        <w:rPr>
          <w:rFonts w:ascii="Verdana" w:eastAsia="Verdana" w:hAnsi="Verdana" w:cs="Verdana"/>
          <w:sz w:val="20"/>
          <w:szCs w:val="20"/>
        </w:rPr>
        <w:t xml:space="preserve"> </w:t>
      </w:r>
      <w:r w:rsidR="00AA51C6" w:rsidRPr="003E2544">
        <w:rPr>
          <w:rFonts w:ascii="Verdana" w:eastAsia="Verdana" w:hAnsi="Verdana" w:cs="Verdana"/>
          <w:sz w:val="20"/>
          <w:szCs w:val="20"/>
        </w:rPr>
        <w:t xml:space="preserve">as well as </w:t>
      </w:r>
      <w:r w:rsidRPr="003E2544">
        <w:rPr>
          <w:rFonts w:ascii="Verdana" w:eastAsia="Verdana" w:hAnsi="Verdana" w:cs="Verdana"/>
          <w:sz w:val="20"/>
          <w:szCs w:val="20"/>
        </w:rPr>
        <w:t xml:space="preserve">with </w:t>
      </w:r>
      <w:r w:rsidR="00AA51C6" w:rsidRPr="003E2544">
        <w:rPr>
          <w:rFonts w:ascii="Verdana" w:eastAsia="Verdana" w:hAnsi="Verdana" w:cs="Verdana"/>
          <w:sz w:val="20"/>
          <w:szCs w:val="20"/>
        </w:rPr>
        <w:t>IBP</w:t>
      </w:r>
      <w:r w:rsidRPr="003E2544">
        <w:rPr>
          <w:rFonts w:ascii="Verdana" w:eastAsia="Verdana" w:hAnsi="Verdana" w:cs="Verdana"/>
          <w:sz w:val="20"/>
          <w:szCs w:val="20"/>
        </w:rPr>
        <w:t xml:space="preserve"> to </w:t>
      </w:r>
      <w:r w:rsidR="00AA51C6" w:rsidRPr="003E2544">
        <w:rPr>
          <w:rFonts w:ascii="Verdana" w:eastAsia="Verdana" w:hAnsi="Verdana" w:cs="Verdana"/>
          <w:sz w:val="20"/>
          <w:szCs w:val="20"/>
        </w:rPr>
        <w:t xml:space="preserve">support the </w:t>
      </w:r>
      <w:r w:rsidRPr="003E2544">
        <w:rPr>
          <w:rFonts w:ascii="Verdana" w:eastAsia="Verdana" w:hAnsi="Verdana" w:cs="Verdana"/>
          <w:sz w:val="20"/>
          <w:szCs w:val="20"/>
        </w:rPr>
        <w:t xml:space="preserve">national </w:t>
      </w:r>
      <w:r w:rsidR="00BF3D9B" w:rsidRPr="003E2544">
        <w:rPr>
          <w:rFonts w:ascii="Verdana" w:eastAsia="Verdana" w:hAnsi="Verdana" w:cs="Verdana"/>
          <w:sz w:val="20"/>
          <w:szCs w:val="20"/>
        </w:rPr>
        <w:t>budget transparency agenda</w:t>
      </w:r>
      <w:r w:rsidR="00AA51C6" w:rsidRPr="003E2544">
        <w:rPr>
          <w:rFonts w:ascii="Verdana" w:eastAsia="Verdana" w:hAnsi="Verdana" w:cs="Verdana"/>
          <w:sz w:val="20"/>
          <w:szCs w:val="20"/>
        </w:rPr>
        <w:t xml:space="preserve">.  </w:t>
      </w:r>
    </w:p>
    <w:p w14:paraId="3427B178" w14:textId="7453EB5A" w:rsidR="00AA51C6" w:rsidRPr="003E2544" w:rsidRDefault="00AA51C6" w:rsidP="00245274">
      <w:pPr>
        <w:spacing w:line="240" w:lineRule="auto"/>
        <w:jc w:val="both"/>
        <w:rPr>
          <w:rFonts w:ascii="Verdana" w:eastAsia="Verdana" w:hAnsi="Verdana" w:cs="Verdana"/>
          <w:sz w:val="20"/>
          <w:szCs w:val="20"/>
        </w:rPr>
      </w:pPr>
    </w:p>
    <w:p w14:paraId="5935E8F3" w14:textId="50D161B6" w:rsidR="00AA51C6" w:rsidRPr="003E2544" w:rsidRDefault="001D1966" w:rsidP="00245274">
      <w:pPr>
        <w:spacing w:line="240" w:lineRule="auto"/>
        <w:jc w:val="both"/>
        <w:rPr>
          <w:rFonts w:ascii="Verdana" w:eastAsia="Calibri" w:hAnsi="Verdana" w:cs="Times New Roman"/>
          <w:i/>
          <w:sz w:val="18"/>
          <w:szCs w:val="18"/>
        </w:rPr>
      </w:pPr>
      <w:r w:rsidRPr="003E2544">
        <w:rPr>
          <w:rFonts w:ascii="Verdana" w:eastAsia="Verdana" w:hAnsi="Verdana" w:cs="Verdana"/>
          <w:sz w:val="20"/>
          <w:szCs w:val="18"/>
        </w:rPr>
        <w:t>Under the leadership of the RC</w:t>
      </w:r>
      <w:r w:rsidR="00E1676D">
        <w:rPr>
          <w:rFonts w:ascii="Verdana" w:eastAsia="Verdana" w:hAnsi="Verdana" w:cs="Verdana"/>
          <w:sz w:val="20"/>
          <w:szCs w:val="18"/>
        </w:rPr>
        <w:t>O</w:t>
      </w:r>
      <w:r w:rsidRPr="003E2544">
        <w:rPr>
          <w:rFonts w:ascii="Verdana" w:eastAsia="Verdana" w:hAnsi="Verdana" w:cs="Verdana"/>
          <w:sz w:val="20"/>
          <w:szCs w:val="18"/>
        </w:rPr>
        <w:t xml:space="preserve">, </w:t>
      </w:r>
      <w:r w:rsidR="00AA51C6" w:rsidRPr="003E2544">
        <w:rPr>
          <w:rFonts w:ascii="Verdana" w:eastAsia="Verdana" w:hAnsi="Verdana" w:cs="Verdana"/>
          <w:sz w:val="20"/>
          <w:szCs w:val="18"/>
        </w:rPr>
        <w:t xml:space="preserve">UNICEF and UNDP will also draw expertise within the UN </w:t>
      </w:r>
      <w:r w:rsidR="00E1676D">
        <w:rPr>
          <w:rFonts w:ascii="Verdana" w:eastAsia="Verdana" w:hAnsi="Verdana" w:cs="Verdana"/>
          <w:sz w:val="20"/>
          <w:szCs w:val="18"/>
        </w:rPr>
        <w:t>C</w:t>
      </w:r>
      <w:r w:rsidR="00AA51C6" w:rsidRPr="003E2544">
        <w:rPr>
          <w:rFonts w:ascii="Verdana" w:eastAsia="Verdana" w:hAnsi="Verdana" w:cs="Verdana"/>
          <w:sz w:val="20"/>
          <w:szCs w:val="18"/>
        </w:rPr>
        <w:t xml:space="preserve">ountry </w:t>
      </w:r>
      <w:r w:rsidR="00E1676D">
        <w:rPr>
          <w:rFonts w:ascii="Verdana" w:eastAsia="Verdana" w:hAnsi="Verdana" w:cs="Verdana"/>
          <w:sz w:val="20"/>
          <w:szCs w:val="18"/>
        </w:rPr>
        <w:t>T</w:t>
      </w:r>
      <w:r w:rsidR="00AA51C6" w:rsidRPr="003E2544">
        <w:rPr>
          <w:rFonts w:ascii="Verdana" w:eastAsia="Verdana" w:hAnsi="Verdana" w:cs="Verdana"/>
          <w:sz w:val="20"/>
          <w:szCs w:val="18"/>
        </w:rPr>
        <w:t>eam</w:t>
      </w:r>
      <w:r w:rsidR="00E1676D">
        <w:rPr>
          <w:rFonts w:ascii="Verdana" w:eastAsia="Verdana" w:hAnsi="Verdana" w:cs="Verdana"/>
          <w:sz w:val="20"/>
          <w:szCs w:val="18"/>
        </w:rPr>
        <w:t xml:space="preserve"> (UNCT)</w:t>
      </w:r>
      <w:r w:rsidR="00AA51C6" w:rsidRPr="003E2544">
        <w:rPr>
          <w:rFonts w:ascii="Verdana" w:eastAsia="Verdana" w:hAnsi="Verdana" w:cs="Verdana"/>
          <w:sz w:val="20"/>
          <w:szCs w:val="18"/>
        </w:rPr>
        <w:t xml:space="preserve">; for example, WHO on health financing, OHCHR around human rights and UN Women around gender responsive budgeting. </w:t>
      </w:r>
    </w:p>
    <w:p w14:paraId="2CA5FDBF" w14:textId="461BF7C5" w:rsidR="007A53E1" w:rsidRPr="003E2544" w:rsidRDefault="007A53E1" w:rsidP="00245274">
      <w:pPr>
        <w:tabs>
          <w:tab w:val="left" w:pos="2080"/>
        </w:tabs>
        <w:spacing w:line="240" w:lineRule="auto"/>
        <w:jc w:val="both"/>
        <w:rPr>
          <w:rFonts w:ascii="Verdana" w:eastAsia="Calibri" w:hAnsi="Verdana" w:cs="Times New Roman"/>
          <w:i/>
          <w:sz w:val="18"/>
          <w:szCs w:val="18"/>
        </w:rPr>
      </w:pPr>
    </w:p>
    <w:p w14:paraId="2F73EDFC" w14:textId="508FC630" w:rsidR="0049691B" w:rsidRPr="003E2544" w:rsidRDefault="0049691B" w:rsidP="00245274">
      <w:pPr>
        <w:spacing w:line="240" w:lineRule="auto"/>
        <w:jc w:val="both"/>
        <w:rPr>
          <w:rFonts w:ascii="Verdana" w:eastAsia="Verdana" w:hAnsi="Verdana" w:cs="Verdana"/>
          <w:sz w:val="20"/>
          <w:szCs w:val="20"/>
        </w:rPr>
      </w:pPr>
      <w:r w:rsidRPr="003E2544">
        <w:rPr>
          <w:rFonts w:ascii="Verdana" w:eastAsia="Verdana" w:hAnsi="Verdana" w:cs="Verdana"/>
          <w:sz w:val="20"/>
          <w:szCs w:val="20"/>
        </w:rPr>
        <w:t xml:space="preserve">UNICEF and UNDP will continue to collaborate </w:t>
      </w:r>
      <w:r w:rsidR="555AA40B" w:rsidRPr="003E2544">
        <w:rPr>
          <w:rFonts w:ascii="Verdana" w:eastAsia="Verdana" w:hAnsi="Verdana" w:cs="Verdana"/>
          <w:sz w:val="20"/>
          <w:szCs w:val="20"/>
        </w:rPr>
        <w:t xml:space="preserve">with </w:t>
      </w:r>
      <w:r w:rsidRPr="003E2544">
        <w:rPr>
          <w:rFonts w:ascii="Verdana" w:eastAsia="Verdana" w:hAnsi="Verdana" w:cs="Verdana"/>
          <w:sz w:val="20"/>
          <w:szCs w:val="20"/>
        </w:rPr>
        <w:t xml:space="preserve">and draw expertise from PFM actors within </w:t>
      </w:r>
      <w:r w:rsidR="00E1676D">
        <w:rPr>
          <w:rFonts w:ascii="Verdana" w:eastAsia="Verdana" w:hAnsi="Verdana" w:cs="Verdana"/>
          <w:sz w:val="20"/>
          <w:szCs w:val="20"/>
        </w:rPr>
        <w:t>PDWG</w:t>
      </w:r>
      <w:r w:rsidRPr="003E2544">
        <w:rPr>
          <w:rFonts w:ascii="Verdana" w:eastAsia="Verdana" w:hAnsi="Verdana" w:cs="Verdana"/>
          <w:sz w:val="20"/>
          <w:szCs w:val="20"/>
        </w:rPr>
        <w:t xml:space="preserve">, with members such as the World Bank, AfDB as well as donors such as Norway, </w:t>
      </w:r>
      <w:r w:rsidR="00E1676D">
        <w:rPr>
          <w:rFonts w:ascii="Verdana" w:eastAsia="Verdana" w:hAnsi="Verdana" w:cs="Verdana"/>
          <w:sz w:val="20"/>
          <w:szCs w:val="20"/>
        </w:rPr>
        <w:t xml:space="preserve">the </w:t>
      </w:r>
      <w:r w:rsidRPr="003E2544">
        <w:rPr>
          <w:rFonts w:ascii="Verdana" w:eastAsia="Verdana" w:hAnsi="Verdana" w:cs="Verdana"/>
          <w:sz w:val="20"/>
          <w:szCs w:val="20"/>
        </w:rPr>
        <w:t>US</w:t>
      </w:r>
      <w:r w:rsidR="2937B1EC" w:rsidRPr="003E2544">
        <w:rPr>
          <w:rFonts w:ascii="Verdana" w:eastAsia="Verdana" w:hAnsi="Verdana" w:cs="Verdana"/>
          <w:sz w:val="20"/>
          <w:szCs w:val="20"/>
        </w:rPr>
        <w:t xml:space="preserve"> and</w:t>
      </w:r>
      <w:r w:rsidRPr="003E2544">
        <w:rPr>
          <w:rFonts w:ascii="Verdana" w:eastAsia="Verdana" w:hAnsi="Verdana" w:cs="Verdana"/>
          <w:sz w:val="20"/>
          <w:szCs w:val="20"/>
        </w:rPr>
        <w:t xml:space="preserve"> DFID. The draft </w:t>
      </w:r>
      <w:proofErr w:type="spellStart"/>
      <w:r w:rsidRPr="003E2544">
        <w:rPr>
          <w:rFonts w:ascii="Verdana" w:eastAsia="Verdana" w:hAnsi="Verdana" w:cs="Verdana"/>
          <w:sz w:val="20"/>
          <w:szCs w:val="20"/>
        </w:rPr>
        <w:t>ToC</w:t>
      </w:r>
      <w:proofErr w:type="spellEnd"/>
      <w:r w:rsidRPr="003E2544">
        <w:rPr>
          <w:rFonts w:ascii="Verdana" w:eastAsia="Verdana" w:hAnsi="Verdana" w:cs="Verdana"/>
          <w:sz w:val="20"/>
          <w:szCs w:val="20"/>
        </w:rPr>
        <w:t xml:space="preserve"> of the </w:t>
      </w:r>
      <w:r w:rsidR="595CD6BC" w:rsidRPr="003E2544">
        <w:rPr>
          <w:rFonts w:ascii="Verdana" w:eastAsia="Verdana" w:hAnsi="Verdana" w:cs="Verdana"/>
          <w:sz w:val="20"/>
          <w:szCs w:val="20"/>
        </w:rPr>
        <w:t>JP</w:t>
      </w:r>
      <w:r w:rsidRPr="003E2544">
        <w:rPr>
          <w:rFonts w:ascii="Verdana" w:eastAsia="Verdana" w:hAnsi="Verdana" w:cs="Verdana"/>
          <w:sz w:val="20"/>
          <w:szCs w:val="20"/>
        </w:rPr>
        <w:t xml:space="preserve"> was presented </w:t>
      </w:r>
      <w:r w:rsidR="00E1676D">
        <w:rPr>
          <w:rFonts w:ascii="Verdana" w:eastAsia="Verdana" w:hAnsi="Verdana" w:cs="Verdana"/>
          <w:sz w:val="20"/>
          <w:szCs w:val="20"/>
        </w:rPr>
        <w:t xml:space="preserve">to PDWG </w:t>
      </w:r>
      <w:r w:rsidRPr="003E2544">
        <w:rPr>
          <w:rFonts w:ascii="Verdana" w:eastAsia="Verdana" w:hAnsi="Verdana" w:cs="Verdana"/>
          <w:sz w:val="20"/>
          <w:szCs w:val="20"/>
        </w:rPr>
        <w:t xml:space="preserve">by UNICEF and UNDP during the February meeting for feedback. </w:t>
      </w:r>
    </w:p>
    <w:p w14:paraId="293577E0" w14:textId="77777777" w:rsidR="0049691B" w:rsidRPr="003E2544" w:rsidRDefault="0049691B" w:rsidP="00245274">
      <w:pPr>
        <w:spacing w:line="240" w:lineRule="auto"/>
        <w:rPr>
          <w:rFonts w:ascii="Verdana" w:eastAsia="Verdana" w:hAnsi="Verdana" w:cs="Verdana"/>
          <w:color w:val="7030A0"/>
          <w:sz w:val="20"/>
          <w:szCs w:val="18"/>
        </w:rPr>
      </w:pPr>
    </w:p>
    <w:p w14:paraId="45581D90" w14:textId="60730802" w:rsidR="005D66FB" w:rsidRPr="003E2544" w:rsidRDefault="005D66FB" w:rsidP="00245274">
      <w:pPr>
        <w:spacing w:line="240" w:lineRule="auto"/>
        <w:rPr>
          <w:rFonts w:ascii="Verdana" w:eastAsia="Calibri" w:hAnsi="Verdana" w:cs="Times New Roman"/>
          <w:i/>
          <w:color w:val="C45911" w:themeColor="accent2" w:themeShade="BF"/>
          <w:sz w:val="18"/>
          <w:szCs w:val="18"/>
        </w:rPr>
      </w:pPr>
    </w:p>
    <w:p w14:paraId="0CDCC369" w14:textId="77777777" w:rsidR="009655F1" w:rsidRPr="003E2544" w:rsidRDefault="009655F1" w:rsidP="00245274">
      <w:pPr>
        <w:spacing w:line="240" w:lineRule="auto"/>
        <w:rPr>
          <w:rFonts w:ascii="Verdana" w:eastAsia="Calibri" w:hAnsi="Verdana" w:cs="Times New Roman"/>
          <w:b/>
          <w:bCs/>
          <w:color w:val="000000" w:themeColor="text1"/>
          <w:sz w:val="18"/>
          <w:szCs w:val="18"/>
        </w:rPr>
      </w:pPr>
    </w:p>
    <w:p w14:paraId="6A2D8997" w14:textId="209A8359" w:rsidR="008169D9" w:rsidRPr="003E2544" w:rsidRDefault="008169D9" w:rsidP="00245274">
      <w:pPr>
        <w:spacing w:line="240" w:lineRule="auto"/>
        <w:rPr>
          <w:rFonts w:ascii="Verdana" w:eastAsia="Calibri" w:hAnsi="Verdana" w:cs="Times New Roman"/>
          <w:b/>
          <w:color w:val="0070C0"/>
          <w:sz w:val="20"/>
        </w:rPr>
      </w:pPr>
    </w:p>
    <w:p w14:paraId="4AD8EB57" w14:textId="77777777" w:rsidR="00364681" w:rsidRPr="003E2544" w:rsidRDefault="00364681" w:rsidP="00245274">
      <w:pPr>
        <w:spacing w:line="240" w:lineRule="auto"/>
        <w:rPr>
          <w:rFonts w:ascii="Verdana" w:eastAsia="Calibri" w:hAnsi="Verdana" w:cs="Times New Roman"/>
          <w:b/>
          <w:color w:val="0070C0"/>
          <w:sz w:val="20"/>
        </w:rPr>
        <w:sectPr w:rsidR="00364681" w:rsidRPr="003E2544" w:rsidSect="00761B42">
          <w:pgSz w:w="12240" w:h="15840"/>
          <w:pgMar w:top="1440" w:right="1440" w:bottom="1440" w:left="1440" w:header="720" w:footer="720" w:gutter="0"/>
          <w:cols w:space="720"/>
          <w:docGrid w:linePitch="360"/>
        </w:sectPr>
      </w:pPr>
      <w:bookmarkStart w:id="10" w:name="_Hlk33610328"/>
    </w:p>
    <w:p w14:paraId="47BB500C" w14:textId="1F563FC3" w:rsidR="00272BF8" w:rsidRPr="003E2544" w:rsidRDefault="00272BF8" w:rsidP="00866655">
      <w:pPr>
        <w:pStyle w:val="Heading2"/>
        <w:spacing w:line="240" w:lineRule="auto"/>
      </w:pPr>
      <w:r w:rsidRPr="003E2544">
        <w:lastRenderedPageBreak/>
        <w:t>3. Programme implementation</w:t>
      </w:r>
      <w:bookmarkEnd w:id="10"/>
    </w:p>
    <w:p w14:paraId="77FAB8E5" w14:textId="77777777" w:rsidR="00272BF8" w:rsidRPr="003E2544" w:rsidRDefault="00272BF8" w:rsidP="00245274">
      <w:pPr>
        <w:spacing w:line="240" w:lineRule="auto"/>
        <w:rPr>
          <w:rFonts w:ascii="Verdana" w:eastAsia="Calibri" w:hAnsi="Verdana" w:cs="Times New Roman"/>
          <w:i/>
          <w:color w:val="000000" w:themeColor="text1"/>
          <w:sz w:val="18"/>
          <w:szCs w:val="24"/>
        </w:rPr>
      </w:pPr>
    </w:p>
    <w:p w14:paraId="1D3631F2" w14:textId="27C6E827" w:rsidR="00E02A4D" w:rsidRPr="003E2544" w:rsidRDefault="00272BF8" w:rsidP="00866655">
      <w:pPr>
        <w:pStyle w:val="Heading3"/>
        <w:spacing w:line="240" w:lineRule="auto"/>
      </w:pPr>
      <w:r w:rsidRPr="003E2544">
        <w:t xml:space="preserve">3.1 Governance and implementation arrangements </w:t>
      </w:r>
    </w:p>
    <w:p w14:paraId="43DB4462" w14:textId="77777777" w:rsidR="00E02A4D" w:rsidRPr="003E2544" w:rsidRDefault="00E02A4D" w:rsidP="00245274">
      <w:pPr>
        <w:spacing w:line="240" w:lineRule="auto"/>
        <w:rPr>
          <w:rFonts w:ascii="Verdana" w:eastAsia="Calibri" w:hAnsi="Verdana" w:cs="Times New Roman"/>
          <w:b/>
          <w:bCs/>
          <w:color w:val="000000" w:themeColor="text1"/>
          <w:sz w:val="20"/>
          <w:szCs w:val="20"/>
        </w:rPr>
      </w:pPr>
    </w:p>
    <w:p w14:paraId="6FEFB020" w14:textId="3604F5B6" w:rsidR="00506C13" w:rsidRPr="003E2544" w:rsidRDefault="00E02A4D" w:rsidP="00245274">
      <w:pPr>
        <w:spacing w:line="240" w:lineRule="auto"/>
        <w:jc w:val="both"/>
        <w:rPr>
          <w:rFonts w:ascii="Verdana" w:eastAsia="Calibri" w:hAnsi="Verdana" w:cs="Times New Roman"/>
          <w:color w:val="000000"/>
          <w:sz w:val="20"/>
          <w:szCs w:val="20"/>
        </w:rPr>
      </w:pPr>
      <w:r w:rsidRPr="003E2544">
        <w:rPr>
          <w:rFonts w:ascii="Verdana" w:hAnsi="Verdana"/>
          <w:color w:val="000000" w:themeColor="text1"/>
          <w:sz w:val="20"/>
          <w:szCs w:val="20"/>
        </w:rPr>
        <w:t xml:space="preserve">As indicated in the </w:t>
      </w:r>
      <w:r w:rsidR="00E1676D" w:rsidRPr="003E2544">
        <w:rPr>
          <w:rFonts w:ascii="Verdana" w:hAnsi="Verdana"/>
          <w:color w:val="000000" w:themeColor="text1"/>
          <w:sz w:val="20"/>
          <w:szCs w:val="20"/>
        </w:rPr>
        <w:t xml:space="preserve">results </w:t>
      </w:r>
      <w:r w:rsidR="00E1676D">
        <w:rPr>
          <w:rFonts w:ascii="Verdana" w:hAnsi="Verdana"/>
          <w:color w:val="000000" w:themeColor="text1"/>
          <w:sz w:val="20"/>
          <w:szCs w:val="20"/>
        </w:rPr>
        <w:t>framework (Annex 3)</w:t>
      </w:r>
      <w:r w:rsidRPr="003E2544">
        <w:rPr>
          <w:rFonts w:ascii="Verdana" w:hAnsi="Verdana"/>
          <w:color w:val="000000" w:themeColor="text1"/>
          <w:sz w:val="20"/>
          <w:szCs w:val="20"/>
        </w:rPr>
        <w:t>, most JP activities will be implemented</w:t>
      </w:r>
      <w:r w:rsidR="001D53A4" w:rsidRPr="003E2544">
        <w:rPr>
          <w:rFonts w:ascii="Verdana" w:hAnsi="Verdana"/>
          <w:color w:val="000000" w:themeColor="text1"/>
          <w:sz w:val="20"/>
          <w:szCs w:val="20"/>
        </w:rPr>
        <w:t xml:space="preserve"> </w:t>
      </w:r>
      <w:r w:rsidRPr="003E2544">
        <w:rPr>
          <w:rFonts w:ascii="Verdana" w:hAnsi="Verdana"/>
          <w:color w:val="000000" w:themeColor="text1"/>
          <w:sz w:val="20"/>
          <w:szCs w:val="20"/>
        </w:rPr>
        <w:t xml:space="preserve">collaboratively by UNDP and UNICEF staff and their GRSS counterparts. </w:t>
      </w:r>
      <w:r w:rsidR="003C7A80" w:rsidRPr="003E2544">
        <w:rPr>
          <w:rFonts w:ascii="Verdana" w:hAnsi="Verdana"/>
          <w:color w:val="000000" w:themeColor="text1"/>
          <w:sz w:val="20"/>
          <w:szCs w:val="20"/>
        </w:rPr>
        <w:t>Certain activities</w:t>
      </w:r>
      <w:r w:rsidRPr="003E2544">
        <w:rPr>
          <w:rFonts w:ascii="Verdana" w:hAnsi="Verdana"/>
          <w:color w:val="000000" w:themeColor="text1"/>
          <w:sz w:val="20"/>
          <w:szCs w:val="20"/>
        </w:rPr>
        <w:t xml:space="preserve"> will be the responsibility of one of the entities based on the existing specialization areas in their GRSS workplan. The implementation mechanisms will be planned at the onset of the JP</w:t>
      </w:r>
      <w:r w:rsidR="582F4410" w:rsidRPr="003E2544">
        <w:rPr>
          <w:rFonts w:ascii="Verdana" w:eastAsia="Calibri" w:hAnsi="Verdana" w:cs="Times New Roman"/>
          <w:color w:val="000000" w:themeColor="text1"/>
          <w:sz w:val="20"/>
          <w:szCs w:val="20"/>
        </w:rPr>
        <w:t xml:space="preserve"> </w:t>
      </w:r>
      <w:r w:rsidRPr="003E2544">
        <w:rPr>
          <w:rFonts w:ascii="Verdana" w:hAnsi="Verdana"/>
          <w:color w:val="000000" w:themeColor="text1"/>
          <w:sz w:val="20"/>
          <w:szCs w:val="20"/>
        </w:rPr>
        <w:t>with a clear</w:t>
      </w:r>
      <w:r w:rsidR="00245274">
        <w:rPr>
          <w:rFonts w:ascii="Verdana" w:hAnsi="Verdana"/>
          <w:color w:val="000000" w:themeColor="text1"/>
          <w:sz w:val="20"/>
          <w:szCs w:val="20"/>
        </w:rPr>
        <w:t xml:space="preserve"> </w:t>
      </w:r>
      <w:r w:rsidRPr="003E2544">
        <w:rPr>
          <w:rFonts w:ascii="Verdana" w:hAnsi="Verdana"/>
          <w:color w:val="000000" w:themeColor="text1"/>
          <w:sz w:val="20"/>
          <w:szCs w:val="20"/>
        </w:rPr>
        <w:t>results</w:t>
      </w:r>
      <w:r w:rsidR="00E1676D">
        <w:rPr>
          <w:rFonts w:ascii="Verdana" w:hAnsi="Verdana"/>
          <w:color w:val="000000" w:themeColor="text1"/>
          <w:sz w:val="20"/>
          <w:szCs w:val="20"/>
        </w:rPr>
        <w:t xml:space="preserve"> </w:t>
      </w:r>
      <w:r w:rsidRPr="003E2544">
        <w:rPr>
          <w:rFonts w:ascii="Verdana" w:hAnsi="Verdana"/>
          <w:color w:val="000000" w:themeColor="text1"/>
          <w:sz w:val="20"/>
          <w:szCs w:val="20"/>
        </w:rPr>
        <w:t xml:space="preserve">framework detailing lines of accountability for delivery. To ensure seamless implementation, the JP will engage a coordinator, who will facilitate the activities for each PUNO (as specified in the JP </w:t>
      </w:r>
      <w:r w:rsidR="00E1676D" w:rsidRPr="003E2544">
        <w:rPr>
          <w:rFonts w:ascii="Verdana" w:hAnsi="Verdana"/>
          <w:color w:val="000000" w:themeColor="text1"/>
          <w:sz w:val="20"/>
          <w:szCs w:val="20"/>
        </w:rPr>
        <w:t xml:space="preserve">results </w:t>
      </w:r>
      <w:r w:rsidR="00E1676D">
        <w:rPr>
          <w:rFonts w:ascii="Verdana" w:hAnsi="Verdana"/>
          <w:color w:val="000000" w:themeColor="text1"/>
          <w:sz w:val="20"/>
          <w:szCs w:val="20"/>
        </w:rPr>
        <w:t>framework</w:t>
      </w:r>
      <w:r w:rsidRPr="003E2544">
        <w:rPr>
          <w:rFonts w:ascii="Verdana" w:hAnsi="Verdana"/>
          <w:color w:val="000000" w:themeColor="text1"/>
          <w:sz w:val="20"/>
          <w:szCs w:val="20"/>
        </w:rPr>
        <w:t>) as well as combined activities</w:t>
      </w:r>
      <w:r w:rsidR="00E1676D">
        <w:rPr>
          <w:rFonts w:ascii="Verdana" w:hAnsi="Verdana"/>
          <w:color w:val="000000" w:themeColor="text1"/>
          <w:sz w:val="20"/>
          <w:szCs w:val="20"/>
        </w:rPr>
        <w:t>,</w:t>
      </w:r>
      <w:r w:rsidRPr="003E2544">
        <w:rPr>
          <w:rFonts w:ascii="Verdana" w:hAnsi="Verdana"/>
          <w:color w:val="000000" w:themeColor="text1"/>
          <w:sz w:val="20"/>
          <w:szCs w:val="20"/>
        </w:rPr>
        <w:t xml:space="preserve"> and will be accountable to the JP Steering Committee. UNDP will focus on </w:t>
      </w:r>
      <w:r w:rsidR="00E1676D">
        <w:rPr>
          <w:rFonts w:ascii="Verdana" w:hAnsi="Verdana"/>
          <w:color w:val="000000" w:themeColor="text1"/>
          <w:sz w:val="20"/>
          <w:szCs w:val="20"/>
        </w:rPr>
        <w:t>SRA</w:t>
      </w:r>
      <w:r w:rsidRPr="003E2544">
        <w:rPr>
          <w:rFonts w:ascii="Verdana" w:hAnsi="Verdana"/>
          <w:color w:val="000000" w:themeColor="text1"/>
          <w:sz w:val="20"/>
          <w:szCs w:val="20"/>
        </w:rPr>
        <w:t xml:space="preserve"> </w:t>
      </w:r>
      <w:r w:rsidR="00E1676D" w:rsidRPr="003E2544">
        <w:rPr>
          <w:rFonts w:ascii="Verdana" w:hAnsi="Verdana"/>
          <w:color w:val="000000" w:themeColor="text1"/>
          <w:sz w:val="20"/>
          <w:szCs w:val="20"/>
        </w:rPr>
        <w:t>capacity building</w:t>
      </w:r>
      <w:r w:rsidRPr="003E2544">
        <w:rPr>
          <w:rFonts w:ascii="Verdana" w:hAnsi="Verdana"/>
          <w:color w:val="000000" w:themeColor="text1"/>
          <w:sz w:val="20"/>
          <w:szCs w:val="20"/>
        </w:rPr>
        <w:t xml:space="preserve">, whereas UNICEF will focus on </w:t>
      </w:r>
      <w:r w:rsidR="00866655">
        <w:rPr>
          <w:rFonts w:ascii="Verdana" w:hAnsi="Verdana"/>
          <w:color w:val="000000" w:themeColor="text1"/>
          <w:sz w:val="20"/>
          <w:szCs w:val="20"/>
        </w:rPr>
        <w:t xml:space="preserve">state </w:t>
      </w:r>
      <w:proofErr w:type="spellStart"/>
      <w:r w:rsidR="00E1676D">
        <w:rPr>
          <w:rFonts w:ascii="Verdana" w:hAnsi="Verdana"/>
          <w:color w:val="000000" w:themeColor="text1"/>
          <w:sz w:val="20"/>
          <w:szCs w:val="20"/>
        </w:rPr>
        <w:t>MoFP</w:t>
      </w:r>
      <w:r w:rsidR="00866655">
        <w:rPr>
          <w:rFonts w:ascii="Verdana" w:hAnsi="Verdana"/>
          <w:color w:val="000000" w:themeColor="text1"/>
          <w:sz w:val="20"/>
          <w:szCs w:val="20"/>
        </w:rPr>
        <w:t>s</w:t>
      </w:r>
      <w:proofErr w:type="spellEnd"/>
      <w:r w:rsidRPr="003E2544">
        <w:rPr>
          <w:rFonts w:ascii="Verdana" w:hAnsi="Verdana"/>
          <w:color w:val="000000" w:themeColor="text1"/>
          <w:sz w:val="20"/>
          <w:szCs w:val="20"/>
        </w:rPr>
        <w:t xml:space="preserve"> </w:t>
      </w:r>
      <w:r w:rsidR="00E1676D">
        <w:rPr>
          <w:rFonts w:ascii="Verdana" w:hAnsi="Verdana"/>
          <w:color w:val="000000" w:themeColor="text1"/>
          <w:sz w:val="20"/>
          <w:szCs w:val="20"/>
        </w:rPr>
        <w:t>c</w:t>
      </w:r>
      <w:r w:rsidRPr="003E2544">
        <w:rPr>
          <w:rFonts w:ascii="Verdana" w:hAnsi="Verdana"/>
          <w:color w:val="000000" w:themeColor="text1"/>
          <w:sz w:val="20"/>
          <w:szCs w:val="20"/>
        </w:rPr>
        <w:t xml:space="preserve">apacity </w:t>
      </w:r>
      <w:r w:rsidR="00E1676D">
        <w:rPr>
          <w:rFonts w:ascii="Verdana" w:hAnsi="Verdana"/>
          <w:color w:val="000000" w:themeColor="text1"/>
          <w:sz w:val="20"/>
          <w:szCs w:val="20"/>
        </w:rPr>
        <w:t>b</w:t>
      </w:r>
      <w:r w:rsidRPr="003E2544">
        <w:rPr>
          <w:rFonts w:ascii="Verdana" w:hAnsi="Verdana"/>
          <w:color w:val="000000" w:themeColor="text1"/>
          <w:sz w:val="20"/>
          <w:szCs w:val="20"/>
        </w:rPr>
        <w:t xml:space="preserve">uilding. </w:t>
      </w:r>
    </w:p>
    <w:p w14:paraId="38857833" w14:textId="77777777" w:rsidR="00506C13" w:rsidRPr="003E2544" w:rsidRDefault="00506C13" w:rsidP="00245274">
      <w:pPr>
        <w:spacing w:line="240" w:lineRule="auto"/>
        <w:jc w:val="both"/>
        <w:rPr>
          <w:rFonts w:ascii="Verdana" w:eastAsia="Calibri" w:hAnsi="Verdana" w:cs="Times New Roman"/>
          <w:iCs/>
          <w:color w:val="000000"/>
          <w:sz w:val="20"/>
          <w:szCs w:val="20"/>
        </w:rPr>
      </w:pPr>
    </w:p>
    <w:p w14:paraId="12247789" w14:textId="6D153F7B" w:rsidR="00E02A4D" w:rsidRPr="003E2544" w:rsidRDefault="6D545178" w:rsidP="00245274">
      <w:pPr>
        <w:spacing w:line="240" w:lineRule="auto"/>
        <w:jc w:val="both"/>
        <w:rPr>
          <w:rFonts w:ascii="Verdana" w:eastAsia="Calibri" w:hAnsi="Verdana" w:cs="Times New Roman"/>
          <w:b/>
          <w:bCs/>
          <w:color w:val="000000" w:themeColor="text1"/>
          <w:sz w:val="20"/>
          <w:szCs w:val="20"/>
        </w:rPr>
      </w:pPr>
      <w:r w:rsidRPr="003E2544">
        <w:rPr>
          <w:rFonts w:ascii="Verdana" w:eastAsia="Calibri" w:hAnsi="Verdana" w:cs="Times New Roman"/>
          <w:color w:val="000000" w:themeColor="text1"/>
          <w:sz w:val="20"/>
          <w:szCs w:val="20"/>
        </w:rPr>
        <w:t xml:space="preserve">The NDS, </w:t>
      </w:r>
      <w:r w:rsidR="71C93E0A" w:rsidRPr="003E2544">
        <w:rPr>
          <w:rFonts w:ascii="Verdana" w:eastAsia="Calibri" w:hAnsi="Verdana" w:cs="Times New Roman"/>
          <w:color w:val="000000" w:themeColor="text1"/>
          <w:sz w:val="20"/>
          <w:szCs w:val="20"/>
        </w:rPr>
        <w:t>IN</w:t>
      </w:r>
      <w:r w:rsidR="38F9DABF" w:rsidRPr="003E2544">
        <w:rPr>
          <w:rFonts w:ascii="Verdana" w:eastAsia="Calibri" w:hAnsi="Verdana" w:cs="Times New Roman"/>
          <w:color w:val="000000" w:themeColor="text1"/>
          <w:sz w:val="20"/>
          <w:szCs w:val="20"/>
        </w:rPr>
        <w:t>FF, SDSs, and Sector P</w:t>
      </w:r>
      <w:r w:rsidRPr="003E2544">
        <w:rPr>
          <w:rFonts w:ascii="Verdana" w:eastAsia="Calibri" w:hAnsi="Verdana" w:cs="Times New Roman"/>
          <w:color w:val="000000" w:themeColor="text1"/>
          <w:sz w:val="20"/>
          <w:szCs w:val="20"/>
        </w:rPr>
        <w:t>lans, as well as state reporting (both performance and financial reporting) is a joint activity of both PUNOs.</w:t>
      </w:r>
      <w:r w:rsidR="70507071" w:rsidRPr="003E2544">
        <w:rPr>
          <w:rFonts w:ascii="Verdana" w:eastAsia="Calibri" w:hAnsi="Verdana" w:cs="Times New Roman"/>
          <w:color w:val="000000" w:themeColor="text1"/>
          <w:sz w:val="20"/>
          <w:szCs w:val="20"/>
        </w:rPr>
        <w:t xml:space="preserve"> </w:t>
      </w:r>
      <w:r w:rsidRPr="003E2544">
        <w:rPr>
          <w:rFonts w:ascii="Verdana" w:eastAsia="Calibri" w:hAnsi="Verdana" w:cs="Times New Roman"/>
          <w:color w:val="000000" w:themeColor="text1"/>
          <w:sz w:val="20"/>
          <w:szCs w:val="20"/>
        </w:rPr>
        <w:t>In addition, each PUNO will design and deliver subject specific training to state mentors, working collaboratively with their government counterpart, with, for example, UNICEF focusing on budget preparation</w:t>
      </w:r>
      <w:r w:rsidR="599FA2EB" w:rsidRPr="003E2544">
        <w:rPr>
          <w:rFonts w:ascii="Verdana" w:eastAsia="Calibri" w:hAnsi="Verdana"/>
          <w:color w:val="000000" w:themeColor="text1"/>
          <w:sz w:val="20"/>
          <w:szCs w:val="20"/>
        </w:rPr>
        <w:t xml:space="preserve">, </w:t>
      </w:r>
      <w:r w:rsidRPr="003E2544">
        <w:rPr>
          <w:rFonts w:ascii="Verdana" w:eastAsia="Calibri" w:hAnsi="Verdana" w:cs="Times New Roman"/>
          <w:color w:val="000000" w:themeColor="text1"/>
          <w:sz w:val="20"/>
          <w:szCs w:val="20"/>
        </w:rPr>
        <w:t>UNDP on revenue mobilization</w:t>
      </w:r>
      <w:r w:rsidR="4871E5F5" w:rsidRPr="003E2544">
        <w:rPr>
          <w:rFonts w:ascii="Verdana" w:eastAsia="Calibri" w:hAnsi="Verdana" w:cs="Times New Roman"/>
          <w:color w:val="000000" w:themeColor="text1"/>
          <w:sz w:val="20"/>
          <w:szCs w:val="20"/>
        </w:rPr>
        <w:t xml:space="preserve"> and facilitating development planning</w:t>
      </w:r>
      <w:r w:rsidR="599FA2EB" w:rsidRPr="003E2544">
        <w:rPr>
          <w:rFonts w:ascii="Verdana" w:eastAsia="Calibri" w:hAnsi="Verdana"/>
          <w:color w:val="000000" w:themeColor="text1"/>
          <w:sz w:val="20"/>
          <w:szCs w:val="20"/>
        </w:rPr>
        <w:t xml:space="preserve">, OHCHR on </w:t>
      </w:r>
      <w:r w:rsidR="4D8BE83D" w:rsidRPr="003E2544">
        <w:rPr>
          <w:rFonts w:ascii="Verdana" w:eastAsia="Calibri" w:hAnsi="Verdana"/>
          <w:color w:val="000000" w:themeColor="text1"/>
          <w:sz w:val="20"/>
          <w:szCs w:val="20"/>
        </w:rPr>
        <w:t>the h</w:t>
      </w:r>
      <w:r w:rsidR="599FA2EB" w:rsidRPr="003E2544">
        <w:rPr>
          <w:rFonts w:ascii="Verdana" w:eastAsia="Calibri" w:hAnsi="Verdana"/>
          <w:color w:val="000000" w:themeColor="text1"/>
          <w:sz w:val="20"/>
          <w:szCs w:val="20"/>
        </w:rPr>
        <w:t xml:space="preserve">uman </w:t>
      </w:r>
      <w:r w:rsidR="138664B5" w:rsidRPr="003E2544">
        <w:rPr>
          <w:rFonts w:ascii="Verdana" w:eastAsia="Calibri" w:hAnsi="Verdana"/>
          <w:color w:val="000000" w:themeColor="text1"/>
          <w:sz w:val="20"/>
          <w:szCs w:val="20"/>
        </w:rPr>
        <w:t>r</w:t>
      </w:r>
      <w:r w:rsidR="599FA2EB" w:rsidRPr="003E2544">
        <w:rPr>
          <w:rFonts w:ascii="Verdana" w:eastAsia="Calibri" w:hAnsi="Verdana"/>
          <w:color w:val="000000" w:themeColor="text1"/>
          <w:sz w:val="20"/>
          <w:szCs w:val="20"/>
        </w:rPr>
        <w:t>ights</w:t>
      </w:r>
      <w:r w:rsidR="699573AD" w:rsidRPr="003E2544">
        <w:rPr>
          <w:rFonts w:ascii="Verdana" w:eastAsia="Calibri" w:hAnsi="Verdana"/>
          <w:color w:val="000000" w:themeColor="text1"/>
          <w:sz w:val="20"/>
          <w:szCs w:val="20"/>
        </w:rPr>
        <w:t>-based</w:t>
      </w:r>
      <w:r w:rsidR="599FA2EB" w:rsidRPr="003E2544">
        <w:rPr>
          <w:rFonts w:ascii="Verdana" w:eastAsia="Calibri" w:hAnsi="Verdana"/>
          <w:color w:val="000000" w:themeColor="text1"/>
          <w:sz w:val="20"/>
          <w:szCs w:val="20"/>
        </w:rPr>
        <w:t xml:space="preserve"> </w:t>
      </w:r>
      <w:r w:rsidR="17189FA2" w:rsidRPr="003E2544">
        <w:rPr>
          <w:rFonts w:ascii="Verdana" w:eastAsia="Calibri" w:hAnsi="Verdana"/>
          <w:color w:val="000000" w:themeColor="text1"/>
          <w:sz w:val="20"/>
          <w:szCs w:val="20"/>
        </w:rPr>
        <w:t>approach to sustainable development</w:t>
      </w:r>
      <w:r w:rsidR="00E1676D">
        <w:rPr>
          <w:rFonts w:ascii="Verdana" w:eastAsia="Calibri" w:hAnsi="Verdana"/>
          <w:color w:val="000000" w:themeColor="text1"/>
          <w:sz w:val="20"/>
          <w:szCs w:val="20"/>
        </w:rPr>
        <w:t>,</w:t>
      </w:r>
      <w:r w:rsidR="09219775" w:rsidRPr="003E2544">
        <w:rPr>
          <w:rFonts w:ascii="Verdana" w:eastAsia="Calibri" w:hAnsi="Verdana"/>
          <w:color w:val="000000" w:themeColor="text1"/>
          <w:sz w:val="20"/>
          <w:szCs w:val="20"/>
        </w:rPr>
        <w:t xml:space="preserve"> and WHO on health financing</w:t>
      </w:r>
      <w:r w:rsidR="0927DBB3" w:rsidRPr="003E2544">
        <w:rPr>
          <w:rFonts w:ascii="Verdana" w:eastAsia="Calibri" w:hAnsi="Verdana"/>
          <w:color w:val="000000" w:themeColor="text1"/>
          <w:sz w:val="20"/>
          <w:szCs w:val="20"/>
        </w:rPr>
        <w:t xml:space="preserve"> and operational planning for health</w:t>
      </w:r>
      <w:r w:rsidR="09219775" w:rsidRPr="003E2544">
        <w:rPr>
          <w:rFonts w:ascii="Verdana" w:eastAsia="Calibri" w:hAnsi="Verdana"/>
          <w:color w:val="000000" w:themeColor="text1"/>
          <w:sz w:val="20"/>
          <w:szCs w:val="20"/>
        </w:rPr>
        <w:t>.</w:t>
      </w:r>
      <w:r w:rsidRPr="003E2544">
        <w:rPr>
          <w:rFonts w:ascii="Verdana" w:eastAsia="Calibri" w:hAnsi="Verdana" w:cs="Times New Roman"/>
          <w:color w:val="000000" w:themeColor="text1"/>
          <w:sz w:val="20"/>
          <w:szCs w:val="20"/>
        </w:rPr>
        <w:t xml:space="preserve"> State level training will follow a similar approach</w:t>
      </w:r>
      <w:r w:rsidR="00E1676D">
        <w:rPr>
          <w:rFonts w:ascii="Verdana" w:eastAsia="Calibri" w:hAnsi="Verdana" w:cs="Times New Roman"/>
          <w:color w:val="000000" w:themeColor="text1"/>
          <w:sz w:val="20"/>
          <w:szCs w:val="20"/>
        </w:rPr>
        <w:t>,</w:t>
      </w:r>
      <w:r w:rsidR="09219775" w:rsidRPr="003E2544">
        <w:rPr>
          <w:rFonts w:ascii="Verdana" w:eastAsia="Calibri" w:hAnsi="Verdana" w:cs="Times New Roman"/>
          <w:color w:val="000000" w:themeColor="text1"/>
          <w:sz w:val="20"/>
          <w:szCs w:val="20"/>
        </w:rPr>
        <w:t xml:space="preserve"> and t</w:t>
      </w:r>
      <w:r w:rsidRPr="003E2544">
        <w:rPr>
          <w:rFonts w:ascii="Verdana" w:eastAsia="Calibri" w:hAnsi="Verdana" w:cs="Times New Roman"/>
          <w:color w:val="000000" w:themeColor="text1"/>
          <w:sz w:val="20"/>
          <w:szCs w:val="20"/>
        </w:rPr>
        <w:t xml:space="preserve">he </w:t>
      </w:r>
      <w:r w:rsidR="009B5B47">
        <w:rPr>
          <w:rFonts w:ascii="Verdana" w:eastAsia="Calibri" w:hAnsi="Verdana" w:cs="Times New Roman"/>
          <w:color w:val="000000" w:themeColor="text1"/>
          <w:sz w:val="20"/>
          <w:szCs w:val="20"/>
        </w:rPr>
        <w:t>subnational</w:t>
      </w:r>
      <w:r w:rsidRPr="003E2544">
        <w:rPr>
          <w:rFonts w:ascii="Verdana" w:eastAsia="Calibri" w:hAnsi="Verdana" w:cs="Times New Roman"/>
          <w:color w:val="000000" w:themeColor="text1"/>
          <w:sz w:val="20"/>
          <w:szCs w:val="20"/>
        </w:rPr>
        <w:t xml:space="preserve"> training and mentoring visits will be based on specific times in the budget calendar and the content and implementation will be the responsibility of the specific mentor from the relevant, appropriate MDA (MoFP</w:t>
      </w:r>
      <w:r w:rsidR="00E1676D">
        <w:rPr>
          <w:rFonts w:ascii="Verdana" w:eastAsia="Calibri" w:hAnsi="Verdana" w:cs="Times New Roman"/>
          <w:color w:val="000000" w:themeColor="text1"/>
          <w:sz w:val="20"/>
          <w:szCs w:val="20"/>
        </w:rPr>
        <w:t xml:space="preserve"> – </w:t>
      </w:r>
      <w:r w:rsidRPr="003E2544">
        <w:rPr>
          <w:rFonts w:ascii="Verdana" w:eastAsia="Calibri" w:hAnsi="Verdana" w:cs="Times New Roman"/>
          <w:color w:val="000000" w:themeColor="text1"/>
          <w:sz w:val="20"/>
          <w:szCs w:val="20"/>
        </w:rPr>
        <w:t xml:space="preserve">budget preparation, </w:t>
      </w:r>
      <w:r w:rsidR="00E1676D">
        <w:rPr>
          <w:rFonts w:ascii="Verdana" w:eastAsia="Calibri" w:hAnsi="Verdana" w:cs="Times New Roman"/>
          <w:color w:val="000000" w:themeColor="text1"/>
          <w:sz w:val="20"/>
          <w:szCs w:val="20"/>
        </w:rPr>
        <w:t xml:space="preserve">NRA – </w:t>
      </w:r>
      <w:r w:rsidRPr="003E2544">
        <w:rPr>
          <w:rFonts w:ascii="Verdana" w:eastAsia="Calibri" w:hAnsi="Verdana" w:cs="Times New Roman"/>
          <w:color w:val="000000" w:themeColor="text1"/>
          <w:sz w:val="20"/>
          <w:szCs w:val="20"/>
        </w:rPr>
        <w:t xml:space="preserve">local revenue collection </w:t>
      </w:r>
      <w:proofErr w:type="spellStart"/>
      <w:r w:rsidRPr="003E2544">
        <w:rPr>
          <w:rFonts w:ascii="Verdana" w:eastAsia="Calibri" w:hAnsi="Verdana" w:cs="Times New Roman"/>
          <w:color w:val="000000" w:themeColor="text1"/>
          <w:sz w:val="20"/>
          <w:szCs w:val="20"/>
        </w:rPr>
        <w:t>etc</w:t>
      </w:r>
      <w:proofErr w:type="spellEnd"/>
      <w:r w:rsidRPr="003E2544">
        <w:rPr>
          <w:rFonts w:ascii="Verdana" w:eastAsia="Calibri" w:hAnsi="Verdana" w:cs="Times New Roman"/>
          <w:color w:val="000000" w:themeColor="text1"/>
          <w:sz w:val="20"/>
          <w:szCs w:val="20"/>
        </w:rPr>
        <w:t xml:space="preserve">). </w:t>
      </w:r>
    </w:p>
    <w:p w14:paraId="4661780E" w14:textId="6885376A" w:rsidR="00D82AF9" w:rsidRPr="003E2544" w:rsidRDefault="00E02A4D" w:rsidP="00245274">
      <w:pPr>
        <w:pStyle w:val="NormalWeb"/>
        <w:jc w:val="both"/>
        <w:rPr>
          <w:rFonts w:ascii="Verdana" w:hAnsi="Verdana" w:cs="Arial"/>
          <w:color w:val="000000"/>
        </w:rPr>
      </w:pPr>
      <w:r w:rsidRPr="003E2544">
        <w:rPr>
          <w:rFonts w:ascii="Verdana" w:eastAsia="Calibri" w:hAnsi="Verdana"/>
          <w:color w:val="000000" w:themeColor="text1"/>
          <w:sz w:val="20"/>
          <w:szCs w:val="20"/>
        </w:rPr>
        <w:t xml:space="preserve">The RCO will provide leadership and guidance to </w:t>
      </w:r>
      <w:r w:rsidR="008A2190">
        <w:rPr>
          <w:rFonts w:ascii="Verdana" w:eastAsia="Calibri" w:hAnsi="Verdana"/>
          <w:color w:val="000000" w:themeColor="text1"/>
          <w:sz w:val="20"/>
          <w:szCs w:val="20"/>
        </w:rPr>
        <w:t>PUNOs</w:t>
      </w:r>
      <w:r w:rsidRPr="003E2544">
        <w:rPr>
          <w:rFonts w:ascii="Verdana" w:eastAsia="Calibri" w:hAnsi="Verdana"/>
          <w:color w:val="000000" w:themeColor="text1"/>
          <w:sz w:val="20"/>
          <w:szCs w:val="20"/>
        </w:rPr>
        <w:t xml:space="preserve"> through the existing UN reporting protocols. The RC</w:t>
      </w:r>
      <w:r w:rsidR="00A72EB8" w:rsidRPr="003E2544">
        <w:rPr>
          <w:rFonts w:ascii="Verdana" w:eastAsia="Calibri" w:hAnsi="Verdana"/>
          <w:color w:val="000000" w:themeColor="text1"/>
          <w:sz w:val="20"/>
          <w:szCs w:val="20"/>
        </w:rPr>
        <w:t>O</w:t>
      </w:r>
      <w:r w:rsidRPr="003E2544">
        <w:rPr>
          <w:rFonts w:ascii="Verdana" w:eastAsia="Calibri" w:hAnsi="Verdana"/>
          <w:color w:val="000000" w:themeColor="text1"/>
          <w:sz w:val="20"/>
          <w:szCs w:val="20"/>
        </w:rPr>
        <w:t xml:space="preserve"> will actively participate in the project design and provide additional guidance regard</w:t>
      </w:r>
      <w:r w:rsidR="00A25309" w:rsidRPr="003E2544">
        <w:rPr>
          <w:rFonts w:ascii="Verdana" w:eastAsia="Calibri" w:hAnsi="Verdana"/>
          <w:color w:val="000000" w:themeColor="text1"/>
          <w:sz w:val="20"/>
          <w:szCs w:val="20"/>
        </w:rPr>
        <w:t xml:space="preserve">ing the implementation </w:t>
      </w:r>
      <w:r w:rsidRPr="003E2544">
        <w:rPr>
          <w:rFonts w:ascii="Verdana" w:eastAsia="Calibri" w:hAnsi="Verdana"/>
          <w:color w:val="000000" w:themeColor="text1"/>
          <w:sz w:val="20"/>
          <w:szCs w:val="20"/>
        </w:rPr>
        <w:t>design</w:t>
      </w:r>
      <w:r w:rsidR="00A25309" w:rsidRPr="003E2544">
        <w:rPr>
          <w:rFonts w:ascii="Verdana" w:eastAsia="Calibri" w:hAnsi="Verdana"/>
          <w:color w:val="000000" w:themeColor="text1"/>
          <w:sz w:val="20"/>
          <w:szCs w:val="20"/>
        </w:rPr>
        <w:t xml:space="preserve">. </w:t>
      </w:r>
      <w:r w:rsidRPr="003E2544">
        <w:rPr>
          <w:rFonts w:ascii="Verdana" w:eastAsia="Calibri" w:hAnsi="Verdana"/>
          <w:color w:val="000000" w:themeColor="text1"/>
          <w:sz w:val="20"/>
          <w:szCs w:val="20"/>
        </w:rPr>
        <w:t xml:space="preserve">The PUNOs will meet at a technical level on a monthly basis and at leadership level on a quarterly </w:t>
      </w:r>
      <w:r w:rsidR="000A1663" w:rsidRPr="003E2544">
        <w:rPr>
          <w:rFonts w:ascii="Verdana" w:eastAsia="Calibri" w:hAnsi="Verdana"/>
          <w:color w:val="000000" w:themeColor="text1"/>
          <w:sz w:val="20"/>
          <w:szCs w:val="20"/>
        </w:rPr>
        <w:t>basis</w:t>
      </w:r>
      <w:r w:rsidR="00C04D3B">
        <w:rPr>
          <w:rFonts w:ascii="Verdana" w:eastAsia="Calibri" w:hAnsi="Verdana"/>
          <w:color w:val="000000" w:themeColor="text1"/>
          <w:sz w:val="20"/>
          <w:szCs w:val="20"/>
        </w:rPr>
        <w:t>,</w:t>
      </w:r>
      <w:r w:rsidR="00C21764">
        <w:rPr>
          <w:rFonts w:ascii="Verdana" w:eastAsia="Calibri" w:hAnsi="Verdana"/>
          <w:color w:val="000000" w:themeColor="text1"/>
          <w:sz w:val="20"/>
          <w:szCs w:val="20"/>
        </w:rPr>
        <w:t xml:space="preserve"> </w:t>
      </w:r>
      <w:r w:rsidR="000A1663" w:rsidRPr="003E2544">
        <w:rPr>
          <w:rFonts w:ascii="Verdana" w:eastAsia="Calibri" w:hAnsi="Verdana"/>
          <w:color w:val="000000" w:themeColor="text1"/>
          <w:sz w:val="20"/>
          <w:szCs w:val="20"/>
        </w:rPr>
        <w:t>and</w:t>
      </w:r>
      <w:r w:rsidRPr="003E2544">
        <w:rPr>
          <w:rFonts w:ascii="Verdana" w:eastAsia="Calibri" w:hAnsi="Verdana"/>
          <w:color w:val="000000" w:themeColor="text1"/>
          <w:sz w:val="20"/>
          <w:szCs w:val="20"/>
        </w:rPr>
        <w:t xml:space="preserve"> provide updates to UNCT at least once a quarter and on a bi-annual basis </w:t>
      </w:r>
      <w:r w:rsidR="2DA9AC43" w:rsidRPr="003E2544">
        <w:rPr>
          <w:rFonts w:ascii="Verdana" w:eastAsia="Calibri" w:hAnsi="Verdana"/>
          <w:color w:val="000000" w:themeColor="text1"/>
          <w:sz w:val="20"/>
          <w:szCs w:val="20"/>
        </w:rPr>
        <w:t>regarding</w:t>
      </w:r>
      <w:r w:rsidRPr="003E2544">
        <w:rPr>
          <w:rFonts w:ascii="Verdana" w:eastAsia="Calibri" w:hAnsi="Verdana"/>
          <w:color w:val="000000" w:themeColor="text1"/>
          <w:sz w:val="20"/>
          <w:szCs w:val="20"/>
        </w:rPr>
        <w:t xml:space="preserve"> UNCF reporting</w:t>
      </w:r>
      <w:r w:rsidRPr="003E2544">
        <w:rPr>
          <w:rFonts w:ascii="Verdana" w:eastAsia="Calibri" w:hAnsi="Verdana"/>
          <w:i/>
          <w:iCs/>
          <w:color w:val="C45911" w:themeColor="accent2" w:themeShade="BF"/>
          <w:sz w:val="20"/>
          <w:szCs w:val="20"/>
        </w:rPr>
        <w:t>.</w:t>
      </w:r>
    </w:p>
    <w:p w14:paraId="00AAA4D9" w14:textId="24E17D08" w:rsidR="00E02A4D" w:rsidRPr="003E2544" w:rsidRDefault="00E02A4D" w:rsidP="00245274">
      <w:pPr>
        <w:pStyle w:val="NormalWeb"/>
        <w:jc w:val="both"/>
        <w:rPr>
          <w:rFonts w:ascii="Verdana" w:hAnsi="Verdana" w:cs="Arial"/>
          <w:color w:val="000000"/>
        </w:rPr>
      </w:pPr>
      <w:r w:rsidRPr="003E2544">
        <w:rPr>
          <w:rFonts w:ascii="Verdana" w:hAnsi="Verdana" w:cs="Arial"/>
          <w:color w:val="000000" w:themeColor="text1"/>
          <w:sz w:val="20"/>
          <w:szCs w:val="20"/>
        </w:rPr>
        <w:t xml:space="preserve">The national and state level mentors are government officers who are already responsible for the activities covered by the JP. For example, the national budget mentors will be existing officers in the </w:t>
      </w:r>
      <w:r w:rsidR="00A25309" w:rsidRPr="003E2544">
        <w:rPr>
          <w:rFonts w:ascii="Verdana" w:hAnsi="Verdana" w:cs="Arial"/>
          <w:color w:val="000000" w:themeColor="text1"/>
          <w:sz w:val="20"/>
          <w:szCs w:val="20"/>
        </w:rPr>
        <w:t>IGFR</w:t>
      </w:r>
      <w:r w:rsidR="00B50161">
        <w:rPr>
          <w:rFonts w:ascii="Verdana" w:hAnsi="Verdana" w:cs="Arial"/>
          <w:color w:val="000000" w:themeColor="text1"/>
          <w:sz w:val="20"/>
          <w:szCs w:val="20"/>
        </w:rPr>
        <w:t xml:space="preserve"> Unit</w:t>
      </w:r>
      <w:r w:rsidRPr="003E2544">
        <w:rPr>
          <w:rFonts w:ascii="Verdana" w:hAnsi="Verdana" w:cs="Arial"/>
          <w:color w:val="000000" w:themeColor="text1"/>
          <w:sz w:val="20"/>
          <w:szCs w:val="20"/>
        </w:rPr>
        <w:t xml:space="preserve"> and </w:t>
      </w:r>
      <w:r w:rsidR="00A25309" w:rsidRPr="003E2544">
        <w:rPr>
          <w:rFonts w:ascii="Verdana" w:hAnsi="Verdana" w:cs="Arial"/>
          <w:color w:val="000000" w:themeColor="text1"/>
          <w:sz w:val="20"/>
          <w:szCs w:val="20"/>
        </w:rPr>
        <w:t>Budget Policy Unit (</w:t>
      </w:r>
      <w:r w:rsidRPr="003E2544">
        <w:rPr>
          <w:rFonts w:ascii="Verdana" w:hAnsi="Verdana" w:cs="Arial"/>
          <w:color w:val="000000" w:themeColor="text1"/>
          <w:sz w:val="20"/>
          <w:szCs w:val="20"/>
        </w:rPr>
        <w:t>BPU</w:t>
      </w:r>
      <w:r w:rsidR="00A25309" w:rsidRPr="003E2544">
        <w:rPr>
          <w:rFonts w:ascii="Verdana" w:hAnsi="Verdana" w:cs="Arial"/>
          <w:color w:val="000000" w:themeColor="text1"/>
          <w:sz w:val="20"/>
          <w:szCs w:val="20"/>
        </w:rPr>
        <w:t>)</w:t>
      </w:r>
      <w:r w:rsidRPr="003E2544">
        <w:rPr>
          <w:rFonts w:ascii="Verdana" w:hAnsi="Verdana" w:cs="Arial"/>
          <w:color w:val="000000" w:themeColor="text1"/>
          <w:sz w:val="20"/>
          <w:szCs w:val="20"/>
        </w:rPr>
        <w:t xml:space="preserve"> of MoFP. The JP </w:t>
      </w:r>
      <w:r w:rsidR="00C04D3B">
        <w:rPr>
          <w:rFonts w:ascii="Verdana" w:hAnsi="Verdana" w:cs="Arial"/>
          <w:color w:val="000000" w:themeColor="text1"/>
          <w:sz w:val="20"/>
          <w:szCs w:val="20"/>
        </w:rPr>
        <w:t>r</w:t>
      </w:r>
      <w:r w:rsidRPr="003E2544">
        <w:rPr>
          <w:rFonts w:ascii="Verdana" w:hAnsi="Verdana" w:cs="Arial"/>
          <w:color w:val="000000" w:themeColor="text1"/>
          <w:sz w:val="20"/>
          <w:szCs w:val="20"/>
        </w:rPr>
        <w:t xml:space="preserve">esults </w:t>
      </w:r>
      <w:r w:rsidR="00C04D3B">
        <w:rPr>
          <w:rFonts w:ascii="Verdana" w:hAnsi="Verdana" w:cs="Arial"/>
          <w:color w:val="000000" w:themeColor="text1"/>
          <w:sz w:val="20"/>
          <w:szCs w:val="20"/>
        </w:rPr>
        <w:t>framework</w:t>
      </w:r>
      <w:r w:rsidR="00C04D3B" w:rsidRPr="003E2544">
        <w:rPr>
          <w:rFonts w:ascii="Verdana" w:hAnsi="Verdana" w:cs="Arial"/>
          <w:color w:val="000000" w:themeColor="text1"/>
          <w:sz w:val="20"/>
          <w:szCs w:val="20"/>
        </w:rPr>
        <w:t xml:space="preserve"> </w:t>
      </w:r>
      <w:r w:rsidRPr="003E2544">
        <w:rPr>
          <w:rFonts w:ascii="Verdana" w:hAnsi="Verdana" w:cs="Arial"/>
          <w:color w:val="000000" w:themeColor="text1"/>
          <w:sz w:val="20"/>
          <w:szCs w:val="20"/>
        </w:rPr>
        <w:t xml:space="preserve">will plan for a diminishing input from PUNOs. In </w:t>
      </w:r>
      <w:r w:rsidR="001B7812">
        <w:rPr>
          <w:rFonts w:ascii="Verdana" w:hAnsi="Verdana" w:cs="Arial"/>
          <w:color w:val="000000" w:themeColor="text1"/>
          <w:sz w:val="20"/>
          <w:szCs w:val="20"/>
        </w:rPr>
        <w:t>y</w:t>
      </w:r>
      <w:r w:rsidRPr="003E2544">
        <w:rPr>
          <w:rFonts w:ascii="Verdana" w:hAnsi="Verdana" w:cs="Arial"/>
          <w:color w:val="000000" w:themeColor="text1"/>
          <w:sz w:val="20"/>
          <w:szCs w:val="20"/>
        </w:rPr>
        <w:t xml:space="preserve">ear </w:t>
      </w:r>
      <w:r w:rsidR="00C04D3B">
        <w:rPr>
          <w:rFonts w:ascii="Verdana" w:hAnsi="Verdana" w:cs="Arial"/>
          <w:color w:val="000000" w:themeColor="text1"/>
          <w:sz w:val="20"/>
          <w:szCs w:val="20"/>
        </w:rPr>
        <w:t>one</w:t>
      </w:r>
      <w:r w:rsidRPr="003E2544">
        <w:rPr>
          <w:rFonts w:ascii="Verdana" w:hAnsi="Verdana" w:cs="Arial"/>
          <w:color w:val="000000" w:themeColor="text1"/>
          <w:sz w:val="20"/>
          <w:szCs w:val="20"/>
        </w:rPr>
        <w:t xml:space="preserve"> PUNO staff will be integrally involved in setting up state level activities, and </w:t>
      </w:r>
      <w:r w:rsidR="2966DD0A" w:rsidRPr="003E2544">
        <w:rPr>
          <w:rFonts w:ascii="Verdana" w:hAnsi="Verdana" w:cs="Arial"/>
          <w:color w:val="000000" w:themeColor="text1"/>
          <w:sz w:val="20"/>
          <w:szCs w:val="20"/>
        </w:rPr>
        <w:t xml:space="preserve">in </w:t>
      </w:r>
      <w:r w:rsidRPr="003E2544">
        <w:rPr>
          <w:rFonts w:ascii="Verdana" w:hAnsi="Verdana" w:cs="Arial"/>
          <w:color w:val="000000" w:themeColor="text1"/>
          <w:sz w:val="20"/>
          <w:szCs w:val="20"/>
        </w:rPr>
        <w:t>providing input to state training as well as to state support</w:t>
      </w:r>
      <w:r w:rsidR="00897B09" w:rsidRPr="003E2544">
        <w:rPr>
          <w:rFonts w:ascii="Verdana" w:hAnsi="Verdana" w:cs="Arial"/>
          <w:color w:val="000000" w:themeColor="text1"/>
          <w:sz w:val="20"/>
          <w:szCs w:val="20"/>
        </w:rPr>
        <w:t>/follow-up</w:t>
      </w:r>
      <w:r w:rsidRPr="003E2544">
        <w:rPr>
          <w:rFonts w:ascii="Verdana" w:hAnsi="Verdana" w:cs="Arial"/>
          <w:color w:val="000000" w:themeColor="text1"/>
          <w:sz w:val="20"/>
          <w:szCs w:val="20"/>
        </w:rPr>
        <w:t xml:space="preserve"> visits. In the </w:t>
      </w:r>
      <w:r w:rsidR="3179DF43" w:rsidRPr="003E2544">
        <w:rPr>
          <w:rFonts w:ascii="Verdana" w:hAnsi="Verdana" w:cs="Arial"/>
          <w:color w:val="000000" w:themeColor="text1"/>
          <w:sz w:val="20"/>
          <w:szCs w:val="20"/>
        </w:rPr>
        <w:t>second</w:t>
      </w:r>
      <w:r w:rsidRPr="003E2544">
        <w:rPr>
          <w:rFonts w:ascii="Verdana" w:hAnsi="Verdana" w:cs="Arial"/>
          <w:color w:val="000000" w:themeColor="text1"/>
          <w:sz w:val="20"/>
          <w:szCs w:val="20"/>
        </w:rPr>
        <w:t xml:space="preserve"> year, PUNOs will offer technical advice and support to the state level activities, but not be directly involved. An example is the State Budget Workshop</w:t>
      </w:r>
      <w:r w:rsidR="000A1663" w:rsidRPr="003E2544">
        <w:rPr>
          <w:rFonts w:ascii="Verdana" w:hAnsi="Verdana" w:cs="Arial"/>
          <w:color w:val="000000" w:themeColor="text1"/>
          <w:sz w:val="20"/>
          <w:szCs w:val="20"/>
        </w:rPr>
        <w:t>; t</w:t>
      </w:r>
      <w:r w:rsidRPr="003E2544">
        <w:rPr>
          <w:rFonts w:ascii="Verdana" w:hAnsi="Verdana" w:cs="Arial"/>
          <w:color w:val="000000" w:themeColor="text1"/>
          <w:sz w:val="20"/>
          <w:szCs w:val="20"/>
        </w:rPr>
        <w:t xml:space="preserve">his is a mandatory part of the budget calendar. It lapsed in 2017 and was resuscitated in 2019 </w:t>
      </w:r>
      <w:r w:rsidR="6BBB1395" w:rsidRPr="003E2544">
        <w:rPr>
          <w:rFonts w:ascii="Verdana" w:hAnsi="Verdana" w:cs="Arial"/>
          <w:color w:val="000000" w:themeColor="text1"/>
          <w:sz w:val="20"/>
          <w:szCs w:val="20"/>
        </w:rPr>
        <w:t>with</w:t>
      </w:r>
      <w:r w:rsidRPr="003E2544">
        <w:rPr>
          <w:rFonts w:ascii="Verdana" w:hAnsi="Verdana" w:cs="Arial"/>
          <w:color w:val="000000" w:themeColor="text1"/>
          <w:sz w:val="20"/>
          <w:szCs w:val="20"/>
        </w:rPr>
        <w:t xml:space="preserve"> UNICEF</w:t>
      </w:r>
      <w:r w:rsidR="32AD487D" w:rsidRPr="003E2544">
        <w:rPr>
          <w:rFonts w:ascii="Verdana" w:hAnsi="Verdana" w:cs="Arial"/>
          <w:color w:val="000000" w:themeColor="text1"/>
          <w:sz w:val="20"/>
          <w:szCs w:val="20"/>
        </w:rPr>
        <w:t>’</w:t>
      </w:r>
      <w:r w:rsidRPr="003E2544">
        <w:rPr>
          <w:rFonts w:ascii="Verdana" w:hAnsi="Verdana" w:cs="Arial"/>
          <w:color w:val="000000" w:themeColor="text1"/>
          <w:sz w:val="20"/>
          <w:szCs w:val="20"/>
        </w:rPr>
        <w:t xml:space="preserve">s financial and logistical input. In 2020, UNICEF aims to ensure that the </w:t>
      </w:r>
      <w:r w:rsidR="00C04D3B" w:rsidRPr="003E2544">
        <w:rPr>
          <w:rFonts w:ascii="Verdana" w:hAnsi="Verdana" w:cs="Arial"/>
          <w:color w:val="000000" w:themeColor="text1"/>
          <w:sz w:val="20"/>
          <w:szCs w:val="20"/>
        </w:rPr>
        <w:t>State Budget Workshop</w:t>
      </w:r>
      <w:r w:rsidR="00C04D3B">
        <w:rPr>
          <w:rFonts w:ascii="Verdana" w:hAnsi="Verdana" w:cs="Arial"/>
          <w:color w:val="000000" w:themeColor="text1"/>
          <w:sz w:val="20"/>
          <w:szCs w:val="20"/>
        </w:rPr>
        <w:t>s</w:t>
      </w:r>
      <w:r w:rsidRPr="003E2544">
        <w:rPr>
          <w:rFonts w:ascii="Verdana" w:hAnsi="Verdana" w:cs="Arial"/>
          <w:color w:val="000000" w:themeColor="text1"/>
          <w:sz w:val="20"/>
          <w:szCs w:val="20"/>
        </w:rPr>
        <w:t xml:space="preserve"> are held in </w:t>
      </w:r>
      <w:r w:rsidR="18E9C9DD" w:rsidRPr="003E2544">
        <w:rPr>
          <w:rFonts w:ascii="Verdana" w:hAnsi="Verdana" w:cs="Arial"/>
          <w:color w:val="000000" w:themeColor="text1"/>
          <w:sz w:val="20"/>
          <w:szCs w:val="20"/>
        </w:rPr>
        <w:t>ten</w:t>
      </w:r>
      <w:r w:rsidRPr="003E2544">
        <w:rPr>
          <w:rFonts w:ascii="Verdana" w:hAnsi="Verdana" w:cs="Arial"/>
          <w:color w:val="000000" w:themeColor="text1"/>
          <w:sz w:val="20"/>
          <w:szCs w:val="20"/>
        </w:rPr>
        <w:t xml:space="preserve"> states and will offer support where requested. However, in 2021, UNICEF will </w:t>
      </w:r>
      <w:r w:rsidR="00C04D3B" w:rsidRPr="003E2544">
        <w:rPr>
          <w:rFonts w:ascii="Verdana" w:hAnsi="Verdana" w:cs="Arial"/>
          <w:color w:val="000000" w:themeColor="text1"/>
          <w:sz w:val="20"/>
          <w:szCs w:val="20"/>
        </w:rPr>
        <w:t>minimize</w:t>
      </w:r>
      <w:r w:rsidRPr="003E2544">
        <w:rPr>
          <w:rFonts w:ascii="Verdana" w:hAnsi="Verdana" w:cs="Arial"/>
          <w:color w:val="000000" w:themeColor="text1"/>
          <w:sz w:val="20"/>
          <w:szCs w:val="20"/>
        </w:rPr>
        <w:t xml:space="preserve"> its support to specific technical expertise.</w:t>
      </w:r>
    </w:p>
    <w:p w14:paraId="521CEBCE" w14:textId="4D8AD123" w:rsidR="00E02A4D" w:rsidRPr="003E2544" w:rsidRDefault="00E02A4D" w:rsidP="00245274">
      <w:pPr>
        <w:pStyle w:val="NormalWeb"/>
        <w:jc w:val="both"/>
        <w:rPr>
          <w:rFonts w:ascii="Verdana" w:hAnsi="Verdana" w:cs="Arial"/>
          <w:color w:val="000000"/>
        </w:rPr>
      </w:pPr>
      <w:r w:rsidRPr="003E2544">
        <w:rPr>
          <w:rFonts w:ascii="Verdana" w:eastAsia="Calibri" w:hAnsi="Verdana"/>
          <w:color w:val="000000" w:themeColor="text1"/>
          <w:sz w:val="20"/>
          <w:szCs w:val="20"/>
        </w:rPr>
        <w:t>At an overall level, the government, through the MoFP</w:t>
      </w:r>
      <w:r w:rsidR="00A25309" w:rsidRPr="003E2544">
        <w:rPr>
          <w:rFonts w:ascii="Verdana" w:eastAsia="Calibri" w:hAnsi="Verdana"/>
          <w:color w:val="000000" w:themeColor="text1"/>
          <w:sz w:val="20"/>
          <w:szCs w:val="20"/>
        </w:rPr>
        <w:t>, M</w:t>
      </w:r>
      <w:r w:rsidR="000A1663" w:rsidRPr="003E2544">
        <w:rPr>
          <w:rFonts w:ascii="Verdana" w:eastAsia="Calibri" w:hAnsi="Verdana"/>
          <w:color w:val="000000" w:themeColor="text1"/>
          <w:sz w:val="20"/>
          <w:szCs w:val="20"/>
        </w:rPr>
        <w:t>o</w:t>
      </w:r>
      <w:r w:rsidR="00A25309" w:rsidRPr="003E2544">
        <w:rPr>
          <w:rFonts w:ascii="Verdana" w:eastAsia="Calibri" w:hAnsi="Verdana"/>
          <w:color w:val="000000" w:themeColor="text1"/>
          <w:sz w:val="20"/>
          <w:szCs w:val="20"/>
        </w:rPr>
        <w:t>GCSW</w:t>
      </w:r>
      <w:r w:rsidRPr="003E2544">
        <w:rPr>
          <w:rFonts w:ascii="Verdana" w:eastAsia="Calibri" w:hAnsi="Verdana"/>
          <w:color w:val="000000" w:themeColor="text1"/>
          <w:sz w:val="20"/>
          <w:szCs w:val="20"/>
        </w:rPr>
        <w:t xml:space="preserve"> and </w:t>
      </w:r>
      <w:r w:rsidR="00C04D3B">
        <w:rPr>
          <w:rFonts w:ascii="Verdana" w:eastAsia="Calibri" w:hAnsi="Verdana"/>
          <w:color w:val="000000" w:themeColor="text1"/>
          <w:sz w:val="20"/>
          <w:szCs w:val="20"/>
        </w:rPr>
        <w:t>NRA</w:t>
      </w:r>
      <w:r w:rsidRPr="003E2544">
        <w:rPr>
          <w:rFonts w:ascii="Verdana" w:eastAsia="Calibri" w:hAnsi="Verdana"/>
          <w:color w:val="000000" w:themeColor="text1"/>
          <w:sz w:val="20"/>
          <w:szCs w:val="20"/>
        </w:rPr>
        <w:t xml:space="preserve">, will lead the implementation of the JP, with strong and close support from </w:t>
      </w:r>
      <w:r w:rsidR="00995113" w:rsidRPr="003E2544">
        <w:rPr>
          <w:rFonts w:ascii="Verdana" w:eastAsia="Calibri" w:hAnsi="Verdana"/>
          <w:color w:val="000000" w:themeColor="text1"/>
          <w:sz w:val="20"/>
          <w:szCs w:val="20"/>
        </w:rPr>
        <w:t>UNDP and UNICEF</w:t>
      </w:r>
      <w:r w:rsidRPr="003E2544">
        <w:rPr>
          <w:rFonts w:ascii="Verdana" w:eastAsia="Calibri" w:hAnsi="Verdana"/>
          <w:color w:val="000000" w:themeColor="text1"/>
          <w:sz w:val="20"/>
          <w:szCs w:val="20"/>
        </w:rPr>
        <w:t xml:space="preserve">. The </w:t>
      </w:r>
      <w:r w:rsidR="00A25309" w:rsidRPr="003E2544">
        <w:rPr>
          <w:rFonts w:ascii="Verdana" w:eastAsia="Calibri" w:hAnsi="Verdana"/>
          <w:color w:val="000000" w:themeColor="text1"/>
          <w:sz w:val="20"/>
          <w:szCs w:val="20"/>
        </w:rPr>
        <w:t>JP</w:t>
      </w:r>
      <w:r w:rsidRPr="003E2544">
        <w:rPr>
          <w:rFonts w:ascii="Verdana" w:eastAsia="Calibri" w:hAnsi="Verdana"/>
          <w:color w:val="000000" w:themeColor="text1"/>
          <w:sz w:val="20"/>
          <w:szCs w:val="20"/>
        </w:rPr>
        <w:t xml:space="preserve"> </w:t>
      </w:r>
      <w:r w:rsidR="00A25309" w:rsidRPr="003E2544">
        <w:rPr>
          <w:rFonts w:ascii="Verdana" w:eastAsia="Calibri" w:hAnsi="Verdana"/>
          <w:color w:val="000000" w:themeColor="text1"/>
          <w:sz w:val="20"/>
          <w:szCs w:val="20"/>
        </w:rPr>
        <w:t xml:space="preserve">will </w:t>
      </w:r>
      <w:r w:rsidRPr="003E2544">
        <w:rPr>
          <w:rFonts w:ascii="Verdana" w:eastAsia="Calibri" w:hAnsi="Verdana"/>
          <w:color w:val="000000" w:themeColor="text1"/>
          <w:sz w:val="20"/>
          <w:szCs w:val="20"/>
        </w:rPr>
        <w:t xml:space="preserve">ensure close collaboration with </w:t>
      </w:r>
      <w:r w:rsidR="000A1663" w:rsidRPr="003E2544">
        <w:rPr>
          <w:rFonts w:ascii="Verdana" w:eastAsia="Calibri" w:hAnsi="Verdana"/>
          <w:color w:val="000000" w:themeColor="text1"/>
          <w:sz w:val="20"/>
          <w:szCs w:val="20"/>
        </w:rPr>
        <w:t xml:space="preserve">gender and </w:t>
      </w:r>
      <w:r w:rsidRPr="003E2544">
        <w:rPr>
          <w:rFonts w:ascii="Verdana" w:eastAsia="Calibri" w:hAnsi="Verdana"/>
          <w:color w:val="000000" w:themeColor="text1"/>
          <w:sz w:val="20"/>
          <w:szCs w:val="20"/>
        </w:rPr>
        <w:t xml:space="preserve">social protection actors and </w:t>
      </w:r>
      <w:proofErr w:type="spellStart"/>
      <w:r w:rsidRPr="003E2544">
        <w:rPr>
          <w:rFonts w:ascii="Verdana" w:eastAsia="Calibri" w:hAnsi="Verdana"/>
          <w:color w:val="000000" w:themeColor="text1"/>
          <w:sz w:val="20"/>
          <w:szCs w:val="20"/>
        </w:rPr>
        <w:t>cataly</w:t>
      </w:r>
      <w:r w:rsidR="00C04D3B">
        <w:rPr>
          <w:rFonts w:ascii="Verdana" w:eastAsia="Calibri" w:hAnsi="Verdana"/>
          <w:color w:val="000000" w:themeColor="text1"/>
          <w:sz w:val="20"/>
          <w:szCs w:val="20"/>
        </w:rPr>
        <w:t>s</w:t>
      </w:r>
      <w:r w:rsidRPr="003E2544">
        <w:rPr>
          <w:rFonts w:ascii="Verdana" w:eastAsia="Calibri" w:hAnsi="Verdana"/>
          <w:color w:val="000000" w:themeColor="text1"/>
          <w:sz w:val="20"/>
          <w:szCs w:val="20"/>
        </w:rPr>
        <w:t>e</w:t>
      </w:r>
      <w:proofErr w:type="spellEnd"/>
      <w:r w:rsidRPr="003E2544">
        <w:rPr>
          <w:rFonts w:ascii="Verdana" w:eastAsia="Calibri" w:hAnsi="Verdana"/>
          <w:color w:val="000000" w:themeColor="text1"/>
          <w:sz w:val="20"/>
          <w:szCs w:val="20"/>
        </w:rPr>
        <w:t xml:space="preserve"> opportunities to improve efficiency and effectiveness by drawing in partner </w:t>
      </w:r>
      <w:r w:rsidR="00C04D3B" w:rsidRPr="003E2544">
        <w:rPr>
          <w:rFonts w:ascii="Verdana" w:eastAsia="Calibri" w:hAnsi="Verdana"/>
          <w:color w:val="000000" w:themeColor="text1"/>
          <w:sz w:val="20"/>
          <w:szCs w:val="20"/>
        </w:rPr>
        <w:t>organizations</w:t>
      </w:r>
      <w:r w:rsidRPr="003E2544">
        <w:rPr>
          <w:rFonts w:ascii="Verdana" w:eastAsia="Calibri" w:hAnsi="Verdana"/>
          <w:color w:val="000000" w:themeColor="text1"/>
          <w:sz w:val="20"/>
          <w:szCs w:val="20"/>
        </w:rPr>
        <w:t xml:space="preserve"> and GRSS MDAs when appropriate. Civil society will be specifically engaged during the citizens’ engagement in the budget process, in the preparation and evaluation of the budget briefs and as recipients of the </w:t>
      </w:r>
      <w:r w:rsidR="00C04D3B">
        <w:rPr>
          <w:rFonts w:ascii="Verdana" w:eastAsia="Calibri" w:hAnsi="Verdana"/>
          <w:color w:val="000000" w:themeColor="text1"/>
          <w:sz w:val="20"/>
          <w:szCs w:val="20"/>
        </w:rPr>
        <w:t>PETS</w:t>
      </w:r>
      <w:r w:rsidRPr="003E2544">
        <w:rPr>
          <w:rFonts w:ascii="Verdana" w:eastAsia="Calibri" w:hAnsi="Verdana"/>
          <w:color w:val="000000" w:themeColor="text1"/>
          <w:sz w:val="20"/>
          <w:szCs w:val="20"/>
        </w:rPr>
        <w:t xml:space="preserve">. </w:t>
      </w:r>
    </w:p>
    <w:p w14:paraId="65753723" w14:textId="41824832" w:rsidR="00A72EB8" w:rsidRDefault="00E02A4D" w:rsidP="00866655">
      <w:pPr>
        <w:spacing w:line="240" w:lineRule="auto"/>
        <w:jc w:val="both"/>
        <w:rPr>
          <w:rFonts w:ascii="Verdana" w:eastAsia="Calibri" w:hAnsi="Verdana"/>
          <w:color w:val="000000" w:themeColor="text1"/>
          <w:sz w:val="20"/>
          <w:szCs w:val="20"/>
        </w:rPr>
      </w:pPr>
      <w:r w:rsidRPr="003E2544">
        <w:rPr>
          <w:rFonts w:ascii="Verdana" w:eastAsia="Calibri" w:hAnsi="Verdana"/>
          <w:color w:val="000000" w:themeColor="text1"/>
          <w:sz w:val="20"/>
          <w:szCs w:val="20"/>
        </w:rPr>
        <w:lastRenderedPageBreak/>
        <w:t xml:space="preserve">Absorption will be ensured through a range of mechanisms. From the outset, all interventions will be based on structures which were established by the GRSS and became defunct during the crisis period, including </w:t>
      </w:r>
      <w:r w:rsidR="3636FC7C" w:rsidRPr="003E2544">
        <w:rPr>
          <w:rFonts w:ascii="Verdana" w:eastAsia="Calibri" w:hAnsi="Verdana"/>
          <w:color w:val="000000" w:themeColor="text1"/>
          <w:sz w:val="20"/>
          <w:szCs w:val="20"/>
        </w:rPr>
        <w:t xml:space="preserve">the </w:t>
      </w:r>
      <w:r w:rsidRPr="003E2544">
        <w:rPr>
          <w:rFonts w:ascii="Verdana" w:eastAsia="Calibri" w:hAnsi="Verdana"/>
          <w:color w:val="000000" w:themeColor="text1"/>
          <w:sz w:val="20"/>
          <w:szCs w:val="20"/>
        </w:rPr>
        <w:t>SD</w:t>
      </w:r>
      <w:r w:rsidR="00986EA8">
        <w:rPr>
          <w:rFonts w:ascii="Verdana" w:eastAsia="Calibri" w:hAnsi="Verdana"/>
          <w:color w:val="000000" w:themeColor="text1"/>
          <w:sz w:val="20"/>
          <w:szCs w:val="20"/>
        </w:rPr>
        <w:t>P</w:t>
      </w:r>
      <w:r w:rsidRPr="003E2544">
        <w:rPr>
          <w:rFonts w:ascii="Verdana" w:eastAsia="Calibri" w:hAnsi="Verdana"/>
          <w:color w:val="000000" w:themeColor="text1"/>
          <w:sz w:val="20"/>
          <w:szCs w:val="20"/>
        </w:rPr>
        <w:t>C</w:t>
      </w:r>
      <w:r w:rsidR="00C04D3B">
        <w:rPr>
          <w:rFonts w:ascii="Verdana" w:eastAsia="Calibri" w:hAnsi="Verdana"/>
          <w:color w:val="000000" w:themeColor="text1"/>
          <w:sz w:val="20"/>
          <w:szCs w:val="20"/>
        </w:rPr>
        <w:t>s</w:t>
      </w:r>
      <w:r w:rsidR="1EC9F822" w:rsidRPr="003E2544">
        <w:rPr>
          <w:rFonts w:ascii="Verdana" w:eastAsia="Calibri" w:hAnsi="Verdana"/>
          <w:color w:val="000000" w:themeColor="text1"/>
          <w:sz w:val="20"/>
          <w:szCs w:val="20"/>
        </w:rPr>
        <w:t>,</w:t>
      </w:r>
      <w:r w:rsidRPr="003E2544">
        <w:rPr>
          <w:rFonts w:ascii="Verdana" w:eastAsia="Calibri" w:hAnsi="Verdana"/>
          <w:color w:val="000000" w:themeColor="text1"/>
          <w:sz w:val="20"/>
          <w:szCs w:val="20"/>
        </w:rPr>
        <w:t xml:space="preserve"> State Monitoring and Transfer Committee (STMC</w:t>
      </w:r>
      <w:r w:rsidR="00C04D3B">
        <w:rPr>
          <w:rFonts w:ascii="Verdana" w:eastAsia="Calibri" w:hAnsi="Verdana"/>
          <w:color w:val="000000" w:themeColor="text1"/>
          <w:sz w:val="20"/>
          <w:szCs w:val="20"/>
        </w:rPr>
        <w:t>s</w:t>
      </w:r>
      <w:r w:rsidR="001B7812">
        <w:rPr>
          <w:rFonts w:ascii="Verdana" w:eastAsia="Calibri" w:hAnsi="Verdana"/>
          <w:color w:val="000000" w:themeColor="text1"/>
          <w:sz w:val="20"/>
          <w:szCs w:val="20"/>
        </w:rPr>
        <w:t>)</w:t>
      </w:r>
      <w:r w:rsidRPr="003E2544">
        <w:rPr>
          <w:rFonts w:ascii="Verdana" w:eastAsia="Calibri" w:hAnsi="Verdana"/>
          <w:color w:val="000000" w:themeColor="text1"/>
          <w:sz w:val="20"/>
          <w:szCs w:val="20"/>
        </w:rPr>
        <w:t xml:space="preserve"> and County Transfer Monitoring Committee (CTMC</w:t>
      </w:r>
      <w:r w:rsidR="00C04D3B">
        <w:rPr>
          <w:rFonts w:ascii="Verdana" w:eastAsia="Calibri" w:hAnsi="Verdana"/>
          <w:color w:val="000000" w:themeColor="text1"/>
          <w:sz w:val="20"/>
          <w:szCs w:val="20"/>
        </w:rPr>
        <w:t>s</w:t>
      </w:r>
      <w:r w:rsidR="001B7812">
        <w:rPr>
          <w:rFonts w:ascii="Verdana" w:eastAsia="Calibri" w:hAnsi="Verdana"/>
          <w:color w:val="000000" w:themeColor="text1"/>
          <w:sz w:val="20"/>
          <w:szCs w:val="20"/>
        </w:rPr>
        <w:t>)</w:t>
      </w:r>
      <w:r w:rsidRPr="003E2544">
        <w:rPr>
          <w:rFonts w:ascii="Verdana" w:eastAsia="Calibri" w:hAnsi="Verdana"/>
          <w:color w:val="000000" w:themeColor="text1"/>
          <w:sz w:val="20"/>
          <w:szCs w:val="20"/>
        </w:rPr>
        <w:t xml:space="preserve">. These committees were functional before 2013, and guidelines are in place to specify their composition and mandate. In addition, the </w:t>
      </w:r>
      <w:r w:rsidR="00C04D3B">
        <w:rPr>
          <w:rFonts w:ascii="Verdana" w:eastAsia="Calibri" w:hAnsi="Verdana"/>
          <w:color w:val="000000" w:themeColor="text1"/>
          <w:sz w:val="20"/>
          <w:szCs w:val="20"/>
        </w:rPr>
        <w:t>s</w:t>
      </w:r>
      <w:r w:rsidRPr="003E2544">
        <w:rPr>
          <w:rFonts w:ascii="Verdana" w:eastAsia="Calibri" w:hAnsi="Verdana"/>
          <w:color w:val="000000" w:themeColor="text1"/>
          <w:sz w:val="20"/>
          <w:szCs w:val="20"/>
        </w:rPr>
        <w:t xml:space="preserve">tate </w:t>
      </w:r>
      <w:r w:rsidR="00C04D3B">
        <w:rPr>
          <w:rFonts w:ascii="Verdana" w:eastAsia="Calibri" w:hAnsi="Verdana"/>
          <w:color w:val="000000" w:themeColor="text1"/>
          <w:sz w:val="20"/>
          <w:szCs w:val="20"/>
        </w:rPr>
        <w:t>m</w:t>
      </w:r>
      <w:r w:rsidRPr="003E2544">
        <w:rPr>
          <w:rFonts w:ascii="Verdana" w:eastAsia="Calibri" w:hAnsi="Verdana"/>
          <w:color w:val="000000" w:themeColor="text1"/>
          <w:sz w:val="20"/>
          <w:szCs w:val="20"/>
        </w:rPr>
        <w:t>entors had been functioning to some degree, supported by UNDP.</w:t>
      </w:r>
      <w:r w:rsidR="001B7812">
        <w:rPr>
          <w:rFonts w:ascii="Verdana" w:eastAsia="Calibri" w:hAnsi="Verdana"/>
          <w:color w:val="000000" w:themeColor="text1"/>
          <w:sz w:val="20"/>
          <w:szCs w:val="20"/>
        </w:rPr>
        <w:t xml:space="preserve"> </w:t>
      </w:r>
      <w:r w:rsidRPr="003E2544">
        <w:rPr>
          <w:rFonts w:ascii="Verdana" w:eastAsia="Calibri" w:hAnsi="Verdana"/>
          <w:color w:val="000000" w:themeColor="text1"/>
          <w:sz w:val="20"/>
          <w:szCs w:val="20"/>
        </w:rPr>
        <w:t xml:space="preserve">Secondly, new guidelines or material will only be developed if none is available. For example, the State and County Budget Guidelines were in place in 2019 and UNICEF offered technical assistance to update them. Guidelines for the </w:t>
      </w:r>
      <w:r w:rsidR="00C04D3B" w:rsidRPr="003E2544">
        <w:rPr>
          <w:rFonts w:ascii="Verdana" w:eastAsia="Calibri" w:hAnsi="Verdana"/>
          <w:color w:val="000000" w:themeColor="text1"/>
          <w:sz w:val="20"/>
          <w:szCs w:val="20"/>
        </w:rPr>
        <w:t>State Budget Workshop</w:t>
      </w:r>
      <w:r w:rsidR="00C04D3B">
        <w:rPr>
          <w:rFonts w:ascii="Verdana" w:eastAsia="Calibri" w:hAnsi="Verdana"/>
          <w:color w:val="000000" w:themeColor="text1"/>
          <w:sz w:val="20"/>
          <w:szCs w:val="20"/>
        </w:rPr>
        <w:t xml:space="preserve">, </w:t>
      </w:r>
      <w:r w:rsidRPr="003E2544">
        <w:rPr>
          <w:rFonts w:ascii="Verdana" w:eastAsia="Calibri" w:hAnsi="Verdana"/>
          <w:color w:val="000000" w:themeColor="text1"/>
          <w:sz w:val="20"/>
          <w:szCs w:val="20"/>
        </w:rPr>
        <w:t>SD</w:t>
      </w:r>
      <w:r w:rsidR="00986EA8">
        <w:rPr>
          <w:rFonts w:ascii="Verdana" w:eastAsia="Calibri" w:hAnsi="Verdana"/>
          <w:color w:val="000000" w:themeColor="text1"/>
          <w:sz w:val="20"/>
          <w:szCs w:val="20"/>
        </w:rPr>
        <w:t>P</w:t>
      </w:r>
      <w:r w:rsidRPr="003E2544">
        <w:rPr>
          <w:rFonts w:ascii="Verdana" w:eastAsia="Calibri" w:hAnsi="Verdana"/>
          <w:color w:val="000000" w:themeColor="text1"/>
          <w:sz w:val="20"/>
          <w:szCs w:val="20"/>
        </w:rPr>
        <w:t>C</w:t>
      </w:r>
      <w:r w:rsidR="00C04D3B">
        <w:rPr>
          <w:rFonts w:ascii="Verdana" w:eastAsia="Calibri" w:hAnsi="Verdana"/>
          <w:color w:val="000000" w:themeColor="text1"/>
          <w:sz w:val="20"/>
          <w:szCs w:val="20"/>
        </w:rPr>
        <w:t>s</w:t>
      </w:r>
      <w:r w:rsidRPr="003E2544">
        <w:rPr>
          <w:rFonts w:ascii="Verdana" w:eastAsia="Calibri" w:hAnsi="Verdana"/>
          <w:color w:val="000000" w:themeColor="text1"/>
          <w:sz w:val="20"/>
          <w:szCs w:val="20"/>
        </w:rPr>
        <w:t>, SMTC</w:t>
      </w:r>
      <w:r w:rsidR="00C04D3B">
        <w:rPr>
          <w:rFonts w:ascii="Verdana" w:eastAsia="Calibri" w:hAnsi="Verdana"/>
          <w:color w:val="000000" w:themeColor="text1"/>
          <w:sz w:val="20"/>
          <w:szCs w:val="20"/>
        </w:rPr>
        <w:t>s</w:t>
      </w:r>
      <w:r w:rsidRPr="003E2544">
        <w:rPr>
          <w:rFonts w:ascii="Verdana" w:eastAsia="Calibri" w:hAnsi="Verdana"/>
          <w:color w:val="000000" w:themeColor="text1"/>
          <w:sz w:val="20"/>
          <w:szCs w:val="20"/>
        </w:rPr>
        <w:t xml:space="preserve"> </w:t>
      </w:r>
      <w:r w:rsidR="00C04D3B">
        <w:rPr>
          <w:rFonts w:ascii="Verdana" w:eastAsia="Calibri" w:hAnsi="Verdana"/>
          <w:color w:val="000000" w:themeColor="text1"/>
          <w:sz w:val="20"/>
          <w:szCs w:val="20"/>
        </w:rPr>
        <w:t xml:space="preserve">and </w:t>
      </w:r>
      <w:r w:rsidRPr="003E2544">
        <w:rPr>
          <w:rFonts w:ascii="Verdana" w:eastAsia="Calibri" w:hAnsi="Verdana"/>
          <w:color w:val="000000" w:themeColor="text1"/>
          <w:sz w:val="20"/>
          <w:szCs w:val="20"/>
        </w:rPr>
        <w:t>CTMC</w:t>
      </w:r>
      <w:r w:rsidR="00C04D3B">
        <w:rPr>
          <w:rFonts w:ascii="Verdana" w:eastAsia="Calibri" w:hAnsi="Verdana"/>
          <w:color w:val="000000" w:themeColor="text1"/>
          <w:sz w:val="20"/>
          <w:szCs w:val="20"/>
        </w:rPr>
        <w:t>s</w:t>
      </w:r>
      <w:r w:rsidRPr="003E2544">
        <w:rPr>
          <w:rFonts w:ascii="Verdana" w:eastAsia="Calibri" w:hAnsi="Verdana"/>
          <w:color w:val="000000" w:themeColor="text1"/>
          <w:sz w:val="20"/>
          <w:szCs w:val="20"/>
        </w:rPr>
        <w:t xml:space="preserve"> are all in place, and may need to be re-aligned with the new dispensation</w:t>
      </w:r>
      <w:r w:rsidR="00C04D3B">
        <w:rPr>
          <w:rFonts w:ascii="Verdana" w:eastAsia="Calibri" w:hAnsi="Verdana"/>
          <w:color w:val="000000" w:themeColor="text1"/>
          <w:sz w:val="20"/>
          <w:szCs w:val="20"/>
        </w:rPr>
        <w:t>,</w:t>
      </w:r>
      <w:r w:rsidRPr="003E2544">
        <w:rPr>
          <w:rFonts w:ascii="Verdana" w:eastAsia="Calibri" w:hAnsi="Verdana"/>
          <w:color w:val="000000" w:themeColor="text1"/>
          <w:sz w:val="20"/>
          <w:szCs w:val="20"/>
        </w:rPr>
        <w:t xml:space="preserve"> but will remain based on </w:t>
      </w:r>
      <w:r w:rsidR="00C04D3B">
        <w:rPr>
          <w:rFonts w:ascii="Verdana" w:eastAsia="Calibri" w:hAnsi="Verdana"/>
          <w:color w:val="000000" w:themeColor="text1"/>
          <w:sz w:val="20"/>
          <w:szCs w:val="20"/>
        </w:rPr>
        <w:t xml:space="preserve">having been </w:t>
      </w:r>
      <w:r w:rsidRPr="003E2544">
        <w:rPr>
          <w:rFonts w:ascii="Verdana" w:eastAsia="Calibri" w:hAnsi="Verdana"/>
          <w:color w:val="000000" w:themeColor="text1"/>
          <w:sz w:val="20"/>
          <w:szCs w:val="20"/>
        </w:rPr>
        <w:t>already adopted and put into practice by the GRSS.</w:t>
      </w:r>
      <w:r w:rsidR="00C04D3B">
        <w:rPr>
          <w:rFonts w:ascii="Verdana" w:eastAsia="Calibri" w:hAnsi="Verdana"/>
          <w:color w:val="000000" w:themeColor="text1"/>
          <w:sz w:val="20"/>
          <w:szCs w:val="20"/>
        </w:rPr>
        <w:t xml:space="preserve"> T</w:t>
      </w:r>
      <w:r w:rsidRPr="003E2544">
        <w:rPr>
          <w:rFonts w:ascii="Verdana" w:eastAsia="Calibri" w:hAnsi="Verdana"/>
          <w:color w:val="000000" w:themeColor="text1"/>
          <w:sz w:val="20"/>
          <w:szCs w:val="20"/>
        </w:rPr>
        <w:t>he JP’s goal is to revive and encourage these committees and forums to become operational and to fulfill their mandates.</w:t>
      </w:r>
    </w:p>
    <w:p w14:paraId="1095E8F1" w14:textId="77777777" w:rsidR="00866655" w:rsidRDefault="00866655" w:rsidP="00866655">
      <w:pPr>
        <w:spacing w:line="240" w:lineRule="auto"/>
        <w:jc w:val="both"/>
        <w:rPr>
          <w:rFonts w:ascii="Verdana" w:eastAsia="Calibri" w:hAnsi="Verdana"/>
          <w:color w:val="000000" w:themeColor="text1"/>
          <w:sz w:val="20"/>
          <w:szCs w:val="20"/>
        </w:rPr>
      </w:pPr>
    </w:p>
    <w:p w14:paraId="4003F786" w14:textId="1CBB0CDC" w:rsidR="00272BF8" w:rsidRPr="003E2544" w:rsidRDefault="00272BF8" w:rsidP="00866655">
      <w:pPr>
        <w:pStyle w:val="Heading3"/>
        <w:spacing w:line="240" w:lineRule="auto"/>
      </w:pPr>
      <w:r w:rsidRPr="003E2544">
        <w:t>3.2 Monitoring, reporting, and evaluation</w:t>
      </w:r>
    </w:p>
    <w:p w14:paraId="54673387" w14:textId="77777777" w:rsidR="00272BF8" w:rsidRPr="003E2544" w:rsidRDefault="00272BF8" w:rsidP="00245274">
      <w:pPr>
        <w:spacing w:line="240" w:lineRule="auto"/>
        <w:rPr>
          <w:rFonts w:ascii="Verdana" w:eastAsia="Calibri" w:hAnsi="Verdana" w:cs="Times New Roman"/>
          <w:iCs/>
          <w:color w:val="C45911" w:themeColor="accent2" w:themeShade="BF"/>
          <w:sz w:val="20"/>
          <w:szCs w:val="20"/>
        </w:rPr>
      </w:pPr>
    </w:p>
    <w:p w14:paraId="1630AE9E" w14:textId="222ECBFD" w:rsidR="00272BF8" w:rsidRPr="003E2544" w:rsidRDefault="00272BF8" w:rsidP="00245274">
      <w:pPr>
        <w:spacing w:line="240" w:lineRule="auto"/>
        <w:jc w:val="both"/>
        <w:rPr>
          <w:rFonts w:ascii="Verdana" w:eastAsia="Calibri" w:hAnsi="Verdana" w:cs="Times New Roman"/>
          <w:sz w:val="20"/>
          <w:szCs w:val="20"/>
        </w:rPr>
      </w:pPr>
      <w:r w:rsidRPr="003E2544">
        <w:rPr>
          <w:rFonts w:ascii="Verdana" w:eastAsia="Calibri" w:hAnsi="Verdana" w:cs="Times New Roman"/>
          <w:sz w:val="20"/>
          <w:szCs w:val="20"/>
        </w:rPr>
        <w:t xml:space="preserve">Reporting on the Joint SDG Fund will be results-oriented, and evidence based. Each PUNO will provide the </w:t>
      </w:r>
      <w:r w:rsidR="00F04BD2">
        <w:rPr>
          <w:rFonts w:ascii="Verdana" w:eastAsia="Calibri" w:hAnsi="Verdana" w:cs="Times New Roman"/>
          <w:sz w:val="20"/>
          <w:szCs w:val="20"/>
        </w:rPr>
        <w:t>C</w:t>
      </w:r>
      <w:r w:rsidR="00F04BD2" w:rsidRPr="003E2544">
        <w:rPr>
          <w:rFonts w:ascii="Verdana" w:eastAsia="Calibri" w:hAnsi="Verdana" w:cs="Times New Roman"/>
          <w:sz w:val="20"/>
          <w:szCs w:val="20"/>
        </w:rPr>
        <w:t>onvening/</w:t>
      </w:r>
      <w:r w:rsidR="00F04BD2">
        <w:rPr>
          <w:rFonts w:ascii="Verdana" w:eastAsia="Calibri" w:hAnsi="Verdana" w:cs="Times New Roman"/>
          <w:sz w:val="20"/>
          <w:szCs w:val="20"/>
        </w:rPr>
        <w:t>L</w:t>
      </w:r>
      <w:r w:rsidR="00F04BD2" w:rsidRPr="003E2544">
        <w:rPr>
          <w:rFonts w:ascii="Verdana" w:eastAsia="Calibri" w:hAnsi="Verdana" w:cs="Times New Roman"/>
          <w:sz w:val="20"/>
          <w:szCs w:val="20"/>
        </w:rPr>
        <w:t xml:space="preserve">ead </w:t>
      </w:r>
      <w:r w:rsidR="00F04BD2">
        <w:rPr>
          <w:rFonts w:ascii="Verdana" w:eastAsia="Calibri" w:hAnsi="Verdana" w:cs="Times New Roman"/>
          <w:sz w:val="20"/>
          <w:szCs w:val="20"/>
        </w:rPr>
        <w:t>A</w:t>
      </w:r>
      <w:r w:rsidR="00F04BD2" w:rsidRPr="003E2544">
        <w:rPr>
          <w:rFonts w:ascii="Verdana" w:eastAsia="Calibri" w:hAnsi="Verdana" w:cs="Times New Roman"/>
          <w:sz w:val="20"/>
          <w:szCs w:val="20"/>
        </w:rPr>
        <w:t xml:space="preserve">gent </w:t>
      </w:r>
      <w:r w:rsidRPr="003E2544">
        <w:rPr>
          <w:rFonts w:ascii="Verdana" w:eastAsia="Calibri" w:hAnsi="Verdana" w:cs="Times New Roman"/>
          <w:sz w:val="20"/>
          <w:szCs w:val="20"/>
        </w:rPr>
        <w:t xml:space="preserve">with the following narrative reports prepared in accordance with instructions and templates developed by the Joint SDG Fund Secretariat: </w:t>
      </w:r>
    </w:p>
    <w:p w14:paraId="64A79E71" w14:textId="77777777" w:rsidR="00272BF8" w:rsidRPr="003E2544" w:rsidRDefault="00272BF8" w:rsidP="00245274">
      <w:pPr>
        <w:spacing w:line="240" w:lineRule="auto"/>
        <w:jc w:val="both"/>
        <w:rPr>
          <w:rFonts w:ascii="Verdana" w:eastAsia="Calibri" w:hAnsi="Verdana" w:cs="Times New Roman"/>
          <w:sz w:val="20"/>
          <w:szCs w:val="20"/>
        </w:rPr>
      </w:pPr>
    </w:p>
    <w:p w14:paraId="0D7633FD" w14:textId="7DC24071" w:rsidR="00272BF8" w:rsidRPr="003E2544" w:rsidRDefault="00272BF8" w:rsidP="00866655">
      <w:pPr>
        <w:numPr>
          <w:ilvl w:val="0"/>
          <w:numId w:val="87"/>
        </w:numPr>
        <w:spacing w:after="200" w:line="240" w:lineRule="auto"/>
        <w:jc w:val="both"/>
        <w:rPr>
          <w:rFonts w:ascii="Verdana" w:eastAsia="Calibri" w:hAnsi="Verdana" w:cs="Times New Roman"/>
          <w:color w:val="000000"/>
          <w:sz w:val="20"/>
          <w:szCs w:val="20"/>
        </w:rPr>
      </w:pPr>
      <w:r w:rsidRPr="003E2544">
        <w:rPr>
          <w:rFonts w:ascii="Verdana" w:hAnsi="Verdana"/>
          <w:i/>
          <w:iCs/>
          <w:color w:val="000000" w:themeColor="text1"/>
          <w:sz w:val="20"/>
          <w:szCs w:val="20"/>
        </w:rPr>
        <w:t>Annual narrative progress reports</w:t>
      </w:r>
      <w:r w:rsidRPr="003E2544">
        <w:rPr>
          <w:rFonts w:ascii="Verdana" w:hAnsi="Verdana"/>
          <w:color w:val="000000" w:themeColor="text1"/>
          <w:sz w:val="20"/>
          <w:szCs w:val="20"/>
        </w:rPr>
        <w:t>, to be provided no later than one month</w:t>
      </w:r>
      <w:r w:rsidR="00F04BD2">
        <w:rPr>
          <w:rFonts w:ascii="Verdana" w:hAnsi="Verdana"/>
          <w:color w:val="000000" w:themeColor="text1"/>
          <w:sz w:val="20"/>
          <w:szCs w:val="20"/>
        </w:rPr>
        <w:t xml:space="preserve"> </w:t>
      </w:r>
      <w:r w:rsidRPr="003E2544">
        <w:rPr>
          <w:rFonts w:ascii="Verdana" w:hAnsi="Verdana"/>
          <w:color w:val="000000" w:themeColor="text1"/>
          <w:sz w:val="20"/>
          <w:szCs w:val="20"/>
        </w:rPr>
        <w:t>after the end of the calendar year</w:t>
      </w:r>
      <w:r w:rsidR="00F04BD2">
        <w:rPr>
          <w:rFonts w:ascii="Verdana" w:hAnsi="Verdana"/>
          <w:color w:val="000000" w:themeColor="text1"/>
          <w:sz w:val="20"/>
          <w:szCs w:val="20"/>
        </w:rPr>
        <w:t xml:space="preserve"> </w:t>
      </w:r>
      <w:r w:rsidR="00F04BD2" w:rsidRPr="003E2544">
        <w:rPr>
          <w:rFonts w:ascii="Verdana" w:hAnsi="Verdana"/>
          <w:color w:val="000000" w:themeColor="text1"/>
          <w:sz w:val="20"/>
          <w:szCs w:val="20"/>
        </w:rPr>
        <w:t>(31 January)</w:t>
      </w:r>
      <w:r w:rsidRPr="003E2544">
        <w:rPr>
          <w:rFonts w:ascii="Verdana" w:hAnsi="Verdana"/>
          <w:color w:val="000000" w:themeColor="text1"/>
          <w:sz w:val="20"/>
          <w:szCs w:val="20"/>
        </w:rPr>
        <w:t xml:space="preserve">, and must include the </w:t>
      </w:r>
      <w:r w:rsidRPr="003E2544">
        <w:rPr>
          <w:rFonts w:ascii="Verdana" w:eastAsia="Calibri" w:hAnsi="Verdana" w:cs="Times New Roman"/>
          <w:color w:val="000000" w:themeColor="text1"/>
          <w:sz w:val="20"/>
          <w:szCs w:val="20"/>
        </w:rPr>
        <w:t>result</w:t>
      </w:r>
      <w:r w:rsidR="00F04BD2">
        <w:rPr>
          <w:rFonts w:ascii="Verdana" w:eastAsia="Calibri" w:hAnsi="Verdana" w:cs="Times New Roman"/>
          <w:color w:val="000000" w:themeColor="text1"/>
          <w:sz w:val="20"/>
          <w:szCs w:val="20"/>
        </w:rPr>
        <w:t>s framework</w:t>
      </w:r>
      <w:r w:rsidRPr="003E2544">
        <w:rPr>
          <w:rFonts w:ascii="Verdana" w:hAnsi="Verdana"/>
          <w:color w:val="000000" w:themeColor="text1"/>
          <w:sz w:val="20"/>
          <w:szCs w:val="20"/>
        </w:rPr>
        <w:t>, updated risk log,</w:t>
      </w:r>
      <w:r w:rsidR="00866655">
        <w:rPr>
          <w:rFonts w:ascii="Verdana" w:hAnsi="Verdana"/>
          <w:color w:val="000000" w:themeColor="text1"/>
          <w:sz w:val="20"/>
          <w:szCs w:val="20"/>
        </w:rPr>
        <w:t xml:space="preserve"> </w:t>
      </w:r>
      <w:r w:rsidRPr="003E2544">
        <w:rPr>
          <w:rFonts w:ascii="Verdana" w:hAnsi="Verdana"/>
          <w:color w:val="000000" w:themeColor="text1"/>
          <w:sz w:val="20"/>
          <w:szCs w:val="20"/>
        </w:rPr>
        <w:t>and anticipated expenditures and results for the next 12</w:t>
      </w:r>
      <w:r w:rsidR="00F04BD2">
        <w:rPr>
          <w:rFonts w:ascii="Verdana" w:hAnsi="Verdana"/>
          <w:color w:val="000000" w:themeColor="text1"/>
          <w:sz w:val="20"/>
          <w:szCs w:val="20"/>
        </w:rPr>
        <w:t>-</w:t>
      </w:r>
      <w:r w:rsidRPr="003E2544">
        <w:rPr>
          <w:rFonts w:ascii="Verdana" w:hAnsi="Verdana"/>
          <w:color w:val="000000" w:themeColor="text1"/>
          <w:sz w:val="20"/>
          <w:szCs w:val="20"/>
        </w:rPr>
        <w:t>month funding period;</w:t>
      </w:r>
    </w:p>
    <w:p w14:paraId="0AB529B6" w14:textId="33F127CC" w:rsidR="00272BF8" w:rsidRPr="003E2544" w:rsidRDefault="48EFF76C" w:rsidP="00866655">
      <w:pPr>
        <w:numPr>
          <w:ilvl w:val="0"/>
          <w:numId w:val="87"/>
        </w:numPr>
        <w:spacing w:after="200" w:line="240" w:lineRule="auto"/>
        <w:jc w:val="both"/>
        <w:rPr>
          <w:rFonts w:ascii="Verdana" w:eastAsia="Calibri" w:hAnsi="Verdana" w:cs="Times New Roman"/>
          <w:color w:val="000000"/>
          <w:sz w:val="20"/>
          <w:szCs w:val="20"/>
        </w:rPr>
      </w:pPr>
      <w:r w:rsidRPr="003E2544">
        <w:rPr>
          <w:rFonts w:ascii="Verdana" w:eastAsia="Calibri" w:hAnsi="Verdana" w:cs="Times New Roman"/>
          <w:i/>
          <w:iCs/>
          <w:color w:val="000000"/>
          <w:sz w:val="20"/>
          <w:szCs w:val="20"/>
        </w:rPr>
        <w:t>Mid-term progress review report</w:t>
      </w:r>
      <w:r w:rsidRPr="003E2544">
        <w:rPr>
          <w:rFonts w:ascii="Verdana" w:eastAsia="Calibri" w:hAnsi="Verdana" w:cs="Times New Roman"/>
          <w:color w:val="000000"/>
          <w:sz w:val="20"/>
          <w:szCs w:val="20"/>
        </w:rPr>
        <w:t xml:space="preserve"> to be submitted halfway through </w:t>
      </w:r>
      <w:r w:rsidR="00F04BD2">
        <w:rPr>
          <w:rFonts w:ascii="Verdana" w:eastAsia="Calibri" w:hAnsi="Verdana" w:cs="Times New Roman"/>
          <w:color w:val="000000"/>
          <w:sz w:val="20"/>
          <w:szCs w:val="20"/>
        </w:rPr>
        <w:t xml:space="preserve">JP </w:t>
      </w:r>
      <w:r w:rsidRPr="003E2544">
        <w:rPr>
          <w:rFonts w:ascii="Verdana" w:eastAsia="Calibri" w:hAnsi="Verdana" w:cs="Times New Roman"/>
          <w:color w:val="000000"/>
          <w:sz w:val="20"/>
          <w:szCs w:val="20"/>
        </w:rPr>
        <w:t>implementation</w:t>
      </w:r>
      <w:r w:rsidR="00F04BD2">
        <w:rPr>
          <w:rFonts w:ascii="Verdana" w:eastAsia="Calibri" w:hAnsi="Verdana" w:cs="Times New Roman"/>
          <w:color w:val="000000"/>
          <w:sz w:val="20"/>
          <w:szCs w:val="20"/>
        </w:rPr>
        <w:t>;</w:t>
      </w:r>
      <w:r w:rsidR="00F04BD2">
        <w:rPr>
          <w:rStyle w:val="FootnoteReference"/>
          <w:rFonts w:ascii="Verdana" w:eastAsia="Calibri" w:hAnsi="Verdana" w:cs="Times New Roman"/>
          <w:color w:val="000000"/>
          <w:sz w:val="20"/>
          <w:szCs w:val="20"/>
        </w:rPr>
        <w:footnoteReference w:id="24"/>
      </w:r>
      <w:r w:rsidRPr="003E2544">
        <w:rPr>
          <w:rFonts w:ascii="Verdana" w:eastAsia="Calibri" w:hAnsi="Verdana" w:cs="Times New Roman"/>
          <w:color w:val="000000"/>
          <w:sz w:val="20"/>
          <w:szCs w:val="20"/>
        </w:rPr>
        <w:t xml:space="preserve"> and</w:t>
      </w:r>
    </w:p>
    <w:p w14:paraId="630DD274" w14:textId="40C7569E" w:rsidR="00272BF8" w:rsidRPr="003E2544" w:rsidRDefault="00272BF8" w:rsidP="00866655">
      <w:pPr>
        <w:numPr>
          <w:ilvl w:val="0"/>
          <w:numId w:val="87"/>
        </w:numPr>
        <w:spacing w:after="200" w:line="240" w:lineRule="auto"/>
        <w:jc w:val="both"/>
        <w:rPr>
          <w:rFonts w:ascii="Verdana" w:eastAsia="Calibri" w:hAnsi="Verdana" w:cs="Times New Roman"/>
          <w:color w:val="000000"/>
          <w:sz w:val="20"/>
          <w:szCs w:val="20"/>
        </w:rPr>
      </w:pPr>
      <w:r w:rsidRPr="003E2544">
        <w:rPr>
          <w:rFonts w:ascii="Verdana" w:hAnsi="Verdana"/>
          <w:i/>
          <w:iCs/>
          <w:color w:val="000000" w:themeColor="text1"/>
          <w:sz w:val="20"/>
          <w:szCs w:val="20"/>
        </w:rPr>
        <w:t xml:space="preserve">Final </w:t>
      </w:r>
      <w:r w:rsidRPr="003E2544">
        <w:rPr>
          <w:rFonts w:ascii="Verdana" w:eastAsia="Calibri" w:hAnsi="Verdana" w:cs="Times New Roman"/>
          <w:i/>
          <w:iCs/>
          <w:sz w:val="20"/>
          <w:szCs w:val="20"/>
        </w:rPr>
        <w:t>consolidated narrative</w:t>
      </w:r>
      <w:r w:rsidRPr="003E2544">
        <w:rPr>
          <w:rFonts w:ascii="Verdana" w:hAnsi="Verdana"/>
          <w:i/>
          <w:iCs/>
          <w:color w:val="000000" w:themeColor="text1"/>
          <w:sz w:val="20"/>
          <w:szCs w:val="20"/>
        </w:rPr>
        <w:t xml:space="preserve"> report</w:t>
      </w:r>
      <w:r w:rsidRPr="003E2544">
        <w:rPr>
          <w:rFonts w:ascii="Verdana" w:hAnsi="Verdana"/>
          <w:color w:val="000000" w:themeColor="text1"/>
          <w:sz w:val="20"/>
          <w:szCs w:val="20"/>
        </w:rPr>
        <w:t xml:space="preserve">, after the completion of the </w:t>
      </w:r>
      <w:r w:rsidR="00F04BD2">
        <w:rPr>
          <w:rFonts w:ascii="Verdana" w:eastAsia="Calibri" w:hAnsi="Verdana" w:cs="Times New Roman"/>
          <w:color w:val="000000" w:themeColor="text1"/>
          <w:sz w:val="20"/>
          <w:szCs w:val="20"/>
        </w:rPr>
        <w:t>JP</w:t>
      </w:r>
      <w:r w:rsidRPr="003E2544">
        <w:rPr>
          <w:rFonts w:ascii="Verdana" w:hAnsi="Verdana"/>
          <w:color w:val="000000" w:themeColor="text1"/>
          <w:sz w:val="20"/>
          <w:szCs w:val="20"/>
        </w:rPr>
        <w:t xml:space="preserve">, to be provided no later than </w:t>
      </w:r>
      <w:r w:rsidRPr="003E2544">
        <w:rPr>
          <w:rFonts w:ascii="Verdana" w:eastAsia="Calibri" w:hAnsi="Verdana" w:cs="Times New Roman"/>
          <w:sz w:val="20"/>
          <w:szCs w:val="20"/>
        </w:rPr>
        <w:t xml:space="preserve">two </w:t>
      </w:r>
      <w:r w:rsidRPr="003E2544">
        <w:rPr>
          <w:rFonts w:ascii="Verdana" w:hAnsi="Verdana"/>
          <w:color w:val="000000" w:themeColor="text1"/>
          <w:sz w:val="20"/>
          <w:szCs w:val="20"/>
        </w:rPr>
        <w:t xml:space="preserve">months after the operational closure of </w:t>
      </w:r>
      <w:r w:rsidR="00F04BD2">
        <w:rPr>
          <w:rFonts w:ascii="Verdana" w:hAnsi="Verdana"/>
          <w:color w:val="000000" w:themeColor="text1"/>
          <w:sz w:val="20"/>
          <w:szCs w:val="20"/>
        </w:rPr>
        <w:t>JP</w:t>
      </w:r>
      <w:r w:rsidR="00F04BD2" w:rsidRPr="003E2544">
        <w:rPr>
          <w:rFonts w:ascii="Verdana" w:hAnsi="Verdana"/>
          <w:color w:val="000000" w:themeColor="text1"/>
          <w:sz w:val="20"/>
          <w:szCs w:val="20"/>
        </w:rPr>
        <w:t xml:space="preserve"> </w:t>
      </w:r>
      <w:r w:rsidRPr="003E2544">
        <w:rPr>
          <w:rFonts w:ascii="Verdana" w:hAnsi="Verdana"/>
          <w:color w:val="000000" w:themeColor="text1"/>
          <w:sz w:val="20"/>
          <w:szCs w:val="20"/>
        </w:rPr>
        <w:t xml:space="preserve">activities. </w:t>
      </w:r>
    </w:p>
    <w:p w14:paraId="1BE787EF" w14:textId="3A52BC3F" w:rsidR="00272BF8" w:rsidRPr="003E2544" w:rsidRDefault="00272BF8" w:rsidP="00245274">
      <w:pPr>
        <w:spacing w:line="240" w:lineRule="auto"/>
        <w:jc w:val="both"/>
        <w:rPr>
          <w:rFonts w:ascii="Verdana" w:eastAsia="Calibri" w:hAnsi="Verdana" w:cs="Times New Roman"/>
          <w:sz w:val="20"/>
          <w:szCs w:val="20"/>
        </w:rPr>
      </w:pPr>
      <w:r w:rsidRPr="003E2544">
        <w:rPr>
          <w:rFonts w:ascii="Verdana" w:eastAsia="Calibri" w:hAnsi="Verdana" w:cs="Times New Roman"/>
          <w:sz w:val="20"/>
          <w:szCs w:val="20"/>
        </w:rPr>
        <w:t xml:space="preserve">The </w:t>
      </w:r>
      <w:r w:rsidR="00F04BD2">
        <w:rPr>
          <w:rFonts w:ascii="Verdana" w:eastAsia="Calibri" w:hAnsi="Verdana" w:cs="Times New Roman"/>
          <w:sz w:val="20"/>
          <w:szCs w:val="20"/>
        </w:rPr>
        <w:t>C</w:t>
      </w:r>
      <w:r w:rsidR="00F04BD2" w:rsidRPr="003E2544">
        <w:rPr>
          <w:rFonts w:ascii="Verdana" w:eastAsia="Calibri" w:hAnsi="Verdana" w:cs="Times New Roman"/>
          <w:sz w:val="20"/>
          <w:szCs w:val="20"/>
        </w:rPr>
        <w:t>onvening/</w:t>
      </w:r>
      <w:r w:rsidR="00F04BD2">
        <w:rPr>
          <w:rFonts w:ascii="Verdana" w:eastAsia="Calibri" w:hAnsi="Verdana" w:cs="Times New Roman"/>
          <w:sz w:val="20"/>
          <w:szCs w:val="20"/>
        </w:rPr>
        <w:t>L</w:t>
      </w:r>
      <w:r w:rsidR="00F04BD2" w:rsidRPr="003E2544">
        <w:rPr>
          <w:rFonts w:ascii="Verdana" w:eastAsia="Calibri" w:hAnsi="Verdana" w:cs="Times New Roman"/>
          <w:sz w:val="20"/>
          <w:szCs w:val="20"/>
        </w:rPr>
        <w:t xml:space="preserve">ead </w:t>
      </w:r>
      <w:r w:rsidR="00F04BD2">
        <w:rPr>
          <w:rFonts w:ascii="Verdana" w:eastAsia="Calibri" w:hAnsi="Verdana" w:cs="Times New Roman"/>
          <w:sz w:val="20"/>
          <w:szCs w:val="20"/>
        </w:rPr>
        <w:t>A</w:t>
      </w:r>
      <w:r w:rsidR="00F04BD2" w:rsidRPr="003E2544">
        <w:rPr>
          <w:rFonts w:ascii="Verdana" w:eastAsia="Calibri" w:hAnsi="Verdana" w:cs="Times New Roman"/>
          <w:sz w:val="20"/>
          <w:szCs w:val="20"/>
        </w:rPr>
        <w:t xml:space="preserve">gent </w:t>
      </w:r>
      <w:r w:rsidRPr="003E2544">
        <w:rPr>
          <w:rFonts w:ascii="Verdana" w:eastAsia="Calibri" w:hAnsi="Verdana" w:cs="Times New Roman"/>
          <w:sz w:val="20"/>
          <w:szCs w:val="20"/>
        </w:rPr>
        <w:t xml:space="preserve">will compile the narrative reports of PUNOs and submit a consolidated report to the Joint SDG Fund Secretariat, through the </w:t>
      </w:r>
      <w:r w:rsidR="00F04BD2">
        <w:rPr>
          <w:rFonts w:ascii="Verdana" w:eastAsia="Calibri" w:hAnsi="Verdana" w:cs="Times New Roman"/>
          <w:sz w:val="20"/>
          <w:szCs w:val="20"/>
        </w:rPr>
        <w:t>RCO</w:t>
      </w:r>
      <w:r w:rsidRPr="003E2544">
        <w:rPr>
          <w:rFonts w:ascii="Verdana" w:eastAsia="Calibri" w:hAnsi="Verdana" w:cs="Times New Roman"/>
          <w:sz w:val="20"/>
          <w:szCs w:val="20"/>
        </w:rPr>
        <w:t xml:space="preserve">. </w:t>
      </w:r>
    </w:p>
    <w:p w14:paraId="1C5693B9" w14:textId="77777777" w:rsidR="00272BF8" w:rsidRPr="003E2544" w:rsidRDefault="00272BF8" w:rsidP="00245274">
      <w:pPr>
        <w:spacing w:line="240" w:lineRule="auto"/>
        <w:jc w:val="both"/>
        <w:rPr>
          <w:rFonts w:ascii="Verdana" w:eastAsia="Calibri" w:hAnsi="Verdana" w:cs="Times New Roman"/>
          <w:sz w:val="20"/>
          <w:szCs w:val="20"/>
        </w:rPr>
      </w:pPr>
    </w:p>
    <w:p w14:paraId="406DE704" w14:textId="61C4DF60" w:rsidR="00272BF8" w:rsidRPr="003E2544" w:rsidRDefault="00272BF8" w:rsidP="00245274">
      <w:pPr>
        <w:spacing w:line="240" w:lineRule="auto"/>
        <w:jc w:val="both"/>
        <w:rPr>
          <w:rFonts w:ascii="Verdana" w:eastAsia="Calibri" w:hAnsi="Verdana" w:cs="Times New Roman"/>
          <w:sz w:val="20"/>
          <w:szCs w:val="20"/>
        </w:rPr>
      </w:pPr>
      <w:r w:rsidRPr="003E2544">
        <w:rPr>
          <w:rFonts w:ascii="Verdana" w:eastAsia="Calibri" w:hAnsi="Verdana" w:cs="Times New Roman"/>
          <w:sz w:val="20"/>
          <w:szCs w:val="20"/>
        </w:rPr>
        <w:t xml:space="preserve">The </w:t>
      </w:r>
      <w:r w:rsidR="00F04BD2">
        <w:rPr>
          <w:rFonts w:ascii="Verdana" w:eastAsia="Calibri" w:hAnsi="Verdana" w:cs="Times New Roman"/>
          <w:sz w:val="20"/>
          <w:szCs w:val="20"/>
        </w:rPr>
        <w:t>RCO</w:t>
      </w:r>
      <w:r w:rsidRPr="003E2544">
        <w:rPr>
          <w:rFonts w:ascii="Verdana" w:eastAsia="Calibri" w:hAnsi="Verdana" w:cs="Times New Roman"/>
          <w:sz w:val="20"/>
          <w:szCs w:val="20"/>
        </w:rPr>
        <w:t xml:space="preserve"> will be required to monitor the implementation of the </w:t>
      </w:r>
      <w:r w:rsidR="00F04BD2">
        <w:rPr>
          <w:rFonts w:ascii="Verdana" w:eastAsia="Calibri" w:hAnsi="Verdana" w:cs="Times New Roman"/>
          <w:sz w:val="20"/>
          <w:szCs w:val="20"/>
        </w:rPr>
        <w:t>JP</w:t>
      </w:r>
      <w:r w:rsidRPr="003E2544">
        <w:rPr>
          <w:rFonts w:ascii="Verdana" w:eastAsia="Calibri" w:hAnsi="Verdana" w:cs="Times New Roman"/>
          <w:sz w:val="20"/>
          <w:szCs w:val="20"/>
        </w:rPr>
        <w:t xml:space="preserve">, with the involvement of </w:t>
      </w:r>
      <w:r w:rsidR="00F04BD2">
        <w:rPr>
          <w:rFonts w:ascii="Verdana" w:eastAsia="Calibri" w:hAnsi="Verdana" w:cs="Times New Roman"/>
          <w:sz w:val="20"/>
          <w:szCs w:val="20"/>
        </w:rPr>
        <w:t xml:space="preserve">the </w:t>
      </w:r>
      <w:r w:rsidRPr="003E2544">
        <w:rPr>
          <w:rFonts w:ascii="Verdana" w:eastAsia="Calibri" w:hAnsi="Verdana" w:cs="Times New Roman"/>
          <w:sz w:val="20"/>
          <w:szCs w:val="20"/>
        </w:rPr>
        <w:t xml:space="preserve">Joint SDG Fund Secretariat to which it must submit data and information when requested. As a minimum, joint programmes will prepare and submit to the Joint SDG Fund Secretariat, 6-month monitoring updates. Additional insights (such as policy papers, value for money analysis, case studies, infographics, blogs) might need to be provided, </w:t>
      </w:r>
      <w:r w:rsidR="00F04BD2">
        <w:rPr>
          <w:rFonts w:ascii="Verdana" w:eastAsia="Calibri" w:hAnsi="Verdana" w:cs="Times New Roman"/>
          <w:sz w:val="20"/>
          <w:szCs w:val="20"/>
        </w:rPr>
        <w:t xml:space="preserve">as </w:t>
      </w:r>
      <w:r w:rsidRPr="003E2544">
        <w:rPr>
          <w:rFonts w:ascii="Verdana" w:eastAsia="Calibri" w:hAnsi="Verdana" w:cs="Times New Roman"/>
          <w:sz w:val="20"/>
          <w:szCs w:val="20"/>
        </w:rPr>
        <w:t>per request</w:t>
      </w:r>
      <w:r w:rsidR="00F04BD2">
        <w:rPr>
          <w:rFonts w:ascii="Verdana" w:eastAsia="Calibri" w:hAnsi="Verdana" w:cs="Times New Roman"/>
          <w:sz w:val="20"/>
          <w:szCs w:val="20"/>
        </w:rPr>
        <w:t>s</w:t>
      </w:r>
      <w:r w:rsidRPr="003E2544">
        <w:rPr>
          <w:rFonts w:ascii="Verdana" w:eastAsia="Calibri" w:hAnsi="Verdana" w:cs="Times New Roman"/>
          <w:sz w:val="20"/>
          <w:szCs w:val="20"/>
        </w:rPr>
        <w:t xml:space="preserve"> of the Joint SDG Fund Secretariat. </w:t>
      </w:r>
      <w:r w:rsidR="00F04BD2">
        <w:rPr>
          <w:rFonts w:ascii="Verdana" w:eastAsia="Calibri" w:hAnsi="Verdana" w:cs="Times New Roman"/>
          <w:sz w:val="20"/>
          <w:szCs w:val="20"/>
        </w:rPr>
        <w:t>The JP</w:t>
      </w:r>
      <w:r w:rsidRPr="003E2544">
        <w:rPr>
          <w:rFonts w:ascii="Verdana" w:eastAsia="Calibri" w:hAnsi="Verdana" w:cs="Times New Roman"/>
          <w:sz w:val="20"/>
          <w:szCs w:val="20"/>
        </w:rPr>
        <w:t xml:space="preserve"> will allocate resources for </w:t>
      </w:r>
      <w:r w:rsidR="00F04BD2">
        <w:rPr>
          <w:rFonts w:ascii="Verdana" w:eastAsia="Calibri" w:hAnsi="Verdana" w:cs="Times New Roman"/>
          <w:sz w:val="20"/>
          <w:szCs w:val="20"/>
        </w:rPr>
        <w:t>M&amp;E</w:t>
      </w:r>
      <w:r w:rsidRPr="003E2544">
        <w:rPr>
          <w:rFonts w:ascii="Verdana" w:eastAsia="Calibri" w:hAnsi="Verdana" w:cs="Times New Roman"/>
          <w:sz w:val="20"/>
          <w:szCs w:val="20"/>
        </w:rPr>
        <w:t xml:space="preserve"> in the budget.</w:t>
      </w:r>
    </w:p>
    <w:p w14:paraId="534450E1" w14:textId="77777777" w:rsidR="00272BF8" w:rsidRPr="003E2544" w:rsidRDefault="00272BF8" w:rsidP="00245274">
      <w:pPr>
        <w:spacing w:line="240" w:lineRule="auto"/>
        <w:jc w:val="both"/>
        <w:rPr>
          <w:rFonts w:ascii="Verdana" w:eastAsia="Calibri" w:hAnsi="Verdana" w:cs="Times New Roman"/>
          <w:sz w:val="20"/>
          <w:szCs w:val="20"/>
        </w:rPr>
      </w:pPr>
    </w:p>
    <w:p w14:paraId="7EDFAC10" w14:textId="58BA63D4" w:rsidR="00272BF8" w:rsidRPr="003E2544" w:rsidRDefault="00272BF8" w:rsidP="00245274">
      <w:pPr>
        <w:spacing w:line="240" w:lineRule="auto"/>
        <w:jc w:val="both"/>
        <w:rPr>
          <w:rFonts w:ascii="Verdana" w:eastAsia="Calibri" w:hAnsi="Verdana" w:cs="Times New Roman"/>
          <w:sz w:val="20"/>
          <w:szCs w:val="20"/>
        </w:rPr>
      </w:pPr>
      <w:r w:rsidRPr="003E2544">
        <w:rPr>
          <w:rFonts w:ascii="Verdana" w:eastAsia="Calibri" w:hAnsi="Verdana" w:cs="Times New Roman"/>
          <w:sz w:val="20"/>
          <w:szCs w:val="20"/>
        </w:rPr>
        <w:t xml:space="preserve">Data for all indicators of the results framework will be shared with the Fund Secretariat on a regular basis, in order to allow </w:t>
      </w:r>
      <w:r w:rsidR="00F04BD2">
        <w:rPr>
          <w:rFonts w:ascii="Verdana" w:eastAsia="Calibri" w:hAnsi="Verdana" w:cs="Times New Roman"/>
          <w:sz w:val="20"/>
          <w:szCs w:val="20"/>
        </w:rPr>
        <w:t>it</w:t>
      </w:r>
      <w:r w:rsidRPr="003E2544">
        <w:rPr>
          <w:rFonts w:ascii="Verdana" w:eastAsia="Calibri" w:hAnsi="Verdana" w:cs="Times New Roman"/>
          <w:sz w:val="20"/>
          <w:szCs w:val="20"/>
        </w:rPr>
        <w:t xml:space="preserve"> to aggregate results at the global level and integrate findings into reporting on progress of the Joint SDG Fund. </w:t>
      </w:r>
    </w:p>
    <w:p w14:paraId="65D8EA54" w14:textId="77777777" w:rsidR="00272BF8" w:rsidRPr="003E2544" w:rsidRDefault="00272BF8" w:rsidP="00245274">
      <w:pPr>
        <w:spacing w:line="240" w:lineRule="auto"/>
        <w:jc w:val="both"/>
        <w:rPr>
          <w:rFonts w:ascii="Verdana" w:eastAsia="Calibri" w:hAnsi="Verdana" w:cs="Times New Roman"/>
          <w:sz w:val="20"/>
          <w:szCs w:val="20"/>
        </w:rPr>
      </w:pPr>
    </w:p>
    <w:p w14:paraId="4DA296EB" w14:textId="77777777" w:rsidR="00272BF8" w:rsidRPr="003E2544" w:rsidRDefault="00272BF8" w:rsidP="00245274">
      <w:pPr>
        <w:spacing w:line="240" w:lineRule="auto"/>
        <w:jc w:val="both"/>
        <w:rPr>
          <w:rFonts w:ascii="Verdana" w:eastAsia="Calibri" w:hAnsi="Verdana" w:cs="Times New Roman"/>
          <w:sz w:val="20"/>
          <w:szCs w:val="20"/>
        </w:rPr>
      </w:pPr>
      <w:r w:rsidRPr="003E2544">
        <w:rPr>
          <w:rFonts w:ascii="Verdana" w:eastAsia="Calibri" w:hAnsi="Verdana" w:cs="Times New Roman"/>
          <w:sz w:val="20"/>
          <w:szCs w:val="20"/>
        </w:rPr>
        <w:t xml:space="preserve">PUNOs will be required to include information on complementary funding received from other sources (both UN cost sharing, and external sources of funding) for the activities supported by the Fund, including in kind contributions and/or South-South Cooperation initiatives, in the reporting done throughout the year. </w:t>
      </w:r>
    </w:p>
    <w:p w14:paraId="71849F9E" w14:textId="77777777" w:rsidR="00272BF8" w:rsidRPr="003E2544" w:rsidRDefault="00272BF8" w:rsidP="00245274">
      <w:pPr>
        <w:spacing w:line="240" w:lineRule="auto"/>
        <w:jc w:val="both"/>
        <w:rPr>
          <w:rFonts w:ascii="Verdana" w:eastAsia="Calibri" w:hAnsi="Verdana" w:cs="Times New Roman"/>
          <w:sz w:val="20"/>
          <w:szCs w:val="20"/>
        </w:rPr>
      </w:pPr>
    </w:p>
    <w:p w14:paraId="07EC5FF8" w14:textId="03AF9E39" w:rsidR="00272BF8" w:rsidRPr="003E2544" w:rsidRDefault="00272BF8" w:rsidP="00245274">
      <w:pPr>
        <w:spacing w:line="240" w:lineRule="auto"/>
        <w:jc w:val="both"/>
        <w:rPr>
          <w:rFonts w:ascii="Verdana" w:eastAsia="Calibri" w:hAnsi="Verdana" w:cs="Times New Roman"/>
          <w:sz w:val="20"/>
          <w:szCs w:val="20"/>
        </w:rPr>
      </w:pPr>
      <w:r w:rsidRPr="003E2544">
        <w:rPr>
          <w:rFonts w:ascii="Verdana" w:eastAsia="Calibri" w:hAnsi="Verdana" w:cs="Times New Roman"/>
          <w:sz w:val="20"/>
          <w:szCs w:val="20"/>
        </w:rPr>
        <w:t xml:space="preserve">PUNOs at Headquarters level shall provide the Administrative Agent with the following statements and reports prepared in accordance with its accounting and reporting procedures, </w:t>
      </w:r>
      <w:r w:rsidR="00F04BD2">
        <w:rPr>
          <w:rFonts w:ascii="Verdana" w:eastAsia="Calibri" w:hAnsi="Verdana" w:cs="Times New Roman"/>
          <w:sz w:val="20"/>
          <w:szCs w:val="20"/>
        </w:rPr>
        <w:t xml:space="preserve">and </w:t>
      </w:r>
      <w:r w:rsidRPr="003E2544">
        <w:rPr>
          <w:rFonts w:ascii="Verdana" w:eastAsia="Calibri" w:hAnsi="Verdana" w:cs="Times New Roman"/>
          <w:sz w:val="20"/>
          <w:szCs w:val="20"/>
        </w:rPr>
        <w:t>consolidate the financial reports, as follows:</w:t>
      </w:r>
    </w:p>
    <w:p w14:paraId="122A7268" w14:textId="77777777" w:rsidR="00272BF8" w:rsidRPr="003E2544" w:rsidRDefault="00272BF8" w:rsidP="00245274">
      <w:pPr>
        <w:spacing w:line="240" w:lineRule="auto"/>
        <w:jc w:val="both"/>
        <w:rPr>
          <w:rFonts w:ascii="Verdana" w:eastAsia="Calibri" w:hAnsi="Verdana" w:cs="Times New Roman"/>
          <w:sz w:val="20"/>
          <w:szCs w:val="20"/>
        </w:rPr>
      </w:pPr>
    </w:p>
    <w:p w14:paraId="0173B3EF" w14:textId="77777777" w:rsidR="00272BF8" w:rsidRPr="003E2544" w:rsidRDefault="00272BF8" w:rsidP="00245274">
      <w:pPr>
        <w:numPr>
          <w:ilvl w:val="0"/>
          <w:numId w:val="88"/>
        </w:numPr>
        <w:spacing w:after="200" w:line="240" w:lineRule="auto"/>
        <w:jc w:val="both"/>
        <w:rPr>
          <w:rFonts w:ascii="Verdana" w:eastAsia="Calibri" w:hAnsi="Verdana" w:cs="Times New Roman"/>
          <w:sz w:val="20"/>
          <w:szCs w:val="20"/>
        </w:rPr>
      </w:pPr>
      <w:r w:rsidRPr="003E2544">
        <w:rPr>
          <w:rFonts w:ascii="Verdana" w:hAnsi="Verdana"/>
          <w:color w:val="000000" w:themeColor="text1"/>
          <w:sz w:val="20"/>
          <w:szCs w:val="20"/>
        </w:rPr>
        <w:t>Annual financial reports as of 31st December each year with respect to the funds disbursed to it from the Joint SDG Fund Account, to be provided no later than four months after the end of the applicable reporting period; and</w:t>
      </w:r>
    </w:p>
    <w:p w14:paraId="4ECA9B7C" w14:textId="77777777" w:rsidR="00272BF8" w:rsidRPr="003E2544" w:rsidRDefault="00272BF8" w:rsidP="00245274">
      <w:pPr>
        <w:numPr>
          <w:ilvl w:val="0"/>
          <w:numId w:val="88"/>
        </w:numPr>
        <w:spacing w:after="200" w:line="240" w:lineRule="auto"/>
        <w:jc w:val="both"/>
        <w:rPr>
          <w:rFonts w:ascii="Verdana" w:eastAsia="Calibri" w:hAnsi="Verdana" w:cs="Times New Roman"/>
          <w:sz w:val="20"/>
          <w:szCs w:val="20"/>
        </w:rPr>
      </w:pPr>
      <w:r w:rsidRPr="003E2544">
        <w:rPr>
          <w:rFonts w:ascii="Verdana" w:eastAsia="Calibri" w:hAnsi="Verdana" w:cs="Times New Roman"/>
          <w:color w:val="000000"/>
          <w:sz w:val="20"/>
          <w:szCs w:val="20"/>
        </w:rPr>
        <w:t>A final financial report, after the completion of the activities financed by the Joint SDG Fund and including the final year of the activities, to be provided no later than 30 April of the year following the operational closing of the project activities.</w:t>
      </w:r>
    </w:p>
    <w:p w14:paraId="3690292E" w14:textId="16958F17" w:rsidR="00272BF8" w:rsidRPr="003E2544" w:rsidRDefault="00272BF8" w:rsidP="00245274">
      <w:pPr>
        <w:spacing w:line="240" w:lineRule="auto"/>
        <w:jc w:val="both"/>
        <w:rPr>
          <w:rFonts w:ascii="Verdana" w:eastAsia="Calibri" w:hAnsi="Verdana" w:cs="Times New Roman"/>
          <w:sz w:val="20"/>
          <w:szCs w:val="20"/>
        </w:rPr>
      </w:pPr>
      <w:r w:rsidRPr="003E2544">
        <w:rPr>
          <w:rFonts w:ascii="Verdana" w:eastAsia="Calibri" w:hAnsi="Verdana" w:cs="Times New Roman"/>
          <w:sz w:val="20"/>
          <w:szCs w:val="20"/>
        </w:rPr>
        <w:t xml:space="preserve">In addition, regular updates on financial delivery might need to be provided, </w:t>
      </w:r>
      <w:r w:rsidR="00F04BD2">
        <w:rPr>
          <w:rFonts w:ascii="Verdana" w:eastAsia="Calibri" w:hAnsi="Verdana" w:cs="Times New Roman"/>
          <w:sz w:val="20"/>
          <w:szCs w:val="20"/>
        </w:rPr>
        <w:t xml:space="preserve">as </w:t>
      </w:r>
      <w:r w:rsidRPr="003E2544">
        <w:rPr>
          <w:rFonts w:ascii="Verdana" w:eastAsia="Calibri" w:hAnsi="Verdana" w:cs="Times New Roman"/>
          <w:sz w:val="20"/>
          <w:szCs w:val="20"/>
        </w:rPr>
        <w:t xml:space="preserve">per </w:t>
      </w:r>
      <w:r w:rsidR="00F04BD2">
        <w:rPr>
          <w:rFonts w:ascii="Verdana" w:eastAsia="Calibri" w:hAnsi="Verdana" w:cs="Times New Roman"/>
          <w:sz w:val="20"/>
          <w:szCs w:val="20"/>
        </w:rPr>
        <w:t xml:space="preserve">the </w:t>
      </w:r>
      <w:r w:rsidRPr="003E2544">
        <w:rPr>
          <w:rFonts w:ascii="Verdana" w:eastAsia="Calibri" w:hAnsi="Verdana" w:cs="Times New Roman"/>
          <w:sz w:val="20"/>
          <w:szCs w:val="20"/>
        </w:rPr>
        <w:t>request of the Fund Secretariat.</w:t>
      </w:r>
    </w:p>
    <w:p w14:paraId="39A70489" w14:textId="20BCDB15" w:rsidR="00272BF8" w:rsidRPr="003E2544" w:rsidRDefault="48EFF76C" w:rsidP="00245274">
      <w:pPr>
        <w:spacing w:line="240" w:lineRule="auto"/>
        <w:jc w:val="both"/>
        <w:rPr>
          <w:rFonts w:ascii="Verdana" w:eastAsia="Calibri" w:hAnsi="Verdana" w:cs="Times New Roman"/>
          <w:sz w:val="20"/>
          <w:szCs w:val="20"/>
        </w:rPr>
      </w:pPr>
      <w:r w:rsidRPr="003E2544">
        <w:rPr>
          <w:rFonts w:ascii="Verdana" w:eastAsia="Calibri" w:hAnsi="Verdana" w:cs="Times New Roman"/>
          <w:sz w:val="20"/>
          <w:szCs w:val="20"/>
        </w:rPr>
        <w:t xml:space="preserve">After competition of a </w:t>
      </w:r>
      <w:r w:rsidR="00F04BD2">
        <w:rPr>
          <w:rFonts w:ascii="Verdana" w:eastAsia="Calibri" w:hAnsi="Verdana" w:cs="Times New Roman"/>
          <w:sz w:val="20"/>
          <w:szCs w:val="20"/>
        </w:rPr>
        <w:t>JP</w:t>
      </w:r>
      <w:r w:rsidRPr="003E2544" w:rsidDel="00F80655">
        <w:rPr>
          <w:rFonts w:ascii="Verdana" w:eastAsia="Calibri" w:hAnsi="Verdana" w:cs="Times New Roman"/>
          <w:sz w:val="20"/>
          <w:szCs w:val="20"/>
        </w:rPr>
        <w:t xml:space="preserve">, </w:t>
      </w:r>
      <w:r w:rsidRPr="003E2544">
        <w:rPr>
          <w:rFonts w:ascii="Verdana" w:eastAsia="Calibri" w:hAnsi="Verdana" w:cs="Times New Roman"/>
          <w:sz w:val="20"/>
          <w:szCs w:val="20"/>
        </w:rPr>
        <w:t xml:space="preserve">a final, </w:t>
      </w:r>
      <w:r w:rsidRPr="003E2544">
        <w:rPr>
          <w:rFonts w:ascii="Verdana" w:eastAsia="Calibri" w:hAnsi="Verdana" w:cs="Times New Roman"/>
          <w:i/>
          <w:iCs/>
          <w:sz w:val="20"/>
          <w:szCs w:val="20"/>
        </w:rPr>
        <w:t>independent and gender-responsive</w:t>
      </w:r>
      <w:r w:rsidR="00272BF8" w:rsidRPr="003E2544">
        <w:rPr>
          <w:rFonts w:ascii="Verdana" w:eastAsia="Calibri" w:hAnsi="Verdana" w:cs="Times New Roman"/>
          <w:i/>
          <w:iCs/>
          <w:vertAlign w:val="superscript"/>
        </w:rPr>
        <w:footnoteReference w:id="25"/>
      </w:r>
      <w:r w:rsidRPr="003E2544">
        <w:rPr>
          <w:rFonts w:ascii="Verdana" w:eastAsia="Calibri" w:hAnsi="Verdana" w:cs="Times New Roman"/>
          <w:i/>
          <w:iCs/>
          <w:sz w:val="20"/>
          <w:szCs w:val="20"/>
        </w:rPr>
        <w:t xml:space="preserve"> evaluation</w:t>
      </w:r>
      <w:r w:rsidRPr="003E2544">
        <w:rPr>
          <w:rFonts w:ascii="Verdana" w:eastAsia="Calibri" w:hAnsi="Verdana" w:cs="Times New Roman"/>
          <w:sz w:val="20"/>
          <w:szCs w:val="20"/>
        </w:rPr>
        <w:t xml:space="preserve"> will be organized by </w:t>
      </w:r>
      <w:r w:rsidR="00F04BD2">
        <w:rPr>
          <w:rFonts w:ascii="Verdana" w:eastAsia="Calibri" w:hAnsi="Verdana" w:cs="Times New Roman"/>
          <w:sz w:val="20"/>
          <w:szCs w:val="20"/>
        </w:rPr>
        <w:t>RCO</w:t>
      </w:r>
      <w:r w:rsidRPr="003E2544">
        <w:rPr>
          <w:rFonts w:ascii="Verdana" w:eastAsia="Calibri" w:hAnsi="Verdana" w:cs="Times New Roman"/>
          <w:sz w:val="20"/>
          <w:szCs w:val="20"/>
        </w:rPr>
        <w:t xml:space="preserve">. The cost needs to be budgeted, and in case there are no remaining funds at the end of the </w:t>
      </w:r>
      <w:r w:rsidR="00F04BD2">
        <w:rPr>
          <w:rFonts w:ascii="Verdana" w:eastAsia="Calibri" w:hAnsi="Verdana" w:cs="Times New Roman"/>
          <w:sz w:val="20"/>
          <w:szCs w:val="20"/>
        </w:rPr>
        <w:t>JP</w:t>
      </w:r>
      <w:r w:rsidRPr="003E2544">
        <w:rPr>
          <w:rFonts w:ascii="Verdana" w:eastAsia="Calibri" w:hAnsi="Verdana" w:cs="Times New Roman"/>
          <w:sz w:val="20"/>
          <w:szCs w:val="20"/>
        </w:rPr>
        <w:t>, it will be the responsibility of PUNOs to pay for the final, independent evaluation from their own resources.</w:t>
      </w:r>
    </w:p>
    <w:p w14:paraId="5765DA1A" w14:textId="77777777" w:rsidR="00272BF8" w:rsidRPr="003E2544" w:rsidRDefault="00272BF8" w:rsidP="00245274">
      <w:pPr>
        <w:spacing w:line="240" w:lineRule="auto"/>
        <w:jc w:val="both"/>
        <w:rPr>
          <w:rFonts w:ascii="Verdana" w:eastAsia="Calibri" w:hAnsi="Verdana" w:cs="Times New Roman"/>
          <w:sz w:val="20"/>
          <w:szCs w:val="20"/>
        </w:rPr>
      </w:pPr>
    </w:p>
    <w:p w14:paraId="796D0B95" w14:textId="59ECBB8B" w:rsidR="00272BF8" w:rsidRPr="003E2544" w:rsidRDefault="00272BF8" w:rsidP="00245274">
      <w:pPr>
        <w:spacing w:line="240" w:lineRule="auto"/>
        <w:jc w:val="both"/>
        <w:rPr>
          <w:rFonts w:ascii="Verdana" w:eastAsia="Calibri" w:hAnsi="Verdana" w:cs="Times New Roman"/>
          <w:sz w:val="20"/>
          <w:szCs w:val="20"/>
        </w:rPr>
      </w:pPr>
      <w:r w:rsidRPr="003E2544">
        <w:rPr>
          <w:rFonts w:ascii="Verdana" w:eastAsia="Calibri" w:hAnsi="Verdana" w:cs="Times New Roman"/>
          <w:color w:val="000000" w:themeColor="text1"/>
          <w:sz w:val="20"/>
          <w:szCs w:val="20"/>
        </w:rPr>
        <w:t xml:space="preserve">The </w:t>
      </w:r>
      <w:r w:rsidR="00F04BD2">
        <w:rPr>
          <w:rFonts w:ascii="Verdana" w:eastAsia="Calibri" w:hAnsi="Verdana" w:cs="Times New Roman"/>
          <w:color w:val="000000" w:themeColor="text1"/>
          <w:sz w:val="20"/>
          <w:szCs w:val="20"/>
        </w:rPr>
        <w:t>JP</w:t>
      </w:r>
      <w:r w:rsidRPr="003E2544">
        <w:rPr>
          <w:rFonts w:ascii="Verdana" w:eastAsia="Calibri" w:hAnsi="Verdana" w:cs="Times New Roman"/>
          <w:color w:val="000000" w:themeColor="text1"/>
          <w:sz w:val="20"/>
          <w:szCs w:val="20"/>
        </w:rPr>
        <w:t xml:space="preserve"> will be subjected to a joint final independent evaluation. It will be managed jointly by PUNOs as per established process</w:t>
      </w:r>
      <w:r w:rsidR="00F04BD2">
        <w:rPr>
          <w:rFonts w:ascii="Verdana" w:eastAsia="Calibri" w:hAnsi="Verdana" w:cs="Times New Roman"/>
          <w:color w:val="000000" w:themeColor="text1"/>
          <w:sz w:val="20"/>
          <w:szCs w:val="20"/>
        </w:rPr>
        <w:t>es</w:t>
      </w:r>
      <w:r w:rsidRPr="003E2544">
        <w:rPr>
          <w:rFonts w:ascii="Verdana" w:eastAsia="Calibri" w:hAnsi="Verdana" w:cs="Times New Roman"/>
          <w:color w:val="000000" w:themeColor="text1"/>
          <w:sz w:val="20"/>
          <w:szCs w:val="20"/>
        </w:rPr>
        <w:t xml:space="preserve"> for independent evaluations, including the use of a joint evaluation steering group and dedicated evaluation managers not involved in the implementation of the </w:t>
      </w:r>
      <w:r w:rsidR="00F04BD2">
        <w:rPr>
          <w:rFonts w:ascii="Verdana" w:eastAsia="Calibri" w:hAnsi="Verdana" w:cs="Times New Roman"/>
          <w:color w:val="000000" w:themeColor="text1"/>
          <w:sz w:val="20"/>
          <w:szCs w:val="20"/>
        </w:rPr>
        <w:t>JP</w:t>
      </w:r>
      <w:r w:rsidRPr="003E2544">
        <w:rPr>
          <w:rFonts w:ascii="Verdana" w:eastAsia="Calibri" w:hAnsi="Verdana" w:cs="Times New Roman"/>
          <w:color w:val="000000" w:themeColor="text1"/>
          <w:sz w:val="20"/>
          <w:szCs w:val="20"/>
        </w:rPr>
        <w:t>. The evaluations will follow the United Nations Evaluation Group’s (UNEG</w:t>
      </w:r>
      <w:r w:rsidR="00F04BD2">
        <w:rPr>
          <w:rFonts w:ascii="Verdana" w:eastAsia="Calibri" w:hAnsi="Verdana" w:cs="Times New Roman"/>
          <w:color w:val="000000" w:themeColor="text1"/>
          <w:sz w:val="20"/>
          <w:szCs w:val="20"/>
        </w:rPr>
        <w:t>’s</w:t>
      </w:r>
      <w:r w:rsidRPr="003E2544">
        <w:rPr>
          <w:rFonts w:ascii="Verdana" w:eastAsia="Calibri" w:hAnsi="Verdana" w:cs="Times New Roman"/>
          <w:color w:val="000000" w:themeColor="text1"/>
          <w:sz w:val="20"/>
          <w:szCs w:val="20"/>
        </w:rPr>
        <w:t xml:space="preserve">) Norms and Standards for Evaluation in the UN System, using the guidance on </w:t>
      </w:r>
      <w:hyperlink r:id="rId23">
        <w:r w:rsidRPr="003E2544">
          <w:rPr>
            <w:rFonts w:ascii="Verdana" w:eastAsia="Calibri" w:hAnsi="Verdana" w:cs="Times New Roman"/>
            <w:color w:val="000000" w:themeColor="text1"/>
            <w:sz w:val="20"/>
            <w:szCs w:val="20"/>
            <w:u w:val="single"/>
          </w:rPr>
          <w:t>Joint Evaluation and relevant UNDG guidance on evaluations</w:t>
        </w:r>
      </w:hyperlink>
      <w:r w:rsidRPr="003E2544">
        <w:rPr>
          <w:rFonts w:ascii="Verdana" w:eastAsia="Calibri" w:hAnsi="Verdana" w:cs="Times New Roman"/>
          <w:color w:val="000000" w:themeColor="text1"/>
          <w:sz w:val="20"/>
          <w:szCs w:val="20"/>
        </w:rPr>
        <w:t xml:space="preserve">. The management and implementation of the joint evaluation will have due regard to the evaluation policies of PUNOs to ensure the requirements of those policies are met and the evaluation is conducted with use of appropriate guidance from PUNOs on joint evaluation. The evaluation process will be participative and will involve all relevant </w:t>
      </w:r>
      <w:proofErr w:type="spellStart"/>
      <w:r w:rsidRPr="003E2544">
        <w:rPr>
          <w:rFonts w:ascii="Verdana" w:eastAsia="Calibri" w:hAnsi="Verdana" w:cs="Times New Roman"/>
          <w:color w:val="000000" w:themeColor="text1"/>
          <w:sz w:val="20"/>
          <w:szCs w:val="20"/>
        </w:rPr>
        <w:t>programme’s</w:t>
      </w:r>
      <w:proofErr w:type="spellEnd"/>
      <w:r w:rsidRPr="003E2544">
        <w:rPr>
          <w:rFonts w:ascii="Verdana" w:eastAsia="Calibri" w:hAnsi="Verdana" w:cs="Times New Roman"/>
          <w:color w:val="000000" w:themeColor="text1"/>
          <w:sz w:val="20"/>
          <w:szCs w:val="20"/>
        </w:rPr>
        <w:t xml:space="preserve"> stakeholders and partners. Evaluation results will be disseminated amongst </w:t>
      </w:r>
      <w:r w:rsidR="00FA2C03">
        <w:rPr>
          <w:rFonts w:ascii="Verdana" w:eastAsia="Calibri" w:hAnsi="Verdana" w:cs="Times New Roman"/>
          <w:color w:val="000000" w:themeColor="text1"/>
          <w:sz w:val="20"/>
          <w:szCs w:val="20"/>
        </w:rPr>
        <w:t>G</w:t>
      </w:r>
      <w:r w:rsidRPr="003E2544">
        <w:rPr>
          <w:rFonts w:ascii="Verdana" w:eastAsia="Calibri" w:hAnsi="Verdana" w:cs="Times New Roman"/>
          <w:color w:val="000000" w:themeColor="text1"/>
          <w:sz w:val="20"/>
          <w:szCs w:val="20"/>
        </w:rPr>
        <w:t xml:space="preserve">overnment, development partners, civil society, and other stakeholders. A joint management response will be produced upon completion of the evaluation process and made publicly available on the </w:t>
      </w:r>
      <w:r w:rsidR="00FA2C03">
        <w:rPr>
          <w:rFonts w:ascii="Verdana" w:eastAsia="Calibri" w:hAnsi="Verdana" w:cs="Times New Roman"/>
          <w:color w:val="000000" w:themeColor="text1"/>
          <w:sz w:val="20"/>
          <w:szCs w:val="20"/>
        </w:rPr>
        <w:t xml:space="preserve">PUNO </w:t>
      </w:r>
      <w:r w:rsidRPr="003E2544">
        <w:rPr>
          <w:rFonts w:ascii="Verdana" w:eastAsia="Calibri" w:hAnsi="Verdana" w:cs="Times New Roman"/>
          <w:color w:val="000000" w:themeColor="text1"/>
          <w:sz w:val="20"/>
          <w:szCs w:val="20"/>
        </w:rPr>
        <w:t>evaluation platforms or similar.</w:t>
      </w:r>
    </w:p>
    <w:p w14:paraId="676241CC" w14:textId="77777777" w:rsidR="00272BF8" w:rsidRPr="003E2544" w:rsidRDefault="00272BF8" w:rsidP="00245274">
      <w:pPr>
        <w:spacing w:line="240" w:lineRule="auto"/>
        <w:jc w:val="both"/>
        <w:rPr>
          <w:rFonts w:ascii="Verdana" w:eastAsia="Calibri" w:hAnsi="Verdana" w:cs="Times New Roman"/>
          <w:sz w:val="20"/>
          <w:szCs w:val="20"/>
        </w:rPr>
      </w:pPr>
    </w:p>
    <w:p w14:paraId="229ED112" w14:textId="77777777" w:rsidR="00272BF8" w:rsidRPr="003E2544" w:rsidRDefault="00272BF8" w:rsidP="008A2190">
      <w:pPr>
        <w:pStyle w:val="Heading3"/>
        <w:spacing w:line="240" w:lineRule="auto"/>
      </w:pPr>
      <w:r w:rsidRPr="003E2544">
        <w:t>3.3 Accountability, financial management, and public disclosure</w:t>
      </w:r>
    </w:p>
    <w:p w14:paraId="1888FDF4" w14:textId="77777777" w:rsidR="00272BF8" w:rsidRPr="003E2544" w:rsidRDefault="00272BF8" w:rsidP="00245274">
      <w:pPr>
        <w:spacing w:line="240" w:lineRule="auto"/>
        <w:jc w:val="both"/>
        <w:rPr>
          <w:rFonts w:ascii="Verdana" w:eastAsia="Calibri" w:hAnsi="Verdana" w:cs="Times New Roman"/>
          <w:sz w:val="20"/>
          <w:szCs w:val="20"/>
        </w:rPr>
      </w:pPr>
    </w:p>
    <w:p w14:paraId="5A8335F5" w14:textId="51930A90" w:rsidR="00272BF8" w:rsidRPr="003E2544" w:rsidRDefault="00272BF8" w:rsidP="00245274">
      <w:pPr>
        <w:spacing w:line="240" w:lineRule="auto"/>
        <w:jc w:val="both"/>
        <w:rPr>
          <w:rFonts w:ascii="Verdana" w:hAnsi="Verdana"/>
          <w:color w:val="000000" w:themeColor="text1"/>
          <w:sz w:val="20"/>
          <w:szCs w:val="20"/>
        </w:rPr>
      </w:pPr>
      <w:r w:rsidRPr="003E2544">
        <w:rPr>
          <w:rFonts w:ascii="Verdana" w:hAnsi="Verdana"/>
          <w:color w:val="000000" w:themeColor="text1"/>
          <w:sz w:val="20"/>
          <w:szCs w:val="20"/>
        </w:rPr>
        <w:t xml:space="preserve">The Joint Programme will be using a pass-through fund management modality where </w:t>
      </w:r>
      <w:r w:rsidR="00FA2C03">
        <w:rPr>
          <w:rFonts w:ascii="Verdana" w:hAnsi="Verdana"/>
          <w:color w:val="000000" w:themeColor="text1"/>
          <w:sz w:val="20"/>
          <w:szCs w:val="20"/>
        </w:rPr>
        <w:t xml:space="preserve">the </w:t>
      </w:r>
      <w:r w:rsidRPr="003E2544">
        <w:rPr>
          <w:rFonts w:ascii="Verdana" w:hAnsi="Verdana"/>
          <w:color w:val="000000" w:themeColor="text1"/>
          <w:sz w:val="20"/>
          <w:szCs w:val="20"/>
        </w:rPr>
        <w:t xml:space="preserve">UNDP Multi-Partner Trust Fund Office will act as the Administrative Agent </w:t>
      </w:r>
      <w:r w:rsidR="00FA2C03" w:rsidRPr="003E2544">
        <w:rPr>
          <w:rFonts w:ascii="Verdana" w:eastAsia="Calibri" w:hAnsi="Verdana" w:cs="Times New Roman"/>
          <w:sz w:val="20"/>
          <w:szCs w:val="20"/>
        </w:rPr>
        <w:t xml:space="preserve">of the Joint SDG Fund </w:t>
      </w:r>
      <w:r w:rsidR="00FA2C03">
        <w:rPr>
          <w:rFonts w:ascii="Verdana" w:hAnsi="Verdana"/>
          <w:color w:val="000000" w:themeColor="text1"/>
          <w:sz w:val="20"/>
          <w:szCs w:val="20"/>
        </w:rPr>
        <w:t xml:space="preserve">through </w:t>
      </w:r>
      <w:r w:rsidRPr="003E2544">
        <w:rPr>
          <w:rFonts w:ascii="Verdana" w:hAnsi="Verdana"/>
          <w:color w:val="000000" w:themeColor="text1"/>
          <w:sz w:val="20"/>
          <w:szCs w:val="20"/>
        </w:rPr>
        <w:t xml:space="preserve">which the </w:t>
      </w:r>
      <w:r w:rsidR="00FA2C03">
        <w:rPr>
          <w:rFonts w:ascii="Verdana" w:hAnsi="Verdana"/>
          <w:color w:val="000000" w:themeColor="text1"/>
          <w:sz w:val="20"/>
          <w:szCs w:val="20"/>
        </w:rPr>
        <w:t xml:space="preserve">JP </w:t>
      </w:r>
      <w:r w:rsidRPr="003E2544">
        <w:rPr>
          <w:rFonts w:ascii="Verdana" w:hAnsi="Verdana"/>
          <w:color w:val="000000" w:themeColor="text1"/>
          <w:sz w:val="20"/>
          <w:szCs w:val="20"/>
        </w:rPr>
        <w:t xml:space="preserve">funds will be channeled. Each </w:t>
      </w:r>
      <w:r w:rsidR="00FA2C03">
        <w:rPr>
          <w:rFonts w:ascii="Verdana" w:hAnsi="Verdana"/>
          <w:color w:val="000000" w:themeColor="text1"/>
          <w:sz w:val="20"/>
          <w:szCs w:val="20"/>
        </w:rPr>
        <w:t>PUNO</w:t>
      </w:r>
      <w:r w:rsidRPr="003E2544">
        <w:rPr>
          <w:rFonts w:ascii="Verdana" w:hAnsi="Verdana"/>
          <w:color w:val="000000" w:themeColor="text1"/>
          <w:sz w:val="20"/>
          <w:szCs w:val="20"/>
        </w:rPr>
        <w:t xml:space="preserve"> receiving funds through the pass-through has signed a standard Memorandum of Understanding with the </w:t>
      </w:r>
      <w:r w:rsidR="00FA2C03" w:rsidRPr="003E2544">
        <w:rPr>
          <w:rFonts w:ascii="Verdana" w:hAnsi="Verdana"/>
          <w:color w:val="000000" w:themeColor="text1"/>
          <w:sz w:val="20"/>
          <w:szCs w:val="20"/>
        </w:rPr>
        <w:t>Administrative Agent</w:t>
      </w:r>
      <w:r w:rsidRPr="003E2544">
        <w:rPr>
          <w:rFonts w:ascii="Verdana" w:hAnsi="Verdana"/>
          <w:color w:val="000000" w:themeColor="text1"/>
          <w:sz w:val="20"/>
          <w:szCs w:val="20"/>
        </w:rPr>
        <w:t>.</w:t>
      </w:r>
    </w:p>
    <w:p w14:paraId="76B9DA4F" w14:textId="77777777" w:rsidR="00272BF8" w:rsidRPr="003E2544" w:rsidRDefault="00272BF8" w:rsidP="00245274">
      <w:pPr>
        <w:spacing w:line="240" w:lineRule="auto"/>
        <w:jc w:val="both"/>
        <w:rPr>
          <w:rFonts w:ascii="Verdana" w:eastAsia="Calibri" w:hAnsi="Verdana" w:cs="Times New Roman"/>
          <w:sz w:val="20"/>
          <w:szCs w:val="20"/>
        </w:rPr>
      </w:pPr>
    </w:p>
    <w:p w14:paraId="52F8EE87" w14:textId="267ADA49" w:rsidR="00272BF8" w:rsidRPr="003E2544" w:rsidRDefault="00272BF8" w:rsidP="00245274">
      <w:pPr>
        <w:spacing w:line="240" w:lineRule="auto"/>
        <w:jc w:val="both"/>
        <w:rPr>
          <w:rFonts w:ascii="Verdana" w:eastAsia="Calibri" w:hAnsi="Verdana" w:cs="Times New Roman"/>
          <w:sz w:val="20"/>
          <w:szCs w:val="20"/>
        </w:rPr>
      </w:pPr>
      <w:r w:rsidRPr="003E2544">
        <w:rPr>
          <w:rFonts w:ascii="Verdana" w:eastAsia="Calibri" w:hAnsi="Verdana" w:cs="Times New Roman"/>
          <w:sz w:val="20"/>
          <w:szCs w:val="20"/>
        </w:rPr>
        <w:t xml:space="preserve">Each PUNO shall assume full programmatic and financial accountability for the funds disbursed to it by the Administrative Agent. Such funds will be administered by each UN Agency, Fund, and Programme in accordance with its own regulations, rules, directives and procedures. Each PUNO shall establish a separate ledger account for the receipt and administration of the funds disbursed to it by the Administrative Agent.  </w:t>
      </w:r>
    </w:p>
    <w:p w14:paraId="32E38530" w14:textId="77777777" w:rsidR="00272BF8" w:rsidRPr="003E2544" w:rsidRDefault="00272BF8" w:rsidP="00245274">
      <w:pPr>
        <w:spacing w:line="240" w:lineRule="auto"/>
        <w:jc w:val="both"/>
        <w:rPr>
          <w:rFonts w:ascii="Verdana" w:eastAsia="Calibri" w:hAnsi="Verdana" w:cs="Times New Roman"/>
          <w:sz w:val="20"/>
          <w:szCs w:val="20"/>
        </w:rPr>
      </w:pPr>
    </w:p>
    <w:p w14:paraId="5D795B9A" w14:textId="691B5AD7" w:rsidR="00272BF8" w:rsidRPr="003E2544" w:rsidRDefault="00272BF8" w:rsidP="00245274">
      <w:pPr>
        <w:spacing w:line="240" w:lineRule="auto"/>
        <w:jc w:val="both"/>
        <w:rPr>
          <w:rFonts w:ascii="Verdana" w:eastAsia="Calibri" w:hAnsi="Verdana" w:cs="Times New Roman"/>
          <w:sz w:val="20"/>
          <w:szCs w:val="20"/>
        </w:rPr>
      </w:pPr>
      <w:r w:rsidRPr="003E2544">
        <w:rPr>
          <w:rFonts w:ascii="Verdana" w:eastAsia="Calibri" w:hAnsi="Verdana" w:cs="Times New Roman"/>
          <w:sz w:val="20"/>
          <w:szCs w:val="20"/>
        </w:rPr>
        <w:t xml:space="preserve">Indirect costs of the </w:t>
      </w:r>
      <w:r w:rsidR="00FA2C03">
        <w:rPr>
          <w:rFonts w:ascii="Verdana" w:eastAsia="Calibri" w:hAnsi="Verdana" w:cs="Times New Roman"/>
          <w:sz w:val="20"/>
          <w:szCs w:val="20"/>
        </w:rPr>
        <w:t>PUNOs</w:t>
      </w:r>
      <w:r w:rsidRPr="003E2544">
        <w:rPr>
          <w:rFonts w:ascii="Verdana" w:eastAsia="Calibri" w:hAnsi="Verdana" w:cs="Times New Roman"/>
          <w:sz w:val="20"/>
          <w:szCs w:val="20"/>
        </w:rPr>
        <w:t xml:space="preserve"> recovered through programme support costs will be 7%. All other costs incurred by each PUNO in carrying out the activities for which it is responsible under the Fund will be recovered as direct costs.</w:t>
      </w:r>
    </w:p>
    <w:p w14:paraId="13BC02A2" w14:textId="77777777" w:rsidR="00272BF8" w:rsidRPr="003E2544" w:rsidRDefault="00272BF8" w:rsidP="00245274">
      <w:pPr>
        <w:spacing w:line="240" w:lineRule="auto"/>
        <w:jc w:val="both"/>
        <w:rPr>
          <w:rFonts w:ascii="Verdana" w:eastAsia="Calibri" w:hAnsi="Verdana" w:cs="Times New Roman"/>
          <w:sz w:val="20"/>
          <w:szCs w:val="20"/>
        </w:rPr>
      </w:pPr>
    </w:p>
    <w:p w14:paraId="2EBDB29B" w14:textId="60C5AA7A" w:rsidR="00272BF8" w:rsidRPr="003E2544" w:rsidRDefault="00272BF8" w:rsidP="00245274">
      <w:pPr>
        <w:spacing w:line="240" w:lineRule="auto"/>
        <w:jc w:val="both"/>
        <w:rPr>
          <w:rFonts w:ascii="Verdana" w:eastAsia="Calibri" w:hAnsi="Verdana" w:cs="Times New Roman"/>
          <w:sz w:val="20"/>
          <w:szCs w:val="20"/>
        </w:rPr>
      </w:pPr>
      <w:r w:rsidRPr="003E2544">
        <w:rPr>
          <w:rFonts w:ascii="Verdana" w:eastAsia="Calibri" w:hAnsi="Verdana" w:cs="Times New Roman"/>
          <w:sz w:val="20"/>
          <w:szCs w:val="20"/>
        </w:rPr>
        <w:t xml:space="preserve">Funding by the Joint SDG Fund will be provided on </w:t>
      </w:r>
      <w:r w:rsidR="00FA2C03">
        <w:rPr>
          <w:rFonts w:ascii="Verdana" w:eastAsia="Calibri" w:hAnsi="Verdana" w:cs="Times New Roman"/>
          <w:sz w:val="20"/>
          <w:szCs w:val="20"/>
        </w:rPr>
        <w:t xml:space="preserve">an </w:t>
      </w:r>
      <w:r w:rsidRPr="003E2544">
        <w:rPr>
          <w:rFonts w:ascii="Verdana" w:eastAsia="Calibri" w:hAnsi="Verdana" w:cs="Times New Roman"/>
          <w:sz w:val="20"/>
          <w:szCs w:val="20"/>
        </w:rPr>
        <w:t xml:space="preserve">annual basis, upon successful performance of the </w:t>
      </w:r>
      <w:r w:rsidR="00FA2C03">
        <w:rPr>
          <w:rFonts w:ascii="Verdana" w:eastAsia="Calibri" w:hAnsi="Verdana" w:cs="Times New Roman"/>
          <w:sz w:val="20"/>
          <w:szCs w:val="20"/>
        </w:rPr>
        <w:t>JP</w:t>
      </w:r>
      <w:r w:rsidRPr="003E2544">
        <w:rPr>
          <w:rFonts w:ascii="Verdana" w:eastAsia="Calibri" w:hAnsi="Verdana" w:cs="Times New Roman"/>
          <w:sz w:val="20"/>
          <w:szCs w:val="20"/>
        </w:rPr>
        <w:t xml:space="preserve">. </w:t>
      </w:r>
    </w:p>
    <w:p w14:paraId="3E79AF2A" w14:textId="77777777" w:rsidR="00272BF8" w:rsidRPr="003E2544" w:rsidRDefault="00272BF8" w:rsidP="00245274">
      <w:pPr>
        <w:spacing w:line="240" w:lineRule="auto"/>
        <w:jc w:val="both"/>
        <w:rPr>
          <w:rFonts w:ascii="Verdana" w:eastAsia="Calibri" w:hAnsi="Verdana" w:cs="Times New Roman"/>
          <w:sz w:val="20"/>
          <w:szCs w:val="20"/>
        </w:rPr>
      </w:pPr>
    </w:p>
    <w:p w14:paraId="5D41A357" w14:textId="77777777" w:rsidR="00272BF8" w:rsidRPr="003E2544" w:rsidRDefault="00272BF8" w:rsidP="00245274">
      <w:pPr>
        <w:spacing w:line="240" w:lineRule="auto"/>
        <w:jc w:val="both"/>
        <w:rPr>
          <w:rFonts w:ascii="Verdana" w:eastAsia="Calibri" w:hAnsi="Verdana" w:cs="Times New Roman"/>
          <w:iCs/>
          <w:color w:val="000000" w:themeColor="text1"/>
          <w:sz w:val="20"/>
          <w:szCs w:val="20"/>
        </w:rPr>
      </w:pPr>
      <w:r w:rsidRPr="003E2544">
        <w:rPr>
          <w:rFonts w:ascii="Verdana" w:eastAsia="Calibri" w:hAnsi="Verdana" w:cs="Times New Roman"/>
          <w:iCs/>
          <w:color w:val="000000" w:themeColor="text1"/>
          <w:sz w:val="20"/>
          <w:szCs w:val="20"/>
        </w:rPr>
        <w:lastRenderedPageBreak/>
        <w:t>Procedures on financial transfers, extensions, financial and operational closure, and related administrative issues are stipulated in the Operational Guidance of the Joint SDG Fund.</w:t>
      </w:r>
    </w:p>
    <w:p w14:paraId="3A242C94" w14:textId="77777777" w:rsidR="00272BF8" w:rsidRPr="003E2544" w:rsidRDefault="00272BF8" w:rsidP="00245274">
      <w:pPr>
        <w:spacing w:line="240" w:lineRule="auto"/>
        <w:jc w:val="both"/>
        <w:rPr>
          <w:rFonts w:ascii="Verdana" w:eastAsia="Calibri" w:hAnsi="Verdana" w:cs="Times New Roman"/>
          <w:iCs/>
          <w:color w:val="000000" w:themeColor="text1"/>
          <w:sz w:val="20"/>
          <w:szCs w:val="20"/>
        </w:rPr>
      </w:pPr>
    </w:p>
    <w:p w14:paraId="6FA4A0E5" w14:textId="7EB88F42" w:rsidR="00272BF8" w:rsidRPr="003E2544" w:rsidRDefault="00272BF8" w:rsidP="00245274">
      <w:pPr>
        <w:spacing w:line="240" w:lineRule="auto"/>
        <w:jc w:val="both"/>
        <w:rPr>
          <w:rFonts w:ascii="Verdana" w:eastAsia="Calibri" w:hAnsi="Verdana" w:cs="Times New Roman"/>
          <w:sz w:val="20"/>
          <w:szCs w:val="20"/>
        </w:rPr>
      </w:pPr>
      <w:r w:rsidRPr="003E2544">
        <w:rPr>
          <w:rFonts w:ascii="Verdana" w:eastAsia="Calibri" w:hAnsi="Verdana" w:cs="Times New Roman"/>
          <w:sz w:val="20"/>
          <w:szCs w:val="20"/>
        </w:rPr>
        <w:t>PUNOs and partners must comply with Joint SDG Fund brand guidelines, which includes information on donor visibility requirements.</w:t>
      </w:r>
      <w:r w:rsidR="00FA2C03">
        <w:rPr>
          <w:rFonts w:ascii="Verdana" w:eastAsia="Calibri" w:hAnsi="Verdana" w:cs="Times New Roman"/>
          <w:sz w:val="20"/>
          <w:szCs w:val="20"/>
        </w:rPr>
        <w:t xml:space="preserve"> </w:t>
      </w:r>
      <w:r w:rsidRPr="003E2544">
        <w:rPr>
          <w:rFonts w:ascii="Verdana" w:eastAsia="Calibri" w:hAnsi="Verdana" w:cs="Calibri"/>
          <w:sz w:val="20"/>
          <w:szCs w:val="20"/>
        </w:rPr>
        <w:t xml:space="preserve">Each PUNO will take appropriate measures to publicize the Joint SDG Fund and give due credit to the other PUNOs. All related publicity material, official notices, reports and publications, provided to the </w:t>
      </w:r>
      <w:r w:rsidR="00FA2C03">
        <w:rPr>
          <w:rFonts w:ascii="Verdana" w:eastAsia="Calibri" w:hAnsi="Verdana" w:cs="Calibri"/>
          <w:sz w:val="20"/>
          <w:szCs w:val="20"/>
        </w:rPr>
        <w:t>media</w:t>
      </w:r>
      <w:r w:rsidRPr="003E2544">
        <w:rPr>
          <w:rFonts w:ascii="Verdana" w:eastAsia="Calibri" w:hAnsi="Verdana" w:cs="Calibri"/>
          <w:sz w:val="20"/>
          <w:szCs w:val="20"/>
        </w:rPr>
        <w:t xml:space="preserve"> or Fund beneficiaries, will acknowledge the role of the host Government, donors, PUNOs, the Administrative Agent, and any other relevant entities. In particular, the Administrative Agent will include and ensure due recognition of the role of each </w:t>
      </w:r>
      <w:r w:rsidR="00FA2C03">
        <w:rPr>
          <w:rFonts w:ascii="Verdana" w:eastAsia="Calibri" w:hAnsi="Verdana" w:cs="Calibri"/>
          <w:sz w:val="20"/>
          <w:szCs w:val="20"/>
        </w:rPr>
        <w:t>PUNO</w:t>
      </w:r>
      <w:r w:rsidRPr="003E2544">
        <w:rPr>
          <w:rFonts w:ascii="Verdana" w:eastAsia="Calibri" w:hAnsi="Verdana" w:cs="Calibri"/>
          <w:sz w:val="20"/>
          <w:szCs w:val="20"/>
        </w:rPr>
        <w:t xml:space="preserve"> and partners in all external communications related to the Joint SDG Fund. </w:t>
      </w:r>
    </w:p>
    <w:p w14:paraId="19BD5B11" w14:textId="77777777" w:rsidR="00272BF8" w:rsidRPr="003E2544" w:rsidRDefault="00272BF8" w:rsidP="00245274">
      <w:pPr>
        <w:spacing w:line="240" w:lineRule="auto"/>
        <w:rPr>
          <w:rFonts w:ascii="Verdana" w:eastAsia="Calibri" w:hAnsi="Verdana" w:cs="Times New Roman"/>
          <w:iCs/>
          <w:color w:val="C45911" w:themeColor="accent2" w:themeShade="BF"/>
          <w:sz w:val="20"/>
          <w:szCs w:val="20"/>
        </w:rPr>
      </w:pPr>
    </w:p>
    <w:p w14:paraId="105B67FB" w14:textId="77777777" w:rsidR="00272BF8" w:rsidRPr="003E2544" w:rsidRDefault="00272BF8" w:rsidP="00245274">
      <w:pPr>
        <w:spacing w:line="240" w:lineRule="auto"/>
        <w:rPr>
          <w:rFonts w:ascii="Verdana" w:eastAsia="Calibri" w:hAnsi="Verdana" w:cs="Times New Roman"/>
          <w:iCs/>
          <w:color w:val="C45911" w:themeColor="accent2" w:themeShade="BF"/>
          <w:sz w:val="20"/>
          <w:szCs w:val="20"/>
        </w:rPr>
      </w:pPr>
    </w:p>
    <w:p w14:paraId="1DB0C2A1" w14:textId="77777777" w:rsidR="00272BF8" w:rsidRPr="003E2544" w:rsidRDefault="00272BF8" w:rsidP="008A2190">
      <w:pPr>
        <w:pStyle w:val="Heading3"/>
        <w:spacing w:line="240" w:lineRule="auto"/>
      </w:pPr>
      <w:r w:rsidRPr="003E2544">
        <w:t>3.4 Legal context</w:t>
      </w:r>
    </w:p>
    <w:p w14:paraId="2127680B" w14:textId="77777777" w:rsidR="00272BF8" w:rsidRPr="003E2544" w:rsidRDefault="00272BF8" w:rsidP="00245274">
      <w:pPr>
        <w:spacing w:line="240" w:lineRule="auto"/>
        <w:jc w:val="both"/>
        <w:rPr>
          <w:rFonts w:ascii="Verdana" w:eastAsia="Calibri" w:hAnsi="Verdana" w:cs="Times New Roman"/>
          <w:i/>
          <w:iCs/>
          <w:color w:val="C45911" w:themeColor="accent2" w:themeShade="BF"/>
          <w:sz w:val="18"/>
          <w:szCs w:val="18"/>
        </w:rPr>
      </w:pPr>
    </w:p>
    <w:p w14:paraId="61D8925B" w14:textId="38D0F89F" w:rsidR="00F90D68" w:rsidRPr="00DC4150" w:rsidRDefault="00F90D68" w:rsidP="00866655">
      <w:pPr>
        <w:autoSpaceDE w:val="0"/>
        <w:autoSpaceDN w:val="0"/>
        <w:adjustRightInd w:val="0"/>
        <w:spacing w:line="240" w:lineRule="auto"/>
        <w:jc w:val="both"/>
        <w:rPr>
          <w:rFonts w:ascii="Verdana" w:eastAsia="Calibri" w:hAnsi="Verdana" w:cs="Calibri"/>
          <w:sz w:val="20"/>
          <w:szCs w:val="20"/>
        </w:rPr>
      </w:pPr>
      <w:r w:rsidRPr="000465E0">
        <w:rPr>
          <w:rFonts w:ascii="Verdana" w:eastAsia="Calibri" w:hAnsi="Verdana" w:cs="Calibri"/>
          <w:sz w:val="20"/>
          <w:szCs w:val="20"/>
        </w:rPr>
        <w:t>Agency name: UNDP</w:t>
      </w:r>
      <w:r w:rsidRPr="00DC4150">
        <w:rPr>
          <w:rFonts w:ascii="Verdana" w:eastAsia="Calibri" w:hAnsi="Verdana" w:cs="Calibri"/>
          <w:sz w:val="20"/>
          <w:szCs w:val="20"/>
        </w:rPr>
        <w:t xml:space="preserve"> South Sudan </w:t>
      </w:r>
    </w:p>
    <w:p w14:paraId="4C73A3D2" w14:textId="77777777" w:rsidR="00F90D68" w:rsidRPr="003455B0" w:rsidRDefault="00F90D68" w:rsidP="00F90D68">
      <w:pPr>
        <w:spacing w:line="240" w:lineRule="auto"/>
        <w:rPr>
          <w:rFonts w:ascii="Verdana" w:eastAsia="Calibri" w:hAnsi="Verdana" w:cs="Calibri"/>
          <w:sz w:val="20"/>
          <w:szCs w:val="20"/>
        </w:rPr>
      </w:pPr>
      <w:r w:rsidRPr="003455B0">
        <w:rPr>
          <w:rFonts w:ascii="Verdana" w:eastAsia="Calibri" w:hAnsi="Verdana" w:cs="Calibri"/>
          <w:sz w:val="20"/>
          <w:szCs w:val="20"/>
        </w:rPr>
        <w:t>Agreement title: Basic Cooperation Agreement between the United Nations Development Programme and the Republic of South Sudan</w:t>
      </w:r>
    </w:p>
    <w:p w14:paraId="0B60854F" w14:textId="77777777" w:rsidR="00F90D68" w:rsidRPr="003455B0" w:rsidRDefault="00F90D68" w:rsidP="00F90D68">
      <w:pPr>
        <w:spacing w:line="240" w:lineRule="auto"/>
        <w:rPr>
          <w:rFonts w:ascii="Verdana" w:eastAsia="Calibri" w:hAnsi="Verdana" w:cs="Calibri"/>
          <w:sz w:val="20"/>
          <w:szCs w:val="20"/>
        </w:rPr>
      </w:pPr>
      <w:r w:rsidRPr="003455B0">
        <w:rPr>
          <w:rFonts w:ascii="Verdana" w:eastAsia="Calibri" w:hAnsi="Verdana" w:cs="Calibri"/>
          <w:sz w:val="20"/>
          <w:szCs w:val="20"/>
        </w:rPr>
        <w:t>Agreement date: 9th July 2011</w:t>
      </w:r>
    </w:p>
    <w:p w14:paraId="10E6EF42" w14:textId="77777777" w:rsidR="00F90D68" w:rsidRPr="00866655" w:rsidRDefault="00F90D68" w:rsidP="00F90D68">
      <w:pPr>
        <w:autoSpaceDE w:val="0"/>
        <w:autoSpaceDN w:val="0"/>
        <w:adjustRightInd w:val="0"/>
        <w:spacing w:line="240" w:lineRule="auto"/>
        <w:jc w:val="both"/>
        <w:rPr>
          <w:rFonts w:ascii="Verdana" w:eastAsiaTheme="minorHAnsi" w:hAnsi="Verdana" w:cs="Myriad Pro"/>
          <w:i/>
          <w:iCs/>
          <w:sz w:val="18"/>
          <w:szCs w:val="18"/>
        </w:rPr>
      </w:pPr>
    </w:p>
    <w:p w14:paraId="06757C5D" w14:textId="77777777" w:rsidR="00F90D68" w:rsidRPr="00DC4150" w:rsidRDefault="00F90D68" w:rsidP="00F90D68">
      <w:pPr>
        <w:spacing w:line="240" w:lineRule="auto"/>
        <w:rPr>
          <w:rFonts w:ascii="Verdana" w:eastAsia="Calibri" w:hAnsi="Verdana" w:cs="Calibri"/>
          <w:sz w:val="20"/>
          <w:szCs w:val="20"/>
        </w:rPr>
      </w:pPr>
      <w:r w:rsidRPr="000465E0">
        <w:rPr>
          <w:rFonts w:ascii="Verdana" w:eastAsia="Calibri" w:hAnsi="Verdana" w:cs="Calibri"/>
          <w:sz w:val="20"/>
          <w:szCs w:val="20"/>
        </w:rPr>
        <w:t xml:space="preserve">Agency name: UNICEF South Sudan </w:t>
      </w:r>
    </w:p>
    <w:p w14:paraId="6430B6E7" w14:textId="77777777" w:rsidR="00F90D68" w:rsidRPr="003455B0" w:rsidRDefault="00F90D68" w:rsidP="00F90D68">
      <w:pPr>
        <w:spacing w:line="240" w:lineRule="auto"/>
        <w:rPr>
          <w:rFonts w:ascii="Verdana" w:eastAsia="Calibri" w:hAnsi="Verdana" w:cs="Calibri"/>
          <w:sz w:val="20"/>
          <w:szCs w:val="20"/>
        </w:rPr>
      </w:pPr>
      <w:r w:rsidRPr="003455B0">
        <w:rPr>
          <w:rFonts w:ascii="Verdana" w:eastAsia="Calibri" w:hAnsi="Verdana" w:cs="Calibri"/>
          <w:sz w:val="20"/>
          <w:szCs w:val="20"/>
        </w:rPr>
        <w:t>Agreement title: Basic Cooperation Agreement between the United Nations Children’s Fund and the Republic of South Sudan</w:t>
      </w:r>
    </w:p>
    <w:p w14:paraId="3BE5A1D2" w14:textId="77777777" w:rsidR="00F90D68" w:rsidRPr="003455B0" w:rsidRDefault="00F90D68" w:rsidP="00F90D68">
      <w:pPr>
        <w:spacing w:line="240" w:lineRule="auto"/>
        <w:rPr>
          <w:rFonts w:ascii="Verdana" w:eastAsia="Calibri" w:hAnsi="Verdana" w:cs="Calibri"/>
          <w:sz w:val="20"/>
          <w:szCs w:val="20"/>
        </w:rPr>
      </w:pPr>
      <w:r w:rsidRPr="003455B0">
        <w:rPr>
          <w:rFonts w:ascii="Verdana" w:eastAsia="Calibri" w:hAnsi="Verdana" w:cs="Calibri"/>
          <w:sz w:val="20"/>
          <w:szCs w:val="20"/>
        </w:rPr>
        <w:t>Agreement date: 9th July 2011</w:t>
      </w:r>
    </w:p>
    <w:p w14:paraId="5A71D23B" w14:textId="77777777" w:rsidR="00F90D68" w:rsidRPr="00866655" w:rsidRDefault="00F90D68" w:rsidP="00F90D68">
      <w:pPr>
        <w:spacing w:line="240" w:lineRule="auto"/>
        <w:rPr>
          <w:rFonts w:ascii="Verdana" w:eastAsia="Calibri" w:hAnsi="Verdana" w:cs="Times New Roman"/>
          <w:iCs/>
          <w:sz w:val="20"/>
          <w:szCs w:val="20"/>
        </w:rPr>
      </w:pPr>
    </w:p>
    <w:p w14:paraId="00D6F254" w14:textId="77777777" w:rsidR="00272BF8" w:rsidRPr="003E2544" w:rsidRDefault="00272BF8" w:rsidP="00245274">
      <w:pPr>
        <w:spacing w:line="240" w:lineRule="auto"/>
        <w:rPr>
          <w:rFonts w:ascii="Verdana" w:eastAsia="Calibri" w:hAnsi="Verdana" w:cs="Times New Roman"/>
          <w:iCs/>
          <w:color w:val="C45911" w:themeColor="accent2" w:themeShade="BF"/>
          <w:sz w:val="20"/>
          <w:szCs w:val="20"/>
        </w:rPr>
      </w:pPr>
    </w:p>
    <w:p w14:paraId="511B2CA6" w14:textId="77777777" w:rsidR="00272BF8" w:rsidRPr="003E2544" w:rsidRDefault="00272BF8" w:rsidP="00245274">
      <w:pPr>
        <w:spacing w:line="240" w:lineRule="auto"/>
        <w:rPr>
          <w:rFonts w:ascii="Verdana" w:eastAsia="Calibri" w:hAnsi="Verdana" w:cs="Times New Roman"/>
          <w:i/>
          <w:color w:val="C45911" w:themeColor="accent2" w:themeShade="BF"/>
          <w:sz w:val="20"/>
          <w:szCs w:val="20"/>
        </w:rPr>
      </w:pPr>
    </w:p>
    <w:p w14:paraId="1A8CB59F" w14:textId="77777777" w:rsidR="00272BF8" w:rsidRPr="003E2544" w:rsidRDefault="00272BF8" w:rsidP="00245274">
      <w:pPr>
        <w:spacing w:line="240" w:lineRule="auto"/>
        <w:rPr>
          <w:rFonts w:ascii="Verdana" w:eastAsia="Calibri" w:hAnsi="Verdana" w:cs="Times New Roman"/>
          <w:color w:val="000000" w:themeColor="text1"/>
          <w:sz w:val="20"/>
          <w:szCs w:val="20"/>
        </w:rPr>
      </w:pPr>
    </w:p>
    <w:p w14:paraId="2320677C" w14:textId="77777777" w:rsidR="00272BF8" w:rsidRPr="003E2544" w:rsidRDefault="00272BF8" w:rsidP="00245274">
      <w:pPr>
        <w:spacing w:line="240" w:lineRule="auto"/>
        <w:rPr>
          <w:rFonts w:ascii="Verdana" w:eastAsia="Times New Roman" w:hAnsi="Verdana" w:cs="Times New Roman"/>
          <w:color w:val="000000" w:themeColor="text1"/>
          <w:sz w:val="20"/>
          <w:szCs w:val="20"/>
          <w:lang w:eastAsia="en-GB"/>
        </w:rPr>
      </w:pPr>
    </w:p>
    <w:p w14:paraId="169DD5EB" w14:textId="77777777" w:rsidR="002F6DB4" w:rsidRPr="003E2544" w:rsidRDefault="002F6DB4" w:rsidP="00245274">
      <w:pPr>
        <w:spacing w:line="240" w:lineRule="auto"/>
        <w:jc w:val="center"/>
        <w:rPr>
          <w:rFonts w:ascii="Verdana" w:eastAsia="Calibri" w:hAnsi="Verdana" w:cs="Times New Roman"/>
          <w:b/>
          <w:caps/>
          <w:color w:val="0070C0"/>
          <w:sz w:val="20"/>
          <w:szCs w:val="16"/>
        </w:rPr>
        <w:sectPr w:rsidR="002F6DB4" w:rsidRPr="003E2544" w:rsidSect="004E1664">
          <w:footerReference w:type="even" r:id="rId24"/>
          <w:footerReference w:type="default" r:id="rId25"/>
          <w:pgSz w:w="12240" w:h="15840"/>
          <w:pgMar w:top="1440" w:right="1440" w:bottom="1440" w:left="1440" w:header="720" w:footer="720" w:gutter="0"/>
          <w:cols w:space="720"/>
          <w:titlePg/>
          <w:docGrid w:linePitch="360"/>
        </w:sectPr>
      </w:pPr>
      <w:bookmarkStart w:id="11" w:name="_Hlk16072088"/>
    </w:p>
    <w:p w14:paraId="74DEA471" w14:textId="4A67ABFF" w:rsidR="00272BF8" w:rsidRPr="00BC72A9" w:rsidRDefault="00272BF8" w:rsidP="00BC72A9">
      <w:pPr>
        <w:pStyle w:val="Heading2"/>
        <w:spacing w:line="240" w:lineRule="auto"/>
        <w:jc w:val="center"/>
      </w:pPr>
      <w:r w:rsidRPr="003E2544">
        <w:lastRenderedPageBreak/>
        <w:t>D. ANNEXES of the Joint Programme template</w:t>
      </w:r>
    </w:p>
    <w:p w14:paraId="1C577D56" w14:textId="1B46FB1A" w:rsidR="00272BF8" w:rsidRPr="003E2544" w:rsidRDefault="00272BF8" w:rsidP="00537322">
      <w:pPr>
        <w:pStyle w:val="Heading2"/>
        <w:spacing w:line="240" w:lineRule="auto"/>
        <w:rPr>
          <w:lang w:eastAsia="en-GB"/>
        </w:rPr>
      </w:pPr>
      <w:r w:rsidRPr="003E2544">
        <w:rPr>
          <w:lang w:eastAsia="en-GB"/>
        </w:rPr>
        <w:t xml:space="preserve">Annex 1. List of </w:t>
      </w:r>
      <w:r w:rsidR="007F013C">
        <w:rPr>
          <w:lang w:eastAsia="en-GB"/>
        </w:rPr>
        <w:t>R</w:t>
      </w:r>
      <w:r w:rsidRPr="003E2544">
        <w:rPr>
          <w:lang w:eastAsia="en-GB"/>
        </w:rPr>
        <w:t xml:space="preserve">elated </w:t>
      </w:r>
      <w:r w:rsidR="007F013C">
        <w:rPr>
          <w:lang w:eastAsia="en-GB"/>
        </w:rPr>
        <w:t>I</w:t>
      </w:r>
      <w:r w:rsidRPr="003E2544">
        <w:rPr>
          <w:lang w:eastAsia="en-GB"/>
        </w:rPr>
        <w:t>nitiatives</w:t>
      </w:r>
    </w:p>
    <w:p w14:paraId="63701080" w14:textId="77777777" w:rsidR="00272BF8" w:rsidRPr="003E2544" w:rsidRDefault="00272BF8" w:rsidP="00245274">
      <w:pPr>
        <w:spacing w:line="240" w:lineRule="auto"/>
        <w:rPr>
          <w:rFonts w:ascii="Verdana" w:eastAsia="Times New Roman" w:hAnsi="Verdana" w:cs="Times New Roman"/>
          <w:color w:val="000000" w:themeColor="text1"/>
          <w:sz w:val="20"/>
          <w:szCs w:val="20"/>
          <w:lang w:eastAsia="en-GB"/>
        </w:rPr>
      </w:pPr>
    </w:p>
    <w:tbl>
      <w:tblPr>
        <w:tblStyle w:val="TableGrid"/>
        <w:tblW w:w="5000" w:type="pct"/>
        <w:jc w:val="center"/>
        <w:tblLayout w:type="fixed"/>
        <w:tblLook w:val="04A0" w:firstRow="1" w:lastRow="0" w:firstColumn="1" w:lastColumn="0" w:noHBand="0" w:noVBand="1"/>
      </w:tblPr>
      <w:tblGrid>
        <w:gridCol w:w="2131"/>
        <w:gridCol w:w="1812"/>
        <w:gridCol w:w="2034"/>
        <w:gridCol w:w="1495"/>
        <w:gridCol w:w="1580"/>
        <w:gridCol w:w="1487"/>
        <w:gridCol w:w="2411"/>
      </w:tblGrid>
      <w:tr w:rsidR="004D6855" w:rsidRPr="003E2544" w14:paraId="0E7ED7C2" w14:textId="77777777" w:rsidTr="004D6855">
        <w:trPr>
          <w:jc w:val="center"/>
        </w:trPr>
        <w:tc>
          <w:tcPr>
            <w:tcW w:w="2208" w:type="dxa"/>
            <w:shd w:val="clear" w:color="auto" w:fill="BDD6EE" w:themeFill="accent5" w:themeFillTint="66"/>
            <w:vAlign w:val="center"/>
          </w:tcPr>
          <w:p w14:paraId="0E93279E" w14:textId="77777777" w:rsidR="00272BF8" w:rsidRPr="003E2544" w:rsidRDefault="00272BF8" w:rsidP="00245274">
            <w:pPr>
              <w:spacing w:line="240" w:lineRule="auto"/>
              <w:jc w:val="center"/>
              <w:rPr>
                <w:rFonts w:ascii="Verdana" w:eastAsia="Times New Roman" w:hAnsi="Verdana" w:cs="Times New Roman"/>
                <w:b/>
                <w:bCs/>
                <w:color w:val="auto"/>
                <w:sz w:val="16"/>
                <w:szCs w:val="16"/>
                <w:lang w:eastAsia="en-GB"/>
              </w:rPr>
            </w:pPr>
            <w:r w:rsidRPr="003E2544">
              <w:rPr>
                <w:rFonts w:ascii="Verdana" w:eastAsia="Times New Roman" w:hAnsi="Verdana" w:cs="Times New Roman"/>
                <w:b/>
                <w:bCs/>
                <w:color w:val="auto"/>
                <w:sz w:val="16"/>
                <w:szCs w:val="16"/>
                <w:lang w:eastAsia="en-GB"/>
              </w:rPr>
              <w:t>Name of initiative/project</w:t>
            </w:r>
          </w:p>
        </w:tc>
        <w:tc>
          <w:tcPr>
            <w:tcW w:w="1875" w:type="dxa"/>
            <w:shd w:val="clear" w:color="auto" w:fill="BDD6EE" w:themeFill="accent5" w:themeFillTint="66"/>
            <w:vAlign w:val="center"/>
          </w:tcPr>
          <w:p w14:paraId="3E638E92" w14:textId="77777777" w:rsidR="00272BF8" w:rsidRPr="003E2544" w:rsidRDefault="00272BF8" w:rsidP="00245274">
            <w:pPr>
              <w:spacing w:line="240" w:lineRule="auto"/>
              <w:jc w:val="center"/>
              <w:rPr>
                <w:rFonts w:ascii="Verdana" w:eastAsia="Times New Roman" w:hAnsi="Verdana" w:cs="Times New Roman"/>
                <w:b/>
                <w:bCs/>
                <w:color w:val="auto"/>
                <w:sz w:val="16"/>
                <w:szCs w:val="16"/>
                <w:lang w:eastAsia="en-GB"/>
              </w:rPr>
            </w:pPr>
            <w:r w:rsidRPr="003E2544">
              <w:rPr>
                <w:rFonts w:ascii="Verdana" w:eastAsia="Times New Roman" w:hAnsi="Verdana" w:cs="Times New Roman"/>
                <w:b/>
                <w:bCs/>
                <w:color w:val="auto"/>
                <w:sz w:val="16"/>
                <w:szCs w:val="16"/>
                <w:lang w:eastAsia="en-GB"/>
              </w:rPr>
              <w:t>Key expected results</w:t>
            </w:r>
          </w:p>
        </w:tc>
        <w:tc>
          <w:tcPr>
            <w:tcW w:w="2106" w:type="dxa"/>
            <w:shd w:val="clear" w:color="auto" w:fill="BDD6EE" w:themeFill="accent5" w:themeFillTint="66"/>
            <w:vAlign w:val="center"/>
          </w:tcPr>
          <w:p w14:paraId="0C615D65" w14:textId="61DA47F2" w:rsidR="00272BF8" w:rsidRPr="003E2544" w:rsidRDefault="00272BF8" w:rsidP="00245274">
            <w:pPr>
              <w:spacing w:line="240" w:lineRule="auto"/>
              <w:jc w:val="center"/>
              <w:rPr>
                <w:rFonts w:ascii="Verdana" w:eastAsia="Times New Roman" w:hAnsi="Verdana" w:cs="Times New Roman"/>
                <w:b/>
                <w:bCs/>
                <w:color w:val="auto"/>
                <w:sz w:val="16"/>
                <w:szCs w:val="16"/>
                <w:lang w:eastAsia="en-GB"/>
              </w:rPr>
            </w:pPr>
            <w:r w:rsidRPr="003E2544">
              <w:rPr>
                <w:rFonts w:ascii="Verdana" w:eastAsia="Times New Roman" w:hAnsi="Verdana" w:cs="Times New Roman"/>
                <w:b/>
                <w:bCs/>
                <w:color w:val="auto"/>
                <w:sz w:val="16"/>
                <w:szCs w:val="16"/>
                <w:lang w:eastAsia="en-GB"/>
              </w:rPr>
              <w:t>Links to the joint programme</w:t>
            </w:r>
          </w:p>
        </w:tc>
        <w:tc>
          <w:tcPr>
            <w:tcW w:w="1546" w:type="dxa"/>
            <w:shd w:val="clear" w:color="auto" w:fill="BDD6EE" w:themeFill="accent5" w:themeFillTint="66"/>
            <w:vAlign w:val="center"/>
          </w:tcPr>
          <w:p w14:paraId="0E48A3D1" w14:textId="77777777" w:rsidR="00272BF8" w:rsidRPr="003E2544" w:rsidRDefault="00272BF8" w:rsidP="00245274">
            <w:pPr>
              <w:spacing w:line="240" w:lineRule="auto"/>
              <w:jc w:val="center"/>
              <w:rPr>
                <w:rFonts w:ascii="Verdana" w:eastAsia="Times New Roman" w:hAnsi="Verdana" w:cs="Times New Roman"/>
                <w:b/>
                <w:bCs/>
                <w:color w:val="auto"/>
                <w:sz w:val="16"/>
                <w:szCs w:val="16"/>
                <w:lang w:eastAsia="en-GB"/>
              </w:rPr>
            </w:pPr>
            <w:r w:rsidRPr="003E2544">
              <w:rPr>
                <w:rFonts w:ascii="Verdana" w:eastAsia="Times New Roman" w:hAnsi="Verdana" w:cs="Times New Roman"/>
                <w:b/>
                <w:bCs/>
                <w:color w:val="auto"/>
                <w:sz w:val="16"/>
                <w:szCs w:val="16"/>
                <w:lang w:eastAsia="en-GB"/>
              </w:rPr>
              <w:t>Lead organization</w:t>
            </w:r>
          </w:p>
        </w:tc>
        <w:tc>
          <w:tcPr>
            <w:tcW w:w="1634" w:type="dxa"/>
            <w:shd w:val="clear" w:color="auto" w:fill="BDD6EE" w:themeFill="accent5" w:themeFillTint="66"/>
            <w:vAlign w:val="center"/>
          </w:tcPr>
          <w:p w14:paraId="13C13E47" w14:textId="77777777" w:rsidR="00272BF8" w:rsidRPr="003E2544" w:rsidRDefault="00272BF8" w:rsidP="00245274">
            <w:pPr>
              <w:spacing w:line="240" w:lineRule="auto"/>
              <w:jc w:val="center"/>
              <w:rPr>
                <w:rFonts w:ascii="Verdana" w:eastAsia="Times New Roman" w:hAnsi="Verdana" w:cs="Times New Roman"/>
                <w:b/>
                <w:bCs/>
                <w:color w:val="auto"/>
                <w:sz w:val="16"/>
                <w:szCs w:val="16"/>
                <w:lang w:eastAsia="en-GB"/>
              </w:rPr>
            </w:pPr>
            <w:r w:rsidRPr="003E2544">
              <w:rPr>
                <w:rFonts w:ascii="Verdana" w:eastAsia="Times New Roman" w:hAnsi="Verdana" w:cs="Times New Roman"/>
                <w:b/>
                <w:bCs/>
                <w:color w:val="auto"/>
                <w:sz w:val="16"/>
                <w:szCs w:val="16"/>
                <w:lang w:eastAsia="en-GB"/>
              </w:rPr>
              <w:t>Other partners</w:t>
            </w:r>
          </w:p>
        </w:tc>
        <w:tc>
          <w:tcPr>
            <w:tcW w:w="1537" w:type="dxa"/>
            <w:shd w:val="clear" w:color="auto" w:fill="BDD6EE" w:themeFill="accent5" w:themeFillTint="66"/>
            <w:vAlign w:val="center"/>
          </w:tcPr>
          <w:p w14:paraId="777EE9DB" w14:textId="77777777" w:rsidR="00272BF8" w:rsidRPr="003E2544" w:rsidRDefault="00272BF8" w:rsidP="00245274">
            <w:pPr>
              <w:spacing w:line="240" w:lineRule="auto"/>
              <w:jc w:val="center"/>
              <w:rPr>
                <w:rFonts w:ascii="Verdana" w:eastAsia="Times New Roman" w:hAnsi="Verdana" w:cs="Times New Roman"/>
                <w:b/>
                <w:bCs/>
                <w:color w:val="auto"/>
                <w:sz w:val="16"/>
                <w:szCs w:val="16"/>
                <w:lang w:eastAsia="en-GB"/>
              </w:rPr>
            </w:pPr>
            <w:r w:rsidRPr="003E2544">
              <w:rPr>
                <w:rFonts w:ascii="Verdana" w:eastAsia="Times New Roman" w:hAnsi="Verdana" w:cs="Times New Roman"/>
                <w:b/>
                <w:bCs/>
                <w:color w:val="auto"/>
                <w:sz w:val="16"/>
                <w:szCs w:val="16"/>
                <w:lang w:eastAsia="en-GB"/>
              </w:rPr>
              <w:t>Budget and funding source</w:t>
            </w:r>
          </w:p>
        </w:tc>
        <w:tc>
          <w:tcPr>
            <w:tcW w:w="2499" w:type="dxa"/>
            <w:shd w:val="clear" w:color="auto" w:fill="BDD6EE" w:themeFill="accent5" w:themeFillTint="66"/>
            <w:vAlign w:val="center"/>
          </w:tcPr>
          <w:p w14:paraId="5ADE5C03" w14:textId="06FA62F7" w:rsidR="00272BF8" w:rsidRPr="003E2544" w:rsidRDefault="00272BF8" w:rsidP="00245274">
            <w:pPr>
              <w:spacing w:line="240" w:lineRule="auto"/>
              <w:jc w:val="center"/>
              <w:rPr>
                <w:rFonts w:ascii="Verdana" w:eastAsia="Times New Roman" w:hAnsi="Verdana" w:cs="Times New Roman"/>
                <w:b/>
                <w:bCs/>
                <w:color w:val="auto"/>
                <w:sz w:val="16"/>
                <w:szCs w:val="16"/>
                <w:lang w:eastAsia="en-GB"/>
              </w:rPr>
            </w:pPr>
            <w:r w:rsidRPr="003E2544">
              <w:rPr>
                <w:rFonts w:ascii="Verdana" w:eastAsia="Times New Roman" w:hAnsi="Verdana" w:cs="Times New Roman"/>
                <w:b/>
                <w:bCs/>
                <w:color w:val="auto"/>
                <w:sz w:val="16"/>
                <w:szCs w:val="16"/>
                <w:lang w:eastAsia="en-GB"/>
              </w:rPr>
              <w:t>Contact person</w:t>
            </w:r>
          </w:p>
          <w:p w14:paraId="1F7CB6D5" w14:textId="77777777" w:rsidR="00272BF8" w:rsidRPr="003E2544" w:rsidRDefault="00272BF8" w:rsidP="00245274">
            <w:pPr>
              <w:spacing w:line="240" w:lineRule="auto"/>
              <w:jc w:val="center"/>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(name and email)</w:t>
            </w:r>
          </w:p>
        </w:tc>
      </w:tr>
      <w:tr w:rsidR="004D6855" w:rsidRPr="003E2544" w14:paraId="52819393" w14:textId="77777777" w:rsidTr="004D6855">
        <w:trPr>
          <w:jc w:val="center"/>
        </w:trPr>
        <w:tc>
          <w:tcPr>
            <w:tcW w:w="2208" w:type="dxa"/>
            <w:vAlign w:val="center"/>
          </w:tcPr>
          <w:p w14:paraId="3327E0CE" w14:textId="74396E81" w:rsidR="00272BF8" w:rsidRPr="003E2544" w:rsidRDefault="00453A41"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Public Financial Management Project</w:t>
            </w:r>
          </w:p>
        </w:tc>
        <w:tc>
          <w:tcPr>
            <w:tcW w:w="1875" w:type="dxa"/>
            <w:vAlign w:val="center"/>
          </w:tcPr>
          <w:p w14:paraId="1BE80293" w14:textId="797B2688" w:rsidR="00272BF8" w:rsidRPr="003E2544" w:rsidRDefault="007452D2" w:rsidP="00245274">
            <w:pPr>
              <w:spacing w:line="240" w:lineRule="auto"/>
              <w:rPr>
                <w:rFonts w:ascii="Verdana" w:eastAsia="Verdana" w:hAnsi="Verdana" w:cs="Verdana"/>
                <w:color w:val="auto"/>
                <w:sz w:val="16"/>
                <w:szCs w:val="16"/>
              </w:rPr>
            </w:pPr>
            <w:r w:rsidRPr="003E2544">
              <w:rPr>
                <w:rFonts w:ascii="Verdana" w:eastAsia="Verdana" w:hAnsi="Verdana" w:cs="Verdana"/>
                <w:color w:val="auto"/>
                <w:sz w:val="16"/>
                <w:szCs w:val="16"/>
              </w:rPr>
              <w:t>L</w:t>
            </w:r>
            <w:r w:rsidR="2B5C42A6" w:rsidRPr="003E2544">
              <w:rPr>
                <w:rFonts w:ascii="Verdana" w:eastAsia="Verdana" w:hAnsi="Verdana" w:cs="Verdana"/>
                <w:color w:val="auto"/>
                <w:sz w:val="16"/>
                <w:szCs w:val="16"/>
              </w:rPr>
              <w:t>egal framework, structures</w:t>
            </w:r>
            <w:r w:rsidR="2E230964" w:rsidRPr="003E2544">
              <w:rPr>
                <w:rFonts w:ascii="Verdana" w:eastAsia="Verdana" w:hAnsi="Verdana" w:cs="Verdana"/>
                <w:color w:val="auto"/>
                <w:sz w:val="16"/>
                <w:szCs w:val="16"/>
              </w:rPr>
              <w:t xml:space="preserve"> and systems for effective management of non-oil revenue in the </w:t>
            </w:r>
            <w:r w:rsidR="00351B38" w:rsidRPr="003E2544">
              <w:rPr>
                <w:rFonts w:ascii="Verdana" w:eastAsia="Verdana" w:hAnsi="Verdana" w:cs="Verdana"/>
                <w:color w:val="auto"/>
                <w:sz w:val="16"/>
                <w:szCs w:val="16"/>
              </w:rPr>
              <w:t>states and</w:t>
            </w:r>
            <w:r w:rsidR="08C2DDD7" w:rsidRPr="003E2544">
              <w:rPr>
                <w:rFonts w:ascii="Verdana" w:eastAsia="Verdana" w:hAnsi="Verdana" w:cs="Verdana"/>
                <w:color w:val="auto"/>
                <w:sz w:val="16"/>
                <w:szCs w:val="16"/>
              </w:rPr>
              <w:t xml:space="preserve"> strengthen</w:t>
            </w:r>
            <w:r w:rsidRPr="003E2544">
              <w:rPr>
                <w:rFonts w:ascii="Verdana" w:eastAsia="Verdana" w:hAnsi="Verdana" w:cs="Verdana"/>
                <w:color w:val="auto"/>
                <w:sz w:val="16"/>
                <w:szCs w:val="16"/>
              </w:rPr>
              <w:t>ed</w:t>
            </w:r>
            <w:r w:rsidR="08C2DDD7" w:rsidRPr="003E2544">
              <w:rPr>
                <w:rFonts w:ascii="Verdana" w:eastAsia="Verdana" w:hAnsi="Verdana" w:cs="Verdana"/>
                <w:color w:val="auto"/>
                <w:sz w:val="16"/>
                <w:szCs w:val="16"/>
              </w:rPr>
              <w:t xml:space="preserve"> </w:t>
            </w:r>
            <w:r w:rsidR="2B5C42A6" w:rsidRPr="003E2544">
              <w:rPr>
                <w:rFonts w:ascii="Verdana" w:eastAsia="Verdana" w:hAnsi="Verdana" w:cs="Verdana"/>
                <w:color w:val="auto"/>
                <w:sz w:val="16"/>
                <w:szCs w:val="16"/>
              </w:rPr>
              <w:t>oversight mechanisms</w:t>
            </w:r>
            <w:r w:rsidR="5E9E4FA1" w:rsidRPr="003E2544">
              <w:rPr>
                <w:rFonts w:ascii="Verdana" w:eastAsia="Verdana" w:hAnsi="Verdana" w:cs="Verdana"/>
                <w:color w:val="auto"/>
                <w:sz w:val="16"/>
                <w:szCs w:val="16"/>
              </w:rPr>
              <w:t>.</w:t>
            </w:r>
          </w:p>
        </w:tc>
        <w:tc>
          <w:tcPr>
            <w:tcW w:w="2106" w:type="dxa"/>
            <w:vAlign w:val="center"/>
          </w:tcPr>
          <w:p w14:paraId="2EB77CAC" w14:textId="36719F3E" w:rsidR="00272BF8" w:rsidRPr="003E2544" w:rsidRDefault="7B5B443D" w:rsidP="00245274">
            <w:pPr>
              <w:spacing w:line="240" w:lineRule="auto"/>
              <w:rPr>
                <w:rFonts w:ascii="Verdana" w:eastAsia="Verdana" w:hAnsi="Verdana" w:cs="Verdana"/>
                <w:color w:val="auto"/>
                <w:sz w:val="16"/>
                <w:szCs w:val="16"/>
              </w:rPr>
            </w:pPr>
            <w:r w:rsidRPr="003E2544">
              <w:rPr>
                <w:rFonts w:ascii="Verdana" w:eastAsia="Verdana" w:hAnsi="Verdana" w:cs="Verdana"/>
                <w:color w:val="auto"/>
                <w:sz w:val="16"/>
                <w:szCs w:val="16"/>
              </w:rPr>
              <w:t>S</w:t>
            </w:r>
            <w:r w:rsidR="4008C6EE" w:rsidRPr="003E2544">
              <w:rPr>
                <w:rFonts w:ascii="Verdana" w:eastAsia="Verdana" w:hAnsi="Verdana" w:cs="Verdana"/>
                <w:color w:val="auto"/>
                <w:sz w:val="16"/>
                <w:szCs w:val="16"/>
              </w:rPr>
              <w:t>trengthen</w:t>
            </w:r>
            <w:r w:rsidR="18CB7E0F" w:rsidRPr="003E2544">
              <w:rPr>
                <w:rFonts w:ascii="Verdana" w:eastAsia="Verdana" w:hAnsi="Verdana" w:cs="Verdana"/>
                <w:color w:val="auto"/>
                <w:sz w:val="16"/>
                <w:szCs w:val="16"/>
              </w:rPr>
              <w:t>s</w:t>
            </w:r>
            <w:r w:rsidR="4008C6EE" w:rsidRPr="003E2544">
              <w:rPr>
                <w:rFonts w:ascii="Verdana" w:eastAsia="Verdana" w:hAnsi="Verdana" w:cs="Verdana"/>
                <w:color w:val="auto"/>
                <w:sz w:val="16"/>
                <w:szCs w:val="16"/>
              </w:rPr>
              <w:t xml:space="preserve"> </w:t>
            </w:r>
            <w:r w:rsidRPr="003E2544">
              <w:rPr>
                <w:rFonts w:ascii="Verdana" w:eastAsia="Verdana" w:hAnsi="Verdana" w:cs="Verdana"/>
                <w:color w:val="auto"/>
                <w:sz w:val="16"/>
                <w:szCs w:val="16"/>
              </w:rPr>
              <w:t>non-oil revenue generation mechanisms</w:t>
            </w:r>
            <w:r w:rsidR="68A9415D" w:rsidRPr="003E2544">
              <w:rPr>
                <w:rFonts w:ascii="Verdana" w:eastAsia="Verdana" w:hAnsi="Verdana" w:cs="Verdana"/>
                <w:color w:val="auto"/>
                <w:sz w:val="16"/>
                <w:szCs w:val="16"/>
              </w:rPr>
              <w:t>, systems and structures</w:t>
            </w:r>
            <w:r w:rsidRPr="003E2544">
              <w:rPr>
                <w:rFonts w:ascii="Verdana" w:eastAsia="Verdana" w:hAnsi="Verdana" w:cs="Verdana"/>
                <w:color w:val="auto"/>
                <w:sz w:val="16"/>
                <w:szCs w:val="16"/>
              </w:rPr>
              <w:t xml:space="preserve"> at the state levels</w:t>
            </w:r>
            <w:r w:rsidR="2F8F2516" w:rsidRPr="003E2544">
              <w:rPr>
                <w:rFonts w:ascii="Verdana" w:eastAsia="Verdana" w:hAnsi="Verdana" w:cs="Verdana"/>
                <w:color w:val="auto"/>
                <w:sz w:val="16"/>
                <w:szCs w:val="16"/>
              </w:rPr>
              <w:t>, including oversight mechanisms.</w:t>
            </w:r>
          </w:p>
        </w:tc>
        <w:tc>
          <w:tcPr>
            <w:tcW w:w="1546" w:type="dxa"/>
            <w:vAlign w:val="center"/>
          </w:tcPr>
          <w:p w14:paraId="50369FF6" w14:textId="024DF0B9" w:rsidR="00272BF8" w:rsidRPr="003E2544" w:rsidRDefault="003E25BD"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UNDP</w:t>
            </w:r>
          </w:p>
        </w:tc>
        <w:tc>
          <w:tcPr>
            <w:tcW w:w="1634" w:type="dxa"/>
            <w:vAlign w:val="center"/>
          </w:tcPr>
          <w:p w14:paraId="5AA37329" w14:textId="0DBDA8FA" w:rsidR="00272BF8" w:rsidRPr="003E2544" w:rsidRDefault="332ECA2C"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N/A</w:t>
            </w:r>
          </w:p>
        </w:tc>
        <w:tc>
          <w:tcPr>
            <w:tcW w:w="1537" w:type="dxa"/>
            <w:vAlign w:val="center"/>
          </w:tcPr>
          <w:p w14:paraId="4B85E115" w14:textId="580312AD" w:rsidR="00272BF8" w:rsidRPr="003E2544" w:rsidRDefault="516314CB"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Government of Japan</w:t>
            </w:r>
          </w:p>
        </w:tc>
        <w:tc>
          <w:tcPr>
            <w:tcW w:w="2499" w:type="dxa"/>
            <w:vAlign w:val="center"/>
          </w:tcPr>
          <w:p w14:paraId="3523DAB2" w14:textId="12E80ABC" w:rsidR="00272BF8" w:rsidRPr="003E2544" w:rsidRDefault="44F194F1"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 xml:space="preserve">Kamil Kamaluddeen </w:t>
            </w:r>
          </w:p>
          <w:p w14:paraId="2101C36E" w14:textId="2C01F9BF" w:rsidR="00272BF8" w:rsidRPr="003E2544" w:rsidRDefault="44F194F1"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Resident Representative</w:t>
            </w:r>
          </w:p>
          <w:p w14:paraId="6423AC42" w14:textId="0EA5A9E7" w:rsidR="00272BF8" w:rsidRPr="003E2544" w:rsidRDefault="44F194F1"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UNDP South Sudan</w:t>
            </w:r>
          </w:p>
          <w:p w14:paraId="22F3DCA4" w14:textId="33FDCC65" w:rsidR="00272BF8" w:rsidRPr="003E2544" w:rsidRDefault="007D2ED2" w:rsidP="00245274">
            <w:pPr>
              <w:spacing w:line="240" w:lineRule="auto"/>
              <w:jc w:val="both"/>
              <w:rPr>
                <w:rStyle w:val="Hyperlink"/>
                <w:rFonts w:ascii="Verdana" w:eastAsia="Verdana" w:hAnsi="Verdana" w:cs="Verdana"/>
                <w:color w:val="auto"/>
                <w:sz w:val="16"/>
                <w:szCs w:val="16"/>
              </w:rPr>
            </w:pPr>
            <w:hyperlink r:id="rId26" w:history="1">
              <w:r w:rsidR="799EEFE0" w:rsidRPr="003E2544">
                <w:rPr>
                  <w:rStyle w:val="Hyperlink"/>
                  <w:rFonts w:ascii="Verdana" w:eastAsia="Verdana" w:hAnsi="Verdana" w:cs="Verdana"/>
                  <w:color w:val="auto"/>
                  <w:sz w:val="16"/>
                  <w:szCs w:val="16"/>
                </w:rPr>
                <w:t>kamil.kamaluddeen@undp.org</w:t>
              </w:r>
            </w:hyperlink>
          </w:p>
          <w:p w14:paraId="73A4DC88" w14:textId="4EE7D188" w:rsidR="00272BF8" w:rsidRPr="003E2544" w:rsidRDefault="799EEFE0"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 xml:space="preserve"> </w:t>
            </w:r>
          </w:p>
          <w:p w14:paraId="74612BA3" w14:textId="354307A7" w:rsidR="00272BF8" w:rsidRPr="003E2544" w:rsidRDefault="799EEFE0"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Gabriel Garang Atem</w:t>
            </w:r>
          </w:p>
          <w:p w14:paraId="5FED9938" w14:textId="6826B81C" w:rsidR="00272BF8" w:rsidRPr="003E2544" w:rsidRDefault="799EEFE0"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 xml:space="preserve">National Economist, </w:t>
            </w:r>
          </w:p>
          <w:p w14:paraId="6A18BFC3" w14:textId="38BD4166" w:rsidR="00272BF8" w:rsidRPr="003E2544" w:rsidRDefault="799EEFE0" w:rsidP="00245274">
            <w:pPr>
              <w:spacing w:line="240" w:lineRule="auto"/>
              <w:jc w:val="both"/>
              <w:rPr>
                <w:rFonts w:ascii="Verdana" w:eastAsia="Verdana" w:hAnsi="Verdana" w:cs="Verdana"/>
                <w:color w:val="auto"/>
                <w:sz w:val="16"/>
                <w:szCs w:val="16"/>
              </w:rPr>
            </w:pPr>
            <w:r w:rsidRPr="003E2544">
              <w:rPr>
                <w:rStyle w:val="Hyperlink"/>
                <w:rFonts w:ascii="Verdana" w:hAnsi="Verdana"/>
                <w:color w:val="auto"/>
                <w:sz w:val="16"/>
                <w:szCs w:val="16"/>
              </w:rPr>
              <w:t>gabriel.atem@undp.org</w:t>
            </w:r>
          </w:p>
        </w:tc>
      </w:tr>
      <w:tr w:rsidR="004D6855" w:rsidRPr="003E2544" w14:paraId="3FA8D30D" w14:textId="77777777" w:rsidTr="004D6855">
        <w:trPr>
          <w:jc w:val="center"/>
        </w:trPr>
        <w:tc>
          <w:tcPr>
            <w:tcW w:w="2208" w:type="dxa"/>
            <w:vAlign w:val="center"/>
          </w:tcPr>
          <w:p w14:paraId="6B81469F" w14:textId="30469FC4" w:rsidR="08558E27" w:rsidRPr="003E2544" w:rsidRDefault="08558E27"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Public Financial Management Project</w:t>
            </w:r>
          </w:p>
          <w:p w14:paraId="3A4ECCA4" w14:textId="746E8720" w:rsidR="241EFCDD" w:rsidRPr="003E2544" w:rsidRDefault="241EFCDD" w:rsidP="00245274">
            <w:pPr>
              <w:spacing w:line="240" w:lineRule="auto"/>
              <w:rPr>
                <w:rFonts w:ascii="Verdana" w:eastAsia="Verdana" w:hAnsi="Verdana" w:cs="Verdana"/>
                <w:color w:val="auto"/>
                <w:sz w:val="16"/>
                <w:szCs w:val="16"/>
              </w:rPr>
            </w:pPr>
          </w:p>
        </w:tc>
        <w:tc>
          <w:tcPr>
            <w:tcW w:w="1875" w:type="dxa"/>
            <w:vAlign w:val="center"/>
          </w:tcPr>
          <w:p w14:paraId="2D1DB3C9" w14:textId="51FA752F" w:rsidR="08558E27" w:rsidRPr="003E2544" w:rsidRDefault="00E17955" w:rsidP="00245274">
            <w:pPr>
              <w:spacing w:line="240" w:lineRule="auto"/>
              <w:rPr>
                <w:rFonts w:ascii="Verdana" w:hAnsi="Verdana"/>
                <w:color w:val="auto"/>
                <w:sz w:val="16"/>
                <w:szCs w:val="16"/>
              </w:rPr>
            </w:pPr>
            <w:r w:rsidRPr="003E2544">
              <w:rPr>
                <w:rFonts w:ascii="Verdana" w:eastAsia="Verdana" w:hAnsi="Verdana" w:cs="Verdana"/>
                <w:color w:val="auto"/>
                <w:sz w:val="16"/>
                <w:szCs w:val="16"/>
              </w:rPr>
              <w:t>M</w:t>
            </w:r>
            <w:r w:rsidR="08558E27" w:rsidRPr="003E2544">
              <w:rPr>
                <w:rFonts w:ascii="Verdana" w:eastAsia="Verdana" w:hAnsi="Verdana" w:cs="Verdana"/>
                <w:color w:val="auto"/>
                <w:sz w:val="16"/>
                <w:szCs w:val="16"/>
              </w:rPr>
              <w:t xml:space="preserve">odernization of unified State Revenue Authorities with a unified tax system; enhance the oversight capacities of SLAs, and; </w:t>
            </w:r>
            <w:r w:rsidR="6809FA5A" w:rsidRPr="003E2544">
              <w:rPr>
                <w:rFonts w:ascii="Verdana" w:eastAsia="Verdana" w:hAnsi="Verdana" w:cs="Verdana"/>
                <w:color w:val="auto"/>
                <w:sz w:val="16"/>
                <w:szCs w:val="16"/>
              </w:rPr>
              <w:t xml:space="preserve">enhance </w:t>
            </w:r>
            <w:r w:rsidR="08558E27" w:rsidRPr="003E2544">
              <w:rPr>
                <w:rFonts w:ascii="Verdana" w:eastAsia="Verdana" w:hAnsi="Verdana" w:cs="Verdana"/>
                <w:color w:val="auto"/>
                <w:sz w:val="16"/>
                <w:szCs w:val="16"/>
              </w:rPr>
              <w:t>stakeholder</w:t>
            </w:r>
            <w:r w:rsidR="47B38111" w:rsidRPr="003E2544">
              <w:rPr>
                <w:rFonts w:ascii="Verdana" w:eastAsia="Verdana" w:hAnsi="Verdana" w:cs="Verdana"/>
                <w:color w:val="auto"/>
                <w:sz w:val="16"/>
                <w:szCs w:val="16"/>
              </w:rPr>
              <w:t>'s</w:t>
            </w:r>
            <w:r w:rsidR="08558E27" w:rsidRPr="003E2544">
              <w:rPr>
                <w:rFonts w:ascii="Verdana" w:eastAsia="Verdana" w:hAnsi="Verdana" w:cs="Verdana"/>
                <w:color w:val="auto"/>
                <w:sz w:val="16"/>
                <w:szCs w:val="16"/>
              </w:rPr>
              <w:t xml:space="preserve"> capacity on public finance reforms in SRAs of Aweil, </w:t>
            </w:r>
            <w:proofErr w:type="spellStart"/>
            <w:r w:rsidR="08558E27" w:rsidRPr="003E2544">
              <w:rPr>
                <w:rFonts w:ascii="Verdana" w:eastAsia="Verdana" w:hAnsi="Verdana" w:cs="Verdana"/>
                <w:color w:val="auto"/>
                <w:sz w:val="16"/>
                <w:szCs w:val="16"/>
              </w:rPr>
              <w:t>Jubek</w:t>
            </w:r>
            <w:proofErr w:type="spellEnd"/>
            <w:r w:rsidR="08558E27" w:rsidRPr="003E2544">
              <w:rPr>
                <w:rFonts w:ascii="Verdana" w:eastAsia="Verdana" w:hAnsi="Verdana" w:cs="Verdana"/>
                <w:color w:val="auto"/>
                <w:sz w:val="16"/>
                <w:szCs w:val="16"/>
              </w:rPr>
              <w:t xml:space="preserve"> and </w:t>
            </w:r>
            <w:proofErr w:type="spellStart"/>
            <w:r w:rsidR="08558E27" w:rsidRPr="003E2544">
              <w:rPr>
                <w:rFonts w:ascii="Verdana" w:eastAsia="Verdana" w:hAnsi="Verdana" w:cs="Verdana"/>
                <w:color w:val="auto"/>
                <w:sz w:val="16"/>
                <w:szCs w:val="16"/>
              </w:rPr>
              <w:t>Gbudue</w:t>
            </w:r>
            <w:proofErr w:type="spellEnd"/>
            <w:r w:rsidR="08558E27" w:rsidRPr="003E2544">
              <w:rPr>
                <w:rFonts w:ascii="Verdana" w:eastAsia="Verdana" w:hAnsi="Verdana" w:cs="Verdana"/>
                <w:color w:val="auto"/>
                <w:sz w:val="16"/>
                <w:szCs w:val="16"/>
              </w:rPr>
              <w:t>.</w:t>
            </w:r>
          </w:p>
        </w:tc>
        <w:tc>
          <w:tcPr>
            <w:tcW w:w="2106" w:type="dxa"/>
            <w:vAlign w:val="center"/>
          </w:tcPr>
          <w:p w14:paraId="5A999B83" w14:textId="25A8076E" w:rsidR="08558E27" w:rsidRPr="003E2544" w:rsidRDefault="08558E27" w:rsidP="00245274">
            <w:pPr>
              <w:spacing w:line="240" w:lineRule="auto"/>
              <w:rPr>
                <w:rFonts w:ascii="Verdana" w:eastAsia="Verdana" w:hAnsi="Verdana" w:cs="Verdana"/>
                <w:color w:val="auto"/>
                <w:sz w:val="16"/>
                <w:szCs w:val="16"/>
              </w:rPr>
            </w:pPr>
            <w:r w:rsidRPr="003E2544">
              <w:rPr>
                <w:rFonts w:ascii="Verdana" w:eastAsia="Verdana" w:hAnsi="Verdana" w:cs="Verdana"/>
                <w:color w:val="auto"/>
                <w:sz w:val="16"/>
                <w:szCs w:val="16"/>
              </w:rPr>
              <w:t>Support</w:t>
            </w:r>
            <w:r w:rsidR="5880FB46" w:rsidRPr="003E2544">
              <w:rPr>
                <w:rFonts w:ascii="Verdana" w:eastAsia="Verdana" w:hAnsi="Verdana" w:cs="Verdana"/>
                <w:color w:val="auto"/>
                <w:sz w:val="16"/>
                <w:szCs w:val="16"/>
              </w:rPr>
              <w:t>s</w:t>
            </w:r>
            <w:r w:rsidRPr="003E2544">
              <w:rPr>
                <w:rFonts w:ascii="Verdana" w:eastAsia="Verdana" w:hAnsi="Verdana" w:cs="Verdana"/>
                <w:color w:val="auto"/>
                <w:sz w:val="16"/>
                <w:szCs w:val="16"/>
              </w:rPr>
              <w:t xml:space="preserve"> the modernization of tax systems through installation of </w:t>
            </w:r>
            <w:r w:rsidR="37F03842" w:rsidRPr="003E2544">
              <w:rPr>
                <w:rFonts w:ascii="Verdana" w:eastAsia="Verdana" w:hAnsi="Verdana" w:cs="Verdana"/>
                <w:color w:val="auto"/>
                <w:sz w:val="16"/>
                <w:szCs w:val="16"/>
              </w:rPr>
              <w:t xml:space="preserve">solar </w:t>
            </w:r>
            <w:r w:rsidRPr="003E2544">
              <w:rPr>
                <w:rFonts w:ascii="Verdana" w:eastAsia="Verdana" w:hAnsi="Verdana" w:cs="Verdana"/>
                <w:color w:val="auto"/>
                <w:sz w:val="16"/>
                <w:szCs w:val="16"/>
              </w:rPr>
              <w:t>power, tax management system and intern</w:t>
            </w:r>
            <w:r w:rsidR="7BF7CE67" w:rsidRPr="003E2544">
              <w:rPr>
                <w:rFonts w:ascii="Verdana" w:eastAsia="Verdana" w:hAnsi="Verdana" w:cs="Verdana"/>
                <w:color w:val="auto"/>
                <w:sz w:val="16"/>
                <w:szCs w:val="16"/>
              </w:rPr>
              <w:t>e</w:t>
            </w:r>
            <w:r w:rsidRPr="003E2544">
              <w:rPr>
                <w:rFonts w:ascii="Verdana" w:eastAsia="Verdana" w:hAnsi="Verdana" w:cs="Verdana"/>
                <w:color w:val="auto"/>
                <w:sz w:val="16"/>
                <w:szCs w:val="16"/>
              </w:rPr>
              <w:t>t access for communication between the NRA, SRAs and other stakeholders</w:t>
            </w:r>
            <w:r w:rsidR="691FE004" w:rsidRPr="003E2544">
              <w:rPr>
                <w:rFonts w:ascii="Verdana" w:eastAsia="Verdana" w:hAnsi="Verdana" w:cs="Verdana"/>
                <w:color w:val="auto"/>
                <w:sz w:val="16"/>
                <w:szCs w:val="16"/>
              </w:rPr>
              <w:t>.</w:t>
            </w:r>
          </w:p>
        </w:tc>
        <w:tc>
          <w:tcPr>
            <w:tcW w:w="1546" w:type="dxa"/>
            <w:vAlign w:val="center"/>
          </w:tcPr>
          <w:p w14:paraId="6E0DAD70" w14:textId="7597AB86" w:rsidR="08558E27" w:rsidRPr="003E2544" w:rsidRDefault="08558E27"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UNDP</w:t>
            </w:r>
          </w:p>
        </w:tc>
        <w:tc>
          <w:tcPr>
            <w:tcW w:w="1634" w:type="dxa"/>
            <w:vAlign w:val="center"/>
          </w:tcPr>
          <w:p w14:paraId="6749FE8B" w14:textId="78C353EC" w:rsidR="08558E27" w:rsidRPr="003E2544" w:rsidRDefault="08558E27"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N/A</w:t>
            </w:r>
          </w:p>
        </w:tc>
        <w:tc>
          <w:tcPr>
            <w:tcW w:w="1537" w:type="dxa"/>
            <w:vAlign w:val="center"/>
          </w:tcPr>
          <w:p w14:paraId="5E93390E" w14:textId="20B9CC1F" w:rsidR="53C0B4AE" w:rsidRPr="003E2544" w:rsidRDefault="53C0B4AE"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Africa</w:t>
            </w:r>
            <w:r w:rsidR="32607F24" w:rsidRPr="003E2544">
              <w:rPr>
                <w:rFonts w:ascii="Verdana" w:eastAsia="Times New Roman" w:hAnsi="Verdana" w:cs="Times New Roman"/>
                <w:color w:val="auto"/>
                <w:sz w:val="16"/>
                <w:szCs w:val="16"/>
                <w:lang w:eastAsia="en-GB"/>
              </w:rPr>
              <w:t>n</w:t>
            </w:r>
            <w:r w:rsidRPr="003E2544">
              <w:rPr>
                <w:rFonts w:ascii="Verdana" w:eastAsia="Times New Roman" w:hAnsi="Verdana" w:cs="Times New Roman"/>
                <w:color w:val="auto"/>
                <w:sz w:val="16"/>
                <w:szCs w:val="16"/>
                <w:lang w:eastAsia="en-GB"/>
              </w:rPr>
              <w:t xml:space="preserve"> Development Bank</w:t>
            </w:r>
          </w:p>
        </w:tc>
        <w:tc>
          <w:tcPr>
            <w:tcW w:w="2499" w:type="dxa"/>
            <w:vAlign w:val="center"/>
          </w:tcPr>
          <w:p w14:paraId="55155A4E" w14:textId="33E995F5" w:rsidR="08558E27" w:rsidRPr="003E2544" w:rsidRDefault="08558E27"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 xml:space="preserve">Kamil Kamaluddeen </w:t>
            </w:r>
          </w:p>
          <w:p w14:paraId="1C3BD418" w14:textId="52DDB592" w:rsidR="08558E27" w:rsidRPr="003E2544" w:rsidRDefault="08558E27"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Resident Representative</w:t>
            </w:r>
          </w:p>
          <w:p w14:paraId="4EAA8675" w14:textId="3849A4A6" w:rsidR="08558E27" w:rsidRPr="003E2544" w:rsidRDefault="08558E27"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UNDP South Sudan</w:t>
            </w:r>
          </w:p>
          <w:p w14:paraId="59BC23FB" w14:textId="7A407CEA" w:rsidR="08558E27" w:rsidRPr="003E2544" w:rsidRDefault="08558E27" w:rsidP="00245274">
            <w:pPr>
              <w:spacing w:line="240" w:lineRule="auto"/>
              <w:jc w:val="both"/>
              <w:rPr>
                <w:rStyle w:val="Hyperlink"/>
                <w:rFonts w:ascii="Verdana" w:eastAsia="Verdana" w:hAnsi="Verdana" w:cs="Verdana"/>
                <w:color w:val="auto"/>
                <w:sz w:val="16"/>
                <w:szCs w:val="16"/>
              </w:rPr>
            </w:pPr>
            <w:r w:rsidRPr="003E2544">
              <w:rPr>
                <w:rStyle w:val="Hyperlink"/>
                <w:rFonts w:ascii="Verdana" w:eastAsia="Verdana" w:hAnsi="Verdana" w:cs="Verdana"/>
                <w:color w:val="auto"/>
                <w:sz w:val="16"/>
                <w:szCs w:val="16"/>
              </w:rPr>
              <w:t>kamil.kamaluddeen@undp.org</w:t>
            </w:r>
          </w:p>
          <w:p w14:paraId="4850E652" w14:textId="75E535B7" w:rsidR="08558E27" w:rsidRPr="003E2544" w:rsidRDefault="08558E27"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 xml:space="preserve"> </w:t>
            </w:r>
          </w:p>
          <w:p w14:paraId="38E1E007" w14:textId="22C33048" w:rsidR="08558E27" w:rsidRPr="003E2544" w:rsidRDefault="08558E27"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Gabriel Garang Atem</w:t>
            </w:r>
          </w:p>
          <w:p w14:paraId="570B6158" w14:textId="418EBEE1" w:rsidR="08558E27" w:rsidRPr="003E2544" w:rsidRDefault="08558E27"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 xml:space="preserve">National Economist, </w:t>
            </w:r>
          </w:p>
          <w:p w14:paraId="10F04C1F" w14:textId="537848B0" w:rsidR="08558E27" w:rsidRPr="003E2544" w:rsidRDefault="08558E27" w:rsidP="00245274">
            <w:pPr>
              <w:spacing w:line="240" w:lineRule="auto"/>
              <w:jc w:val="both"/>
              <w:rPr>
                <w:rFonts w:ascii="Verdana" w:eastAsia="Verdana" w:hAnsi="Verdana" w:cs="Verdana"/>
                <w:color w:val="auto"/>
                <w:sz w:val="16"/>
                <w:szCs w:val="16"/>
              </w:rPr>
            </w:pPr>
            <w:r w:rsidRPr="003E2544">
              <w:rPr>
                <w:rStyle w:val="Hyperlink"/>
                <w:rFonts w:ascii="Verdana" w:hAnsi="Verdana"/>
                <w:color w:val="auto"/>
                <w:sz w:val="16"/>
                <w:szCs w:val="16"/>
              </w:rPr>
              <w:t>gabriel.atem@undp.org</w:t>
            </w:r>
          </w:p>
        </w:tc>
      </w:tr>
      <w:tr w:rsidR="004D6855" w:rsidRPr="003E2544" w14:paraId="5EF1E27B" w14:textId="77777777" w:rsidTr="004D6855">
        <w:trPr>
          <w:jc w:val="center"/>
        </w:trPr>
        <w:tc>
          <w:tcPr>
            <w:tcW w:w="2208" w:type="dxa"/>
            <w:vAlign w:val="center"/>
          </w:tcPr>
          <w:p w14:paraId="7C66AD64" w14:textId="1FDF1BCC" w:rsidR="79564FBF" w:rsidRPr="003E2544" w:rsidRDefault="035A6499" w:rsidP="00245274">
            <w:pPr>
              <w:spacing w:line="240" w:lineRule="auto"/>
              <w:rPr>
                <w:rFonts w:ascii="Verdana" w:eastAsia="Verdana" w:hAnsi="Verdana" w:cs="Verdana"/>
                <w:color w:val="auto"/>
                <w:sz w:val="16"/>
                <w:szCs w:val="16"/>
              </w:rPr>
            </w:pPr>
            <w:r w:rsidRPr="003E2544">
              <w:rPr>
                <w:rFonts w:ascii="Verdana" w:eastAsia="Verdana" w:hAnsi="Verdana" w:cs="Verdana"/>
                <w:color w:val="auto"/>
                <w:sz w:val="16"/>
                <w:szCs w:val="16"/>
              </w:rPr>
              <w:t>Governance and Economic Management System Project (GEMS)</w:t>
            </w:r>
          </w:p>
        </w:tc>
        <w:tc>
          <w:tcPr>
            <w:tcW w:w="1875" w:type="dxa"/>
            <w:vAlign w:val="center"/>
          </w:tcPr>
          <w:p w14:paraId="4A5C280F" w14:textId="19CDA9E1" w:rsidR="1601A48E" w:rsidRPr="003E2544" w:rsidRDefault="7D8CFD70" w:rsidP="00245274">
            <w:pPr>
              <w:spacing w:line="240" w:lineRule="auto"/>
              <w:rPr>
                <w:rFonts w:ascii="Verdana" w:eastAsia="Verdana" w:hAnsi="Verdana" w:cs="Verdana"/>
                <w:color w:val="auto"/>
                <w:sz w:val="16"/>
                <w:szCs w:val="16"/>
              </w:rPr>
            </w:pPr>
            <w:r w:rsidRPr="003E2544">
              <w:rPr>
                <w:rFonts w:ascii="Verdana" w:eastAsia="Verdana" w:hAnsi="Verdana" w:cs="Verdana"/>
                <w:color w:val="auto"/>
                <w:sz w:val="16"/>
                <w:szCs w:val="16"/>
              </w:rPr>
              <w:t>Strengthened capacity of targeted national governance institutions to deliver the peace agreement</w:t>
            </w:r>
            <w:r w:rsidR="676819C4" w:rsidRPr="003E2544">
              <w:rPr>
                <w:rFonts w:ascii="Verdana" w:eastAsia="Verdana" w:hAnsi="Verdana" w:cs="Verdana"/>
                <w:color w:val="auto"/>
                <w:sz w:val="16"/>
                <w:szCs w:val="16"/>
              </w:rPr>
              <w:t>.</w:t>
            </w:r>
          </w:p>
        </w:tc>
        <w:tc>
          <w:tcPr>
            <w:tcW w:w="2106" w:type="dxa"/>
            <w:vAlign w:val="center"/>
          </w:tcPr>
          <w:p w14:paraId="57909E79" w14:textId="5B95CBC3" w:rsidR="184EFBD2" w:rsidRPr="003E2544" w:rsidRDefault="676819C4" w:rsidP="00245274">
            <w:pPr>
              <w:spacing w:line="240" w:lineRule="auto"/>
              <w:rPr>
                <w:rFonts w:ascii="Verdana" w:eastAsia="Verdana" w:hAnsi="Verdana" w:cs="Verdana"/>
                <w:color w:val="auto"/>
                <w:sz w:val="16"/>
                <w:szCs w:val="16"/>
              </w:rPr>
            </w:pPr>
            <w:r w:rsidRPr="003E2544">
              <w:rPr>
                <w:rFonts w:ascii="Verdana" w:eastAsia="Verdana" w:hAnsi="Verdana" w:cs="Verdana"/>
                <w:color w:val="auto"/>
                <w:sz w:val="16"/>
                <w:szCs w:val="16"/>
              </w:rPr>
              <w:t>Strengthe</w:t>
            </w:r>
            <w:r w:rsidR="1ACF9277" w:rsidRPr="003E2544">
              <w:rPr>
                <w:rFonts w:ascii="Verdana" w:eastAsia="Verdana" w:hAnsi="Verdana" w:cs="Verdana"/>
                <w:color w:val="auto"/>
                <w:sz w:val="16"/>
                <w:szCs w:val="16"/>
              </w:rPr>
              <w:t xml:space="preserve">ns the </w:t>
            </w:r>
            <w:r w:rsidRPr="003E2544">
              <w:rPr>
                <w:rFonts w:ascii="Verdana" w:eastAsia="Verdana" w:hAnsi="Verdana" w:cs="Verdana"/>
                <w:color w:val="auto"/>
                <w:sz w:val="16"/>
                <w:szCs w:val="16"/>
              </w:rPr>
              <w:t xml:space="preserve">capacity of targeted </w:t>
            </w:r>
            <w:r w:rsidR="3936B86E" w:rsidRPr="003E2544">
              <w:rPr>
                <w:rFonts w:ascii="Verdana" w:eastAsia="Verdana" w:hAnsi="Verdana" w:cs="Verdana"/>
                <w:color w:val="auto"/>
                <w:sz w:val="16"/>
                <w:szCs w:val="16"/>
              </w:rPr>
              <w:t xml:space="preserve">public financial </w:t>
            </w:r>
            <w:r w:rsidRPr="003E2544">
              <w:rPr>
                <w:rFonts w:ascii="Verdana" w:eastAsia="Verdana" w:hAnsi="Verdana" w:cs="Verdana"/>
                <w:color w:val="auto"/>
                <w:sz w:val="16"/>
                <w:szCs w:val="16"/>
              </w:rPr>
              <w:t>management institutions on the national level</w:t>
            </w:r>
            <w:r w:rsidR="7740F19F" w:rsidRPr="003E2544">
              <w:rPr>
                <w:rFonts w:ascii="Verdana" w:eastAsia="Verdana" w:hAnsi="Verdana" w:cs="Verdana"/>
                <w:color w:val="auto"/>
                <w:sz w:val="16"/>
                <w:szCs w:val="16"/>
              </w:rPr>
              <w:t xml:space="preserve"> to deliver the peace agreement</w:t>
            </w:r>
            <w:r w:rsidRPr="003E2544">
              <w:rPr>
                <w:rFonts w:ascii="Verdana" w:eastAsia="Verdana" w:hAnsi="Verdana" w:cs="Verdana"/>
                <w:color w:val="auto"/>
                <w:sz w:val="16"/>
                <w:szCs w:val="16"/>
              </w:rPr>
              <w:t xml:space="preserve">, through </w:t>
            </w:r>
            <w:r w:rsidR="28866220" w:rsidRPr="003E2544">
              <w:rPr>
                <w:rFonts w:ascii="Verdana" w:eastAsia="Verdana" w:hAnsi="Verdana" w:cs="Verdana"/>
                <w:color w:val="auto"/>
                <w:sz w:val="16"/>
                <w:szCs w:val="16"/>
              </w:rPr>
              <w:t>provision of targeted technical assistance and strengthened dialogue between economic management institutions.</w:t>
            </w:r>
          </w:p>
        </w:tc>
        <w:tc>
          <w:tcPr>
            <w:tcW w:w="1546" w:type="dxa"/>
            <w:vAlign w:val="center"/>
          </w:tcPr>
          <w:p w14:paraId="48050FE3" w14:textId="1ED1C5B7" w:rsidR="79564FBF" w:rsidRPr="003E2544" w:rsidRDefault="79564FBF"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UNDP</w:t>
            </w:r>
          </w:p>
        </w:tc>
        <w:tc>
          <w:tcPr>
            <w:tcW w:w="1634" w:type="dxa"/>
            <w:vAlign w:val="center"/>
          </w:tcPr>
          <w:p w14:paraId="1A3B1860" w14:textId="076694ED" w:rsidR="79564FBF" w:rsidRPr="003E2544" w:rsidRDefault="79564FBF"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N/A</w:t>
            </w:r>
          </w:p>
        </w:tc>
        <w:tc>
          <w:tcPr>
            <w:tcW w:w="1537" w:type="dxa"/>
            <w:vAlign w:val="center"/>
          </w:tcPr>
          <w:p w14:paraId="0BE8E5CE" w14:textId="41D4F6CF" w:rsidR="241EFCDD" w:rsidRPr="003E2544" w:rsidRDefault="241EFCDD" w:rsidP="00245274">
            <w:pPr>
              <w:spacing w:line="240" w:lineRule="auto"/>
              <w:rPr>
                <w:rFonts w:ascii="Verdana" w:eastAsia="Times New Roman" w:hAnsi="Verdana" w:cs="Times New Roman"/>
                <w:color w:val="auto"/>
                <w:sz w:val="16"/>
                <w:szCs w:val="16"/>
                <w:lang w:eastAsia="en-GB"/>
              </w:rPr>
            </w:pPr>
          </w:p>
          <w:p w14:paraId="07770020" w14:textId="5A1A9349" w:rsidR="05DF6CE8" w:rsidRPr="003E2544" w:rsidRDefault="05DF6CE8"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Government of Norway</w:t>
            </w:r>
          </w:p>
        </w:tc>
        <w:tc>
          <w:tcPr>
            <w:tcW w:w="2499" w:type="dxa"/>
            <w:vAlign w:val="center"/>
          </w:tcPr>
          <w:p w14:paraId="4EE1D261" w14:textId="5325DBD3" w:rsidR="79564FBF" w:rsidRPr="003E2544" w:rsidRDefault="79564FBF"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 xml:space="preserve">Kamil Kamaluddeen </w:t>
            </w:r>
          </w:p>
          <w:p w14:paraId="3C1AE8EC" w14:textId="00A48264" w:rsidR="79564FBF" w:rsidRPr="003E2544" w:rsidRDefault="79564FBF"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Resident Representative</w:t>
            </w:r>
          </w:p>
          <w:p w14:paraId="279DEF67" w14:textId="5F0F62B4" w:rsidR="79564FBF" w:rsidRPr="003E2544" w:rsidRDefault="79564FBF"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UNDP South Sudan</w:t>
            </w:r>
          </w:p>
          <w:p w14:paraId="66355FF0" w14:textId="2BC4E708" w:rsidR="79564FBF" w:rsidRPr="003E2544" w:rsidRDefault="007D2ED2" w:rsidP="00245274">
            <w:pPr>
              <w:spacing w:line="240" w:lineRule="auto"/>
              <w:jc w:val="both"/>
              <w:rPr>
                <w:rStyle w:val="Hyperlink"/>
                <w:rFonts w:ascii="Verdana" w:hAnsi="Verdana"/>
                <w:color w:val="auto"/>
                <w:sz w:val="16"/>
                <w:szCs w:val="16"/>
              </w:rPr>
            </w:pPr>
            <w:hyperlink r:id="rId27" w:history="1">
              <w:r w:rsidR="0600D9E7" w:rsidRPr="003E2544">
                <w:rPr>
                  <w:rStyle w:val="Hyperlink"/>
                  <w:rFonts w:ascii="Verdana" w:hAnsi="Verdana"/>
                  <w:color w:val="auto"/>
                  <w:sz w:val="16"/>
                  <w:szCs w:val="16"/>
                </w:rPr>
                <w:t>kamil.kamaluddeen@undp.org</w:t>
              </w:r>
            </w:hyperlink>
          </w:p>
          <w:p w14:paraId="565184C1" w14:textId="7E284EB5" w:rsidR="79564FBF" w:rsidRPr="003E2544" w:rsidRDefault="0600D9E7" w:rsidP="00245274">
            <w:pPr>
              <w:spacing w:line="240" w:lineRule="auto"/>
              <w:jc w:val="both"/>
              <w:rPr>
                <w:rFonts w:ascii="Verdana" w:hAnsi="Verdana"/>
                <w:color w:val="auto"/>
                <w:sz w:val="16"/>
                <w:szCs w:val="16"/>
              </w:rPr>
            </w:pPr>
            <w:r w:rsidRPr="003E2544">
              <w:rPr>
                <w:rFonts w:ascii="Verdana" w:hAnsi="Verdana"/>
                <w:color w:val="auto"/>
                <w:sz w:val="16"/>
                <w:szCs w:val="16"/>
              </w:rPr>
              <w:t xml:space="preserve"> </w:t>
            </w:r>
          </w:p>
          <w:p w14:paraId="3EE7F9B8" w14:textId="5598F223" w:rsidR="79564FBF" w:rsidRPr="003E2544" w:rsidRDefault="0600D9E7" w:rsidP="00245274">
            <w:pPr>
              <w:spacing w:line="240" w:lineRule="auto"/>
              <w:jc w:val="both"/>
              <w:rPr>
                <w:rFonts w:ascii="Verdana" w:hAnsi="Verdana"/>
                <w:color w:val="auto"/>
                <w:sz w:val="16"/>
                <w:szCs w:val="16"/>
              </w:rPr>
            </w:pPr>
            <w:r w:rsidRPr="003E2544">
              <w:rPr>
                <w:rFonts w:ascii="Verdana" w:hAnsi="Verdana"/>
                <w:color w:val="auto"/>
                <w:sz w:val="16"/>
                <w:szCs w:val="16"/>
              </w:rPr>
              <w:t xml:space="preserve">Chrysantus Ayangafac </w:t>
            </w:r>
          </w:p>
          <w:p w14:paraId="055E05F4" w14:textId="2CCD5B08" w:rsidR="79564FBF" w:rsidRPr="003E2544" w:rsidRDefault="79564FBF" w:rsidP="00245274">
            <w:pPr>
              <w:spacing w:line="240" w:lineRule="auto"/>
              <w:jc w:val="both"/>
              <w:rPr>
                <w:rFonts w:ascii="Verdana" w:eastAsia="Verdana" w:hAnsi="Verdana" w:cs="Verdana"/>
                <w:color w:val="auto"/>
                <w:sz w:val="16"/>
                <w:szCs w:val="16"/>
              </w:rPr>
            </w:pPr>
            <w:r w:rsidRPr="003E2544">
              <w:rPr>
                <w:rFonts w:ascii="Verdana" w:eastAsia="Verdana" w:hAnsi="Verdana" w:cs="Verdana"/>
                <w:color w:val="auto"/>
                <w:sz w:val="16"/>
                <w:szCs w:val="16"/>
              </w:rPr>
              <w:t>Governance Advisor UNDP South Sudan</w:t>
            </w:r>
          </w:p>
          <w:p w14:paraId="023F6AA6" w14:textId="3BDFF25A" w:rsidR="79564FBF" w:rsidRPr="003E2544" w:rsidRDefault="007D2ED2" w:rsidP="00245274">
            <w:pPr>
              <w:spacing w:line="240" w:lineRule="auto"/>
              <w:jc w:val="both"/>
              <w:rPr>
                <w:rStyle w:val="Hyperlink"/>
                <w:rFonts w:ascii="Verdana" w:eastAsia="Verdana" w:hAnsi="Verdana" w:cs="Verdana"/>
                <w:color w:val="auto"/>
                <w:sz w:val="16"/>
                <w:szCs w:val="16"/>
              </w:rPr>
            </w:pPr>
            <w:hyperlink r:id="rId28" w:history="1">
              <w:r w:rsidR="79564FBF" w:rsidRPr="003E2544">
                <w:rPr>
                  <w:rStyle w:val="Hyperlink"/>
                  <w:rFonts w:ascii="Verdana" w:eastAsia="Verdana" w:hAnsi="Verdana" w:cs="Verdana"/>
                  <w:color w:val="auto"/>
                  <w:sz w:val="16"/>
                  <w:szCs w:val="16"/>
                </w:rPr>
                <w:t>chrysantus.ayangafac@undp.org</w:t>
              </w:r>
            </w:hyperlink>
          </w:p>
        </w:tc>
      </w:tr>
      <w:tr w:rsidR="004D6855" w:rsidRPr="003E2544" w14:paraId="6D0A34D6" w14:textId="77777777" w:rsidTr="004D6855">
        <w:trPr>
          <w:jc w:val="center"/>
        </w:trPr>
        <w:tc>
          <w:tcPr>
            <w:tcW w:w="2208" w:type="dxa"/>
            <w:vAlign w:val="center"/>
          </w:tcPr>
          <w:p w14:paraId="47C1CC53" w14:textId="1E3AA8A7" w:rsidR="00272BF8" w:rsidRPr="003E2544" w:rsidRDefault="002E1A7F"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lastRenderedPageBreak/>
              <w:t xml:space="preserve">Citizens’ Engagement and Budget Transparency </w:t>
            </w:r>
            <w:r w:rsidR="00C16381" w:rsidRPr="003E2544">
              <w:rPr>
                <w:rFonts w:ascii="Verdana" w:eastAsia="Times New Roman" w:hAnsi="Verdana" w:cs="Times New Roman"/>
                <w:color w:val="auto"/>
                <w:sz w:val="16"/>
                <w:szCs w:val="16"/>
                <w:lang w:eastAsia="en-GB"/>
              </w:rPr>
              <w:t xml:space="preserve">on education </w:t>
            </w:r>
          </w:p>
        </w:tc>
        <w:tc>
          <w:tcPr>
            <w:tcW w:w="1875" w:type="dxa"/>
            <w:vAlign w:val="center"/>
          </w:tcPr>
          <w:p w14:paraId="70C872A7" w14:textId="791F2004" w:rsidR="00272BF8" w:rsidRPr="003E2544" w:rsidRDefault="00125773"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Public pressure to government on importance of funds for SDG 4. Citizens’ including school-aged children and young people engaged in advocacy for increased allocation and spending on education </w:t>
            </w:r>
          </w:p>
        </w:tc>
        <w:tc>
          <w:tcPr>
            <w:tcW w:w="2106" w:type="dxa"/>
            <w:vAlign w:val="center"/>
          </w:tcPr>
          <w:p w14:paraId="54E3688D" w14:textId="78F4D844" w:rsidR="00272BF8" w:rsidRPr="003E2544" w:rsidRDefault="002E1A7F"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Supports the citizens’ engagement and budget transparency around the Education</w:t>
            </w:r>
            <w:r w:rsidR="00C16381" w:rsidRPr="003E2544">
              <w:rPr>
                <w:rFonts w:ascii="Verdana" w:eastAsia="Times New Roman" w:hAnsi="Verdana" w:cs="Times New Roman"/>
                <w:color w:val="auto"/>
                <w:sz w:val="16"/>
                <w:szCs w:val="16"/>
                <w:lang w:eastAsia="en-GB"/>
              </w:rPr>
              <w:t xml:space="preserve"> sector </w:t>
            </w:r>
            <w:r w:rsidRPr="003E2544">
              <w:rPr>
                <w:rFonts w:ascii="Verdana" w:eastAsia="Times New Roman" w:hAnsi="Verdana" w:cs="Times New Roman"/>
                <w:color w:val="auto"/>
                <w:sz w:val="16"/>
                <w:szCs w:val="16"/>
                <w:lang w:eastAsia="en-GB"/>
              </w:rPr>
              <w:t xml:space="preserve"> </w:t>
            </w:r>
          </w:p>
        </w:tc>
        <w:tc>
          <w:tcPr>
            <w:tcW w:w="1546" w:type="dxa"/>
            <w:vAlign w:val="center"/>
          </w:tcPr>
          <w:p w14:paraId="332EDB0A" w14:textId="536D53E3" w:rsidR="00272BF8" w:rsidRPr="003E2544" w:rsidRDefault="00D0513D"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UNICEF</w:t>
            </w:r>
          </w:p>
        </w:tc>
        <w:tc>
          <w:tcPr>
            <w:tcW w:w="1634" w:type="dxa"/>
            <w:vAlign w:val="center"/>
          </w:tcPr>
          <w:p w14:paraId="2795E51A" w14:textId="318FC51B" w:rsidR="00272BF8" w:rsidRPr="003E2544" w:rsidRDefault="002E1A7F"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Global Partnership on Education (GPE)</w:t>
            </w:r>
          </w:p>
        </w:tc>
        <w:tc>
          <w:tcPr>
            <w:tcW w:w="1537" w:type="dxa"/>
            <w:vAlign w:val="center"/>
          </w:tcPr>
          <w:p w14:paraId="3C82E173" w14:textId="57564707" w:rsidR="00272BF8" w:rsidRPr="003E2544" w:rsidRDefault="002E1A7F"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GPE specific on education sector; other UNICEF funding sources  </w:t>
            </w:r>
          </w:p>
        </w:tc>
        <w:tc>
          <w:tcPr>
            <w:tcW w:w="2499" w:type="dxa"/>
            <w:vAlign w:val="center"/>
          </w:tcPr>
          <w:p w14:paraId="26EC2BCE" w14:textId="7E1CFB6C" w:rsidR="00E932B0" w:rsidRPr="003E2544" w:rsidRDefault="00E932B0"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Mohamed Ayoya</w:t>
            </w:r>
          </w:p>
          <w:p w14:paraId="38E6548C" w14:textId="07A1C87B" w:rsidR="00E932B0" w:rsidRPr="003E2544" w:rsidRDefault="00E932B0"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Representative</w:t>
            </w:r>
          </w:p>
          <w:p w14:paraId="6494DB17" w14:textId="5AA3E2EE" w:rsidR="00E932B0" w:rsidRPr="003E2544" w:rsidRDefault="007D2ED2" w:rsidP="00245274">
            <w:pPr>
              <w:spacing w:line="240" w:lineRule="auto"/>
              <w:rPr>
                <w:rFonts w:ascii="Verdana" w:eastAsia="Times New Roman" w:hAnsi="Verdana" w:cs="Times New Roman"/>
                <w:color w:val="auto"/>
                <w:sz w:val="16"/>
                <w:szCs w:val="16"/>
                <w:lang w:eastAsia="en-GB"/>
              </w:rPr>
            </w:pPr>
            <w:hyperlink r:id="rId29" w:history="1">
              <w:r w:rsidR="00E932B0" w:rsidRPr="003E2544">
                <w:rPr>
                  <w:rStyle w:val="Hyperlink"/>
                  <w:rFonts w:ascii="Verdana" w:eastAsia="Times New Roman" w:hAnsi="Verdana" w:cs="Times New Roman"/>
                  <w:color w:val="auto"/>
                  <w:sz w:val="16"/>
                  <w:szCs w:val="16"/>
                  <w:lang w:eastAsia="en-GB"/>
                </w:rPr>
                <w:t>mayoya@unicef.org</w:t>
              </w:r>
            </w:hyperlink>
            <w:r w:rsidR="00E932B0" w:rsidRPr="003E2544">
              <w:rPr>
                <w:rFonts w:ascii="Verdana" w:eastAsia="Times New Roman" w:hAnsi="Verdana" w:cs="Times New Roman"/>
                <w:color w:val="auto"/>
                <w:sz w:val="16"/>
                <w:szCs w:val="16"/>
                <w:lang w:eastAsia="en-GB"/>
              </w:rPr>
              <w:t xml:space="preserve"> </w:t>
            </w:r>
          </w:p>
          <w:p w14:paraId="5C45AD49" w14:textId="77777777" w:rsidR="00E932B0" w:rsidRPr="003E2544" w:rsidRDefault="00E932B0" w:rsidP="00245274">
            <w:pPr>
              <w:spacing w:line="240" w:lineRule="auto"/>
              <w:rPr>
                <w:rFonts w:ascii="Verdana" w:eastAsia="Times New Roman" w:hAnsi="Verdana" w:cs="Times New Roman"/>
                <w:color w:val="auto"/>
                <w:sz w:val="16"/>
                <w:szCs w:val="16"/>
                <w:lang w:eastAsia="en-GB"/>
              </w:rPr>
            </w:pPr>
          </w:p>
          <w:p w14:paraId="4FF950A2" w14:textId="41494CB6" w:rsidR="00272BF8" w:rsidRPr="003E2544" w:rsidRDefault="3D02DAA5"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Hyun Hee Ban, Chief Social Policy, PME, UNICEF  </w:t>
            </w:r>
            <w:hyperlink r:id="rId30" w:history="1">
              <w:r w:rsidR="00382CFA" w:rsidRPr="003E2544">
                <w:rPr>
                  <w:rStyle w:val="Hyperlink"/>
                  <w:rFonts w:ascii="Verdana" w:eastAsia="Times New Roman" w:hAnsi="Verdana" w:cs="Times New Roman"/>
                  <w:color w:val="auto"/>
                  <w:sz w:val="16"/>
                  <w:szCs w:val="16"/>
                  <w:lang w:eastAsia="en-GB"/>
                </w:rPr>
                <w:t>hban@unicef.org</w:t>
              </w:r>
            </w:hyperlink>
          </w:p>
          <w:p w14:paraId="23B43C13" w14:textId="77777777" w:rsidR="00382CFA" w:rsidRPr="003E2544" w:rsidRDefault="00382CFA" w:rsidP="00245274">
            <w:pPr>
              <w:spacing w:line="240" w:lineRule="auto"/>
              <w:rPr>
                <w:rFonts w:ascii="Verdana" w:eastAsia="Times New Roman" w:hAnsi="Verdana" w:cs="Times New Roman"/>
                <w:color w:val="auto"/>
                <w:sz w:val="16"/>
                <w:szCs w:val="16"/>
                <w:lang w:eastAsia="en-GB"/>
              </w:rPr>
            </w:pPr>
          </w:p>
          <w:p w14:paraId="42B62F91" w14:textId="6E7BF007" w:rsidR="004411EE" w:rsidRPr="003E2544" w:rsidRDefault="3D02DAA5"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Eliaba Damundu, Social Policy Specialist, UNICEF</w:t>
            </w:r>
          </w:p>
          <w:p w14:paraId="040FCBCD" w14:textId="214F0E8B" w:rsidR="004411EE" w:rsidRPr="003E2544" w:rsidRDefault="007D2ED2" w:rsidP="00245274">
            <w:pPr>
              <w:spacing w:line="240" w:lineRule="auto"/>
              <w:rPr>
                <w:rFonts w:ascii="Verdana" w:eastAsia="Times New Roman" w:hAnsi="Verdana" w:cs="Times New Roman"/>
                <w:color w:val="auto"/>
                <w:sz w:val="16"/>
                <w:szCs w:val="16"/>
                <w:lang w:eastAsia="en-GB"/>
              </w:rPr>
            </w:pPr>
            <w:hyperlink r:id="rId31">
              <w:r w:rsidR="3D02DAA5" w:rsidRPr="003E2544">
                <w:rPr>
                  <w:rStyle w:val="Hyperlink"/>
                  <w:rFonts w:ascii="Verdana" w:eastAsia="Times New Roman" w:hAnsi="Verdana" w:cs="Times New Roman"/>
                  <w:color w:val="auto"/>
                  <w:sz w:val="16"/>
                  <w:szCs w:val="16"/>
                  <w:lang w:eastAsia="en-GB"/>
                </w:rPr>
                <w:t>edamundu@unicef.org</w:t>
              </w:r>
            </w:hyperlink>
            <w:r w:rsidR="3D02DAA5" w:rsidRPr="003E2544">
              <w:rPr>
                <w:rFonts w:ascii="Verdana" w:eastAsia="Times New Roman" w:hAnsi="Verdana" w:cs="Times New Roman"/>
                <w:color w:val="auto"/>
                <w:sz w:val="16"/>
                <w:szCs w:val="16"/>
                <w:lang w:eastAsia="en-GB"/>
              </w:rPr>
              <w:t xml:space="preserve"> </w:t>
            </w:r>
          </w:p>
        </w:tc>
      </w:tr>
      <w:tr w:rsidR="004D6855" w:rsidRPr="003E2544" w14:paraId="7737CCDE" w14:textId="77777777" w:rsidTr="004D6855">
        <w:trPr>
          <w:jc w:val="center"/>
        </w:trPr>
        <w:tc>
          <w:tcPr>
            <w:tcW w:w="2208" w:type="dxa"/>
            <w:vAlign w:val="center"/>
          </w:tcPr>
          <w:p w14:paraId="3B99ECE1" w14:textId="0C34B8C8" w:rsidR="00272BF8" w:rsidRPr="003E2544" w:rsidRDefault="002E1A7F"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Public Expenditure Review (PER), Public Expenditure Tracking Survey (PETS) on education sector </w:t>
            </w:r>
          </w:p>
        </w:tc>
        <w:tc>
          <w:tcPr>
            <w:tcW w:w="1875" w:type="dxa"/>
            <w:vAlign w:val="center"/>
          </w:tcPr>
          <w:p w14:paraId="1B214663" w14:textId="17414C4D" w:rsidR="00272BF8" w:rsidRPr="003E2544" w:rsidRDefault="00125773"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Complementary e</w:t>
            </w:r>
            <w:r w:rsidR="00DC447A" w:rsidRPr="003E2544">
              <w:rPr>
                <w:rFonts w:ascii="Verdana" w:eastAsia="Times New Roman" w:hAnsi="Verdana" w:cs="Times New Roman"/>
                <w:color w:val="auto"/>
                <w:sz w:val="16"/>
                <w:szCs w:val="16"/>
                <w:lang w:eastAsia="en-GB"/>
              </w:rPr>
              <w:t xml:space="preserve">vidence on </w:t>
            </w:r>
            <w:r w:rsidRPr="003E2544">
              <w:rPr>
                <w:rFonts w:ascii="Verdana" w:eastAsia="Times New Roman" w:hAnsi="Verdana" w:cs="Times New Roman"/>
                <w:color w:val="auto"/>
                <w:sz w:val="16"/>
                <w:szCs w:val="16"/>
                <w:lang w:eastAsia="en-GB"/>
              </w:rPr>
              <w:t xml:space="preserve">SDG4 </w:t>
            </w:r>
            <w:r w:rsidR="00DC447A" w:rsidRPr="003E2544">
              <w:rPr>
                <w:rFonts w:ascii="Verdana" w:eastAsia="Times New Roman" w:hAnsi="Verdana" w:cs="Times New Roman"/>
                <w:color w:val="auto"/>
                <w:sz w:val="16"/>
                <w:szCs w:val="16"/>
                <w:lang w:eastAsia="en-GB"/>
              </w:rPr>
              <w:t>education sector allocation and spending trends and flows</w:t>
            </w:r>
            <w:r w:rsidRPr="003E2544">
              <w:rPr>
                <w:rFonts w:ascii="Verdana" w:eastAsia="Times New Roman" w:hAnsi="Verdana" w:cs="Times New Roman"/>
                <w:color w:val="auto"/>
                <w:sz w:val="16"/>
                <w:szCs w:val="16"/>
                <w:lang w:eastAsia="en-GB"/>
              </w:rPr>
              <w:t xml:space="preserve"> generated for strengthened education sector plans </w:t>
            </w:r>
          </w:p>
        </w:tc>
        <w:tc>
          <w:tcPr>
            <w:tcW w:w="2106" w:type="dxa"/>
            <w:vAlign w:val="center"/>
          </w:tcPr>
          <w:p w14:paraId="669604DA" w14:textId="55ECB299" w:rsidR="00272BF8" w:rsidRPr="003E2544" w:rsidRDefault="002E1A7F"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Provides evidence on the funding flows in the education sector, which is one of the key social services sector where the JP targets increased allocation and expenditures. </w:t>
            </w:r>
          </w:p>
        </w:tc>
        <w:tc>
          <w:tcPr>
            <w:tcW w:w="1546" w:type="dxa"/>
            <w:vAlign w:val="center"/>
          </w:tcPr>
          <w:p w14:paraId="24450493" w14:textId="54A3D26F" w:rsidR="00272BF8" w:rsidRPr="003E2544" w:rsidRDefault="002E1A7F"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UNICEF </w:t>
            </w:r>
          </w:p>
        </w:tc>
        <w:tc>
          <w:tcPr>
            <w:tcW w:w="1634" w:type="dxa"/>
            <w:vAlign w:val="center"/>
          </w:tcPr>
          <w:p w14:paraId="06CD4C07" w14:textId="4E707102" w:rsidR="00272BF8" w:rsidRPr="003E2544" w:rsidRDefault="002E1A7F"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Global Partnership on Education (GPE) </w:t>
            </w:r>
          </w:p>
        </w:tc>
        <w:tc>
          <w:tcPr>
            <w:tcW w:w="1537" w:type="dxa"/>
            <w:vAlign w:val="center"/>
          </w:tcPr>
          <w:p w14:paraId="0CEA6D1B" w14:textId="0AABFC7F" w:rsidR="00272BF8" w:rsidRPr="003E2544" w:rsidRDefault="002E1A7F"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GPE </w:t>
            </w:r>
          </w:p>
        </w:tc>
        <w:tc>
          <w:tcPr>
            <w:tcW w:w="2499" w:type="dxa"/>
            <w:vAlign w:val="center"/>
          </w:tcPr>
          <w:p w14:paraId="7307E6BF" w14:textId="77777777" w:rsidR="00E932B0" w:rsidRPr="003E2544" w:rsidRDefault="00E932B0"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Mohamed Ayoya</w:t>
            </w:r>
          </w:p>
          <w:p w14:paraId="112C2CEB" w14:textId="77777777" w:rsidR="00E932B0" w:rsidRPr="003E2544" w:rsidRDefault="00E932B0"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Representative</w:t>
            </w:r>
          </w:p>
          <w:p w14:paraId="66C3ECD7" w14:textId="77777777" w:rsidR="00E932B0" w:rsidRPr="003E2544" w:rsidRDefault="007D2ED2" w:rsidP="00245274">
            <w:pPr>
              <w:spacing w:line="240" w:lineRule="auto"/>
              <w:rPr>
                <w:rFonts w:ascii="Verdana" w:eastAsia="Times New Roman" w:hAnsi="Verdana" w:cs="Times New Roman"/>
                <w:color w:val="auto"/>
                <w:sz w:val="16"/>
                <w:szCs w:val="16"/>
                <w:lang w:eastAsia="en-GB"/>
              </w:rPr>
            </w:pPr>
            <w:hyperlink r:id="rId32" w:history="1">
              <w:r w:rsidR="00E932B0" w:rsidRPr="003E2544">
                <w:rPr>
                  <w:rStyle w:val="Hyperlink"/>
                  <w:rFonts w:ascii="Verdana" w:eastAsia="Times New Roman" w:hAnsi="Verdana" w:cs="Times New Roman"/>
                  <w:color w:val="auto"/>
                  <w:sz w:val="16"/>
                  <w:szCs w:val="16"/>
                  <w:lang w:eastAsia="en-GB"/>
                </w:rPr>
                <w:t>mayoya@unicef.org</w:t>
              </w:r>
            </w:hyperlink>
            <w:r w:rsidR="00E932B0" w:rsidRPr="003E2544">
              <w:rPr>
                <w:rFonts w:ascii="Verdana" w:eastAsia="Times New Roman" w:hAnsi="Verdana" w:cs="Times New Roman"/>
                <w:color w:val="auto"/>
                <w:sz w:val="16"/>
                <w:szCs w:val="16"/>
                <w:lang w:eastAsia="en-GB"/>
              </w:rPr>
              <w:t xml:space="preserve"> </w:t>
            </w:r>
          </w:p>
          <w:p w14:paraId="0D939D58" w14:textId="77777777" w:rsidR="00E932B0" w:rsidRPr="003E2544" w:rsidRDefault="00E932B0" w:rsidP="00245274">
            <w:pPr>
              <w:spacing w:line="240" w:lineRule="auto"/>
              <w:rPr>
                <w:rFonts w:ascii="Verdana" w:eastAsia="Times New Roman" w:hAnsi="Verdana" w:cs="Times New Roman"/>
                <w:color w:val="auto"/>
                <w:sz w:val="16"/>
                <w:szCs w:val="16"/>
                <w:lang w:eastAsia="en-GB"/>
              </w:rPr>
            </w:pPr>
          </w:p>
          <w:p w14:paraId="5385F01C" w14:textId="77777777" w:rsidR="00382CFA" w:rsidRPr="003E2544" w:rsidRDefault="3D02DAA5"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Pawan Kucita, Chief, Education, UNICEF </w:t>
            </w:r>
          </w:p>
          <w:p w14:paraId="5358254E" w14:textId="32429853" w:rsidR="00272BF8" w:rsidRPr="003E2544" w:rsidRDefault="007D2ED2" w:rsidP="00245274">
            <w:pPr>
              <w:spacing w:line="240" w:lineRule="auto"/>
              <w:rPr>
                <w:rFonts w:ascii="Verdana" w:eastAsia="Times New Roman" w:hAnsi="Verdana" w:cs="Times New Roman"/>
                <w:color w:val="auto"/>
                <w:sz w:val="16"/>
                <w:szCs w:val="16"/>
                <w:lang w:eastAsia="en-GB"/>
              </w:rPr>
            </w:pPr>
            <w:hyperlink r:id="rId33" w:history="1">
              <w:r w:rsidR="00382CFA" w:rsidRPr="003E2544">
                <w:rPr>
                  <w:rStyle w:val="Hyperlink"/>
                  <w:rFonts w:ascii="Verdana" w:eastAsia="Times New Roman" w:hAnsi="Verdana" w:cs="Times New Roman"/>
                  <w:color w:val="auto"/>
                  <w:sz w:val="16"/>
                  <w:szCs w:val="16"/>
                  <w:lang w:eastAsia="en-GB"/>
                </w:rPr>
                <w:t>pkucita@unicef.org</w:t>
              </w:r>
            </w:hyperlink>
            <w:r w:rsidR="3D02DAA5" w:rsidRPr="003E2544">
              <w:rPr>
                <w:rFonts w:ascii="Verdana" w:eastAsia="Times New Roman" w:hAnsi="Verdana" w:cs="Times New Roman"/>
                <w:color w:val="auto"/>
                <w:sz w:val="16"/>
                <w:szCs w:val="16"/>
                <w:lang w:eastAsia="en-GB"/>
              </w:rPr>
              <w:t xml:space="preserve"> </w:t>
            </w:r>
          </w:p>
          <w:p w14:paraId="370B12FE" w14:textId="77777777" w:rsidR="00CE01F2" w:rsidRPr="003E2544" w:rsidRDefault="00CE01F2" w:rsidP="00245274">
            <w:pPr>
              <w:spacing w:line="240" w:lineRule="auto"/>
              <w:rPr>
                <w:rFonts w:ascii="Verdana" w:eastAsia="Times New Roman" w:hAnsi="Verdana" w:cs="Times New Roman"/>
                <w:color w:val="auto"/>
                <w:sz w:val="16"/>
                <w:szCs w:val="16"/>
                <w:lang w:eastAsia="en-GB"/>
              </w:rPr>
            </w:pPr>
          </w:p>
          <w:p w14:paraId="5F71B081" w14:textId="77777777" w:rsidR="00CE01F2" w:rsidRPr="003E2544" w:rsidRDefault="00CE01F2"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Bob </w:t>
            </w:r>
            <w:proofErr w:type="spellStart"/>
            <w:r w:rsidRPr="003E2544">
              <w:rPr>
                <w:rFonts w:ascii="Verdana" w:eastAsia="Times New Roman" w:hAnsi="Verdana" w:cs="Times New Roman"/>
                <w:color w:val="auto"/>
                <w:sz w:val="16"/>
                <w:szCs w:val="16"/>
                <w:lang w:eastAsia="en-GB"/>
              </w:rPr>
              <w:t>Muchabaiwa</w:t>
            </w:r>
            <w:proofErr w:type="spellEnd"/>
            <w:r w:rsidRPr="003E2544">
              <w:rPr>
                <w:rFonts w:ascii="Verdana" w:eastAsia="Times New Roman" w:hAnsi="Verdana" w:cs="Times New Roman"/>
                <w:color w:val="auto"/>
                <w:sz w:val="16"/>
                <w:szCs w:val="16"/>
                <w:lang w:eastAsia="en-GB"/>
              </w:rPr>
              <w:t>, UNICEF ESARO PFM Specialist</w:t>
            </w:r>
          </w:p>
          <w:p w14:paraId="18686001" w14:textId="1DB75DA4" w:rsidR="001A5F68" w:rsidRPr="003E2544" w:rsidRDefault="00AF26A0" w:rsidP="00245274">
            <w:pPr>
              <w:spacing w:line="240" w:lineRule="auto"/>
              <w:rPr>
                <w:rFonts w:ascii="Verdana" w:eastAsia="Times New Roman" w:hAnsi="Verdana" w:cs="Times New Roman"/>
                <w:color w:val="auto"/>
                <w:sz w:val="16"/>
                <w:szCs w:val="16"/>
                <w:u w:val="single"/>
                <w:lang w:eastAsia="en-GB"/>
              </w:rPr>
            </w:pPr>
            <w:r w:rsidRPr="003E2544">
              <w:rPr>
                <w:rFonts w:ascii="Verdana" w:eastAsia="Times New Roman" w:hAnsi="Verdana" w:cs="Times New Roman"/>
                <w:color w:val="auto"/>
                <w:sz w:val="16"/>
                <w:szCs w:val="16"/>
                <w:u w:val="single"/>
                <w:lang w:eastAsia="en-GB"/>
              </w:rPr>
              <w:t>bmuchabaiwa@unicef.org</w:t>
            </w:r>
          </w:p>
        </w:tc>
      </w:tr>
      <w:tr w:rsidR="004D6855" w:rsidRPr="003E2544" w14:paraId="75C3E9CF" w14:textId="77777777" w:rsidTr="004D6855">
        <w:trPr>
          <w:jc w:val="center"/>
        </w:trPr>
        <w:tc>
          <w:tcPr>
            <w:tcW w:w="2208" w:type="dxa"/>
            <w:vAlign w:val="center"/>
          </w:tcPr>
          <w:p w14:paraId="06134F7C" w14:textId="22F7ECB8" w:rsidR="00C16381" w:rsidRPr="003E2544" w:rsidRDefault="00C16381"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Open Budget Survey (OBS) </w:t>
            </w:r>
          </w:p>
        </w:tc>
        <w:tc>
          <w:tcPr>
            <w:tcW w:w="1875" w:type="dxa"/>
            <w:vAlign w:val="center"/>
          </w:tcPr>
          <w:p w14:paraId="2DDCF47B" w14:textId="76B05EDF" w:rsidR="00C16381" w:rsidRPr="003E2544" w:rsidRDefault="00DC447A"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Improved budget transparency score. Independent and comparable measure of budget transparency within the region and globally </w:t>
            </w:r>
          </w:p>
        </w:tc>
        <w:tc>
          <w:tcPr>
            <w:tcW w:w="2106" w:type="dxa"/>
            <w:vAlign w:val="center"/>
          </w:tcPr>
          <w:p w14:paraId="109BE183" w14:textId="1DE74DBB" w:rsidR="00C16381" w:rsidRPr="003E2544" w:rsidRDefault="00C16381"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Supports the evidence around budget transparency to help improve accountability of PFM institutions </w:t>
            </w:r>
          </w:p>
        </w:tc>
        <w:tc>
          <w:tcPr>
            <w:tcW w:w="1546" w:type="dxa"/>
            <w:vAlign w:val="center"/>
          </w:tcPr>
          <w:p w14:paraId="4727155D" w14:textId="3096C147" w:rsidR="00C16381" w:rsidRPr="003E2544" w:rsidRDefault="00C16381"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UNICEF </w:t>
            </w:r>
          </w:p>
        </w:tc>
        <w:tc>
          <w:tcPr>
            <w:tcW w:w="1634" w:type="dxa"/>
            <w:vAlign w:val="center"/>
          </w:tcPr>
          <w:p w14:paraId="416B6228" w14:textId="691A8C90" w:rsidR="00C16381" w:rsidRPr="003E2544" w:rsidRDefault="00C16381"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International Budget Partnership (IBP), UNICEF Eastern and Southern Africa Regional Office (ESARO) </w:t>
            </w:r>
          </w:p>
        </w:tc>
        <w:tc>
          <w:tcPr>
            <w:tcW w:w="1537" w:type="dxa"/>
            <w:vAlign w:val="center"/>
          </w:tcPr>
          <w:p w14:paraId="4FA17C69" w14:textId="3410BBBC" w:rsidR="00C16381" w:rsidRPr="003E2544" w:rsidRDefault="00C16381"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UNICEF core resources</w:t>
            </w:r>
          </w:p>
        </w:tc>
        <w:tc>
          <w:tcPr>
            <w:tcW w:w="2499" w:type="dxa"/>
            <w:vAlign w:val="center"/>
          </w:tcPr>
          <w:p w14:paraId="5D0E560F" w14:textId="77777777" w:rsidR="00E932B0" w:rsidRPr="003E2544" w:rsidRDefault="00E932B0"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Mohamed Ayoya</w:t>
            </w:r>
          </w:p>
          <w:p w14:paraId="0A086262" w14:textId="77777777" w:rsidR="00E932B0" w:rsidRPr="003E2544" w:rsidRDefault="00E932B0"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Representative</w:t>
            </w:r>
          </w:p>
          <w:p w14:paraId="7EB2F069" w14:textId="77777777" w:rsidR="00E932B0" w:rsidRPr="003E2544" w:rsidRDefault="007D2ED2" w:rsidP="00245274">
            <w:pPr>
              <w:spacing w:line="240" w:lineRule="auto"/>
              <w:rPr>
                <w:rFonts w:ascii="Verdana" w:eastAsia="Times New Roman" w:hAnsi="Verdana" w:cs="Times New Roman"/>
                <w:color w:val="auto"/>
                <w:sz w:val="16"/>
                <w:szCs w:val="16"/>
                <w:lang w:eastAsia="en-GB"/>
              </w:rPr>
            </w:pPr>
            <w:hyperlink r:id="rId34" w:history="1">
              <w:r w:rsidR="00E932B0" w:rsidRPr="003E2544">
                <w:rPr>
                  <w:rStyle w:val="Hyperlink"/>
                  <w:rFonts w:ascii="Verdana" w:eastAsia="Times New Roman" w:hAnsi="Verdana" w:cs="Times New Roman"/>
                  <w:color w:val="auto"/>
                  <w:sz w:val="16"/>
                  <w:szCs w:val="16"/>
                  <w:lang w:eastAsia="en-GB"/>
                </w:rPr>
                <w:t>mayoya@unicef.org</w:t>
              </w:r>
            </w:hyperlink>
            <w:r w:rsidR="00E932B0" w:rsidRPr="003E2544">
              <w:rPr>
                <w:rFonts w:ascii="Verdana" w:eastAsia="Times New Roman" w:hAnsi="Verdana" w:cs="Times New Roman"/>
                <w:color w:val="auto"/>
                <w:sz w:val="16"/>
                <w:szCs w:val="16"/>
                <w:lang w:eastAsia="en-GB"/>
              </w:rPr>
              <w:t xml:space="preserve"> </w:t>
            </w:r>
          </w:p>
          <w:p w14:paraId="15FB1982" w14:textId="77777777" w:rsidR="00E932B0" w:rsidRPr="003E2544" w:rsidRDefault="00E932B0" w:rsidP="00245274">
            <w:pPr>
              <w:spacing w:line="240" w:lineRule="auto"/>
              <w:rPr>
                <w:rFonts w:ascii="Verdana" w:eastAsia="Times New Roman" w:hAnsi="Verdana" w:cs="Times New Roman"/>
                <w:color w:val="auto"/>
                <w:sz w:val="16"/>
                <w:szCs w:val="16"/>
                <w:lang w:eastAsia="en-GB"/>
              </w:rPr>
            </w:pPr>
          </w:p>
          <w:p w14:paraId="677D6EFB" w14:textId="4BB3C391" w:rsidR="00420758" w:rsidRPr="003E2544" w:rsidRDefault="58127CC5"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Hyun Hee Ban, Chief Social Policy, PME, UNICEF  </w:t>
            </w:r>
            <w:hyperlink r:id="rId35" w:history="1">
              <w:r w:rsidR="00382CFA" w:rsidRPr="003E2544">
                <w:rPr>
                  <w:rStyle w:val="Hyperlink"/>
                  <w:rFonts w:ascii="Verdana" w:eastAsia="Times New Roman" w:hAnsi="Verdana" w:cs="Times New Roman"/>
                  <w:color w:val="auto"/>
                  <w:sz w:val="16"/>
                  <w:szCs w:val="16"/>
                  <w:lang w:eastAsia="en-GB"/>
                </w:rPr>
                <w:t>hban@unicef.org</w:t>
              </w:r>
            </w:hyperlink>
          </w:p>
          <w:p w14:paraId="30BA3E01" w14:textId="77777777" w:rsidR="00382CFA" w:rsidRPr="003E2544" w:rsidRDefault="00382CFA" w:rsidP="00245274">
            <w:pPr>
              <w:spacing w:line="240" w:lineRule="auto"/>
              <w:rPr>
                <w:rFonts w:ascii="Verdana" w:eastAsia="Times New Roman" w:hAnsi="Verdana" w:cs="Times New Roman"/>
                <w:color w:val="auto"/>
                <w:sz w:val="16"/>
                <w:szCs w:val="16"/>
                <w:lang w:eastAsia="en-GB"/>
              </w:rPr>
            </w:pPr>
          </w:p>
          <w:p w14:paraId="521781DA" w14:textId="74C7D16D" w:rsidR="00420758" w:rsidRPr="003E2544" w:rsidRDefault="58127CC5"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Eliaba Damundu, Social Policy Specialist, UNICEF</w:t>
            </w:r>
          </w:p>
          <w:p w14:paraId="76A02529" w14:textId="77777777" w:rsidR="00C16381" w:rsidRPr="003E2544" w:rsidRDefault="007D2ED2" w:rsidP="00245274">
            <w:pPr>
              <w:spacing w:line="240" w:lineRule="auto"/>
              <w:rPr>
                <w:rFonts w:ascii="Verdana" w:eastAsia="Times New Roman" w:hAnsi="Verdana" w:cs="Times New Roman"/>
                <w:color w:val="auto"/>
                <w:sz w:val="16"/>
                <w:szCs w:val="16"/>
                <w:lang w:eastAsia="en-GB"/>
              </w:rPr>
            </w:pPr>
            <w:hyperlink r:id="rId36">
              <w:r w:rsidR="58127CC5" w:rsidRPr="003E2544">
                <w:rPr>
                  <w:rStyle w:val="Hyperlink"/>
                  <w:rFonts w:ascii="Verdana" w:eastAsia="Times New Roman" w:hAnsi="Verdana" w:cs="Times New Roman"/>
                  <w:color w:val="auto"/>
                  <w:sz w:val="16"/>
                  <w:szCs w:val="16"/>
                  <w:lang w:eastAsia="en-GB"/>
                </w:rPr>
                <w:t>edamundu@unicef.org</w:t>
              </w:r>
            </w:hyperlink>
          </w:p>
          <w:p w14:paraId="3E835D97" w14:textId="77777777" w:rsidR="00420758" w:rsidRPr="003E2544" w:rsidRDefault="00420758" w:rsidP="00245274">
            <w:pPr>
              <w:spacing w:line="240" w:lineRule="auto"/>
              <w:rPr>
                <w:rFonts w:ascii="Verdana" w:eastAsia="Times New Roman" w:hAnsi="Verdana" w:cs="Times New Roman"/>
                <w:color w:val="auto"/>
                <w:sz w:val="16"/>
                <w:szCs w:val="16"/>
                <w:lang w:eastAsia="en-GB"/>
              </w:rPr>
            </w:pPr>
          </w:p>
          <w:p w14:paraId="243C26CF" w14:textId="77777777" w:rsidR="00420758" w:rsidRPr="003E2544" w:rsidRDefault="00420758" w:rsidP="00245274">
            <w:pPr>
              <w:spacing w:line="240" w:lineRule="auto"/>
              <w:rPr>
                <w:rFonts w:ascii="Verdana" w:eastAsia="Times New Roman" w:hAnsi="Verdana" w:cs="Times New Roman"/>
                <w:color w:val="auto"/>
                <w:sz w:val="16"/>
                <w:szCs w:val="16"/>
                <w:lang w:eastAsia="en-GB"/>
              </w:rPr>
            </w:pPr>
            <w:r w:rsidRPr="003E2544">
              <w:rPr>
                <w:rFonts w:ascii="Verdana" w:eastAsia="Times New Roman" w:hAnsi="Verdana" w:cs="Times New Roman"/>
                <w:color w:val="auto"/>
                <w:sz w:val="16"/>
                <w:szCs w:val="16"/>
                <w:lang w:eastAsia="en-GB"/>
              </w:rPr>
              <w:t xml:space="preserve">Matthew Cummins, Regional Social Policy Advisor, UNICEF ESARO </w:t>
            </w:r>
          </w:p>
          <w:p w14:paraId="012EA6DC" w14:textId="3B931FF4" w:rsidR="00420758" w:rsidRPr="003E2544" w:rsidRDefault="007D2ED2" w:rsidP="00245274">
            <w:pPr>
              <w:spacing w:line="240" w:lineRule="auto"/>
              <w:rPr>
                <w:rFonts w:ascii="Verdana" w:eastAsia="Times New Roman" w:hAnsi="Verdana" w:cs="Times New Roman"/>
                <w:color w:val="auto"/>
                <w:sz w:val="16"/>
                <w:szCs w:val="16"/>
                <w:lang w:eastAsia="en-GB"/>
              </w:rPr>
            </w:pPr>
            <w:hyperlink r:id="rId37">
              <w:r w:rsidR="58127CC5" w:rsidRPr="003E2544">
                <w:rPr>
                  <w:rStyle w:val="Hyperlink"/>
                  <w:rFonts w:ascii="Verdana" w:eastAsia="Times New Roman" w:hAnsi="Verdana" w:cs="Times New Roman"/>
                  <w:color w:val="auto"/>
                  <w:sz w:val="16"/>
                  <w:szCs w:val="16"/>
                  <w:lang w:eastAsia="en-GB"/>
                </w:rPr>
                <w:t>mcummins@unicef.org</w:t>
              </w:r>
            </w:hyperlink>
            <w:r w:rsidR="58127CC5" w:rsidRPr="003E2544">
              <w:rPr>
                <w:rFonts w:ascii="Verdana" w:eastAsia="Times New Roman" w:hAnsi="Verdana" w:cs="Times New Roman"/>
                <w:color w:val="auto"/>
                <w:sz w:val="16"/>
                <w:szCs w:val="16"/>
                <w:lang w:eastAsia="en-GB"/>
              </w:rPr>
              <w:t xml:space="preserve"> </w:t>
            </w:r>
          </w:p>
        </w:tc>
      </w:tr>
    </w:tbl>
    <w:p w14:paraId="45353F2A" w14:textId="327CCFDA" w:rsidR="008C5504" w:rsidRPr="003E2544" w:rsidRDefault="008C5504" w:rsidP="00245274">
      <w:pPr>
        <w:spacing w:line="240" w:lineRule="auto"/>
        <w:rPr>
          <w:rFonts w:ascii="Verdana" w:eastAsia="Times New Roman" w:hAnsi="Verdana" w:cs="Times New Roman"/>
          <w:b/>
          <w:color w:val="0070C0"/>
          <w:sz w:val="20"/>
          <w:szCs w:val="20"/>
          <w:lang w:eastAsia="en-GB"/>
        </w:rPr>
        <w:sectPr w:rsidR="008C5504" w:rsidRPr="003E2544" w:rsidSect="002173C0">
          <w:pgSz w:w="15840" w:h="12240" w:orient="landscape"/>
          <w:pgMar w:top="1440" w:right="1440" w:bottom="1440" w:left="1440" w:header="720" w:footer="720" w:gutter="0"/>
          <w:cols w:space="720"/>
          <w:titlePg/>
          <w:docGrid w:linePitch="360"/>
        </w:sectPr>
      </w:pPr>
    </w:p>
    <w:p w14:paraId="157FE895" w14:textId="2AC0E767" w:rsidR="00272BF8" w:rsidRPr="003E2544" w:rsidRDefault="008B40DC" w:rsidP="008B40DC">
      <w:pPr>
        <w:pStyle w:val="Heading2"/>
        <w:spacing w:line="240" w:lineRule="auto"/>
        <w:rPr>
          <w:lang w:eastAsia="en-GB"/>
        </w:rPr>
      </w:pPr>
      <w:r>
        <w:rPr>
          <w:lang w:eastAsia="en-GB"/>
        </w:rPr>
        <w:lastRenderedPageBreak/>
        <w:t xml:space="preserve">2. </w:t>
      </w:r>
      <w:r w:rsidR="00272BF8" w:rsidRPr="003E2544">
        <w:rPr>
          <w:lang w:eastAsia="en-GB"/>
        </w:rPr>
        <w:t xml:space="preserve">Results Framework </w:t>
      </w:r>
    </w:p>
    <w:p w14:paraId="670A6302" w14:textId="77777777" w:rsidR="00272BF8" w:rsidRPr="003E2544" w:rsidRDefault="00272BF8" w:rsidP="00245274">
      <w:pPr>
        <w:spacing w:line="240" w:lineRule="auto"/>
        <w:rPr>
          <w:rFonts w:ascii="Verdana" w:eastAsia="Times New Roman" w:hAnsi="Verdana" w:cs="Times New Roman"/>
          <w:color w:val="000000" w:themeColor="text1"/>
          <w:sz w:val="24"/>
          <w:szCs w:val="24"/>
          <w:lang w:eastAsia="en-GB"/>
        </w:rPr>
      </w:pPr>
    </w:p>
    <w:p w14:paraId="14853D7D" w14:textId="457A117E" w:rsidR="00272BF8" w:rsidRPr="003E2544" w:rsidRDefault="00272BF8" w:rsidP="00245274">
      <w:pPr>
        <w:spacing w:line="240" w:lineRule="auto"/>
        <w:contextualSpacing/>
        <w:rPr>
          <w:rFonts w:ascii="Verdana" w:eastAsia="Times New Roman" w:hAnsi="Verdana" w:cs="Times New Roman"/>
          <w:b/>
          <w:bCs/>
          <w:color w:val="0070C0"/>
          <w:sz w:val="20"/>
          <w:szCs w:val="24"/>
          <w:u w:val="single"/>
          <w:lang w:eastAsia="en-GB"/>
        </w:rPr>
      </w:pPr>
      <w:r w:rsidRPr="003E2544">
        <w:rPr>
          <w:rFonts w:ascii="Verdana" w:eastAsia="Times New Roman" w:hAnsi="Verdana" w:cs="Times New Roman"/>
          <w:b/>
          <w:bCs/>
          <w:color w:val="0070C0"/>
          <w:sz w:val="20"/>
          <w:szCs w:val="24"/>
          <w:u w:val="single"/>
          <w:lang w:eastAsia="en-GB"/>
        </w:rPr>
        <w:t>2.1. Targets for Joint SDG Fund Results Framework</w:t>
      </w:r>
    </w:p>
    <w:p w14:paraId="1E880625" w14:textId="77777777" w:rsidR="00272BF8" w:rsidRPr="003E2544" w:rsidRDefault="00272BF8" w:rsidP="00245274">
      <w:pPr>
        <w:spacing w:line="240" w:lineRule="auto"/>
        <w:rPr>
          <w:rFonts w:ascii="Verdana" w:eastAsia="Calibri" w:hAnsi="Verdana" w:cs="Times New Roman"/>
          <w:color w:val="000000" w:themeColor="text1"/>
          <w:sz w:val="18"/>
          <w:szCs w:val="18"/>
        </w:rPr>
      </w:pPr>
    </w:p>
    <w:p w14:paraId="63608DCF" w14:textId="77777777" w:rsidR="00272BF8" w:rsidRPr="003E2544" w:rsidRDefault="00272BF8" w:rsidP="00245274">
      <w:pPr>
        <w:spacing w:line="240" w:lineRule="auto"/>
        <w:rPr>
          <w:rFonts w:ascii="Verdana" w:eastAsiaTheme="majorEastAsia" w:hAnsi="Verdana" w:cs="Times New Roman"/>
          <w:bCs/>
          <w:color w:val="000000" w:themeColor="text1"/>
          <w:sz w:val="18"/>
          <w:szCs w:val="18"/>
        </w:rPr>
      </w:pPr>
      <w:r w:rsidRPr="003E2544">
        <w:rPr>
          <w:rFonts w:ascii="Verdana" w:eastAsiaTheme="majorEastAsia" w:hAnsi="Verdana" w:cs="Times New Roman"/>
          <w:b/>
          <w:color w:val="000000" w:themeColor="text1"/>
          <w:sz w:val="18"/>
          <w:szCs w:val="18"/>
        </w:rPr>
        <w:t xml:space="preserve">Joint SDG Fund Outcome 2: </w:t>
      </w:r>
      <w:r w:rsidRPr="003E2544">
        <w:rPr>
          <w:rFonts w:ascii="Verdana" w:eastAsiaTheme="majorEastAsia" w:hAnsi="Verdana" w:cs="Times New Roman"/>
          <w:bCs/>
          <w:color w:val="000000" w:themeColor="text1"/>
          <w:sz w:val="18"/>
          <w:szCs w:val="18"/>
        </w:rPr>
        <w:t>Additional financing leveraged to accelerate SDG achievement</w:t>
      </w:r>
    </w:p>
    <w:p w14:paraId="02082664" w14:textId="5A728186" w:rsidR="00272BF8" w:rsidRPr="003E2544" w:rsidRDefault="00272BF8" w:rsidP="00245274">
      <w:pPr>
        <w:spacing w:line="240" w:lineRule="auto"/>
        <w:rPr>
          <w:rFonts w:ascii="Verdana" w:eastAsia="Times New Roman" w:hAnsi="Verdana" w:cs="Times New Roman"/>
          <w:i/>
          <w:iCs/>
          <w:color w:val="C45911" w:themeColor="accent2" w:themeShade="BF"/>
          <w:sz w:val="18"/>
          <w:szCs w:val="18"/>
          <w:lang w:eastAsia="en-GB"/>
        </w:rPr>
      </w:pPr>
      <w:r w:rsidRPr="003E2544">
        <w:rPr>
          <w:rFonts w:ascii="Verdana" w:eastAsia="Times New Roman" w:hAnsi="Verdana" w:cs="Times New Roman"/>
          <w:i/>
          <w:iCs/>
          <w:color w:val="C45911" w:themeColor="accent2" w:themeShade="BF"/>
          <w:sz w:val="18"/>
          <w:szCs w:val="18"/>
          <w:lang w:eastAsia="en-GB"/>
        </w:rPr>
        <w:t>(set the targets, if relevant)</w:t>
      </w:r>
    </w:p>
    <w:tbl>
      <w:tblPr>
        <w:tblStyle w:val="TableGrid"/>
        <w:tblW w:w="0" w:type="auto"/>
        <w:tblLook w:val="04A0" w:firstRow="1" w:lastRow="0" w:firstColumn="1" w:lastColumn="0" w:noHBand="0" w:noVBand="1"/>
      </w:tblPr>
      <w:tblGrid>
        <w:gridCol w:w="6666"/>
        <w:gridCol w:w="1296"/>
        <w:gridCol w:w="1388"/>
      </w:tblGrid>
      <w:tr w:rsidR="00272BF8" w:rsidRPr="003E2544" w14:paraId="07B4317F" w14:textId="77777777" w:rsidTr="241EFCDD">
        <w:tc>
          <w:tcPr>
            <w:tcW w:w="0" w:type="auto"/>
            <w:vMerge w:val="restart"/>
            <w:shd w:val="clear" w:color="auto" w:fill="BDD6EE" w:themeFill="accent5" w:themeFillTint="66"/>
            <w:vAlign w:val="center"/>
          </w:tcPr>
          <w:p w14:paraId="0DB57D35" w14:textId="77777777" w:rsidR="00272BF8" w:rsidRPr="003E2544" w:rsidRDefault="00272BF8" w:rsidP="00245274">
            <w:pPr>
              <w:spacing w:line="240" w:lineRule="auto"/>
              <w:rPr>
                <w:rFonts w:ascii="Verdana" w:eastAsiaTheme="majorEastAsia" w:hAnsi="Verdana" w:cs="Times New Roman"/>
                <w:b/>
                <w:color w:val="000000" w:themeColor="text1"/>
                <w:sz w:val="18"/>
                <w:szCs w:val="18"/>
              </w:rPr>
            </w:pPr>
            <w:r w:rsidRPr="003E2544">
              <w:rPr>
                <w:rFonts w:ascii="Verdana" w:eastAsiaTheme="majorEastAsia" w:hAnsi="Verdana" w:cs="Times New Roman"/>
                <w:b/>
                <w:color w:val="000000" w:themeColor="text1"/>
                <w:sz w:val="18"/>
                <w:szCs w:val="18"/>
              </w:rPr>
              <w:t>Indicators</w:t>
            </w:r>
          </w:p>
        </w:tc>
        <w:tc>
          <w:tcPr>
            <w:tcW w:w="0" w:type="auto"/>
            <w:gridSpan w:val="2"/>
            <w:shd w:val="clear" w:color="auto" w:fill="BDD6EE" w:themeFill="accent5" w:themeFillTint="66"/>
            <w:vAlign w:val="center"/>
          </w:tcPr>
          <w:p w14:paraId="06911A8C" w14:textId="77777777" w:rsidR="00272BF8" w:rsidRPr="003E2544" w:rsidRDefault="00272BF8" w:rsidP="00245274">
            <w:pPr>
              <w:spacing w:line="240" w:lineRule="auto"/>
              <w:jc w:val="center"/>
              <w:rPr>
                <w:rFonts w:ascii="Verdana" w:eastAsiaTheme="majorEastAsia" w:hAnsi="Verdana" w:cs="Times New Roman"/>
                <w:b/>
                <w:color w:val="000000" w:themeColor="text1"/>
                <w:sz w:val="18"/>
                <w:szCs w:val="18"/>
              </w:rPr>
            </w:pPr>
            <w:r w:rsidRPr="003E2544">
              <w:rPr>
                <w:rFonts w:ascii="Verdana" w:eastAsiaTheme="majorEastAsia" w:hAnsi="Verdana" w:cs="Times New Roman"/>
                <w:b/>
                <w:color w:val="000000" w:themeColor="text1"/>
                <w:sz w:val="18"/>
                <w:szCs w:val="18"/>
              </w:rPr>
              <w:t>Targets</w:t>
            </w:r>
          </w:p>
        </w:tc>
      </w:tr>
      <w:tr w:rsidR="00272BF8" w:rsidRPr="003E2544" w14:paraId="1705F669" w14:textId="77777777" w:rsidTr="241EFCDD">
        <w:trPr>
          <w:trHeight w:val="116"/>
        </w:trPr>
        <w:tc>
          <w:tcPr>
            <w:tcW w:w="0" w:type="auto"/>
            <w:vMerge/>
            <w:vAlign w:val="center"/>
          </w:tcPr>
          <w:p w14:paraId="26DB974D" w14:textId="77777777" w:rsidR="00272BF8" w:rsidRPr="003E2544" w:rsidRDefault="00272BF8" w:rsidP="00245274">
            <w:pPr>
              <w:spacing w:line="240" w:lineRule="auto"/>
              <w:rPr>
                <w:rFonts w:ascii="Verdana" w:eastAsiaTheme="majorEastAsia" w:hAnsi="Verdana" w:cs="Times New Roman"/>
                <w:b/>
                <w:color w:val="000000" w:themeColor="text1"/>
                <w:sz w:val="18"/>
                <w:szCs w:val="18"/>
              </w:rPr>
            </w:pPr>
          </w:p>
        </w:tc>
        <w:tc>
          <w:tcPr>
            <w:tcW w:w="0" w:type="auto"/>
            <w:vAlign w:val="center"/>
          </w:tcPr>
          <w:p w14:paraId="5148275C" w14:textId="77777777" w:rsidR="00272BF8" w:rsidRPr="003E2544" w:rsidRDefault="00272BF8" w:rsidP="00245274">
            <w:pPr>
              <w:spacing w:line="240" w:lineRule="auto"/>
              <w:jc w:val="center"/>
              <w:rPr>
                <w:rFonts w:ascii="Verdana" w:eastAsiaTheme="majorEastAsia" w:hAnsi="Verdana" w:cs="Times New Roman"/>
                <w:bCs/>
                <w:color w:val="000000" w:themeColor="text1"/>
                <w:sz w:val="18"/>
                <w:szCs w:val="18"/>
              </w:rPr>
            </w:pPr>
            <w:r w:rsidRPr="003E2544">
              <w:rPr>
                <w:rFonts w:ascii="Verdana" w:eastAsiaTheme="majorEastAsia" w:hAnsi="Verdana" w:cs="Times New Roman"/>
                <w:bCs/>
                <w:color w:val="000000" w:themeColor="text1"/>
                <w:sz w:val="18"/>
                <w:szCs w:val="18"/>
              </w:rPr>
              <w:t>2020</w:t>
            </w:r>
          </w:p>
        </w:tc>
        <w:tc>
          <w:tcPr>
            <w:tcW w:w="0" w:type="auto"/>
            <w:vAlign w:val="center"/>
          </w:tcPr>
          <w:p w14:paraId="581ACBB6" w14:textId="441D210A" w:rsidR="00272BF8" w:rsidRPr="003E2544" w:rsidRDefault="00272BF8" w:rsidP="00245274">
            <w:pPr>
              <w:spacing w:line="240" w:lineRule="auto"/>
              <w:jc w:val="center"/>
              <w:rPr>
                <w:rFonts w:ascii="Verdana" w:eastAsiaTheme="majorEastAsia" w:hAnsi="Verdana" w:cs="Times New Roman"/>
                <w:bCs/>
                <w:color w:val="000000" w:themeColor="text1"/>
                <w:sz w:val="18"/>
                <w:szCs w:val="18"/>
              </w:rPr>
            </w:pPr>
            <w:r w:rsidRPr="003E2544">
              <w:rPr>
                <w:rFonts w:ascii="Verdana" w:eastAsiaTheme="majorEastAsia" w:hAnsi="Verdana" w:cs="Times New Roman"/>
                <w:bCs/>
                <w:color w:val="000000" w:themeColor="text1"/>
                <w:sz w:val="18"/>
                <w:szCs w:val="18"/>
              </w:rPr>
              <w:t>202</w:t>
            </w:r>
            <w:r w:rsidR="00D43AD3">
              <w:rPr>
                <w:rFonts w:ascii="Verdana" w:eastAsiaTheme="majorEastAsia" w:hAnsi="Verdana" w:cs="Times New Roman"/>
                <w:bCs/>
                <w:color w:val="000000" w:themeColor="text1"/>
                <w:sz w:val="18"/>
                <w:szCs w:val="18"/>
              </w:rPr>
              <w:t>2</w:t>
            </w:r>
          </w:p>
        </w:tc>
      </w:tr>
      <w:tr w:rsidR="00272BF8" w:rsidRPr="003E2544" w14:paraId="349B3A37" w14:textId="77777777" w:rsidTr="241EFCDD">
        <w:tc>
          <w:tcPr>
            <w:tcW w:w="0" w:type="auto"/>
            <w:vAlign w:val="center"/>
          </w:tcPr>
          <w:p w14:paraId="5ACAE632" w14:textId="77777777" w:rsidR="00272BF8" w:rsidRPr="003E2544" w:rsidRDefault="48EFF76C" w:rsidP="00245274">
            <w:pPr>
              <w:spacing w:line="240" w:lineRule="auto"/>
              <w:rPr>
                <w:rFonts w:ascii="Verdana" w:eastAsiaTheme="majorEastAsia" w:hAnsi="Verdana" w:cs="Times New Roman"/>
                <w:bCs/>
                <w:color w:val="000000" w:themeColor="text1"/>
                <w:sz w:val="18"/>
                <w:szCs w:val="18"/>
              </w:rPr>
            </w:pPr>
            <w:r w:rsidRPr="003E2544">
              <w:rPr>
                <w:rFonts w:ascii="Verdana" w:eastAsiaTheme="majorEastAsia" w:hAnsi="Verdana" w:cs="Times New Roman"/>
                <w:color w:val="000000" w:themeColor="text1"/>
                <w:sz w:val="18"/>
                <w:szCs w:val="18"/>
              </w:rPr>
              <w:t>2.1:</w:t>
            </w:r>
            <w:r w:rsidRPr="003E2544">
              <w:rPr>
                <w:rFonts w:ascii="Verdana" w:eastAsia="Calibri" w:hAnsi="Verdana" w:cs="Times New Roman"/>
                <w:color w:val="000000" w:themeColor="text1"/>
                <w:sz w:val="18"/>
                <w:szCs w:val="18"/>
              </w:rPr>
              <w:t xml:space="preserve"> Ratio of financing for i</w:t>
            </w:r>
            <w:r w:rsidRPr="003E2544">
              <w:rPr>
                <w:rFonts w:ascii="Verdana" w:eastAsiaTheme="majorEastAsia" w:hAnsi="Verdana" w:cs="Times New Roman"/>
                <w:color w:val="000000" w:themeColor="text1"/>
                <w:sz w:val="18"/>
                <w:szCs w:val="18"/>
              </w:rPr>
              <w:t xml:space="preserve">ntegrated multi-sectoral solutions leveraged </w:t>
            </w:r>
            <w:r w:rsidRPr="003E2544">
              <w:rPr>
                <w:rFonts w:ascii="Verdana" w:eastAsia="Calibri" w:hAnsi="Verdana" w:cs="Times New Roman"/>
                <w:color w:val="000000" w:themeColor="text1"/>
                <w:sz w:val="18"/>
                <w:szCs w:val="18"/>
              </w:rPr>
              <w:t>in terms of scope</w:t>
            </w:r>
            <w:r w:rsidR="00272BF8" w:rsidRPr="003E2544">
              <w:rPr>
                <w:rFonts w:ascii="Verdana" w:eastAsia="Calibri" w:hAnsi="Verdana" w:cs="Times New Roman"/>
                <w:color w:val="000000" w:themeColor="text1"/>
                <w:sz w:val="18"/>
                <w:szCs w:val="18"/>
                <w:vertAlign w:val="superscript"/>
              </w:rPr>
              <w:footnoteReference w:id="26"/>
            </w:r>
            <w:r w:rsidRPr="003E2544">
              <w:rPr>
                <w:rFonts w:ascii="Verdana" w:eastAsia="Calibri" w:hAnsi="Verdana" w:cs="Times New Roman"/>
                <w:color w:val="000000" w:themeColor="text1"/>
                <w:sz w:val="18"/>
                <w:szCs w:val="18"/>
              </w:rPr>
              <w:t xml:space="preserve"> </w:t>
            </w:r>
          </w:p>
        </w:tc>
        <w:tc>
          <w:tcPr>
            <w:tcW w:w="0" w:type="auto"/>
            <w:vAlign w:val="center"/>
          </w:tcPr>
          <w:p w14:paraId="34EDF404" w14:textId="6EFA29ED" w:rsidR="00F022D0" w:rsidRPr="003E2544" w:rsidRDefault="00F022D0" w:rsidP="00F022D0">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2</w:t>
            </w:r>
            <w:r w:rsidR="00631DB2">
              <w:rPr>
                <w:rStyle w:val="FootnoteReference"/>
                <w:rFonts w:ascii="Verdana" w:eastAsiaTheme="majorEastAsia" w:hAnsi="Verdana" w:cs="Times New Roman"/>
                <w:bCs/>
                <w:color w:val="000000" w:themeColor="text1"/>
                <w:sz w:val="18"/>
                <w:szCs w:val="18"/>
              </w:rPr>
              <w:footnoteReference w:id="27"/>
            </w:r>
          </w:p>
        </w:tc>
        <w:tc>
          <w:tcPr>
            <w:tcW w:w="0" w:type="auto"/>
            <w:vAlign w:val="center"/>
          </w:tcPr>
          <w:p w14:paraId="27B70DDA" w14:textId="5CD01808" w:rsidR="00272BF8" w:rsidRPr="003E2544" w:rsidRDefault="00F022D0" w:rsidP="00F022D0">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3</w:t>
            </w:r>
            <w:r w:rsidR="00631DB2">
              <w:rPr>
                <w:rStyle w:val="FootnoteReference"/>
                <w:rFonts w:ascii="Verdana" w:eastAsiaTheme="majorEastAsia" w:hAnsi="Verdana" w:cs="Times New Roman"/>
                <w:bCs/>
                <w:color w:val="000000" w:themeColor="text1"/>
                <w:sz w:val="18"/>
                <w:szCs w:val="18"/>
              </w:rPr>
              <w:footnoteReference w:id="28"/>
            </w:r>
          </w:p>
        </w:tc>
      </w:tr>
      <w:tr w:rsidR="00F022D0" w:rsidRPr="003E2544" w14:paraId="549CAB3A" w14:textId="77777777" w:rsidTr="241EFCDD">
        <w:tc>
          <w:tcPr>
            <w:tcW w:w="0" w:type="auto"/>
            <w:vAlign w:val="center"/>
          </w:tcPr>
          <w:p w14:paraId="4215178A" w14:textId="77777777" w:rsidR="00F022D0" w:rsidRPr="003E2544" w:rsidRDefault="00F022D0" w:rsidP="00F022D0">
            <w:pPr>
              <w:spacing w:line="240" w:lineRule="auto"/>
              <w:rPr>
                <w:rFonts w:ascii="Verdana" w:eastAsiaTheme="majorEastAsia" w:hAnsi="Verdana" w:cs="Times New Roman"/>
                <w:bCs/>
                <w:color w:val="000000" w:themeColor="text1"/>
                <w:sz w:val="18"/>
                <w:szCs w:val="18"/>
              </w:rPr>
            </w:pPr>
            <w:r w:rsidRPr="003E2544">
              <w:rPr>
                <w:rFonts w:ascii="Verdana" w:eastAsiaTheme="majorEastAsia" w:hAnsi="Verdana" w:cs="Times New Roman"/>
                <w:color w:val="000000" w:themeColor="text1"/>
                <w:sz w:val="18"/>
                <w:szCs w:val="18"/>
              </w:rPr>
              <w:t xml:space="preserve">2.2: </w:t>
            </w:r>
            <w:r w:rsidRPr="003E2544">
              <w:rPr>
                <w:rFonts w:ascii="Verdana" w:eastAsia="Calibri" w:hAnsi="Verdana" w:cs="Times New Roman"/>
                <w:color w:val="000000" w:themeColor="text1"/>
                <w:sz w:val="18"/>
                <w:szCs w:val="18"/>
              </w:rPr>
              <w:t>Ratio of financing for i</w:t>
            </w:r>
            <w:r w:rsidRPr="003E2544">
              <w:rPr>
                <w:rFonts w:ascii="Verdana" w:eastAsiaTheme="majorEastAsia" w:hAnsi="Verdana" w:cs="Times New Roman"/>
                <w:color w:val="000000" w:themeColor="text1"/>
                <w:sz w:val="18"/>
                <w:szCs w:val="18"/>
              </w:rPr>
              <w:t>ntegrated multi-sectoral solutions leveraged</w:t>
            </w:r>
            <w:r w:rsidRPr="003E2544">
              <w:rPr>
                <w:rFonts w:ascii="Verdana" w:eastAsia="Calibri" w:hAnsi="Verdana" w:cs="Times New Roman"/>
                <w:color w:val="000000" w:themeColor="text1"/>
                <w:sz w:val="18"/>
                <w:szCs w:val="18"/>
              </w:rPr>
              <w:t xml:space="preserve"> in terms of scale</w:t>
            </w:r>
            <w:r w:rsidRPr="003E2544">
              <w:rPr>
                <w:rFonts w:ascii="Verdana" w:eastAsia="Calibri" w:hAnsi="Verdana" w:cs="Times New Roman"/>
                <w:color w:val="000000" w:themeColor="text1"/>
                <w:sz w:val="18"/>
                <w:szCs w:val="18"/>
                <w:vertAlign w:val="superscript"/>
              </w:rPr>
              <w:footnoteReference w:id="29"/>
            </w:r>
            <w:r w:rsidRPr="003E2544">
              <w:rPr>
                <w:rFonts w:ascii="Verdana" w:eastAsia="Calibri" w:hAnsi="Verdana" w:cs="Times New Roman"/>
                <w:color w:val="000000" w:themeColor="text1"/>
                <w:sz w:val="18"/>
                <w:szCs w:val="18"/>
              </w:rPr>
              <w:t xml:space="preserve"> </w:t>
            </w:r>
          </w:p>
        </w:tc>
        <w:tc>
          <w:tcPr>
            <w:tcW w:w="0" w:type="auto"/>
            <w:vAlign w:val="center"/>
          </w:tcPr>
          <w:p w14:paraId="3E34CE84" w14:textId="5B38E215" w:rsidR="00F022D0" w:rsidRPr="003E2544" w:rsidRDefault="00F022D0" w:rsidP="00631DB2">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77</w:t>
            </w:r>
            <w:r w:rsidR="00631DB2">
              <w:rPr>
                <w:rFonts w:ascii="Verdana" w:eastAsiaTheme="majorEastAsia" w:hAnsi="Verdana" w:cs="Times New Roman"/>
                <w:bCs/>
                <w:color w:val="000000" w:themeColor="text1"/>
                <w:sz w:val="18"/>
                <w:szCs w:val="18"/>
              </w:rPr>
              <w:t>%</w:t>
            </w:r>
            <w:r>
              <w:rPr>
                <w:rFonts w:ascii="Verdana" w:eastAsiaTheme="majorEastAsia" w:hAnsi="Verdana" w:cs="Times New Roman"/>
                <w:bCs/>
                <w:color w:val="000000" w:themeColor="text1"/>
                <w:sz w:val="18"/>
                <w:szCs w:val="18"/>
              </w:rPr>
              <w:t>:33</w:t>
            </w:r>
            <w:r w:rsidR="00631DB2">
              <w:rPr>
                <w:rFonts w:ascii="Verdana" w:eastAsiaTheme="majorEastAsia" w:hAnsi="Verdana" w:cs="Times New Roman"/>
                <w:bCs/>
                <w:color w:val="000000" w:themeColor="text1"/>
                <w:sz w:val="18"/>
                <w:szCs w:val="18"/>
              </w:rPr>
              <w:t>%</w:t>
            </w:r>
            <w:r w:rsidR="00B978E5">
              <w:rPr>
                <w:rStyle w:val="FootnoteReference"/>
                <w:rFonts w:ascii="Verdana" w:eastAsiaTheme="majorEastAsia" w:hAnsi="Verdana" w:cs="Times New Roman"/>
                <w:bCs/>
                <w:color w:val="000000" w:themeColor="text1"/>
                <w:sz w:val="18"/>
                <w:szCs w:val="18"/>
              </w:rPr>
              <w:footnoteReference w:id="30"/>
            </w:r>
          </w:p>
        </w:tc>
        <w:tc>
          <w:tcPr>
            <w:tcW w:w="0" w:type="auto"/>
            <w:vAlign w:val="center"/>
          </w:tcPr>
          <w:p w14:paraId="0AE37F70" w14:textId="0EDB44C8" w:rsidR="00F022D0" w:rsidRPr="003E2544" w:rsidRDefault="00F022D0" w:rsidP="00F022D0">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75</w:t>
            </w:r>
            <w:r w:rsidR="00631DB2">
              <w:rPr>
                <w:rFonts w:ascii="Verdana" w:eastAsiaTheme="majorEastAsia" w:hAnsi="Verdana" w:cs="Times New Roman"/>
                <w:bCs/>
                <w:color w:val="000000" w:themeColor="text1"/>
                <w:sz w:val="18"/>
                <w:szCs w:val="18"/>
              </w:rPr>
              <w:t>%</w:t>
            </w:r>
            <w:r>
              <w:rPr>
                <w:rFonts w:ascii="Verdana" w:eastAsiaTheme="majorEastAsia" w:hAnsi="Verdana" w:cs="Times New Roman"/>
                <w:bCs/>
                <w:color w:val="000000" w:themeColor="text1"/>
                <w:sz w:val="18"/>
                <w:szCs w:val="18"/>
              </w:rPr>
              <w:t>:35</w:t>
            </w:r>
            <w:r w:rsidR="00631DB2">
              <w:rPr>
                <w:rFonts w:ascii="Verdana" w:eastAsiaTheme="majorEastAsia" w:hAnsi="Verdana" w:cs="Times New Roman"/>
                <w:bCs/>
                <w:color w:val="000000" w:themeColor="text1"/>
                <w:sz w:val="18"/>
                <w:szCs w:val="18"/>
              </w:rPr>
              <w:t>%</w:t>
            </w:r>
            <w:r w:rsidRPr="00EB609B">
              <w:rPr>
                <w:color w:val="auto"/>
              </w:rPr>
              <w:footnoteReference w:id="31"/>
            </w:r>
          </w:p>
        </w:tc>
      </w:tr>
    </w:tbl>
    <w:p w14:paraId="1961AB1C" w14:textId="77777777" w:rsidR="00272BF8" w:rsidRPr="003E2544" w:rsidRDefault="00272BF8" w:rsidP="00245274">
      <w:pPr>
        <w:spacing w:line="240" w:lineRule="auto"/>
        <w:rPr>
          <w:rFonts w:ascii="Verdana" w:eastAsia="Times New Roman" w:hAnsi="Verdana" w:cs="Times New Roman"/>
          <w:color w:val="000000" w:themeColor="text1"/>
          <w:sz w:val="18"/>
          <w:szCs w:val="18"/>
          <w:lang w:eastAsia="en-GB"/>
        </w:rPr>
      </w:pPr>
    </w:p>
    <w:p w14:paraId="14319812" w14:textId="4106C30E" w:rsidR="00272BF8" w:rsidRPr="003E2544" w:rsidRDefault="00272BF8" w:rsidP="00245274">
      <w:pPr>
        <w:spacing w:line="240" w:lineRule="auto"/>
        <w:rPr>
          <w:rFonts w:ascii="Verdana" w:eastAsiaTheme="majorEastAsia" w:hAnsi="Verdana" w:cs="Times New Roman"/>
          <w:bCs/>
          <w:color w:val="000000" w:themeColor="text1"/>
          <w:sz w:val="18"/>
          <w:szCs w:val="18"/>
        </w:rPr>
      </w:pPr>
      <w:r w:rsidRPr="003E2544">
        <w:rPr>
          <w:rFonts w:ascii="Verdana" w:eastAsiaTheme="majorEastAsia" w:hAnsi="Verdana" w:cs="Times New Roman"/>
          <w:b/>
          <w:color w:val="000000" w:themeColor="text1"/>
          <w:sz w:val="18"/>
          <w:szCs w:val="18"/>
        </w:rPr>
        <w:t xml:space="preserve">Joint SDG Fund Output 4: </w:t>
      </w:r>
      <w:r w:rsidRPr="003E2544">
        <w:rPr>
          <w:rFonts w:ascii="Verdana" w:eastAsiaTheme="majorEastAsia" w:hAnsi="Verdana" w:cs="Times New Roman"/>
          <w:bCs/>
          <w:color w:val="000000" w:themeColor="text1"/>
          <w:sz w:val="18"/>
          <w:szCs w:val="18"/>
        </w:rPr>
        <w:t>Integrated financing strategies for accelerating SDG progress implemented</w:t>
      </w:r>
    </w:p>
    <w:tbl>
      <w:tblPr>
        <w:tblStyle w:val="TableGrid"/>
        <w:tblW w:w="0" w:type="auto"/>
        <w:tblLook w:val="04A0" w:firstRow="1" w:lastRow="0" w:firstColumn="1" w:lastColumn="0" w:noHBand="0" w:noVBand="1"/>
      </w:tblPr>
      <w:tblGrid>
        <w:gridCol w:w="8002"/>
        <w:gridCol w:w="674"/>
        <w:gridCol w:w="674"/>
      </w:tblGrid>
      <w:tr w:rsidR="00272BF8" w:rsidRPr="003E2544" w14:paraId="414F8C37" w14:textId="77777777" w:rsidTr="241EFCDD">
        <w:tc>
          <w:tcPr>
            <w:tcW w:w="0" w:type="auto"/>
            <w:vMerge w:val="restart"/>
            <w:shd w:val="clear" w:color="auto" w:fill="BDD6EE" w:themeFill="accent5" w:themeFillTint="66"/>
            <w:vAlign w:val="center"/>
          </w:tcPr>
          <w:p w14:paraId="4DA39865" w14:textId="77777777" w:rsidR="00272BF8" w:rsidRPr="003E2544" w:rsidRDefault="00272BF8" w:rsidP="00245274">
            <w:pPr>
              <w:spacing w:line="240" w:lineRule="auto"/>
              <w:rPr>
                <w:rFonts w:ascii="Verdana" w:eastAsiaTheme="majorEastAsia" w:hAnsi="Verdana" w:cs="Times New Roman"/>
                <w:b/>
                <w:color w:val="000000" w:themeColor="text1"/>
                <w:sz w:val="18"/>
                <w:szCs w:val="18"/>
              </w:rPr>
            </w:pPr>
            <w:r w:rsidRPr="003E2544">
              <w:rPr>
                <w:rFonts w:ascii="Verdana" w:eastAsiaTheme="majorEastAsia" w:hAnsi="Verdana" w:cs="Times New Roman"/>
                <w:b/>
                <w:color w:val="000000" w:themeColor="text1"/>
                <w:sz w:val="18"/>
                <w:szCs w:val="18"/>
              </w:rPr>
              <w:t>Indicators</w:t>
            </w:r>
          </w:p>
        </w:tc>
        <w:tc>
          <w:tcPr>
            <w:tcW w:w="0" w:type="auto"/>
            <w:gridSpan w:val="2"/>
            <w:shd w:val="clear" w:color="auto" w:fill="BDD6EE" w:themeFill="accent5" w:themeFillTint="66"/>
            <w:vAlign w:val="center"/>
          </w:tcPr>
          <w:p w14:paraId="181A3AD4" w14:textId="77777777" w:rsidR="00272BF8" w:rsidRPr="003E2544" w:rsidRDefault="00272BF8" w:rsidP="00245274">
            <w:pPr>
              <w:spacing w:line="240" w:lineRule="auto"/>
              <w:jc w:val="center"/>
              <w:rPr>
                <w:rFonts w:ascii="Verdana" w:eastAsiaTheme="majorEastAsia" w:hAnsi="Verdana" w:cs="Times New Roman"/>
                <w:b/>
                <w:color w:val="000000" w:themeColor="text1"/>
                <w:sz w:val="18"/>
                <w:szCs w:val="18"/>
              </w:rPr>
            </w:pPr>
            <w:r w:rsidRPr="003E2544">
              <w:rPr>
                <w:rFonts w:ascii="Verdana" w:eastAsiaTheme="majorEastAsia" w:hAnsi="Verdana" w:cs="Times New Roman"/>
                <w:b/>
                <w:color w:val="000000" w:themeColor="text1"/>
                <w:sz w:val="18"/>
                <w:szCs w:val="18"/>
              </w:rPr>
              <w:t>Targets</w:t>
            </w:r>
          </w:p>
        </w:tc>
      </w:tr>
      <w:tr w:rsidR="00272BF8" w:rsidRPr="003E2544" w14:paraId="6A306B0D" w14:textId="77777777" w:rsidTr="241EFCDD">
        <w:trPr>
          <w:trHeight w:val="58"/>
        </w:trPr>
        <w:tc>
          <w:tcPr>
            <w:tcW w:w="0" w:type="auto"/>
            <w:vMerge/>
            <w:vAlign w:val="center"/>
          </w:tcPr>
          <w:p w14:paraId="23C2F279" w14:textId="77777777" w:rsidR="00272BF8" w:rsidRPr="003E2544" w:rsidRDefault="00272BF8" w:rsidP="00245274">
            <w:pPr>
              <w:spacing w:line="240" w:lineRule="auto"/>
              <w:rPr>
                <w:rFonts w:ascii="Verdana" w:eastAsiaTheme="majorEastAsia" w:hAnsi="Verdana" w:cs="Times New Roman"/>
                <w:b/>
                <w:color w:val="000000" w:themeColor="text1"/>
                <w:sz w:val="18"/>
                <w:szCs w:val="18"/>
              </w:rPr>
            </w:pPr>
          </w:p>
        </w:tc>
        <w:tc>
          <w:tcPr>
            <w:tcW w:w="0" w:type="auto"/>
            <w:vAlign w:val="center"/>
          </w:tcPr>
          <w:p w14:paraId="08DCD34B" w14:textId="77777777" w:rsidR="00272BF8" w:rsidRPr="003E2544" w:rsidRDefault="00272BF8" w:rsidP="00245274">
            <w:pPr>
              <w:spacing w:line="240" w:lineRule="auto"/>
              <w:jc w:val="center"/>
              <w:rPr>
                <w:rFonts w:ascii="Verdana" w:eastAsiaTheme="majorEastAsia" w:hAnsi="Verdana" w:cs="Times New Roman"/>
                <w:bCs/>
                <w:color w:val="000000" w:themeColor="text1"/>
                <w:sz w:val="18"/>
                <w:szCs w:val="18"/>
              </w:rPr>
            </w:pPr>
            <w:r w:rsidRPr="003E2544">
              <w:rPr>
                <w:rFonts w:ascii="Verdana" w:eastAsiaTheme="majorEastAsia" w:hAnsi="Verdana" w:cs="Times New Roman"/>
                <w:bCs/>
                <w:color w:val="000000" w:themeColor="text1"/>
                <w:sz w:val="18"/>
                <w:szCs w:val="18"/>
              </w:rPr>
              <w:t>2020</w:t>
            </w:r>
          </w:p>
        </w:tc>
        <w:tc>
          <w:tcPr>
            <w:tcW w:w="0" w:type="auto"/>
            <w:vAlign w:val="center"/>
          </w:tcPr>
          <w:p w14:paraId="1AA294BA" w14:textId="2990EB1C" w:rsidR="00272BF8" w:rsidRPr="003E2544" w:rsidRDefault="00272BF8" w:rsidP="00245274">
            <w:pPr>
              <w:spacing w:line="240" w:lineRule="auto"/>
              <w:jc w:val="center"/>
              <w:rPr>
                <w:rFonts w:ascii="Verdana" w:eastAsiaTheme="majorEastAsia" w:hAnsi="Verdana" w:cs="Times New Roman"/>
                <w:bCs/>
                <w:color w:val="000000" w:themeColor="text1"/>
                <w:sz w:val="18"/>
                <w:szCs w:val="18"/>
              </w:rPr>
            </w:pPr>
            <w:r w:rsidRPr="003E2544">
              <w:rPr>
                <w:rFonts w:ascii="Verdana" w:eastAsiaTheme="majorEastAsia" w:hAnsi="Verdana" w:cs="Times New Roman"/>
                <w:bCs/>
                <w:color w:val="000000" w:themeColor="text1"/>
                <w:sz w:val="18"/>
                <w:szCs w:val="18"/>
              </w:rPr>
              <w:t>202</w:t>
            </w:r>
            <w:r w:rsidR="00D43AD3">
              <w:rPr>
                <w:rFonts w:ascii="Verdana" w:eastAsiaTheme="majorEastAsia" w:hAnsi="Verdana" w:cs="Times New Roman"/>
                <w:bCs/>
                <w:color w:val="000000" w:themeColor="text1"/>
                <w:sz w:val="18"/>
                <w:szCs w:val="18"/>
              </w:rPr>
              <w:t>2</w:t>
            </w:r>
          </w:p>
        </w:tc>
      </w:tr>
      <w:tr w:rsidR="00272BF8" w:rsidRPr="003E2544" w14:paraId="3611D304" w14:textId="77777777" w:rsidTr="241EFCDD">
        <w:tc>
          <w:tcPr>
            <w:tcW w:w="0" w:type="auto"/>
            <w:vAlign w:val="center"/>
          </w:tcPr>
          <w:p w14:paraId="5E87B680" w14:textId="77777777" w:rsidR="00272BF8" w:rsidRPr="003E2544" w:rsidRDefault="00272BF8" w:rsidP="00245274">
            <w:pPr>
              <w:spacing w:line="240" w:lineRule="auto"/>
              <w:rPr>
                <w:rFonts w:ascii="Verdana" w:eastAsiaTheme="majorEastAsia" w:hAnsi="Verdana" w:cs="Times New Roman"/>
                <w:bCs/>
                <w:color w:val="000000" w:themeColor="text1"/>
                <w:sz w:val="18"/>
                <w:szCs w:val="18"/>
              </w:rPr>
            </w:pPr>
            <w:r w:rsidRPr="003E2544">
              <w:rPr>
                <w:rFonts w:ascii="Verdana" w:eastAsiaTheme="majorEastAsia" w:hAnsi="Verdana" w:cs="Times New Roman"/>
                <w:bCs/>
                <w:color w:val="000000" w:themeColor="text1"/>
                <w:sz w:val="18"/>
                <w:szCs w:val="18"/>
              </w:rPr>
              <w:t>4.1:</w:t>
            </w:r>
            <w:r w:rsidRPr="003E2544">
              <w:rPr>
                <w:rFonts w:ascii="Verdana" w:eastAsia="Calibri" w:hAnsi="Verdana" w:cs="Times New Roman"/>
                <w:bCs/>
                <w:color w:val="000000" w:themeColor="text1"/>
                <w:sz w:val="18"/>
                <w:szCs w:val="18"/>
              </w:rPr>
              <w:t xml:space="preserve"> </w:t>
            </w:r>
            <w:r w:rsidRPr="003E2544">
              <w:rPr>
                <w:rFonts w:ascii="Verdana" w:eastAsia="Calibri" w:hAnsi="Verdana" w:cs="Times New Roman"/>
                <w:color w:val="000000" w:themeColor="text1"/>
                <w:sz w:val="18"/>
                <w:szCs w:val="18"/>
              </w:rPr>
              <w:t>#of integrated financing strategies that were tested (disaggregated by % successful / unsuccessful)</w:t>
            </w:r>
          </w:p>
        </w:tc>
        <w:tc>
          <w:tcPr>
            <w:tcW w:w="0" w:type="auto"/>
            <w:vAlign w:val="center"/>
          </w:tcPr>
          <w:p w14:paraId="1771321B" w14:textId="77777777" w:rsidR="00272BF8" w:rsidRPr="003E2544" w:rsidRDefault="00272BF8" w:rsidP="00245274">
            <w:pPr>
              <w:spacing w:line="240" w:lineRule="auto"/>
              <w:jc w:val="center"/>
              <w:rPr>
                <w:rFonts w:ascii="Verdana" w:eastAsiaTheme="majorEastAsia" w:hAnsi="Verdana" w:cs="Times New Roman"/>
                <w:bCs/>
                <w:color w:val="000000" w:themeColor="text1"/>
                <w:sz w:val="18"/>
                <w:szCs w:val="18"/>
              </w:rPr>
            </w:pPr>
          </w:p>
        </w:tc>
        <w:tc>
          <w:tcPr>
            <w:tcW w:w="0" w:type="auto"/>
            <w:vAlign w:val="center"/>
          </w:tcPr>
          <w:p w14:paraId="6C9BF4F9" w14:textId="452A08EE" w:rsidR="00272BF8" w:rsidRPr="003E2544" w:rsidRDefault="0085345B" w:rsidP="00245274">
            <w:pPr>
              <w:spacing w:line="240" w:lineRule="auto"/>
              <w:jc w:val="center"/>
              <w:rPr>
                <w:rFonts w:ascii="Verdana" w:eastAsiaTheme="majorEastAsia" w:hAnsi="Verdana" w:cs="Times New Roman"/>
                <w:bCs/>
                <w:color w:val="000000" w:themeColor="text1"/>
                <w:sz w:val="18"/>
                <w:szCs w:val="18"/>
              </w:rPr>
            </w:pPr>
            <w:r w:rsidRPr="003E2544">
              <w:rPr>
                <w:rFonts w:ascii="Verdana" w:eastAsiaTheme="majorEastAsia" w:hAnsi="Verdana" w:cs="Times New Roman"/>
                <w:bCs/>
                <w:color w:val="000000" w:themeColor="text1"/>
                <w:sz w:val="18"/>
                <w:szCs w:val="18"/>
              </w:rPr>
              <w:t>9</w:t>
            </w:r>
          </w:p>
        </w:tc>
      </w:tr>
      <w:tr w:rsidR="00272BF8" w:rsidRPr="003E2544" w14:paraId="268BEF79" w14:textId="77777777" w:rsidTr="241EFCDD">
        <w:tc>
          <w:tcPr>
            <w:tcW w:w="0" w:type="auto"/>
            <w:vAlign w:val="center"/>
          </w:tcPr>
          <w:p w14:paraId="64D92348" w14:textId="77777777" w:rsidR="00272BF8" w:rsidRPr="003E2544" w:rsidRDefault="48EFF76C" w:rsidP="00245274">
            <w:pPr>
              <w:spacing w:line="240" w:lineRule="auto"/>
              <w:rPr>
                <w:rFonts w:ascii="Verdana" w:eastAsiaTheme="majorEastAsia" w:hAnsi="Verdana" w:cs="Times New Roman"/>
                <w:bCs/>
                <w:color w:val="000000" w:themeColor="text1"/>
                <w:sz w:val="18"/>
                <w:szCs w:val="18"/>
              </w:rPr>
            </w:pPr>
            <w:r w:rsidRPr="003E2544">
              <w:rPr>
                <w:rFonts w:ascii="Verdana" w:eastAsiaTheme="majorEastAsia" w:hAnsi="Verdana" w:cs="Times New Roman"/>
                <w:color w:val="000000" w:themeColor="text1"/>
                <w:sz w:val="18"/>
                <w:szCs w:val="18"/>
              </w:rPr>
              <w:t xml:space="preserve">4.2: </w:t>
            </w:r>
            <w:r w:rsidRPr="003E2544">
              <w:rPr>
                <w:rFonts w:ascii="Verdana" w:eastAsia="Calibri" w:hAnsi="Verdana" w:cs="Times New Roman"/>
                <w:color w:val="000000" w:themeColor="text1"/>
                <w:sz w:val="18"/>
                <w:szCs w:val="18"/>
              </w:rPr>
              <w:t>#of integrated financing strategies that have been implemented with partners in lead</w:t>
            </w:r>
            <w:r w:rsidR="00272BF8" w:rsidRPr="003E2544">
              <w:rPr>
                <w:rFonts w:ascii="Verdana" w:eastAsia="Calibri" w:hAnsi="Verdana" w:cs="Times New Roman"/>
                <w:color w:val="000000" w:themeColor="text1"/>
                <w:sz w:val="18"/>
                <w:szCs w:val="18"/>
                <w:vertAlign w:val="superscript"/>
              </w:rPr>
              <w:footnoteReference w:id="32"/>
            </w:r>
          </w:p>
        </w:tc>
        <w:tc>
          <w:tcPr>
            <w:tcW w:w="0" w:type="auto"/>
            <w:vAlign w:val="center"/>
          </w:tcPr>
          <w:p w14:paraId="792B7165" w14:textId="38078898" w:rsidR="00272BF8" w:rsidRPr="003E2544" w:rsidRDefault="00272BF8" w:rsidP="00245274">
            <w:pPr>
              <w:spacing w:line="240" w:lineRule="auto"/>
              <w:jc w:val="center"/>
              <w:rPr>
                <w:rFonts w:ascii="Verdana" w:eastAsiaTheme="majorEastAsia" w:hAnsi="Verdana" w:cs="Times New Roman"/>
                <w:bCs/>
                <w:color w:val="000000" w:themeColor="text1"/>
                <w:sz w:val="18"/>
                <w:szCs w:val="18"/>
              </w:rPr>
            </w:pPr>
          </w:p>
        </w:tc>
        <w:tc>
          <w:tcPr>
            <w:tcW w:w="0" w:type="auto"/>
            <w:vAlign w:val="center"/>
          </w:tcPr>
          <w:p w14:paraId="12AA33A5" w14:textId="02FA616E" w:rsidR="00272BF8" w:rsidRPr="003E2544" w:rsidRDefault="00F90D68" w:rsidP="00245274">
            <w:pPr>
              <w:spacing w:line="240" w:lineRule="auto"/>
              <w:jc w:val="center"/>
              <w:rPr>
                <w:rFonts w:ascii="Verdana" w:eastAsiaTheme="majorEastAsia" w:hAnsi="Verdana" w:cs="Times New Roman"/>
                <w:bCs/>
                <w:color w:val="000000" w:themeColor="text1"/>
                <w:sz w:val="18"/>
                <w:szCs w:val="18"/>
              </w:rPr>
            </w:pPr>
            <w:r w:rsidRPr="008B40DC">
              <w:rPr>
                <w:rFonts w:ascii="Verdana" w:eastAsiaTheme="majorEastAsia" w:hAnsi="Verdana" w:cs="Times New Roman"/>
                <w:bCs/>
                <w:color w:val="auto"/>
                <w:sz w:val="18"/>
                <w:szCs w:val="18"/>
              </w:rPr>
              <w:t>6</w:t>
            </w:r>
          </w:p>
        </w:tc>
      </w:tr>
      <w:tr w:rsidR="00272BF8" w:rsidRPr="003E2544" w14:paraId="7D5660D9" w14:textId="77777777" w:rsidTr="241EFCDD">
        <w:tc>
          <w:tcPr>
            <w:tcW w:w="0" w:type="auto"/>
            <w:vAlign w:val="center"/>
          </w:tcPr>
          <w:p w14:paraId="616EC714" w14:textId="77777777" w:rsidR="00272BF8" w:rsidRPr="003E2544" w:rsidRDefault="00272BF8" w:rsidP="00245274">
            <w:pPr>
              <w:spacing w:line="240" w:lineRule="auto"/>
              <w:rPr>
                <w:rFonts w:ascii="Verdana" w:eastAsiaTheme="majorEastAsia" w:hAnsi="Verdana" w:cs="Times New Roman"/>
                <w:bCs/>
                <w:color w:val="000000" w:themeColor="text1"/>
                <w:sz w:val="18"/>
                <w:szCs w:val="18"/>
              </w:rPr>
            </w:pPr>
            <w:r w:rsidRPr="003E2544">
              <w:rPr>
                <w:rFonts w:ascii="Verdana" w:eastAsiaTheme="majorEastAsia" w:hAnsi="Verdana" w:cs="Times New Roman"/>
                <w:bCs/>
                <w:color w:val="000000" w:themeColor="text1"/>
                <w:sz w:val="18"/>
                <w:szCs w:val="18"/>
              </w:rPr>
              <w:t xml:space="preserve">4.3: # of </w:t>
            </w:r>
            <w:r w:rsidRPr="003E2544">
              <w:rPr>
                <w:rFonts w:ascii="Verdana" w:eastAsia="Calibri" w:hAnsi="Verdana" w:cs="Times New Roman"/>
                <w:bCs/>
                <w:color w:val="000000" w:themeColor="text1"/>
                <w:sz w:val="18"/>
                <w:szCs w:val="18"/>
              </w:rPr>
              <w:t>functioning partnership frameworks for integrated financing strategies to accelerate progress on SDGs made operational</w:t>
            </w:r>
          </w:p>
        </w:tc>
        <w:tc>
          <w:tcPr>
            <w:tcW w:w="0" w:type="auto"/>
            <w:vAlign w:val="center"/>
          </w:tcPr>
          <w:p w14:paraId="71D82719" w14:textId="3FC41288" w:rsidR="00272BF8" w:rsidRPr="003E2544" w:rsidRDefault="00E23CAA" w:rsidP="00245274">
            <w:pPr>
              <w:spacing w:line="240" w:lineRule="auto"/>
              <w:jc w:val="center"/>
              <w:rPr>
                <w:rFonts w:ascii="Verdana" w:eastAsiaTheme="majorEastAsia" w:hAnsi="Verdana" w:cs="Times New Roman"/>
                <w:bCs/>
                <w:color w:val="000000" w:themeColor="text1"/>
                <w:sz w:val="18"/>
                <w:szCs w:val="18"/>
              </w:rPr>
            </w:pPr>
            <w:r w:rsidRPr="003E2544">
              <w:rPr>
                <w:rFonts w:ascii="Verdana" w:eastAsiaTheme="majorEastAsia" w:hAnsi="Verdana" w:cs="Times New Roman"/>
                <w:bCs/>
                <w:color w:val="000000" w:themeColor="text1"/>
                <w:sz w:val="18"/>
                <w:szCs w:val="18"/>
              </w:rPr>
              <w:t>0</w:t>
            </w:r>
          </w:p>
        </w:tc>
        <w:tc>
          <w:tcPr>
            <w:tcW w:w="0" w:type="auto"/>
            <w:vAlign w:val="center"/>
          </w:tcPr>
          <w:p w14:paraId="0C60EC50" w14:textId="79A719CF" w:rsidR="00272BF8" w:rsidRPr="003E2544" w:rsidRDefault="00724ADF" w:rsidP="00245274">
            <w:pPr>
              <w:spacing w:line="240" w:lineRule="auto"/>
              <w:jc w:val="center"/>
              <w:rPr>
                <w:rFonts w:ascii="Verdana" w:eastAsiaTheme="majorEastAsia" w:hAnsi="Verdana" w:cs="Times New Roman"/>
                <w:bCs/>
                <w:color w:val="000000" w:themeColor="text1"/>
                <w:sz w:val="18"/>
                <w:szCs w:val="18"/>
              </w:rPr>
            </w:pPr>
            <w:r w:rsidRPr="003E2544">
              <w:rPr>
                <w:rFonts w:ascii="Verdana" w:eastAsiaTheme="majorEastAsia" w:hAnsi="Verdana" w:cs="Times New Roman"/>
                <w:bCs/>
                <w:color w:val="000000" w:themeColor="text1"/>
                <w:sz w:val="18"/>
                <w:szCs w:val="18"/>
              </w:rPr>
              <w:t>4</w:t>
            </w:r>
          </w:p>
        </w:tc>
      </w:tr>
    </w:tbl>
    <w:p w14:paraId="75CE4FFA" w14:textId="77777777" w:rsidR="00272BF8" w:rsidRPr="003E2544" w:rsidRDefault="00272BF8" w:rsidP="00245274">
      <w:pPr>
        <w:spacing w:line="240" w:lineRule="auto"/>
        <w:rPr>
          <w:rFonts w:ascii="Verdana" w:eastAsia="Times New Roman" w:hAnsi="Verdana" w:cs="Times New Roman"/>
          <w:color w:val="000000" w:themeColor="text1"/>
          <w:sz w:val="18"/>
          <w:szCs w:val="18"/>
          <w:lang w:eastAsia="en-GB"/>
        </w:rPr>
      </w:pPr>
    </w:p>
    <w:p w14:paraId="06DF2070" w14:textId="77777777" w:rsidR="00272BF8" w:rsidRPr="003E2544" w:rsidRDefault="00272BF8" w:rsidP="00245274">
      <w:pPr>
        <w:spacing w:line="240" w:lineRule="auto"/>
        <w:rPr>
          <w:rFonts w:ascii="Verdana" w:eastAsia="Times New Roman" w:hAnsi="Verdana" w:cs="Times New Roman"/>
          <w:color w:val="000000" w:themeColor="text1"/>
          <w:sz w:val="18"/>
          <w:szCs w:val="18"/>
          <w:lang w:eastAsia="en-GB"/>
        </w:rPr>
      </w:pPr>
    </w:p>
    <w:p w14:paraId="38EC0A7B" w14:textId="77777777" w:rsidR="00272BF8" w:rsidRPr="003E2544" w:rsidRDefault="00272BF8" w:rsidP="00245274">
      <w:pPr>
        <w:spacing w:line="240" w:lineRule="auto"/>
        <w:rPr>
          <w:rFonts w:ascii="Verdana" w:eastAsiaTheme="majorEastAsia" w:hAnsi="Verdana" w:cs="Times New Roman"/>
          <w:b/>
          <w:color w:val="000000" w:themeColor="text1"/>
          <w:sz w:val="18"/>
          <w:szCs w:val="18"/>
        </w:rPr>
      </w:pPr>
      <w:r w:rsidRPr="003E2544">
        <w:rPr>
          <w:rFonts w:ascii="Verdana" w:eastAsiaTheme="majorEastAsia" w:hAnsi="Verdana" w:cs="Times New Roman"/>
          <w:b/>
          <w:color w:val="000000" w:themeColor="text1"/>
          <w:sz w:val="18"/>
          <w:szCs w:val="18"/>
        </w:rPr>
        <w:t>Joint SDG Fund Operational Performance Indicators</w:t>
      </w:r>
    </w:p>
    <w:p w14:paraId="525AE773" w14:textId="77777777" w:rsidR="00272BF8" w:rsidRPr="003E2544" w:rsidRDefault="00272BF8" w:rsidP="00245274">
      <w:pPr>
        <w:spacing w:line="240" w:lineRule="auto"/>
        <w:rPr>
          <w:rFonts w:ascii="Verdana" w:eastAsiaTheme="majorEastAsia" w:hAnsi="Verdana" w:cs="Times New Roman"/>
          <w:b/>
          <w:color w:val="000000" w:themeColor="text1"/>
          <w:sz w:val="18"/>
          <w:szCs w:val="18"/>
        </w:rPr>
      </w:pPr>
      <w:r w:rsidRPr="003E2544">
        <w:rPr>
          <w:rFonts w:ascii="Verdana" w:eastAsia="Times New Roman" w:hAnsi="Verdana" w:cs="Times New Roman"/>
          <w:i/>
          <w:iCs/>
          <w:color w:val="C45911" w:themeColor="accent2" w:themeShade="BF"/>
          <w:sz w:val="18"/>
          <w:szCs w:val="18"/>
          <w:lang w:eastAsia="en-GB"/>
        </w:rPr>
        <w:t>(do not change or add – this is for information only so that teams know what they will be assessed against)</w:t>
      </w:r>
    </w:p>
    <w:p w14:paraId="046E0DA8" w14:textId="77777777" w:rsidR="00272BF8" w:rsidRPr="003E2544" w:rsidRDefault="48EFF76C" w:rsidP="00245274">
      <w:pPr>
        <w:numPr>
          <w:ilvl w:val="0"/>
          <w:numId w:val="10"/>
        </w:numPr>
        <w:spacing w:after="200" w:line="240" w:lineRule="auto"/>
        <w:ind w:left="360"/>
        <w:contextualSpacing/>
        <w:rPr>
          <w:rFonts w:ascii="Verdana" w:eastAsiaTheme="majorEastAsia" w:hAnsi="Verdana" w:cs="Times New Roman"/>
          <w:color w:val="000000" w:themeColor="text1"/>
          <w:sz w:val="18"/>
          <w:szCs w:val="18"/>
        </w:rPr>
      </w:pPr>
      <w:r w:rsidRPr="003E2544">
        <w:rPr>
          <w:rFonts w:ascii="Verdana" w:eastAsia="Times New Roman" w:hAnsi="Verdana" w:cs="Times New Roman"/>
          <w:color w:val="000000" w:themeColor="text1"/>
          <w:sz w:val="18"/>
          <w:szCs w:val="18"/>
        </w:rPr>
        <w:t>Level of coherence of UN in implementing programme country</w:t>
      </w:r>
      <w:r w:rsidR="00272BF8" w:rsidRPr="003E2544">
        <w:rPr>
          <w:rFonts w:ascii="Verdana" w:eastAsia="Calibri" w:hAnsi="Verdana" w:cs="Times New Roman"/>
          <w:color w:val="000000" w:themeColor="text1"/>
          <w:sz w:val="18"/>
          <w:szCs w:val="18"/>
          <w:vertAlign w:val="superscript"/>
        </w:rPr>
        <w:footnoteReference w:id="33"/>
      </w:r>
    </w:p>
    <w:p w14:paraId="0D0EA892" w14:textId="23D62279" w:rsidR="00272BF8" w:rsidRPr="003E2544" w:rsidRDefault="00272BF8" w:rsidP="00245274">
      <w:pPr>
        <w:numPr>
          <w:ilvl w:val="0"/>
          <w:numId w:val="10"/>
        </w:numPr>
        <w:spacing w:after="200" w:line="240" w:lineRule="auto"/>
        <w:ind w:left="360"/>
        <w:contextualSpacing/>
        <w:rPr>
          <w:rFonts w:ascii="Verdana" w:eastAsiaTheme="majorEastAsia" w:hAnsi="Verdana" w:cs="Times New Roman"/>
          <w:color w:val="000000" w:themeColor="text1"/>
          <w:sz w:val="18"/>
          <w:szCs w:val="18"/>
        </w:rPr>
      </w:pPr>
      <w:r w:rsidRPr="003E2544">
        <w:rPr>
          <w:rFonts w:ascii="Verdana" w:eastAsia="Times New Roman" w:hAnsi="Verdana" w:cs="Times New Roman"/>
          <w:sz w:val="18"/>
          <w:szCs w:val="18"/>
        </w:rPr>
        <w:t>Reduced transaction costs for the participating UN agencies in interaction with national/regional and local authorities and/or public entities compared to other joint programme</w:t>
      </w:r>
      <w:r w:rsidR="6A5ABE4C" w:rsidRPr="003E2544">
        <w:rPr>
          <w:rFonts w:ascii="Verdana" w:eastAsia="Times New Roman" w:hAnsi="Verdana" w:cs="Times New Roman"/>
          <w:sz w:val="18"/>
          <w:szCs w:val="18"/>
        </w:rPr>
        <w:t>s</w:t>
      </w:r>
      <w:r w:rsidRPr="003E2544">
        <w:rPr>
          <w:rFonts w:ascii="Verdana" w:eastAsia="Times New Roman" w:hAnsi="Verdana" w:cs="Times New Roman"/>
          <w:sz w:val="18"/>
          <w:szCs w:val="18"/>
        </w:rPr>
        <w:t xml:space="preserve"> in the country in question</w:t>
      </w:r>
    </w:p>
    <w:p w14:paraId="0665A7E8" w14:textId="77777777" w:rsidR="00272BF8" w:rsidRPr="003E2544" w:rsidRDefault="00272BF8" w:rsidP="00245274">
      <w:pPr>
        <w:spacing w:line="240" w:lineRule="auto"/>
        <w:ind w:left="360"/>
        <w:contextualSpacing/>
        <w:rPr>
          <w:rFonts w:ascii="Verdana" w:eastAsiaTheme="majorEastAsia" w:hAnsi="Verdana" w:cs="Times New Roman"/>
          <w:bCs/>
          <w:color w:val="000000" w:themeColor="text1"/>
          <w:sz w:val="18"/>
          <w:szCs w:val="18"/>
        </w:rPr>
      </w:pPr>
    </w:p>
    <w:p w14:paraId="04E731F9" w14:textId="77777777" w:rsidR="00272BF8" w:rsidRPr="003E2544" w:rsidRDefault="00272BF8" w:rsidP="00245274">
      <w:pPr>
        <w:numPr>
          <w:ilvl w:val="0"/>
          <w:numId w:val="10"/>
        </w:numPr>
        <w:spacing w:after="200" w:line="240" w:lineRule="auto"/>
        <w:ind w:left="360"/>
        <w:contextualSpacing/>
        <w:rPr>
          <w:rFonts w:ascii="Verdana" w:eastAsiaTheme="majorEastAsia" w:hAnsi="Verdana" w:cs="Times New Roman"/>
          <w:bCs/>
          <w:color w:val="000000" w:themeColor="text1"/>
          <w:sz w:val="18"/>
          <w:szCs w:val="18"/>
        </w:rPr>
      </w:pPr>
      <w:r w:rsidRPr="003E2544">
        <w:rPr>
          <w:rFonts w:ascii="Verdana" w:eastAsia="Times New Roman" w:hAnsi="Verdana" w:cs="Times New Roman"/>
          <w:sz w:val="18"/>
          <w:szCs w:val="18"/>
        </w:rPr>
        <w:t>Annual % of financial delivery</w:t>
      </w:r>
    </w:p>
    <w:p w14:paraId="3474C3E5" w14:textId="23528A42" w:rsidR="00272BF8" w:rsidRPr="003E2544" w:rsidRDefault="00272BF8" w:rsidP="00245274">
      <w:pPr>
        <w:numPr>
          <w:ilvl w:val="0"/>
          <w:numId w:val="10"/>
        </w:numPr>
        <w:spacing w:after="200" w:line="240" w:lineRule="auto"/>
        <w:ind w:left="360"/>
        <w:contextualSpacing/>
        <w:rPr>
          <w:rFonts w:ascii="Verdana" w:eastAsiaTheme="majorEastAsia" w:hAnsi="Verdana" w:cs="Times New Roman"/>
          <w:color w:val="000000" w:themeColor="text1"/>
          <w:sz w:val="18"/>
          <w:szCs w:val="18"/>
        </w:rPr>
      </w:pPr>
      <w:r w:rsidRPr="003E2544">
        <w:rPr>
          <w:rFonts w:ascii="Verdana" w:eastAsiaTheme="majorEastAsia" w:hAnsi="Verdana" w:cs="Times New Roman"/>
          <w:color w:val="000000" w:themeColor="text1"/>
          <w:sz w:val="18"/>
          <w:szCs w:val="18"/>
        </w:rPr>
        <w:t xml:space="preserve">Joint programme </w:t>
      </w:r>
      <w:r w:rsidRPr="003E2544">
        <w:rPr>
          <w:rFonts w:ascii="Verdana" w:eastAsia="Times New Roman" w:hAnsi="Verdana" w:cs="Times New Roman"/>
          <w:color w:val="000000" w:themeColor="text1"/>
          <w:sz w:val="18"/>
          <w:szCs w:val="18"/>
        </w:rPr>
        <w:t>operationally closed within original end date</w:t>
      </w:r>
    </w:p>
    <w:p w14:paraId="7E8C08FF" w14:textId="1D661DDC" w:rsidR="00272BF8" w:rsidRPr="003E2544" w:rsidRDefault="00272BF8" w:rsidP="00245274">
      <w:pPr>
        <w:numPr>
          <w:ilvl w:val="0"/>
          <w:numId w:val="10"/>
        </w:numPr>
        <w:spacing w:after="200" w:line="240" w:lineRule="auto"/>
        <w:ind w:left="360"/>
        <w:contextualSpacing/>
        <w:rPr>
          <w:rFonts w:ascii="Verdana" w:eastAsiaTheme="majorEastAsia" w:hAnsi="Verdana" w:cs="Times New Roman"/>
          <w:color w:val="000000" w:themeColor="text1"/>
          <w:sz w:val="18"/>
          <w:szCs w:val="18"/>
        </w:rPr>
      </w:pPr>
      <w:r w:rsidRPr="003E2544">
        <w:rPr>
          <w:rFonts w:ascii="Verdana" w:eastAsia="Times New Roman" w:hAnsi="Verdana" w:cs="Times New Roman"/>
          <w:color w:val="000000" w:themeColor="text1"/>
          <w:sz w:val="18"/>
          <w:szCs w:val="18"/>
        </w:rPr>
        <w:t>Joint programme financially closed 18 months after their operational closure</w:t>
      </w:r>
    </w:p>
    <w:p w14:paraId="5D42128D" w14:textId="77777777" w:rsidR="00272BF8" w:rsidRPr="003E2544" w:rsidRDefault="00272BF8" w:rsidP="00245274">
      <w:pPr>
        <w:spacing w:line="240" w:lineRule="auto"/>
        <w:ind w:left="360"/>
        <w:contextualSpacing/>
        <w:rPr>
          <w:rFonts w:ascii="Verdana" w:eastAsiaTheme="majorEastAsia" w:hAnsi="Verdana" w:cs="Times New Roman"/>
          <w:bCs/>
          <w:color w:val="000000" w:themeColor="text1"/>
          <w:sz w:val="18"/>
          <w:szCs w:val="18"/>
        </w:rPr>
      </w:pPr>
    </w:p>
    <w:p w14:paraId="4ACE8510" w14:textId="48BE787B" w:rsidR="00272BF8" w:rsidRPr="003E2544" w:rsidRDefault="00272BF8" w:rsidP="00245274">
      <w:pPr>
        <w:numPr>
          <w:ilvl w:val="0"/>
          <w:numId w:val="10"/>
        </w:numPr>
        <w:spacing w:after="200" w:line="240" w:lineRule="auto"/>
        <w:ind w:left="360"/>
        <w:contextualSpacing/>
        <w:rPr>
          <w:rFonts w:ascii="Verdana" w:eastAsiaTheme="majorEastAsia" w:hAnsi="Verdana" w:cs="Times New Roman"/>
          <w:color w:val="000000" w:themeColor="text1"/>
          <w:sz w:val="18"/>
          <w:szCs w:val="18"/>
        </w:rPr>
      </w:pPr>
      <w:r w:rsidRPr="003E2544">
        <w:rPr>
          <w:rFonts w:ascii="Verdana" w:eastAsia="Times New Roman" w:hAnsi="Verdana" w:cs="Times New Roman"/>
          <w:color w:val="000000" w:themeColor="text1"/>
          <w:sz w:val="18"/>
          <w:szCs w:val="18"/>
        </w:rPr>
        <w:t>Joint programme facilitated engagement with diverse stakeholders (e.g. parliamentarians, civil society, IFIs, bilateral/multilateral actor, private sector)</w:t>
      </w:r>
    </w:p>
    <w:p w14:paraId="6FD3887B" w14:textId="7C88CC86" w:rsidR="00272BF8" w:rsidRPr="003E2544" w:rsidRDefault="00272BF8" w:rsidP="00245274">
      <w:pPr>
        <w:numPr>
          <w:ilvl w:val="0"/>
          <w:numId w:val="10"/>
        </w:numPr>
        <w:spacing w:after="200" w:line="240" w:lineRule="auto"/>
        <w:ind w:left="360"/>
        <w:contextualSpacing/>
        <w:rPr>
          <w:rFonts w:ascii="Verdana" w:eastAsiaTheme="majorEastAsia" w:hAnsi="Verdana" w:cs="Times New Roman"/>
          <w:color w:val="000000" w:themeColor="text1"/>
          <w:sz w:val="18"/>
          <w:szCs w:val="18"/>
        </w:rPr>
      </w:pPr>
      <w:r w:rsidRPr="003E2544">
        <w:rPr>
          <w:rFonts w:ascii="Verdana" w:eastAsiaTheme="majorEastAsia" w:hAnsi="Verdana" w:cs="Times New Roman"/>
          <w:color w:val="000000" w:themeColor="text1"/>
          <w:sz w:val="18"/>
          <w:szCs w:val="18"/>
        </w:rPr>
        <w:t xml:space="preserve">Joint programme </w:t>
      </w:r>
      <w:r w:rsidRPr="003E2544">
        <w:rPr>
          <w:rFonts w:ascii="Verdana" w:eastAsia="Times New Roman" w:hAnsi="Verdana" w:cs="Times New Roman"/>
          <w:color w:val="000000" w:themeColor="text1"/>
          <w:sz w:val="18"/>
          <w:szCs w:val="18"/>
        </w:rPr>
        <w:t>included addressing inequalities (QCPR) and the principle of “Leaving No One Behind”</w:t>
      </w:r>
    </w:p>
    <w:p w14:paraId="2127D670" w14:textId="1AF0450F" w:rsidR="00272BF8" w:rsidRPr="003E2544" w:rsidRDefault="00272BF8" w:rsidP="00245274">
      <w:pPr>
        <w:numPr>
          <w:ilvl w:val="0"/>
          <w:numId w:val="10"/>
        </w:numPr>
        <w:spacing w:after="200" w:line="240" w:lineRule="auto"/>
        <w:ind w:left="360"/>
        <w:contextualSpacing/>
        <w:rPr>
          <w:rFonts w:ascii="Verdana" w:eastAsiaTheme="majorEastAsia" w:hAnsi="Verdana" w:cs="Times New Roman"/>
          <w:color w:val="000000" w:themeColor="text1"/>
          <w:sz w:val="18"/>
          <w:szCs w:val="18"/>
        </w:rPr>
      </w:pPr>
      <w:r w:rsidRPr="003E2544">
        <w:rPr>
          <w:rFonts w:ascii="Verdana" w:eastAsia="Times New Roman" w:hAnsi="Verdana" w:cs="Times New Roman"/>
          <w:color w:val="000000" w:themeColor="text1"/>
          <w:sz w:val="18"/>
          <w:szCs w:val="18"/>
        </w:rPr>
        <w:t>Joint programme featured gender results at the outcome level</w:t>
      </w:r>
    </w:p>
    <w:p w14:paraId="105A54FE" w14:textId="37896322" w:rsidR="00272BF8" w:rsidRPr="003E2544" w:rsidRDefault="00272BF8" w:rsidP="00245274">
      <w:pPr>
        <w:numPr>
          <w:ilvl w:val="0"/>
          <w:numId w:val="10"/>
        </w:numPr>
        <w:spacing w:after="200" w:line="240" w:lineRule="auto"/>
        <w:ind w:left="360"/>
        <w:contextualSpacing/>
        <w:rPr>
          <w:rFonts w:ascii="Verdana" w:eastAsiaTheme="majorEastAsia" w:hAnsi="Verdana" w:cs="Times New Roman"/>
          <w:color w:val="000000" w:themeColor="text1"/>
          <w:sz w:val="18"/>
          <w:szCs w:val="18"/>
        </w:rPr>
      </w:pPr>
      <w:r w:rsidRPr="003E2544">
        <w:rPr>
          <w:rFonts w:ascii="Verdana" w:eastAsia="Times New Roman" w:hAnsi="Verdana" w:cs="Times New Roman"/>
          <w:color w:val="000000" w:themeColor="text1"/>
          <w:sz w:val="18"/>
          <w:szCs w:val="18"/>
        </w:rPr>
        <w:t xml:space="preserve">Joint programme </w:t>
      </w:r>
      <w:r w:rsidRPr="003E2544">
        <w:rPr>
          <w:rFonts w:ascii="Verdana" w:eastAsia="Calibri" w:hAnsi="Verdana" w:cs="Times New Roman"/>
          <w:color w:val="000000" w:themeColor="text1"/>
          <w:sz w:val="18"/>
          <w:szCs w:val="18"/>
        </w:rPr>
        <w:t xml:space="preserve">undertook or </w:t>
      </w:r>
      <w:r w:rsidR="001E0932" w:rsidRPr="003E2544">
        <w:rPr>
          <w:rFonts w:ascii="Verdana" w:eastAsia="Calibri" w:hAnsi="Verdana" w:cs="Times New Roman"/>
          <w:color w:val="000000" w:themeColor="text1"/>
          <w:sz w:val="18"/>
          <w:szCs w:val="18"/>
        </w:rPr>
        <w:t>draw</w:t>
      </w:r>
      <w:r w:rsidRPr="003E2544">
        <w:rPr>
          <w:rFonts w:ascii="Verdana" w:eastAsia="Calibri" w:hAnsi="Verdana" w:cs="Times New Roman"/>
          <w:color w:val="000000" w:themeColor="text1"/>
          <w:sz w:val="18"/>
          <w:szCs w:val="18"/>
        </w:rPr>
        <w:t xml:space="preserve"> upon relevant human rights analysis, and have developed or implemented a strategy to address human rights issues</w:t>
      </w:r>
    </w:p>
    <w:p w14:paraId="747B40A1" w14:textId="24241C64" w:rsidR="00272BF8" w:rsidRPr="003E2544" w:rsidRDefault="00272BF8" w:rsidP="00245274">
      <w:pPr>
        <w:numPr>
          <w:ilvl w:val="0"/>
          <w:numId w:val="10"/>
        </w:numPr>
        <w:spacing w:after="200" w:line="240" w:lineRule="auto"/>
        <w:ind w:left="360"/>
        <w:contextualSpacing/>
        <w:rPr>
          <w:rFonts w:ascii="Verdana" w:eastAsiaTheme="majorEastAsia" w:hAnsi="Verdana" w:cs="Times New Roman"/>
          <w:color w:val="000000" w:themeColor="text1"/>
          <w:sz w:val="18"/>
          <w:szCs w:val="18"/>
        </w:rPr>
      </w:pPr>
      <w:r w:rsidRPr="003E2544">
        <w:rPr>
          <w:rFonts w:ascii="Verdana" w:eastAsiaTheme="majorEastAsia" w:hAnsi="Verdana" w:cs="Times New Roman"/>
          <w:color w:val="000000" w:themeColor="text1"/>
          <w:sz w:val="18"/>
          <w:szCs w:val="18"/>
        </w:rPr>
        <w:t xml:space="preserve">Joint programme </w:t>
      </w:r>
      <w:r w:rsidRPr="003E2544">
        <w:rPr>
          <w:rFonts w:ascii="Verdana" w:eastAsia="Times New Roman" w:hAnsi="Verdana" w:cs="Times New Roman"/>
          <w:sz w:val="18"/>
          <w:szCs w:val="18"/>
        </w:rPr>
        <w:t>planned for and can demonstrate positive results/effects for youth</w:t>
      </w:r>
    </w:p>
    <w:p w14:paraId="376B4EB5" w14:textId="19CA10F7" w:rsidR="00272BF8" w:rsidRPr="003E2544" w:rsidRDefault="00272BF8" w:rsidP="00245274">
      <w:pPr>
        <w:numPr>
          <w:ilvl w:val="0"/>
          <w:numId w:val="10"/>
        </w:numPr>
        <w:spacing w:after="200" w:line="240" w:lineRule="auto"/>
        <w:ind w:left="360"/>
        <w:contextualSpacing/>
        <w:rPr>
          <w:rFonts w:ascii="Verdana" w:eastAsiaTheme="majorEastAsia" w:hAnsi="Verdana" w:cs="Times New Roman"/>
          <w:color w:val="000000" w:themeColor="text1"/>
          <w:sz w:val="18"/>
          <w:szCs w:val="18"/>
        </w:rPr>
      </w:pPr>
      <w:r w:rsidRPr="003E2544">
        <w:rPr>
          <w:rFonts w:ascii="Verdana" w:eastAsia="Times New Roman" w:hAnsi="Verdana" w:cs="Times New Roman"/>
          <w:sz w:val="18"/>
          <w:szCs w:val="18"/>
        </w:rPr>
        <w:t xml:space="preserve">Joint programme </w:t>
      </w:r>
      <w:r w:rsidRPr="003E2544">
        <w:rPr>
          <w:rFonts w:ascii="Verdana" w:eastAsia="Times New Roman" w:hAnsi="Verdana" w:cs="Times New Roman"/>
          <w:color w:val="000000" w:themeColor="text1"/>
          <w:sz w:val="18"/>
          <w:szCs w:val="18"/>
        </w:rPr>
        <w:t>considered the needs of persons with disabilities</w:t>
      </w:r>
    </w:p>
    <w:p w14:paraId="2AB75716" w14:textId="77777777" w:rsidR="00272BF8" w:rsidRPr="003E2544" w:rsidRDefault="00272BF8" w:rsidP="00245274">
      <w:pPr>
        <w:spacing w:line="240" w:lineRule="auto"/>
        <w:ind w:left="360"/>
        <w:contextualSpacing/>
        <w:rPr>
          <w:rFonts w:ascii="Verdana" w:eastAsiaTheme="majorEastAsia" w:hAnsi="Verdana" w:cs="Times New Roman"/>
          <w:bCs/>
          <w:color w:val="000000" w:themeColor="text1"/>
          <w:sz w:val="18"/>
          <w:szCs w:val="18"/>
        </w:rPr>
      </w:pPr>
    </w:p>
    <w:p w14:paraId="5694BEF5" w14:textId="419CA1CF" w:rsidR="00272BF8" w:rsidRPr="003E2544" w:rsidRDefault="00272BF8" w:rsidP="00245274">
      <w:pPr>
        <w:numPr>
          <w:ilvl w:val="0"/>
          <w:numId w:val="10"/>
        </w:numPr>
        <w:spacing w:after="200" w:line="240" w:lineRule="auto"/>
        <w:ind w:left="360"/>
        <w:contextualSpacing/>
        <w:rPr>
          <w:rFonts w:ascii="Verdana" w:eastAsiaTheme="majorEastAsia" w:hAnsi="Verdana" w:cs="Times New Roman"/>
          <w:color w:val="000000" w:themeColor="text1"/>
          <w:sz w:val="18"/>
          <w:szCs w:val="18"/>
        </w:rPr>
      </w:pPr>
      <w:r w:rsidRPr="003E2544">
        <w:rPr>
          <w:rFonts w:ascii="Verdana" w:eastAsia="Times New Roman" w:hAnsi="Verdana" w:cs="Times New Roman"/>
          <w:sz w:val="18"/>
          <w:szCs w:val="18"/>
        </w:rPr>
        <w:lastRenderedPageBreak/>
        <w:t xml:space="preserve">Joint programme </w:t>
      </w:r>
      <w:r w:rsidRPr="003E2544">
        <w:rPr>
          <w:rFonts w:ascii="Verdana" w:eastAsia="Times New Roman" w:hAnsi="Verdana" w:cs="Times New Roman"/>
          <w:color w:val="000000" w:themeColor="text1"/>
          <w:sz w:val="18"/>
          <w:szCs w:val="18"/>
        </w:rPr>
        <w:t>made use of risk analysis in programme planning</w:t>
      </w:r>
    </w:p>
    <w:p w14:paraId="56D692B1" w14:textId="4D653BB9" w:rsidR="00272BF8" w:rsidRPr="003E2544" w:rsidRDefault="00272BF8" w:rsidP="00245274">
      <w:pPr>
        <w:numPr>
          <w:ilvl w:val="0"/>
          <w:numId w:val="10"/>
        </w:numPr>
        <w:spacing w:after="200" w:line="240" w:lineRule="auto"/>
        <w:ind w:left="360"/>
        <w:contextualSpacing/>
        <w:rPr>
          <w:rFonts w:ascii="Verdana" w:eastAsiaTheme="majorEastAsia" w:hAnsi="Verdana" w:cs="Times New Roman"/>
          <w:color w:val="000000" w:themeColor="text1"/>
          <w:sz w:val="18"/>
          <w:szCs w:val="18"/>
        </w:rPr>
      </w:pPr>
      <w:r w:rsidRPr="003E2544">
        <w:rPr>
          <w:rFonts w:ascii="Verdana" w:eastAsiaTheme="majorEastAsia" w:hAnsi="Verdana" w:cs="Times New Roman"/>
          <w:color w:val="000000" w:themeColor="text1"/>
          <w:sz w:val="18"/>
          <w:szCs w:val="18"/>
        </w:rPr>
        <w:t xml:space="preserve">Joint programme </w:t>
      </w:r>
      <w:r w:rsidRPr="003E2544">
        <w:rPr>
          <w:rFonts w:ascii="Verdana" w:eastAsia="Times New Roman" w:hAnsi="Verdana" w:cs="Times New Roman"/>
          <w:color w:val="000000" w:themeColor="text1"/>
          <w:sz w:val="18"/>
          <w:szCs w:val="18"/>
        </w:rPr>
        <w:t>conducted do-no-harm / due diligence and were designed to take into consideration opportunities in the areas of the environment and climate change</w:t>
      </w:r>
    </w:p>
    <w:p w14:paraId="435BF5FD" w14:textId="77777777" w:rsidR="0064198D" w:rsidRPr="003E2544" w:rsidRDefault="0064198D" w:rsidP="00245274">
      <w:pPr>
        <w:spacing w:line="240" w:lineRule="auto"/>
        <w:rPr>
          <w:rFonts w:ascii="Verdana" w:eastAsia="Times New Roman" w:hAnsi="Verdana" w:cs="Times New Roman"/>
          <w:b/>
          <w:bCs/>
          <w:color w:val="0070C0"/>
          <w:sz w:val="20"/>
          <w:szCs w:val="24"/>
          <w:u w:val="single"/>
          <w:lang w:eastAsia="en-GB"/>
        </w:rPr>
        <w:sectPr w:rsidR="0064198D" w:rsidRPr="003E2544" w:rsidSect="008C5504">
          <w:pgSz w:w="12240" w:h="15840"/>
          <w:pgMar w:top="1440" w:right="1440" w:bottom="1440" w:left="1440" w:header="720" w:footer="720" w:gutter="0"/>
          <w:cols w:space="720"/>
          <w:titlePg/>
          <w:docGrid w:linePitch="360"/>
        </w:sectPr>
      </w:pPr>
    </w:p>
    <w:p w14:paraId="00C6675F" w14:textId="5A7872E1" w:rsidR="00272BF8" w:rsidRPr="003E2544" w:rsidRDefault="00272BF8" w:rsidP="00245274">
      <w:pPr>
        <w:spacing w:line="240" w:lineRule="auto"/>
        <w:rPr>
          <w:rFonts w:ascii="Verdana" w:eastAsia="Times New Roman" w:hAnsi="Verdana" w:cs="Times New Roman"/>
          <w:color w:val="0070C0"/>
          <w:sz w:val="18"/>
          <w:szCs w:val="18"/>
          <w:lang w:eastAsia="en-GB"/>
        </w:rPr>
      </w:pPr>
      <w:r w:rsidRPr="003E2544">
        <w:rPr>
          <w:rFonts w:ascii="Verdana" w:eastAsia="Times New Roman" w:hAnsi="Verdana" w:cs="Times New Roman"/>
          <w:b/>
          <w:bCs/>
          <w:color w:val="0070C0"/>
          <w:sz w:val="20"/>
          <w:szCs w:val="20"/>
          <w:u w:val="single"/>
          <w:lang w:eastAsia="en-GB"/>
        </w:rPr>
        <w:lastRenderedPageBreak/>
        <w:t>2.2. Joint programme Results framework</w:t>
      </w:r>
    </w:p>
    <w:p w14:paraId="56785D89" w14:textId="2E416888" w:rsidR="00272BF8" w:rsidRPr="003E2544" w:rsidRDefault="00272BF8" w:rsidP="00245274">
      <w:pPr>
        <w:spacing w:line="240" w:lineRule="auto"/>
        <w:rPr>
          <w:rFonts w:ascii="Verdana" w:eastAsia="Times New Roman" w:hAnsi="Verdana" w:cs="Times New Roman"/>
          <w:i/>
          <w:iCs/>
          <w:color w:val="C45911" w:themeColor="accent2" w:themeShade="BF"/>
          <w:sz w:val="18"/>
          <w:szCs w:val="18"/>
          <w:lang w:eastAsia="en-GB"/>
        </w:rPr>
      </w:pPr>
    </w:p>
    <w:tbl>
      <w:tblPr>
        <w:tblW w:w="5000" w:type="pct"/>
        <w:tblLook w:val="04A0" w:firstRow="1" w:lastRow="0" w:firstColumn="1" w:lastColumn="0" w:noHBand="0" w:noVBand="1"/>
      </w:tblPr>
      <w:tblGrid>
        <w:gridCol w:w="1022"/>
        <w:gridCol w:w="4132"/>
        <w:gridCol w:w="1591"/>
        <w:gridCol w:w="1371"/>
        <w:gridCol w:w="1439"/>
        <w:gridCol w:w="1681"/>
        <w:gridCol w:w="1704"/>
      </w:tblGrid>
      <w:tr w:rsidR="00902884" w:rsidRPr="003E2544" w14:paraId="3641D0D6" w14:textId="77777777" w:rsidTr="007C4B89">
        <w:trPr>
          <w:trHeight w:val="458"/>
        </w:trPr>
        <w:tc>
          <w:tcPr>
            <w:tcW w:w="1022" w:type="dxa"/>
            <w:tcBorders>
              <w:top w:val="single" w:sz="8" w:space="0" w:color="auto"/>
              <w:left w:val="single" w:sz="8" w:space="0" w:color="auto"/>
              <w:bottom w:val="nil"/>
              <w:right w:val="single" w:sz="8" w:space="0" w:color="auto"/>
            </w:tcBorders>
            <w:shd w:val="clear" w:color="auto" w:fill="BDD6EE" w:themeFill="accent5" w:themeFillTint="66"/>
            <w:vAlign w:val="center"/>
            <w:hideMark/>
          </w:tcPr>
          <w:p w14:paraId="75C93281" w14:textId="77777777" w:rsidR="0064198D" w:rsidRPr="003E2544" w:rsidRDefault="0064198D" w:rsidP="00245274">
            <w:pPr>
              <w:spacing w:line="240" w:lineRule="auto"/>
              <w:jc w:val="center"/>
              <w:rPr>
                <w:rFonts w:ascii="Verdana" w:eastAsia="Times New Roman" w:hAnsi="Verdana" w:cs="Calibri"/>
                <w:b/>
                <w:bCs/>
                <w:color w:val="000000"/>
                <w:sz w:val="18"/>
                <w:szCs w:val="18"/>
                <w:lang w:eastAsia="ja-JP"/>
              </w:rPr>
            </w:pPr>
            <w:r w:rsidRPr="003E2544">
              <w:rPr>
                <w:rFonts w:ascii="Verdana" w:eastAsia="Times New Roman" w:hAnsi="Verdana" w:cs="Calibri"/>
                <w:b/>
                <w:bCs/>
                <w:color w:val="000000"/>
                <w:sz w:val="18"/>
                <w:szCs w:val="18"/>
                <w:lang w:eastAsia="ja-JP"/>
              </w:rPr>
              <w:t>No</w:t>
            </w:r>
          </w:p>
        </w:tc>
        <w:tc>
          <w:tcPr>
            <w:tcW w:w="4132" w:type="dxa"/>
            <w:tcBorders>
              <w:top w:val="single" w:sz="8" w:space="0" w:color="auto"/>
              <w:left w:val="nil"/>
              <w:bottom w:val="nil"/>
              <w:right w:val="single" w:sz="8" w:space="0" w:color="auto"/>
            </w:tcBorders>
            <w:shd w:val="clear" w:color="auto" w:fill="BDD6EE" w:themeFill="accent5" w:themeFillTint="66"/>
            <w:vAlign w:val="center"/>
            <w:hideMark/>
          </w:tcPr>
          <w:p w14:paraId="42A38582" w14:textId="77777777" w:rsidR="0064198D" w:rsidRPr="003E2544" w:rsidRDefault="0064198D" w:rsidP="00245274">
            <w:pPr>
              <w:spacing w:line="240" w:lineRule="auto"/>
              <w:jc w:val="center"/>
              <w:rPr>
                <w:rFonts w:ascii="Verdana" w:eastAsia="Times New Roman" w:hAnsi="Verdana" w:cs="Calibri"/>
                <w:b/>
                <w:bCs/>
                <w:color w:val="000000"/>
                <w:sz w:val="18"/>
                <w:szCs w:val="18"/>
                <w:lang w:eastAsia="ja-JP"/>
              </w:rPr>
            </w:pPr>
            <w:r w:rsidRPr="003E2544">
              <w:rPr>
                <w:rFonts w:ascii="Verdana" w:eastAsia="Times New Roman" w:hAnsi="Verdana" w:cs="Calibri"/>
                <w:b/>
                <w:bCs/>
                <w:color w:val="000000"/>
                <w:sz w:val="18"/>
                <w:szCs w:val="18"/>
                <w:lang w:eastAsia="ja-JP"/>
              </w:rPr>
              <w:t>Result / Indicators</w:t>
            </w:r>
          </w:p>
        </w:tc>
        <w:tc>
          <w:tcPr>
            <w:tcW w:w="1591" w:type="dxa"/>
            <w:tcBorders>
              <w:top w:val="single" w:sz="8" w:space="0" w:color="auto"/>
              <w:left w:val="nil"/>
              <w:bottom w:val="nil"/>
              <w:right w:val="single" w:sz="8" w:space="0" w:color="auto"/>
            </w:tcBorders>
            <w:shd w:val="clear" w:color="auto" w:fill="BDD6EE" w:themeFill="accent5" w:themeFillTint="66"/>
            <w:vAlign w:val="center"/>
            <w:hideMark/>
          </w:tcPr>
          <w:p w14:paraId="1645B5CE" w14:textId="77777777" w:rsidR="0064198D" w:rsidRPr="003E2544" w:rsidRDefault="0064198D" w:rsidP="00245274">
            <w:pPr>
              <w:spacing w:line="240" w:lineRule="auto"/>
              <w:jc w:val="center"/>
              <w:rPr>
                <w:rFonts w:ascii="Verdana" w:eastAsia="Times New Roman" w:hAnsi="Verdana" w:cs="Calibri"/>
                <w:b/>
                <w:bCs/>
                <w:color w:val="000000"/>
                <w:sz w:val="18"/>
                <w:szCs w:val="18"/>
                <w:lang w:eastAsia="ja-JP"/>
              </w:rPr>
            </w:pPr>
            <w:r w:rsidRPr="003E2544">
              <w:rPr>
                <w:rFonts w:ascii="Verdana" w:eastAsia="Times New Roman" w:hAnsi="Verdana" w:cs="Calibri"/>
                <w:b/>
                <w:bCs/>
                <w:color w:val="000000"/>
                <w:sz w:val="18"/>
                <w:szCs w:val="18"/>
                <w:lang w:eastAsia="ja-JP"/>
              </w:rPr>
              <w:t>Baseline</w:t>
            </w:r>
          </w:p>
        </w:tc>
        <w:tc>
          <w:tcPr>
            <w:tcW w:w="1371" w:type="dxa"/>
            <w:tcBorders>
              <w:top w:val="single" w:sz="8" w:space="0" w:color="auto"/>
              <w:left w:val="nil"/>
              <w:bottom w:val="nil"/>
              <w:right w:val="single" w:sz="8" w:space="0" w:color="auto"/>
            </w:tcBorders>
            <w:shd w:val="clear" w:color="auto" w:fill="BDD6EE" w:themeFill="accent5" w:themeFillTint="66"/>
            <w:vAlign w:val="center"/>
            <w:hideMark/>
          </w:tcPr>
          <w:p w14:paraId="0B5C50B1" w14:textId="4B32B551" w:rsidR="0064198D" w:rsidRPr="003E2544" w:rsidRDefault="0064198D" w:rsidP="00245274">
            <w:pPr>
              <w:spacing w:line="240" w:lineRule="auto"/>
              <w:jc w:val="center"/>
              <w:rPr>
                <w:rFonts w:ascii="Verdana" w:eastAsia="Times New Roman" w:hAnsi="Verdana" w:cs="Calibri"/>
                <w:b/>
                <w:bCs/>
                <w:color w:val="000000"/>
                <w:sz w:val="18"/>
                <w:szCs w:val="18"/>
                <w:lang w:eastAsia="ja-JP"/>
              </w:rPr>
            </w:pPr>
            <w:r w:rsidRPr="003E2544">
              <w:rPr>
                <w:rFonts w:ascii="Verdana" w:eastAsia="Times New Roman" w:hAnsi="Verdana" w:cs="Calibri"/>
                <w:b/>
                <w:bCs/>
                <w:color w:val="000000"/>
                <w:sz w:val="18"/>
                <w:szCs w:val="18"/>
                <w:lang w:eastAsia="ja-JP"/>
              </w:rPr>
              <w:t>Target</w:t>
            </w:r>
            <w:r w:rsidR="0018332F" w:rsidRPr="003E2544">
              <w:rPr>
                <w:rFonts w:ascii="Verdana" w:eastAsia="Times New Roman" w:hAnsi="Verdana" w:cs="Calibri"/>
                <w:b/>
                <w:bCs/>
                <w:color w:val="000000"/>
                <w:sz w:val="18"/>
                <w:szCs w:val="18"/>
                <w:lang w:eastAsia="ja-JP"/>
              </w:rPr>
              <w:t xml:space="preserve"> 2020</w:t>
            </w:r>
          </w:p>
        </w:tc>
        <w:tc>
          <w:tcPr>
            <w:tcW w:w="1439" w:type="dxa"/>
            <w:tcBorders>
              <w:top w:val="single" w:sz="8" w:space="0" w:color="auto"/>
              <w:left w:val="nil"/>
              <w:bottom w:val="nil"/>
              <w:right w:val="single" w:sz="8" w:space="0" w:color="auto"/>
            </w:tcBorders>
            <w:shd w:val="clear" w:color="auto" w:fill="BDD6EE" w:themeFill="accent5" w:themeFillTint="66"/>
            <w:vAlign w:val="center"/>
            <w:hideMark/>
          </w:tcPr>
          <w:p w14:paraId="50A37E7F" w14:textId="77777777" w:rsidR="0064198D" w:rsidRPr="003E2544" w:rsidRDefault="0064198D" w:rsidP="00245274">
            <w:pPr>
              <w:spacing w:line="240" w:lineRule="auto"/>
              <w:jc w:val="center"/>
              <w:rPr>
                <w:rFonts w:ascii="Verdana" w:eastAsia="Times New Roman" w:hAnsi="Verdana" w:cs="Calibri"/>
                <w:b/>
                <w:bCs/>
                <w:color w:val="000000"/>
                <w:sz w:val="18"/>
                <w:szCs w:val="18"/>
                <w:lang w:eastAsia="ja-JP"/>
              </w:rPr>
            </w:pPr>
            <w:r w:rsidRPr="003E2544">
              <w:rPr>
                <w:rFonts w:ascii="Verdana" w:eastAsia="Times New Roman" w:hAnsi="Verdana" w:cs="Calibri"/>
                <w:b/>
                <w:bCs/>
                <w:color w:val="000000"/>
                <w:sz w:val="18"/>
                <w:szCs w:val="18"/>
                <w:lang w:eastAsia="ja-JP"/>
              </w:rPr>
              <w:t xml:space="preserve">Target </w:t>
            </w:r>
          </w:p>
          <w:p w14:paraId="6F905A42" w14:textId="54C7F13B" w:rsidR="0018332F" w:rsidRPr="003E2544" w:rsidRDefault="0018332F" w:rsidP="00245274">
            <w:pPr>
              <w:spacing w:line="240" w:lineRule="auto"/>
              <w:jc w:val="center"/>
              <w:rPr>
                <w:rFonts w:ascii="Verdana" w:eastAsia="Times New Roman" w:hAnsi="Verdana" w:cs="Calibri"/>
                <w:b/>
                <w:bCs/>
                <w:color w:val="000000"/>
                <w:sz w:val="18"/>
                <w:szCs w:val="18"/>
                <w:lang w:eastAsia="ja-JP"/>
              </w:rPr>
            </w:pPr>
            <w:r w:rsidRPr="003E2544">
              <w:rPr>
                <w:rFonts w:ascii="Verdana" w:eastAsia="Times New Roman" w:hAnsi="Verdana" w:cs="Calibri"/>
                <w:b/>
                <w:bCs/>
                <w:color w:val="000000"/>
                <w:sz w:val="18"/>
                <w:szCs w:val="18"/>
                <w:lang w:eastAsia="ja-JP"/>
              </w:rPr>
              <w:t>202</w:t>
            </w:r>
            <w:r w:rsidR="00C91EA1">
              <w:rPr>
                <w:rFonts w:ascii="Verdana" w:eastAsia="Times New Roman" w:hAnsi="Verdana" w:cs="Calibri"/>
                <w:b/>
                <w:bCs/>
                <w:color w:val="000000"/>
                <w:sz w:val="18"/>
                <w:szCs w:val="18"/>
                <w:lang w:eastAsia="ja-JP"/>
              </w:rPr>
              <w:t>2</w:t>
            </w:r>
          </w:p>
        </w:tc>
        <w:tc>
          <w:tcPr>
            <w:tcW w:w="1681" w:type="dxa"/>
            <w:tcBorders>
              <w:top w:val="single" w:sz="8" w:space="0" w:color="auto"/>
              <w:left w:val="nil"/>
              <w:bottom w:val="nil"/>
              <w:right w:val="single" w:sz="8" w:space="0" w:color="auto"/>
            </w:tcBorders>
            <w:shd w:val="clear" w:color="auto" w:fill="BDD6EE" w:themeFill="accent5" w:themeFillTint="66"/>
            <w:vAlign w:val="center"/>
            <w:hideMark/>
          </w:tcPr>
          <w:p w14:paraId="0FE38C84" w14:textId="77777777" w:rsidR="0064198D" w:rsidRPr="003E2544" w:rsidRDefault="0064198D" w:rsidP="00245274">
            <w:pPr>
              <w:spacing w:line="240" w:lineRule="auto"/>
              <w:jc w:val="center"/>
              <w:rPr>
                <w:rFonts w:ascii="Verdana" w:eastAsia="Times New Roman" w:hAnsi="Verdana" w:cs="Calibri"/>
                <w:b/>
                <w:bCs/>
                <w:color w:val="000000"/>
                <w:sz w:val="18"/>
                <w:szCs w:val="18"/>
                <w:lang w:eastAsia="ja-JP"/>
              </w:rPr>
            </w:pPr>
            <w:r w:rsidRPr="003E2544">
              <w:rPr>
                <w:rFonts w:ascii="Verdana" w:eastAsia="Times New Roman" w:hAnsi="Verdana" w:cs="Calibri"/>
                <w:b/>
                <w:bCs/>
                <w:color w:val="000000"/>
                <w:sz w:val="18"/>
                <w:szCs w:val="18"/>
                <w:lang w:eastAsia="ja-JP"/>
              </w:rPr>
              <w:t>Means of Verification</w:t>
            </w:r>
          </w:p>
        </w:tc>
        <w:tc>
          <w:tcPr>
            <w:tcW w:w="1704" w:type="dxa"/>
            <w:tcBorders>
              <w:top w:val="single" w:sz="8" w:space="0" w:color="auto"/>
              <w:left w:val="nil"/>
              <w:bottom w:val="nil"/>
              <w:right w:val="single" w:sz="8" w:space="0" w:color="auto"/>
            </w:tcBorders>
            <w:shd w:val="clear" w:color="auto" w:fill="BDD6EE" w:themeFill="accent5" w:themeFillTint="66"/>
            <w:vAlign w:val="center"/>
            <w:hideMark/>
          </w:tcPr>
          <w:p w14:paraId="27926538" w14:textId="77777777" w:rsidR="0064198D" w:rsidRPr="003E2544" w:rsidRDefault="0064198D" w:rsidP="00245274">
            <w:pPr>
              <w:spacing w:line="240" w:lineRule="auto"/>
              <w:jc w:val="center"/>
              <w:rPr>
                <w:rFonts w:ascii="Verdana" w:eastAsia="Times New Roman" w:hAnsi="Verdana" w:cs="Calibri"/>
                <w:b/>
                <w:bCs/>
                <w:color w:val="000000"/>
                <w:sz w:val="18"/>
                <w:szCs w:val="18"/>
                <w:lang w:eastAsia="ja-JP"/>
              </w:rPr>
            </w:pPr>
            <w:r w:rsidRPr="003E2544">
              <w:rPr>
                <w:rFonts w:ascii="Verdana" w:eastAsia="Times New Roman" w:hAnsi="Verdana" w:cs="Calibri"/>
                <w:b/>
                <w:bCs/>
                <w:color w:val="000000"/>
                <w:sz w:val="18"/>
                <w:szCs w:val="18"/>
                <w:lang w:eastAsia="ja-JP"/>
              </w:rPr>
              <w:t>Responsible partner</w:t>
            </w:r>
          </w:p>
        </w:tc>
      </w:tr>
      <w:tr w:rsidR="0064198D" w:rsidRPr="003E2544" w14:paraId="06DA8610" w14:textId="77777777" w:rsidTr="77AAF325">
        <w:trPr>
          <w:trHeight w:val="293"/>
        </w:trPr>
        <w:tc>
          <w:tcPr>
            <w:tcW w:w="12940" w:type="dxa"/>
            <w:gridSpan w:val="7"/>
            <w:tcBorders>
              <w:top w:val="single" w:sz="12" w:space="0" w:color="auto"/>
              <w:left w:val="single" w:sz="8" w:space="0" w:color="auto"/>
              <w:bottom w:val="single" w:sz="4" w:space="0" w:color="auto"/>
              <w:right w:val="single" w:sz="8" w:space="0" w:color="000000" w:themeColor="text1"/>
            </w:tcBorders>
            <w:shd w:val="clear" w:color="auto" w:fill="FFF2CC" w:themeFill="accent4" w:themeFillTint="33"/>
            <w:vAlign w:val="center"/>
            <w:hideMark/>
          </w:tcPr>
          <w:p w14:paraId="15F58420" w14:textId="0CE95EBB" w:rsidR="0064198D" w:rsidRPr="003E2544" w:rsidRDefault="0064198D" w:rsidP="00245274">
            <w:pPr>
              <w:spacing w:line="240" w:lineRule="auto"/>
              <w:rPr>
                <w:rFonts w:ascii="Verdana" w:eastAsia="Times New Roman" w:hAnsi="Verdana" w:cs="Calibri"/>
                <w:b/>
                <w:bCs/>
                <w:color w:val="000000"/>
                <w:sz w:val="18"/>
                <w:szCs w:val="18"/>
                <w:lang w:eastAsia="ja-JP"/>
              </w:rPr>
            </w:pPr>
            <w:r w:rsidRPr="003E2544">
              <w:rPr>
                <w:rFonts w:ascii="Verdana" w:eastAsia="Times New Roman" w:hAnsi="Verdana" w:cs="Calibri"/>
                <w:b/>
                <w:bCs/>
                <w:color w:val="000000"/>
                <w:sz w:val="18"/>
                <w:szCs w:val="18"/>
                <w:lang w:eastAsia="ja-JP"/>
              </w:rPr>
              <w:t xml:space="preserve">Outcome 1: </w:t>
            </w:r>
            <w:r w:rsidR="00EA6A60">
              <w:rPr>
                <w:rFonts w:ascii="Verdana" w:eastAsia="Times New Roman" w:hAnsi="Verdana" w:cs="Calibri"/>
                <w:b/>
                <w:bCs/>
                <w:color w:val="000000"/>
                <w:sz w:val="18"/>
                <w:szCs w:val="18"/>
                <w:lang w:eastAsia="ja-JP"/>
              </w:rPr>
              <w:t>7</w:t>
            </w:r>
            <w:r w:rsidRPr="003E2544">
              <w:rPr>
                <w:rFonts w:ascii="Verdana" w:eastAsia="Times New Roman" w:hAnsi="Verdana" w:cs="Calibri"/>
                <w:b/>
                <w:bCs/>
                <w:color w:val="000000"/>
                <w:sz w:val="18"/>
                <w:szCs w:val="18"/>
                <w:lang w:eastAsia="ja-JP"/>
              </w:rPr>
              <w:t>% domestic revenue allocation increase to SDG relating essential services (SDG 1, 3, 4, 5, 6, and 10)</w:t>
            </w:r>
          </w:p>
        </w:tc>
      </w:tr>
      <w:tr w:rsidR="00871CDB" w:rsidRPr="003E2544" w14:paraId="4C6432B3" w14:textId="77777777" w:rsidTr="007C4B89">
        <w:trPr>
          <w:trHeight w:val="795"/>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0855BD67" w14:textId="77777777" w:rsidR="00871CDB" w:rsidRPr="003E2544" w:rsidRDefault="00871CDB"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1</w:t>
            </w:r>
          </w:p>
        </w:tc>
        <w:tc>
          <w:tcPr>
            <w:tcW w:w="4132" w:type="dxa"/>
            <w:tcBorders>
              <w:top w:val="nil"/>
              <w:left w:val="nil"/>
              <w:bottom w:val="single" w:sz="4" w:space="0" w:color="auto"/>
              <w:right w:val="single" w:sz="4" w:space="0" w:color="auto"/>
            </w:tcBorders>
            <w:shd w:val="clear" w:color="auto" w:fill="auto"/>
            <w:vAlign w:val="center"/>
            <w:hideMark/>
          </w:tcPr>
          <w:p w14:paraId="5C4FC4A0" w14:textId="31DEE56C" w:rsidR="00871CDB" w:rsidRPr="003E2544" w:rsidRDefault="00871CDB" w:rsidP="00245274">
            <w:pPr>
              <w:spacing w:line="240" w:lineRule="auto"/>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 xml:space="preserve">% of allocation to essential services at the national and state levels (disaggregated by sectors </w:t>
            </w:r>
            <w:r w:rsidR="004317CC" w:rsidRPr="003E2544">
              <w:rPr>
                <w:rFonts w:ascii="Verdana" w:eastAsia="Times New Roman" w:hAnsi="Verdana" w:cs="Calibri"/>
                <w:color w:val="000000"/>
                <w:sz w:val="18"/>
                <w:szCs w:val="18"/>
                <w:lang w:eastAsia="ja-JP"/>
              </w:rPr>
              <w:t>[</w:t>
            </w:r>
            <w:r w:rsidRPr="003E2544">
              <w:rPr>
                <w:rFonts w:ascii="Verdana" w:eastAsia="Times New Roman" w:hAnsi="Verdana" w:cs="Calibri"/>
                <w:color w:val="000000"/>
                <w:sz w:val="18"/>
                <w:szCs w:val="18"/>
                <w:lang w:eastAsia="ja-JP"/>
              </w:rPr>
              <w:t>education, health and social protection</w:t>
            </w:r>
            <w:r w:rsidR="004317CC" w:rsidRPr="003E2544">
              <w:rPr>
                <w:rFonts w:ascii="Verdana" w:eastAsia="Times New Roman" w:hAnsi="Verdana" w:cs="Calibri"/>
                <w:color w:val="000000"/>
                <w:sz w:val="18"/>
                <w:szCs w:val="18"/>
                <w:lang w:eastAsia="ja-JP"/>
              </w:rPr>
              <w:t>] and type of funding flow [Government own resources, ODA, and Private]</w:t>
            </w:r>
            <w:r w:rsidRPr="003E2544">
              <w:rPr>
                <w:rFonts w:ascii="Verdana" w:eastAsia="Times New Roman" w:hAnsi="Verdana" w:cs="Calibri"/>
                <w:color w:val="000000"/>
                <w:sz w:val="18"/>
                <w:szCs w:val="18"/>
                <w:lang w:eastAsia="ja-JP"/>
              </w:rPr>
              <w:t xml:space="preserve">) </w:t>
            </w:r>
            <w:r w:rsidRPr="003E2544">
              <w:rPr>
                <w:rFonts w:ascii="Verdana" w:eastAsia="Times New Roman" w:hAnsi="Verdana" w:cs="Calibri"/>
                <w:b/>
                <w:bCs/>
                <w:color w:val="000000"/>
                <w:sz w:val="18"/>
                <w:szCs w:val="18"/>
                <w:lang w:eastAsia="ja-JP"/>
              </w:rPr>
              <w:t>- SDG 1.A; SDG 3.C; SDG 4.1</w:t>
            </w:r>
            <w:r w:rsidR="004317CC" w:rsidRPr="003E2544">
              <w:rPr>
                <w:rFonts w:ascii="Verdana" w:eastAsia="Times New Roman" w:hAnsi="Verdana" w:cs="Calibri"/>
                <w:b/>
                <w:bCs/>
                <w:color w:val="000000"/>
                <w:sz w:val="18"/>
                <w:szCs w:val="18"/>
                <w:lang w:eastAsia="ja-JP"/>
              </w:rPr>
              <w:t>; SDG 10.B</w:t>
            </w:r>
            <w:r w:rsidR="004D188B" w:rsidRPr="003E2544">
              <w:rPr>
                <w:rFonts w:ascii="Verdana" w:eastAsia="Times New Roman" w:hAnsi="Verdana" w:cs="Calibri"/>
                <w:b/>
                <w:bCs/>
                <w:color w:val="000000"/>
                <w:sz w:val="18"/>
                <w:szCs w:val="18"/>
                <w:lang w:eastAsia="ja-JP"/>
              </w:rPr>
              <w:t>; and SDG 17.3</w:t>
            </w:r>
          </w:p>
        </w:tc>
        <w:tc>
          <w:tcPr>
            <w:tcW w:w="1591" w:type="dxa"/>
            <w:tcBorders>
              <w:top w:val="nil"/>
              <w:left w:val="nil"/>
              <w:bottom w:val="single" w:sz="4" w:space="0" w:color="auto"/>
              <w:right w:val="single" w:sz="4" w:space="0" w:color="auto"/>
            </w:tcBorders>
            <w:shd w:val="clear" w:color="auto" w:fill="auto"/>
            <w:vAlign w:val="center"/>
            <w:hideMark/>
          </w:tcPr>
          <w:p w14:paraId="033BF25A" w14:textId="1EADF6ED" w:rsidR="004D188B" w:rsidRPr="003E2544" w:rsidRDefault="004D188B" w:rsidP="00245274">
            <w:pPr>
              <w:spacing w:line="240" w:lineRule="auto"/>
              <w:jc w:val="center"/>
              <w:rPr>
                <w:rFonts w:ascii="Verdana" w:eastAsia="Times New Roman" w:hAnsi="Verdana" w:cs="Calibri"/>
                <w:b/>
                <w:bCs/>
                <w:color w:val="000000" w:themeColor="text1"/>
                <w:sz w:val="16"/>
                <w:szCs w:val="16"/>
                <w:lang w:eastAsia="ja-JP"/>
              </w:rPr>
            </w:pPr>
            <w:r w:rsidRPr="003E2544">
              <w:rPr>
                <w:rFonts w:ascii="Verdana" w:eastAsia="Times New Roman" w:hAnsi="Verdana" w:cs="Calibri"/>
                <w:b/>
                <w:bCs/>
                <w:color w:val="000000" w:themeColor="text1"/>
                <w:sz w:val="16"/>
                <w:szCs w:val="16"/>
                <w:lang w:eastAsia="ja-JP"/>
              </w:rPr>
              <w:t>National Level</w:t>
            </w:r>
          </w:p>
          <w:p w14:paraId="3CC2689B" w14:textId="06298E12" w:rsidR="004317CC" w:rsidRPr="003E2544" w:rsidRDefault="004317CC" w:rsidP="00245274">
            <w:pPr>
              <w:spacing w:line="240" w:lineRule="auto"/>
              <w:jc w:val="center"/>
              <w:rPr>
                <w:rFonts w:ascii="Verdana" w:eastAsia="Times New Roman" w:hAnsi="Verdana" w:cs="Calibri"/>
                <w:b/>
                <w:bCs/>
                <w:color w:val="000000" w:themeColor="text1"/>
                <w:sz w:val="16"/>
                <w:szCs w:val="16"/>
                <w:lang w:eastAsia="ja-JP"/>
              </w:rPr>
            </w:pPr>
            <w:r w:rsidRPr="003E2544">
              <w:rPr>
                <w:rFonts w:ascii="Verdana" w:eastAsia="Times New Roman" w:hAnsi="Verdana" w:cs="Calibri"/>
                <w:b/>
                <w:bCs/>
                <w:color w:val="000000" w:themeColor="text1"/>
                <w:sz w:val="16"/>
                <w:szCs w:val="16"/>
                <w:lang w:eastAsia="ja-JP"/>
              </w:rPr>
              <w:t>Sector</w:t>
            </w:r>
          </w:p>
          <w:p w14:paraId="663B9190" w14:textId="67CCF43B" w:rsidR="00871CDB" w:rsidRPr="003E2544" w:rsidRDefault="00871CDB" w:rsidP="00245274">
            <w:pPr>
              <w:spacing w:line="240" w:lineRule="auto"/>
              <w:jc w:val="center"/>
              <w:rPr>
                <w:rFonts w:ascii="Verdana" w:eastAsia="Times New Roman" w:hAnsi="Verdana" w:cs="Calibri"/>
                <w:color w:val="000000" w:themeColor="text1"/>
                <w:sz w:val="16"/>
                <w:szCs w:val="16"/>
                <w:lang w:eastAsia="ja-JP"/>
              </w:rPr>
            </w:pPr>
            <w:r w:rsidRPr="003E2544">
              <w:rPr>
                <w:rFonts w:ascii="Verdana" w:eastAsia="Times New Roman" w:hAnsi="Verdana" w:cs="Calibri"/>
                <w:color w:val="000000" w:themeColor="text1"/>
                <w:sz w:val="16"/>
                <w:szCs w:val="16"/>
                <w:lang w:eastAsia="ja-JP"/>
              </w:rPr>
              <w:t>8% (FY2019/2020)</w:t>
            </w:r>
          </w:p>
          <w:p w14:paraId="5433B8EF" w14:textId="360FC764" w:rsidR="002F19CB" w:rsidRPr="003E2544" w:rsidRDefault="00871CDB" w:rsidP="00245274">
            <w:pPr>
              <w:spacing w:line="240" w:lineRule="auto"/>
              <w:jc w:val="center"/>
              <w:rPr>
                <w:rFonts w:ascii="Verdana" w:eastAsia="Times New Roman" w:hAnsi="Verdana" w:cs="Calibri"/>
                <w:color w:val="000000" w:themeColor="text1"/>
                <w:sz w:val="16"/>
                <w:szCs w:val="16"/>
                <w:lang w:eastAsia="ja-JP"/>
              </w:rPr>
            </w:pPr>
            <w:r w:rsidRPr="003E2544" w:rsidDel="000E414D">
              <w:rPr>
                <w:rFonts w:ascii="Verdana" w:eastAsia="Times New Roman" w:hAnsi="Verdana" w:cs="Calibri"/>
                <w:color w:val="000000" w:themeColor="text1"/>
                <w:sz w:val="16"/>
                <w:szCs w:val="16"/>
                <w:lang w:eastAsia="ja-JP"/>
              </w:rPr>
              <w:t>Education – 5%; Health – 1%; Social and Humanitarian Affairs – 2%</w:t>
            </w:r>
          </w:p>
          <w:p w14:paraId="16611E06" w14:textId="77777777" w:rsidR="004317CC" w:rsidRPr="003E2544" w:rsidRDefault="004317CC" w:rsidP="00245274">
            <w:pPr>
              <w:spacing w:line="240" w:lineRule="auto"/>
              <w:jc w:val="center"/>
              <w:rPr>
                <w:rFonts w:ascii="Verdana" w:eastAsia="Times New Roman" w:hAnsi="Verdana" w:cs="Calibri"/>
                <w:color w:val="000000" w:themeColor="text1"/>
                <w:sz w:val="16"/>
                <w:szCs w:val="16"/>
                <w:lang w:eastAsia="ja-JP"/>
              </w:rPr>
            </w:pPr>
          </w:p>
          <w:p w14:paraId="1C1BF73B" w14:textId="77777777" w:rsidR="004317CC" w:rsidRPr="003E2544" w:rsidRDefault="004317CC" w:rsidP="00245274">
            <w:pPr>
              <w:spacing w:line="240" w:lineRule="auto"/>
              <w:jc w:val="center"/>
              <w:rPr>
                <w:rFonts w:ascii="Verdana" w:eastAsia="Times New Roman" w:hAnsi="Verdana" w:cs="Calibri"/>
                <w:b/>
                <w:bCs/>
                <w:color w:val="000000" w:themeColor="text1"/>
                <w:sz w:val="16"/>
                <w:szCs w:val="16"/>
                <w:lang w:eastAsia="ja-JP"/>
              </w:rPr>
            </w:pPr>
            <w:r w:rsidRPr="003E2544">
              <w:rPr>
                <w:rFonts w:ascii="Verdana" w:eastAsia="Times New Roman" w:hAnsi="Verdana" w:cs="Calibri"/>
                <w:b/>
                <w:bCs/>
                <w:color w:val="000000" w:themeColor="text1"/>
                <w:sz w:val="16"/>
                <w:szCs w:val="16"/>
                <w:lang w:eastAsia="ja-JP"/>
              </w:rPr>
              <w:t>Type of funding flow</w:t>
            </w:r>
          </w:p>
          <w:p w14:paraId="55D9892B" w14:textId="77777777" w:rsidR="004317CC" w:rsidRPr="003E2544" w:rsidRDefault="004317CC" w:rsidP="00245274">
            <w:pPr>
              <w:spacing w:line="240" w:lineRule="auto"/>
              <w:jc w:val="center"/>
              <w:rPr>
                <w:rFonts w:ascii="Verdana" w:eastAsia="Times New Roman" w:hAnsi="Verdana" w:cs="Calibri"/>
                <w:color w:val="000000" w:themeColor="text1"/>
                <w:sz w:val="16"/>
                <w:szCs w:val="16"/>
                <w:lang w:eastAsia="ja-JP"/>
              </w:rPr>
            </w:pPr>
            <w:r w:rsidRPr="003E2544">
              <w:rPr>
                <w:rFonts w:ascii="Verdana" w:eastAsia="Times New Roman" w:hAnsi="Verdana" w:cs="Calibri"/>
                <w:color w:val="000000" w:themeColor="text1"/>
                <w:sz w:val="16"/>
                <w:szCs w:val="16"/>
                <w:lang w:eastAsia="ja-JP"/>
              </w:rPr>
              <w:t>Govt fund: USD 775 million</w:t>
            </w:r>
          </w:p>
          <w:p w14:paraId="1CF3667C" w14:textId="77777777" w:rsidR="004317CC" w:rsidRPr="003E2544" w:rsidRDefault="004317CC" w:rsidP="00245274">
            <w:pPr>
              <w:spacing w:line="240" w:lineRule="auto"/>
              <w:jc w:val="center"/>
              <w:rPr>
                <w:rFonts w:ascii="Verdana" w:eastAsia="Times New Roman" w:hAnsi="Verdana" w:cs="Calibri"/>
                <w:color w:val="000000" w:themeColor="text1"/>
                <w:sz w:val="16"/>
                <w:szCs w:val="16"/>
                <w:lang w:eastAsia="ja-JP"/>
              </w:rPr>
            </w:pPr>
            <w:r w:rsidRPr="003E2544">
              <w:rPr>
                <w:rFonts w:ascii="Verdana" w:eastAsia="Times New Roman" w:hAnsi="Verdana" w:cs="Calibri"/>
                <w:color w:val="000000" w:themeColor="text1"/>
                <w:sz w:val="16"/>
                <w:szCs w:val="16"/>
                <w:lang w:eastAsia="ja-JP"/>
              </w:rPr>
              <w:t>ODA: USD 1.577 million</w:t>
            </w:r>
          </w:p>
          <w:p w14:paraId="5649B978" w14:textId="77777777" w:rsidR="004317CC" w:rsidRPr="003E2544" w:rsidRDefault="004317CC" w:rsidP="00245274">
            <w:pPr>
              <w:spacing w:line="240" w:lineRule="auto"/>
              <w:jc w:val="center"/>
              <w:rPr>
                <w:rFonts w:ascii="Verdana" w:eastAsia="Times New Roman" w:hAnsi="Verdana" w:cs="Calibri"/>
                <w:color w:val="000000" w:themeColor="text1"/>
                <w:sz w:val="16"/>
                <w:szCs w:val="16"/>
                <w:lang w:eastAsia="ja-JP"/>
              </w:rPr>
            </w:pPr>
            <w:r w:rsidRPr="003E2544">
              <w:rPr>
                <w:rFonts w:ascii="Verdana" w:eastAsia="Times New Roman" w:hAnsi="Verdana" w:cs="Calibri"/>
                <w:color w:val="000000" w:themeColor="text1"/>
                <w:sz w:val="16"/>
                <w:szCs w:val="16"/>
                <w:lang w:eastAsia="ja-JP"/>
              </w:rPr>
              <w:t>Private financing: TBC</w:t>
            </w:r>
          </w:p>
          <w:p w14:paraId="3FC1BAD7" w14:textId="77777777" w:rsidR="004D188B" w:rsidRPr="003E2544" w:rsidRDefault="004D188B" w:rsidP="00245274">
            <w:pPr>
              <w:spacing w:line="240" w:lineRule="auto"/>
              <w:jc w:val="center"/>
              <w:rPr>
                <w:rFonts w:ascii="Verdana" w:eastAsia="Calibri" w:hAnsi="Verdana" w:cs="Times New Roman"/>
                <w:iCs/>
                <w:color w:val="000000" w:themeColor="text1"/>
                <w:sz w:val="16"/>
                <w:szCs w:val="16"/>
              </w:rPr>
            </w:pPr>
          </w:p>
          <w:p w14:paraId="3987EF3B" w14:textId="77777777" w:rsidR="004D188B" w:rsidRPr="003E2544" w:rsidRDefault="004D188B" w:rsidP="00245274">
            <w:pPr>
              <w:spacing w:line="240" w:lineRule="auto"/>
              <w:jc w:val="center"/>
              <w:rPr>
                <w:rFonts w:ascii="Verdana" w:eastAsia="Calibri" w:hAnsi="Verdana" w:cs="Times New Roman"/>
                <w:b/>
                <w:bCs/>
                <w:iCs/>
                <w:sz w:val="16"/>
                <w:szCs w:val="16"/>
              </w:rPr>
            </w:pPr>
            <w:r w:rsidRPr="003E2544">
              <w:rPr>
                <w:rFonts w:ascii="Verdana" w:eastAsia="Calibri" w:hAnsi="Verdana" w:cs="Times New Roman"/>
                <w:b/>
                <w:bCs/>
                <w:iCs/>
                <w:sz w:val="16"/>
                <w:szCs w:val="16"/>
              </w:rPr>
              <w:t>State Level</w:t>
            </w:r>
          </w:p>
          <w:p w14:paraId="7B370E68" w14:textId="0CEA0177" w:rsidR="004D188B" w:rsidRPr="003E2544" w:rsidRDefault="004D188B" w:rsidP="00245274">
            <w:pPr>
              <w:spacing w:line="240" w:lineRule="auto"/>
              <w:jc w:val="center"/>
              <w:rPr>
                <w:rFonts w:ascii="Verdana" w:eastAsia="Times New Roman" w:hAnsi="Verdana" w:cs="Calibri"/>
                <w:color w:val="000000" w:themeColor="text1"/>
                <w:sz w:val="16"/>
                <w:szCs w:val="16"/>
                <w:lang w:eastAsia="ja-JP"/>
              </w:rPr>
            </w:pPr>
            <w:r w:rsidRPr="003E2544">
              <w:rPr>
                <w:rFonts w:ascii="Verdana" w:eastAsia="Calibri" w:hAnsi="Verdana" w:cs="Times New Roman"/>
                <w:iCs/>
                <w:sz w:val="16"/>
                <w:szCs w:val="16"/>
              </w:rPr>
              <w:t xml:space="preserve">TBC </w:t>
            </w:r>
            <w:r w:rsidRPr="003E2544">
              <w:rPr>
                <w:rFonts w:ascii="Verdana" w:eastAsia="Times New Roman" w:hAnsi="Verdana" w:cs="Calibri"/>
                <w:color w:val="000000" w:themeColor="text1"/>
                <w:sz w:val="16"/>
                <w:szCs w:val="16"/>
                <w:lang w:eastAsia="ja-JP"/>
              </w:rPr>
              <w:t>at inception phase</w:t>
            </w:r>
          </w:p>
        </w:tc>
        <w:tc>
          <w:tcPr>
            <w:tcW w:w="1371" w:type="dxa"/>
            <w:tcBorders>
              <w:top w:val="nil"/>
              <w:left w:val="nil"/>
              <w:bottom w:val="single" w:sz="4" w:space="0" w:color="auto"/>
              <w:right w:val="single" w:sz="4" w:space="0" w:color="auto"/>
            </w:tcBorders>
            <w:shd w:val="clear" w:color="auto" w:fill="595959" w:themeFill="text1" w:themeFillTint="A6"/>
            <w:vAlign w:val="center"/>
            <w:hideMark/>
          </w:tcPr>
          <w:p w14:paraId="0A309549" w14:textId="3F11B655" w:rsidR="00871CDB" w:rsidRPr="003E2544" w:rsidRDefault="00871CDB" w:rsidP="00245274">
            <w:pPr>
              <w:spacing w:line="240" w:lineRule="auto"/>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 </w:t>
            </w:r>
          </w:p>
        </w:tc>
        <w:tc>
          <w:tcPr>
            <w:tcW w:w="1439" w:type="dxa"/>
            <w:tcBorders>
              <w:top w:val="nil"/>
              <w:left w:val="nil"/>
              <w:bottom w:val="single" w:sz="4" w:space="0" w:color="auto"/>
              <w:right w:val="single" w:sz="4" w:space="0" w:color="auto"/>
            </w:tcBorders>
            <w:shd w:val="clear" w:color="auto" w:fill="auto"/>
            <w:vAlign w:val="center"/>
            <w:hideMark/>
          </w:tcPr>
          <w:p w14:paraId="06301CEE" w14:textId="0FAF459E" w:rsidR="004D188B" w:rsidRPr="003E2544" w:rsidRDefault="004D188B" w:rsidP="00245274">
            <w:pPr>
              <w:spacing w:line="240" w:lineRule="auto"/>
              <w:jc w:val="center"/>
              <w:rPr>
                <w:rFonts w:ascii="Verdana" w:eastAsia="Times New Roman" w:hAnsi="Verdana" w:cs="Calibri"/>
                <w:b/>
                <w:bCs/>
                <w:color w:val="000000" w:themeColor="text1"/>
                <w:sz w:val="16"/>
                <w:szCs w:val="16"/>
                <w:lang w:eastAsia="ja-JP"/>
              </w:rPr>
            </w:pPr>
            <w:r w:rsidRPr="003E2544">
              <w:rPr>
                <w:rFonts w:ascii="Verdana" w:eastAsia="Times New Roman" w:hAnsi="Verdana" w:cs="Calibri"/>
                <w:b/>
                <w:bCs/>
                <w:color w:val="000000" w:themeColor="text1"/>
                <w:sz w:val="16"/>
                <w:szCs w:val="16"/>
                <w:lang w:eastAsia="ja-JP"/>
              </w:rPr>
              <w:t>National Level</w:t>
            </w:r>
          </w:p>
          <w:p w14:paraId="492B0D4A" w14:textId="11A1C5DB" w:rsidR="004317CC" w:rsidRPr="003E2544" w:rsidRDefault="004317CC" w:rsidP="00245274">
            <w:pPr>
              <w:spacing w:line="240" w:lineRule="auto"/>
              <w:jc w:val="center"/>
              <w:rPr>
                <w:rFonts w:ascii="Verdana" w:eastAsia="Times New Roman" w:hAnsi="Verdana" w:cs="Calibri"/>
                <w:b/>
                <w:bCs/>
                <w:color w:val="000000" w:themeColor="text1"/>
                <w:sz w:val="16"/>
                <w:szCs w:val="16"/>
                <w:lang w:eastAsia="ja-JP"/>
              </w:rPr>
            </w:pPr>
            <w:r w:rsidRPr="003E2544">
              <w:rPr>
                <w:rFonts w:ascii="Verdana" w:eastAsia="Times New Roman" w:hAnsi="Verdana" w:cs="Calibri"/>
                <w:b/>
                <w:bCs/>
                <w:color w:val="000000" w:themeColor="text1"/>
                <w:sz w:val="16"/>
                <w:szCs w:val="16"/>
                <w:lang w:eastAsia="ja-JP"/>
              </w:rPr>
              <w:t>Sector</w:t>
            </w:r>
          </w:p>
          <w:p w14:paraId="6C996A21" w14:textId="77777777" w:rsidR="004317CC" w:rsidRPr="003E2544" w:rsidRDefault="00871CDB" w:rsidP="00245274">
            <w:pPr>
              <w:spacing w:line="240" w:lineRule="auto"/>
              <w:jc w:val="center"/>
              <w:rPr>
                <w:rFonts w:ascii="Verdana" w:eastAsia="Times New Roman" w:hAnsi="Verdana" w:cs="Calibri"/>
                <w:color w:val="000000" w:themeColor="text1"/>
                <w:sz w:val="16"/>
                <w:szCs w:val="16"/>
                <w:lang w:eastAsia="ja-JP"/>
              </w:rPr>
            </w:pPr>
            <w:r w:rsidRPr="003E2544">
              <w:rPr>
                <w:rFonts w:ascii="Verdana" w:eastAsia="Times New Roman" w:hAnsi="Verdana" w:cs="Calibri"/>
                <w:color w:val="000000" w:themeColor="text1"/>
                <w:sz w:val="16"/>
                <w:szCs w:val="16"/>
                <w:lang w:eastAsia="ja-JP"/>
              </w:rPr>
              <w:t>1</w:t>
            </w:r>
            <w:r w:rsidR="002F19CB" w:rsidRPr="003E2544">
              <w:rPr>
                <w:rFonts w:ascii="Verdana" w:eastAsia="Times New Roman" w:hAnsi="Verdana" w:cs="Calibri"/>
                <w:color w:val="000000" w:themeColor="text1"/>
                <w:sz w:val="16"/>
                <w:szCs w:val="16"/>
                <w:lang w:eastAsia="ja-JP"/>
              </w:rPr>
              <w:t>5</w:t>
            </w:r>
            <w:r w:rsidRPr="003E2544">
              <w:rPr>
                <w:rFonts w:ascii="Verdana" w:eastAsia="Times New Roman" w:hAnsi="Verdana" w:cs="Calibri"/>
                <w:color w:val="000000" w:themeColor="text1"/>
                <w:sz w:val="16"/>
                <w:szCs w:val="16"/>
                <w:lang w:eastAsia="ja-JP"/>
              </w:rPr>
              <w:t>% (Education-</w:t>
            </w:r>
            <w:r w:rsidR="00C25311" w:rsidRPr="003E2544">
              <w:rPr>
                <w:rFonts w:ascii="Verdana" w:eastAsia="Times New Roman" w:hAnsi="Verdana" w:cs="Calibri"/>
                <w:color w:val="000000" w:themeColor="text1"/>
                <w:sz w:val="16"/>
                <w:szCs w:val="16"/>
                <w:lang w:eastAsia="ja-JP"/>
              </w:rPr>
              <w:t>8</w:t>
            </w:r>
            <w:r w:rsidRPr="003E2544">
              <w:rPr>
                <w:rFonts w:ascii="Verdana" w:eastAsia="Times New Roman" w:hAnsi="Verdana" w:cs="Calibri"/>
                <w:color w:val="000000" w:themeColor="text1"/>
                <w:sz w:val="16"/>
                <w:szCs w:val="16"/>
                <w:lang w:eastAsia="ja-JP"/>
              </w:rPr>
              <w:t xml:space="preserve">%; Health-3%; </w:t>
            </w:r>
            <w:r w:rsidR="00175DF8" w:rsidRPr="003E2544" w:rsidDel="000E414D">
              <w:rPr>
                <w:rFonts w:ascii="Verdana" w:eastAsia="Times New Roman" w:hAnsi="Verdana" w:cs="Calibri"/>
                <w:color w:val="000000" w:themeColor="text1"/>
                <w:sz w:val="16"/>
                <w:szCs w:val="16"/>
                <w:lang w:eastAsia="ja-JP"/>
              </w:rPr>
              <w:t xml:space="preserve">Social and Humanitarian Affairs </w:t>
            </w:r>
            <w:r w:rsidRPr="003E2544">
              <w:rPr>
                <w:rFonts w:ascii="Verdana" w:eastAsia="Times New Roman" w:hAnsi="Verdana" w:cs="Calibri"/>
                <w:color w:val="000000" w:themeColor="text1"/>
                <w:sz w:val="16"/>
                <w:szCs w:val="16"/>
                <w:lang w:eastAsia="ja-JP"/>
              </w:rPr>
              <w:t>–</w:t>
            </w:r>
            <w:r w:rsidR="00175DF8" w:rsidRPr="003E2544">
              <w:rPr>
                <w:rFonts w:ascii="Verdana" w:eastAsia="Times New Roman" w:hAnsi="Verdana" w:cs="Calibri"/>
                <w:color w:val="000000" w:themeColor="text1"/>
                <w:sz w:val="16"/>
                <w:szCs w:val="16"/>
                <w:lang w:eastAsia="ja-JP"/>
              </w:rPr>
              <w:t xml:space="preserve"> </w:t>
            </w:r>
            <w:r w:rsidR="002F19CB" w:rsidRPr="003E2544">
              <w:rPr>
                <w:rFonts w:ascii="Verdana" w:eastAsia="Times New Roman" w:hAnsi="Verdana" w:cs="Calibri"/>
                <w:color w:val="000000" w:themeColor="text1"/>
                <w:sz w:val="16"/>
                <w:szCs w:val="16"/>
                <w:lang w:eastAsia="ja-JP"/>
              </w:rPr>
              <w:t>4</w:t>
            </w:r>
            <w:r w:rsidRPr="003E2544">
              <w:rPr>
                <w:rFonts w:ascii="Verdana" w:eastAsia="Times New Roman" w:hAnsi="Verdana" w:cs="Calibri"/>
                <w:color w:val="000000" w:themeColor="text1"/>
                <w:sz w:val="16"/>
                <w:szCs w:val="16"/>
                <w:lang w:eastAsia="ja-JP"/>
              </w:rPr>
              <w:t>%)</w:t>
            </w:r>
          </w:p>
          <w:p w14:paraId="7245B70C" w14:textId="77777777" w:rsidR="004317CC" w:rsidRPr="003E2544" w:rsidRDefault="004317CC" w:rsidP="00245274">
            <w:pPr>
              <w:spacing w:line="240" w:lineRule="auto"/>
              <w:jc w:val="center"/>
              <w:rPr>
                <w:rFonts w:ascii="Verdana" w:eastAsia="Times New Roman" w:hAnsi="Verdana" w:cs="Calibri"/>
                <w:b/>
                <w:bCs/>
                <w:color w:val="000000" w:themeColor="text1"/>
                <w:sz w:val="16"/>
                <w:szCs w:val="16"/>
                <w:lang w:eastAsia="ja-JP"/>
              </w:rPr>
            </w:pPr>
          </w:p>
          <w:p w14:paraId="370D7B34" w14:textId="1B3C4592" w:rsidR="004317CC" w:rsidRPr="003E2544" w:rsidRDefault="00871CDB" w:rsidP="00245274">
            <w:pPr>
              <w:spacing w:line="240" w:lineRule="auto"/>
              <w:jc w:val="center"/>
              <w:rPr>
                <w:rFonts w:ascii="Verdana" w:eastAsia="Times New Roman" w:hAnsi="Verdana" w:cs="Calibri"/>
                <w:b/>
                <w:bCs/>
                <w:color w:val="000000" w:themeColor="text1"/>
                <w:sz w:val="16"/>
                <w:szCs w:val="16"/>
                <w:lang w:eastAsia="ja-JP"/>
              </w:rPr>
            </w:pPr>
            <w:r w:rsidRPr="003E2544">
              <w:rPr>
                <w:rFonts w:ascii="Verdana" w:eastAsia="Times New Roman" w:hAnsi="Verdana" w:cs="Calibri"/>
                <w:b/>
                <w:bCs/>
                <w:color w:val="000000" w:themeColor="text1"/>
                <w:sz w:val="16"/>
                <w:szCs w:val="16"/>
                <w:lang w:eastAsia="ja-JP"/>
              </w:rPr>
              <w:t xml:space="preserve"> </w:t>
            </w:r>
            <w:r w:rsidR="004317CC" w:rsidRPr="003E2544">
              <w:rPr>
                <w:rFonts w:ascii="Verdana" w:eastAsia="Times New Roman" w:hAnsi="Verdana" w:cs="Calibri"/>
                <w:b/>
                <w:bCs/>
                <w:color w:val="000000" w:themeColor="text1"/>
                <w:sz w:val="16"/>
                <w:szCs w:val="16"/>
                <w:lang w:eastAsia="ja-JP"/>
              </w:rPr>
              <w:t>Type of funding flow</w:t>
            </w:r>
          </w:p>
          <w:p w14:paraId="0EA0D6A5" w14:textId="77777777" w:rsidR="00871CDB" w:rsidRPr="003E2544" w:rsidRDefault="004317CC" w:rsidP="00245274">
            <w:pPr>
              <w:spacing w:line="240" w:lineRule="auto"/>
              <w:jc w:val="center"/>
              <w:rPr>
                <w:rFonts w:ascii="Verdana" w:eastAsia="Times New Roman" w:hAnsi="Verdana" w:cs="Calibri"/>
                <w:color w:val="000000" w:themeColor="text1"/>
                <w:sz w:val="16"/>
                <w:szCs w:val="16"/>
                <w:lang w:eastAsia="ja-JP"/>
              </w:rPr>
            </w:pPr>
            <w:r w:rsidRPr="003E2544">
              <w:rPr>
                <w:rFonts w:ascii="Verdana" w:eastAsia="Times New Roman" w:hAnsi="Verdana" w:cs="Calibri"/>
                <w:color w:val="000000" w:themeColor="text1"/>
                <w:sz w:val="16"/>
                <w:szCs w:val="16"/>
                <w:lang w:eastAsia="ja-JP"/>
              </w:rPr>
              <w:t>To be established with MoFP at inception phase</w:t>
            </w:r>
          </w:p>
          <w:p w14:paraId="6CD87AA2" w14:textId="77777777" w:rsidR="004D188B" w:rsidRPr="003E2544" w:rsidRDefault="004D188B" w:rsidP="00245274">
            <w:pPr>
              <w:spacing w:line="240" w:lineRule="auto"/>
              <w:jc w:val="center"/>
              <w:rPr>
                <w:rFonts w:ascii="Verdana" w:eastAsia="Times New Roman" w:hAnsi="Verdana" w:cs="Calibri"/>
                <w:color w:val="000000" w:themeColor="text1"/>
                <w:sz w:val="16"/>
                <w:szCs w:val="16"/>
                <w:lang w:eastAsia="ja-JP"/>
              </w:rPr>
            </w:pPr>
          </w:p>
          <w:p w14:paraId="4565BE82" w14:textId="77777777" w:rsidR="004D188B" w:rsidRPr="003E2544" w:rsidRDefault="004D188B" w:rsidP="00245274">
            <w:pPr>
              <w:spacing w:line="240" w:lineRule="auto"/>
              <w:jc w:val="center"/>
              <w:rPr>
                <w:rFonts w:ascii="Verdana" w:eastAsia="Times New Roman" w:hAnsi="Verdana" w:cs="Calibri"/>
                <w:b/>
                <w:bCs/>
                <w:color w:val="000000" w:themeColor="text1"/>
                <w:sz w:val="16"/>
                <w:szCs w:val="16"/>
                <w:lang w:eastAsia="ja-JP"/>
              </w:rPr>
            </w:pPr>
            <w:r w:rsidRPr="003E2544">
              <w:rPr>
                <w:rFonts w:ascii="Verdana" w:eastAsia="Times New Roman" w:hAnsi="Verdana" w:cs="Calibri"/>
                <w:b/>
                <w:bCs/>
                <w:color w:val="000000" w:themeColor="text1"/>
                <w:sz w:val="16"/>
                <w:szCs w:val="16"/>
                <w:lang w:eastAsia="ja-JP"/>
              </w:rPr>
              <w:t>State Level</w:t>
            </w:r>
          </w:p>
          <w:p w14:paraId="04DBBB69" w14:textId="648D0C04" w:rsidR="004D188B" w:rsidRPr="003E2544" w:rsidRDefault="004D188B" w:rsidP="00245274">
            <w:pPr>
              <w:spacing w:line="240" w:lineRule="auto"/>
              <w:jc w:val="center"/>
              <w:rPr>
                <w:rFonts w:ascii="Verdana" w:eastAsia="Times New Roman" w:hAnsi="Verdana" w:cs="Calibri"/>
                <w:color w:val="000000" w:themeColor="text1"/>
                <w:sz w:val="16"/>
                <w:szCs w:val="16"/>
                <w:lang w:eastAsia="ja-JP"/>
              </w:rPr>
            </w:pPr>
            <w:r w:rsidRPr="003E2544">
              <w:rPr>
                <w:rFonts w:ascii="Verdana" w:eastAsia="Times New Roman" w:hAnsi="Verdana" w:cs="Calibri"/>
                <w:color w:val="000000" w:themeColor="text1"/>
                <w:sz w:val="16"/>
                <w:szCs w:val="16"/>
                <w:lang w:eastAsia="ja-JP"/>
              </w:rPr>
              <w:t>TBC at inception phase</w:t>
            </w:r>
          </w:p>
        </w:tc>
        <w:tc>
          <w:tcPr>
            <w:tcW w:w="1681" w:type="dxa"/>
            <w:tcBorders>
              <w:top w:val="nil"/>
              <w:left w:val="nil"/>
              <w:bottom w:val="single" w:sz="4" w:space="0" w:color="auto"/>
              <w:right w:val="single" w:sz="4" w:space="0" w:color="auto"/>
            </w:tcBorders>
            <w:shd w:val="clear" w:color="auto" w:fill="auto"/>
            <w:vAlign w:val="center"/>
            <w:hideMark/>
          </w:tcPr>
          <w:p w14:paraId="7CB14CDC" w14:textId="7164A7D4" w:rsidR="00871CDB" w:rsidRPr="003E2544" w:rsidRDefault="00871CDB" w:rsidP="00245274">
            <w:pPr>
              <w:spacing w:line="240" w:lineRule="auto"/>
              <w:jc w:val="center"/>
              <w:rPr>
                <w:rFonts w:ascii="Verdana" w:eastAsia="Times New Roman" w:hAnsi="Verdana" w:cs="Calibri"/>
                <w:sz w:val="18"/>
                <w:szCs w:val="18"/>
                <w:lang w:eastAsia="ja-JP"/>
              </w:rPr>
            </w:pPr>
            <w:r w:rsidRPr="003E2544" w:rsidDel="000E414D">
              <w:rPr>
                <w:rFonts w:ascii="Verdana" w:eastAsia="Times New Roman" w:hAnsi="Verdana" w:cs="Calibri"/>
                <w:sz w:val="18"/>
                <w:szCs w:val="18"/>
                <w:lang w:eastAsia="ja-JP"/>
              </w:rPr>
              <w:t>National and State level budgets</w:t>
            </w:r>
          </w:p>
        </w:tc>
        <w:tc>
          <w:tcPr>
            <w:tcW w:w="1704" w:type="dxa"/>
            <w:tcBorders>
              <w:top w:val="nil"/>
              <w:left w:val="nil"/>
              <w:bottom w:val="single" w:sz="4" w:space="0" w:color="auto"/>
              <w:right w:val="single" w:sz="8" w:space="0" w:color="auto"/>
            </w:tcBorders>
            <w:shd w:val="clear" w:color="auto" w:fill="auto"/>
            <w:vAlign w:val="center"/>
            <w:hideMark/>
          </w:tcPr>
          <w:p w14:paraId="38DE8A16" w14:textId="456EA8C5" w:rsidR="00871CDB" w:rsidRPr="003E2544" w:rsidRDefault="00871CDB"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 xml:space="preserve">UNDP/UNICEF </w:t>
            </w:r>
          </w:p>
        </w:tc>
      </w:tr>
      <w:tr w:rsidR="00871CDB" w:rsidRPr="003E2544" w14:paraId="036F8666" w14:textId="77777777" w:rsidTr="007C4B89">
        <w:trPr>
          <w:trHeight w:val="743"/>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3AF9EC85" w14:textId="77777777" w:rsidR="00871CDB" w:rsidRPr="003E2544" w:rsidRDefault="00871CDB"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2</w:t>
            </w:r>
          </w:p>
        </w:tc>
        <w:tc>
          <w:tcPr>
            <w:tcW w:w="4132" w:type="dxa"/>
            <w:tcBorders>
              <w:top w:val="nil"/>
              <w:left w:val="nil"/>
              <w:bottom w:val="single" w:sz="4" w:space="0" w:color="auto"/>
              <w:right w:val="single" w:sz="4" w:space="0" w:color="auto"/>
            </w:tcBorders>
            <w:shd w:val="clear" w:color="auto" w:fill="auto"/>
            <w:vAlign w:val="center"/>
            <w:hideMark/>
          </w:tcPr>
          <w:p w14:paraId="20F38EF3" w14:textId="77777777" w:rsidR="00871CDB" w:rsidRPr="003E2544" w:rsidRDefault="00871CDB" w:rsidP="00245274">
            <w:pPr>
              <w:spacing w:line="240" w:lineRule="auto"/>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 xml:space="preserve">Primary government expenditures as a proportion of original approved budget (disaggregated by sector (or by budget codes or similar) and state) </w:t>
            </w:r>
            <w:r w:rsidRPr="003E2544">
              <w:rPr>
                <w:rFonts w:ascii="Verdana" w:eastAsia="Times New Roman" w:hAnsi="Verdana" w:cs="Calibri"/>
                <w:b/>
                <w:bCs/>
                <w:color w:val="000000"/>
                <w:sz w:val="18"/>
                <w:szCs w:val="18"/>
                <w:lang w:eastAsia="ja-JP"/>
              </w:rPr>
              <w:t>- SDG 16.6</w:t>
            </w:r>
          </w:p>
        </w:tc>
        <w:tc>
          <w:tcPr>
            <w:tcW w:w="1591" w:type="dxa"/>
            <w:tcBorders>
              <w:top w:val="nil"/>
              <w:left w:val="nil"/>
              <w:bottom w:val="single" w:sz="4" w:space="0" w:color="auto"/>
              <w:right w:val="single" w:sz="4" w:space="0" w:color="auto"/>
            </w:tcBorders>
            <w:shd w:val="clear" w:color="auto" w:fill="auto"/>
            <w:vAlign w:val="center"/>
            <w:hideMark/>
          </w:tcPr>
          <w:p w14:paraId="173AEA55" w14:textId="77777777" w:rsidR="00871CDB" w:rsidRPr="003E2544" w:rsidRDefault="00871CDB" w:rsidP="00245274">
            <w:pPr>
              <w:spacing w:line="240" w:lineRule="auto"/>
              <w:jc w:val="center"/>
              <w:rPr>
                <w:rFonts w:ascii="Verdana" w:eastAsia="Times New Roman" w:hAnsi="Verdana" w:cs="Calibri"/>
                <w:color w:val="000000" w:themeColor="text1"/>
                <w:sz w:val="16"/>
                <w:szCs w:val="16"/>
                <w:lang w:eastAsia="ja-JP"/>
              </w:rPr>
            </w:pPr>
            <w:r w:rsidRPr="003E2544">
              <w:rPr>
                <w:rFonts w:ascii="Verdana" w:eastAsia="Times New Roman" w:hAnsi="Verdana" w:cs="Calibri"/>
                <w:color w:val="000000" w:themeColor="text1"/>
                <w:sz w:val="16"/>
                <w:szCs w:val="16"/>
                <w:lang w:eastAsia="ja-JP"/>
              </w:rPr>
              <w:t xml:space="preserve">1.5% as per 2019/2020 Budget Speech </w:t>
            </w:r>
          </w:p>
          <w:p w14:paraId="4A3C6A7D" w14:textId="77777777" w:rsidR="00871CDB" w:rsidRPr="003E2544" w:rsidRDefault="00871CDB" w:rsidP="00245274">
            <w:pPr>
              <w:spacing w:line="240" w:lineRule="auto"/>
              <w:jc w:val="center"/>
              <w:rPr>
                <w:rFonts w:ascii="Verdana" w:eastAsia="Times New Roman" w:hAnsi="Verdana" w:cs="Calibri"/>
                <w:color w:val="000000" w:themeColor="text1"/>
                <w:sz w:val="16"/>
                <w:szCs w:val="16"/>
                <w:lang w:eastAsia="ja-JP"/>
              </w:rPr>
            </w:pPr>
          </w:p>
          <w:p w14:paraId="0ACE0C50" w14:textId="77777777" w:rsidR="00871CDB" w:rsidRPr="003E2544" w:rsidRDefault="00871CDB" w:rsidP="00245274">
            <w:pPr>
              <w:spacing w:line="240" w:lineRule="auto"/>
              <w:rPr>
                <w:rFonts w:ascii="Verdana" w:eastAsia="Times New Roman" w:hAnsi="Verdana" w:cs="Calibri"/>
                <w:color w:val="000000" w:themeColor="text1"/>
                <w:sz w:val="16"/>
                <w:szCs w:val="16"/>
                <w:lang w:eastAsia="ja-JP"/>
              </w:rPr>
            </w:pPr>
            <w:r w:rsidRPr="003E2544">
              <w:rPr>
                <w:rFonts w:ascii="Verdana" w:eastAsia="Times New Roman" w:hAnsi="Verdana" w:cs="Calibri"/>
                <w:color w:val="000000" w:themeColor="text1"/>
                <w:sz w:val="16"/>
                <w:szCs w:val="16"/>
                <w:lang w:eastAsia="ja-JP"/>
              </w:rPr>
              <w:t>(FY 2014/2015 to FY2017/2018)</w:t>
            </w:r>
          </w:p>
          <w:p w14:paraId="1DBB16CE" w14:textId="77777777" w:rsidR="00871CDB" w:rsidRPr="003E2544" w:rsidRDefault="00871CDB" w:rsidP="00245274">
            <w:pPr>
              <w:spacing w:line="240" w:lineRule="auto"/>
              <w:jc w:val="center"/>
              <w:rPr>
                <w:rFonts w:ascii="Verdana" w:eastAsia="Times New Roman" w:hAnsi="Verdana" w:cs="Calibri"/>
                <w:color w:val="000000" w:themeColor="text1"/>
                <w:sz w:val="16"/>
                <w:szCs w:val="16"/>
                <w:lang w:eastAsia="ja-JP"/>
              </w:rPr>
            </w:pPr>
          </w:p>
          <w:p w14:paraId="2D66AA17" w14:textId="77777777" w:rsidR="00871CDB" w:rsidRPr="003E2544" w:rsidRDefault="00871CDB" w:rsidP="00245274">
            <w:pPr>
              <w:spacing w:line="240" w:lineRule="auto"/>
              <w:jc w:val="center"/>
              <w:rPr>
                <w:rFonts w:ascii="Verdana" w:eastAsia="Times New Roman" w:hAnsi="Verdana" w:cs="Calibri"/>
                <w:color w:val="000000"/>
                <w:sz w:val="16"/>
                <w:szCs w:val="16"/>
                <w:lang w:eastAsia="ja-JP"/>
              </w:rPr>
            </w:pPr>
            <w:r w:rsidRPr="003E2544">
              <w:rPr>
                <w:rFonts w:ascii="Verdana" w:eastAsia="Times New Roman" w:hAnsi="Verdana" w:cs="Calibri"/>
                <w:color w:val="000000" w:themeColor="text1"/>
                <w:sz w:val="16"/>
                <w:szCs w:val="16"/>
                <w:lang w:eastAsia="ja-JP"/>
              </w:rPr>
              <w:t>Aggregate-30%</w:t>
            </w:r>
          </w:p>
          <w:p w14:paraId="5697F23F" w14:textId="77777777" w:rsidR="00871CDB" w:rsidRPr="003E2544" w:rsidRDefault="00871CDB" w:rsidP="00245274">
            <w:pPr>
              <w:spacing w:line="240" w:lineRule="auto"/>
              <w:jc w:val="center"/>
              <w:rPr>
                <w:rFonts w:ascii="Verdana" w:eastAsia="Times New Roman" w:hAnsi="Verdana" w:cs="Calibri"/>
                <w:color w:val="000000"/>
                <w:sz w:val="16"/>
                <w:szCs w:val="16"/>
                <w:lang w:eastAsia="ja-JP"/>
              </w:rPr>
            </w:pPr>
            <w:r w:rsidRPr="003E2544">
              <w:rPr>
                <w:rFonts w:ascii="Verdana" w:eastAsia="Times New Roman" w:hAnsi="Verdana" w:cs="Calibri"/>
                <w:color w:val="000000" w:themeColor="text1"/>
                <w:sz w:val="16"/>
                <w:szCs w:val="16"/>
                <w:lang w:eastAsia="ja-JP"/>
              </w:rPr>
              <w:t>Educ:  -13%</w:t>
            </w:r>
          </w:p>
          <w:p w14:paraId="1E353614" w14:textId="05F9624D" w:rsidR="00871CDB" w:rsidRPr="003E2544" w:rsidRDefault="00871CDB" w:rsidP="00245274">
            <w:pPr>
              <w:spacing w:line="240" w:lineRule="auto"/>
              <w:jc w:val="center"/>
              <w:rPr>
                <w:rFonts w:ascii="Verdana" w:eastAsia="Times New Roman" w:hAnsi="Verdana" w:cs="Calibri"/>
                <w:color w:val="000000"/>
                <w:sz w:val="16"/>
                <w:szCs w:val="16"/>
                <w:lang w:eastAsia="ja-JP"/>
              </w:rPr>
            </w:pPr>
            <w:r w:rsidRPr="003E2544">
              <w:rPr>
                <w:rFonts w:ascii="Verdana" w:eastAsia="Times New Roman" w:hAnsi="Verdana" w:cs="Calibri"/>
                <w:color w:val="000000" w:themeColor="text1"/>
                <w:sz w:val="16"/>
                <w:szCs w:val="16"/>
                <w:lang w:eastAsia="ja-JP"/>
              </w:rPr>
              <w:t>Health:</w:t>
            </w:r>
            <w:r w:rsidR="00864AEF" w:rsidRPr="003E2544">
              <w:rPr>
                <w:rFonts w:ascii="Verdana" w:eastAsia="Times New Roman" w:hAnsi="Verdana" w:cs="Calibri"/>
                <w:color w:val="000000" w:themeColor="text1"/>
                <w:sz w:val="16"/>
                <w:szCs w:val="16"/>
                <w:lang w:eastAsia="ja-JP"/>
              </w:rPr>
              <w:t xml:space="preserve"> </w:t>
            </w:r>
            <w:r w:rsidRPr="003E2544">
              <w:rPr>
                <w:rFonts w:ascii="Verdana" w:eastAsia="Times New Roman" w:hAnsi="Verdana" w:cs="Calibri"/>
                <w:color w:val="000000" w:themeColor="text1"/>
                <w:sz w:val="16"/>
                <w:szCs w:val="16"/>
                <w:lang w:eastAsia="ja-JP"/>
              </w:rPr>
              <w:t>-53%</w:t>
            </w:r>
          </w:p>
          <w:p w14:paraId="3ABFB195" w14:textId="2D7A456A" w:rsidR="00871CDB" w:rsidRPr="003E2544" w:rsidRDefault="00871CDB" w:rsidP="00245274">
            <w:pPr>
              <w:spacing w:line="240" w:lineRule="auto"/>
              <w:jc w:val="center"/>
              <w:rPr>
                <w:rFonts w:ascii="Verdana" w:eastAsia="Times New Roman" w:hAnsi="Verdana" w:cs="Calibri"/>
                <w:color w:val="000000" w:themeColor="text1"/>
                <w:sz w:val="18"/>
                <w:szCs w:val="18"/>
                <w:lang w:eastAsia="ja-JP"/>
              </w:rPr>
            </w:pPr>
            <w:r w:rsidRPr="003E2544">
              <w:rPr>
                <w:rFonts w:ascii="Verdana" w:eastAsia="Times New Roman" w:hAnsi="Verdana" w:cs="Calibri"/>
                <w:color w:val="000000" w:themeColor="text1"/>
                <w:sz w:val="16"/>
                <w:szCs w:val="16"/>
                <w:lang w:eastAsia="ja-JP"/>
              </w:rPr>
              <w:t xml:space="preserve">Hum: +42% (under-spent overspent average) </w:t>
            </w:r>
          </w:p>
        </w:tc>
        <w:tc>
          <w:tcPr>
            <w:tcW w:w="1371" w:type="dxa"/>
            <w:tcBorders>
              <w:top w:val="nil"/>
              <w:left w:val="nil"/>
              <w:bottom w:val="single" w:sz="4" w:space="0" w:color="auto"/>
              <w:right w:val="single" w:sz="4" w:space="0" w:color="auto"/>
            </w:tcBorders>
            <w:shd w:val="clear" w:color="auto" w:fill="595959" w:themeFill="text1" w:themeFillTint="A6"/>
            <w:vAlign w:val="center"/>
            <w:hideMark/>
          </w:tcPr>
          <w:p w14:paraId="670C6889" w14:textId="09DD071D" w:rsidR="00871CDB" w:rsidRPr="003E2544" w:rsidRDefault="00871CDB" w:rsidP="00245274">
            <w:pPr>
              <w:spacing w:line="240" w:lineRule="auto"/>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 </w:t>
            </w:r>
          </w:p>
        </w:tc>
        <w:tc>
          <w:tcPr>
            <w:tcW w:w="1439" w:type="dxa"/>
            <w:tcBorders>
              <w:top w:val="nil"/>
              <w:left w:val="nil"/>
              <w:bottom w:val="single" w:sz="4" w:space="0" w:color="auto"/>
              <w:right w:val="single" w:sz="4" w:space="0" w:color="auto"/>
            </w:tcBorders>
            <w:shd w:val="clear" w:color="auto" w:fill="auto"/>
            <w:vAlign w:val="center"/>
            <w:hideMark/>
          </w:tcPr>
          <w:p w14:paraId="62132D94" w14:textId="02C06868" w:rsidR="00871CDB" w:rsidRPr="003E2544" w:rsidRDefault="00871CDB"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 xml:space="preserve">To be established with MoFP at inception phase (5% by 2022 TBC) </w:t>
            </w:r>
          </w:p>
        </w:tc>
        <w:tc>
          <w:tcPr>
            <w:tcW w:w="1681" w:type="dxa"/>
            <w:tcBorders>
              <w:top w:val="nil"/>
              <w:left w:val="nil"/>
              <w:bottom w:val="single" w:sz="4" w:space="0" w:color="auto"/>
              <w:right w:val="single" w:sz="4" w:space="0" w:color="auto"/>
            </w:tcBorders>
            <w:shd w:val="clear" w:color="auto" w:fill="auto"/>
            <w:vAlign w:val="center"/>
            <w:hideMark/>
          </w:tcPr>
          <w:p w14:paraId="14C8707E" w14:textId="4B5BDD2A" w:rsidR="00871CDB" w:rsidRPr="003E2544" w:rsidRDefault="00871CDB"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Budgets and expenditure reports</w:t>
            </w:r>
          </w:p>
        </w:tc>
        <w:tc>
          <w:tcPr>
            <w:tcW w:w="1704" w:type="dxa"/>
            <w:tcBorders>
              <w:top w:val="nil"/>
              <w:left w:val="nil"/>
              <w:bottom w:val="single" w:sz="4" w:space="0" w:color="auto"/>
              <w:right w:val="single" w:sz="8" w:space="0" w:color="auto"/>
            </w:tcBorders>
            <w:shd w:val="clear" w:color="auto" w:fill="auto"/>
            <w:vAlign w:val="center"/>
            <w:hideMark/>
          </w:tcPr>
          <w:p w14:paraId="68905090" w14:textId="0AAF6491" w:rsidR="00871CDB" w:rsidRPr="003E2544" w:rsidRDefault="00871CDB"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UNICEF</w:t>
            </w:r>
          </w:p>
        </w:tc>
      </w:tr>
      <w:tr w:rsidR="006866B2" w:rsidRPr="003E2544" w14:paraId="4711422D" w14:textId="77777777" w:rsidTr="007C4B89">
        <w:trPr>
          <w:trHeight w:val="900"/>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2ED4F204" w14:textId="52E6C103" w:rsidR="006866B2" w:rsidRPr="003E2544" w:rsidRDefault="0033728B"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lastRenderedPageBreak/>
              <w:t>3</w:t>
            </w:r>
          </w:p>
        </w:tc>
        <w:tc>
          <w:tcPr>
            <w:tcW w:w="4132" w:type="dxa"/>
            <w:tcBorders>
              <w:top w:val="nil"/>
              <w:left w:val="nil"/>
              <w:bottom w:val="single" w:sz="4" w:space="0" w:color="auto"/>
              <w:right w:val="single" w:sz="4" w:space="0" w:color="auto"/>
            </w:tcBorders>
            <w:shd w:val="clear" w:color="auto" w:fill="auto"/>
            <w:vAlign w:val="center"/>
            <w:hideMark/>
          </w:tcPr>
          <w:p w14:paraId="3A554C82" w14:textId="59DC0B3D" w:rsidR="006866B2" w:rsidRPr="003E2544" w:rsidRDefault="006866B2" w:rsidP="00245274">
            <w:pPr>
              <w:spacing w:line="240" w:lineRule="auto"/>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 xml:space="preserve">Number of national and </w:t>
            </w:r>
            <w:r w:rsidR="009B5B47">
              <w:rPr>
                <w:rFonts w:ascii="Verdana" w:eastAsia="Times New Roman" w:hAnsi="Verdana" w:cs="Calibri"/>
                <w:color w:val="000000" w:themeColor="text1"/>
                <w:sz w:val="18"/>
                <w:szCs w:val="18"/>
                <w:lang w:eastAsia="ja-JP"/>
              </w:rPr>
              <w:t>subnational</w:t>
            </w:r>
            <w:r w:rsidRPr="003E2544">
              <w:rPr>
                <w:rFonts w:ascii="Verdana" w:eastAsia="Times New Roman" w:hAnsi="Verdana" w:cs="Calibri"/>
                <w:color w:val="000000" w:themeColor="text1"/>
                <w:sz w:val="18"/>
                <w:szCs w:val="18"/>
                <w:lang w:eastAsia="ja-JP"/>
              </w:rPr>
              <w:t xml:space="preserve"> development policies, plans, budgets and revenue management systems that are SDG aligned, inclusive and utilize gender disaggregated data </w:t>
            </w:r>
            <w:r w:rsidRPr="003E2544">
              <w:rPr>
                <w:rFonts w:ascii="Verdana" w:eastAsia="Times New Roman" w:hAnsi="Verdana" w:cs="Calibri"/>
                <w:b/>
                <w:bCs/>
                <w:color w:val="000000" w:themeColor="text1"/>
                <w:sz w:val="18"/>
                <w:szCs w:val="18"/>
                <w:lang w:eastAsia="ja-JP"/>
              </w:rPr>
              <w:t>- UNCF Indicator 1.3</w:t>
            </w:r>
          </w:p>
        </w:tc>
        <w:tc>
          <w:tcPr>
            <w:tcW w:w="1591" w:type="dxa"/>
            <w:tcBorders>
              <w:top w:val="nil"/>
              <w:left w:val="nil"/>
              <w:bottom w:val="single" w:sz="4" w:space="0" w:color="auto"/>
              <w:right w:val="single" w:sz="4" w:space="0" w:color="auto"/>
            </w:tcBorders>
            <w:shd w:val="clear" w:color="auto" w:fill="auto"/>
            <w:vAlign w:val="center"/>
            <w:hideMark/>
          </w:tcPr>
          <w:p w14:paraId="7564F4E2" w14:textId="08EE0B9D" w:rsidR="006866B2" w:rsidRPr="003E2544" w:rsidRDefault="006866B2"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1</w:t>
            </w:r>
          </w:p>
        </w:tc>
        <w:tc>
          <w:tcPr>
            <w:tcW w:w="1371" w:type="dxa"/>
            <w:tcBorders>
              <w:top w:val="nil"/>
              <w:left w:val="nil"/>
              <w:bottom w:val="single" w:sz="4" w:space="0" w:color="auto"/>
              <w:right w:val="single" w:sz="4" w:space="0" w:color="auto"/>
            </w:tcBorders>
            <w:shd w:val="clear" w:color="auto" w:fill="595959" w:themeFill="text1" w:themeFillTint="A6"/>
            <w:vAlign w:val="center"/>
            <w:hideMark/>
          </w:tcPr>
          <w:p w14:paraId="3D138441" w14:textId="2F402A60" w:rsidR="006866B2" w:rsidRPr="003E2544" w:rsidRDefault="006866B2" w:rsidP="00245274">
            <w:pPr>
              <w:spacing w:line="240" w:lineRule="auto"/>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 </w:t>
            </w:r>
          </w:p>
        </w:tc>
        <w:tc>
          <w:tcPr>
            <w:tcW w:w="1439" w:type="dxa"/>
            <w:tcBorders>
              <w:top w:val="nil"/>
              <w:left w:val="nil"/>
              <w:bottom w:val="single" w:sz="4" w:space="0" w:color="auto"/>
              <w:right w:val="single" w:sz="4" w:space="0" w:color="auto"/>
            </w:tcBorders>
            <w:shd w:val="clear" w:color="auto" w:fill="auto"/>
            <w:vAlign w:val="center"/>
            <w:hideMark/>
          </w:tcPr>
          <w:p w14:paraId="30C578B9" w14:textId="4BA68263" w:rsidR="006866B2" w:rsidRPr="003E2544" w:rsidRDefault="006866B2"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 xml:space="preserve">5 </w:t>
            </w:r>
          </w:p>
        </w:tc>
        <w:tc>
          <w:tcPr>
            <w:tcW w:w="1681" w:type="dxa"/>
            <w:tcBorders>
              <w:top w:val="nil"/>
              <w:left w:val="nil"/>
              <w:bottom w:val="single" w:sz="4" w:space="0" w:color="auto"/>
              <w:right w:val="single" w:sz="4" w:space="0" w:color="auto"/>
            </w:tcBorders>
            <w:shd w:val="clear" w:color="auto" w:fill="auto"/>
            <w:vAlign w:val="center"/>
            <w:hideMark/>
          </w:tcPr>
          <w:p w14:paraId="22B51325" w14:textId="4DE4DDD1" w:rsidR="006866B2" w:rsidRPr="003E2544" w:rsidRDefault="006866B2"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NDS, INFF, SDSs, Sector Plans and budgets</w:t>
            </w:r>
          </w:p>
        </w:tc>
        <w:tc>
          <w:tcPr>
            <w:tcW w:w="1704" w:type="dxa"/>
            <w:tcBorders>
              <w:top w:val="nil"/>
              <w:left w:val="nil"/>
              <w:bottom w:val="single" w:sz="4" w:space="0" w:color="auto"/>
              <w:right w:val="single" w:sz="8" w:space="0" w:color="auto"/>
            </w:tcBorders>
            <w:shd w:val="clear" w:color="auto" w:fill="auto"/>
            <w:vAlign w:val="center"/>
            <w:hideMark/>
          </w:tcPr>
          <w:p w14:paraId="17AC464A" w14:textId="601E6A33" w:rsidR="006866B2" w:rsidRPr="003E2544" w:rsidRDefault="006866B2"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UNDP</w:t>
            </w:r>
          </w:p>
        </w:tc>
      </w:tr>
      <w:tr w:rsidR="0064198D" w:rsidRPr="003E2544" w14:paraId="1FA1E8CA" w14:textId="77777777" w:rsidTr="77AAF325">
        <w:trPr>
          <w:trHeight w:val="285"/>
        </w:trPr>
        <w:tc>
          <w:tcPr>
            <w:tcW w:w="12940" w:type="dxa"/>
            <w:gridSpan w:val="7"/>
            <w:tcBorders>
              <w:top w:val="single" w:sz="4" w:space="0" w:color="auto"/>
              <w:left w:val="single" w:sz="8" w:space="0" w:color="auto"/>
              <w:bottom w:val="single" w:sz="4" w:space="0" w:color="auto"/>
              <w:right w:val="single" w:sz="8" w:space="0" w:color="000000" w:themeColor="text1"/>
            </w:tcBorders>
            <w:shd w:val="clear" w:color="auto" w:fill="EDEDED" w:themeFill="accent3" w:themeFillTint="33"/>
            <w:vAlign w:val="center"/>
            <w:hideMark/>
          </w:tcPr>
          <w:p w14:paraId="7C248226" w14:textId="72A754FD" w:rsidR="0064198D" w:rsidRPr="003E2544" w:rsidRDefault="08855E22" w:rsidP="00245274">
            <w:pPr>
              <w:tabs>
                <w:tab w:val="left" w:pos="5205"/>
              </w:tabs>
              <w:spacing w:line="240" w:lineRule="auto"/>
              <w:jc w:val="both"/>
              <w:rPr>
                <w:rFonts w:ascii="Verdana" w:hAnsi="Verdana"/>
                <w:sz w:val="18"/>
                <w:szCs w:val="18"/>
              </w:rPr>
            </w:pPr>
            <w:r w:rsidRPr="003E2544">
              <w:rPr>
                <w:rFonts w:ascii="Verdana" w:hAnsi="Verdana"/>
                <w:b/>
                <w:bCs/>
                <w:sz w:val="18"/>
                <w:szCs w:val="18"/>
              </w:rPr>
              <w:t>Output 1.1:</w:t>
            </w:r>
            <w:r w:rsidRPr="003E2544">
              <w:rPr>
                <w:rFonts w:ascii="Verdana" w:hAnsi="Verdana"/>
                <w:sz w:val="18"/>
                <w:szCs w:val="18"/>
              </w:rPr>
              <w:t xml:space="preserve"> </w:t>
            </w:r>
            <w:r w:rsidR="373EF6A5" w:rsidRPr="003E2544">
              <w:rPr>
                <w:rFonts w:ascii="Verdana" w:hAnsi="Verdana"/>
                <w:sz w:val="18"/>
                <w:szCs w:val="18"/>
              </w:rPr>
              <w:t xml:space="preserve">15% revenue mobilization increase in </w:t>
            </w:r>
            <w:r w:rsidR="6691F010" w:rsidRPr="003E2544">
              <w:rPr>
                <w:rFonts w:ascii="Verdana" w:hAnsi="Verdana"/>
                <w:sz w:val="18"/>
                <w:szCs w:val="18"/>
              </w:rPr>
              <w:t>Central Equatoria, Western Equatoria and Northern Bahr el Ghazal</w:t>
            </w:r>
            <w:r w:rsidR="373EF6A5" w:rsidRPr="003E2544">
              <w:rPr>
                <w:rFonts w:ascii="Verdana" w:hAnsi="Verdana"/>
                <w:sz w:val="18"/>
                <w:szCs w:val="18"/>
              </w:rPr>
              <w:t xml:space="preserve"> states </w:t>
            </w:r>
            <w:r w:rsidR="00C91EA1" w:rsidRPr="008B40DC">
              <w:rPr>
                <w:rFonts w:ascii="Verdana" w:hAnsi="Verdana"/>
                <w:sz w:val="18"/>
                <w:szCs w:val="18"/>
              </w:rPr>
              <w:t>by 202</w:t>
            </w:r>
            <w:r w:rsidR="00C91EA1">
              <w:rPr>
                <w:rFonts w:ascii="Verdana" w:hAnsi="Verdana"/>
                <w:sz w:val="18"/>
                <w:szCs w:val="18"/>
              </w:rPr>
              <w:t>2</w:t>
            </w:r>
          </w:p>
        </w:tc>
      </w:tr>
      <w:tr w:rsidR="00902884" w:rsidRPr="003E2544" w14:paraId="25194861" w14:textId="77777777" w:rsidTr="007C4B89">
        <w:trPr>
          <w:trHeight w:val="495"/>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216C3FF6" w14:textId="77777777" w:rsidR="0064198D" w:rsidRPr="003E2544" w:rsidRDefault="0064198D"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1.1.1</w:t>
            </w:r>
          </w:p>
        </w:tc>
        <w:tc>
          <w:tcPr>
            <w:tcW w:w="4132" w:type="dxa"/>
            <w:tcBorders>
              <w:top w:val="nil"/>
              <w:left w:val="nil"/>
              <w:bottom w:val="single" w:sz="4" w:space="0" w:color="auto"/>
              <w:right w:val="single" w:sz="4" w:space="0" w:color="auto"/>
            </w:tcBorders>
            <w:shd w:val="clear" w:color="auto" w:fill="auto"/>
            <w:vAlign w:val="center"/>
            <w:hideMark/>
          </w:tcPr>
          <w:p w14:paraId="50DE8B25" w14:textId="7BD576FA" w:rsidR="0064198D" w:rsidRPr="003E2544" w:rsidRDefault="08855E22" w:rsidP="00245274">
            <w:pPr>
              <w:spacing w:line="240" w:lineRule="auto"/>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 xml:space="preserve">% increase in non-oil revenue </w:t>
            </w:r>
            <w:r w:rsidR="170F5436" w:rsidRPr="003E2544">
              <w:rPr>
                <w:rFonts w:ascii="Verdana" w:eastAsia="Times New Roman" w:hAnsi="Verdana" w:cs="Calibri"/>
                <w:color w:val="000000" w:themeColor="text1"/>
                <w:sz w:val="18"/>
                <w:szCs w:val="18"/>
                <w:lang w:eastAsia="ja-JP"/>
              </w:rPr>
              <w:t>mobilization</w:t>
            </w:r>
            <w:r w:rsidRPr="003E2544">
              <w:rPr>
                <w:rFonts w:ascii="Verdana" w:eastAsia="Times New Roman" w:hAnsi="Verdana" w:cs="Calibri"/>
                <w:color w:val="000000" w:themeColor="text1"/>
                <w:sz w:val="18"/>
                <w:szCs w:val="18"/>
                <w:lang w:eastAsia="ja-JP"/>
              </w:rPr>
              <w:t xml:space="preserve"> in</w:t>
            </w:r>
            <w:r w:rsidR="468642D6" w:rsidRPr="003E2544">
              <w:rPr>
                <w:rFonts w:ascii="Verdana" w:eastAsia="Times New Roman" w:hAnsi="Verdana" w:cs="Calibri"/>
                <w:color w:val="000000" w:themeColor="text1"/>
                <w:sz w:val="18"/>
                <w:szCs w:val="18"/>
                <w:lang w:eastAsia="ja-JP"/>
              </w:rPr>
              <w:t xml:space="preserve"> Central Equatoria, Western Equatoria and Northern Bahr el Ghazal</w:t>
            </w:r>
            <w:r w:rsidRPr="003E2544">
              <w:rPr>
                <w:rFonts w:ascii="Verdana" w:eastAsia="Times New Roman" w:hAnsi="Verdana" w:cs="Calibri"/>
                <w:color w:val="000000" w:themeColor="text1"/>
                <w:sz w:val="18"/>
                <w:szCs w:val="18"/>
                <w:lang w:eastAsia="ja-JP"/>
              </w:rPr>
              <w:t xml:space="preserve"> states </w:t>
            </w:r>
            <w:r w:rsidRPr="003E2544">
              <w:rPr>
                <w:rFonts w:ascii="Verdana" w:eastAsia="Times New Roman" w:hAnsi="Verdana" w:cs="Calibri"/>
                <w:b/>
                <w:bCs/>
                <w:color w:val="000000" w:themeColor="text1"/>
                <w:sz w:val="18"/>
                <w:szCs w:val="18"/>
                <w:lang w:eastAsia="ja-JP"/>
              </w:rPr>
              <w:t>- SDG 17.1</w:t>
            </w:r>
          </w:p>
        </w:tc>
        <w:tc>
          <w:tcPr>
            <w:tcW w:w="1591" w:type="dxa"/>
            <w:tcBorders>
              <w:top w:val="nil"/>
              <w:left w:val="nil"/>
              <w:bottom w:val="single" w:sz="4" w:space="0" w:color="auto"/>
              <w:right w:val="single" w:sz="4" w:space="0" w:color="auto"/>
            </w:tcBorders>
            <w:shd w:val="clear" w:color="auto" w:fill="auto"/>
            <w:vAlign w:val="center"/>
            <w:hideMark/>
          </w:tcPr>
          <w:p w14:paraId="048CEEED" w14:textId="5B149B3A" w:rsidR="0064198D" w:rsidRPr="003E2544" w:rsidRDefault="209CC543" w:rsidP="00245274">
            <w:pPr>
              <w:spacing w:line="240" w:lineRule="auto"/>
              <w:jc w:val="center"/>
              <w:rPr>
                <w:rFonts w:ascii="Verdana" w:eastAsia="Times New Roman" w:hAnsi="Verdana" w:cs="Calibri"/>
                <w:color w:val="000000"/>
                <w:sz w:val="18"/>
                <w:szCs w:val="18"/>
                <w:lang w:eastAsia="ja-JP"/>
              </w:rPr>
            </w:pPr>
            <w:r w:rsidRPr="003E2544">
              <w:rPr>
                <w:rFonts w:ascii="Verdana" w:hAnsi="Verdana"/>
                <w:color w:val="000000" w:themeColor="text1"/>
                <w:sz w:val="18"/>
                <w:szCs w:val="18"/>
              </w:rPr>
              <w:t>TBC</w:t>
            </w:r>
            <w:r w:rsidR="0064198D" w:rsidRPr="003E2544">
              <w:rPr>
                <w:rStyle w:val="FootnoteReference"/>
                <w:rFonts w:ascii="Verdana" w:hAnsi="Verdana"/>
                <w:color w:val="000000" w:themeColor="text1"/>
                <w:sz w:val="18"/>
                <w:szCs w:val="18"/>
              </w:rPr>
              <w:footnoteReference w:id="34"/>
            </w:r>
          </w:p>
        </w:tc>
        <w:tc>
          <w:tcPr>
            <w:tcW w:w="1371" w:type="dxa"/>
            <w:tcBorders>
              <w:top w:val="nil"/>
              <w:left w:val="nil"/>
              <w:bottom w:val="single" w:sz="4" w:space="0" w:color="auto"/>
              <w:right w:val="single" w:sz="4" w:space="0" w:color="auto"/>
            </w:tcBorders>
            <w:shd w:val="clear" w:color="auto" w:fill="auto"/>
            <w:vAlign w:val="center"/>
            <w:hideMark/>
          </w:tcPr>
          <w:p w14:paraId="2DB69D77" w14:textId="77777777" w:rsidR="0064198D" w:rsidRPr="003E2544" w:rsidRDefault="0064198D"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7%</w:t>
            </w:r>
          </w:p>
        </w:tc>
        <w:tc>
          <w:tcPr>
            <w:tcW w:w="1439" w:type="dxa"/>
            <w:tcBorders>
              <w:top w:val="nil"/>
              <w:left w:val="nil"/>
              <w:bottom w:val="single" w:sz="4" w:space="0" w:color="auto"/>
              <w:right w:val="single" w:sz="4" w:space="0" w:color="auto"/>
            </w:tcBorders>
            <w:shd w:val="clear" w:color="auto" w:fill="auto"/>
            <w:vAlign w:val="center"/>
            <w:hideMark/>
          </w:tcPr>
          <w:p w14:paraId="51C3ADE1" w14:textId="77777777" w:rsidR="0064198D" w:rsidRPr="003E2544" w:rsidRDefault="0064198D"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15%</w:t>
            </w:r>
          </w:p>
        </w:tc>
        <w:tc>
          <w:tcPr>
            <w:tcW w:w="1681" w:type="dxa"/>
            <w:tcBorders>
              <w:top w:val="nil"/>
              <w:left w:val="nil"/>
              <w:bottom w:val="single" w:sz="4" w:space="0" w:color="auto"/>
              <w:right w:val="single" w:sz="4" w:space="0" w:color="auto"/>
            </w:tcBorders>
            <w:shd w:val="clear" w:color="auto" w:fill="auto"/>
            <w:vAlign w:val="center"/>
            <w:hideMark/>
          </w:tcPr>
          <w:p w14:paraId="5AF26DCC" w14:textId="4FA89B87" w:rsidR="0064198D" w:rsidRPr="003E2544" w:rsidRDefault="4D4BD58C"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Monthly SRA reports, UNDP project progress reports</w:t>
            </w:r>
          </w:p>
        </w:tc>
        <w:tc>
          <w:tcPr>
            <w:tcW w:w="1704" w:type="dxa"/>
            <w:tcBorders>
              <w:top w:val="nil"/>
              <w:left w:val="nil"/>
              <w:bottom w:val="single" w:sz="4" w:space="0" w:color="auto"/>
              <w:right w:val="single" w:sz="8" w:space="0" w:color="auto"/>
            </w:tcBorders>
            <w:shd w:val="clear" w:color="auto" w:fill="auto"/>
            <w:vAlign w:val="center"/>
            <w:hideMark/>
          </w:tcPr>
          <w:p w14:paraId="216B1BE1" w14:textId="77777777" w:rsidR="0064198D" w:rsidRPr="003E2544" w:rsidRDefault="0064198D"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UNDP</w:t>
            </w:r>
          </w:p>
        </w:tc>
      </w:tr>
      <w:tr w:rsidR="00902884" w:rsidRPr="003E2544" w14:paraId="3FCC72D6" w14:textId="77777777" w:rsidTr="007C4B89">
        <w:trPr>
          <w:trHeight w:val="495"/>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55FA6935" w14:textId="77777777" w:rsidR="0064198D" w:rsidRPr="003E2544" w:rsidRDefault="0064198D"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1.1.2</w:t>
            </w:r>
          </w:p>
        </w:tc>
        <w:tc>
          <w:tcPr>
            <w:tcW w:w="4132" w:type="dxa"/>
            <w:tcBorders>
              <w:top w:val="nil"/>
              <w:left w:val="nil"/>
              <w:bottom w:val="single" w:sz="4" w:space="0" w:color="auto"/>
              <w:right w:val="single" w:sz="4" w:space="0" w:color="auto"/>
            </w:tcBorders>
            <w:shd w:val="clear" w:color="auto" w:fill="auto"/>
            <w:vAlign w:val="center"/>
            <w:hideMark/>
          </w:tcPr>
          <w:p w14:paraId="02A30A66" w14:textId="20C4F677" w:rsidR="0064198D" w:rsidRPr="003E2544" w:rsidRDefault="08855E22" w:rsidP="00245274">
            <w:pPr>
              <w:spacing w:line="240" w:lineRule="auto"/>
              <w:rPr>
                <w:rFonts w:ascii="Verdana" w:eastAsia="Times New Roman" w:hAnsi="Verdana" w:cs="Calibri"/>
                <w:color w:val="000000" w:themeColor="text1"/>
                <w:sz w:val="18"/>
                <w:szCs w:val="18"/>
                <w:lang w:eastAsia="ja-JP"/>
              </w:rPr>
            </w:pPr>
            <w:r w:rsidRPr="003E2544">
              <w:rPr>
                <w:rFonts w:ascii="Verdana" w:eastAsia="Times New Roman" w:hAnsi="Verdana" w:cs="Calibri"/>
                <w:color w:val="000000" w:themeColor="text1"/>
                <w:sz w:val="18"/>
                <w:szCs w:val="18"/>
                <w:lang w:eastAsia="ja-JP"/>
              </w:rPr>
              <w:t xml:space="preserve">Number of </w:t>
            </w:r>
            <w:r w:rsidR="40B7DF8E" w:rsidRPr="003E2544">
              <w:rPr>
                <w:rFonts w:ascii="Verdana" w:eastAsia="Times New Roman" w:hAnsi="Verdana" w:cs="Calibri"/>
                <w:color w:val="000000" w:themeColor="text1"/>
                <w:sz w:val="18"/>
                <w:szCs w:val="18"/>
                <w:lang w:eastAsia="ja-JP"/>
              </w:rPr>
              <w:t>states with</w:t>
            </w:r>
            <w:r w:rsidR="31E93A16" w:rsidRPr="003E2544">
              <w:rPr>
                <w:rFonts w:ascii="Verdana" w:eastAsia="Times New Roman" w:hAnsi="Verdana" w:cs="Calibri"/>
                <w:color w:val="000000" w:themeColor="text1"/>
                <w:sz w:val="18"/>
                <w:szCs w:val="18"/>
                <w:lang w:eastAsia="ja-JP"/>
              </w:rPr>
              <w:t xml:space="preserve"> </w:t>
            </w:r>
            <w:r w:rsidR="40B7DF8E" w:rsidRPr="003E2544">
              <w:rPr>
                <w:rFonts w:ascii="Verdana" w:eastAsia="Times New Roman" w:hAnsi="Verdana" w:cs="Calibri"/>
                <w:color w:val="000000" w:themeColor="text1"/>
                <w:sz w:val="18"/>
                <w:szCs w:val="18"/>
                <w:lang w:eastAsia="ja-JP"/>
              </w:rPr>
              <w:t>State Revenue Authority</w:t>
            </w:r>
            <w:r w:rsidR="293CE436" w:rsidRPr="003E2544">
              <w:rPr>
                <w:rFonts w:ascii="Verdana" w:eastAsia="Times New Roman" w:hAnsi="Verdana" w:cs="Calibri"/>
                <w:color w:val="000000" w:themeColor="text1"/>
                <w:sz w:val="18"/>
                <w:szCs w:val="18"/>
                <w:lang w:eastAsia="ja-JP"/>
              </w:rPr>
              <w:t xml:space="preserve"> act revised and enacted</w:t>
            </w:r>
            <w:r w:rsidR="40B7DF8E" w:rsidRPr="003E2544">
              <w:rPr>
                <w:rFonts w:ascii="Verdana" w:eastAsia="Times New Roman" w:hAnsi="Verdana" w:cs="Calibri"/>
                <w:color w:val="000000" w:themeColor="text1"/>
                <w:sz w:val="18"/>
                <w:szCs w:val="18"/>
                <w:lang w:eastAsia="ja-JP"/>
              </w:rPr>
              <w:t xml:space="preserve"> </w:t>
            </w:r>
          </w:p>
        </w:tc>
        <w:tc>
          <w:tcPr>
            <w:tcW w:w="1591" w:type="dxa"/>
            <w:tcBorders>
              <w:top w:val="nil"/>
              <w:left w:val="nil"/>
              <w:bottom w:val="single" w:sz="4" w:space="0" w:color="auto"/>
              <w:right w:val="single" w:sz="4" w:space="0" w:color="auto"/>
            </w:tcBorders>
            <w:shd w:val="clear" w:color="auto" w:fill="auto"/>
            <w:vAlign w:val="center"/>
            <w:hideMark/>
          </w:tcPr>
          <w:p w14:paraId="43D28CFF" w14:textId="5BE39BF0" w:rsidR="0064198D" w:rsidRPr="003E2544" w:rsidRDefault="5E9D7F33"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0</w:t>
            </w:r>
          </w:p>
        </w:tc>
        <w:tc>
          <w:tcPr>
            <w:tcW w:w="1371" w:type="dxa"/>
            <w:tcBorders>
              <w:top w:val="nil"/>
              <w:left w:val="nil"/>
              <w:bottom w:val="single" w:sz="4" w:space="0" w:color="auto"/>
              <w:right w:val="single" w:sz="4" w:space="0" w:color="auto"/>
            </w:tcBorders>
            <w:shd w:val="clear" w:color="auto" w:fill="auto"/>
            <w:vAlign w:val="center"/>
            <w:hideMark/>
          </w:tcPr>
          <w:p w14:paraId="7F77F757" w14:textId="2077A5E5" w:rsidR="0064198D" w:rsidRPr="003E2544" w:rsidRDefault="2EA747C8"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2</w:t>
            </w:r>
          </w:p>
        </w:tc>
        <w:tc>
          <w:tcPr>
            <w:tcW w:w="1439" w:type="dxa"/>
            <w:tcBorders>
              <w:top w:val="nil"/>
              <w:left w:val="nil"/>
              <w:bottom w:val="single" w:sz="4" w:space="0" w:color="auto"/>
              <w:right w:val="single" w:sz="4" w:space="0" w:color="auto"/>
            </w:tcBorders>
            <w:shd w:val="clear" w:color="auto" w:fill="auto"/>
            <w:vAlign w:val="center"/>
            <w:hideMark/>
          </w:tcPr>
          <w:p w14:paraId="3858BA3E" w14:textId="31403B8F" w:rsidR="0064198D" w:rsidRPr="003E2544" w:rsidRDefault="5E9D7F33"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3</w:t>
            </w:r>
          </w:p>
        </w:tc>
        <w:tc>
          <w:tcPr>
            <w:tcW w:w="1681" w:type="dxa"/>
            <w:tcBorders>
              <w:top w:val="nil"/>
              <w:left w:val="nil"/>
              <w:bottom w:val="single" w:sz="4" w:space="0" w:color="auto"/>
              <w:right w:val="single" w:sz="4" w:space="0" w:color="auto"/>
            </w:tcBorders>
            <w:shd w:val="clear" w:color="auto" w:fill="auto"/>
            <w:vAlign w:val="center"/>
            <w:hideMark/>
          </w:tcPr>
          <w:p w14:paraId="3EEDBD42" w14:textId="67350CAD" w:rsidR="0064198D" w:rsidRPr="003E2544" w:rsidRDefault="5E9D7F33"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State Legislative Assembly report</w:t>
            </w:r>
          </w:p>
        </w:tc>
        <w:tc>
          <w:tcPr>
            <w:tcW w:w="1704" w:type="dxa"/>
            <w:tcBorders>
              <w:top w:val="nil"/>
              <w:left w:val="nil"/>
              <w:bottom w:val="single" w:sz="4" w:space="0" w:color="auto"/>
              <w:right w:val="single" w:sz="8" w:space="0" w:color="auto"/>
            </w:tcBorders>
            <w:shd w:val="clear" w:color="auto" w:fill="auto"/>
            <w:vAlign w:val="center"/>
            <w:hideMark/>
          </w:tcPr>
          <w:p w14:paraId="4182538F" w14:textId="77777777" w:rsidR="0064198D" w:rsidRPr="003E2544" w:rsidRDefault="0064198D"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UNDP</w:t>
            </w:r>
          </w:p>
        </w:tc>
      </w:tr>
      <w:tr w:rsidR="00902884" w:rsidRPr="003E2544" w14:paraId="72FF7675" w14:textId="77777777" w:rsidTr="007C4B89">
        <w:trPr>
          <w:trHeight w:val="285"/>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6D280182" w14:textId="223FB777" w:rsidR="1FB0D1D2" w:rsidRPr="003E2544" w:rsidRDefault="1FB0D1D2" w:rsidP="00245274">
            <w:pPr>
              <w:spacing w:line="240" w:lineRule="auto"/>
              <w:jc w:val="center"/>
              <w:rPr>
                <w:rFonts w:ascii="Verdana" w:eastAsia="Times New Roman" w:hAnsi="Verdana" w:cs="Calibri"/>
                <w:color w:val="000000" w:themeColor="text1"/>
                <w:sz w:val="18"/>
                <w:szCs w:val="18"/>
                <w:lang w:eastAsia="ja-JP"/>
              </w:rPr>
            </w:pPr>
            <w:r w:rsidRPr="003E2544">
              <w:rPr>
                <w:rFonts w:ascii="Verdana" w:eastAsia="Times New Roman" w:hAnsi="Verdana" w:cs="Calibri"/>
                <w:color w:val="000000" w:themeColor="text1"/>
                <w:sz w:val="18"/>
                <w:szCs w:val="18"/>
                <w:lang w:eastAsia="ja-JP"/>
              </w:rPr>
              <w:t>1.1.3</w:t>
            </w:r>
          </w:p>
        </w:tc>
        <w:tc>
          <w:tcPr>
            <w:tcW w:w="4132" w:type="dxa"/>
            <w:tcBorders>
              <w:top w:val="nil"/>
              <w:left w:val="nil"/>
              <w:bottom w:val="single" w:sz="4" w:space="0" w:color="auto"/>
              <w:right w:val="single" w:sz="4" w:space="0" w:color="auto"/>
            </w:tcBorders>
            <w:shd w:val="clear" w:color="auto" w:fill="auto"/>
            <w:vAlign w:val="center"/>
            <w:hideMark/>
          </w:tcPr>
          <w:p w14:paraId="114299A4" w14:textId="278E9918" w:rsidR="1FB0D1D2" w:rsidRPr="003E2544" w:rsidRDefault="1FB0D1D2" w:rsidP="00245274">
            <w:pPr>
              <w:spacing w:line="240" w:lineRule="auto"/>
              <w:rPr>
                <w:rFonts w:ascii="Verdana" w:eastAsia="Times New Roman" w:hAnsi="Verdana" w:cs="Calibri"/>
                <w:color w:val="000000" w:themeColor="text1"/>
                <w:sz w:val="18"/>
                <w:szCs w:val="18"/>
                <w:lang w:eastAsia="ja-JP"/>
              </w:rPr>
            </w:pPr>
            <w:r w:rsidRPr="003E2544">
              <w:rPr>
                <w:rFonts w:ascii="Verdana" w:eastAsia="Times New Roman" w:hAnsi="Verdana" w:cs="Calibri"/>
                <w:color w:val="000000" w:themeColor="text1"/>
                <w:sz w:val="18"/>
                <w:szCs w:val="18"/>
                <w:lang w:eastAsia="ja-JP"/>
              </w:rPr>
              <w:t>Number of taxpayers registered (disaggregated by states and gender)</w:t>
            </w:r>
          </w:p>
        </w:tc>
        <w:tc>
          <w:tcPr>
            <w:tcW w:w="1591" w:type="dxa"/>
            <w:tcBorders>
              <w:top w:val="nil"/>
              <w:left w:val="nil"/>
              <w:bottom w:val="single" w:sz="4" w:space="0" w:color="auto"/>
              <w:right w:val="single" w:sz="4" w:space="0" w:color="auto"/>
            </w:tcBorders>
            <w:shd w:val="clear" w:color="auto" w:fill="auto"/>
            <w:vAlign w:val="center"/>
            <w:hideMark/>
          </w:tcPr>
          <w:p w14:paraId="56822D1A" w14:textId="095F7171" w:rsidR="241EFCDD" w:rsidRPr="003E2544" w:rsidRDefault="4BD2F537" w:rsidP="00245274">
            <w:pPr>
              <w:spacing w:line="240" w:lineRule="auto"/>
              <w:jc w:val="center"/>
              <w:rPr>
                <w:rFonts w:ascii="Verdana" w:eastAsia="Times New Roman" w:hAnsi="Verdana" w:cs="Calibri"/>
                <w:color w:val="000000" w:themeColor="text1"/>
                <w:sz w:val="18"/>
                <w:szCs w:val="18"/>
                <w:lang w:eastAsia="ja-JP"/>
              </w:rPr>
            </w:pPr>
            <w:r w:rsidRPr="003E2544">
              <w:rPr>
                <w:rFonts w:ascii="Verdana" w:eastAsia="Times New Roman" w:hAnsi="Verdana" w:cs="Calibri"/>
                <w:color w:val="000000" w:themeColor="text1"/>
                <w:sz w:val="18"/>
                <w:szCs w:val="18"/>
                <w:lang w:eastAsia="ja-JP"/>
              </w:rPr>
              <w:t>0</w:t>
            </w:r>
          </w:p>
        </w:tc>
        <w:tc>
          <w:tcPr>
            <w:tcW w:w="1371" w:type="dxa"/>
            <w:tcBorders>
              <w:top w:val="nil"/>
              <w:left w:val="nil"/>
              <w:bottom w:val="single" w:sz="4" w:space="0" w:color="auto"/>
              <w:right w:val="single" w:sz="4" w:space="0" w:color="auto"/>
            </w:tcBorders>
            <w:shd w:val="clear" w:color="auto" w:fill="3B3838" w:themeFill="background2" w:themeFillShade="40"/>
            <w:vAlign w:val="center"/>
            <w:hideMark/>
          </w:tcPr>
          <w:p w14:paraId="7975B144" w14:textId="1A1C213E" w:rsidR="241EFCDD" w:rsidRPr="003E2544" w:rsidRDefault="241EFCDD" w:rsidP="00245274">
            <w:pPr>
              <w:spacing w:line="240" w:lineRule="auto"/>
              <w:rPr>
                <w:rFonts w:ascii="Verdana" w:hAnsi="Verdana"/>
                <w:highlight w:val="yellow"/>
              </w:rPr>
            </w:pPr>
          </w:p>
        </w:tc>
        <w:tc>
          <w:tcPr>
            <w:tcW w:w="1439" w:type="dxa"/>
            <w:tcBorders>
              <w:top w:val="nil"/>
              <w:left w:val="nil"/>
              <w:bottom w:val="single" w:sz="4" w:space="0" w:color="auto"/>
              <w:right w:val="single" w:sz="4" w:space="0" w:color="auto"/>
            </w:tcBorders>
            <w:shd w:val="clear" w:color="auto" w:fill="auto"/>
            <w:vAlign w:val="center"/>
            <w:hideMark/>
          </w:tcPr>
          <w:p w14:paraId="072B3A3E" w14:textId="5F959689" w:rsidR="241EFCDD" w:rsidRPr="003E2544" w:rsidRDefault="4BD2F537" w:rsidP="00245274">
            <w:pPr>
              <w:spacing w:line="240" w:lineRule="auto"/>
              <w:rPr>
                <w:rFonts w:ascii="Verdana" w:eastAsia="Times New Roman" w:hAnsi="Verdana" w:cs="Calibri"/>
                <w:color w:val="000000" w:themeColor="text1"/>
                <w:sz w:val="18"/>
                <w:szCs w:val="18"/>
                <w:lang w:eastAsia="ja-JP"/>
              </w:rPr>
            </w:pPr>
            <w:r w:rsidRPr="003E2544">
              <w:rPr>
                <w:rFonts w:ascii="Verdana" w:eastAsia="Times New Roman" w:hAnsi="Verdana" w:cs="Calibri"/>
                <w:color w:val="000000" w:themeColor="text1"/>
                <w:sz w:val="18"/>
                <w:szCs w:val="18"/>
                <w:lang w:eastAsia="ja-JP"/>
              </w:rPr>
              <w:t>T</w:t>
            </w:r>
            <w:r w:rsidR="2A3C3977" w:rsidRPr="003E2544">
              <w:rPr>
                <w:rFonts w:ascii="Verdana" w:eastAsia="Times New Roman" w:hAnsi="Verdana" w:cs="Calibri"/>
                <w:color w:val="000000" w:themeColor="text1"/>
                <w:sz w:val="18"/>
                <w:szCs w:val="18"/>
                <w:lang w:eastAsia="ja-JP"/>
              </w:rPr>
              <w:t>o be established with MoFP</w:t>
            </w:r>
            <w:r w:rsidR="196EB331" w:rsidRPr="003E2544">
              <w:rPr>
                <w:rFonts w:ascii="Verdana" w:eastAsia="Times New Roman" w:hAnsi="Verdana" w:cs="Calibri"/>
                <w:color w:val="000000" w:themeColor="text1"/>
                <w:sz w:val="18"/>
                <w:szCs w:val="18"/>
                <w:lang w:eastAsia="ja-JP"/>
              </w:rPr>
              <w:t>/NRA</w:t>
            </w:r>
            <w:r w:rsidR="2A3C3977" w:rsidRPr="003E2544">
              <w:rPr>
                <w:rFonts w:ascii="Verdana" w:eastAsia="Times New Roman" w:hAnsi="Verdana" w:cs="Calibri"/>
                <w:color w:val="000000" w:themeColor="text1"/>
                <w:sz w:val="18"/>
                <w:szCs w:val="18"/>
                <w:lang w:eastAsia="ja-JP"/>
              </w:rPr>
              <w:t xml:space="preserve"> at inception phase</w:t>
            </w:r>
          </w:p>
        </w:tc>
        <w:tc>
          <w:tcPr>
            <w:tcW w:w="1681" w:type="dxa"/>
            <w:tcBorders>
              <w:top w:val="nil"/>
              <w:left w:val="nil"/>
              <w:bottom w:val="single" w:sz="4" w:space="0" w:color="auto"/>
              <w:right w:val="single" w:sz="4" w:space="0" w:color="auto"/>
            </w:tcBorders>
            <w:shd w:val="clear" w:color="auto" w:fill="auto"/>
            <w:vAlign w:val="center"/>
            <w:hideMark/>
          </w:tcPr>
          <w:p w14:paraId="64BE7F73" w14:textId="785E86A7" w:rsidR="4D4E9FA9" w:rsidRPr="003E2544" w:rsidRDefault="4D4E9FA9" w:rsidP="00245274">
            <w:pPr>
              <w:spacing w:line="240" w:lineRule="auto"/>
              <w:jc w:val="center"/>
              <w:rPr>
                <w:rFonts w:ascii="Verdana" w:eastAsia="Times New Roman" w:hAnsi="Verdana" w:cs="Calibri"/>
                <w:color w:val="000000" w:themeColor="text1"/>
                <w:sz w:val="18"/>
                <w:szCs w:val="18"/>
                <w:lang w:eastAsia="ja-JP"/>
              </w:rPr>
            </w:pPr>
            <w:r w:rsidRPr="003E2544">
              <w:rPr>
                <w:rFonts w:ascii="Verdana" w:eastAsia="Times New Roman" w:hAnsi="Verdana" w:cs="Calibri"/>
                <w:color w:val="000000" w:themeColor="text1"/>
                <w:sz w:val="18"/>
                <w:szCs w:val="18"/>
                <w:lang w:eastAsia="ja-JP"/>
              </w:rPr>
              <w:t>SRA taxpayer database</w:t>
            </w:r>
          </w:p>
        </w:tc>
        <w:tc>
          <w:tcPr>
            <w:tcW w:w="1704" w:type="dxa"/>
            <w:tcBorders>
              <w:top w:val="nil"/>
              <w:left w:val="nil"/>
              <w:bottom w:val="single" w:sz="4" w:space="0" w:color="auto"/>
              <w:right w:val="single" w:sz="8" w:space="0" w:color="auto"/>
            </w:tcBorders>
            <w:shd w:val="clear" w:color="auto" w:fill="auto"/>
            <w:vAlign w:val="center"/>
            <w:hideMark/>
          </w:tcPr>
          <w:p w14:paraId="0B88573A" w14:textId="5DE9E246" w:rsidR="4E7C83D4" w:rsidRPr="003E2544" w:rsidRDefault="4E7C83D4" w:rsidP="00245274">
            <w:pPr>
              <w:spacing w:line="240" w:lineRule="auto"/>
              <w:jc w:val="center"/>
              <w:rPr>
                <w:rFonts w:ascii="Verdana" w:eastAsia="Times New Roman" w:hAnsi="Verdana" w:cs="Calibri"/>
                <w:color w:val="000000" w:themeColor="text1"/>
                <w:sz w:val="18"/>
                <w:szCs w:val="18"/>
                <w:lang w:eastAsia="ja-JP"/>
              </w:rPr>
            </w:pPr>
            <w:r w:rsidRPr="003E2544">
              <w:rPr>
                <w:rFonts w:ascii="Verdana" w:eastAsia="Times New Roman" w:hAnsi="Verdana" w:cs="Calibri"/>
                <w:color w:val="000000" w:themeColor="text1"/>
                <w:sz w:val="18"/>
                <w:szCs w:val="18"/>
                <w:lang w:eastAsia="ja-JP"/>
              </w:rPr>
              <w:t>UNDP</w:t>
            </w:r>
          </w:p>
        </w:tc>
      </w:tr>
      <w:tr w:rsidR="00902884" w:rsidRPr="003E2544" w14:paraId="28EC3A7E" w14:textId="77777777" w:rsidTr="007C4B89">
        <w:trPr>
          <w:trHeight w:val="285"/>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215E4613" w14:textId="0251CCF1" w:rsidR="0064198D" w:rsidRPr="003E2544" w:rsidRDefault="08855E22"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1.1.</w:t>
            </w:r>
            <w:r w:rsidR="14034443" w:rsidRPr="003E2544">
              <w:rPr>
                <w:rFonts w:ascii="Verdana" w:eastAsia="Times New Roman" w:hAnsi="Verdana" w:cs="Calibri"/>
                <w:color w:val="000000" w:themeColor="text1"/>
                <w:sz w:val="18"/>
                <w:szCs w:val="18"/>
                <w:lang w:eastAsia="ja-JP"/>
              </w:rPr>
              <w:t>4</w:t>
            </w:r>
          </w:p>
        </w:tc>
        <w:tc>
          <w:tcPr>
            <w:tcW w:w="4132" w:type="dxa"/>
            <w:tcBorders>
              <w:top w:val="nil"/>
              <w:left w:val="nil"/>
              <w:bottom w:val="single" w:sz="4" w:space="0" w:color="auto"/>
              <w:right w:val="single" w:sz="4" w:space="0" w:color="auto"/>
            </w:tcBorders>
            <w:shd w:val="clear" w:color="auto" w:fill="auto"/>
            <w:vAlign w:val="center"/>
            <w:hideMark/>
          </w:tcPr>
          <w:p w14:paraId="38B30192" w14:textId="433EB77A" w:rsidR="0064198D" w:rsidRPr="003E2544" w:rsidRDefault="0064198D" w:rsidP="00245274">
            <w:pPr>
              <w:spacing w:line="240" w:lineRule="auto"/>
              <w:rPr>
                <w:rFonts w:ascii="Verdana" w:eastAsia="Times New Roman" w:hAnsi="Verdana" w:cs="Calibri"/>
                <w:color w:val="000000" w:themeColor="text1"/>
                <w:sz w:val="18"/>
                <w:szCs w:val="18"/>
                <w:lang w:eastAsia="ja-JP"/>
              </w:rPr>
            </w:pPr>
            <w:r w:rsidRPr="003E2544">
              <w:rPr>
                <w:rFonts w:ascii="Verdana" w:eastAsia="Times New Roman" w:hAnsi="Verdana" w:cs="Calibri"/>
                <w:color w:val="000000" w:themeColor="text1"/>
                <w:sz w:val="18"/>
                <w:szCs w:val="18"/>
                <w:lang w:eastAsia="ja-JP"/>
              </w:rPr>
              <w:t>% increase in the number of taxpayers submitting tax returns</w:t>
            </w:r>
          </w:p>
        </w:tc>
        <w:tc>
          <w:tcPr>
            <w:tcW w:w="1591" w:type="dxa"/>
            <w:tcBorders>
              <w:top w:val="nil"/>
              <w:left w:val="nil"/>
              <w:bottom w:val="single" w:sz="4" w:space="0" w:color="auto"/>
              <w:right w:val="single" w:sz="4" w:space="0" w:color="auto"/>
            </w:tcBorders>
            <w:shd w:val="clear" w:color="auto" w:fill="auto"/>
            <w:vAlign w:val="center"/>
            <w:hideMark/>
          </w:tcPr>
          <w:p w14:paraId="4650207F" w14:textId="22413E13" w:rsidR="0064198D" w:rsidRPr="003E2544" w:rsidRDefault="63059440" w:rsidP="00245274">
            <w:pPr>
              <w:spacing w:line="240" w:lineRule="auto"/>
              <w:jc w:val="center"/>
              <w:rPr>
                <w:rFonts w:ascii="Verdana" w:eastAsia="Times New Roman" w:hAnsi="Verdana" w:cs="Calibri"/>
                <w:color w:val="000000" w:themeColor="text1"/>
                <w:sz w:val="18"/>
                <w:szCs w:val="18"/>
                <w:lang w:eastAsia="ja-JP"/>
              </w:rPr>
            </w:pPr>
            <w:r w:rsidRPr="003E2544">
              <w:rPr>
                <w:rFonts w:ascii="Verdana" w:eastAsia="Times New Roman" w:hAnsi="Verdana" w:cs="Calibri"/>
                <w:color w:val="000000" w:themeColor="text1"/>
                <w:sz w:val="18"/>
                <w:szCs w:val="18"/>
                <w:lang w:eastAsia="ja-JP"/>
              </w:rPr>
              <w:t>0</w:t>
            </w:r>
          </w:p>
        </w:tc>
        <w:tc>
          <w:tcPr>
            <w:tcW w:w="1371" w:type="dxa"/>
            <w:tcBorders>
              <w:top w:val="nil"/>
              <w:left w:val="nil"/>
              <w:bottom w:val="single" w:sz="4" w:space="0" w:color="auto"/>
              <w:right w:val="single" w:sz="4" w:space="0" w:color="auto"/>
            </w:tcBorders>
            <w:shd w:val="clear" w:color="auto" w:fill="3B3838" w:themeFill="background2" w:themeFillShade="40"/>
            <w:vAlign w:val="center"/>
            <w:hideMark/>
          </w:tcPr>
          <w:p w14:paraId="0AFB758B" w14:textId="02EEE1CC" w:rsidR="0064198D" w:rsidRPr="003E2544" w:rsidRDefault="0064198D" w:rsidP="00245274">
            <w:pPr>
              <w:spacing w:line="240" w:lineRule="auto"/>
              <w:rPr>
                <w:rFonts w:ascii="Verdana" w:hAnsi="Verdana"/>
                <w:highlight w:val="yellow"/>
              </w:rPr>
            </w:pPr>
          </w:p>
        </w:tc>
        <w:tc>
          <w:tcPr>
            <w:tcW w:w="1439" w:type="dxa"/>
            <w:tcBorders>
              <w:top w:val="nil"/>
              <w:left w:val="nil"/>
              <w:bottom w:val="single" w:sz="4" w:space="0" w:color="auto"/>
              <w:right w:val="single" w:sz="4" w:space="0" w:color="auto"/>
            </w:tcBorders>
            <w:shd w:val="clear" w:color="auto" w:fill="auto"/>
            <w:vAlign w:val="center"/>
            <w:hideMark/>
          </w:tcPr>
          <w:p w14:paraId="6BD8FAF5" w14:textId="0CAD271A" w:rsidR="0064198D" w:rsidRPr="003E2544" w:rsidRDefault="5214B5CE" w:rsidP="00245274">
            <w:pPr>
              <w:spacing w:line="240" w:lineRule="auto"/>
              <w:rPr>
                <w:rFonts w:ascii="Verdana" w:eastAsia="Times New Roman" w:hAnsi="Verdana" w:cs="Calibri"/>
                <w:color w:val="000000" w:themeColor="text1"/>
                <w:sz w:val="18"/>
                <w:szCs w:val="18"/>
                <w:lang w:eastAsia="ja-JP"/>
              </w:rPr>
            </w:pPr>
            <w:r w:rsidRPr="003E2544">
              <w:rPr>
                <w:rFonts w:ascii="Verdana" w:eastAsia="Times New Roman" w:hAnsi="Verdana" w:cs="Calibri"/>
                <w:color w:val="000000" w:themeColor="text1"/>
                <w:sz w:val="18"/>
                <w:szCs w:val="18"/>
                <w:lang w:eastAsia="ja-JP"/>
              </w:rPr>
              <w:t>To be established with MoFP</w:t>
            </w:r>
            <w:r w:rsidR="69228946" w:rsidRPr="003E2544">
              <w:rPr>
                <w:rFonts w:ascii="Verdana" w:eastAsia="Times New Roman" w:hAnsi="Verdana" w:cs="Calibri"/>
                <w:color w:val="000000" w:themeColor="text1"/>
                <w:sz w:val="18"/>
                <w:szCs w:val="18"/>
                <w:lang w:eastAsia="ja-JP"/>
              </w:rPr>
              <w:t>/NRA</w:t>
            </w:r>
            <w:r w:rsidRPr="003E2544">
              <w:rPr>
                <w:rFonts w:ascii="Verdana" w:eastAsia="Times New Roman" w:hAnsi="Verdana" w:cs="Calibri"/>
                <w:color w:val="000000" w:themeColor="text1"/>
                <w:sz w:val="18"/>
                <w:szCs w:val="18"/>
                <w:lang w:eastAsia="ja-JP"/>
              </w:rPr>
              <w:t xml:space="preserve"> at inception phase</w:t>
            </w:r>
          </w:p>
        </w:tc>
        <w:tc>
          <w:tcPr>
            <w:tcW w:w="1681" w:type="dxa"/>
            <w:tcBorders>
              <w:top w:val="nil"/>
              <w:left w:val="nil"/>
              <w:bottom w:val="single" w:sz="4" w:space="0" w:color="auto"/>
              <w:right w:val="single" w:sz="4" w:space="0" w:color="auto"/>
            </w:tcBorders>
            <w:shd w:val="clear" w:color="auto" w:fill="auto"/>
            <w:vAlign w:val="center"/>
            <w:hideMark/>
          </w:tcPr>
          <w:p w14:paraId="7E20824F" w14:textId="34DDFAE1" w:rsidR="0064198D" w:rsidRPr="003E2544" w:rsidRDefault="4818114F"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SRA reports</w:t>
            </w:r>
          </w:p>
        </w:tc>
        <w:tc>
          <w:tcPr>
            <w:tcW w:w="1704" w:type="dxa"/>
            <w:tcBorders>
              <w:top w:val="nil"/>
              <w:left w:val="nil"/>
              <w:bottom w:val="single" w:sz="4" w:space="0" w:color="auto"/>
              <w:right w:val="single" w:sz="8" w:space="0" w:color="auto"/>
            </w:tcBorders>
            <w:shd w:val="clear" w:color="auto" w:fill="auto"/>
            <w:vAlign w:val="center"/>
            <w:hideMark/>
          </w:tcPr>
          <w:p w14:paraId="403413E6" w14:textId="7F141BBF" w:rsidR="0064198D" w:rsidRPr="003E2544" w:rsidRDefault="0064198D"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UNDP</w:t>
            </w:r>
          </w:p>
        </w:tc>
      </w:tr>
      <w:tr w:rsidR="0064198D" w:rsidRPr="00F90D68" w14:paraId="78FDFA1C" w14:textId="77777777" w:rsidTr="77AAF325">
        <w:trPr>
          <w:trHeight w:val="285"/>
        </w:trPr>
        <w:tc>
          <w:tcPr>
            <w:tcW w:w="12940" w:type="dxa"/>
            <w:gridSpan w:val="7"/>
            <w:tcBorders>
              <w:top w:val="single" w:sz="4" w:space="0" w:color="auto"/>
              <w:left w:val="single" w:sz="8" w:space="0" w:color="auto"/>
              <w:bottom w:val="single" w:sz="4" w:space="0" w:color="auto"/>
              <w:right w:val="single" w:sz="8" w:space="0" w:color="000000" w:themeColor="text1"/>
            </w:tcBorders>
            <w:shd w:val="clear" w:color="auto" w:fill="EDEDED" w:themeFill="accent3" w:themeFillTint="33"/>
            <w:vAlign w:val="center"/>
            <w:hideMark/>
          </w:tcPr>
          <w:p w14:paraId="098CC8BF" w14:textId="2672BD40" w:rsidR="0064198D" w:rsidRPr="00F90D68" w:rsidRDefault="00F90D68" w:rsidP="00245274">
            <w:pPr>
              <w:spacing w:line="240" w:lineRule="auto"/>
              <w:rPr>
                <w:rFonts w:ascii="Verdana" w:eastAsia="Times New Roman" w:hAnsi="Verdana" w:cs="Calibri"/>
                <w:b/>
                <w:color w:val="000000" w:themeColor="text1"/>
                <w:sz w:val="18"/>
                <w:szCs w:val="18"/>
                <w:lang w:eastAsia="ja-JP"/>
              </w:rPr>
            </w:pPr>
            <w:r w:rsidRPr="008B40DC">
              <w:rPr>
                <w:rFonts w:ascii="Verdana" w:eastAsia="Times New Roman" w:hAnsi="Verdana" w:cs="Calibri"/>
                <w:b/>
                <w:bCs/>
                <w:sz w:val="18"/>
                <w:szCs w:val="18"/>
                <w:lang w:eastAsia="ja-JP"/>
              </w:rPr>
              <w:t>Output 1.2:</w:t>
            </w:r>
            <w:r w:rsidRPr="008B40DC">
              <w:rPr>
                <w:rFonts w:ascii="Verdana" w:eastAsia="Times New Roman" w:hAnsi="Verdana" w:cs="Calibri"/>
                <w:b/>
                <w:sz w:val="18"/>
                <w:szCs w:val="18"/>
                <w:lang w:eastAsia="ja-JP"/>
              </w:rPr>
              <w:t xml:space="preserve"> </w:t>
            </w:r>
            <w:r w:rsidRPr="008B40DC">
              <w:rPr>
                <w:rFonts w:ascii="Verdana" w:hAnsi="Verdana"/>
                <w:sz w:val="18"/>
                <w:szCs w:val="18"/>
              </w:rPr>
              <w:t>22 strengthened and gender-responsive PFM institutions at national and sub-national levels especially targeting Central Equatoria, Western Equatoria and Northern Bahr el Ghazal states by 202</w:t>
            </w:r>
            <w:r w:rsidR="00C91EA1">
              <w:rPr>
                <w:rFonts w:ascii="Verdana" w:hAnsi="Verdana"/>
                <w:sz w:val="18"/>
                <w:szCs w:val="18"/>
              </w:rPr>
              <w:t>2</w:t>
            </w:r>
          </w:p>
        </w:tc>
      </w:tr>
      <w:tr w:rsidR="00902884" w:rsidRPr="003E2544" w14:paraId="57A40795" w14:textId="77777777" w:rsidTr="007C4B89">
        <w:trPr>
          <w:trHeight w:val="585"/>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42710340" w14:textId="77777777" w:rsidR="0064198D" w:rsidRPr="003E2544" w:rsidRDefault="0064198D"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sz w:val="18"/>
                <w:szCs w:val="18"/>
                <w:lang w:eastAsia="ja-JP"/>
              </w:rPr>
              <w:t>1.2.1</w:t>
            </w:r>
          </w:p>
        </w:tc>
        <w:tc>
          <w:tcPr>
            <w:tcW w:w="4132" w:type="dxa"/>
            <w:tcBorders>
              <w:top w:val="nil"/>
              <w:left w:val="nil"/>
              <w:bottom w:val="single" w:sz="4" w:space="0" w:color="auto"/>
              <w:right w:val="single" w:sz="4" w:space="0" w:color="auto"/>
            </w:tcBorders>
            <w:shd w:val="clear" w:color="auto" w:fill="auto"/>
            <w:vAlign w:val="center"/>
            <w:hideMark/>
          </w:tcPr>
          <w:p w14:paraId="04968A7E" w14:textId="37AAE7A3" w:rsidR="0064198D" w:rsidRPr="003E2544" w:rsidRDefault="015D5FC8" w:rsidP="00245274">
            <w:pPr>
              <w:spacing w:line="240" w:lineRule="auto"/>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 xml:space="preserve">Number of government institutions trained at national/state level </w:t>
            </w:r>
            <w:r w:rsidRPr="003E2544">
              <w:rPr>
                <w:rFonts w:ascii="Verdana" w:eastAsia="Times New Roman" w:hAnsi="Verdana" w:cs="Calibri"/>
                <w:b/>
                <w:bCs/>
                <w:color w:val="000000" w:themeColor="text1"/>
                <w:sz w:val="18"/>
                <w:szCs w:val="18"/>
                <w:lang w:eastAsia="ja-JP"/>
              </w:rPr>
              <w:t>- SDG 16.6</w:t>
            </w:r>
          </w:p>
        </w:tc>
        <w:tc>
          <w:tcPr>
            <w:tcW w:w="1591" w:type="dxa"/>
            <w:tcBorders>
              <w:top w:val="nil"/>
              <w:left w:val="nil"/>
              <w:bottom w:val="single" w:sz="4" w:space="0" w:color="auto"/>
              <w:right w:val="single" w:sz="4" w:space="0" w:color="auto"/>
            </w:tcBorders>
            <w:shd w:val="clear" w:color="auto" w:fill="auto"/>
            <w:vAlign w:val="center"/>
            <w:hideMark/>
          </w:tcPr>
          <w:p w14:paraId="1E4BA7E4" w14:textId="77777777" w:rsidR="0064198D" w:rsidRPr="003E2544" w:rsidRDefault="015D5FC8"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0</w:t>
            </w:r>
          </w:p>
        </w:tc>
        <w:tc>
          <w:tcPr>
            <w:tcW w:w="1371" w:type="dxa"/>
            <w:tcBorders>
              <w:top w:val="nil"/>
              <w:left w:val="nil"/>
              <w:bottom w:val="single" w:sz="4" w:space="0" w:color="auto"/>
              <w:right w:val="single" w:sz="4" w:space="0" w:color="auto"/>
            </w:tcBorders>
            <w:shd w:val="clear" w:color="auto" w:fill="auto"/>
            <w:vAlign w:val="center"/>
            <w:hideMark/>
          </w:tcPr>
          <w:p w14:paraId="57749E6F" w14:textId="04C7B02A" w:rsidR="0064198D" w:rsidRPr="003E2544" w:rsidRDefault="521ED566"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7</w:t>
            </w:r>
            <w:r w:rsidR="0064198D" w:rsidRPr="003E2544">
              <w:rPr>
                <w:rFonts w:ascii="Verdana" w:hAnsi="Verdana"/>
                <w:color w:val="000000" w:themeColor="text1"/>
                <w:sz w:val="18"/>
                <w:vertAlign w:val="superscript"/>
              </w:rPr>
              <w:footnoteReference w:id="35"/>
            </w:r>
          </w:p>
        </w:tc>
        <w:tc>
          <w:tcPr>
            <w:tcW w:w="1439" w:type="dxa"/>
            <w:tcBorders>
              <w:top w:val="nil"/>
              <w:left w:val="nil"/>
              <w:bottom w:val="single" w:sz="4" w:space="0" w:color="auto"/>
              <w:right w:val="single" w:sz="4" w:space="0" w:color="auto"/>
            </w:tcBorders>
            <w:shd w:val="clear" w:color="auto" w:fill="auto"/>
            <w:vAlign w:val="center"/>
            <w:hideMark/>
          </w:tcPr>
          <w:p w14:paraId="2FEEE28A" w14:textId="556D30C8" w:rsidR="0064198D" w:rsidRPr="003E2544" w:rsidRDefault="65CE9CEE"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22</w:t>
            </w:r>
            <w:r w:rsidR="0081738D" w:rsidRPr="003E2544">
              <w:rPr>
                <w:rFonts w:ascii="Verdana" w:hAnsi="Verdana"/>
                <w:color w:val="000000" w:themeColor="text1"/>
                <w:sz w:val="18"/>
                <w:vertAlign w:val="superscript"/>
              </w:rPr>
              <w:footnoteReference w:id="36"/>
            </w:r>
          </w:p>
        </w:tc>
        <w:tc>
          <w:tcPr>
            <w:tcW w:w="1681" w:type="dxa"/>
            <w:tcBorders>
              <w:top w:val="nil"/>
              <w:left w:val="nil"/>
              <w:bottom w:val="single" w:sz="4" w:space="0" w:color="auto"/>
              <w:right w:val="single" w:sz="4" w:space="0" w:color="auto"/>
            </w:tcBorders>
            <w:shd w:val="clear" w:color="auto" w:fill="auto"/>
            <w:vAlign w:val="center"/>
            <w:hideMark/>
          </w:tcPr>
          <w:p w14:paraId="7A759648" w14:textId="52ADF76A" w:rsidR="0064198D" w:rsidRPr="003E2544" w:rsidRDefault="51C07403"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Training reports, project</w:t>
            </w:r>
            <w:r w:rsidR="3F6AAAD5" w:rsidRPr="003E2544">
              <w:rPr>
                <w:rFonts w:ascii="Verdana" w:eastAsia="Times New Roman" w:hAnsi="Verdana" w:cs="Calibri"/>
                <w:color w:val="000000" w:themeColor="text1"/>
                <w:sz w:val="18"/>
                <w:szCs w:val="18"/>
                <w:lang w:eastAsia="ja-JP"/>
              </w:rPr>
              <w:t xml:space="preserve"> progress reports</w:t>
            </w:r>
            <w:r w:rsidRPr="003E2544">
              <w:rPr>
                <w:rFonts w:ascii="Verdana" w:eastAsia="Times New Roman" w:hAnsi="Verdana" w:cs="Calibri"/>
                <w:color w:val="000000" w:themeColor="text1"/>
                <w:sz w:val="18"/>
                <w:szCs w:val="18"/>
                <w:lang w:eastAsia="ja-JP"/>
              </w:rPr>
              <w:t xml:space="preserve"> </w:t>
            </w:r>
          </w:p>
        </w:tc>
        <w:tc>
          <w:tcPr>
            <w:tcW w:w="1704" w:type="dxa"/>
            <w:tcBorders>
              <w:top w:val="nil"/>
              <w:left w:val="nil"/>
              <w:bottom w:val="single" w:sz="4" w:space="0" w:color="auto"/>
              <w:right w:val="single" w:sz="8" w:space="0" w:color="auto"/>
            </w:tcBorders>
            <w:shd w:val="clear" w:color="auto" w:fill="auto"/>
            <w:vAlign w:val="center"/>
            <w:hideMark/>
          </w:tcPr>
          <w:p w14:paraId="0C13334F" w14:textId="77777777" w:rsidR="0064198D" w:rsidRPr="003E2544" w:rsidRDefault="015D5FC8" w:rsidP="00245274">
            <w:pPr>
              <w:spacing w:line="240" w:lineRule="auto"/>
              <w:jc w:val="center"/>
              <w:rPr>
                <w:rFonts w:ascii="Verdana" w:eastAsia="Times New Roman" w:hAnsi="Verdana" w:cs="Calibri"/>
                <w:color w:val="000000"/>
                <w:sz w:val="18"/>
                <w:szCs w:val="18"/>
                <w:lang w:eastAsia="ja-JP"/>
              </w:rPr>
            </w:pPr>
            <w:r w:rsidRPr="003E2544">
              <w:rPr>
                <w:rFonts w:ascii="Verdana" w:eastAsia="Times New Roman" w:hAnsi="Verdana" w:cs="Calibri"/>
                <w:color w:val="000000" w:themeColor="text1"/>
                <w:sz w:val="18"/>
                <w:szCs w:val="18"/>
                <w:lang w:eastAsia="ja-JP"/>
              </w:rPr>
              <w:t>UNDP/UNICEF</w:t>
            </w:r>
          </w:p>
        </w:tc>
      </w:tr>
      <w:tr w:rsidR="00902884" w:rsidRPr="003E2544" w14:paraId="37E9A39B" w14:textId="77777777" w:rsidTr="007C4B89">
        <w:trPr>
          <w:trHeight w:val="900"/>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4AC3CD93" w14:textId="77777777" w:rsidR="0064198D" w:rsidRPr="003E2544" w:rsidRDefault="0064198D"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lastRenderedPageBreak/>
              <w:t>1.2.2</w:t>
            </w:r>
          </w:p>
        </w:tc>
        <w:tc>
          <w:tcPr>
            <w:tcW w:w="4132" w:type="dxa"/>
            <w:tcBorders>
              <w:top w:val="nil"/>
              <w:left w:val="nil"/>
              <w:bottom w:val="single" w:sz="4" w:space="0" w:color="auto"/>
              <w:right w:val="single" w:sz="4" w:space="0" w:color="auto"/>
            </w:tcBorders>
            <w:shd w:val="clear" w:color="auto" w:fill="auto"/>
            <w:vAlign w:val="center"/>
            <w:hideMark/>
          </w:tcPr>
          <w:p w14:paraId="54B25033" w14:textId="7D451F3D" w:rsidR="0064198D" w:rsidRPr="003E2544" w:rsidRDefault="0064198D" w:rsidP="00245274">
            <w:pPr>
              <w:spacing w:line="240" w:lineRule="auto"/>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 xml:space="preserve">Number of government officials trained (disaggregated by national, states, and gender) </w:t>
            </w:r>
            <w:r w:rsidRPr="003E2544">
              <w:rPr>
                <w:rFonts w:ascii="Verdana" w:eastAsia="Times New Roman" w:hAnsi="Verdana" w:cs="Calibri"/>
                <w:b/>
                <w:bCs/>
                <w:sz w:val="18"/>
                <w:szCs w:val="18"/>
                <w:lang w:eastAsia="ja-JP"/>
              </w:rPr>
              <w:t>- SDG 16.6</w:t>
            </w:r>
          </w:p>
        </w:tc>
        <w:tc>
          <w:tcPr>
            <w:tcW w:w="1591" w:type="dxa"/>
            <w:tcBorders>
              <w:top w:val="nil"/>
              <w:left w:val="nil"/>
              <w:bottom w:val="single" w:sz="4" w:space="0" w:color="auto"/>
              <w:right w:val="single" w:sz="4" w:space="0" w:color="auto"/>
            </w:tcBorders>
            <w:shd w:val="clear" w:color="auto" w:fill="auto"/>
            <w:vAlign w:val="center"/>
            <w:hideMark/>
          </w:tcPr>
          <w:p w14:paraId="57BB9F86" w14:textId="77777777" w:rsidR="0064198D" w:rsidRPr="003E2544" w:rsidRDefault="0064198D"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0</w:t>
            </w:r>
          </w:p>
        </w:tc>
        <w:tc>
          <w:tcPr>
            <w:tcW w:w="1371" w:type="dxa"/>
            <w:tcBorders>
              <w:top w:val="nil"/>
              <w:left w:val="nil"/>
              <w:bottom w:val="single" w:sz="4" w:space="0" w:color="auto"/>
              <w:right w:val="single" w:sz="4" w:space="0" w:color="auto"/>
            </w:tcBorders>
            <w:shd w:val="clear" w:color="auto" w:fill="auto"/>
            <w:vAlign w:val="center"/>
            <w:hideMark/>
          </w:tcPr>
          <w:p w14:paraId="53E3C034" w14:textId="667C6225" w:rsidR="0064198D" w:rsidRPr="003E2544" w:rsidRDefault="0064198D"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100 (10 per state, if possible to cover all states)</w:t>
            </w:r>
          </w:p>
        </w:tc>
        <w:tc>
          <w:tcPr>
            <w:tcW w:w="1439" w:type="dxa"/>
            <w:tcBorders>
              <w:top w:val="nil"/>
              <w:left w:val="nil"/>
              <w:bottom w:val="single" w:sz="4" w:space="0" w:color="auto"/>
              <w:right w:val="single" w:sz="4" w:space="0" w:color="auto"/>
            </w:tcBorders>
            <w:shd w:val="clear" w:color="auto" w:fill="auto"/>
            <w:vAlign w:val="center"/>
            <w:hideMark/>
          </w:tcPr>
          <w:p w14:paraId="635173A3" w14:textId="4CCE21D2" w:rsidR="0064198D" w:rsidRPr="003E2544" w:rsidRDefault="0064198D"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100 (10 per state, if possible to cover all states)</w:t>
            </w:r>
          </w:p>
        </w:tc>
        <w:tc>
          <w:tcPr>
            <w:tcW w:w="1681" w:type="dxa"/>
            <w:tcBorders>
              <w:top w:val="nil"/>
              <w:left w:val="nil"/>
              <w:bottom w:val="single" w:sz="4" w:space="0" w:color="auto"/>
              <w:right w:val="single" w:sz="4" w:space="0" w:color="auto"/>
            </w:tcBorders>
            <w:shd w:val="clear" w:color="auto" w:fill="auto"/>
            <w:vAlign w:val="center"/>
            <w:hideMark/>
          </w:tcPr>
          <w:p w14:paraId="46CE31DF" w14:textId="1AF46336" w:rsidR="0064198D" w:rsidRPr="003E2544" w:rsidRDefault="0064198D"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State Budget Workshop reports</w:t>
            </w:r>
          </w:p>
        </w:tc>
        <w:tc>
          <w:tcPr>
            <w:tcW w:w="1704" w:type="dxa"/>
            <w:tcBorders>
              <w:top w:val="nil"/>
              <w:left w:val="nil"/>
              <w:bottom w:val="single" w:sz="4" w:space="0" w:color="auto"/>
              <w:right w:val="single" w:sz="8" w:space="0" w:color="auto"/>
            </w:tcBorders>
            <w:shd w:val="clear" w:color="auto" w:fill="auto"/>
            <w:vAlign w:val="center"/>
            <w:hideMark/>
          </w:tcPr>
          <w:p w14:paraId="6F5C02F0" w14:textId="77777777" w:rsidR="0064198D" w:rsidRPr="003E2544" w:rsidRDefault="0064198D"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UNDP/UNICEF</w:t>
            </w:r>
          </w:p>
        </w:tc>
      </w:tr>
      <w:tr w:rsidR="00902884" w:rsidRPr="00B53B9C" w14:paraId="55BE3670" w14:textId="77777777" w:rsidTr="007C4B89">
        <w:trPr>
          <w:trHeight w:val="495"/>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193632E0" w14:textId="77777777" w:rsidR="0064198D" w:rsidRPr="00B53B9C" w:rsidRDefault="0064198D" w:rsidP="00245274">
            <w:pPr>
              <w:spacing w:line="240" w:lineRule="auto"/>
              <w:jc w:val="center"/>
              <w:rPr>
                <w:rFonts w:ascii="Verdana" w:eastAsia="Times New Roman" w:hAnsi="Verdana" w:cs="Calibri"/>
                <w:sz w:val="18"/>
                <w:szCs w:val="18"/>
                <w:lang w:eastAsia="ja-JP"/>
              </w:rPr>
            </w:pPr>
            <w:r w:rsidRPr="00B53B9C">
              <w:rPr>
                <w:rFonts w:ascii="Verdana" w:eastAsia="Times New Roman" w:hAnsi="Verdana" w:cs="Calibri"/>
                <w:sz w:val="18"/>
                <w:szCs w:val="18"/>
                <w:lang w:eastAsia="ja-JP"/>
              </w:rPr>
              <w:t>1.2.3</w:t>
            </w:r>
          </w:p>
        </w:tc>
        <w:tc>
          <w:tcPr>
            <w:tcW w:w="4132" w:type="dxa"/>
            <w:tcBorders>
              <w:top w:val="nil"/>
              <w:left w:val="nil"/>
              <w:bottom w:val="single" w:sz="4" w:space="0" w:color="auto"/>
              <w:right w:val="single" w:sz="4" w:space="0" w:color="auto"/>
            </w:tcBorders>
            <w:shd w:val="clear" w:color="auto" w:fill="auto"/>
            <w:vAlign w:val="center"/>
            <w:hideMark/>
          </w:tcPr>
          <w:p w14:paraId="4F4A6C61" w14:textId="2B886A79" w:rsidR="0064198D" w:rsidRPr="00B53B9C" w:rsidRDefault="00BE2868" w:rsidP="00245274">
            <w:pPr>
              <w:spacing w:line="240" w:lineRule="auto"/>
              <w:rPr>
                <w:rFonts w:ascii="Verdana" w:eastAsia="Times New Roman" w:hAnsi="Verdana" w:cs="Calibri"/>
                <w:sz w:val="18"/>
                <w:szCs w:val="18"/>
                <w:lang w:eastAsia="ja-JP"/>
              </w:rPr>
            </w:pPr>
            <w:r w:rsidRPr="008B40DC">
              <w:rPr>
                <w:rFonts w:ascii="Verdana" w:eastAsia="Calibri" w:hAnsi="Verdana" w:cs="Times New Roman"/>
                <w:iCs/>
                <w:sz w:val="18"/>
                <w:szCs w:val="18"/>
              </w:rPr>
              <w:t xml:space="preserve">Gender and pro-poor aspects are included in Budget Call Circular and state budget guidelines </w:t>
            </w:r>
            <w:r w:rsidR="0064198D" w:rsidRPr="00B53B9C">
              <w:rPr>
                <w:rFonts w:ascii="Verdana" w:eastAsia="Times New Roman" w:hAnsi="Verdana" w:cs="Calibri"/>
                <w:b/>
                <w:bCs/>
                <w:sz w:val="18"/>
                <w:szCs w:val="18"/>
                <w:lang w:eastAsia="ja-JP"/>
              </w:rPr>
              <w:t>- SDG 1.B; and SDG 5.C</w:t>
            </w:r>
          </w:p>
        </w:tc>
        <w:tc>
          <w:tcPr>
            <w:tcW w:w="1591" w:type="dxa"/>
            <w:tcBorders>
              <w:top w:val="nil"/>
              <w:left w:val="nil"/>
              <w:bottom w:val="single" w:sz="4" w:space="0" w:color="auto"/>
              <w:right w:val="single" w:sz="4" w:space="0" w:color="auto"/>
            </w:tcBorders>
            <w:shd w:val="clear" w:color="auto" w:fill="auto"/>
            <w:vAlign w:val="center"/>
            <w:hideMark/>
          </w:tcPr>
          <w:p w14:paraId="752C9722" w14:textId="77777777" w:rsidR="0064198D" w:rsidRPr="00B53B9C" w:rsidRDefault="0064198D" w:rsidP="00245274">
            <w:pPr>
              <w:spacing w:line="240" w:lineRule="auto"/>
              <w:jc w:val="center"/>
              <w:rPr>
                <w:rFonts w:ascii="Verdana" w:eastAsia="Times New Roman" w:hAnsi="Verdana" w:cs="Calibri"/>
                <w:sz w:val="18"/>
                <w:szCs w:val="18"/>
                <w:lang w:eastAsia="ja-JP"/>
              </w:rPr>
            </w:pPr>
            <w:r w:rsidRPr="00B53B9C">
              <w:rPr>
                <w:rFonts w:ascii="Verdana" w:eastAsia="Times New Roman" w:hAnsi="Verdana" w:cs="Calibri"/>
                <w:sz w:val="18"/>
                <w:szCs w:val="18"/>
                <w:lang w:eastAsia="ja-JP"/>
              </w:rPr>
              <w:t>No</w:t>
            </w:r>
          </w:p>
        </w:tc>
        <w:tc>
          <w:tcPr>
            <w:tcW w:w="1371" w:type="dxa"/>
            <w:tcBorders>
              <w:top w:val="nil"/>
              <w:left w:val="nil"/>
              <w:bottom w:val="single" w:sz="4" w:space="0" w:color="auto"/>
              <w:right w:val="single" w:sz="4" w:space="0" w:color="auto"/>
            </w:tcBorders>
            <w:shd w:val="clear" w:color="auto" w:fill="auto"/>
            <w:vAlign w:val="center"/>
            <w:hideMark/>
          </w:tcPr>
          <w:p w14:paraId="4AAEE1A5" w14:textId="21C30E99" w:rsidR="0064198D" w:rsidRPr="00B53B9C" w:rsidRDefault="0081738D" w:rsidP="00245274">
            <w:pPr>
              <w:spacing w:line="240" w:lineRule="auto"/>
              <w:jc w:val="center"/>
              <w:rPr>
                <w:rFonts w:ascii="Verdana" w:eastAsia="Times New Roman" w:hAnsi="Verdana" w:cs="Calibri"/>
                <w:sz w:val="18"/>
                <w:szCs w:val="18"/>
                <w:lang w:eastAsia="ja-JP"/>
              </w:rPr>
            </w:pPr>
            <w:r w:rsidRPr="00B53B9C">
              <w:rPr>
                <w:rFonts w:ascii="Verdana" w:eastAsia="Times New Roman" w:hAnsi="Verdana" w:cs="Calibri"/>
                <w:sz w:val="18"/>
                <w:szCs w:val="18"/>
                <w:lang w:eastAsia="ja-JP"/>
              </w:rPr>
              <w:t>No</w:t>
            </w:r>
          </w:p>
        </w:tc>
        <w:tc>
          <w:tcPr>
            <w:tcW w:w="1439" w:type="dxa"/>
            <w:tcBorders>
              <w:top w:val="nil"/>
              <w:left w:val="nil"/>
              <w:bottom w:val="single" w:sz="4" w:space="0" w:color="auto"/>
              <w:right w:val="single" w:sz="4" w:space="0" w:color="auto"/>
            </w:tcBorders>
            <w:shd w:val="clear" w:color="auto" w:fill="auto"/>
            <w:vAlign w:val="center"/>
            <w:hideMark/>
          </w:tcPr>
          <w:p w14:paraId="32135F2B" w14:textId="77777777" w:rsidR="0064198D" w:rsidRPr="00B53B9C" w:rsidRDefault="0064198D" w:rsidP="00245274">
            <w:pPr>
              <w:spacing w:line="240" w:lineRule="auto"/>
              <w:jc w:val="center"/>
              <w:rPr>
                <w:rFonts w:ascii="Verdana" w:eastAsia="Times New Roman" w:hAnsi="Verdana" w:cs="Calibri"/>
                <w:sz w:val="18"/>
                <w:szCs w:val="18"/>
                <w:lang w:eastAsia="ja-JP"/>
              </w:rPr>
            </w:pPr>
            <w:r w:rsidRPr="00B53B9C">
              <w:rPr>
                <w:rFonts w:ascii="Verdana" w:eastAsia="Times New Roman" w:hAnsi="Verdana" w:cs="Calibri"/>
                <w:sz w:val="18"/>
                <w:szCs w:val="18"/>
                <w:lang w:eastAsia="ja-JP"/>
              </w:rPr>
              <w:t>Yes</w:t>
            </w:r>
          </w:p>
        </w:tc>
        <w:tc>
          <w:tcPr>
            <w:tcW w:w="1681" w:type="dxa"/>
            <w:tcBorders>
              <w:top w:val="nil"/>
              <w:left w:val="nil"/>
              <w:bottom w:val="single" w:sz="4" w:space="0" w:color="auto"/>
              <w:right w:val="single" w:sz="4" w:space="0" w:color="auto"/>
            </w:tcBorders>
            <w:shd w:val="clear" w:color="auto" w:fill="auto"/>
            <w:vAlign w:val="center"/>
            <w:hideMark/>
          </w:tcPr>
          <w:p w14:paraId="2C36C180" w14:textId="3F09FD44" w:rsidR="0064198D" w:rsidRPr="00B53B9C" w:rsidRDefault="00BE2868" w:rsidP="00245274">
            <w:pPr>
              <w:spacing w:line="240" w:lineRule="auto"/>
              <w:jc w:val="center"/>
              <w:rPr>
                <w:rFonts w:ascii="Verdana" w:eastAsia="Times New Roman" w:hAnsi="Verdana" w:cs="Calibri"/>
                <w:sz w:val="18"/>
                <w:szCs w:val="18"/>
                <w:lang w:eastAsia="ja-JP"/>
              </w:rPr>
            </w:pPr>
            <w:r w:rsidRPr="008B40DC">
              <w:rPr>
                <w:rFonts w:ascii="Verdana" w:eastAsia="Calibri" w:hAnsi="Verdana" w:cs="Times New Roman"/>
                <w:iCs/>
                <w:sz w:val="18"/>
                <w:szCs w:val="18"/>
              </w:rPr>
              <w:t>Budget Call Circular and state budget guidelines</w:t>
            </w:r>
          </w:p>
        </w:tc>
        <w:tc>
          <w:tcPr>
            <w:tcW w:w="1704" w:type="dxa"/>
            <w:tcBorders>
              <w:top w:val="nil"/>
              <w:left w:val="nil"/>
              <w:bottom w:val="single" w:sz="4" w:space="0" w:color="auto"/>
              <w:right w:val="single" w:sz="8" w:space="0" w:color="auto"/>
            </w:tcBorders>
            <w:shd w:val="clear" w:color="auto" w:fill="auto"/>
            <w:vAlign w:val="center"/>
            <w:hideMark/>
          </w:tcPr>
          <w:p w14:paraId="4BAA0CE9" w14:textId="77777777" w:rsidR="0064198D" w:rsidRPr="00B53B9C" w:rsidRDefault="0064198D" w:rsidP="00245274">
            <w:pPr>
              <w:spacing w:line="240" w:lineRule="auto"/>
              <w:jc w:val="center"/>
              <w:rPr>
                <w:rFonts w:ascii="Verdana" w:eastAsia="Times New Roman" w:hAnsi="Verdana" w:cs="Calibri"/>
                <w:sz w:val="18"/>
                <w:szCs w:val="18"/>
                <w:lang w:eastAsia="ja-JP"/>
              </w:rPr>
            </w:pPr>
            <w:r w:rsidRPr="00B53B9C">
              <w:rPr>
                <w:rFonts w:ascii="Verdana" w:eastAsia="Times New Roman" w:hAnsi="Verdana" w:cs="Calibri"/>
                <w:sz w:val="18"/>
                <w:szCs w:val="18"/>
                <w:lang w:eastAsia="ja-JP"/>
              </w:rPr>
              <w:t>UNDP/UNICEF</w:t>
            </w:r>
          </w:p>
        </w:tc>
      </w:tr>
      <w:tr w:rsidR="00494F5F" w:rsidRPr="003E2544" w14:paraId="08415AFD" w14:textId="77777777" w:rsidTr="007C4B89">
        <w:trPr>
          <w:trHeight w:val="1125"/>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7D3B40D3" w14:textId="77777777"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1.2.4</w:t>
            </w:r>
          </w:p>
        </w:tc>
        <w:tc>
          <w:tcPr>
            <w:tcW w:w="4132" w:type="dxa"/>
            <w:tcBorders>
              <w:top w:val="nil"/>
              <w:left w:val="nil"/>
              <w:bottom w:val="single" w:sz="4" w:space="0" w:color="auto"/>
              <w:right w:val="single" w:sz="4" w:space="0" w:color="auto"/>
            </w:tcBorders>
            <w:shd w:val="clear" w:color="auto" w:fill="auto"/>
            <w:vAlign w:val="center"/>
            <w:hideMark/>
          </w:tcPr>
          <w:p w14:paraId="6532CC32" w14:textId="1CC6D77D" w:rsidR="00494F5F" w:rsidRPr="003E2544" w:rsidRDefault="00494F5F" w:rsidP="00245274">
            <w:pPr>
              <w:spacing w:line="240" w:lineRule="auto"/>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 xml:space="preserve">Number of state transfer monitoring committees (TMCs) and groups established/re-established </w:t>
            </w:r>
          </w:p>
        </w:tc>
        <w:tc>
          <w:tcPr>
            <w:tcW w:w="1591" w:type="dxa"/>
            <w:tcBorders>
              <w:top w:val="nil"/>
              <w:left w:val="nil"/>
              <w:bottom w:val="single" w:sz="4" w:space="0" w:color="auto"/>
              <w:right w:val="single" w:sz="4" w:space="0" w:color="auto"/>
            </w:tcBorders>
            <w:shd w:val="clear" w:color="auto" w:fill="auto"/>
            <w:vAlign w:val="center"/>
            <w:hideMark/>
          </w:tcPr>
          <w:p w14:paraId="68D08995" w14:textId="5F481E8D" w:rsidR="00494F5F" w:rsidRPr="003E2544" w:rsidRDefault="00494F5F" w:rsidP="00245274">
            <w:pPr>
              <w:spacing w:line="240" w:lineRule="auto"/>
              <w:jc w:val="center"/>
              <w:rPr>
                <w:rFonts w:ascii="Verdana" w:eastAsia="Times New Roman" w:hAnsi="Verdana" w:cs="Calibri"/>
                <w:sz w:val="18"/>
                <w:szCs w:val="18"/>
                <w:lang w:eastAsia="ja-JP"/>
              </w:rPr>
            </w:pPr>
            <w:r w:rsidRPr="003E2544" w:rsidDel="00DF0E7C">
              <w:rPr>
                <w:rFonts w:ascii="Verdana" w:eastAsia="Times New Roman" w:hAnsi="Verdana" w:cs="Calibri"/>
                <w:sz w:val="18"/>
                <w:szCs w:val="18"/>
                <w:lang w:eastAsia="ja-JP"/>
              </w:rPr>
              <w:t>0</w:t>
            </w:r>
          </w:p>
        </w:tc>
        <w:tc>
          <w:tcPr>
            <w:tcW w:w="1371" w:type="dxa"/>
            <w:tcBorders>
              <w:top w:val="nil"/>
              <w:left w:val="nil"/>
              <w:bottom w:val="single" w:sz="4" w:space="0" w:color="auto"/>
              <w:right w:val="single" w:sz="4" w:space="0" w:color="auto"/>
            </w:tcBorders>
            <w:shd w:val="clear" w:color="auto" w:fill="auto"/>
            <w:vAlign w:val="center"/>
            <w:hideMark/>
          </w:tcPr>
          <w:p w14:paraId="233AF6CB" w14:textId="07396D49"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 xml:space="preserve">1 state with Education, Health STMCs </w:t>
            </w:r>
          </w:p>
        </w:tc>
        <w:tc>
          <w:tcPr>
            <w:tcW w:w="1439" w:type="dxa"/>
            <w:tcBorders>
              <w:top w:val="nil"/>
              <w:left w:val="nil"/>
              <w:bottom w:val="single" w:sz="4" w:space="0" w:color="auto"/>
              <w:right w:val="single" w:sz="4" w:space="0" w:color="auto"/>
            </w:tcBorders>
            <w:shd w:val="clear" w:color="auto" w:fill="auto"/>
            <w:vAlign w:val="center"/>
            <w:hideMark/>
          </w:tcPr>
          <w:p w14:paraId="71ECB6E2" w14:textId="77777777"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3 states with</w:t>
            </w:r>
          </w:p>
          <w:p w14:paraId="281A7F2C" w14:textId="1C6ED480"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 xml:space="preserve">Education, Health STMCs </w:t>
            </w:r>
          </w:p>
        </w:tc>
        <w:tc>
          <w:tcPr>
            <w:tcW w:w="1681" w:type="dxa"/>
            <w:tcBorders>
              <w:top w:val="nil"/>
              <w:left w:val="nil"/>
              <w:bottom w:val="single" w:sz="4" w:space="0" w:color="auto"/>
              <w:right w:val="single" w:sz="4" w:space="0" w:color="auto"/>
            </w:tcBorders>
            <w:shd w:val="clear" w:color="auto" w:fill="auto"/>
            <w:vAlign w:val="center"/>
            <w:hideMark/>
          </w:tcPr>
          <w:p w14:paraId="1B8D8205" w14:textId="77777777"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STMC minutes; official government letter to activate STMCs</w:t>
            </w:r>
          </w:p>
        </w:tc>
        <w:tc>
          <w:tcPr>
            <w:tcW w:w="1704" w:type="dxa"/>
            <w:tcBorders>
              <w:top w:val="nil"/>
              <w:left w:val="nil"/>
              <w:bottom w:val="single" w:sz="4" w:space="0" w:color="auto"/>
              <w:right w:val="single" w:sz="8" w:space="0" w:color="auto"/>
            </w:tcBorders>
            <w:shd w:val="clear" w:color="auto" w:fill="auto"/>
            <w:vAlign w:val="center"/>
            <w:hideMark/>
          </w:tcPr>
          <w:p w14:paraId="1EC1B4CA" w14:textId="77777777"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UNDP/UNICEF</w:t>
            </w:r>
          </w:p>
        </w:tc>
      </w:tr>
      <w:tr w:rsidR="0064198D" w:rsidRPr="003E2544" w14:paraId="61F88A57" w14:textId="77777777" w:rsidTr="77AAF325">
        <w:trPr>
          <w:trHeight w:val="285"/>
        </w:trPr>
        <w:tc>
          <w:tcPr>
            <w:tcW w:w="12940" w:type="dxa"/>
            <w:gridSpan w:val="7"/>
            <w:tcBorders>
              <w:top w:val="single" w:sz="4" w:space="0" w:color="auto"/>
              <w:left w:val="single" w:sz="8" w:space="0" w:color="auto"/>
              <w:bottom w:val="single" w:sz="4" w:space="0" w:color="auto"/>
              <w:right w:val="single" w:sz="8" w:space="0" w:color="000000" w:themeColor="text1"/>
            </w:tcBorders>
            <w:shd w:val="clear" w:color="auto" w:fill="EDEDED" w:themeFill="accent3" w:themeFillTint="33"/>
            <w:vAlign w:val="center"/>
            <w:hideMark/>
          </w:tcPr>
          <w:p w14:paraId="4E4C58D4" w14:textId="519E4F99" w:rsidR="0064198D" w:rsidRPr="003E2544" w:rsidRDefault="0064198D" w:rsidP="00245274">
            <w:pPr>
              <w:spacing w:line="240" w:lineRule="auto"/>
              <w:rPr>
                <w:rFonts w:ascii="Verdana" w:eastAsia="Times New Roman" w:hAnsi="Verdana"/>
                <w:b/>
                <w:bCs/>
                <w:sz w:val="18"/>
                <w:szCs w:val="18"/>
                <w:lang w:eastAsia="ja-JP"/>
              </w:rPr>
            </w:pPr>
            <w:r w:rsidRPr="003E2544">
              <w:rPr>
                <w:rFonts w:ascii="Verdana" w:eastAsia="Times New Roman" w:hAnsi="Verdana"/>
                <w:b/>
                <w:bCs/>
                <w:sz w:val="18"/>
                <w:szCs w:val="18"/>
                <w:lang w:eastAsia="ja-JP"/>
              </w:rPr>
              <w:t xml:space="preserve">Output 1.3: </w:t>
            </w:r>
            <w:r w:rsidR="00C55C05" w:rsidRPr="003E2544">
              <w:rPr>
                <w:rFonts w:ascii="Verdana" w:hAnsi="Verdana"/>
                <w:sz w:val="18"/>
                <w:szCs w:val="18"/>
              </w:rPr>
              <w:t xml:space="preserve">Improved transparency and coordination in the preparation of SDGs </w:t>
            </w:r>
            <w:r w:rsidR="4001A48F" w:rsidRPr="003E2544">
              <w:rPr>
                <w:rFonts w:ascii="Verdana" w:hAnsi="Verdana"/>
                <w:sz w:val="18"/>
                <w:szCs w:val="18"/>
              </w:rPr>
              <w:t>align</w:t>
            </w:r>
            <w:r w:rsidR="225824A6" w:rsidRPr="003E2544">
              <w:rPr>
                <w:rFonts w:ascii="Verdana" w:hAnsi="Verdana"/>
                <w:sz w:val="18"/>
                <w:szCs w:val="18"/>
              </w:rPr>
              <w:t>ed</w:t>
            </w:r>
            <w:r w:rsidR="00C55C05" w:rsidRPr="003E2544">
              <w:rPr>
                <w:rFonts w:ascii="Verdana" w:hAnsi="Verdana"/>
                <w:sz w:val="18"/>
                <w:szCs w:val="18"/>
              </w:rPr>
              <w:t xml:space="preserve"> national and state level development strategies</w:t>
            </w:r>
            <w:r w:rsidR="00C91EA1">
              <w:rPr>
                <w:rFonts w:ascii="Verdana" w:hAnsi="Verdana"/>
                <w:sz w:val="18"/>
                <w:szCs w:val="18"/>
              </w:rPr>
              <w:t xml:space="preserve"> </w:t>
            </w:r>
            <w:r w:rsidR="00C91EA1" w:rsidRPr="008B40DC">
              <w:rPr>
                <w:rFonts w:ascii="Verdana" w:hAnsi="Verdana"/>
                <w:sz w:val="18"/>
                <w:szCs w:val="18"/>
              </w:rPr>
              <w:t>by 202</w:t>
            </w:r>
            <w:r w:rsidR="00C91EA1">
              <w:rPr>
                <w:rFonts w:ascii="Verdana" w:hAnsi="Verdana"/>
                <w:sz w:val="18"/>
                <w:szCs w:val="18"/>
              </w:rPr>
              <w:t>2</w:t>
            </w:r>
          </w:p>
        </w:tc>
      </w:tr>
      <w:tr w:rsidR="00902884" w:rsidRPr="003E2544" w14:paraId="5D3383EA" w14:textId="77777777" w:rsidTr="007C4B89">
        <w:trPr>
          <w:trHeight w:val="495"/>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16E016D5" w14:textId="77777777" w:rsidR="0064198D" w:rsidRPr="003E2544" w:rsidRDefault="0064198D"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1.3.1</w:t>
            </w:r>
          </w:p>
        </w:tc>
        <w:tc>
          <w:tcPr>
            <w:tcW w:w="4132" w:type="dxa"/>
            <w:tcBorders>
              <w:top w:val="nil"/>
              <w:left w:val="nil"/>
              <w:bottom w:val="single" w:sz="4" w:space="0" w:color="auto"/>
              <w:right w:val="single" w:sz="4" w:space="0" w:color="auto"/>
            </w:tcBorders>
            <w:shd w:val="clear" w:color="auto" w:fill="auto"/>
            <w:vAlign w:val="center"/>
            <w:hideMark/>
          </w:tcPr>
          <w:p w14:paraId="2DD89A15" w14:textId="4D7C0BA0" w:rsidR="0064198D" w:rsidRPr="003E2544" w:rsidRDefault="015D5FC8" w:rsidP="00245274">
            <w:pPr>
              <w:spacing w:line="240" w:lineRule="auto"/>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Number of SDGs alig</w:t>
            </w:r>
            <w:r w:rsidR="5F867AB7" w:rsidRPr="003E2544">
              <w:rPr>
                <w:rFonts w:ascii="Verdana" w:eastAsia="Times New Roman" w:hAnsi="Verdana" w:cs="Calibri"/>
                <w:sz w:val="18"/>
                <w:szCs w:val="18"/>
                <w:lang w:eastAsia="ja-JP"/>
              </w:rPr>
              <w:t>ned</w:t>
            </w:r>
            <w:r w:rsidRPr="003E2544">
              <w:rPr>
                <w:rFonts w:ascii="Verdana" w:eastAsia="Times New Roman" w:hAnsi="Verdana" w:cs="Calibri"/>
                <w:sz w:val="18"/>
                <w:szCs w:val="18"/>
                <w:lang w:eastAsia="ja-JP"/>
              </w:rPr>
              <w:t xml:space="preserve"> development strateg</w:t>
            </w:r>
            <w:r w:rsidR="6852AB70" w:rsidRPr="003E2544">
              <w:rPr>
                <w:rFonts w:ascii="Verdana" w:eastAsia="Times New Roman" w:hAnsi="Verdana" w:cs="Calibri"/>
                <w:sz w:val="18"/>
                <w:szCs w:val="18"/>
                <w:lang w:eastAsia="ja-JP"/>
              </w:rPr>
              <w:t>ies</w:t>
            </w:r>
            <w:r w:rsidRPr="003E2544">
              <w:rPr>
                <w:rFonts w:ascii="Verdana" w:eastAsia="Times New Roman" w:hAnsi="Verdana" w:cs="Calibri"/>
                <w:sz w:val="18"/>
                <w:szCs w:val="18"/>
                <w:lang w:eastAsia="ja-JP"/>
              </w:rPr>
              <w:t xml:space="preserve"> developed (</w:t>
            </w:r>
            <w:r w:rsidR="5AE7556B" w:rsidRPr="003E2544">
              <w:rPr>
                <w:rFonts w:ascii="Verdana" w:eastAsia="Times New Roman" w:hAnsi="Verdana" w:cs="Calibri"/>
                <w:sz w:val="18"/>
                <w:szCs w:val="18"/>
                <w:lang w:eastAsia="ja-JP"/>
              </w:rPr>
              <w:t>disaggregated</w:t>
            </w:r>
            <w:r w:rsidRPr="003E2544">
              <w:rPr>
                <w:rFonts w:ascii="Verdana" w:eastAsia="Times New Roman" w:hAnsi="Verdana" w:cs="Calibri"/>
                <w:sz w:val="18"/>
                <w:szCs w:val="18"/>
                <w:lang w:eastAsia="ja-JP"/>
              </w:rPr>
              <w:t xml:space="preserve"> by national and states)</w:t>
            </w:r>
          </w:p>
        </w:tc>
        <w:tc>
          <w:tcPr>
            <w:tcW w:w="1591" w:type="dxa"/>
            <w:tcBorders>
              <w:top w:val="nil"/>
              <w:left w:val="nil"/>
              <w:bottom w:val="single" w:sz="4" w:space="0" w:color="auto"/>
              <w:right w:val="single" w:sz="4" w:space="0" w:color="auto"/>
            </w:tcBorders>
            <w:shd w:val="clear" w:color="auto" w:fill="auto"/>
            <w:vAlign w:val="center"/>
            <w:hideMark/>
          </w:tcPr>
          <w:p w14:paraId="699BF403" w14:textId="77777777" w:rsidR="0064198D" w:rsidRPr="003E2544" w:rsidRDefault="0064198D"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1 (NDS)</w:t>
            </w:r>
          </w:p>
        </w:tc>
        <w:tc>
          <w:tcPr>
            <w:tcW w:w="1371" w:type="dxa"/>
            <w:tcBorders>
              <w:top w:val="nil"/>
              <w:left w:val="nil"/>
              <w:bottom w:val="single" w:sz="4" w:space="0" w:color="auto"/>
              <w:right w:val="single" w:sz="4" w:space="0" w:color="auto"/>
            </w:tcBorders>
            <w:shd w:val="clear" w:color="auto" w:fill="auto"/>
            <w:vAlign w:val="center"/>
            <w:hideMark/>
          </w:tcPr>
          <w:p w14:paraId="1EED15DF" w14:textId="77777777" w:rsidR="0064198D" w:rsidRPr="003E2544" w:rsidRDefault="0064198D"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0</w:t>
            </w:r>
          </w:p>
        </w:tc>
        <w:tc>
          <w:tcPr>
            <w:tcW w:w="1439" w:type="dxa"/>
            <w:tcBorders>
              <w:top w:val="nil"/>
              <w:left w:val="nil"/>
              <w:bottom w:val="single" w:sz="4" w:space="0" w:color="auto"/>
              <w:right w:val="single" w:sz="4" w:space="0" w:color="auto"/>
            </w:tcBorders>
            <w:shd w:val="clear" w:color="auto" w:fill="auto"/>
            <w:vAlign w:val="center"/>
            <w:hideMark/>
          </w:tcPr>
          <w:p w14:paraId="086CCC61" w14:textId="77777777" w:rsidR="0064198D" w:rsidRPr="003E2544" w:rsidRDefault="0064198D"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5</w:t>
            </w:r>
          </w:p>
        </w:tc>
        <w:tc>
          <w:tcPr>
            <w:tcW w:w="1681" w:type="dxa"/>
            <w:tcBorders>
              <w:top w:val="nil"/>
              <w:left w:val="nil"/>
              <w:bottom w:val="single" w:sz="4" w:space="0" w:color="auto"/>
              <w:right w:val="single" w:sz="4" w:space="0" w:color="auto"/>
            </w:tcBorders>
            <w:shd w:val="clear" w:color="auto" w:fill="auto"/>
            <w:vAlign w:val="center"/>
            <w:hideMark/>
          </w:tcPr>
          <w:p w14:paraId="50E959D6" w14:textId="4F1F6BBA" w:rsidR="0064198D" w:rsidRPr="003E2544" w:rsidRDefault="00D913B5"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color w:val="000000"/>
                <w:sz w:val="18"/>
                <w:szCs w:val="18"/>
                <w:lang w:eastAsia="ja-JP"/>
              </w:rPr>
              <w:t>NDS, INFF, SDSs, Sector Plans and budgets</w:t>
            </w:r>
          </w:p>
        </w:tc>
        <w:tc>
          <w:tcPr>
            <w:tcW w:w="1704" w:type="dxa"/>
            <w:tcBorders>
              <w:top w:val="nil"/>
              <w:left w:val="nil"/>
              <w:bottom w:val="single" w:sz="4" w:space="0" w:color="auto"/>
              <w:right w:val="single" w:sz="8" w:space="0" w:color="auto"/>
            </w:tcBorders>
            <w:shd w:val="clear" w:color="auto" w:fill="auto"/>
            <w:vAlign w:val="center"/>
            <w:hideMark/>
          </w:tcPr>
          <w:p w14:paraId="23285437" w14:textId="77777777" w:rsidR="0064198D" w:rsidRPr="003E2544" w:rsidRDefault="0064198D"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UNDP</w:t>
            </w:r>
          </w:p>
        </w:tc>
      </w:tr>
      <w:tr w:rsidR="00494F5F" w:rsidRPr="003E2544" w14:paraId="553899FC" w14:textId="77777777" w:rsidTr="007C4B89">
        <w:trPr>
          <w:trHeight w:val="675"/>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1C58A238" w14:textId="77777777"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1.3.2</w:t>
            </w:r>
          </w:p>
        </w:tc>
        <w:tc>
          <w:tcPr>
            <w:tcW w:w="4132" w:type="dxa"/>
            <w:tcBorders>
              <w:top w:val="nil"/>
              <w:left w:val="nil"/>
              <w:bottom w:val="single" w:sz="4" w:space="0" w:color="auto"/>
              <w:right w:val="single" w:sz="4" w:space="0" w:color="auto"/>
            </w:tcBorders>
            <w:shd w:val="clear" w:color="auto" w:fill="auto"/>
            <w:vAlign w:val="center"/>
            <w:hideMark/>
          </w:tcPr>
          <w:p w14:paraId="0F53FBA3" w14:textId="09CAA01F" w:rsidR="00494F5F" w:rsidRPr="003E2544" w:rsidRDefault="00494F5F" w:rsidP="00245274">
            <w:pPr>
              <w:spacing w:line="240" w:lineRule="auto"/>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 xml:space="preserve">Number of budget reports submitted by State MoFP per year </w:t>
            </w:r>
          </w:p>
        </w:tc>
        <w:tc>
          <w:tcPr>
            <w:tcW w:w="1591" w:type="dxa"/>
            <w:tcBorders>
              <w:top w:val="nil"/>
              <w:left w:val="nil"/>
              <w:bottom w:val="single" w:sz="4" w:space="0" w:color="auto"/>
              <w:right w:val="single" w:sz="4" w:space="0" w:color="auto"/>
            </w:tcBorders>
            <w:shd w:val="clear" w:color="auto" w:fill="auto"/>
            <w:vAlign w:val="center"/>
            <w:hideMark/>
          </w:tcPr>
          <w:p w14:paraId="23E96605" w14:textId="0FAB7A55" w:rsidR="00494F5F" w:rsidRPr="003E2544" w:rsidRDefault="00494F5F" w:rsidP="00245274">
            <w:pPr>
              <w:spacing w:line="240" w:lineRule="auto"/>
              <w:jc w:val="center"/>
              <w:rPr>
                <w:rFonts w:ascii="Verdana" w:eastAsia="Times New Roman" w:hAnsi="Verdana" w:cs="Calibri"/>
                <w:sz w:val="18"/>
                <w:szCs w:val="18"/>
                <w:lang w:eastAsia="ja-JP"/>
              </w:rPr>
            </w:pPr>
            <w:r w:rsidRPr="003E2544" w:rsidDel="00E4765D">
              <w:rPr>
                <w:rFonts w:ascii="Verdana" w:eastAsia="Times New Roman" w:hAnsi="Verdana" w:cs="Calibri"/>
                <w:sz w:val="18"/>
                <w:szCs w:val="18"/>
                <w:lang w:eastAsia="ja-JP"/>
              </w:rPr>
              <w:t>0</w:t>
            </w:r>
          </w:p>
        </w:tc>
        <w:tc>
          <w:tcPr>
            <w:tcW w:w="1371" w:type="dxa"/>
            <w:tcBorders>
              <w:top w:val="nil"/>
              <w:left w:val="nil"/>
              <w:bottom w:val="single" w:sz="4" w:space="0" w:color="auto"/>
              <w:right w:val="single" w:sz="4" w:space="0" w:color="auto"/>
            </w:tcBorders>
            <w:shd w:val="clear" w:color="auto" w:fill="auto"/>
            <w:vAlign w:val="center"/>
            <w:hideMark/>
          </w:tcPr>
          <w:p w14:paraId="4BFBA46F" w14:textId="6779D770" w:rsidR="00494F5F" w:rsidRPr="003E2544" w:rsidRDefault="073055A6"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2</w:t>
            </w:r>
          </w:p>
        </w:tc>
        <w:tc>
          <w:tcPr>
            <w:tcW w:w="1439" w:type="dxa"/>
            <w:tcBorders>
              <w:top w:val="nil"/>
              <w:left w:val="nil"/>
              <w:bottom w:val="single" w:sz="4" w:space="0" w:color="auto"/>
              <w:right w:val="single" w:sz="4" w:space="0" w:color="auto"/>
            </w:tcBorders>
            <w:shd w:val="clear" w:color="auto" w:fill="auto"/>
            <w:vAlign w:val="center"/>
            <w:hideMark/>
          </w:tcPr>
          <w:p w14:paraId="0FE00F44" w14:textId="70DBA117" w:rsidR="00494F5F" w:rsidRPr="003E2544" w:rsidRDefault="00494F5F" w:rsidP="00245274">
            <w:pPr>
              <w:spacing w:line="240" w:lineRule="auto"/>
              <w:jc w:val="center"/>
              <w:rPr>
                <w:rFonts w:ascii="Verdana" w:eastAsia="Times New Roman" w:hAnsi="Verdana" w:cs="Calibri"/>
                <w:sz w:val="18"/>
                <w:szCs w:val="18"/>
                <w:lang w:eastAsia="ja-JP"/>
              </w:rPr>
            </w:pPr>
            <w:r w:rsidRPr="003E2544" w:rsidDel="00E4765D">
              <w:rPr>
                <w:rFonts w:ascii="Verdana" w:eastAsia="Times New Roman" w:hAnsi="Verdana" w:cs="Calibri"/>
                <w:sz w:val="18"/>
                <w:szCs w:val="18"/>
                <w:lang w:eastAsia="ja-JP"/>
              </w:rPr>
              <w:t>3</w:t>
            </w:r>
          </w:p>
        </w:tc>
        <w:tc>
          <w:tcPr>
            <w:tcW w:w="1681" w:type="dxa"/>
            <w:tcBorders>
              <w:top w:val="nil"/>
              <w:left w:val="nil"/>
              <w:bottom w:val="single" w:sz="4" w:space="0" w:color="auto"/>
              <w:right w:val="single" w:sz="4" w:space="0" w:color="auto"/>
            </w:tcBorders>
            <w:shd w:val="clear" w:color="auto" w:fill="auto"/>
            <w:vAlign w:val="center"/>
            <w:hideMark/>
          </w:tcPr>
          <w:p w14:paraId="21B66E7C" w14:textId="0FDA9BBD"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State Budget Reports on MoFP website.</w:t>
            </w:r>
          </w:p>
        </w:tc>
        <w:tc>
          <w:tcPr>
            <w:tcW w:w="1704" w:type="dxa"/>
            <w:tcBorders>
              <w:top w:val="nil"/>
              <w:left w:val="nil"/>
              <w:bottom w:val="single" w:sz="4" w:space="0" w:color="auto"/>
              <w:right w:val="single" w:sz="8" w:space="0" w:color="auto"/>
            </w:tcBorders>
            <w:shd w:val="clear" w:color="auto" w:fill="auto"/>
            <w:vAlign w:val="center"/>
            <w:hideMark/>
          </w:tcPr>
          <w:p w14:paraId="6EB94929" w14:textId="77777777"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UNICEF</w:t>
            </w:r>
          </w:p>
        </w:tc>
      </w:tr>
      <w:tr w:rsidR="00494F5F" w:rsidRPr="003E2544" w14:paraId="1AAB5D81" w14:textId="77777777" w:rsidTr="007C4B89">
        <w:trPr>
          <w:trHeight w:val="675"/>
        </w:trPr>
        <w:tc>
          <w:tcPr>
            <w:tcW w:w="1022" w:type="dxa"/>
            <w:tcBorders>
              <w:top w:val="nil"/>
              <w:left w:val="single" w:sz="8" w:space="0" w:color="auto"/>
              <w:bottom w:val="single" w:sz="4" w:space="0" w:color="auto"/>
              <w:right w:val="single" w:sz="4" w:space="0" w:color="auto"/>
            </w:tcBorders>
            <w:shd w:val="clear" w:color="auto" w:fill="auto"/>
            <w:noWrap/>
            <w:vAlign w:val="center"/>
            <w:hideMark/>
          </w:tcPr>
          <w:p w14:paraId="77784E8E" w14:textId="77777777"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1.3.3</w:t>
            </w:r>
          </w:p>
        </w:tc>
        <w:tc>
          <w:tcPr>
            <w:tcW w:w="4132" w:type="dxa"/>
            <w:tcBorders>
              <w:top w:val="nil"/>
              <w:left w:val="nil"/>
              <w:bottom w:val="single" w:sz="4" w:space="0" w:color="auto"/>
              <w:right w:val="single" w:sz="4" w:space="0" w:color="auto"/>
            </w:tcBorders>
            <w:shd w:val="clear" w:color="auto" w:fill="auto"/>
            <w:vAlign w:val="center"/>
            <w:hideMark/>
          </w:tcPr>
          <w:p w14:paraId="5D6AA102" w14:textId="187CE356" w:rsidR="00494F5F" w:rsidRPr="003E2544" w:rsidRDefault="00494F5F" w:rsidP="00245274">
            <w:pPr>
              <w:spacing w:line="240" w:lineRule="auto"/>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Number of knowledge product produced (i.e. 2 Budget Briefs per year, 3 Citizen's Budgets per year, 1 PETS &amp; 1 PER by 202</w:t>
            </w:r>
            <w:r w:rsidR="00E47C40">
              <w:rPr>
                <w:rFonts w:ascii="Verdana" w:eastAsia="Times New Roman" w:hAnsi="Verdana" w:cs="Calibri"/>
                <w:sz w:val="18"/>
                <w:szCs w:val="18"/>
                <w:lang w:eastAsia="ja-JP"/>
              </w:rPr>
              <w:t>2</w:t>
            </w:r>
            <w:r w:rsidRPr="003E2544">
              <w:rPr>
                <w:rFonts w:ascii="Verdana" w:eastAsia="Times New Roman" w:hAnsi="Verdana" w:cs="Calibri"/>
                <w:sz w:val="18"/>
                <w:szCs w:val="18"/>
                <w:lang w:eastAsia="ja-JP"/>
              </w:rPr>
              <w:t xml:space="preserve">) </w:t>
            </w:r>
          </w:p>
        </w:tc>
        <w:tc>
          <w:tcPr>
            <w:tcW w:w="1591" w:type="dxa"/>
            <w:tcBorders>
              <w:top w:val="nil"/>
              <w:left w:val="nil"/>
              <w:bottom w:val="single" w:sz="4" w:space="0" w:color="auto"/>
              <w:right w:val="single" w:sz="4" w:space="0" w:color="auto"/>
            </w:tcBorders>
            <w:shd w:val="clear" w:color="auto" w:fill="auto"/>
            <w:vAlign w:val="center"/>
            <w:hideMark/>
          </w:tcPr>
          <w:p w14:paraId="5EAFBAA4" w14:textId="6C5B7225" w:rsidR="00494F5F" w:rsidRPr="003E2544" w:rsidRDefault="00494F5F" w:rsidP="00245274">
            <w:pPr>
              <w:spacing w:line="240" w:lineRule="auto"/>
              <w:ind w:right="-45"/>
              <w:jc w:val="center"/>
              <w:rPr>
                <w:rFonts w:ascii="Verdana" w:eastAsia="Times New Roman" w:hAnsi="Verdana" w:cs="Calibri"/>
                <w:sz w:val="18"/>
                <w:szCs w:val="18"/>
                <w:lang w:eastAsia="ja-JP"/>
              </w:rPr>
            </w:pPr>
            <w:r w:rsidRPr="003E2544" w:rsidDel="00E4765D">
              <w:rPr>
                <w:rFonts w:ascii="Verdana" w:eastAsia="Times New Roman" w:hAnsi="Verdana" w:cs="Calibri"/>
                <w:sz w:val="18"/>
                <w:szCs w:val="18"/>
                <w:lang w:eastAsia="ja-JP"/>
              </w:rPr>
              <w:t>2 Budget Briefs, 3 Citizens Budget (2018-2019)</w:t>
            </w:r>
          </w:p>
        </w:tc>
        <w:tc>
          <w:tcPr>
            <w:tcW w:w="1371" w:type="dxa"/>
            <w:tcBorders>
              <w:top w:val="nil"/>
              <w:left w:val="nil"/>
              <w:bottom w:val="single" w:sz="4" w:space="0" w:color="auto"/>
              <w:right w:val="single" w:sz="4" w:space="0" w:color="auto"/>
            </w:tcBorders>
            <w:shd w:val="clear" w:color="auto" w:fill="auto"/>
            <w:vAlign w:val="center"/>
            <w:hideMark/>
          </w:tcPr>
          <w:p w14:paraId="16981B85" w14:textId="4CE38A4E"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1 Budget Brief, 2 Citizen Budgets</w:t>
            </w:r>
          </w:p>
        </w:tc>
        <w:tc>
          <w:tcPr>
            <w:tcW w:w="1439" w:type="dxa"/>
            <w:tcBorders>
              <w:top w:val="nil"/>
              <w:left w:val="nil"/>
              <w:bottom w:val="single" w:sz="4" w:space="0" w:color="auto"/>
              <w:right w:val="single" w:sz="4" w:space="0" w:color="auto"/>
            </w:tcBorders>
            <w:shd w:val="clear" w:color="auto" w:fill="auto"/>
            <w:vAlign w:val="center"/>
            <w:hideMark/>
          </w:tcPr>
          <w:p w14:paraId="64646D0B" w14:textId="3C8E6275"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4 Budget Briefs, 3 Citizens Budget by 202</w:t>
            </w:r>
            <w:r w:rsidR="00D43AD3">
              <w:rPr>
                <w:rFonts w:ascii="Verdana" w:eastAsia="Times New Roman" w:hAnsi="Verdana" w:cs="Calibri"/>
                <w:sz w:val="18"/>
                <w:szCs w:val="18"/>
                <w:lang w:eastAsia="ja-JP"/>
              </w:rPr>
              <w:t xml:space="preserve">2 </w:t>
            </w:r>
            <w:r w:rsidRPr="003E2544">
              <w:rPr>
                <w:rFonts w:ascii="Verdana" w:eastAsia="Times New Roman" w:hAnsi="Verdana" w:cs="Calibri"/>
                <w:sz w:val="18"/>
                <w:szCs w:val="18"/>
                <w:lang w:eastAsia="ja-JP"/>
              </w:rPr>
              <w:t xml:space="preserve">(cumulative) </w:t>
            </w:r>
          </w:p>
        </w:tc>
        <w:tc>
          <w:tcPr>
            <w:tcW w:w="1681" w:type="dxa"/>
            <w:tcBorders>
              <w:top w:val="nil"/>
              <w:left w:val="nil"/>
              <w:bottom w:val="single" w:sz="4" w:space="0" w:color="auto"/>
              <w:right w:val="single" w:sz="4" w:space="0" w:color="auto"/>
            </w:tcBorders>
            <w:shd w:val="clear" w:color="auto" w:fill="auto"/>
            <w:vAlign w:val="center"/>
            <w:hideMark/>
          </w:tcPr>
          <w:p w14:paraId="7BB833E2" w14:textId="0A7A4234"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MoFP/UNICEF official website</w:t>
            </w:r>
          </w:p>
        </w:tc>
        <w:tc>
          <w:tcPr>
            <w:tcW w:w="1704" w:type="dxa"/>
            <w:tcBorders>
              <w:top w:val="nil"/>
              <w:left w:val="nil"/>
              <w:bottom w:val="single" w:sz="4" w:space="0" w:color="auto"/>
              <w:right w:val="single" w:sz="8" w:space="0" w:color="auto"/>
            </w:tcBorders>
            <w:shd w:val="clear" w:color="auto" w:fill="auto"/>
            <w:vAlign w:val="center"/>
            <w:hideMark/>
          </w:tcPr>
          <w:p w14:paraId="64AB4CBA" w14:textId="77777777"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UNICEF</w:t>
            </w:r>
          </w:p>
        </w:tc>
      </w:tr>
      <w:tr w:rsidR="00494F5F" w:rsidRPr="003E2544" w14:paraId="76DA55E6" w14:textId="77777777" w:rsidTr="007C4B89">
        <w:trPr>
          <w:trHeight w:val="690"/>
        </w:trPr>
        <w:tc>
          <w:tcPr>
            <w:tcW w:w="1022" w:type="dxa"/>
            <w:tcBorders>
              <w:top w:val="nil"/>
              <w:left w:val="single" w:sz="8" w:space="0" w:color="auto"/>
              <w:bottom w:val="single" w:sz="8" w:space="0" w:color="auto"/>
              <w:right w:val="single" w:sz="4" w:space="0" w:color="auto"/>
            </w:tcBorders>
            <w:shd w:val="clear" w:color="auto" w:fill="auto"/>
            <w:noWrap/>
            <w:vAlign w:val="center"/>
            <w:hideMark/>
          </w:tcPr>
          <w:p w14:paraId="3B2EE0DA" w14:textId="77777777"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1.3.4</w:t>
            </w:r>
          </w:p>
        </w:tc>
        <w:tc>
          <w:tcPr>
            <w:tcW w:w="4132" w:type="dxa"/>
            <w:tcBorders>
              <w:top w:val="nil"/>
              <w:left w:val="nil"/>
              <w:bottom w:val="single" w:sz="8" w:space="0" w:color="auto"/>
              <w:right w:val="single" w:sz="4" w:space="0" w:color="auto"/>
            </w:tcBorders>
            <w:shd w:val="clear" w:color="auto" w:fill="auto"/>
            <w:vAlign w:val="center"/>
            <w:hideMark/>
          </w:tcPr>
          <w:p w14:paraId="1074CD83" w14:textId="395A9C50" w:rsidR="00494F5F" w:rsidRPr="003E2544" w:rsidRDefault="00494F5F" w:rsidP="00245274">
            <w:pPr>
              <w:spacing w:line="240" w:lineRule="auto"/>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 xml:space="preserve">A national dashboard to monitor state online financial and operational reporting (including on SDG related programmes) </w:t>
            </w:r>
          </w:p>
        </w:tc>
        <w:tc>
          <w:tcPr>
            <w:tcW w:w="1591" w:type="dxa"/>
            <w:tcBorders>
              <w:top w:val="nil"/>
              <w:left w:val="nil"/>
              <w:bottom w:val="single" w:sz="8" w:space="0" w:color="auto"/>
              <w:right w:val="single" w:sz="4" w:space="0" w:color="auto"/>
            </w:tcBorders>
            <w:shd w:val="clear" w:color="auto" w:fill="auto"/>
            <w:vAlign w:val="center"/>
            <w:hideMark/>
          </w:tcPr>
          <w:p w14:paraId="6BFCC48C" w14:textId="5C9E06E1" w:rsidR="00494F5F" w:rsidRPr="003E2544" w:rsidRDefault="00494F5F" w:rsidP="00245274">
            <w:pPr>
              <w:spacing w:line="240" w:lineRule="auto"/>
              <w:jc w:val="center"/>
              <w:rPr>
                <w:rFonts w:ascii="Verdana" w:eastAsia="Times New Roman" w:hAnsi="Verdana" w:cs="Calibri"/>
                <w:sz w:val="18"/>
                <w:szCs w:val="18"/>
                <w:lang w:eastAsia="ja-JP"/>
              </w:rPr>
            </w:pPr>
            <w:r w:rsidRPr="003E2544" w:rsidDel="00E4765D">
              <w:rPr>
                <w:rFonts w:ascii="Verdana" w:eastAsia="Times New Roman" w:hAnsi="Verdana" w:cs="Calibri"/>
                <w:sz w:val="18"/>
                <w:szCs w:val="18"/>
                <w:lang w:eastAsia="ja-JP"/>
              </w:rPr>
              <w:t>No</w:t>
            </w:r>
          </w:p>
        </w:tc>
        <w:tc>
          <w:tcPr>
            <w:tcW w:w="1371" w:type="dxa"/>
            <w:tcBorders>
              <w:top w:val="nil"/>
              <w:left w:val="nil"/>
              <w:bottom w:val="single" w:sz="8" w:space="0" w:color="auto"/>
              <w:right w:val="single" w:sz="4" w:space="0" w:color="auto"/>
            </w:tcBorders>
            <w:shd w:val="clear" w:color="auto" w:fill="auto"/>
            <w:vAlign w:val="center"/>
            <w:hideMark/>
          </w:tcPr>
          <w:p w14:paraId="5B0D2445" w14:textId="7600557E"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Pilot dashboard designed</w:t>
            </w:r>
          </w:p>
        </w:tc>
        <w:tc>
          <w:tcPr>
            <w:tcW w:w="1439" w:type="dxa"/>
            <w:tcBorders>
              <w:top w:val="nil"/>
              <w:left w:val="nil"/>
              <w:bottom w:val="single" w:sz="8" w:space="0" w:color="auto"/>
              <w:right w:val="single" w:sz="4" w:space="0" w:color="auto"/>
            </w:tcBorders>
            <w:shd w:val="clear" w:color="auto" w:fill="auto"/>
            <w:vAlign w:val="center"/>
            <w:hideMark/>
          </w:tcPr>
          <w:p w14:paraId="22355D2F" w14:textId="3EA8EB27" w:rsidR="00494F5F" w:rsidRPr="003E2544" w:rsidRDefault="00494F5F" w:rsidP="00245274">
            <w:pPr>
              <w:spacing w:line="240" w:lineRule="auto"/>
              <w:jc w:val="center"/>
              <w:rPr>
                <w:rFonts w:ascii="Verdana" w:eastAsia="Times New Roman" w:hAnsi="Verdana" w:cs="Calibri"/>
                <w:sz w:val="18"/>
                <w:szCs w:val="18"/>
                <w:lang w:eastAsia="ja-JP"/>
              </w:rPr>
            </w:pPr>
            <w:r w:rsidRPr="003E2544" w:rsidDel="00E4765D">
              <w:rPr>
                <w:rFonts w:ascii="Verdana" w:eastAsia="Times New Roman" w:hAnsi="Verdana" w:cs="Calibri"/>
                <w:sz w:val="18"/>
                <w:szCs w:val="18"/>
                <w:lang w:eastAsia="ja-JP"/>
              </w:rPr>
              <w:t>Fully operational</w:t>
            </w:r>
          </w:p>
        </w:tc>
        <w:tc>
          <w:tcPr>
            <w:tcW w:w="1681" w:type="dxa"/>
            <w:tcBorders>
              <w:top w:val="nil"/>
              <w:left w:val="nil"/>
              <w:bottom w:val="single" w:sz="8" w:space="0" w:color="auto"/>
              <w:right w:val="single" w:sz="4" w:space="0" w:color="auto"/>
            </w:tcBorders>
            <w:shd w:val="clear" w:color="auto" w:fill="auto"/>
            <w:vAlign w:val="center"/>
            <w:hideMark/>
          </w:tcPr>
          <w:p w14:paraId="7444A00C" w14:textId="1FB2874E"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MoFP official website</w:t>
            </w:r>
          </w:p>
        </w:tc>
        <w:tc>
          <w:tcPr>
            <w:tcW w:w="1704" w:type="dxa"/>
            <w:tcBorders>
              <w:top w:val="nil"/>
              <w:left w:val="nil"/>
              <w:bottom w:val="single" w:sz="8" w:space="0" w:color="auto"/>
              <w:right w:val="single" w:sz="8" w:space="0" w:color="auto"/>
            </w:tcBorders>
            <w:shd w:val="clear" w:color="auto" w:fill="auto"/>
            <w:vAlign w:val="center"/>
            <w:hideMark/>
          </w:tcPr>
          <w:p w14:paraId="07BCF39C" w14:textId="77777777" w:rsidR="00494F5F" w:rsidRPr="003E2544" w:rsidRDefault="00494F5F" w:rsidP="00245274">
            <w:pPr>
              <w:spacing w:line="240" w:lineRule="auto"/>
              <w:jc w:val="center"/>
              <w:rPr>
                <w:rFonts w:ascii="Verdana" w:eastAsia="Times New Roman" w:hAnsi="Verdana" w:cs="Calibri"/>
                <w:sz w:val="18"/>
                <w:szCs w:val="18"/>
                <w:lang w:eastAsia="ja-JP"/>
              </w:rPr>
            </w:pPr>
            <w:r w:rsidRPr="003E2544">
              <w:rPr>
                <w:rFonts w:ascii="Verdana" w:eastAsia="Times New Roman" w:hAnsi="Verdana" w:cs="Calibri"/>
                <w:sz w:val="18"/>
                <w:szCs w:val="18"/>
                <w:lang w:eastAsia="ja-JP"/>
              </w:rPr>
              <w:t>UNICEF</w:t>
            </w:r>
          </w:p>
        </w:tc>
      </w:tr>
    </w:tbl>
    <w:p w14:paraId="3D5660D7" w14:textId="77777777" w:rsidR="00272BF8" w:rsidRPr="003E2544" w:rsidRDefault="00272BF8" w:rsidP="00245274">
      <w:pPr>
        <w:spacing w:line="240" w:lineRule="auto"/>
        <w:rPr>
          <w:rFonts w:ascii="Verdana" w:eastAsia="Times New Roman" w:hAnsi="Verdana" w:cs="Times New Roman"/>
          <w:color w:val="000000" w:themeColor="text1"/>
          <w:sz w:val="20"/>
          <w:szCs w:val="20"/>
          <w:lang w:eastAsia="en-GB"/>
        </w:rPr>
      </w:pPr>
    </w:p>
    <w:p w14:paraId="35CDFCCF" w14:textId="77777777" w:rsidR="00272BF8" w:rsidRPr="003E2544" w:rsidRDefault="00272BF8" w:rsidP="00245274">
      <w:pPr>
        <w:spacing w:line="240" w:lineRule="auto"/>
        <w:rPr>
          <w:rFonts w:ascii="Verdana" w:eastAsia="Times New Roman" w:hAnsi="Verdana" w:cs="Times New Roman"/>
          <w:color w:val="000000" w:themeColor="text1"/>
          <w:sz w:val="20"/>
          <w:szCs w:val="20"/>
          <w:lang w:eastAsia="en-GB"/>
        </w:rPr>
      </w:pPr>
    </w:p>
    <w:p w14:paraId="2BC89FE5" w14:textId="77777777" w:rsidR="009430CF" w:rsidRPr="003E2544" w:rsidRDefault="009430CF" w:rsidP="00245274">
      <w:pPr>
        <w:spacing w:line="240" w:lineRule="auto"/>
        <w:rPr>
          <w:rFonts w:ascii="Verdana" w:eastAsia="Times New Roman" w:hAnsi="Verdana" w:cs="Times New Roman"/>
          <w:b/>
          <w:color w:val="0070C0"/>
          <w:sz w:val="20"/>
          <w:szCs w:val="20"/>
          <w:u w:val="single"/>
          <w:lang w:eastAsia="en-GB"/>
        </w:rPr>
      </w:pPr>
    </w:p>
    <w:p w14:paraId="19F360A9" w14:textId="77777777" w:rsidR="009430CF" w:rsidRPr="003E2544" w:rsidRDefault="009430CF" w:rsidP="00245274">
      <w:pPr>
        <w:spacing w:line="240" w:lineRule="auto"/>
        <w:rPr>
          <w:rFonts w:ascii="Verdana" w:eastAsia="Times New Roman" w:hAnsi="Verdana" w:cs="Times New Roman"/>
          <w:b/>
          <w:color w:val="0070C0"/>
          <w:sz w:val="20"/>
          <w:szCs w:val="20"/>
          <w:u w:val="single"/>
          <w:lang w:eastAsia="en-GB"/>
        </w:rPr>
        <w:sectPr w:rsidR="009430CF" w:rsidRPr="003E2544" w:rsidSect="002173C0">
          <w:pgSz w:w="15840" w:h="12240" w:orient="landscape"/>
          <w:pgMar w:top="1440" w:right="1440" w:bottom="1440" w:left="1440" w:header="720" w:footer="720" w:gutter="0"/>
          <w:cols w:space="720"/>
          <w:titlePg/>
          <w:docGrid w:linePitch="360"/>
        </w:sectPr>
      </w:pPr>
    </w:p>
    <w:p w14:paraId="3A686FD6" w14:textId="7B4713AE" w:rsidR="00272BF8" w:rsidRPr="003E2544" w:rsidRDefault="00272BF8" w:rsidP="00EB0B6E">
      <w:pPr>
        <w:pStyle w:val="Heading2"/>
        <w:spacing w:line="240" w:lineRule="auto"/>
        <w:rPr>
          <w:lang w:eastAsia="en-GB"/>
        </w:rPr>
      </w:pPr>
      <w:r w:rsidRPr="003E2544">
        <w:rPr>
          <w:lang w:eastAsia="en-GB"/>
        </w:rPr>
        <w:lastRenderedPageBreak/>
        <w:t xml:space="preserve">Annex 3. Gender </w:t>
      </w:r>
      <w:r w:rsidR="007F013C">
        <w:rPr>
          <w:lang w:eastAsia="en-GB"/>
        </w:rPr>
        <w:t>M</w:t>
      </w:r>
      <w:r w:rsidRPr="003E2544">
        <w:rPr>
          <w:lang w:eastAsia="en-GB"/>
        </w:rPr>
        <w:t xml:space="preserve">arker </w:t>
      </w:r>
      <w:r w:rsidR="007F013C">
        <w:rPr>
          <w:lang w:eastAsia="en-GB"/>
        </w:rPr>
        <w:t>M</w:t>
      </w:r>
      <w:r w:rsidRPr="003E2544">
        <w:rPr>
          <w:lang w:eastAsia="en-GB"/>
        </w:rPr>
        <w:t xml:space="preserve">atrix </w:t>
      </w:r>
    </w:p>
    <w:p w14:paraId="68E772BA" w14:textId="77777777" w:rsidR="00272BF8" w:rsidRPr="003E2544" w:rsidRDefault="00272BF8" w:rsidP="00245274">
      <w:pPr>
        <w:spacing w:line="240" w:lineRule="auto"/>
        <w:rPr>
          <w:rFonts w:ascii="Verdana" w:eastAsia="Times New Roman" w:hAnsi="Verdana" w:cs="Times New Roman"/>
          <w:color w:val="000000" w:themeColor="text1"/>
          <w:sz w:val="24"/>
          <w:szCs w:val="24"/>
          <w:u w:val="single"/>
          <w:lang w:eastAsia="en-GB"/>
        </w:rPr>
      </w:pPr>
    </w:p>
    <w:tbl>
      <w:tblPr>
        <w:tblStyle w:val="TableGrid"/>
        <w:tblW w:w="5000" w:type="pct"/>
        <w:jc w:val="center"/>
        <w:tblLook w:val="04A0" w:firstRow="1" w:lastRow="0" w:firstColumn="1" w:lastColumn="0" w:noHBand="0" w:noVBand="1"/>
      </w:tblPr>
      <w:tblGrid>
        <w:gridCol w:w="526"/>
        <w:gridCol w:w="3263"/>
        <w:gridCol w:w="833"/>
        <w:gridCol w:w="5367"/>
        <w:gridCol w:w="2961"/>
      </w:tblGrid>
      <w:tr w:rsidR="00EA6A60" w:rsidRPr="00EA6A60" w14:paraId="72CF18F1" w14:textId="77777777" w:rsidTr="009D3197">
        <w:trPr>
          <w:jc w:val="center"/>
        </w:trPr>
        <w:tc>
          <w:tcPr>
            <w:tcW w:w="3685" w:type="dxa"/>
            <w:gridSpan w:val="2"/>
            <w:shd w:val="clear" w:color="auto" w:fill="BDD6EE" w:themeFill="accent5" w:themeFillTint="66"/>
            <w:vAlign w:val="center"/>
          </w:tcPr>
          <w:p w14:paraId="14FBF7B3" w14:textId="77777777" w:rsidR="003B1C02" w:rsidRPr="00EA6A60" w:rsidRDefault="003B1C02" w:rsidP="009D3197">
            <w:pPr>
              <w:spacing w:line="240" w:lineRule="auto"/>
              <w:rPr>
                <w:rFonts w:ascii="Verdana" w:eastAsia="Calibri" w:hAnsi="Verdana" w:cs="Calibri"/>
                <w:b/>
                <w:color w:val="auto"/>
                <w:sz w:val="18"/>
                <w:szCs w:val="18"/>
              </w:rPr>
            </w:pPr>
            <w:r w:rsidRPr="00EA6A60">
              <w:rPr>
                <w:rFonts w:ascii="Verdana" w:eastAsia="Calibri" w:hAnsi="Verdana" w:cs="Calibri"/>
                <w:b/>
                <w:color w:val="auto"/>
                <w:sz w:val="18"/>
                <w:szCs w:val="18"/>
              </w:rPr>
              <w:t>Indicator</w:t>
            </w:r>
          </w:p>
        </w:tc>
        <w:tc>
          <w:tcPr>
            <w:tcW w:w="810" w:type="dxa"/>
            <w:vMerge w:val="restart"/>
            <w:shd w:val="clear" w:color="auto" w:fill="BDD6EE" w:themeFill="accent5" w:themeFillTint="66"/>
            <w:vAlign w:val="center"/>
          </w:tcPr>
          <w:p w14:paraId="215A5270" w14:textId="77777777" w:rsidR="003B1C02" w:rsidRPr="00EA6A60" w:rsidRDefault="003B1C02" w:rsidP="009D3197">
            <w:pPr>
              <w:spacing w:line="240" w:lineRule="auto"/>
              <w:rPr>
                <w:rFonts w:ascii="Verdana" w:eastAsia="Calibri" w:hAnsi="Verdana" w:cs="Calibri"/>
                <w:b/>
                <w:color w:val="auto"/>
                <w:sz w:val="18"/>
                <w:szCs w:val="18"/>
              </w:rPr>
            </w:pPr>
            <w:r w:rsidRPr="00EA6A60">
              <w:rPr>
                <w:rFonts w:ascii="Verdana" w:eastAsia="Calibri" w:hAnsi="Verdana" w:cs="Calibri"/>
                <w:b/>
                <w:color w:val="auto"/>
                <w:sz w:val="18"/>
                <w:szCs w:val="18"/>
              </w:rPr>
              <w:t>Score</w:t>
            </w:r>
          </w:p>
        </w:tc>
        <w:tc>
          <w:tcPr>
            <w:tcW w:w="5220" w:type="dxa"/>
            <w:vMerge w:val="restart"/>
            <w:shd w:val="clear" w:color="auto" w:fill="BDD6EE" w:themeFill="accent5" w:themeFillTint="66"/>
            <w:vAlign w:val="center"/>
          </w:tcPr>
          <w:p w14:paraId="2119664F" w14:textId="77777777" w:rsidR="003B1C02" w:rsidRPr="00EA6A60" w:rsidRDefault="003B1C02" w:rsidP="009D3197">
            <w:pPr>
              <w:spacing w:line="240" w:lineRule="auto"/>
              <w:rPr>
                <w:rFonts w:ascii="Verdana" w:eastAsia="Calibri" w:hAnsi="Verdana" w:cs="Calibri"/>
                <w:b/>
                <w:color w:val="auto"/>
                <w:sz w:val="18"/>
                <w:szCs w:val="18"/>
              </w:rPr>
            </w:pPr>
            <w:r w:rsidRPr="00EA6A60">
              <w:rPr>
                <w:rFonts w:ascii="Verdana" w:eastAsia="Calibri" w:hAnsi="Verdana" w:cs="Calibri"/>
                <w:b/>
                <w:color w:val="auto"/>
                <w:sz w:val="18"/>
                <w:szCs w:val="18"/>
              </w:rPr>
              <w:t>Findings and Explanation</w:t>
            </w:r>
          </w:p>
        </w:tc>
        <w:tc>
          <w:tcPr>
            <w:tcW w:w="2880" w:type="dxa"/>
            <w:vMerge w:val="restart"/>
            <w:shd w:val="clear" w:color="auto" w:fill="BDD6EE" w:themeFill="accent5" w:themeFillTint="66"/>
            <w:vAlign w:val="center"/>
          </w:tcPr>
          <w:p w14:paraId="6676B372" w14:textId="77777777" w:rsidR="003B1C02" w:rsidRPr="00EA6A60" w:rsidRDefault="003B1C02" w:rsidP="009D3197">
            <w:pPr>
              <w:spacing w:line="240" w:lineRule="auto"/>
              <w:rPr>
                <w:rFonts w:ascii="Verdana" w:eastAsia="Calibri" w:hAnsi="Verdana" w:cs="Calibri"/>
                <w:b/>
                <w:color w:val="auto"/>
                <w:sz w:val="18"/>
                <w:szCs w:val="18"/>
              </w:rPr>
            </w:pPr>
            <w:r w:rsidRPr="00EA6A60">
              <w:rPr>
                <w:rFonts w:ascii="Verdana" w:eastAsia="Calibri" w:hAnsi="Verdana" w:cs="Calibri"/>
                <w:b/>
                <w:color w:val="auto"/>
                <w:sz w:val="18"/>
                <w:szCs w:val="18"/>
              </w:rPr>
              <w:t>Evidence or Means of Verification</w:t>
            </w:r>
          </w:p>
        </w:tc>
      </w:tr>
      <w:tr w:rsidR="00EA6A60" w:rsidRPr="00EA6A60" w14:paraId="670B4379" w14:textId="77777777" w:rsidTr="009D3197">
        <w:trPr>
          <w:jc w:val="center"/>
        </w:trPr>
        <w:tc>
          <w:tcPr>
            <w:tcW w:w="511" w:type="dxa"/>
            <w:shd w:val="clear" w:color="auto" w:fill="ACB9CA" w:themeFill="text2" w:themeFillTint="66"/>
            <w:vAlign w:val="center"/>
          </w:tcPr>
          <w:p w14:paraId="0DFCD169" w14:textId="77777777" w:rsidR="003B1C02" w:rsidRPr="00EA6A60" w:rsidRDefault="003B1C02" w:rsidP="009D3197">
            <w:pPr>
              <w:spacing w:line="240" w:lineRule="auto"/>
              <w:rPr>
                <w:rFonts w:ascii="Verdana" w:eastAsia="Calibri" w:hAnsi="Verdana" w:cs="Calibri"/>
                <w:bCs/>
                <w:i/>
                <w:iCs/>
                <w:color w:val="auto"/>
                <w:sz w:val="18"/>
                <w:szCs w:val="18"/>
              </w:rPr>
            </w:pPr>
            <w:r w:rsidRPr="00EA6A60">
              <w:rPr>
                <w:rFonts w:ascii="Verdana" w:eastAsia="Calibri" w:hAnsi="Verdana" w:cs="Calibri"/>
                <w:bCs/>
                <w:i/>
                <w:iCs/>
                <w:color w:val="auto"/>
                <w:sz w:val="18"/>
                <w:szCs w:val="18"/>
              </w:rPr>
              <w:t>N°</w:t>
            </w:r>
          </w:p>
        </w:tc>
        <w:tc>
          <w:tcPr>
            <w:tcW w:w="3174" w:type="dxa"/>
            <w:shd w:val="clear" w:color="auto" w:fill="ACB9CA" w:themeFill="text2" w:themeFillTint="66"/>
            <w:vAlign w:val="center"/>
          </w:tcPr>
          <w:p w14:paraId="36FA665D" w14:textId="77777777" w:rsidR="003B1C02" w:rsidRPr="00EA6A60" w:rsidRDefault="003B1C02" w:rsidP="009D3197">
            <w:pPr>
              <w:spacing w:line="240" w:lineRule="auto"/>
              <w:rPr>
                <w:rFonts w:ascii="Verdana" w:eastAsia="Calibri" w:hAnsi="Verdana" w:cs="Calibri"/>
                <w:bCs/>
                <w:i/>
                <w:iCs/>
                <w:color w:val="auto"/>
                <w:sz w:val="18"/>
                <w:szCs w:val="18"/>
              </w:rPr>
            </w:pPr>
            <w:r w:rsidRPr="00EA6A60">
              <w:rPr>
                <w:rFonts w:ascii="Verdana" w:eastAsia="Calibri" w:hAnsi="Verdana" w:cs="Calibri"/>
                <w:bCs/>
                <w:i/>
                <w:iCs/>
                <w:color w:val="auto"/>
                <w:sz w:val="18"/>
                <w:szCs w:val="18"/>
              </w:rPr>
              <w:t>Formulation</w:t>
            </w:r>
          </w:p>
        </w:tc>
        <w:tc>
          <w:tcPr>
            <w:tcW w:w="810" w:type="dxa"/>
            <w:vMerge/>
            <w:vAlign w:val="center"/>
          </w:tcPr>
          <w:p w14:paraId="3F35C09F" w14:textId="77777777" w:rsidR="003B1C02" w:rsidRPr="00EA6A60" w:rsidRDefault="003B1C02" w:rsidP="009D3197">
            <w:pPr>
              <w:spacing w:line="240" w:lineRule="auto"/>
              <w:rPr>
                <w:rFonts w:ascii="Verdana" w:eastAsia="Calibri" w:hAnsi="Verdana" w:cs="Calibri"/>
                <w:bCs/>
                <w:color w:val="auto"/>
                <w:sz w:val="18"/>
                <w:szCs w:val="18"/>
              </w:rPr>
            </w:pPr>
          </w:p>
        </w:tc>
        <w:tc>
          <w:tcPr>
            <w:tcW w:w="5220" w:type="dxa"/>
            <w:vMerge/>
            <w:vAlign w:val="center"/>
          </w:tcPr>
          <w:p w14:paraId="0C2B6E81" w14:textId="77777777" w:rsidR="003B1C02" w:rsidRPr="00EA6A60" w:rsidRDefault="003B1C02" w:rsidP="009D3197">
            <w:pPr>
              <w:spacing w:line="240" w:lineRule="auto"/>
              <w:rPr>
                <w:rFonts w:ascii="Verdana" w:eastAsia="Calibri" w:hAnsi="Verdana" w:cs="Calibri"/>
                <w:bCs/>
                <w:color w:val="auto"/>
                <w:sz w:val="18"/>
                <w:szCs w:val="18"/>
              </w:rPr>
            </w:pPr>
          </w:p>
        </w:tc>
        <w:tc>
          <w:tcPr>
            <w:tcW w:w="2880" w:type="dxa"/>
            <w:vMerge/>
            <w:vAlign w:val="center"/>
          </w:tcPr>
          <w:p w14:paraId="793AFD10" w14:textId="77777777" w:rsidR="003B1C02" w:rsidRPr="00EA6A60" w:rsidRDefault="003B1C02" w:rsidP="009D3197">
            <w:pPr>
              <w:spacing w:line="240" w:lineRule="auto"/>
              <w:rPr>
                <w:rFonts w:ascii="Verdana" w:eastAsia="Calibri" w:hAnsi="Verdana" w:cs="Calibri"/>
                <w:bCs/>
                <w:color w:val="auto"/>
                <w:sz w:val="18"/>
                <w:szCs w:val="18"/>
              </w:rPr>
            </w:pPr>
          </w:p>
        </w:tc>
      </w:tr>
      <w:tr w:rsidR="00EA6A60" w:rsidRPr="00EA6A60" w14:paraId="64FCE667" w14:textId="77777777" w:rsidTr="009D3197">
        <w:trPr>
          <w:trHeight w:val="1502"/>
          <w:jc w:val="center"/>
        </w:trPr>
        <w:tc>
          <w:tcPr>
            <w:tcW w:w="511" w:type="dxa"/>
            <w:vAlign w:val="center"/>
          </w:tcPr>
          <w:p w14:paraId="3628721E" w14:textId="77777777" w:rsidR="003B1C02" w:rsidRPr="00EA6A60" w:rsidRDefault="003B1C02" w:rsidP="009D3197">
            <w:pPr>
              <w:spacing w:line="240" w:lineRule="auto"/>
              <w:jc w:val="center"/>
              <w:rPr>
                <w:rFonts w:ascii="Verdana" w:eastAsia="Calibri" w:hAnsi="Verdana" w:cs="Calibri"/>
                <w:bCs/>
                <w:color w:val="auto"/>
                <w:sz w:val="18"/>
                <w:szCs w:val="18"/>
              </w:rPr>
            </w:pPr>
            <w:r w:rsidRPr="00EA6A60">
              <w:rPr>
                <w:rFonts w:ascii="Verdana" w:eastAsia="Calibri" w:hAnsi="Verdana" w:cs="Calibri"/>
                <w:bCs/>
                <w:color w:val="auto"/>
                <w:sz w:val="18"/>
                <w:szCs w:val="18"/>
              </w:rPr>
              <w:t>1.1</w:t>
            </w:r>
          </w:p>
        </w:tc>
        <w:tc>
          <w:tcPr>
            <w:tcW w:w="3174" w:type="dxa"/>
            <w:vAlign w:val="center"/>
          </w:tcPr>
          <w:p w14:paraId="48AEB7B9" w14:textId="77777777" w:rsidR="003B1C02" w:rsidRPr="00EA6A60" w:rsidRDefault="003B1C02" w:rsidP="009D3197">
            <w:pPr>
              <w:spacing w:line="240" w:lineRule="auto"/>
              <w:rPr>
                <w:rFonts w:ascii="Verdana" w:eastAsia="Calibri" w:hAnsi="Verdana" w:cs="Calibri"/>
                <w:bCs/>
                <w:color w:val="auto"/>
                <w:sz w:val="18"/>
                <w:szCs w:val="18"/>
                <w:highlight w:val="yellow"/>
              </w:rPr>
            </w:pPr>
            <w:r w:rsidRPr="00EA6A60">
              <w:rPr>
                <w:rFonts w:ascii="Verdana" w:eastAsia="Calibri" w:hAnsi="Verdana" w:cs="Calibri"/>
                <w:bCs/>
                <w:color w:val="auto"/>
                <w:sz w:val="18"/>
                <w:szCs w:val="18"/>
              </w:rPr>
              <w:t>Context analysis integrate gender analysis</w:t>
            </w:r>
          </w:p>
        </w:tc>
        <w:tc>
          <w:tcPr>
            <w:tcW w:w="810" w:type="dxa"/>
            <w:vAlign w:val="center"/>
          </w:tcPr>
          <w:p w14:paraId="71CB1157" w14:textId="77777777" w:rsidR="003B1C02" w:rsidRPr="00EA6A60" w:rsidRDefault="003B1C02" w:rsidP="009D3197">
            <w:pPr>
              <w:spacing w:line="240" w:lineRule="auto"/>
              <w:jc w:val="center"/>
              <w:rPr>
                <w:rFonts w:ascii="Verdana" w:eastAsia="Calibri" w:hAnsi="Verdana" w:cs="Calibri"/>
                <w:b/>
                <w:color w:val="auto"/>
                <w:sz w:val="18"/>
                <w:szCs w:val="18"/>
              </w:rPr>
            </w:pPr>
            <w:r w:rsidRPr="00EA6A60">
              <w:rPr>
                <w:rFonts w:ascii="Verdana" w:eastAsia="Calibri" w:hAnsi="Verdana" w:cs="Calibri"/>
                <w:b/>
                <w:color w:val="auto"/>
                <w:sz w:val="18"/>
                <w:szCs w:val="18"/>
              </w:rPr>
              <w:t>2</w:t>
            </w:r>
          </w:p>
        </w:tc>
        <w:tc>
          <w:tcPr>
            <w:tcW w:w="5220" w:type="dxa"/>
            <w:vAlign w:val="center"/>
          </w:tcPr>
          <w:p w14:paraId="67256A7F" w14:textId="104E811E" w:rsidR="003B1C02" w:rsidRPr="00EA6A60" w:rsidRDefault="003B1C02" w:rsidP="00466368">
            <w:pPr>
              <w:pStyle w:val="Default"/>
              <w:rPr>
                <w:rFonts w:ascii="Verdana" w:hAnsi="Verdana"/>
                <w:color w:val="auto"/>
                <w:sz w:val="18"/>
                <w:szCs w:val="18"/>
              </w:rPr>
            </w:pPr>
            <w:r w:rsidRPr="00EA6A60">
              <w:rPr>
                <w:rFonts w:ascii="Verdana" w:hAnsi="Verdana"/>
                <w:color w:val="auto"/>
                <w:sz w:val="18"/>
                <w:szCs w:val="18"/>
              </w:rPr>
              <w:t>The context analysis of the JP (Page 7-</w:t>
            </w:r>
            <w:r w:rsidR="00466368" w:rsidRPr="00EA6A60">
              <w:rPr>
                <w:rFonts w:ascii="Verdana" w:hAnsi="Verdana"/>
                <w:color w:val="auto"/>
                <w:sz w:val="18"/>
                <w:szCs w:val="18"/>
              </w:rPr>
              <w:t>8</w:t>
            </w:r>
            <w:r w:rsidRPr="00EA6A60">
              <w:rPr>
                <w:rFonts w:ascii="Verdana" w:hAnsi="Verdana"/>
                <w:color w:val="auto"/>
                <w:sz w:val="18"/>
                <w:szCs w:val="18"/>
              </w:rPr>
              <w:t xml:space="preserve">) includes a) Gender analysis across all sectors including underlying causes of gender inequality and discrimination in line with SDG priorities including SDG 5 and b) Consistent sex-disaggregated and gender sensitive data. </w:t>
            </w:r>
          </w:p>
        </w:tc>
        <w:tc>
          <w:tcPr>
            <w:tcW w:w="2880" w:type="dxa"/>
            <w:vAlign w:val="center"/>
          </w:tcPr>
          <w:p w14:paraId="21737284" w14:textId="77777777"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JP RRF Indicator 1.3.3</w:t>
            </w:r>
          </w:p>
        </w:tc>
      </w:tr>
      <w:tr w:rsidR="00EA6A60" w:rsidRPr="00EA6A60" w14:paraId="2074A760" w14:textId="77777777" w:rsidTr="009D3197">
        <w:trPr>
          <w:jc w:val="center"/>
        </w:trPr>
        <w:tc>
          <w:tcPr>
            <w:tcW w:w="511" w:type="dxa"/>
            <w:vAlign w:val="center"/>
          </w:tcPr>
          <w:p w14:paraId="551FDCF3" w14:textId="77777777" w:rsidR="003B1C02" w:rsidRPr="00EA6A60" w:rsidRDefault="003B1C02" w:rsidP="009D3197">
            <w:pPr>
              <w:spacing w:line="240" w:lineRule="auto"/>
              <w:jc w:val="center"/>
              <w:rPr>
                <w:rFonts w:ascii="Verdana" w:eastAsia="Calibri" w:hAnsi="Verdana" w:cs="Calibri"/>
                <w:bCs/>
                <w:color w:val="auto"/>
                <w:sz w:val="18"/>
                <w:szCs w:val="18"/>
              </w:rPr>
            </w:pPr>
            <w:r w:rsidRPr="00EA6A60">
              <w:rPr>
                <w:rFonts w:ascii="Verdana" w:eastAsia="Calibri" w:hAnsi="Verdana" w:cs="Calibri"/>
                <w:bCs/>
                <w:color w:val="auto"/>
                <w:sz w:val="18"/>
                <w:szCs w:val="18"/>
              </w:rPr>
              <w:t>1.2</w:t>
            </w:r>
          </w:p>
        </w:tc>
        <w:tc>
          <w:tcPr>
            <w:tcW w:w="3174" w:type="dxa"/>
            <w:vAlign w:val="center"/>
          </w:tcPr>
          <w:p w14:paraId="426C46D2" w14:textId="77777777" w:rsidR="003B1C02" w:rsidRPr="00EA6A60" w:rsidRDefault="003B1C02" w:rsidP="009D3197">
            <w:pPr>
              <w:spacing w:line="240" w:lineRule="auto"/>
              <w:rPr>
                <w:rFonts w:ascii="Verdana" w:eastAsia="Calibri" w:hAnsi="Verdana" w:cs="Calibri"/>
                <w:bCs/>
                <w:color w:val="auto"/>
                <w:sz w:val="18"/>
                <w:szCs w:val="18"/>
                <w:highlight w:val="yellow"/>
              </w:rPr>
            </w:pPr>
            <w:r w:rsidRPr="00EA6A60">
              <w:rPr>
                <w:rFonts w:ascii="Verdana" w:eastAsia="Calibri" w:hAnsi="Verdana" w:cs="Calibri"/>
                <w:bCs/>
                <w:color w:val="auto"/>
                <w:sz w:val="18"/>
                <w:szCs w:val="18"/>
              </w:rPr>
              <w:t>Gender Equality mainstreamed in proposed outputs</w:t>
            </w:r>
          </w:p>
        </w:tc>
        <w:tc>
          <w:tcPr>
            <w:tcW w:w="810" w:type="dxa"/>
            <w:vAlign w:val="center"/>
          </w:tcPr>
          <w:p w14:paraId="4EE5B962" w14:textId="77777777" w:rsidR="003B1C02" w:rsidRPr="00EA6A60" w:rsidRDefault="003B1C02" w:rsidP="009D3197">
            <w:pPr>
              <w:spacing w:line="240" w:lineRule="auto"/>
              <w:jc w:val="center"/>
              <w:rPr>
                <w:rFonts w:ascii="Verdana" w:eastAsia="Calibri" w:hAnsi="Verdana" w:cs="Calibri"/>
                <w:b/>
                <w:color w:val="auto"/>
                <w:sz w:val="18"/>
                <w:szCs w:val="18"/>
              </w:rPr>
            </w:pPr>
            <w:r w:rsidRPr="00EA6A60">
              <w:rPr>
                <w:rFonts w:ascii="Verdana" w:eastAsia="Calibri" w:hAnsi="Verdana" w:cs="Calibri"/>
                <w:b/>
                <w:color w:val="auto"/>
                <w:sz w:val="18"/>
                <w:szCs w:val="18"/>
              </w:rPr>
              <w:t>2</w:t>
            </w:r>
          </w:p>
        </w:tc>
        <w:tc>
          <w:tcPr>
            <w:tcW w:w="5220" w:type="dxa"/>
            <w:vAlign w:val="center"/>
          </w:tcPr>
          <w:p w14:paraId="24A189FA" w14:textId="3D538A7B"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The Output 2 ‘</w:t>
            </w:r>
            <w:r w:rsidRPr="00EA6A60">
              <w:rPr>
                <w:rFonts w:ascii="Verdana" w:hAnsi="Verdana"/>
                <w:color w:val="auto"/>
                <w:sz w:val="18"/>
                <w:szCs w:val="18"/>
              </w:rPr>
              <w:t>22 strengthened and gender-responsive PFM institutions at national and sub-national levels especially targeting Central Equatoria, Western Equatoria and Northern Bahr el Ghazal states by 202</w:t>
            </w:r>
            <w:r w:rsidR="00D43AD3">
              <w:rPr>
                <w:rFonts w:ascii="Verdana" w:hAnsi="Verdana"/>
                <w:color w:val="auto"/>
                <w:sz w:val="18"/>
                <w:szCs w:val="18"/>
              </w:rPr>
              <w:t>2</w:t>
            </w:r>
            <w:r w:rsidRPr="00EA6A60">
              <w:rPr>
                <w:rFonts w:ascii="Verdana" w:hAnsi="Verdana"/>
                <w:color w:val="auto"/>
                <w:sz w:val="18"/>
                <w:szCs w:val="18"/>
              </w:rPr>
              <w:t xml:space="preserve">’ </w:t>
            </w:r>
            <w:r w:rsidRPr="00EA6A60">
              <w:rPr>
                <w:rFonts w:ascii="Verdana" w:eastAsia="Calibri" w:hAnsi="Verdana" w:cs="Calibri"/>
                <w:bCs/>
                <w:color w:val="auto"/>
                <w:sz w:val="18"/>
                <w:szCs w:val="18"/>
              </w:rPr>
              <w:t>specifically target gender equality in line with SDG priorities including SDG 5. Additionally, the remaining outputs indirectly target gender equality and women empowerment.</w:t>
            </w:r>
          </w:p>
        </w:tc>
        <w:tc>
          <w:tcPr>
            <w:tcW w:w="2880" w:type="dxa"/>
            <w:vAlign w:val="center"/>
          </w:tcPr>
          <w:p w14:paraId="64370D91" w14:textId="77777777"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JP RRF Indicator 1.2.2</w:t>
            </w:r>
          </w:p>
          <w:p w14:paraId="2F105409" w14:textId="77777777"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JP RRF Indicator 1.2.3</w:t>
            </w:r>
          </w:p>
        </w:tc>
      </w:tr>
      <w:tr w:rsidR="00EA6A60" w:rsidRPr="00EA6A60" w14:paraId="2686098C" w14:textId="77777777" w:rsidTr="009D3197">
        <w:trPr>
          <w:jc w:val="center"/>
        </w:trPr>
        <w:tc>
          <w:tcPr>
            <w:tcW w:w="511" w:type="dxa"/>
            <w:vAlign w:val="center"/>
          </w:tcPr>
          <w:p w14:paraId="3645DA01" w14:textId="77777777" w:rsidR="003B1C02" w:rsidRPr="00EA6A60" w:rsidRDefault="003B1C02" w:rsidP="009D3197">
            <w:pPr>
              <w:spacing w:line="240" w:lineRule="auto"/>
              <w:jc w:val="center"/>
              <w:rPr>
                <w:rFonts w:ascii="Verdana" w:eastAsia="Calibri" w:hAnsi="Verdana" w:cs="Calibri"/>
                <w:bCs/>
                <w:color w:val="auto"/>
                <w:sz w:val="18"/>
                <w:szCs w:val="18"/>
              </w:rPr>
            </w:pPr>
            <w:r w:rsidRPr="00EA6A60">
              <w:rPr>
                <w:rFonts w:ascii="Verdana" w:eastAsia="Calibri" w:hAnsi="Verdana" w:cs="Calibri"/>
                <w:bCs/>
                <w:color w:val="auto"/>
                <w:sz w:val="18"/>
                <w:szCs w:val="18"/>
              </w:rPr>
              <w:t>1.3</w:t>
            </w:r>
          </w:p>
        </w:tc>
        <w:tc>
          <w:tcPr>
            <w:tcW w:w="3174" w:type="dxa"/>
            <w:vAlign w:val="center"/>
          </w:tcPr>
          <w:p w14:paraId="30C920D2" w14:textId="77777777" w:rsidR="003B1C02" w:rsidRPr="00EA6A60" w:rsidRDefault="003B1C02" w:rsidP="009D3197">
            <w:pPr>
              <w:spacing w:line="240" w:lineRule="auto"/>
              <w:rPr>
                <w:rFonts w:ascii="Verdana" w:eastAsia="Calibri" w:hAnsi="Verdana" w:cs="Calibri"/>
                <w:bCs/>
                <w:color w:val="auto"/>
                <w:sz w:val="18"/>
                <w:szCs w:val="18"/>
                <w:highlight w:val="yellow"/>
              </w:rPr>
            </w:pPr>
            <w:r w:rsidRPr="00EA6A60">
              <w:rPr>
                <w:rFonts w:ascii="Verdana" w:eastAsia="Calibri" w:hAnsi="Verdana" w:cs="Calibri"/>
                <w:bCs/>
                <w:color w:val="auto"/>
                <w:sz w:val="18"/>
                <w:szCs w:val="18"/>
              </w:rPr>
              <w:t>Programme output indicators measure changes on gender equality</w:t>
            </w:r>
          </w:p>
        </w:tc>
        <w:tc>
          <w:tcPr>
            <w:tcW w:w="810" w:type="dxa"/>
            <w:vAlign w:val="center"/>
          </w:tcPr>
          <w:p w14:paraId="2EFCE491" w14:textId="77777777" w:rsidR="003B1C02" w:rsidRPr="00EA6A60" w:rsidRDefault="003B1C02" w:rsidP="009D3197">
            <w:pPr>
              <w:spacing w:line="240" w:lineRule="auto"/>
              <w:jc w:val="center"/>
              <w:rPr>
                <w:rFonts w:ascii="Verdana" w:eastAsia="Calibri" w:hAnsi="Verdana" w:cs="Calibri"/>
                <w:b/>
                <w:color w:val="auto"/>
                <w:sz w:val="18"/>
                <w:szCs w:val="18"/>
              </w:rPr>
            </w:pPr>
            <w:r w:rsidRPr="00EA6A60">
              <w:rPr>
                <w:rFonts w:ascii="Verdana" w:eastAsia="Calibri" w:hAnsi="Verdana" w:cs="Calibri"/>
                <w:b/>
                <w:color w:val="auto"/>
                <w:sz w:val="18"/>
                <w:szCs w:val="18"/>
              </w:rPr>
              <w:t>3</w:t>
            </w:r>
          </w:p>
        </w:tc>
        <w:tc>
          <w:tcPr>
            <w:tcW w:w="5220" w:type="dxa"/>
            <w:vAlign w:val="center"/>
          </w:tcPr>
          <w:p w14:paraId="36D96512" w14:textId="77777777"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50% of the output indicators measure changes in gender equality and the empowerment of women in line with SDG targets including SDG 5.</w:t>
            </w:r>
          </w:p>
        </w:tc>
        <w:tc>
          <w:tcPr>
            <w:tcW w:w="2880" w:type="dxa"/>
            <w:vAlign w:val="center"/>
          </w:tcPr>
          <w:p w14:paraId="4D072793" w14:textId="77777777"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JP RRF Indicators 1.1.3, 1.2.2, 1.2.3, 1.3.1, 1.3.3, 1.3.4</w:t>
            </w:r>
          </w:p>
        </w:tc>
      </w:tr>
      <w:tr w:rsidR="00EA6A60" w:rsidRPr="00EA6A60" w14:paraId="44F4D3D1" w14:textId="77777777" w:rsidTr="009D3197">
        <w:trPr>
          <w:jc w:val="center"/>
        </w:trPr>
        <w:tc>
          <w:tcPr>
            <w:tcW w:w="511" w:type="dxa"/>
            <w:vAlign w:val="center"/>
          </w:tcPr>
          <w:p w14:paraId="7F28FCD9" w14:textId="77777777" w:rsidR="003B1C02" w:rsidRPr="00EA6A60" w:rsidRDefault="003B1C02" w:rsidP="009D3197">
            <w:pPr>
              <w:spacing w:line="240" w:lineRule="auto"/>
              <w:jc w:val="center"/>
              <w:rPr>
                <w:rFonts w:ascii="Verdana" w:eastAsia="Calibri" w:hAnsi="Verdana" w:cs="Calibri"/>
                <w:bCs/>
                <w:color w:val="auto"/>
                <w:sz w:val="18"/>
                <w:szCs w:val="18"/>
              </w:rPr>
            </w:pPr>
            <w:r w:rsidRPr="00EA6A60">
              <w:rPr>
                <w:rFonts w:ascii="Verdana" w:eastAsia="Calibri" w:hAnsi="Verdana" w:cs="Calibri"/>
                <w:bCs/>
                <w:color w:val="auto"/>
                <w:sz w:val="18"/>
                <w:szCs w:val="18"/>
              </w:rPr>
              <w:t>2.1</w:t>
            </w:r>
          </w:p>
        </w:tc>
        <w:tc>
          <w:tcPr>
            <w:tcW w:w="3174" w:type="dxa"/>
            <w:vAlign w:val="center"/>
          </w:tcPr>
          <w:p w14:paraId="62790B7D" w14:textId="77777777" w:rsidR="003B1C02" w:rsidRPr="00EA6A60" w:rsidRDefault="003B1C02" w:rsidP="009D3197">
            <w:pPr>
              <w:spacing w:line="240" w:lineRule="auto"/>
              <w:rPr>
                <w:rFonts w:ascii="Verdana" w:eastAsia="Calibri" w:hAnsi="Verdana" w:cs="Calibri"/>
                <w:bCs/>
                <w:color w:val="auto"/>
                <w:sz w:val="18"/>
                <w:szCs w:val="18"/>
                <w:highlight w:val="yellow"/>
              </w:rPr>
            </w:pPr>
            <w:r w:rsidRPr="00EA6A60">
              <w:rPr>
                <w:rFonts w:ascii="Verdana" w:eastAsia="Calibri" w:hAnsi="Verdana" w:cs="Calibri"/>
                <w:bCs/>
                <w:color w:val="auto"/>
                <w:sz w:val="18"/>
                <w:szCs w:val="18"/>
              </w:rPr>
              <w:t>PUNO collaborate and engage with Government on gender equality and the empowerment of women</w:t>
            </w:r>
          </w:p>
        </w:tc>
        <w:tc>
          <w:tcPr>
            <w:tcW w:w="810" w:type="dxa"/>
            <w:vAlign w:val="center"/>
          </w:tcPr>
          <w:p w14:paraId="58BAA196" w14:textId="77777777" w:rsidR="003B1C02" w:rsidRPr="00EA6A60" w:rsidRDefault="003B1C02" w:rsidP="009D3197">
            <w:pPr>
              <w:spacing w:line="240" w:lineRule="auto"/>
              <w:jc w:val="center"/>
              <w:rPr>
                <w:rFonts w:ascii="Verdana" w:eastAsia="Calibri" w:hAnsi="Verdana" w:cs="Calibri"/>
                <w:b/>
                <w:color w:val="auto"/>
                <w:sz w:val="18"/>
                <w:szCs w:val="18"/>
              </w:rPr>
            </w:pPr>
            <w:r w:rsidRPr="00EA6A60">
              <w:rPr>
                <w:rFonts w:ascii="Verdana" w:eastAsia="Calibri" w:hAnsi="Verdana" w:cs="Calibri"/>
                <w:b/>
                <w:color w:val="auto"/>
                <w:sz w:val="18"/>
                <w:szCs w:val="18"/>
              </w:rPr>
              <w:t>2</w:t>
            </w:r>
          </w:p>
        </w:tc>
        <w:tc>
          <w:tcPr>
            <w:tcW w:w="5220" w:type="dxa"/>
            <w:vAlign w:val="center"/>
          </w:tcPr>
          <w:p w14:paraId="0AD5D5E8" w14:textId="77777777"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 xml:space="preserve">The JP meets requirement a) and c). </w:t>
            </w:r>
          </w:p>
          <w:p w14:paraId="487BD3A9" w14:textId="77777777" w:rsidR="003B1C02" w:rsidRPr="00EA6A60" w:rsidRDefault="003B1C02" w:rsidP="009D3197">
            <w:pPr>
              <w:spacing w:line="240" w:lineRule="auto"/>
              <w:rPr>
                <w:rFonts w:ascii="Verdana" w:eastAsia="Calibri" w:hAnsi="Verdana" w:cs="Calibri"/>
                <w:bCs/>
                <w:color w:val="auto"/>
                <w:sz w:val="18"/>
                <w:szCs w:val="18"/>
              </w:rPr>
            </w:pPr>
          </w:p>
          <w:p w14:paraId="69B3AF80" w14:textId="44978461"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Through PFM Cycle Mapping Exercise</w:t>
            </w:r>
            <w:r w:rsidRPr="00EA6A60" w:rsidDel="00D42979">
              <w:rPr>
                <w:rFonts w:ascii="Verdana" w:eastAsia="Calibri" w:hAnsi="Verdana" w:cs="Calibri"/>
                <w:bCs/>
                <w:color w:val="auto"/>
                <w:sz w:val="18"/>
                <w:szCs w:val="18"/>
              </w:rPr>
              <w:t xml:space="preserve"> </w:t>
            </w:r>
            <w:r w:rsidRPr="00EA6A60">
              <w:rPr>
                <w:rFonts w:ascii="Verdana" w:eastAsia="Calibri" w:hAnsi="Verdana" w:cs="Calibri"/>
                <w:bCs/>
                <w:color w:val="auto"/>
                <w:sz w:val="18"/>
                <w:szCs w:val="18"/>
              </w:rPr>
              <w:t xml:space="preserve">(Annex 7), UNDP and UNICEF have consulted MoFP, NRA and SRAs and identified several gaps for gender equality and the empowerment of women which will be addressed through this JP. </w:t>
            </w:r>
          </w:p>
          <w:p w14:paraId="6622D6A1" w14:textId="77777777" w:rsidR="003B1C02" w:rsidRPr="00EA6A60" w:rsidRDefault="003B1C02" w:rsidP="009D3197">
            <w:pPr>
              <w:spacing w:line="240" w:lineRule="auto"/>
              <w:rPr>
                <w:rFonts w:ascii="Verdana" w:eastAsia="Calibri" w:hAnsi="Verdana" w:cs="Calibri"/>
                <w:bCs/>
                <w:color w:val="auto"/>
                <w:sz w:val="18"/>
                <w:szCs w:val="18"/>
              </w:rPr>
            </w:pPr>
          </w:p>
          <w:p w14:paraId="6190B999" w14:textId="77777777"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 xml:space="preserve">The JP contributes to substantively strengthen Government participation and engagement in gender related SDGs localization and/or implementation, as the PUNOs will be engaging with the Ministry of Gender, Child and Welfare (MoGCSW) as a key stakeholder and as part of the project steering committee and in the State Mentoring Team providing training to state-level officials. The JP will advocate for the increase of allocation to </w:t>
            </w:r>
            <w:proofErr w:type="spellStart"/>
            <w:r w:rsidRPr="00EA6A60">
              <w:rPr>
                <w:rFonts w:ascii="Verdana" w:eastAsia="Calibri" w:hAnsi="Verdana" w:cs="Calibri"/>
                <w:bCs/>
                <w:color w:val="auto"/>
                <w:sz w:val="18"/>
                <w:szCs w:val="18"/>
              </w:rPr>
              <w:t>MoGCW</w:t>
            </w:r>
            <w:proofErr w:type="spellEnd"/>
            <w:r w:rsidRPr="00EA6A60">
              <w:rPr>
                <w:rFonts w:ascii="Verdana" w:eastAsia="Calibri" w:hAnsi="Verdana" w:cs="Calibri"/>
                <w:bCs/>
                <w:color w:val="auto"/>
                <w:sz w:val="18"/>
                <w:szCs w:val="18"/>
              </w:rPr>
              <w:t xml:space="preserve"> so that women and girls will have equal and equitable access to quality services in a </w:t>
            </w:r>
            <w:r w:rsidRPr="00EA6A60">
              <w:rPr>
                <w:rFonts w:ascii="Verdana" w:eastAsia="Calibri" w:hAnsi="Verdana" w:cs="Calibri"/>
                <w:bCs/>
                <w:color w:val="auto"/>
                <w:sz w:val="18"/>
                <w:szCs w:val="18"/>
              </w:rPr>
              <w:lastRenderedPageBreak/>
              <w:t xml:space="preserve">sector. There will be a dedicated reflection of gender consideration as part of the relevant guidelines including </w:t>
            </w:r>
          </w:p>
          <w:p w14:paraId="082D1DFE" w14:textId="77777777"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 xml:space="preserve">Budget Circular and State Budget Guidelines.  </w:t>
            </w:r>
          </w:p>
        </w:tc>
        <w:tc>
          <w:tcPr>
            <w:tcW w:w="2880" w:type="dxa"/>
            <w:vAlign w:val="center"/>
          </w:tcPr>
          <w:p w14:paraId="45E452F8" w14:textId="3E18846D" w:rsidR="003B1C02" w:rsidRPr="00EA6A60" w:rsidRDefault="003B1C02" w:rsidP="009D3197">
            <w:pPr>
              <w:spacing w:line="240" w:lineRule="auto"/>
              <w:rPr>
                <w:rFonts w:ascii="Verdana" w:eastAsia="Times New Roman" w:hAnsi="Verdana" w:cs="Times New Roman"/>
                <w:b/>
                <w:color w:val="auto"/>
                <w:sz w:val="18"/>
                <w:szCs w:val="18"/>
                <w:u w:val="single"/>
                <w:lang w:eastAsia="en-GB"/>
              </w:rPr>
            </w:pPr>
            <w:r w:rsidRPr="00EA6A60">
              <w:rPr>
                <w:rFonts w:ascii="Verdana" w:eastAsia="Calibri" w:hAnsi="Verdana" w:cs="Calibri"/>
                <w:bCs/>
                <w:color w:val="auto"/>
                <w:sz w:val="18"/>
                <w:szCs w:val="18"/>
              </w:rPr>
              <w:lastRenderedPageBreak/>
              <w:t>Evidence for consultation with government agencies (Annex 7 PFM Cycle Mapping Exercise)</w:t>
            </w:r>
            <w:r w:rsidR="001B7812">
              <w:rPr>
                <w:rFonts w:ascii="Verdana" w:eastAsia="Calibri" w:hAnsi="Verdana" w:cs="Calibri"/>
                <w:bCs/>
                <w:color w:val="auto"/>
                <w:sz w:val="18"/>
                <w:szCs w:val="18"/>
              </w:rPr>
              <w:t>.</w:t>
            </w:r>
            <w:r w:rsidRPr="00EA6A60">
              <w:rPr>
                <w:rFonts w:ascii="Verdana" w:eastAsia="Calibri" w:hAnsi="Verdana" w:cs="Calibri"/>
                <w:bCs/>
                <w:color w:val="auto"/>
                <w:sz w:val="18"/>
                <w:szCs w:val="18"/>
              </w:rPr>
              <w:t xml:space="preserve"> This document outlines phases of public financial management and maps UNDP, UNICEF, OHCHR and WHO’s</w:t>
            </w:r>
            <w:r w:rsidRPr="00EA6A60" w:rsidDel="000465E0">
              <w:rPr>
                <w:rFonts w:ascii="Verdana" w:eastAsia="Calibri" w:hAnsi="Verdana" w:cs="Calibri"/>
                <w:bCs/>
                <w:color w:val="auto"/>
                <w:sz w:val="18"/>
                <w:szCs w:val="18"/>
              </w:rPr>
              <w:t xml:space="preserve"> </w:t>
            </w:r>
            <w:r w:rsidRPr="00EA6A60">
              <w:rPr>
                <w:rFonts w:ascii="Verdana" w:eastAsia="Calibri" w:hAnsi="Verdana" w:cs="Calibri"/>
                <w:bCs/>
                <w:color w:val="auto"/>
                <w:sz w:val="18"/>
                <w:szCs w:val="18"/>
              </w:rPr>
              <w:t>past/ongoing interventions in South Sudan, gaps identified, proposed intervention in general and proposed activities specifically for Joint SDG Fund. This mapping exercise was done with the MoFP, NRA and SRA.</w:t>
            </w:r>
          </w:p>
          <w:p w14:paraId="06D2E48D" w14:textId="77777777" w:rsidR="003B1C02" w:rsidRPr="00EA6A60" w:rsidRDefault="003B1C02" w:rsidP="009D3197">
            <w:pPr>
              <w:spacing w:line="240" w:lineRule="auto"/>
              <w:rPr>
                <w:rFonts w:ascii="Verdana" w:eastAsia="Calibri" w:hAnsi="Verdana" w:cs="Calibri"/>
                <w:bCs/>
                <w:color w:val="auto"/>
                <w:sz w:val="18"/>
                <w:szCs w:val="18"/>
              </w:rPr>
            </w:pPr>
          </w:p>
          <w:p w14:paraId="6396BC2E" w14:textId="77777777"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Official Budget call Circular and State Budget Guidelines</w:t>
            </w:r>
          </w:p>
          <w:p w14:paraId="28BE0B14" w14:textId="77777777" w:rsidR="003B1C02" w:rsidRPr="00EA6A60" w:rsidRDefault="003B1C02" w:rsidP="009D3197">
            <w:pPr>
              <w:spacing w:line="240" w:lineRule="auto"/>
              <w:rPr>
                <w:rFonts w:ascii="Verdana" w:eastAsia="Calibri" w:hAnsi="Verdana" w:cs="Calibri"/>
                <w:bCs/>
                <w:color w:val="auto"/>
                <w:sz w:val="18"/>
                <w:szCs w:val="18"/>
              </w:rPr>
            </w:pPr>
          </w:p>
          <w:p w14:paraId="1DBBB3FE" w14:textId="77777777"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lastRenderedPageBreak/>
              <w:t>JP RRF Outcome Indicator 3</w:t>
            </w:r>
          </w:p>
        </w:tc>
      </w:tr>
      <w:tr w:rsidR="00EA6A60" w:rsidRPr="00EA6A60" w14:paraId="642FDC15" w14:textId="77777777" w:rsidTr="009D3197">
        <w:trPr>
          <w:jc w:val="center"/>
        </w:trPr>
        <w:tc>
          <w:tcPr>
            <w:tcW w:w="511" w:type="dxa"/>
            <w:vAlign w:val="center"/>
          </w:tcPr>
          <w:p w14:paraId="7F6EC9C5" w14:textId="77777777" w:rsidR="003B1C02" w:rsidRPr="00EA6A60" w:rsidRDefault="003B1C02" w:rsidP="009D3197">
            <w:pPr>
              <w:spacing w:line="240" w:lineRule="auto"/>
              <w:jc w:val="center"/>
              <w:rPr>
                <w:rFonts w:ascii="Verdana" w:eastAsia="Calibri" w:hAnsi="Verdana" w:cs="Calibri"/>
                <w:bCs/>
                <w:color w:val="auto"/>
                <w:sz w:val="18"/>
                <w:szCs w:val="18"/>
              </w:rPr>
            </w:pPr>
            <w:r w:rsidRPr="00EA6A60">
              <w:rPr>
                <w:rFonts w:ascii="Verdana" w:eastAsia="Calibri" w:hAnsi="Verdana" w:cs="Calibri"/>
                <w:bCs/>
                <w:color w:val="auto"/>
                <w:sz w:val="18"/>
                <w:szCs w:val="18"/>
              </w:rPr>
              <w:lastRenderedPageBreak/>
              <w:t>2.2</w:t>
            </w:r>
          </w:p>
        </w:tc>
        <w:tc>
          <w:tcPr>
            <w:tcW w:w="3174" w:type="dxa"/>
            <w:vAlign w:val="center"/>
          </w:tcPr>
          <w:p w14:paraId="583F8A65" w14:textId="77777777" w:rsidR="003B1C02" w:rsidRPr="00EA6A60" w:rsidRDefault="003B1C02" w:rsidP="009D3197">
            <w:pPr>
              <w:spacing w:line="240" w:lineRule="auto"/>
              <w:rPr>
                <w:rFonts w:ascii="Verdana" w:eastAsia="Calibri" w:hAnsi="Verdana" w:cs="Calibri"/>
                <w:bCs/>
                <w:color w:val="auto"/>
                <w:sz w:val="18"/>
                <w:szCs w:val="18"/>
                <w:highlight w:val="yellow"/>
              </w:rPr>
            </w:pPr>
            <w:r w:rsidRPr="00EA6A60">
              <w:rPr>
                <w:rFonts w:ascii="Verdana" w:eastAsia="Calibri" w:hAnsi="Verdana" w:cs="Calibri"/>
                <w:bCs/>
                <w:color w:val="auto"/>
                <w:sz w:val="18"/>
                <w:szCs w:val="18"/>
              </w:rPr>
              <w:t>PUNO collaborate and engages with women’s/gender equality CSOs</w:t>
            </w:r>
          </w:p>
        </w:tc>
        <w:tc>
          <w:tcPr>
            <w:tcW w:w="810" w:type="dxa"/>
            <w:vAlign w:val="center"/>
          </w:tcPr>
          <w:p w14:paraId="18AD1A0A" w14:textId="77777777" w:rsidR="003B1C02" w:rsidRPr="00EA6A60" w:rsidRDefault="003B1C02" w:rsidP="009D3197">
            <w:pPr>
              <w:spacing w:line="240" w:lineRule="auto"/>
              <w:jc w:val="center"/>
              <w:rPr>
                <w:rFonts w:ascii="Verdana" w:eastAsia="Calibri" w:hAnsi="Verdana" w:cs="Calibri"/>
                <w:b/>
                <w:color w:val="auto"/>
                <w:sz w:val="18"/>
                <w:szCs w:val="18"/>
              </w:rPr>
            </w:pPr>
            <w:r w:rsidRPr="00EA6A60">
              <w:rPr>
                <w:rFonts w:ascii="Verdana" w:eastAsia="Calibri" w:hAnsi="Verdana" w:cs="Calibri"/>
                <w:b/>
                <w:color w:val="auto"/>
                <w:sz w:val="18"/>
                <w:szCs w:val="18"/>
              </w:rPr>
              <w:t>2</w:t>
            </w:r>
          </w:p>
        </w:tc>
        <w:tc>
          <w:tcPr>
            <w:tcW w:w="5220" w:type="dxa"/>
            <w:vAlign w:val="center"/>
          </w:tcPr>
          <w:p w14:paraId="21547A43" w14:textId="299B7F7B" w:rsidR="003B1C02" w:rsidRPr="00EA6A60" w:rsidRDefault="003B1C02" w:rsidP="00983A6A">
            <w:pPr>
              <w:rPr>
                <w:rFonts w:ascii="Verdana" w:hAnsi="Verdana"/>
                <w:color w:val="auto"/>
                <w:sz w:val="18"/>
                <w:szCs w:val="18"/>
              </w:rPr>
            </w:pPr>
            <w:r w:rsidRPr="00EA6A60">
              <w:rPr>
                <w:rFonts w:ascii="Verdana" w:eastAsia="Calibri" w:hAnsi="Verdana" w:cs="Calibri"/>
                <w:bCs/>
                <w:color w:val="auto"/>
                <w:sz w:val="18"/>
                <w:szCs w:val="18"/>
              </w:rPr>
              <w:t xml:space="preserve">The JP meets criterion a) and c) of the gender maker guideline: a) Through the ongoing </w:t>
            </w:r>
            <w:r w:rsidR="00BF36B6">
              <w:rPr>
                <w:rFonts w:ascii="Verdana" w:eastAsia="Calibri" w:hAnsi="Verdana" w:cs="Calibri"/>
                <w:bCs/>
                <w:color w:val="auto"/>
                <w:sz w:val="18"/>
                <w:szCs w:val="18"/>
              </w:rPr>
              <w:t xml:space="preserve">PFM </w:t>
            </w:r>
            <w:r w:rsidRPr="00EA6A60">
              <w:rPr>
                <w:rFonts w:ascii="Verdana" w:eastAsia="Calibri" w:hAnsi="Verdana" w:cs="Calibri"/>
                <w:bCs/>
                <w:color w:val="auto"/>
                <w:sz w:val="18"/>
                <w:szCs w:val="18"/>
              </w:rPr>
              <w:t xml:space="preserve">projects, UNDP and UNICEF have been collaborating with </w:t>
            </w:r>
            <w:r w:rsidR="00444DC9">
              <w:rPr>
                <w:rFonts w:ascii="Verdana" w:eastAsia="Calibri" w:hAnsi="Verdana" w:cs="Calibri"/>
                <w:bCs/>
                <w:color w:val="auto"/>
                <w:sz w:val="18"/>
                <w:szCs w:val="18"/>
              </w:rPr>
              <w:t xml:space="preserve">several </w:t>
            </w:r>
            <w:r w:rsidRPr="00EA6A60">
              <w:rPr>
                <w:rFonts w:ascii="Verdana" w:eastAsia="Calibri" w:hAnsi="Verdana" w:cs="Calibri"/>
                <w:bCs/>
                <w:color w:val="auto"/>
                <w:sz w:val="18"/>
                <w:szCs w:val="18"/>
              </w:rPr>
              <w:t>GEWE</w:t>
            </w:r>
            <w:r w:rsidR="005231C9">
              <w:rPr>
                <w:rFonts w:ascii="Verdana" w:eastAsia="Calibri" w:hAnsi="Verdana" w:cs="Calibri"/>
                <w:bCs/>
                <w:color w:val="auto"/>
                <w:sz w:val="18"/>
                <w:szCs w:val="18"/>
              </w:rPr>
              <w:t xml:space="preserve"> CSOs through</w:t>
            </w:r>
            <w:r w:rsidR="00444DC9">
              <w:rPr>
                <w:rFonts w:ascii="Verdana" w:eastAsia="Calibri" w:hAnsi="Verdana" w:cs="Calibri"/>
                <w:bCs/>
                <w:color w:val="auto"/>
                <w:sz w:val="18"/>
                <w:szCs w:val="18"/>
              </w:rPr>
              <w:t>,</w:t>
            </w:r>
            <w:r w:rsidR="005231C9">
              <w:rPr>
                <w:rFonts w:ascii="Verdana" w:eastAsia="Calibri" w:hAnsi="Verdana" w:cs="Calibri"/>
                <w:bCs/>
                <w:color w:val="auto"/>
                <w:sz w:val="18"/>
                <w:szCs w:val="18"/>
              </w:rPr>
              <w:t xml:space="preserve"> </w:t>
            </w:r>
            <w:r w:rsidR="00444DC9">
              <w:rPr>
                <w:rFonts w:ascii="Verdana" w:eastAsia="Calibri" w:hAnsi="Verdana" w:cs="Calibri"/>
                <w:bCs/>
                <w:color w:val="auto"/>
                <w:sz w:val="18"/>
                <w:szCs w:val="18"/>
              </w:rPr>
              <w:t xml:space="preserve">for instance, </w:t>
            </w:r>
            <w:r w:rsidR="005231C9" w:rsidRPr="00EA6A60">
              <w:rPr>
                <w:rFonts w:ascii="Verdana" w:eastAsia="Calibri" w:hAnsi="Verdana" w:cs="Calibri"/>
                <w:bCs/>
                <w:color w:val="auto"/>
                <w:sz w:val="18"/>
                <w:szCs w:val="18"/>
              </w:rPr>
              <w:t>Citizen’s Budgets</w:t>
            </w:r>
            <w:r w:rsidR="00BF36B6">
              <w:rPr>
                <w:rFonts w:ascii="Verdana" w:eastAsia="Calibri" w:hAnsi="Verdana" w:cs="Calibri"/>
                <w:bCs/>
                <w:color w:val="auto"/>
                <w:sz w:val="18"/>
                <w:szCs w:val="18"/>
              </w:rPr>
              <w:t xml:space="preserve">. The </w:t>
            </w:r>
            <w:r w:rsidR="006B63E1">
              <w:rPr>
                <w:rFonts w:ascii="Verdana" w:eastAsia="Calibri" w:hAnsi="Verdana" w:cs="Calibri"/>
                <w:bCs/>
                <w:color w:val="auto"/>
                <w:sz w:val="18"/>
                <w:szCs w:val="18"/>
              </w:rPr>
              <w:t>lessons learned from such intervention</w:t>
            </w:r>
            <w:r w:rsidR="00063487">
              <w:rPr>
                <w:rFonts w:ascii="Verdana" w:eastAsia="Calibri" w:hAnsi="Verdana" w:cs="Calibri"/>
                <w:bCs/>
                <w:color w:val="auto"/>
                <w:sz w:val="18"/>
                <w:szCs w:val="18"/>
              </w:rPr>
              <w:t xml:space="preserve">s have </w:t>
            </w:r>
            <w:r w:rsidR="000477AF">
              <w:rPr>
                <w:rFonts w:ascii="Verdana" w:eastAsia="Calibri" w:hAnsi="Verdana" w:cs="Calibri"/>
                <w:bCs/>
                <w:color w:val="auto"/>
                <w:sz w:val="18"/>
                <w:szCs w:val="18"/>
              </w:rPr>
              <w:t>contributed to the formulation of this project</w:t>
            </w:r>
            <w:r w:rsidRPr="00EA6A60">
              <w:rPr>
                <w:rFonts w:ascii="Verdana" w:eastAsia="Calibri" w:hAnsi="Verdana" w:cs="Calibri"/>
                <w:bCs/>
                <w:color w:val="auto"/>
                <w:sz w:val="18"/>
                <w:szCs w:val="18"/>
              </w:rPr>
              <w:t xml:space="preserve">; and </w:t>
            </w:r>
            <w:r w:rsidR="005A06F9">
              <w:rPr>
                <w:rFonts w:ascii="Verdana" w:eastAsia="Calibri" w:hAnsi="Verdana" w:cs="Calibri"/>
                <w:bCs/>
                <w:color w:val="auto"/>
                <w:sz w:val="18"/>
                <w:szCs w:val="18"/>
              </w:rPr>
              <w:t>c</w:t>
            </w:r>
            <w:r w:rsidRPr="00EA6A60">
              <w:rPr>
                <w:rFonts w:ascii="Verdana" w:eastAsia="Calibri" w:hAnsi="Verdana" w:cs="Calibri"/>
                <w:bCs/>
                <w:color w:val="auto"/>
                <w:sz w:val="18"/>
                <w:szCs w:val="18"/>
              </w:rPr>
              <w:t>) The JP contributes to substantively strengthen GEWE CSO participation and engagement in gender related SDG localization and/or implementation, by ensuring participation and engagement in the State Development Planning Committees that will formulate State Development Strategies and in citizens’ engagement around the budgeting cycle and budget transparency. Relevant state-level CSOs focused on women/gender equality will be engaged.</w:t>
            </w:r>
            <w:r w:rsidRPr="00EA6A60">
              <w:rPr>
                <w:rFonts w:ascii="Verdana" w:hAnsi="Verdana"/>
                <w:color w:val="auto"/>
                <w:sz w:val="18"/>
                <w:szCs w:val="18"/>
              </w:rPr>
              <w:t xml:space="preserve"> </w:t>
            </w:r>
          </w:p>
        </w:tc>
        <w:tc>
          <w:tcPr>
            <w:tcW w:w="2880" w:type="dxa"/>
            <w:vAlign w:val="center"/>
          </w:tcPr>
          <w:p w14:paraId="40E31F2D" w14:textId="77777777"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 xml:space="preserve">Citizen’s Budgets; Citizens’ Engagement session reports.  </w:t>
            </w:r>
          </w:p>
        </w:tc>
      </w:tr>
      <w:tr w:rsidR="00EA6A60" w:rsidRPr="00EA6A60" w14:paraId="3B7F71F0" w14:textId="77777777" w:rsidTr="009D3197">
        <w:trPr>
          <w:jc w:val="center"/>
        </w:trPr>
        <w:tc>
          <w:tcPr>
            <w:tcW w:w="511" w:type="dxa"/>
            <w:vAlign w:val="center"/>
          </w:tcPr>
          <w:p w14:paraId="1B1B108F" w14:textId="77777777" w:rsidR="003B1C02" w:rsidRPr="00EA6A60" w:rsidRDefault="003B1C02" w:rsidP="009D3197">
            <w:pPr>
              <w:spacing w:line="240" w:lineRule="auto"/>
              <w:jc w:val="center"/>
              <w:rPr>
                <w:rFonts w:ascii="Verdana" w:eastAsia="Calibri" w:hAnsi="Verdana" w:cs="Calibri"/>
                <w:bCs/>
                <w:color w:val="auto"/>
                <w:sz w:val="18"/>
                <w:szCs w:val="18"/>
              </w:rPr>
            </w:pPr>
            <w:r w:rsidRPr="00EA6A60">
              <w:rPr>
                <w:rFonts w:ascii="Verdana" w:eastAsia="Calibri" w:hAnsi="Verdana" w:cs="Calibri"/>
                <w:bCs/>
                <w:color w:val="auto"/>
                <w:sz w:val="18"/>
                <w:szCs w:val="18"/>
              </w:rPr>
              <w:t>3.1</w:t>
            </w:r>
          </w:p>
        </w:tc>
        <w:tc>
          <w:tcPr>
            <w:tcW w:w="3174" w:type="dxa"/>
            <w:vAlign w:val="center"/>
          </w:tcPr>
          <w:p w14:paraId="78570C3F" w14:textId="77777777"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Program proposes a gender-responsive budget</w:t>
            </w:r>
          </w:p>
        </w:tc>
        <w:tc>
          <w:tcPr>
            <w:tcW w:w="810" w:type="dxa"/>
            <w:vAlign w:val="center"/>
          </w:tcPr>
          <w:p w14:paraId="3E7DC5F9" w14:textId="77777777" w:rsidR="003B1C02" w:rsidRPr="00EA6A60" w:rsidRDefault="003B1C02" w:rsidP="009D3197">
            <w:pPr>
              <w:spacing w:line="240" w:lineRule="auto"/>
              <w:jc w:val="center"/>
              <w:rPr>
                <w:rFonts w:ascii="Verdana" w:eastAsia="Calibri" w:hAnsi="Verdana" w:cs="Calibri"/>
                <w:b/>
                <w:color w:val="auto"/>
                <w:sz w:val="18"/>
                <w:szCs w:val="18"/>
              </w:rPr>
            </w:pPr>
            <w:r w:rsidRPr="00EA6A60">
              <w:rPr>
                <w:rFonts w:ascii="Verdana" w:eastAsia="Calibri" w:hAnsi="Verdana" w:cs="Calibri"/>
                <w:b/>
                <w:color w:val="auto"/>
                <w:sz w:val="18"/>
                <w:szCs w:val="18"/>
              </w:rPr>
              <w:t>2</w:t>
            </w:r>
          </w:p>
        </w:tc>
        <w:tc>
          <w:tcPr>
            <w:tcW w:w="5220" w:type="dxa"/>
            <w:vAlign w:val="center"/>
          </w:tcPr>
          <w:p w14:paraId="7A20A94F" w14:textId="09618CD2"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Cs/>
                <w:color w:val="auto"/>
                <w:sz w:val="18"/>
                <w:szCs w:val="18"/>
              </w:rPr>
              <w:t>67% of the total budget contributes to gender equality or women’s empowerment (USD 1,395,537 of the total budget USD 2,123,051).</w:t>
            </w:r>
          </w:p>
        </w:tc>
        <w:tc>
          <w:tcPr>
            <w:tcW w:w="2880" w:type="dxa"/>
            <w:vAlign w:val="center"/>
          </w:tcPr>
          <w:p w14:paraId="520C4352" w14:textId="77777777" w:rsidR="003B1C02" w:rsidRPr="00EA6A60" w:rsidRDefault="003B1C02" w:rsidP="009D3197">
            <w:pPr>
              <w:spacing w:line="240" w:lineRule="auto"/>
              <w:rPr>
                <w:rFonts w:ascii="Verdana" w:eastAsia="Calibri" w:hAnsi="Verdana" w:cs="Calibri"/>
                <w:bCs/>
                <w:color w:val="auto"/>
                <w:sz w:val="18"/>
                <w:szCs w:val="18"/>
              </w:rPr>
            </w:pPr>
            <w:bookmarkStart w:id="12" w:name="_Hlk35687492"/>
            <w:r w:rsidRPr="00EA6A60">
              <w:rPr>
                <w:rFonts w:ascii="Verdana" w:eastAsia="Calibri" w:hAnsi="Verdana" w:cs="Calibri"/>
                <w:bCs/>
                <w:color w:val="auto"/>
                <w:sz w:val="18"/>
                <w:szCs w:val="18"/>
              </w:rPr>
              <w:t>Work plan activities: 1.1, 1.5, 2.1, 2.2, 2.3, 2.4, 2.5, 3.1, 3.2, 3.3, 3.4, 3.5, 3.6, 3.7, 3.8, 3.9, 3.12</w:t>
            </w:r>
            <w:bookmarkEnd w:id="12"/>
          </w:p>
        </w:tc>
      </w:tr>
      <w:tr w:rsidR="00EA6A60" w:rsidRPr="00EA6A60" w14:paraId="397C9C56" w14:textId="77777777" w:rsidTr="009D3197">
        <w:trPr>
          <w:jc w:val="center"/>
        </w:trPr>
        <w:tc>
          <w:tcPr>
            <w:tcW w:w="3685" w:type="dxa"/>
            <w:gridSpan w:val="2"/>
            <w:vAlign w:val="center"/>
          </w:tcPr>
          <w:p w14:paraId="2342D32A" w14:textId="77777777" w:rsidR="003B1C02" w:rsidRPr="00EA6A60" w:rsidRDefault="003B1C02" w:rsidP="009D3197">
            <w:pPr>
              <w:spacing w:line="240" w:lineRule="auto"/>
              <w:rPr>
                <w:rFonts w:ascii="Verdana" w:eastAsia="Calibri" w:hAnsi="Verdana" w:cs="Calibri"/>
                <w:bCs/>
                <w:color w:val="auto"/>
                <w:sz w:val="18"/>
                <w:szCs w:val="18"/>
              </w:rPr>
            </w:pPr>
            <w:r w:rsidRPr="00EA6A60">
              <w:rPr>
                <w:rFonts w:ascii="Verdana" w:eastAsia="Calibri" w:hAnsi="Verdana" w:cs="Calibri"/>
                <w:b/>
                <w:color w:val="auto"/>
                <w:sz w:val="18"/>
                <w:szCs w:val="18"/>
              </w:rPr>
              <w:t>Total scoring</w:t>
            </w:r>
          </w:p>
        </w:tc>
        <w:tc>
          <w:tcPr>
            <w:tcW w:w="810" w:type="dxa"/>
            <w:vAlign w:val="center"/>
          </w:tcPr>
          <w:p w14:paraId="55ABB6F7" w14:textId="77777777" w:rsidR="003B1C02" w:rsidRPr="00EA6A60" w:rsidRDefault="003B1C02" w:rsidP="009D3197">
            <w:pPr>
              <w:spacing w:line="240" w:lineRule="auto"/>
              <w:jc w:val="center"/>
              <w:rPr>
                <w:rFonts w:ascii="Verdana" w:eastAsia="Calibri" w:hAnsi="Verdana" w:cs="Calibri"/>
                <w:b/>
                <w:color w:val="auto"/>
                <w:sz w:val="18"/>
                <w:szCs w:val="18"/>
              </w:rPr>
            </w:pPr>
            <w:r w:rsidRPr="00EA6A60">
              <w:rPr>
                <w:rFonts w:ascii="Verdana" w:eastAsia="Calibri" w:hAnsi="Verdana" w:cs="Calibri"/>
                <w:b/>
                <w:color w:val="auto"/>
                <w:sz w:val="18"/>
                <w:szCs w:val="18"/>
              </w:rPr>
              <w:t>2.16</w:t>
            </w:r>
          </w:p>
        </w:tc>
        <w:tc>
          <w:tcPr>
            <w:tcW w:w="8100" w:type="dxa"/>
            <w:gridSpan w:val="2"/>
            <w:shd w:val="clear" w:color="auto" w:fill="1F3864" w:themeFill="accent1" w:themeFillShade="80"/>
            <w:vAlign w:val="center"/>
          </w:tcPr>
          <w:p w14:paraId="37971139" w14:textId="77777777" w:rsidR="003B1C02" w:rsidRPr="00EA6A60" w:rsidRDefault="003B1C02" w:rsidP="009D3197">
            <w:pPr>
              <w:spacing w:line="240" w:lineRule="auto"/>
              <w:rPr>
                <w:rFonts w:ascii="Verdana" w:eastAsia="Calibri" w:hAnsi="Verdana" w:cs="Calibri"/>
                <w:bCs/>
                <w:color w:val="auto"/>
                <w:sz w:val="18"/>
                <w:szCs w:val="18"/>
              </w:rPr>
            </w:pPr>
          </w:p>
        </w:tc>
      </w:tr>
    </w:tbl>
    <w:p w14:paraId="0B11E9D0" w14:textId="77777777" w:rsidR="009430CF" w:rsidRPr="003E2544" w:rsidRDefault="009430CF" w:rsidP="00245274">
      <w:pPr>
        <w:spacing w:line="240" w:lineRule="auto"/>
        <w:rPr>
          <w:rFonts w:ascii="Verdana" w:eastAsia="Times New Roman" w:hAnsi="Verdana" w:cs="Times New Roman"/>
          <w:b/>
          <w:color w:val="0070C0"/>
          <w:sz w:val="20"/>
          <w:szCs w:val="20"/>
          <w:u w:val="single"/>
          <w:lang w:eastAsia="en-GB"/>
        </w:rPr>
      </w:pPr>
    </w:p>
    <w:p w14:paraId="3D896CAD" w14:textId="77777777" w:rsidR="009430CF" w:rsidRPr="003E2544" w:rsidRDefault="009430CF" w:rsidP="00245274">
      <w:pPr>
        <w:spacing w:line="240" w:lineRule="auto"/>
        <w:rPr>
          <w:rFonts w:ascii="Verdana" w:eastAsia="Times New Roman" w:hAnsi="Verdana" w:cs="Times New Roman"/>
          <w:b/>
          <w:color w:val="0070C0"/>
          <w:sz w:val="20"/>
          <w:szCs w:val="20"/>
          <w:u w:val="single"/>
          <w:lang w:eastAsia="en-GB"/>
        </w:rPr>
      </w:pPr>
    </w:p>
    <w:p w14:paraId="13E6C43E" w14:textId="77777777" w:rsidR="009430CF" w:rsidRPr="003E2544" w:rsidRDefault="009430CF" w:rsidP="00245274">
      <w:pPr>
        <w:spacing w:line="240" w:lineRule="auto"/>
        <w:rPr>
          <w:rFonts w:ascii="Verdana" w:eastAsia="Times New Roman" w:hAnsi="Verdana" w:cs="Times New Roman"/>
          <w:b/>
          <w:color w:val="0070C0"/>
          <w:sz w:val="20"/>
          <w:szCs w:val="20"/>
          <w:u w:val="single"/>
          <w:lang w:eastAsia="en-GB"/>
        </w:rPr>
      </w:pPr>
    </w:p>
    <w:p w14:paraId="6FDBA498" w14:textId="77777777" w:rsidR="009430CF" w:rsidRPr="003E2544" w:rsidRDefault="009430CF" w:rsidP="00245274">
      <w:pPr>
        <w:spacing w:line="240" w:lineRule="auto"/>
        <w:rPr>
          <w:rFonts w:ascii="Verdana" w:eastAsia="Times New Roman" w:hAnsi="Verdana" w:cs="Times New Roman"/>
          <w:b/>
          <w:color w:val="0070C0"/>
          <w:sz w:val="20"/>
          <w:szCs w:val="20"/>
          <w:u w:val="single"/>
          <w:lang w:eastAsia="en-GB"/>
        </w:rPr>
      </w:pPr>
    </w:p>
    <w:p w14:paraId="1ABB979D" w14:textId="77777777" w:rsidR="009430CF" w:rsidRPr="003E2544" w:rsidRDefault="009430CF" w:rsidP="00245274">
      <w:pPr>
        <w:spacing w:line="240" w:lineRule="auto"/>
        <w:rPr>
          <w:rFonts w:ascii="Verdana" w:eastAsia="Times New Roman" w:hAnsi="Verdana" w:cs="Times New Roman"/>
          <w:b/>
          <w:color w:val="0070C0"/>
          <w:sz w:val="20"/>
          <w:szCs w:val="20"/>
          <w:u w:val="single"/>
          <w:lang w:eastAsia="en-GB"/>
        </w:rPr>
      </w:pPr>
    </w:p>
    <w:p w14:paraId="6DFB6319" w14:textId="77777777" w:rsidR="009430CF" w:rsidRPr="003E2544" w:rsidRDefault="009430CF" w:rsidP="00245274">
      <w:pPr>
        <w:spacing w:line="240" w:lineRule="auto"/>
        <w:rPr>
          <w:rFonts w:ascii="Verdana" w:eastAsia="Times New Roman" w:hAnsi="Verdana" w:cs="Times New Roman"/>
          <w:b/>
          <w:color w:val="0070C0"/>
          <w:sz w:val="20"/>
          <w:szCs w:val="20"/>
          <w:u w:val="single"/>
          <w:lang w:eastAsia="en-GB"/>
        </w:rPr>
        <w:sectPr w:rsidR="009430CF" w:rsidRPr="003E2544" w:rsidSect="00763D44">
          <w:pgSz w:w="15840" w:h="12240" w:orient="landscape"/>
          <w:pgMar w:top="1440" w:right="1440" w:bottom="1440" w:left="1440" w:header="720" w:footer="720" w:gutter="0"/>
          <w:cols w:space="720"/>
          <w:titlePg/>
          <w:docGrid w:linePitch="360"/>
        </w:sectPr>
      </w:pPr>
    </w:p>
    <w:p w14:paraId="5FFCA195" w14:textId="3E3E716F" w:rsidR="00272BF8" w:rsidRPr="003E2544" w:rsidRDefault="00272BF8" w:rsidP="00385319">
      <w:pPr>
        <w:pStyle w:val="Heading2"/>
        <w:spacing w:line="240" w:lineRule="auto"/>
        <w:rPr>
          <w:lang w:eastAsia="en-GB"/>
        </w:rPr>
      </w:pPr>
      <w:r w:rsidRPr="003E2544">
        <w:rPr>
          <w:lang w:eastAsia="en-GB"/>
        </w:rPr>
        <w:lastRenderedPageBreak/>
        <w:t>Annex 4. Budget and Work Plan</w:t>
      </w:r>
    </w:p>
    <w:p w14:paraId="55341D42" w14:textId="77777777" w:rsidR="009430CF" w:rsidRPr="003E2544" w:rsidRDefault="009430CF" w:rsidP="00245274">
      <w:pPr>
        <w:spacing w:line="240" w:lineRule="auto"/>
        <w:rPr>
          <w:rFonts w:ascii="Verdana" w:eastAsia="Times New Roman" w:hAnsi="Verdana" w:cs="Times New Roman"/>
          <w:b/>
          <w:color w:val="0070C0"/>
          <w:sz w:val="20"/>
          <w:szCs w:val="20"/>
          <w:u w:val="single"/>
          <w:lang w:eastAsia="en-GB"/>
        </w:rPr>
      </w:pPr>
    </w:p>
    <w:p w14:paraId="3262754A" w14:textId="7C92809E" w:rsidR="00272BF8" w:rsidRPr="003E2544" w:rsidRDefault="00272BF8" w:rsidP="00245274">
      <w:pPr>
        <w:spacing w:line="240" w:lineRule="auto"/>
        <w:rPr>
          <w:rFonts w:ascii="Verdana" w:eastAsia="Times New Roman" w:hAnsi="Verdana" w:cs="Times New Roman"/>
          <w:b/>
          <w:bCs/>
          <w:color w:val="0070C0"/>
          <w:sz w:val="20"/>
          <w:u w:val="single"/>
          <w:lang w:eastAsia="en-GB"/>
        </w:rPr>
      </w:pPr>
      <w:r w:rsidRPr="003E2544">
        <w:rPr>
          <w:rFonts w:ascii="Verdana" w:eastAsia="Times New Roman" w:hAnsi="Verdana" w:cs="Times New Roman"/>
          <w:b/>
          <w:bCs/>
          <w:color w:val="0070C0"/>
          <w:sz w:val="20"/>
          <w:u w:val="single"/>
          <w:lang w:eastAsia="en-GB"/>
        </w:rPr>
        <w:t>4.1 Budget per UNSDG categories</w:t>
      </w:r>
    </w:p>
    <w:p w14:paraId="300BAC05" w14:textId="77777777" w:rsidR="00A04148" w:rsidRPr="00D41BDC" w:rsidRDefault="00A04148" w:rsidP="00A04148">
      <w:pPr>
        <w:spacing w:line="240" w:lineRule="auto"/>
        <w:rPr>
          <w:rFonts w:ascii="Verdana" w:eastAsia="Times New Roman" w:hAnsi="Verdana" w:cs="Times New Roman"/>
          <w:b/>
          <w:bCs/>
          <w:color w:val="0070C0"/>
          <w:sz w:val="20"/>
          <w:u w:val="single"/>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685"/>
        <w:gridCol w:w="1774"/>
        <w:gridCol w:w="1685"/>
        <w:gridCol w:w="1774"/>
        <w:gridCol w:w="1796"/>
        <w:gridCol w:w="1774"/>
      </w:tblGrid>
      <w:tr w:rsidR="00A04148" w:rsidRPr="00D41BDC" w14:paraId="0A63C1B9" w14:textId="77777777" w:rsidTr="00B2326F">
        <w:trPr>
          <w:trHeight w:val="295"/>
        </w:trPr>
        <w:tc>
          <w:tcPr>
            <w:tcW w:w="3902" w:type="dxa"/>
            <w:vMerge w:val="restart"/>
            <w:shd w:val="clear" w:color="000000" w:fill="2F75B5"/>
            <w:vAlign w:val="center"/>
            <w:hideMark/>
          </w:tcPr>
          <w:p w14:paraId="4AD318E1" w14:textId="77777777" w:rsidR="00A04148" w:rsidRPr="00D41BDC" w:rsidRDefault="00A04148" w:rsidP="00B2326F">
            <w:pPr>
              <w:spacing w:line="240" w:lineRule="auto"/>
              <w:jc w:val="center"/>
              <w:rPr>
                <w:rFonts w:ascii="Verdana" w:eastAsia="Times New Roman" w:hAnsi="Verdana" w:cs="Calibri"/>
                <w:b/>
                <w:bCs/>
                <w:color w:val="FFFFFF"/>
                <w:sz w:val="20"/>
                <w:szCs w:val="20"/>
                <w:lang w:eastAsia="ja-JP"/>
              </w:rPr>
            </w:pPr>
            <w:r w:rsidRPr="00D41BDC">
              <w:rPr>
                <w:rFonts w:ascii="Verdana" w:eastAsia="Times New Roman" w:hAnsi="Verdana" w:cs="Calibri"/>
                <w:b/>
                <w:bCs/>
                <w:color w:val="FFFFFF"/>
                <w:sz w:val="20"/>
                <w:szCs w:val="20"/>
                <w:lang w:eastAsia="ja-JP"/>
              </w:rPr>
              <w:t>UNDG BUDGET CATEGORIES</w:t>
            </w:r>
          </w:p>
        </w:tc>
        <w:tc>
          <w:tcPr>
            <w:tcW w:w="3459" w:type="dxa"/>
            <w:gridSpan w:val="2"/>
            <w:shd w:val="clear" w:color="000000" w:fill="2F75B5"/>
            <w:vAlign w:val="center"/>
            <w:hideMark/>
          </w:tcPr>
          <w:p w14:paraId="1F6E3A25" w14:textId="77777777" w:rsidR="00A04148" w:rsidRPr="00D41BDC" w:rsidRDefault="00A04148" w:rsidP="00B2326F">
            <w:pPr>
              <w:spacing w:line="240" w:lineRule="auto"/>
              <w:jc w:val="center"/>
              <w:rPr>
                <w:rFonts w:ascii="Verdana" w:eastAsia="Times New Roman" w:hAnsi="Verdana" w:cs="Calibri"/>
                <w:b/>
                <w:bCs/>
                <w:color w:val="FFFFFF"/>
                <w:sz w:val="20"/>
                <w:szCs w:val="20"/>
                <w:lang w:eastAsia="ja-JP"/>
              </w:rPr>
            </w:pPr>
            <w:r w:rsidRPr="00D41BDC">
              <w:rPr>
                <w:rFonts w:ascii="Verdana" w:eastAsia="Times New Roman" w:hAnsi="Verdana" w:cs="Calibri"/>
                <w:b/>
                <w:bCs/>
                <w:color w:val="FFFFFF"/>
                <w:sz w:val="20"/>
                <w:szCs w:val="20"/>
                <w:lang w:eastAsia="ja-JP"/>
              </w:rPr>
              <w:t>UNDP</w:t>
            </w:r>
          </w:p>
        </w:tc>
        <w:tc>
          <w:tcPr>
            <w:tcW w:w="3459" w:type="dxa"/>
            <w:gridSpan w:val="2"/>
            <w:shd w:val="clear" w:color="000000" w:fill="2F75B5"/>
            <w:vAlign w:val="center"/>
            <w:hideMark/>
          </w:tcPr>
          <w:p w14:paraId="62B95F14" w14:textId="77777777" w:rsidR="00A04148" w:rsidRPr="00D41BDC" w:rsidRDefault="00A04148" w:rsidP="00B2326F">
            <w:pPr>
              <w:spacing w:line="240" w:lineRule="auto"/>
              <w:jc w:val="center"/>
              <w:rPr>
                <w:rFonts w:ascii="Verdana" w:eastAsia="Times New Roman" w:hAnsi="Verdana" w:cs="Calibri"/>
                <w:b/>
                <w:bCs/>
                <w:color w:val="FFFFFF"/>
                <w:sz w:val="20"/>
                <w:szCs w:val="20"/>
                <w:lang w:eastAsia="ja-JP"/>
              </w:rPr>
            </w:pPr>
            <w:r w:rsidRPr="00D41BDC">
              <w:rPr>
                <w:rFonts w:ascii="Verdana" w:eastAsia="Times New Roman" w:hAnsi="Verdana" w:cs="Calibri"/>
                <w:b/>
                <w:bCs/>
                <w:color w:val="FFFFFF"/>
                <w:sz w:val="20"/>
                <w:szCs w:val="20"/>
                <w:lang w:eastAsia="ja-JP"/>
              </w:rPr>
              <w:t>UNICEF</w:t>
            </w:r>
          </w:p>
        </w:tc>
        <w:tc>
          <w:tcPr>
            <w:tcW w:w="3570" w:type="dxa"/>
            <w:gridSpan w:val="2"/>
            <w:shd w:val="clear" w:color="000000" w:fill="2F75B5"/>
            <w:vAlign w:val="center"/>
            <w:hideMark/>
          </w:tcPr>
          <w:p w14:paraId="7C816099" w14:textId="77777777" w:rsidR="00A04148" w:rsidRPr="00D41BDC" w:rsidRDefault="00A04148" w:rsidP="00B2326F">
            <w:pPr>
              <w:spacing w:line="240" w:lineRule="auto"/>
              <w:jc w:val="center"/>
              <w:rPr>
                <w:rFonts w:ascii="Verdana" w:eastAsia="Times New Roman" w:hAnsi="Verdana" w:cs="Calibri"/>
                <w:b/>
                <w:bCs/>
                <w:color w:val="FFFFFF"/>
                <w:sz w:val="24"/>
                <w:szCs w:val="24"/>
                <w:lang w:eastAsia="ja-JP"/>
              </w:rPr>
            </w:pPr>
            <w:r w:rsidRPr="00D41BDC">
              <w:rPr>
                <w:rFonts w:ascii="Verdana" w:eastAsia="Times New Roman" w:hAnsi="Verdana" w:cs="Calibri"/>
                <w:b/>
                <w:bCs/>
                <w:color w:val="FFFFFF"/>
                <w:sz w:val="24"/>
                <w:szCs w:val="24"/>
                <w:lang w:eastAsia="ja-JP"/>
              </w:rPr>
              <w:t>TOTAL</w:t>
            </w:r>
          </w:p>
        </w:tc>
      </w:tr>
      <w:tr w:rsidR="00A04148" w:rsidRPr="00D41BDC" w14:paraId="52049C3B" w14:textId="77777777" w:rsidTr="00B2326F">
        <w:trPr>
          <w:trHeight w:val="600"/>
        </w:trPr>
        <w:tc>
          <w:tcPr>
            <w:tcW w:w="3902" w:type="dxa"/>
            <w:vMerge/>
            <w:vAlign w:val="center"/>
            <w:hideMark/>
          </w:tcPr>
          <w:p w14:paraId="300B9EAA" w14:textId="77777777" w:rsidR="00A04148" w:rsidRPr="00D41BDC" w:rsidRDefault="00A04148" w:rsidP="00B2326F">
            <w:pPr>
              <w:spacing w:line="240" w:lineRule="auto"/>
              <w:rPr>
                <w:rFonts w:ascii="Verdana" w:eastAsia="Times New Roman" w:hAnsi="Verdana" w:cs="Calibri"/>
                <w:b/>
                <w:bCs/>
                <w:color w:val="FFFFFF"/>
                <w:sz w:val="20"/>
                <w:szCs w:val="20"/>
                <w:lang w:eastAsia="ja-JP"/>
              </w:rPr>
            </w:pPr>
          </w:p>
        </w:tc>
        <w:tc>
          <w:tcPr>
            <w:tcW w:w="1685" w:type="dxa"/>
            <w:shd w:val="clear" w:color="000000" w:fill="FFFFFF"/>
            <w:vAlign w:val="center"/>
            <w:hideMark/>
          </w:tcPr>
          <w:p w14:paraId="48D2AC09"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Joint SDG Fund</w:t>
            </w:r>
            <w:r w:rsidRPr="00D41BDC">
              <w:rPr>
                <w:rFonts w:ascii="Verdana" w:eastAsia="Times New Roman" w:hAnsi="Verdana" w:cs="Calibri"/>
                <w:color w:val="000000"/>
                <w:sz w:val="16"/>
                <w:szCs w:val="16"/>
                <w:lang w:eastAsia="ja-JP"/>
              </w:rPr>
              <w:br/>
              <w:t>(USD)</w:t>
            </w:r>
          </w:p>
        </w:tc>
        <w:tc>
          <w:tcPr>
            <w:tcW w:w="1774" w:type="dxa"/>
            <w:shd w:val="clear" w:color="000000" w:fill="D9E1F2"/>
            <w:vAlign w:val="center"/>
            <w:hideMark/>
          </w:tcPr>
          <w:p w14:paraId="551EABA9" w14:textId="77777777" w:rsidR="00A04148" w:rsidRPr="00D41BDC" w:rsidRDefault="00A04148" w:rsidP="00B2326F">
            <w:pPr>
              <w:spacing w:line="240" w:lineRule="auto"/>
              <w:jc w:val="center"/>
              <w:rPr>
                <w:rFonts w:ascii="Verdana" w:eastAsia="Times New Roman" w:hAnsi="Verdana" w:cs="Calibri"/>
                <w:sz w:val="16"/>
                <w:szCs w:val="16"/>
                <w:lang w:eastAsia="ja-JP"/>
              </w:rPr>
            </w:pPr>
            <w:r w:rsidRPr="00D41BDC">
              <w:rPr>
                <w:rFonts w:ascii="Verdana" w:eastAsia="Times New Roman" w:hAnsi="Verdana" w:cs="Calibri"/>
                <w:sz w:val="16"/>
                <w:szCs w:val="16"/>
                <w:lang w:eastAsia="ja-JP"/>
              </w:rPr>
              <w:t>PUNO Contribution (USD)</w:t>
            </w:r>
          </w:p>
        </w:tc>
        <w:tc>
          <w:tcPr>
            <w:tcW w:w="1685" w:type="dxa"/>
            <w:shd w:val="clear" w:color="auto" w:fill="FFFF00"/>
            <w:vAlign w:val="center"/>
            <w:hideMark/>
          </w:tcPr>
          <w:p w14:paraId="14AC5CCC"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Joint SDG Fund</w:t>
            </w:r>
            <w:r w:rsidRPr="00D41BDC">
              <w:rPr>
                <w:rFonts w:ascii="Verdana" w:eastAsia="Times New Roman" w:hAnsi="Verdana" w:cs="Calibri"/>
                <w:color w:val="000000"/>
                <w:sz w:val="16"/>
                <w:szCs w:val="16"/>
                <w:lang w:eastAsia="ja-JP"/>
              </w:rPr>
              <w:br/>
              <w:t>(USD)</w:t>
            </w:r>
          </w:p>
        </w:tc>
        <w:tc>
          <w:tcPr>
            <w:tcW w:w="1774" w:type="dxa"/>
            <w:shd w:val="clear" w:color="000000" w:fill="D9E1F2"/>
            <w:vAlign w:val="center"/>
            <w:hideMark/>
          </w:tcPr>
          <w:p w14:paraId="3370AEE4" w14:textId="77777777" w:rsidR="00A04148" w:rsidRPr="00D41BDC" w:rsidRDefault="00A04148" w:rsidP="00B2326F">
            <w:pPr>
              <w:spacing w:line="240" w:lineRule="auto"/>
              <w:jc w:val="center"/>
              <w:rPr>
                <w:rFonts w:ascii="Verdana" w:eastAsia="Times New Roman" w:hAnsi="Verdana" w:cs="Calibri"/>
                <w:sz w:val="16"/>
                <w:szCs w:val="16"/>
                <w:lang w:eastAsia="ja-JP"/>
              </w:rPr>
            </w:pPr>
            <w:r w:rsidRPr="00D41BDC">
              <w:rPr>
                <w:rFonts w:ascii="Verdana" w:eastAsia="Times New Roman" w:hAnsi="Verdana" w:cs="Calibri"/>
                <w:sz w:val="16"/>
                <w:szCs w:val="16"/>
                <w:lang w:eastAsia="ja-JP"/>
              </w:rPr>
              <w:t>PUNO Contribution (USD)</w:t>
            </w:r>
          </w:p>
        </w:tc>
        <w:tc>
          <w:tcPr>
            <w:tcW w:w="1796" w:type="dxa"/>
            <w:shd w:val="clear" w:color="000000" w:fill="FFFFFF"/>
            <w:vAlign w:val="center"/>
            <w:hideMark/>
          </w:tcPr>
          <w:p w14:paraId="04F21DD3" w14:textId="77777777" w:rsidR="00A04148" w:rsidRPr="00D41BDC" w:rsidRDefault="00A04148" w:rsidP="00B2326F">
            <w:pPr>
              <w:spacing w:line="240" w:lineRule="auto"/>
              <w:jc w:val="center"/>
              <w:rPr>
                <w:rFonts w:ascii="Verdana" w:eastAsia="Times New Roman" w:hAnsi="Verdana" w:cs="Calibri"/>
                <w:b/>
                <w:bCs/>
                <w:color w:val="000000"/>
                <w:sz w:val="16"/>
                <w:szCs w:val="16"/>
                <w:lang w:eastAsia="ja-JP"/>
              </w:rPr>
            </w:pPr>
            <w:r w:rsidRPr="00D41BDC">
              <w:rPr>
                <w:rFonts w:ascii="Verdana" w:eastAsia="Times New Roman" w:hAnsi="Verdana" w:cs="Calibri"/>
                <w:b/>
                <w:bCs/>
                <w:color w:val="000000"/>
                <w:sz w:val="16"/>
                <w:szCs w:val="16"/>
                <w:lang w:eastAsia="ja-JP"/>
              </w:rPr>
              <w:t>Joint SDG Fund</w:t>
            </w:r>
            <w:r w:rsidRPr="00D41BDC">
              <w:rPr>
                <w:rFonts w:ascii="Verdana" w:eastAsia="Times New Roman" w:hAnsi="Verdana" w:cs="Calibri"/>
                <w:b/>
                <w:bCs/>
                <w:color w:val="000000"/>
                <w:sz w:val="16"/>
                <w:szCs w:val="16"/>
                <w:lang w:eastAsia="ja-JP"/>
              </w:rPr>
              <w:br/>
              <w:t>(USD)</w:t>
            </w:r>
          </w:p>
        </w:tc>
        <w:tc>
          <w:tcPr>
            <w:tcW w:w="1774" w:type="dxa"/>
            <w:shd w:val="clear" w:color="000000" w:fill="D9E1F2"/>
            <w:vAlign w:val="center"/>
            <w:hideMark/>
          </w:tcPr>
          <w:p w14:paraId="576ED595" w14:textId="77777777" w:rsidR="00A04148" w:rsidRPr="00D41BDC" w:rsidRDefault="00A04148" w:rsidP="00B2326F">
            <w:pPr>
              <w:spacing w:line="240" w:lineRule="auto"/>
              <w:jc w:val="center"/>
              <w:rPr>
                <w:rFonts w:ascii="Verdana" w:eastAsia="Times New Roman" w:hAnsi="Verdana" w:cs="Calibri"/>
                <w:b/>
                <w:bCs/>
                <w:sz w:val="16"/>
                <w:szCs w:val="16"/>
                <w:lang w:eastAsia="ja-JP"/>
              </w:rPr>
            </w:pPr>
            <w:r w:rsidRPr="00D41BDC">
              <w:rPr>
                <w:rFonts w:ascii="Verdana" w:eastAsia="Times New Roman" w:hAnsi="Verdana" w:cs="Calibri"/>
                <w:b/>
                <w:bCs/>
                <w:sz w:val="16"/>
                <w:szCs w:val="16"/>
                <w:lang w:eastAsia="ja-JP"/>
              </w:rPr>
              <w:t>PUNO Contribution (USD)</w:t>
            </w:r>
          </w:p>
        </w:tc>
      </w:tr>
      <w:tr w:rsidR="00A04148" w:rsidRPr="00D41BDC" w14:paraId="6FFCD09B" w14:textId="77777777" w:rsidTr="00B2326F">
        <w:trPr>
          <w:trHeight w:val="360"/>
        </w:trPr>
        <w:tc>
          <w:tcPr>
            <w:tcW w:w="3902" w:type="dxa"/>
            <w:shd w:val="clear" w:color="auto" w:fill="auto"/>
            <w:vAlign w:val="center"/>
            <w:hideMark/>
          </w:tcPr>
          <w:p w14:paraId="15EA5AE1" w14:textId="77777777" w:rsidR="00A04148" w:rsidRPr="00D41BDC" w:rsidRDefault="00A04148" w:rsidP="00B2326F">
            <w:pPr>
              <w:spacing w:line="240" w:lineRule="auto"/>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1. Staff and other personnel </w:t>
            </w:r>
          </w:p>
        </w:tc>
        <w:tc>
          <w:tcPr>
            <w:tcW w:w="1685" w:type="dxa"/>
            <w:shd w:val="clear" w:color="auto" w:fill="auto"/>
            <w:vAlign w:val="center"/>
            <w:hideMark/>
          </w:tcPr>
          <w:p w14:paraId="5AAD1C3D"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42,537 </w:t>
            </w:r>
          </w:p>
        </w:tc>
        <w:tc>
          <w:tcPr>
            <w:tcW w:w="1774" w:type="dxa"/>
            <w:shd w:val="clear" w:color="000000" w:fill="D9E1F2"/>
            <w:vAlign w:val="center"/>
            <w:hideMark/>
          </w:tcPr>
          <w:p w14:paraId="3E213A55"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0 </w:t>
            </w:r>
          </w:p>
        </w:tc>
        <w:tc>
          <w:tcPr>
            <w:tcW w:w="1685" w:type="dxa"/>
            <w:shd w:val="clear" w:color="auto" w:fill="FFFF00"/>
            <w:vAlign w:val="center"/>
            <w:hideMark/>
          </w:tcPr>
          <w:p w14:paraId="1BC7B77B" w14:textId="0D79728A" w:rsidR="00A04148" w:rsidRPr="00D41BDC" w:rsidRDefault="00A04148" w:rsidP="00A04148">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140,985</w:t>
            </w:r>
          </w:p>
        </w:tc>
        <w:tc>
          <w:tcPr>
            <w:tcW w:w="1774" w:type="dxa"/>
            <w:shd w:val="clear" w:color="000000" w:fill="D9E1F2"/>
            <w:vAlign w:val="center"/>
            <w:hideMark/>
          </w:tcPr>
          <w:p w14:paraId="57D6B30A"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218,051 </w:t>
            </w:r>
          </w:p>
        </w:tc>
        <w:tc>
          <w:tcPr>
            <w:tcW w:w="1796" w:type="dxa"/>
            <w:shd w:val="clear" w:color="auto" w:fill="auto"/>
            <w:vAlign w:val="center"/>
            <w:hideMark/>
          </w:tcPr>
          <w:p w14:paraId="629F59CD"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            183,522 </w:t>
            </w:r>
          </w:p>
        </w:tc>
        <w:tc>
          <w:tcPr>
            <w:tcW w:w="1774" w:type="dxa"/>
            <w:shd w:val="clear" w:color="000000" w:fill="D9E1F2"/>
            <w:vAlign w:val="center"/>
            <w:hideMark/>
          </w:tcPr>
          <w:p w14:paraId="1644FF24"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w:t>
            </w:r>
          </w:p>
        </w:tc>
      </w:tr>
      <w:tr w:rsidR="00A04148" w:rsidRPr="00D41BDC" w14:paraId="39A78613" w14:textId="77777777" w:rsidTr="00B2326F">
        <w:trPr>
          <w:trHeight w:val="360"/>
        </w:trPr>
        <w:tc>
          <w:tcPr>
            <w:tcW w:w="3902" w:type="dxa"/>
            <w:shd w:val="clear" w:color="auto" w:fill="auto"/>
            <w:vAlign w:val="center"/>
            <w:hideMark/>
          </w:tcPr>
          <w:p w14:paraId="50DBC3EB" w14:textId="77777777" w:rsidR="00A04148" w:rsidRPr="00D41BDC" w:rsidRDefault="00A04148" w:rsidP="00B2326F">
            <w:pPr>
              <w:spacing w:line="240" w:lineRule="auto"/>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2. Supplies, Commodities, Materials </w:t>
            </w:r>
          </w:p>
        </w:tc>
        <w:tc>
          <w:tcPr>
            <w:tcW w:w="1685" w:type="dxa"/>
            <w:shd w:val="clear" w:color="auto" w:fill="auto"/>
            <w:vAlign w:val="center"/>
            <w:hideMark/>
          </w:tcPr>
          <w:p w14:paraId="19F7E0B8"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232,000 </w:t>
            </w:r>
          </w:p>
        </w:tc>
        <w:tc>
          <w:tcPr>
            <w:tcW w:w="1774" w:type="dxa"/>
            <w:shd w:val="clear" w:color="000000" w:fill="D9E1F2"/>
            <w:vAlign w:val="center"/>
            <w:hideMark/>
          </w:tcPr>
          <w:p w14:paraId="5574BE38"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100,000 </w:t>
            </w:r>
          </w:p>
        </w:tc>
        <w:tc>
          <w:tcPr>
            <w:tcW w:w="1685" w:type="dxa"/>
            <w:shd w:val="clear" w:color="auto" w:fill="FFFF00"/>
            <w:vAlign w:val="center"/>
            <w:hideMark/>
          </w:tcPr>
          <w:p w14:paraId="7AB26034" w14:textId="072BC924" w:rsidR="00A04148" w:rsidRPr="00D41BDC" w:rsidRDefault="00A04148" w:rsidP="00A04148">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45,000</w:t>
            </w:r>
          </w:p>
        </w:tc>
        <w:tc>
          <w:tcPr>
            <w:tcW w:w="1774" w:type="dxa"/>
            <w:shd w:val="clear" w:color="000000" w:fill="D9E1F2"/>
            <w:vAlign w:val="center"/>
            <w:hideMark/>
          </w:tcPr>
          <w:p w14:paraId="2821A061"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0 </w:t>
            </w:r>
          </w:p>
        </w:tc>
        <w:tc>
          <w:tcPr>
            <w:tcW w:w="1796" w:type="dxa"/>
            <w:shd w:val="clear" w:color="auto" w:fill="auto"/>
            <w:vAlign w:val="center"/>
            <w:hideMark/>
          </w:tcPr>
          <w:p w14:paraId="2D127BE3"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            277,000 </w:t>
            </w:r>
          </w:p>
        </w:tc>
        <w:tc>
          <w:tcPr>
            <w:tcW w:w="1774" w:type="dxa"/>
            <w:shd w:val="clear" w:color="000000" w:fill="D9E1F2"/>
            <w:vAlign w:val="center"/>
            <w:hideMark/>
          </w:tcPr>
          <w:p w14:paraId="3927745A" w14:textId="77777777" w:rsidR="00A04148" w:rsidRPr="00D41BDC" w:rsidRDefault="00A04148" w:rsidP="00B2326F">
            <w:pPr>
              <w:spacing w:line="240" w:lineRule="auto"/>
              <w:jc w:val="right"/>
              <w:rPr>
                <w:rFonts w:ascii="Calibri" w:eastAsia="Times New Roman" w:hAnsi="Calibri" w:cs="Calibri"/>
                <w:color w:val="000000"/>
                <w:lang w:eastAsia="ja-JP"/>
              </w:rPr>
            </w:pPr>
            <w:r w:rsidRPr="00D41BDC">
              <w:rPr>
                <w:rFonts w:ascii="Calibri" w:eastAsia="Times New Roman" w:hAnsi="Calibri" w:cs="Calibri"/>
                <w:color w:val="000000"/>
                <w:lang w:eastAsia="ja-JP"/>
              </w:rPr>
              <w:t> </w:t>
            </w:r>
          </w:p>
        </w:tc>
      </w:tr>
      <w:tr w:rsidR="00A04148" w:rsidRPr="00D41BDC" w14:paraId="0EF25640" w14:textId="77777777" w:rsidTr="00B2326F">
        <w:trPr>
          <w:trHeight w:val="360"/>
        </w:trPr>
        <w:tc>
          <w:tcPr>
            <w:tcW w:w="3902" w:type="dxa"/>
            <w:shd w:val="clear" w:color="auto" w:fill="auto"/>
            <w:vAlign w:val="center"/>
            <w:hideMark/>
          </w:tcPr>
          <w:p w14:paraId="6ACF5786" w14:textId="77777777" w:rsidR="00A04148" w:rsidRPr="00D41BDC" w:rsidRDefault="00A04148" w:rsidP="00B2326F">
            <w:pPr>
              <w:spacing w:line="240" w:lineRule="auto"/>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3. Equipment, Vehicles, and Furniture (including Depreciation) </w:t>
            </w:r>
          </w:p>
        </w:tc>
        <w:tc>
          <w:tcPr>
            <w:tcW w:w="1685" w:type="dxa"/>
            <w:shd w:val="clear" w:color="auto" w:fill="auto"/>
            <w:vAlign w:val="center"/>
            <w:hideMark/>
          </w:tcPr>
          <w:p w14:paraId="2F5D9A9B"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0 </w:t>
            </w:r>
          </w:p>
        </w:tc>
        <w:tc>
          <w:tcPr>
            <w:tcW w:w="1774" w:type="dxa"/>
            <w:shd w:val="clear" w:color="000000" w:fill="D9E1F2"/>
            <w:vAlign w:val="center"/>
            <w:hideMark/>
          </w:tcPr>
          <w:p w14:paraId="3500E794"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335,000 </w:t>
            </w:r>
          </w:p>
        </w:tc>
        <w:tc>
          <w:tcPr>
            <w:tcW w:w="1685" w:type="dxa"/>
            <w:shd w:val="clear" w:color="auto" w:fill="FFFF00"/>
            <w:vAlign w:val="center"/>
            <w:hideMark/>
          </w:tcPr>
          <w:p w14:paraId="7EC0E63D" w14:textId="35D0159D" w:rsidR="00A04148" w:rsidRPr="00D41BDC" w:rsidRDefault="00A04148" w:rsidP="00A04148">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25,000</w:t>
            </w:r>
          </w:p>
        </w:tc>
        <w:tc>
          <w:tcPr>
            <w:tcW w:w="1774" w:type="dxa"/>
            <w:shd w:val="clear" w:color="000000" w:fill="D9E1F2"/>
            <w:vAlign w:val="center"/>
            <w:hideMark/>
          </w:tcPr>
          <w:p w14:paraId="494DAB52"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0 </w:t>
            </w:r>
          </w:p>
        </w:tc>
        <w:tc>
          <w:tcPr>
            <w:tcW w:w="1796" w:type="dxa"/>
            <w:shd w:val="clear" w:color="auto" w:fill="auto"/>
            <w:vAlign w:val="center"/>
            <w:hideMark/>
          </w:tcPr>
          <w:p w14:paraId="43B237B0"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              25,000 </w:t>
            </w:r>
          </w:p>
        </w:tc>
        <w:tc>
          <w:tcPr>
            <w:tcW w:w="1774" w:type="dxa"/>
            <w:shd w:val="clear" w:color="000000" w:fill="D9E1F2"/>
            <w:vAlign w:val="center"/>
            <w:hideMark/>
          </w:tcPr>
          <w:p w14:paraId="270F3F0B" w14:textId="77777777" w:rsidR="00A04148" w:rsidRPr="00D41BDC" w:rsidRDefault="00A04148" w:rsidP="00B2326F">
            <w:pPr>
              <w:spacing w:line="240" w:lineRule="auto"/>
              <w:jc w:val="right"/>
              <w:rPr>
                <w:rFonts w:ascii="Calibri" w:eastAsia="Times New Roman" w:hAnsi="Calibri" w:cs="Calibri"/>
                <w:color w:val="000000"/>
                <w:lang w:eastAsia="ja-JP"/>
              </w:rPr>
            </w:pPr>
            <w:r w:rsidRPr="00D41BDC">
              <w:rPr>
                <w:rFonts w:ascii="Calibri" w:eastAsia="Times New Roman" w:hAnsi="Calibri" w:cs="Calibri"/>
                <w:color w:val="000000"/>
                <w:lang w:eastAsia="ja-JP"/>
              </w:rPr>
              <w:t> </w:t>
            </w:r>
          </w:p>
        </w:tc>
      </w:tr>
      <w:tr w:rsidR="00A04148" w:rsidRPr="00D41BDC" w14:paraId="1430F556" w14:textId="77777777" w:rsidTr="00B2326F">
        <w:trPr>
          <w:trHeight w:val="360"/>
        </w:trPr>
        <w:tc>
          <w:tcPr>
            <w:tcW w:w="3902" w:type="dxa"/>
            <w:shd w:val="clear" w:color="auto" w:fill="auto"/>
            <w:vAlign w:val="center"/>
            <w:hideMark/>
          </w:tcPr>
          <w:p w14:paraId="01E39325" w14:textId="77777777" w:rsidR="00A04148" w:rsidRPr="00D41BDC" w:rsidRDefault="00A04148" w:rsidP="00B2326F">
            <w:pPr>
              <w:spacing w:line="240" w:lineRule="auto"/>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4. Contractual services</w:t>
            </w:r>
          </w:p>
        </w:tc>
        <w:tc>
          <w:tcPr>
            <w:tcW w:w="1685" w:type="dxa"/>
            <w:shd w:val="clear" w:color="auto" w:fill="auto"/>
            <w:vAlign w:val="center"/>
            <w:hideMark/>
          </w:tcPr>
          <w:p w14:paraId="1290A745"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45,000 </w:t>
            </w:r>
          </w:p>
        </w:tc>
        <w:tc>
          <w:tcPr>
            <w:tcW w:w="1774" w:type="dxa"/>
            <w:shd w:val="clear" w:color="000000" w:fill="D9E1F2"/>
            <w:vAlign w:val="center"/>
            <w:hideMark/>
          </w:tcPr>
          <w:p w14:paraId="526DB7B7"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140,000 </w:t>
            </w:r>
          </w:p>
        </w:tc>
        <w:tc>
          <w:tcPr>
            <w:tcW w:w="1685" w:type="dxa"/>
            <w:shd w:val="clear" w:color="auto" w:fill="FFFF00"/>
            <w:vAlign w:val="center"/>
            <w:hideMark/>
          </w:tcPr>
          <w:p w14:paraId="562DDA6B" w14:textId="0AD9EFF8" w:rsidR="00A04148" w:rsidRPr="00D41BDC" w:rsidRDefault="00A04148" w:rsidP="00A04148">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40,000</w:t>
            </w:r>
          </w:p>
        </w:tc>
        <w:tc>
          <w:tcPr>
            <w:tcW w:w="1774" w:type="dxa"/>
            <w:shd w:val="clear" w:color="000000" w:fill="D9E1F2"/>
            <w:vAlign w:val="center"/>
            <w:hideMark/>
          </w:tcPr>
          <w:p w14:paraId="38212D23"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260,000 </w:t>
            </w:r>
          </w:p>
        </w:tc>
        <w:tc>
          <w:tcPr>
            <w:tcW w:w="1796" w:type="dxa"/>
            <w:shd w:val="clear" w:color="auto" w:fill="auto"/>
            <w:vAlign w:val="center"/>
            <w:hideMark/>
          </w:tcPr>
          <w:p w14:paraId="6BCD71A0"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              85,000 </w:t>
            </w:r>
          </w:p>
        </w:tc>
        <w:tc>
          <w:tcPr>
            <w:tcW w:w="1774" w:type="dxa"/>
            <w:shd w:val="clear" w:color="000000" w:fill="D9E1F2"/>
            <w:vAlign w:val="center"/>
            <w:hideMark/>
          </w:tcPr>
          <w:p w14:paraId="438D0621" w14:textId="77777777" w:rsidR="00A04148" w:rsidRPr="00D41BDC" w:rsidRDefault="00A04148" w:rsidP="00B2326F">
            <w:pPr>
              <w:spacing w:line="240" w:lineRule="auto"/>
              <w:jc w:val="right"/>
              <w:rPr>
                <w:rFonts w:ascii="Calibri" w:eastAsia="Times New Roman" w:hAnsi="Calibri" w:cs="Calibri"/>
                <w:color w:val="000000"/>
                <w:lang w:eastAsia="ja-JP"/>
              </w:rPr>
            </w:pPr>
            <w:r w:rsidRPr="00D41BDC">
              <w:rPr>
                <w:rFonts w:ascii="Calibri" w:eastAsia="Times New Roman" w:hAnsi="Calibri" w:cs="Calibri"/>
                <w:color w:val="000000"/>
                <w:lang w:eastAsia="ja-JP"/>
              </w:rPr>
              <w:t> </w:t>
            </w:r>
          </w:p>
        </w:tc>
      </w:tr>
      <w:tr w:rsidR="00A04148" w:rsidRPr="00D41BDC" w14:paraId="4490E6E2" w14:textId="77777777" w:rsidTr="00B2326F">
        <w:trPr>
          <w:trHeight w:val="360"/>
        </w:trPr>
        <w:tc>
          <w:tcPr>
            <w:tcW w:w="3902" w:type="dxa"/>
            <w:shd w:val="clear" w:color="auto" w:fill="auto"/>
            <w:vAlign w:val="center"/>
            <w:hideMark/>
          </w:tcPr>
          <w:p w14:paraId="35409373" w14:textId="77777777" w:rsidR="00A04148" w:rsidRPr="00D41BDC" w:rsidRDefault="00A04148" w:rsidP="00B2326F">
            <w:pPr>
              <w:spacing w:line="240" w:lineRule="auto"/>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5. Travel </w:t>
            </w:r>
          </w:p>
        </w:tc>
        <w:tc>
          <w:tcPr>
            <w:tcW w:w="1685" w:type="dxa"/>
            <w:shd w:val="clear" w:color="auto" w:fill="auto"/>
            <w:vAlign w:val="center"/>
            <w:hideMark/>
          </w:tcPr>
          <w:p w14:paraId="096566E4"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126,000 </w:t>
            </w:r>
          </w:p>
        </w:tc>
        <w:tc>
          <w:tcPr>
            <w:tcW w:w="1774" w:type="dxa"/>
            <w:shd w:val="clear" w:color="000000" w:fill="D9E1F2"/>
            <w:vAlign w:val="center"/>
            <w:hideMark/>
          </w:tcPr>
          <w:p w14:paraId="1228F094"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40,000 </w:t>
            </w:r>
          </w:p>
        </w:tc>
        <w:tc>
          <w:tcPr>
            <w:tcW w:w="1685" w:type="dxa"/>
            <w:shd w:val="clear" w:color="auto" w:fill="FFFF00"/>
            <w:vAlign w:val="center"/>
            <w:hideMark/>
          </w:tcPr>
          <w:p w14:paraId="47A216A3" w14:textId="65D7BEF4" w:rsidR="00A04148" w:rsidRPr="00D41BDC" w:rsidRDefault="00A04148" w:rsidP="00A04148">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195,000</w:t>
            </w:r>
          </w:p>
        </w:tc>
        <w:tc>
          <w:tcPr>
            <w:tcW w:w="1774" w:type="dxa"/>
            <w:shd w:val="clear" w:color="000000" w:fill="D9E1F2"/>
            <w:vAlign w:val="center"/>
            <w:hideMark/>
          </w:tcPr>
          <w:p w14:paraId="304B3FE3"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30,000 </w:t>
            </w:r>
          </w:p>
        </w:tc>
        <w:tc>
          <w:tcPr>
            <w:tcW w:w="1796" w:type="dxa"/>
            <w:shd w:val="clear" w:color="auto" w:fill="auto"/>
            <w:vAlign w:val="center"/>
            <w:hideMark/>
          </w:tcPr>
          <w:p w14:paraId="51DEA4AE"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            321,000 </w:t>
            </w:r>
          </w:p>
        </w:tc>
        <w:tc>
          <w:tcPr>
            <w:tcW w:w="1774" w:type="dxa"/>
            <w:shd w:val="clear" w:color="000000" w:fill="D9E1F2"/>
            <w:vAlign w:val="center"/>
            <w:hideMark/>
          </w:tcPr>
          <w:p w14:paraId="65609069" w14:textId="77777777" w:rsidR="00A04148" w:rsidRPr="00D41BDC" w:rsidRDefault="00A04148" w:rsidP="00B2326F">
            <w:pPr>
              <w:spacing w:line="240" w:lineRule="auto"/>
              <w:jc w:val="right"/>
              <w:rPr>
                <w:rFonts w:ascii="Calibri" w:eastAsia="Times New Roman" w:hAnsi="Calibri" w:cs="Calibri"/>
                <w:color w:val="000000"/>
                <w:lang w:eastAsia="ja-JP"/>
              </w:rPr>
            </w:pPr>
            <w:r w:rsidRPr="00D41BDC">
              <w:rPr>
                <w:rFonts w:ascii="Calibri" w:eastAsia="Times New Roman" w:hAnsi="Calibri" w:cs="Calibri"/>
                <w:color w:val="000000"/>
                <w:lang w:eastAsia="ja-JP"/>
              </w:rPr>
              <w:t> </w:t>
            </w:r>
          </w:p>
        </w:tc>
      </w:tr>
      <w:tr w:rsidR="00A04148" w:rsidRPr="00D41BDC" w14:paraId="6C31AD5A" w14:textId="77777777" w:rsidTr="00B2326F">
        <w:trPr>
          <w:trHeight w:val="360"/>
        </w:trPr>
        <w:tc>
          <w:tcPr>
            <w:tcW w:w="3902" w:type="dxa"/>
            <w:shd w:val="clear" w:color="auto" w:fill="auto"/>
            <w:vAlign w:val="center"/>
            <w:hideMark/>
          </w:tcPr>
          <w:p w14:paraId="05F644AC" w14:textId="77777777" w:rsidR="00A04148" w:rsidRPr="00D41BDC" w:rsidRDefault="00A04148" w:rsidP="00B2326F">
            <w:pPr>
              <w:spacing w:line="240" w:lineRule="auto"/>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6. Transfers and Grants to Counterparts </w:t>
            </w:r>
          </w:p>
        </w:tc>
        <w:tc>
          <w:tcPr>
            <w:tcW w:w="1685" w:type="dxa"/>
            <w:shd w:val="clear" w:color="auto" w:fill="auto"/>
            <w:vAlign w:val="center"/>
            <w:hideMark/>
          </w:tcPr>
          <w:p w14:paraId="53B5226C"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20,000 </w:t>
            </w:r>
          </w:p>
        </w:tc>
        <w:tc>
          <w:tcPr>
            <w:tcW w:w="1774" w:type="dxa"/>
            <w:shd w:val="clear" w:color="000000" w:fill="D9E1F2"/>
            <w:vAlign w:val="center"/>
            <w:hideMark/>
          </w:tcPr>
          <w:p w14:paraId="66F65BF4"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0 </w:t>
            </w:r>
          </w:p>
        </w:tc>
        <w:tc>
          <w:tcPr>
            <w:tcW w:w="1685" w:type="dxa"/>
            <w:shd w:val="clear" w:color="auto" w:fill="FFFF00"/>
            <w:vAlign w:val="center"/>
            <w:hideMark/>
          </w:tcPr>
          <w:p w14:paraId="14328DDD" w14:textId="20C589E2" w:rsidR="00A04148" w:rsidRPr="00D41BDC" w:rsidRDefault="00A04148" w:rsidP="00A04148">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20,000</w:t>
            </w:r>
          </w:p>
        </w:tc>
        <w:tc>
          <w:tcPr>
            <w:tcW w:w="1774" w:type="dxa"/>
            <w:shd w:val="clear" w:color="000000" w:fill="D9E1F2"/>
            <w:vAlign w:val="center"/>
            <w:hideMark/>
          </w:tcPr>
          <w:p w14:paraId="7279122D"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0 </w:t>
            </w:r>
          </w:p>
        </w:tc>
        <w:tc>
          <w:tcPr>
            <w:tcW w:w="1796" w:type="dxa"/>
            <w:shd w:val="clear" w:color="auto" w:fill="auto"/>
            <w:vAlign w:val="center"/>
            <w:hideMark/>
          </w:tcPr>
          <w:p w14:paraId="29BB3FB6"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              40,000 </w:t>
            </w:r>
          </w:p>
        </w:tc>
        <w:tc>
          <w:tcPr>
            <w:tcW w:w="1774" w:type="dxa"/>
            <w:shd w:val="clear" w:color="000000" w:fill="D9E1F2"/>
            <w:vAlign w:val="center"/>
            <w:hideMark/>
          </w:tcPr>
          <w:p w14:paraId="0F87EA3C" w14:textId="77777777" w:rsidR="00A04148" w:rsidRPr="00D41BDC" w:rsidRDefault="00A04148" w:rsidP="00B2326F">
            <w:pPr>
              <w:spacing w:line="240" w:lineRule="auto"/>
              <w:jc w:val="right"/>
              <w:rPr>
                <w:rFonts w:ascii="Calibri" w:eastAsia="Times New Roman" w:hAnsi="Calibri" w:cs="Calibri"/>
                <w:color w:val="000000"/>
                <w:lang w:eastAsia="ja-JP"/>
              </w:rPr>
            </w:pPr>
            <w:r w:rsidRPr="00D41BDC">
              <w:rPr>
                <w:rFonts w:ascii="Calibri" w:eastAsia="Times New Roman" w:hAnsi="Calibri" w:cs="Calibri"/>
                <w:color w:val="000000"/>
                <w:lang w:eastAsia="ja-JP"/>
              </w:rPr>
              <w:t> </w:t>
            </w:r>
          </w:p>
        </w:tc>
      </w:tr>
      <w:tr w:rsidR="00A04148" w:rsidRPr="00D41BDC" w14:paraId="2C4F6993" w14:textId="77777777" w:rsidTr="00B2326F">
        <w:trPr>
          <w:trHeight w:val="360"/>
        </w:trPr>
        <w:tc>
          <w:tcPr>
            <w:tcW w:w="3902" w:type="dxa"/>
            <w:shd w:val="clear" w:color="auto" w:fill="auto"/>
            <w:vAlign w:val="center"/>
            <w:hideMark/>
          </w:tcPr>
          <w:p w14:paraId="48D44051" w14:textId="77777777" w:rsidR="00A04148" w:rsidRPr="00D41BDC" w:rsidRDefault="00A04148" w:rsidP="00B2326F">
            <w:pPr>
              <w:spacing w:line="240" w:lineRule="auto"/>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7. General Operating and other Direct Costs </w:t>
            </w:r>
          </w:p>
        </w:tc>
        <w:tc>
          <w:tcPr>
            <w:tcW w:w="1685" w:type="dxa"/>
            <w:shd w:val="clear" w:color="auto" w:fill="auto"/>
            <w:vAlign w:val="center"/>
            <w:hideMark/>
          </w:tcPr>
          <w:p w14:paraId="11B44F8D"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1,753 </w:t>
            </w:r>
          </w:p>
        </w:tc>
        <w:tc>
          <w:tcPr>
            <w:tcW w:w="1774" w:type="dxa"/>
            <w:shd w:val="clear" w:color="000000" w:fill="D9E1F2"/>
            <w:vAlign w:val="center"/>
            <w:hideMark/>
          </w:tcPr>
          <w:p w14:paraId="4D5C8BD2"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0 </w:t>
            </w:r>
          </w:p>
        </w:tc>
        <w:tc>
          <w:tcPr>
            <w:tcW w:w="1685" w:type="dxa"/>
            <w:shd w:val="clear" w:color="auto" w:fill="FFFF00"/>
            <w:vAlign w:val="center"/>
            <w:hideMark/>
          </w:tcPr>
          <w:p w14:paraId="726CC895" w14:textId="55476483" w:rsidR="00A04148" w:rsidRPr="00D41BDC" w:rsidRDefault="00A04148" w:rsidP="00A04148">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1,30</w:t>
            </w:r>
            <w:r>
              <w:rPr>
                <w:rFonts w:ascii="Verdana" w:eastAsia="Times New Roman" w:hAnsi="Verdana" w:cs="Calibri"/>
                <w:color w:val="000000"/>
                <w:sz w:val="18"/>
                <w:szCs w:val="18"/>
                <w:lang w:eastAsia="ja-JP"/>
              </w:rPr>
              <w:t>5</w:t>
            </w:r>
          </w:p>
        </w:tc>
        <w:tc>
          <w:tcPr>
            <w:tcW w:w="1774" w:type="dxa"/>
            <w:shd w:val="clear" w:color="000000" w:fill="D9E1F2"/>
            <w:vAlign w:val="center"/>
            <w:hideMark/>
          </w:tcPr>
          <w:p w14:paraId="5257FF67"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0 </w:t>
            </w:r>
          </w:p>
        </w:tc>
        <w:tc>
          <w:tcPr>
            <w:tcW w:w="1796" w:type="dxa"/>
            <w:shd w:val="clear" w:color="auto" w:fill="auto"/>
            <w:vAlign w:val="center"/>
            <w:hideMark/>
          </w:tcPr>
          <w:p w14:paraId="14EDF540"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                3,057 </w:t>
            </w:r>
          </w:p>
        </w:tc>
        <w:tc>
          <w:tcPr>
            <w:tcW w:w="1774" w:type="dxa"/>
            <w:shd w:val="clear" w:color="000000" w:fill="D9E1F2"/>
            <w:vAlign w:val="center"/>
            <w:hideMark/>
          </w:tcPr>
          <w:p w14:paraId="07E66222" w14:textId="77777777" w:rsidR="00A04148" w:rsidRPr="00D41BDC" w:rsidRDefault="00A04148" w:rsidP="00B2326F">
            <w:pPr>
              <w:spacing w:line="240" w:lineRule="auto"/>
              <w:jc w:val="right"/>
              <w:rPr>
                <w:rFonts w:ascii="Calibri" w:eastAsia="Times New Roman" w:hAnsi="Calibri" w:cs="Calibri"/>
                <w:color w:val="000000"/>
                <w:lang w:eastAsia="ja-JP"/>
              </w:rPr>
            </w:pPr>
            <w:r w:rsidRPr="00D41BDC">
              <w:rPr>
                <w:rFonts w:ascii="Calibri" w:eastAsia="Times New Roman" w:hAnsi="Calibri" w:cs="Calibri"/>
                <w:color w:val="000000"/>
                <w:lang w:eastAsia="ja-JP"/>
              </w:rPr>
              <w:t> </w:t>
            </w:r>
          </w:p>
        </w:tc>
      </w:tr>
      <w:tr w:rsidR="00A04148" w:rsidRPr="00D41BDC" w14:paraId="6723D38C" w14:textId="77777777" w:rsidTr="00B2326F">
        <w:trPr>
          <w:trHeight w:val="300"/>
        </w:trPr>
        <w:tc>
          <w:tcPr>
            <w:tcW w:w="3902" w:type="dxa"/>
            <w:shd w:val="clear" w:color="000000" w:fill="D9E1F2"/>
            <w:vAlign w:val="center"/>
            <w:hideMark/>
          </w:tcPr>
          <w:p w14:paraId="7D920138" w14:textId="77777777" w:rsidR="00A04148" w:rsidRPr="00D41BDC" w:rsidRDefault="00A04148" w:rsidP="00B2326F">
            <w:pPr>
              <w:spacing w:line="240" w:lineRule="auto"/>
              <w:rPr>
                <w:rFonts w:ascii="Verdana" w:eastAsia="Times New Roman" w:hAnsi="Verdana" w:cs="Calibri"/>
                <w:b/>
                <w:bCs/>
                <w:color w:val="000000"/>
                <w:sz w:val="18"/>
                <w:szCs w:val="18"/>
                <w:lang w:eastAsia="ja-JP"/>
              </w:rPr>
            </w:pPr>
            <w:r w:rsidRPr="00D41BDC">
              <w:rPr>
                <w:rFonts w:ascii="Verdana" w:eastAsia="Times New Roman" w:hAnsi="Verdana" w:cs="Calibri"/>
                <w:b/>
                <w:bCs/>
                <w:color w:val="000000"/>
                <w:sz w:val="18"/>
                <w:szCs w:val="18"/>
                <w:lang w:eastAsia="ja-JP"/>
              </w:rPr>
              <w:t>Total Direct Costs</w:t>
            </w:r>
          </w:p>
        </w:tc>
        <w:tc>
          <w:tcPr>
            <w:tcW w:w="1685" w:type="dxa"/>
            <w:shd w:val="clear" w:color="000000" w:fill="BDD7EE"/>
            <w:vAlign w:val="center"/>
            <w:hideMark/>
          </w:tcPr>
          <w:p w14:paraId="6545B2DC" w14:textId="77777777" w:rsidR="00A04148" w:rsidRPr="00D41BDC" w:rsidRDefault="00A04148" w:rsidP="00B2326F">
            <w:pPr>
              <w:spacing w:line="240" w:lineRule="auto"/>
              <w:jc w:val="center"/>
              <w:rPr>
                <w:rFonts w:ascii="Verdana" w:eastAsia="Times New Roman" w:hAnsi="Verdana" w:cs="Calibri"/>
                <w:b/>
                <w:bCs/>
                <w:color w:val="000000"/>
                <w:sz w:val="20"/>
                <w:szCs w:val="20"/>
                <w:lang w:eastAsia="ja-JP"/>
              </w:rPr>
            </w:pPr>
            <w:r w:rsidRPr="00D41BDC">
              <w:rPr>
                <w:rFonts w:ascii="Verdana" w:eastAsia="Times New Roman" w:hAnsi="Verdana" w:cs="Calibri"/>
                <w:b/>
                <w:bCs/>
                <w:color w:val="000000"/>
                <w:sz w:val="20"/>
                <w:szCs w:val="20"/>
                <w:lang w:eastAsia="ja-JP"/>
              </w:rPr>
              <w:t xml:space="preserve">      467,290 </w:t>
            </w:r>
          </w:p>
        </w:tc>
        <w:tc>
          <w:tcPr>
            <w:tcW w:w="1774" w:type="dxa"/>
            <w:shd w:val="clear" w:color="000000" w:fill="BDD7EE"/>
            <w:vAlign w:val="center"/>
            <w:hideMark/>
          </w:tcPr>
          <w:p w14:paraId="3DEB82F4" w14:textId="77777777" w:rsidR="00A04148" w:rsidRPr="00D41BDC" w:rsidRDefault="00A04148" w:rsidP="00B2326F">
            <w:pPr>
              <w:spacing w:line="240" w:lineRule="auto"/>
              <w:jc w:val="center"/>
              <w:rPr>
                <w:rFonts w:ascii="Verdana" w:eastAsia="Times New Roman" w:hAnsi="Verdana" w:cs="Calibri"/>
                <w:b/>
                <w:bCs/>
                <w:color w:val="000000"/>
                <w:sz w:val="20"/>
                <w:szCs w:val="20"/>
                <w:lang w:eastAsia="ja-JP"/>
              </w:rPr>
            </w:pPr>
            <w:r w:rsidRPr="00D41BDC">
              <w:rPr>
                <w:rFonts w:ascii="Verdana" w:eastAsia="Times New Roman" w:hAnsi="Verdana" w:cs="Calibri"/>
                <w:b/>
                <w:bCs/>
                <w:color w:val="000000"/>
                <w:sz w:val="20"/>
                <w:szCs w:val="20"/>
                <w:lang w:eastAsia="ja-JP"/>
              </w:rPr>
              <w:t xml:space="preserve">       615,000 </w:t>
            </w:r>
          </w:p>
        </w:tc>
        <w:tc>
          <w:tcPr>
            <w:tcW w:w="1685" w:type="dxa"/>
            <w:shd w:val="clear" w:color="auto" w:fill="FFFF00"/>
            <w:vAlign w:val="center"/>
            <w:hideMark/>
          </w:tcPr>
          <w:p w14:paraId="0F0BAD1A" w14:textId="1157BABE" w:rsidR="00A04148" w:rsidRPr="00D41BDC" w:rsidRDefault="00A04148" w:rsidP="00A04148">
            <w:pPr>
              <w:spacing w:line="240" w:lineRule="auto"/>
              <w:jc w:val="right"/>
              <w:rPr>
                <w:rFonts w:ascii="Verdana" w:eastAsia="Times New Roman" w:hAnsi="Verdana" w:cs="Calibri"/>
                <w:b/>
                <w:bCs/>
                <w:color w:val="000000"/>
                <w:sz w:val="20"/>
                <w:szCs w:val="20"/>
                <w:lang w:eastAsia="ja-JP"/>
              </w:rPr>
            </w:pPr>
            <w:r w:rsidRPr="00D41BDC">
              <w:rPr>
                <w:rFonts w:ascii="Verdana" w:eastAsia="Times New Roman" w:hAnsi="Verdana" w:cs="Calibri"/>
                <w:b/>
                <w:bCs/>
                <w:color w:val="000000"/>
                <w:sz w:val="20"/>
                <w:szCs w:val="20"/>
                <w:lang w:eastAsia="ja-JP"/>
              </w:rPr>
              <w:t>467,29</w:t>
            </w:r>
            <w:r>
              <w:rPr>
                <w:rFonts w:ascii="Verdana" w:eastAsia="Times New Roman" w:hAnsi="Verdana" w:cs="Calibri"/>
                <w:b/>
                <w:bCs/>
                <w:color w:val="000000"/>
                <w:sz w:val="20"/>
                <w:szCs w:val="20"/>
                <w:lang w:eastAsia="ja-JP"/>
              </w:rPr>
              <w:t>0</w:t>
            </w:r>
          </w:p>
        </w:tc>
        <w:tc>
          <w:tcPr>
            <w:tcW w:w="1774" w:type="dxa"/>
            <w:shd w:val="clear" w:color="000000" w:fill="BDD7EE"/>
            <w:vAlign w:val="center"/>
            <w:hideMark/>
          </w:tcPr>
          <w:p w14:paraId="4DFC657C" w14:textId="77777777" w:rsidR="00A04148" w:rsidRPr="00D41BDC" w:rsidRDefault="00A04148" w:rsidP="00B2326F">
            <w:pPr>
              <w:spacing w:line="240" w:lineRule="auto"/>
              <w:jc w:val="center"/>
              <w:rPr>
                <w:rFonts w:ascii="Verdana" w:eastAsia="Times New Roman" w:hAnsi="Verdana" w:cs="Calibri"/>
                <w:b/>
                <w:bCs/>
                <w:color w:val="000000"/>
                <w:sz w:val="20"/>
                <w:szCs w:val="20"/>
                <w:lang w:eastAsia="ja-JP"/>
              </w:rPr>
            </w:pPr>
            <w:r w:rsidRPr="00D41BDC">
              <w:rPr>
                <w:rFonts w:ascii="Verdana" w:eastAsia="Times New Roman" w:hAnsi="Verdana" w:cs="Calibri"/>
                <w:b/>
                <w:bCs/>
                <w:color w:val="000000"/>
                <w:sz w:val="20"/>
                <w:szCs w:val="20"/>
                <w:lang w:eastAsia="ja-JP"/>
              </w:rPr>
              <w:t xml:space="preserve">       508,051 </w:t>
            </w:r>
          </w:p>
        </w:tc>
        <w:tc>
          <w:tcPr>
            <w:tcW w:w="1796" w:type="dxa"/>
            <w:shd w:val="clear" w:color="000000" w:fill="BDD7EE"/>
            <w:vAlign w:val="center"/>
            <w:hideMark/>
          </w:tcPr>
          <w:p w14:paraId="66CE11DF" w14:textId="77777777" w:rsidR="00A04148" w:rsidRPr="00D41BDC" w:rsidRDefault="00A04148" w:rsidP="00B2326F">
            <w:pPr>
              <w:spacing w:line="240" w:lineRule="auto"/>
              <w:jc w:val="right"/>
              <w:rPr>
                <w:rFonts w:ascii="Verdana" w:eastAsia="Times New Roman" w:hAnsi="Verdana" w:cs="Calibri"/>
                <w:b/>
                <w:bCs/>
                <w:color w:val="000000"/>
                <w:lang w:eastAsia="ja-JP"/>
              </w:rPr>
            </w:pPr>
            <w:r w:rsidRPr="00D41BDC">
              <w:rPr>
                <w:rFonts w:ascii="Verdana" w:eastAsia="Times New Roman" w:hAnsi="Verdana" w:cs="Calibri"/>
                <w:b/>
                <w:bCs/>
                <w:color w:val="000000"/>
                <w:lang w:eastAsia="ja-JP"/>
              </w:rPr>
              <w:t xml:space="preserve">     934,579 </w:t>
            </w:r>
          </w:p>
        </w:tc>
        <w:tc>
          <w:tcPr>
            <w:tcW w:w="1774" w:type="dxa"/>
            <w:shd w:val="clear" w:color="000000" w:fill="BDD7EE"/>
            <w:vAlign w:val="center"/>
            <w:hideMark/>
          </w:tcPr>
          <w:p w14:paraId="0A909153" w14:textId="77777777" w:rsidR="00A04148" w:rsidRPr="00D41BDC" w:rsidRDefault="00A04148" w:rsidP="00B2326F">
            <w:pPr>
              <w:spacing w:line="240" w:lineRule="auto"/>
              <w:jc w:val="right"/>
              <w:rPr>
                <w:rFonts w:ascii="Verdana" w:eastAsia="Times New Roman" w:hAnsi="Verdana" w:cs="Calibri"/>
                <w:b/>
                <w:bCs/>
                <w:color w:val="000000"/>
                <w:lang w:eastAsia="ja-JP"/>
              </w:rPr>
            </w:pPr>
            <w:r w:rsidRPr="00D41BDC">
              <w:rPr>
                <w:rFonts w:ascii="Verdana" w:eastAsia="Times New Roman" w:hAnsi="Verdana" w:cs="Calibri"/>
                <w:b/>
                <w:bCs/>
                <w:color w:val="000000"/>
                <w:lang w:eastAsia="ja-JP"/>
              </w:rPr>
              <w:t xml:space="preserve"> 1,123,051 </w:t>
            </w:r>
          </w:p>
        </w:tc>
      </w:tr>
      <w:tr w:rsidR="00A04148" w:rsidRPr="00D41BDC" w14:paraId="40B8D3CB" w14:textId="77777777" w:rsidTr="00B2326F">
        <w:trPr>
          <w:trHeight w:val="300"/>
        </w:trPr>
        <w:tc>
          <w:tcPr>
            <w:tcW w:w="3902" w:type="dxa"/>
            <w:shd w:val="clear" w:color="auto" w:fill="auto"/>
            <w:vAlign w:val="center"/>
            <w:hideMark/>
          </w:tcPr>
          <w:p w14:paraId="64779D1D" w14:textId="77777777" w:rsidR="00A04148" w:rsidRPr="00D41BDC" w:rsidRDefault="00A04148" w:rsidP="00B2326F">
            <w:pPr>
              <w:spacing w:line="240" w:lineRule="auto"/>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8. Indirect Support Costs (Max. 7%)  </w:t>
            </w:r>
          </w:p>
        </w:tc>
        <w:tc>
          <w:tcPr>
            <w:tcW w:w="1685" w:type="dxa"/>
            <w:shd w:val="clear" w:color="auto" w:fill="auto"/>
            <w:vAlign w:val="center"/>
            <w:hideMark/>
          </w:tcPr>
          <w:p w14:paraId="5BD35A05" w14:textId="77777777" w:rsidR="00A04148" w:rsidRPr="00D41BDC" w:rsidRDefault="00A04148" w:rsidP="00B2326F">
            <w:pPr>
              <w:spacing w:line="240" w:lineRule="auto"/>
              <w:jc w:val="center"/>
              <w:rPr>
                <w:rFonts w:ascii="Verdana" w:eastAsia="Times New Roman" w:hAnsi="Verdana" w:cs="Calibri"/>
                <w:i/>
                <w:iCs/>
                <w:color w:val="000000"/>
                <w:sz w:val="18"/>
                <w:szCs w:val="18"/>
                <w:lang w:eastAsia="ja-JP"/>
              </w:rPr>
            </w:pPr>
            <w:r w:rsidRPr="00D41BDC">
              <w:rPr>
                <w:rFonts w:ascii="Verdana" w:eastAsia="Times New Roman" w:hAnsi="Verdana" w:cs="Calibri"/>
                <w:i/>
                <w:iCs/>
                <w:color w:val="000000"/>
                <w:sz w:val="18"/>
                <w:szCs w:val="18"/>
                <w:lang w:eastAsia="ja-JP"/>
              </w:rPr>
              <w:t xml:space="preserve">            32,710 </w:t>
            </w:r>
          </w:p>
        </w:tc>
        <w:tc>
          <w:tcPr>
            <w:tcW w:w="1774" w:type="dxa"/>
            <w:shd w:val="clear" w:color="000000" w:fill="D9E1F2"/>
            <w:vAlign w:val="center"/>
            <w:hideMark/>
          </w:tcPr>
          <w:p w14:paraId="56314EA7" w14:textId="77777777" w:rsidR="00A04148" w:rsidRPr="00D41BDC" w:rsidRDefault="00A04148" w:rsidP="00B2326F">
            <w:pPr>
              <w:spacing w:line="240" w:lineRule="auto"/>
              <w:rPr>
                <w:rFonts w:ascii="Calibri" w:eastAsia="Times New Roman" w:hAnsi="Calibri" w:cs="Calibri"/>
                <w:color w:val="000000"/>
                <w:lang w:eastAsia="ja-JP"/>
              </w:rPr>
            </w:pPr>
            <w:r w:rsidRPr="00D41BDC">
              <w:rPr>
                <w:rFonts w:ascii="Calibri" w:eastAsia="Times New Roman" w:hAnsi="Calibri" w:cs="Calibri"/>
                <w:color w:val="000000"/>
                <w:lang w:eastAsia="ja-JP"/>
              </w:rPr>
              <w:t> </w:t>
            </w:r>
          </w:p>
        </w:tc>
        <w:tc>
          <w:tcPr>
            <w:tcW w:w="1685" w:type="dxa"/>
            <w:shd w:val="clear" w:color="auto" w:fill="FFFF00"/>
            <w:vAlign w:val="center"/>
            <w:hideMark/>
          </w:tcPr>
          <w:p w14:paraId="3CA33888" w14:textId="40C40429" w:rsidR="00A04148" w:rsidRPr="00D41BDC" w:rsidRDefault="00A04148" w:rsidP="00A04148">
            <w:pPr>
              <w:spacing w:line="240" w:lineRule="auto"/>
              <w:jc w:val="right"/>
              <w:rPr>
                <w:rFonts w:ascii="Verdana" w:eastAsia="Times New Roman" w:hAnsi="Verdana" w:cs="Calibri"/>
                <w:i/>
                <w:iCs/>
                <w:color w:val="000000"/>
                <w:sz w:val="18"/>
                <w:szCs w:val="18"/>
                <w:lang w:eastAsia="ja-JP"/>
              </w:rPr>
            </w:pPr>
            <w:r w:rsidRPr="00D41BDC">
              <w:rPr>
                <w:rFonts w:ascii="Verdana" w:eastAsia="Times New Roman" w:hAnsi="Verdana" w:cs="Calibri"/>
                <w:i/>
                <w:iCs/>
                <w:color w:val="000000"/>
                <w:sz w:val="18"/>
                <w:szCs w:val="18"/>
                <w:lang w:eastAsia="ja-JP"/>
              </w:rPr>
              <w:t>32,710</w:t>
            </w:r>
          </w:p>
        </w:tc>
        <w:tc>
          <w:tcPr>
            <w:tcW w:w="1774" w:type="dxa"/>
            <w:shd w:val="clear" w:color="000000" w:fill="D9E1F2"/>
            <w:vAlign w:val="center"/>
            <w:hideMark/>
          </w:tcPr>
          <w:p w14:paraId="5CBC8768"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0 </w:t>
            </w:r>
          </w:p>
        </w:tc>
        <w:tc>
          <w:tcPr>
            <w:tcW w:w="1796" w:type="dxa"/>
            <w:shd w:val="clear" w:color="auto" w:fill="auto"/>
            <w:vAlign w:val="center"/>
            <w:hideMark/>
          </w:tcPr>
          <w:p w14:paraId="47A37DFE" w14:textId="77777777" w:rsidR="00A04148" w:rsidRPr="00D41BDC" w:rsidRDefault="00A04148" w:rsidP="00B2326F">
            <w:pPr>
              <w:spacing w:line="240" w:lineRule="auto"/>
              <w:jc w:val="right"/>
              <w:rPr>
                <w:rFonts w:ascii="Verdana" w:eastAsia="Times New Roman" w:hAnsi="Verdana" w:cs="Calibri"/>
                <w:i/>
                <w:iCs/>
                <w:color w:val="000000"/>
                <w:sz w:val="18"/>
                <w:szCs w:val="18"/>
                <w:lang w:eastAsia="ja-JP"/>
              </w:rPr>
            </w:pPr>
            <w:r w:rsidRPr="00D41BDC">
              <w:rPr>
                <w:rFonts w:ascii="Verdana" w:eastAsia="Times New Roman" w:hAnsi="Verdana" w:cs="Calibri"/>
                <w:i/>
                <w:iCs/>
                <w:color w:val="000000"/>
                <w:sz w:val="18"/>
                <w:szCs w:val="18"/>
                <w:lang w:eastAsia="ja-JP"/>
              </w:rPr>
              <w:t xml:space="preserve">             65,421 </w:t>
            </w:r>
          </w:p>
        </w:tc>
        <w:tc>
          <w:tcPr>
            <w:tcW w:w="1774" w:type="dxa"/>
            <w:shd w:val="clear" w:color="000000" w:fill="D9E1F2"/>
            <w:vAlign w:val="center"/>
            <w:hideMark/>
          </w:tcPr>
          <w:p w14:paraId="6625519D" w14:textId="77777777" w:rsidR="00A04148" w:rsidRPr="00D41BDC" w:rsidRDefault="00A04148" w:rsidP="00B2326F">
            <w:pPr>
              <w:spacing w:line="240" w:lineRule="auto"/>
              <w:jc w:val="right"/>
              <w:rPr>
                <w:rFonts w:ascii="Calibri" w:eastAsia="Times New Roman" w:hAnsi="Calibri" w:cs="Calibri"/>
                <w:color w:val="000000"/>
                <w:lang w:eastAsia="ja-JP"/>
              </w:rPr>
            </w:pPr>
            <w:r w:rsidRPr="00D41BDC">
              <w:rPr>
                <w:rFonts w:ascii="Calibri" w:eastAsia="Times New Roman" w:hAnsi="Calibri" w:cs="Calibri"/>
                <w:color w:val="000000"/>
                <w:lang w:eastAsia="ja-JP"/>
              </w:rPr>
              <w:t> </w:t>
            </w:r>
          </w:p>
        </w:tc>
      </w:tr>
      <w:tr w:rsidR="00A04148" w:rsidRPr="00D41BDC" w14:paraId="47842854" w14:textId="77777777" w:rsidTr="00B2326F">
        <w:trPr>
          <w:trHeight w:val="310"/>
        </w:trPr>
        <w:tc>
          <w:tcPr>
            <w:tcW w:w="3902" w:type="dxa"/>
            <w:shd w:val="clear" w:color="000000" w:fill="D9E1F2"/>
            <w:vAlign w:val="center"/>
            <w:hideMark/>
          </w:tcPr>
          <w:p w14:paraId="0DA1F1D5" w14:textId="77777777" w:rsidR="00A04148" w:rsidRPr="00D41BDC" w:rsidRDefault="00A04148" w:rsidP="00B2326F">
            <w:pPr>
              <w:spacing w:line="240" w:lineRule="auto"/>
              <w:rPr>
                <w:rFonts w:ascii="Verdana" w:eastAsia="Times New Roman" w:hAnsi="Verdana" w:cs="Calibri"/>
                <w:b/>
                <w:bCs/>
                <w:color w:val="000000"/>
                <w:sz w:val="18"/>
                <w:szCs w:val="18"/>
                <w:lang w:eastAsia="ja-JP"/>
              </w:rPr>
            </w:pPr>
            <w:r w:rsidRPr="00D41BDC">
              <w:rPr>
                <w:rFonts w:ascii="Verdana" w:eastAsia="Times New Roman" w:hAnsi="Verdana" w:cs="Calibri"/>
                <w:b/>
                <w:bCs/>
                <w:color w:val="000000"/>
                <w:sz w:val="18"/>
                <w:szCs w:val="18"/>
                <w:lang w:eastAsia="ja-JP"/>
              </w:rPr>
              <w:t>TOTAL Costs</w:t>
            </w:r>
          </w:p>
        </w:tc>
        <w:tc>
          <w:tcPr>
            <w:tcW w:w="1685" w:type="dxa"/>
            <w:shd w:val="clear" w:color="000000" w:fill="BDD7EE"/>
            <w:vAlign w:val="center"/>
            <w:hideMark/>
          </w:tcPr>
          <w:p w14:paraId="18C73F1D" w14:textId="77777777" w:rsidR="00A04148" w:rsidRPr="00D41BDC" w:rsidRDefault="00A04148" w:rsidP="00B2326F">
            <w:pPr>
              <w:spacing w:line="240" w:lineRule="auto"/>
              <w:jc w:val="center"/>
              <w:rPr>
                <w:rFonts w:ascii="Verdana" w:eastAsia="Times New Roman" w:hAnsi="Verdana" w:cs="Calibri"/>
                <w:b/>
                <w:bCs/>
                <w:color w:val="000000"/>
                <w:sz w:val="20"/>
                <w:szCs w:val="20"/>
                <w:lang w:eastAsia="ja-JP"/>
              </w:rPr>
            </w:pPr>
            <w:r w:rsidRPr="00D41BDC">
              <w:rPr>
                <w:rFonts w:ascii="Verdana" w:eastAsia="Times New Roman" w:hAnsi="Verdana" w:cs="Calibri"/>
                <w:b/>
                <w:bCs/>
                <w:color w:val="000000"/>
                <w:sz w:val="20"/>
                <w:szCs w:val="20"/>
                <w:lang w:eastAsia="ja-JP"/>
              </w:rPr>
              <w:t xml:space="preserve">      500,000 </w:t>
            </w:r>
          </w:p>
        </w:tc>
        <w:tc>
          <w:tcPr>
            <w:tcW w:w="1774" w:type="dxa"/>
            <w:shd w:val="clear" w:color="000000" w:fill="BDD7EE"/>
            <w:vAlign w:val="center"/>
            <w:hideMark/>
          </w:tcPr>
          <w:p w14:paraId="2ECD00FF" w14:textId="77777777" w:rsidR="00A04148" w:rsidRPr="00D41BDC" w:rsidRDefault="00A04148" w:rsidP="00B2326F">
            <w:pPr>
              <w:spacing w:line="240" w:lineRule="auto"/>
              <w:jc w:val="center"/>
              <w:rPr>
                <w:rFonts w:ascii="Verdana" w:eastAsia="Times New Roman" w:hAnsi="Verdana" w:cs="Calibri"/>
                <w:b/>
                <w:bCs/>
                <w:color w:val="000000"/>
                <w:sz w:val="20"/>
                <w:szCs w:val="20"/>
                <w:lang w:eastAsia="ja-JP"/>
              </w:rPr>
            </w:pPr>
            <w:r w:rsidRPr="00D41BDC">
              <w:rPr>
                <w:rFonts w:ascii="Verdana" w:eastAsia="Times New Roman" w:hAnsi="Verdana" w:cs="Calibri"/>
                <w:b/>
                <w:bCs/>
                <w:color w:val="000000"/>
                <w:sz w:val="20"/>
                <w:szCs w:val="20"/>
                <w:lang w:eastAsia="ja-JP"/>
              </w:rPr>
              <w:t xml:space="preserve">       615,000 </w:t>
            </w:r>
          </w:p>
        </w:tc>
        <w:tc>
          <w:tcPr>
            <w:tcW w:w="1685" w:type="dxa"/>
            <w:shd w:val="clear" w:color="auto" w:fill="FFFF00"/>
            <w:vAlign w:val="center"/>
            <w:hideMark/>
          </w:tcPr>
          <w:p w14:paraId="09ABF8BA" w14:textId="4E1D394C" w:rsidR="00A04148" w:rsidRPr="00D41BDC" w:rsidRDefault="00A04148" w:rsidP="00A04148">
            <w:pPr>
              <w:spacing w:line="240" w:lineRule="auto"/>
              <w:jc w:val="right"/>
              <w:rPr>
                <w:rFonts w:ascii="Verdana" w:eastAsia="Times New Roman" w:hAnsi="Verdana" w:cs="Calibri"/>
                <w:b/>
                <w:bCs/>
                <w:color w:val="000000"/>
                <w:sz w:val="20"/>
                <w:szCs w:val="20"/>
                <w:lang w:eastAsia="ja-JP"/>
              </w:rPr>
            </w:pPr>
            <w:r w:rsidRPr="00D41BDC">
              <w:rPr>
                <w:rFonts w:ascii="Verdana" w:eastAsia="Times New Roman" w:hAnsi="Verdana" w:cs="Calibri"/>
                <w:b/>
                <w:bCs/>
                <w:color w:val="000000"/>
                <w:sz w:val="20"/>
                <w:szCs w:val="20"/>
                <w:lang w:eastAsia="ja-JP"/>
              </w:rPr>
              <w:t>500,000</w:t>
            </w:r>
          </w:p>
        </w:tc>
        <w:tc>
          <w:tcPr>
            <w:tcW w:w="1774" w:type="dxa"/>
            <w:shd w:val="clear" w:color="000000" w:fill="BDD7EE"/>
            <w:vAlign w:val="center"/>
            <w:hideMark/>
          </w:tcPr>
          <w:p w14:paraId="2571B2FE" w14:textId="77777777" w:rsidR="00A04148" w:rsidRPr="00D41BDC" w:rsidRDefault="00A04148" w:rsidP="00B2326F">
            <w:pPr>
              <w:spacing w:line="240" w:lineRule="auto"/>
              <w:jc w:val="center"/>
              <w:rPr>
                <w:rFonts w:ascii="Verdana" w:eastAsia="Times New Roman" w:hAnsi="Verdana" w:cs="Calibri"/>
                <w:b/>
                <w:bCs/>
                <w:color w:val="000000"/>
                <w:sz w:val="20"/>
                <w:szCs w:val="20"/>
                <w:lang w:eastAsia="ja-JP"/>
              </w:rPr>
            </w:pPr>
            <w:r w:rsidRPr="00D41BDC">
              <w:rPr>
                <w:rFonts w:ascii="Verdana" w:eastAsia="Times New Roman" w:hAnsi="Verdana" w:cs="Calibri"/>
                <w:b/>
                <w:bCs/>
                <w:color w:val="000000"/>
                <w:sz w:val="20"/>
                <w:szCs w:val="20"/>
                <w:lang w:eastAsia="ja-JP"/>
              </w:rPr>
              <w:t xml:space="preserve">       508,051 </w:t>
            </w:r>
          </w:p>
        </w:tc>
        <w:tc>
          <w:tcPr>
            <w:tcW w:w="1796" w:type="dxa"/>
            <w:shd w:val="clear" w:color="000000" w:fill="BDD7EE"/>
            <w:vAlign w:val="center"/>
            <w:hideMark/>
          </w:tcPr>
          <w:p w14:paraId="15EC6F53" w14:textId="77777777" w:rsidR="00A04148" w:rsidRPr="00D41BDC" w:rsidRDefault="00A04148" w:rsidP="00B2326F">
            <w:pPr>
              <w:spacing w:line="240" w:lineRule="auto"/>
              <w:jc w:val="right"/>
              <w:rPr>
                <w:rFonts w:ascii="Verdana" w:eastAsia="Times New Roman" w:hAnsi="Verdana" w:cs="Calibri"/>
                <w:b/>
                <w:bCs/>
                <w:color w:val="000000"/>
                <w:lang w:eastAsia="ja-JP"/>
              </w:rPr>
            </w:pPr>
            <w:r w:rsidRPr="00D41BDC">
              <w:rPr>
                <w:rFonts w:ascii="Verdana" w:eastAsia="Times New Roman" w:hAnsi="Verdana" w:cs="Calibri"/>
                <w:b/>
                <w:bCs/>
                <w:color w:val="000000"/>
                <w:lang w:eastAsia="ja-JP"/>
              </w:rPr>
              <w:t xml:space="preserve">  1,000,000 </w:t>
            </w:r>
          </w:p>
        </w:tc>
        <w:tc>
          <w:tcPr>
            <w:tcW w:w="1774" w:type="dxa"/>
            <w:shd w:val="clear" w:color="000000" w:fill="BDD7EE"/>
            <w:vAlign w:val="center"/>
            <w:hideMark/>
          </w:tcPr>
          <w:p w14:paraId="2A778DB5" w14:textId="77777777" w:rsidR="00A04148" w:rsidRPr="00D41BDC" w:rsidRDefault="00A04148" w:rsidP="00B2326F">
            <w:pPr>
              <w:spacing w:line="240" w:lineRule="auto"/>
              <w:jc w:val="right"/>
              <w:rPr>
                <w:rFonts w:ascii="Verdana" w:eastAsia="Times New Roman" w:hAnsi="Verdana" w:cs="Calibri"/>
                <w:b/>
                <w:bCs/>
                <w:color w:val="000000"/>
                <w:sz w:val="20"/>
                <w:szCs w:val="20"/>
                <w:lang w:eastAsia="ja-JP"/>
              </w:rPr>
            </w:pPr>
            <w:r w:rsidRPr="00D41BDC">
              <w:rPr>
                <w:rFonts w:ascii="Verdana" w:eastAsia="Times New Roman" w:hAnsi="Verdana" w:cs="Calibri"/>
                <w:b/>
                <w:bCs/>
                <w:color w:val="000000"/>
                <w:sz w:val="20"/>
                <w:szCs w:val="20"/>
                <w:lang w:eastAsia="ja-JP"/>
              </w:rPr>
              <w:t xml:space="preserve">    1,123,051 </w:t>
            </w:r>
          </w:p>
        </w:tc>
      </w:tr>
      <w:tr w:rsidR="00A04148" w:rsidRPr="00D41BDC" w14:paraId="67FFDBB7" w14:textId="77777777" w:rsidTr="00B2326F">
        <w:trPr>
          <w:trHeight w:val="300"/>
        </w:trPr>
        <w:tc>
          <w:tcPr>
            <w:tcW w:w="3902" w:type="dxa"/>
            <w:shd w:val="clear" w:color="auto" w:fill="auto"/>
            <w:vAlign w:val="center"/>
            <w:hideMark/>
          </w:tcPr>
          <w:p w14:paraId="340BF49C" w14:textId="77777777" w:rsidR="00A04148" w:rsidRPr="00D41BDC" w:rsidRDefault="00A04148" w:rsidP="00B2326F">
            <w:pPr>
              <w:spacing w:line="240" w:lineRule="auto"/>
              <w:rPr>
                <w:rFonts w:ascii="Verdana" w:eastAsia="Times New Roman" w:hAnsi="Verdana" w:cs="Calibri"/>
                <w:b/>
                <w:bCs/>
                <w:i/>
                <w:iCs/>
                <w:color w:val="000000"/>
                <w:sz w:val="18"/>
                <w:szCs w:val="18"/>
                <w:lang w:eastAsia="ja-JP"/>
              </w:rPr>
            </w:pPr>
            <w:r w:rsidRPr="00D41BDC">
              <w:rPr>
                <w:rFonts w:ascii="Verdana" w:eastAsia="Times New Roman" w:hAnsi="Verdana" w:cs="Calibri"/>
                <w:b/>
                <w:bCs/>
                <w:i/>
                <w:iCs/>
                <w:color w:val="000000"/>
                <w:sz w:val="18"/>
                <w:szCs w:val="18"/>
                <w:lang w:eastAsia="ja-JP"/>
              </w:rPr>
              <w:t>1st year</w:t>
            </w:r>
          </w:p>
        </w:tc>
        <w:tc>
          <w:tcPr>
            <w:tcW w:w="1685" w:type="dxa"/>
            <w:shd w:val="clear" w:color="000000" w:fill="BDD7EE"/>
            <w:noWrap/>
            <w:vAlign w:val="center"/>
            <w:hideMark/>
          </w:tcPr>
          <w:p w14:paraId="49B3D332" w14:textId="77777777" w:rsidR="00A04148" w:rsidRPr="00D41BDC" w:rsidRDefault="00A04148" w:rsidP="00B2326F">
            <w:pPr>
              <w:spacing w:line="240" w:lineRule="auto"/>
              <w:rPr>
                <w:rFonts w:ascii="Verdana" w:eastAsia="Times New Roman" w:hAnsi="Verdana" w:cs="Calibri"/>
                <w:b/>
                <w:bCs/>
                <w:color w:val="000000"/>
                <w:sz w:val="20"/>
                <w:szCs w:val="20"/>
                <w:lang w:eastAsia="ja-JP"/>
              </w:rPr>
            </w:pPr>
            <w:r w:rsidRPr="00D41BDC">
              <w:rPr>
                <w:rFonts w:ascii="Verdana" w:eastAsia="Times New Roman" w:hAnsi="Verdana" w:cs="Calibri"/>
                <w:b/>
                <w:bCs/>
                <w:color w:val="000000"/>
                <w:sz w:val="20"/>
                <w:szCs w:val="20"/>
                <w:lang w:eastAsia="ja-JP"/>
              </w:rPr>
              <w:t xml:space="preserve">      </w:t>
            </w:r>
            <w:r>
              <w:rPr>
                <w:rFonts w:ascii="Verdana" w:eastAsia="Times New Roman" w:hAnsi="Verdana" w:cs="Calibri"/>
                <w:b/>
                <w:bCs/>
                <w:color w:val="000000"/>
                <w:sz w:val="20"/>
                <w:szCs w:val="20"/>
                <w:lang w:eastAsia="ja-JP"/>
              </w:rPr>
              <w:t>25</w:t>
            </w:r>
            <w:r w:rsidRPr="00D41BDC">
              <w:rPr>
                <w:rFonts w:ascii="Verdana" w:eastAsia="Times New Roman" w:hAnsi="Verdana" w:cs="Calibri"/>
                <w:b/>
                <w:bCs/>
                <w:color w:val="000000"/>
                <w:sz w:val="20"/>
                <w:szCs w:val="20"/>
                <w:lang w:eastAsia="ja-JP"/>
              </w:rPr>
              <w:t xml:space="preserve">0,000 </w:t>
            </w:r>
          </w:p>
        </w:tc>
        <w:tc>
          <w:tcPr>
            <w:tcW w:w="1774" w:type="dxa"/>
            <w:shd w:val="clear" w:color="000000" w:fill="BDD7EE"/>
            <w:noWrap/>
            <w:vAlign w:val="center"/>
            <w:hideMark/>
          </w:tcPr>
          <w:p w14:paraId="12BA0CCB" w14:textId="77777777" w:rsidR="00A04148" w:rsidRPr="00D41BDC" w:rsidRDefault="00A04148" w:rsidP="00B2326F">
            <w:pPr>
              <w:spacing w:line="240" w:lineRule="auto"/>
              <w:jc w:val="center"/>
              <w:rPr>
                <w:rFonts w:ascii="Verdana" w:eastAsia="Times New Roman" w:hAnsi="Verdana" w:cs="Calibri"/>
                <w:color w:val="000000"/>
                <w:sz w:val="20"/>
                <w:szCs w:val="20"/>
                <w:lang w:eastAsia="ja-JP"/>
              </w:rPr>
            </w:pPr>
            <w:r w:rsidRPr="00D41BDC">
              <w:rPr>
                <w:rFonts w:ascii="Verdana" w:eastAsia="Times New Roman" w:hAnsi="Verdana" w:cs="Calibri"/>
                <w:color w:val="000000"/>
                <w:sz w:val="20"/>
                <w:szCs w:val="20"/>
                <w:lang w:eastAsia="ja-JP"/>
              </w:rPr>
              <w:t xml:space="preserve">        553,500 </w:t>
            </w:r>
          </w:p>
        </w:tc>
        <w:tc>
          <w:tcPr>
            <w:tcW w:w="1685" w:type="dxa"/>
            <w:shd w:val="clear" w:color="auto" w:fill="FFFF00"/>
            <w:noWrap/>
            <w:vAlign w:val="center"/>
            <w:hideMark/>
          </w:tcPr>
          <w:p w14:paraId="0689833E" w14:textId="7D345E19" w:rsidR="00A04148" w:rsidRPr="00D41BDC" w:rsidRDefault="00A04148" w:rsidP="00A04148">
            <w:pPr>
              <w:spacing w:line="240" w:lineRule="auto"/>
              <w:jc w:val="right"/>
              <w:rPr>
                <w:rFonts w:ascii="Verdana" w:eastAsia="Times New Roman" w:hAnsi="Verdana" w:cs="Calibri"/>
                <w:b/>
                <w:bCs/>
                <w:color w:val="000000"/>
                <w:sz w:val="20"/>
                <w:szCs w:val="20"/>
                <w:lang w:eastAsia="ja-JP"/>
              </w:rPr>
            </w:pPr>
            <w:r>
              <w:rPr>
                <w:rFonts w:ascii="Verdana" w:eastAsia="Times New Roman" w:hAnsi="Verdana" w:cs="Calibri"/>
                <w:b/>
                <w:bCs/>
                <w:color w:val="000000"/>
                <w:sz w:val="20"/>
                <w:szCs w:val="20"/>
                <w:lang w:eastAsia="ja-JP"/>
              </w:rPr>
              <w:t>2</w:t>
            </w:r>
            <w:r w:rsidRPr="00D41BDC">
              <w:rPr>
                <w:rFonts w:ascii="Verdana" w:eastAsia="Times New Roman" w:hAnsi="Verdana" w:cs="Calibri"/>
                <w:b/>
                <w:bCs/>
                <w:color w:val="000000"/>
                <w:sz w:val="20"/>
                <w:szCs w:val="20"/>
                <w:lang w:eastAsia="ja-JP"/>
              </w:rPr>
              <w:t>50,000</w:t>
            </w:r>
          </w:p>
        </w:tc>
        <w:tc>
          <w:tcPr>
            <w:tcW w:w="1774" w:type="dxa"/>
            <w:shd w:val="clear" w:color="000000" w:fill="BDD7EE"/>
            <w:noWrap/>
            <w:vAlign w:val="center"/>
            <w:hideMark/>
          </w:tcPr>
          <w:p w14:paraId="647C9D8A" w14:textId="77777777" w:rsidR="00A04148" w:rsidRPr="00D41BDC" w:rsidRDefault="00A04148" w:rsidP="00B2326F">
            <w:pPr>
              <w:spacing w:line="240" w:lineRule="auto"/>
              <w:jc w:val="center"/>
              <w:rPr>
                <w:rFonts w:ascii="Verdana" w:eastAsia="Times New Roman" w:hAnsi="Verdana" w:cs="Calibri"/>
                <w:color w:val="000000"/>
                <w:sz w:val="20"/>
                <w:szCs w:val="20"/>
                <w:lang w:eastAsia="ja-JP"/>
              </w:rPr>
            </w:pPr>
            <w:r w:rsidRPr="00D41BDC">
              <w:rPr>
                <w:rFonts w:ascii="Verdana" w:eastAsia="Times New Roman" w:hAnsi="Verdana" w:cs="Calibri"/>
                <w:color w:val="000000"/>
                <w:sz w:val="20"/>
                <w:szCs w:val="20"/>
                <w:lang w:eastAsia="ja-JP"/>
              </w:rPr>
              <w:t xml:space="preserve">        457,246 </w:t>
            </w:r>
          </w:p>
        </w:tc>
        <w:tc>
          <w:tcPr>
            <w:tcW w:w="1796" w:type="dxa"/>
            <w:shd w:val="clear" w:color="000000" w:fill="BDD7EE"/>
            <w:noWrap/>
            <w:vAlign w:val="center"/>
            <w:hideMark/>
          </w:tcPr>
          <w:p w14:paraId="1BB4A3EE" w14:textId="77777777" w:rsidR="00A04148" w:rsidRPr="00D41BDC" w:rsidRDefault="00A04148" w:rsidP="00B2326F">
            <w:pPr>
              <w:spacing w:line="240" w:lineRule="auto"/>
              <w:jc w:val="right"/>
              <w:rPr>
                <w:rFonts w:ascii="Verdana" w:eastAsia="Times New Roman" w:hAnsi="Verdana" w:cs="Calibri"/>
                <w:b/>
                <w:bCs/>
                <w:color w:val="000000"/>
                <w:sz w:val="20"/>
                <w:szCs w:val="20"/>
                <w:lang w:eastAsia="ja-JP"/>
              </w:rPr>
            </w:pPr>
            <w:r w:rsidRPr="00D41BDC">
              <w:rPr>
                <w:rFonts w:ascii="Verdana" w:eastAsia="Times New Roman" w:hAnsi="Verdana" w:cs="Calibri"/>
                <w:b/>
                <w:bCs/>
                <w:color w:val="000000"/>
                <w:sz w:val="20"/>
                <w:szCs w:val="20"/>
                <w:lang w:eastAsia="ja-JP"/>
              </w:rPr>
              <w:t xml:space="preserve">       </w:t>
            </w:r>
            <w:r>
              <w:rPr>
                <w:rFonts w:ascii="Verdana" w:eastAsia="Times New Roman" w:hAnsi="Verdana" w:cs="Calibri"/>
                <w:b/>
                <w:bCs/>
                <w:color w:val="000000"/>
                <w:sz w:val="20"/>
                <w:szCs w:val="20"/>
                <w:lang w:eastAsia="ja-JP"/>
              </w:rPr>
              <w:t>5</w:t>
            </w:r>
            <w:r w:rsidRPr="00D41BDC">
              <w:rPr>
                <w:rFonts w:ascii="Verdana" w:eastAsia="Times New Roman" w:hAnsi="Verdana" w:cs="Calibri"/>
                <w:b/>
                <w:bCs/>
                <w:color w:val="000000"/>
                <w:sz w:val="20"/>
                <w:szCs w:val="20"/>
                <w:lang w:eastAsia="ja-JP"/>
              </w:rPr>
              <w:t xml:space="preserve">00,000 </w:t>
            </w:r>
          </w:p>
        </w:tc>
        <w:tc>
          <w:tcPr>
            <w:tcW w:w="1774" w:type="dxa"/>
            <w:shd w:val="clear" w:color="000000" w:fill="BDD7EE"/>
            <w:noWrap/>
            <w:vAlign w:val="center"/>
            <w:hideMark/>
          </w:tcPr>
          <w:p w14:paraId="7C01B168" w14:textId="77777777" w:rsidR="00A04148" w:rsidRPr="00D41BDC" w:rsidRDefault="00A04148" w:rsidP="00B2326F">
            <w:pPr>
              <w:spacing w:line="240" w:lineRule="auto"/>
              <w:jc w:val="right"/>
              <w:rPr>
                <w:rFonts w:ascii="Verdana" w:eastAsia="Times New Roman" w:hAnsi="Verdana" w:cs="Calibri"/>
                <w:color w:val="000000"/>
                <w:sz w:val="20"/>
                <w:szCs w:val="20"/>
                <w:lang w:eastAsia="ja-JP"/>
              </w:rPr>
            </w:pPr>
            <w:r w:rsidRPr="00D41BDC">
              <w:rPr>
                <w:rFonts w:ascii="Verdana" w:eastAsia="Times New Roman" w:hAnsi="Verdana" w:cs="Calibri"/>
                <w:color w:val="000000"/>
                <w:sz w:val="20"/>
                <w:szCs w:val="20"/>
                <w:lang w:eastAsia="ja-JP"/>
              </w:rPr>
              <w:t xml:space="preserve">     1,010,746 </w:t>
            </w:r>
          </w:p>
        </w:tc>
      </w:tr>
      <w:tr w:rsidR="00A04148" w:rsidRPr="00D41BDC" w14:paraId="744EB620" w14:textId="77777777" w:rsidTr="00B2326F">
        <w:trPr>
          <w:trHeight w:val="300"/>
        </w:trPr>
        <w:tc>
          <w:tcPr>
            <w:tcW w:w="3902" w:type="dxa"/>
            <w:shd w:val="clear" w:color="auto" w:fill="auto"/>
            <w:vAlign w:val="center"/>
            <w:hideMark/>
          </w:tcPr>
          <w:p w14:paraId="5D9CDBE9" w14:textId="77777777" w:rsidR="00A04148" w:rsidRPr="00D41BDC" w:rsidRDefault="00A04148" w:rsidP="00B2326F">
            <w:pPr>
              <w:spacing w:line="240" w:lineRule="auto"/>
              <w:rPr>
                <w:rFonts w:ascii="Verdana" w:eastAsia="Times New Roman" w:hAnsi="Verdana" w:cs="Calibri"/>
                <w:b/>
                <w:bCs/>
                <w:i/>
                <w:iCs/>
                <w:color w:val="000000"/>
                <w:sz w:val="18"/>
                <w:szCs w:val="18"/>
                <w:lang w:eastAsia="ja-JP"/>
              </w:rPr>
            </w:pPr>
            <w:r w:rsidRPr="00D41BDC">
              <w:rPr>
                <w:rFonts w:ascii="Verdana" w:eastAsia="Times New Roman" w:hAnsi="Verdana" w:cs="Calibri"/>
                <w:b/>
                <w:bCs/>
                <w:i/>
                <w:iCs/>
                <w:color w:val="000000"/>
                <w:sz w:val="18"/>
                <w:szCs w:val="18"/>
                <w:lang w:eastAsia="ja-JP"/>
              </w:rPr>
              <w:t>2nd year</w:t>
            </w:r>
          </w:p>
        </w:tc>
        <w:tc>
          <w:tcPr>
            <w:tcW w:w="1685" w:type="dxa"/>
            <w:shd w:val="clear" w:color="000000" w:fill="BDD7EE"/>
            <w:noWrap/>
            <w:vAlign w:val="center"/>
            <w:hideMark/>
          </w:tcPr>
          <w:p w14:paraId="65AD7114" w14:textId="77777777" w:rsidR="00A04148" w:rsidRPr="00D41BDC" w:rsidRDefault="00A04148" w:rsidP="00B2326F">
            <w:pPr>
              <w:spacing w:line="240" w:lineRule="auto"/>
              <w:rPr>
                <w:rFonts w:ascii="Verdana" w:eastAsia="Times New Roman" w:hAnsi="Verdana" w:cs="Calibri"/>
                <w:b/>
                <w:bCs/>
                <w:color w:val="000000"/>
                <w:sz w:val="20"/>
                <w:szCs w:val="20"/>
                <w:lang w:eastAsia="ja-JP"/>
              </w:rPr>
            </w:pPr>
            <w:r>
              <w:rPr>
                <w:rFonts w:ascii="Verdana" w:eastAsia="Times New Roman" w:hAnsi="Verdana" w:cs="Calibri"/>
                <w:b/>
                <w:bCs/>
                <w:color w:val="000000"/>
                <w:sz w:val="20"/>
                <w:szCs w:val="20"/>
                <w:lang w:eastAsia="ja-JP"/>
              </w:rPr>
              <w:t>2</w:t>
            </w:r>
            <w:r w:rsidRPr="00D41BDC">
              <w:rPr>
                <w:rFonts w:ascii="Verdana" w:eastAsia="Times New Roman" w:hAnsi="Verdana" w:cs="Calibri"/>
                <w:b/>
                <w:bCs/>
                <w:color w:val="000000"/>
                <w:sz w:val="20"/>
                <w:szCs w:val="20"/>
                <w:lang w:eastAsia="ja-JP"/>
              </w:rPr>
              <w:t xml:space="preserve">50,000 </w:t>
            </w:r>
          </w:p>
        </w:tc>
        <w:tc>
          <w:tcPr>
            <w:tcW w:w="1774" w:type="dxa"/>
            <w:shd w:val="clear" w:color="000000" w:fill="BDD7EE"/>
            <w:noWrap/>
            <w:vAlign w:val="center"/>
            <w:hideMark/>
          </w:tcPr>
          <w:p w14:paraId="49D7FAA2" w14:textId="77777777" w:rsidR="00A04148" w:rsidRPr="00D41BDC" w:rsidRDefault="00A04148" w:rsidP="00B2326F">
            <w:pPr>
              <w:spacing w:line="240" w:lineRule="auto"/>
              <w:jc w:val="center"/>
              <w:rPr>
                <w:rFonts w:ascii="Verdana" w:eastAsia="Times New Roman" w:hAnsi="Verdana" w:cs="Calibri"/>
                <w:color w:val="000000"/>
                <w:sz w:val="20"/>
                <w:szCs w:val="20"/>
                <w:lang w:eastAsia="ja-JP"/>
              </w:rPr>
            </w:pPr>
            <w:r w:rsidRPr="00D41BDC">
              <w:rPr>
                <w:rFonts w:ascii="Verdana" w:eastAsia="Times New Roman" w:hAnsi="Verdana" w:cs="Calibri"/>
                <w:color w:val="000000"/>
                <w:sz w:val="20"/>
                <w:szCs w:val="20"/>
                <w:lang w:eastAsia="ja-JP"/>
              </w:rPr>
              <w:t xml:space="preserve">          61,500 </w:t>
            </w:r>
          </w:p>
        </w:tc>
        <w:tc>
          <w:tcPr>
            <w:tcW w:w="1685" w:type="dxa"/>
            <w:shd w:val="clear" w:color="auto" w:fill="FFFF00"/>
            <w:noWrap/>
            <w:vAlign w:val="center"/>
            <w:hideMark/>
          </w:tcPr>
          <w:p w14:paraId="7DB7080B" w14:textId="5D0AE2BC" w:rsidR="00A04148" w:rsidRPr="00D41BDC" w:rsidRDefault="00A04148" w:rsidP="00A04148">
            <w:pPr>
              <w:spacing w:line="240" w:lineRule="auto"/>
              <w:jc w:val="right"/>
              <w:rPr>
                <w:rFonts w:ascii="Verdana" w:eastAsia="Times New Roman" w:hAnsi="Verdana" w:cs="Calibri"/>
                <w:b/>
                <w:bCs/>
                <w:color w:val="000000"/>
                <w:sz w:val="20"/>
                <w:szCs w:val="20"/>
                <w:lang w:eastAsia="ja-JP"/>
              </w:rPr>
            </w:pPr>
            <w:r>
              <w:rPr>
                <w:rFonts w:ascii="Verdana" w:eastAsia="Times New Roman" w:hAnsi="Verdana" w:cs="Calibri"/>
                <w:b/>
                <w:bCs/>
                <w:color w:val="000000"/>
                <w:sz w:val="20"/>
                <w:szCs w:val="20"/>
                <w:lang w:eastAsia="ja-JP"/>
              </w:rPr>
              <w:t>2</w:t>
            </w:r>
            <w:r w:rsidRPr="00D41BDC">
              <w:rPr>
                <w:rFonts w:ascii="Verdana" w:eastAsia="Times New Roman" w:hAnsi="Verdana" w:cs="Calibri"/>
                <w:b/>
                <w:bCs/>
                <w:color w:val="000000"/>
                <w:sz w:val="20"/>
                <w:szCs w:val="20"/>
                <w:lang w:eastAsia="ja-JP"/>
              </w:rPr>
              <w:t>50,000</w:t>
            </w:r>
          </w:p>
        </w:tc>
        <w:tc>
          <w:tcPr>
            <w:tcW w:w="1774" w:type="dxa"/>
            <w:shd w:val="clear" w:color="000000" w:fill="BDD7EE"/>
            <w:noWrap/>
            <w:vAlign w:val="center"/>
            <w:hideMark/>
          </w:tcPr>
          <w:p w14:paraId="71BC7D1D" w14:textId="77777777" w:rsidR="00A04148" w:rsidRPr="00D41BDC" w:rsidRDefault="00A04148" w:rsidP="00B2326F">
            <w:pPr>
              <w:spacing w:line="240" w:lineRule="auto"/>
              <w:jc w:val="center"/>
              <w:rPr>
                <w:rFonts w:ascii="Verdana" w:eastAsia="Times New Roman" w:hAnsi="Verdana" w:cs="Calibri"/>
                <w:color w:val="000000"/>
                <w:sz w:val="20"/>
                <w:szCs w:val="20"/>
                <w:lang w:eastAsia="ja-JP"/>
              </w:rPr>
            </w:pPr>
            <w:r w:rsidRPr="00D41BDC">
              <w:rPr>
                <w:rFonts w:ascii="Verdana" w:eastAsia="Times New Roman" w:hAnsi="Verdana" w:cs="Calibri"/>
                <w:color w:val="000000"/>
                <w:sz w:val="20"/>
                <w:szCs w:val="20"/>
                <w:lang w:eastAsia="ja-JP"/>
              </w:rPr>
              <w:t xml:space="preserve">          50,805 </w:t>
            </w:r>
          </w:p>
        </w:tc>
        <w:tc>
          <w:tcPr>
            <w:tcW w:w="1796" w:type="dxa"/>
            <w:shd w:val="clear" w:color="000000" w:fill="BDD7EE"/>
            <w:noWrap/>
            <w:vAlign w:val="center"/>
            <w:hideMark/>
          </w:tcPr>
          <w:p w14:paraId="6718A9C2" w14:textId="77777777" w:rsidR="00A04148" w:rsidRPr="00D41BDC" w:rsidRDefault="00A04148" w:rsidP="00B2326F">
            <w:pPr>
              <w:spacing w:line="240" w:lineRule="auto"/>
              <w:jc w:val="right"/>
              <w:rPr>
                <w:rFonts w:ascii="Verdana" w:eastAsia="Times New Roman" w:hAnsi="Verdana" w:cs="Calibri"/>
                <w:b/>
                <w:bCs/>
                <w:color w:val="000000"/>
                <w:sz w:val="20"/>
                <w:szCs w:val="20"/>
                <w:lang w:eastAsia="ja-JP"/>
              </w:rPr>
            </w:pPr>
            <w:r w:rsidRPr="00D41BDC">
              <w:rPr>
                <w:rFonts w:ascii="Verdana" w:eastAsia="Times New Roman" w:hAnsi="Verdana" w:cs="Calibri"/>
                <w:b/>
                <w:bCs/>
                <w:color w:val="000000"/>
                <w:sz w:val="20"/>
                <w:szCs w:val="20"/>
                <w:lang w:eastAsia="ja-JP"/>
              </w:rPr>
              <w:t xml:space="preserve">       </w:t>
            </w:r>
            <w:r>
              <w:rPr>
                <w:rFonts w:ascii="Verdana" w:eastAsia="Times New Roman" w:hAnsi="Verdana" w:cs="Calibri"/>
                <w:b/>
                <w:bCs/>
                <w:color w:val="000000"/>
                <w:sz w:val="20"/>
                <w:szCs w:val="20"/>
                <w:lang w:eastAsia="ja-JP"/>
              </w:rPr>
              <w:t>5</w:t>
            </w:r>
            <w:r w:rsidRPr="00D41BDC">
              <w:rPr>
                <w:rFonts w:ascii="Verdana" w:eastAsia="Times New Roman" w:hAnsi="Verdana" w:cs="Calibri"/>
                <w:b/>
                <w:bCs/>
                <w:color w:val="000000"/>
                <w:sz w:val="20"/>
                <w:szCs w:val="20"/>
                <w:lang w:eastAsia="ja-JP"/>
              </w:rPr>
              <w:t xml:space="preserve">00,000 </w:t>
            </w:r>
          </w:p>
        </w:tc>
        <w:tc>
          <w:tcPr>
            <w:tcW w:w="1774" w:type="dxa"/>
            <w:shd w:val="clear" w:color="000000" w:fill="BDD7EE"/>
            <w:noWrap/>
            <w:vAlign w:val="center"/>
            <w:hideMark/>
          </w:tcPr>
          <w:p w14:paraId="38356ACB" w14:textId="77777777" w:rsidR="00A04148" w:rsidRPr="00D41BDC" w:rsidRDefault="00A04148" w:rsidP="00B2326F">
            <w:pPr>
              <w:spacing w:line="240" w:lineRule="auto"/>
              <w:jc w:val="right"/>
              <w:rPr>
                <w:rFonts w:ascii="Verdana" w:eastAsia="Times New Roman" w:hAnsi="Verdana" w:cs="Calibri"/>
                <w:color w:val="000000"/>
                <w:sz w:val="20"/>
                <w:szCs w:val="20"/>
                <w:lang w:eastAsia="ja-JP"/>
              </w:rPr>
            </w:pPr>
            <w:r w:rsidRPr="00D41BDC">
              <w:rPr>
                <w:rFonts w:ascii="Verdana" w:eastAsia="Times New Roman" w:hAnsi="Verdana" w:cs="Calibri"/>
                <w:color w:val="000000"/>
                <w:sz w:val="20"/>
                <w:szCs w:val="20"/>
                <w:lang w:eastAsia="ja-JP"/>
              </w:rPr>
              <w:t xml:space="preserve">        112,305 </w:t>
            </w:r>
          </w:p>
        </w:tc>
      </w:tr>
    </w:tbl>
    <w:p w14:paraId="0AADD54D" w14:textId="77777777" w:rsidR="00A04148" w:rsidRPr="00D41BDC" w:rsidRDefault="00A04148" w:rsidP="00A04148">
      <w:pPr>
        <w:spacing w:line="240" w:lineRule="auto"/>
        <w:rPr>
          <w:rFonts w:ascii="Verdana" w:eastAsia="Times New Roman" w:hAnsi="Verdana" w:cs="Times New Roman"/>
          <w:b/>
          <w:bCs/>
          <w:color w:val="0070C0"/>
          <w:sz w:val="20"/>
          <w:u w:val="single"/>
          <w:lang w:eastAsia="en-GB"/>
        </w:rPr>
      </w:pPr>
    </w:p>
    <w:p w14:paraId="49DC9F33" w14:textId="77777777" w:rsidR="00A04148" w:rsidRPr="00D41BDC" w:rsidRDefault="00A04148" w:rsidP="00A04148">
      <w:pPr>
        <w:spacing w:line="240" w:lineRule="auto"/>
        <w:rPr>
          <w:rFonts w:ascii="Verdana" w:eastAsia="Times New Roman" w:hAnsi="Verdana" w:cs="Times New Roman"/>
          <w:b/>
          <w:bCs/>
          <w:color w:val="0070C0"/>
          <w:sz w:val="20"/>
          <w:u w:val="single"/>
          <w:lang w:eastAsia="en-GB"/>
        </w:rPr>
      </w:pPr>
    </w:p>
    <w:p w14:paraId="2FD43228" w14:textId="77777777" w:rsidR="00A04148" w:rsidRPr="00D41BDC" w:rsidDel="00010C6B" w:rsidRDefault="00A04148" w:rsidP="00A04148">
      <w:pPr>
        <w:spacing w:line="240" w:lineRule="auto"/>
        <w:rPr>
          <w:rFonts w:ascii="Verdana" w:eastAsia="Times New Roman" w:hAnsi="Verdana" w:cs="Times New Roman"/>
          <w:i/>
          <w:iCs/>
          <w:color w:val="C45911" w:themeColor="accent2" w:themeShade="BF"/>
          <w:sz w:val="18"/>
          <w:szCs w:val="18"/>
          <w:lang w:eastAsia="en-GB"/>
        </w:rPr>
      </w:pPr>
    </w:p>
    <w:p w14:paraId="7A94FF12" w14:textId="77777777" w:rsidR="00A04148" w:rsidRPr="00D41BDC" w:rsidRDefault="00A04148" w:rsidP="00A04148">
      <w:pPr>
        <w:spacing w:line="240" w:lineRule="auto"/>
        <w:rPr>
          <w:rFonts w:ascii="Verdana" w:eastAsia="Times New Roman" w:hAnsi="Verdana" w:cs="Times New Roman"/>
          <w:color w:val="000000" w:themeColor="text1"/>
          <w:sz w:val="24"/>
          <w:szCs w:val="24"/>
          <w:lang w:eastAsia="en-GB"/>
        </w:rPr>
      </w:pPr>
    </w:p>
    <w:p w14:paraId="410A4DE0" w14:textId="77777777" w:rsidR="00A04148" w:rsidRPr="00D41BDC" w:rsidRDefault="00A04148" w:rsidP="00A04148">
      <w:pPr>
        <w:spacing w:line="240" w:lineRule="auto"/>
        <w:rPr>
          <w:rFonts w:ascii="Verdana" w:eastAsia="Times New Roman" w:hAnsi="Verdana" w:cs="Times New Roman"/>
          <w:b/>
          <w:bCs/>
          <w:color w:val="0070C0"/>
          <w:sz w:val="20"/>
          <w:u w:val="single"/>
          <w:lang w:eastAsia="en-GB"/>
        </w:rPr>
        <w:sectPr w:rsidR="00A04148" w:rsidRPr="00D41BDC" w:rsidSect="002E60A3">
          <w:pgSz w:w="15840" w:h="12240" w:orient="landscape"/>
          <w:pgMar w:top="720" w:right="720" w:bottom="720" w:left="720" w:header="720" w:footer="720" w:gutter="0"/>
          <w:cols w:space="720"/>
          <w:titlePg/>
          <w:docGrid w:linePitch="360"/>
        </w:sectPr>
      </w:pPr>
    </w:p>
    <w:p w14:paraId="435A596D" w14:textId="77777777" w:rsidR="00A04148" w:rsidRPr="00D41BDC" w:rsidRDefault="00A04148" w:rsidP="00A04148">
      <w:pPr>
        <w:spacing w:line="240" w:lineRule="auto"/>
        <w:rPr>
          <w:rFonts w:ascii="Verdana" w:eastAsia="Times New Roman" w:hAnsi="Verdana" w:cs="Times New Roman"/>
          <w:b/>
          <w:bCs/>
          <w:color w:val="0070C0"/>
          <w:sz w:val="20"/>
          <w:u w:val="single"/>
          <w:lang w:eastAsia="en-GB"/>
        </w:rPr>
      </w:pPr>
      <w:r w:rsidRPr="00D41BDC">
        <w:rPr>
          <w:rFonts w:ascii="Verdana" w:eastAsia="Times New Roman" w:hAnsi="Verdana" w:cs="Times New Roman"/>
          <w:b/>
          <w:bCs/>
          <w:color w:val="0070C0"/>
          <w:sz w:val="20"/>
          <w:u w:val="single"/>
          <w:lang w:eastAsia="en-GB"/>
        </w:rPr>
        <w:lastRenderedPageBreak/>
        <w:t>4.2 Budget per SDG targets</w:t>
      </w:r>
    </w:p>
    <w:p w14:paraId="7C257646" w14:textId="77777777" w:rsidR="00A04148" w:rsidRPr="00D41BDC" w:rsidRDefault="00A04148" w:rsidP="00A04148">
      <w:pPr>
        <w:spacing w:line="240" w:lineRule="auto"/>
        <w:rPr>
          <w:rFonts w:ascii="Verdana" w:eastAsia="Times New Roman" w:hAnsi="Verdana" w:cs="Times New Roman"/>
          <w:b/>
          <w:bCs/>
          <w:color w:val="0070C0"/>
          <w:sz w:val="20"/>
          <w:u w:val="single"/>
          <w:lang w:eastAsia="en-GB"/>
        </w:rPr>
      </w:pPr>
    </w:p>
    <w:tbl>
      <w:tblPr>
        <w:tblW w:w="5000" w:type="pct"/>
        <w:tblLook w:val="04A0" w:firstRow="1" w:lastRow="0" w:firstColumn="1" w:lastColumn="0" w:noHBand="0" w:noVBand="1"/>
      </w:tblPr>
      <w:tblGrid>
        <w:gridCol w:w="1610"/>
        <w:gridCol w:w="1530"/>
        <w:gridCol w:w="6300"/>
        <w:gridCol w:w="2520"/>
        <w:gridCol w:w="2420"/>
      </w:tblGrid>
      <w:tr w:rsidR="00A04148" w:rsidRPr="00D41BDC" w14:paraId="62C5E749" w14:textId="77777777" w:rsidTr="00B2326F">
        <w:trPr>
          <w:trHeight w:val="445"/>
        </w:trPr>
        <w:tc>
          <w:tcPr>
            <w:tcW w:w="9440" w:type="dxa"/>
            <w:gridSpan w:val="3"/>
            <w:tcBorders>
              <w:top w:val="single" w:sz="8" w:space="0" w:color="auto"/>
              <w:left w:val="single" w:sz="8" w:space="0" w:color="auto"/>
              <w:bottom w:val="single" w:sz="8" w:space="0" w:color="auto"/>
              <w:right w:val="single" w:sz="4" w:space="0" w:color="000000"/>
            </w:tcBorders>
            <w:shd w:val="clear" w:color="000000" w:fill="0070C0"/>
            <w:vAlign w:val="center"/>
            <w:hideMark/>
          </w:tcPr>
          <w:p w14:paraId="443746CD" w14:textId="77777777" w:rsidR="00A04148" w:rsidRPr="00D41BDC" w:rsidRDefault="00A04148" w:rsidP="00B2326F">
            <w:pPr>
              <w:spacing w:line="240" w:lineRule="auto"/>
              <w:jc w:val="center"/>
              <w:rPr>
                <w:rFonts w:ascii="Verdana" w:eastAsia="Times New Roman" w:hAnsi="Verdana" w:cs="Calibri"/>
                <w:b/>
                <w:bCs/>
                <w:color w:val="FFFFFF"/>
                <w:sz w:val="20"/>
                <w:szCs w:val="20"/>
                <w:lang w:eastAsia="ja-JP"/>
              </w:rPr>
            </w:pPr>
            <w:r w:rsidRPr="00D41BDC">
              <w:rPr>
                <w:rFonts w:ascii="Verdana" w:eastAsia="Times New Roman" w:hAnsi="Verdana" w:cs="Calibri"/>
                <w:b/>
                <w:bCs/>
                <w:color w:val="FFFFFF"/>
                <w:sz w:val="20"/>
                <w:szCs w:val="20"/>
                <w:lang w:eastAsia="ja-JP"/>
              </w:rPr>
              <w:t>SDG TARGETS</w:t>
            </w:r>
          </w:p>
        </w:tc>
        <w:tc>
          <w:tcPr>
            <w:tcW w:w="2520" w:type="dxa"/>
            <w:tcBorders>
              <w:top w:val="single" w:sz="8" w:space="0" w:color="auto"/>
              <w:left w:val="nil"/>
              <w:bottom w:val="single" w:sz="8" w:space="0" w:color="auto"/>
              <w:right w:val="single" w:sz="4" w:space="0" w:color="auto"/>
            </w:tcBorders>
            <w:shd w:val="clear" w:color="000000" w:fill="2F75B5"/>
            <w:vAlign w:val="center"/>
            <w:hideMark/>
          </w:tcPr>
          <w:p w14:paraId="17A40B8E" w14:textId="77777777" w:rsidR="00A04148" w:rsidRPr="00D41BDC" w:rsidRDefault="00A04148" w:rsidP="00B2326F">
            <w:pPr>
              <w:spacing w:line="240" w:lineRule="auto"/>
              <w:jc w:val="center"/>
              <w:rPr>
                <w:rFonts w:ascii="Verdana" w:eastAsia="Times New Roman" w:hAnsi="Verdana" w:cs="Calibri"/>
                <w:b/>
                <w:bCs/>
                <w:color w:val="FFFFFF"/>
                <w:sz w:val="18"/>
                <w:szCs w:val="18"/>
                <w:lang w:eastAsia="ja-JP"/>
              </w:rPr>
            </w:pPr>
            <w:r w:rsidRPr="00D41BDC">
              <w:rPr>
                <w:rFonts w:ascii="Verdana" w:eastAsia="Times New Roman" w:hAnsi="Verdana" w:cs="Calibri"/>
                <w:b/>
                <w:bCs/>
                <w:color w:val="FFFFFF"/>
                <w:sz w:val="18"/>
                <w:szCs w:val="18"/>
                <w:lang w:eastAsia="ja-JP"/>
              </w:rPr>
              <w:t>%</w:t>
            </w:r>
          </w:p>
        </w:tc>
        <w:tc>
          <w:tcPr>
            <w:tcW w:w="2420" w:type="dxa"/>
            <w:tcBorders>
              <w:top w:val="single" w:sz="8" w:space="0" w:color="auto"/>
              <w:left w:val="nil"/>
              <w:bottom w:val="single" w:sz="8" w:space="0" w:color="auto"/>
              <w:right w:val="single" w:sz="8" w:space="0" w:color="auto"/>
            </w:tcBorders>
            <w:shd w:val="clear" w:color="000000" w:fill="2F75B5"/>
            <w:vAlign w:val="center"/>
            <w:hideMark/>
          </w:tcPr>
          <w:p w14:paraId="0B5BFB57" w14:textId="77777777" w:rsidR="00A04148" w:rsidRPr="00D41BDC" w:rsidRDefault="00A04148" w:rsidP="00B2326F">
            <w:pPr>
              <w:spacing w:line="240" w:lineRule="auto"/>
              <w:jc w:val="center"/>
              <w:rPr>
                <w:rFonts w:ascii="Verdana" w:eastAsia="Times New Roman" w:hAnsi="Verdana" w:cs="Calibri"/>
                <w:b/>
                <w:bCs/>
                <w:color w:val="FFFFFF"/>
                <w:sz w:val="18"/>
                <w:szCs w:val="18"/>
                <w:lang w:eastAsia="ja-JP"/>
              </w:rPr>
            </w:pPr>
            <w:r w:rsidRPr="00D41BDC">
              <w:rPr>
                <w:rFonts w:ascii="Verdana" w:eastAsia="Times New Roman" w:hAnsi="Verdana" w:cs="Calibri"/>
                <w:b/>
                <w:bCs/>
                <w:color w:val="FFFFFF"/>
                <w:sz w:val="18"/>
                <w:szCs w:val="18"/>
                <w:lang w:eastAsia="ja-JP"/>
              </w:rPr>
              <w:t>USD</w:t>
            </w:r>
          </w:p>
        </w:tc>
      </w:tr>
      <w:tr w:rsidR="00A04148" w:rsidRPr="00D41BDC" w14:paraId="3EB11C69" w14:textId="77777777" w:rsidTr="00B2326F">
        <w:trPr>
          <w:trHeight w:val="970"/>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5D46BB93"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SDG 1</w:t>
            </w:r>
          </w:p>
        </w:tc>
        <w:tc>
          <w:tcPr>
            <w:tcW w:w="1530" w:type="dxa"/>
            <w:tcBorders>
              <w:top w:val="nil"/>
              <w:left w:val="nil"/>
              <w:bottom w:val="single" w:sz="4" w:space="0" w:color="auto"/>
              <w:right w:val="single" w:sz="4" w:space="0" w:color="auto"/>
            </w:tcBorders>
            <w:shd w:val="clear" w:color="auto" w:fill="auto"/>
            <w:vAlign w:val="center"/>
            <w:hideMark/>
          </w:tcPr>
          <w:p w14:paraId="7D96F15B"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1.A</w:t>
            </w:r>
          </w:p>
        </w:tc>
        <w:tc>
          <w:tcPr>
            <w:tcW w:w="6300" w:type="dxa"/>
            <w:tcBorders>
              <w:top w:val="nil"/>
              <w:left w:val="nil"/>
              <w:bottom w:val="single" w:sz="4" w:space="0" w:color="auto"/>
              <w:right w:val="single" w:sz="4" w:space="0" w:color="auto"/>
            </w:tcBorders>
            <w:shd w:val="clear" w:color="000000" w:fill="FFFFFF"/>
            <w:vAlign w:val="center"/>
            <w:hideMark/>
          </w:tcPr>
          <w:p w14:paraId="22B63309" w14:textId="77777777" w:rsidR="00A04148" w:rsidRPr="00D41BDC" w:rsidRDefault="00A04148" w:rsidP="00B2326F">
            <w:pPr>
              <w:spacing w:line="240" w:lineRule="auto"/>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tc>
        <w:tc>
          <w:tcPr>
            <w:tcW w:w="2520" w:type="dxa"/>
            <w:tcBorders>
              <w:top w:val="nil"/>
              <w:left w:val="nil"/>
              <w:bottom w:val="single" w:sz="4" w:space="0" w:color="auto"/>
              <w:right w:val="single" w:sz="4" w:space="0" w:color="auto"/>
            </w:tcBorders>
            <w:shd w:val="clear" w:color="000000" w:fill="FFFFFF"/>
            <w:vAlign w:val="center"/>
            <w:hideMark/>
          </w:tcPr>
          <w:p w14:paraId="42D0A73A"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16%</w:t>
            </w:r>
          </w:p>
        </w:tc>
        <w:tc>
          <w:tcPr>
            <w:tcW w:w="2420" w:type="dxa"/>
            <w:tcBorders>
              <w:top w:val="nil"/>
              <w:left w:val="nil"/>
              <w:bottom w:val="single" w:sz="4" w:space="0" w:color="auto"/>
              <w:right w:val="single" w:sz="8" w:space="0" w:color="auto"/>
            </w:tcBorders>
            <w:shd w:val="clear" w:color="000000" w:fill="FFFFFF"/>
            <w:vAlign w:val="center"/>
            <w:hideMark/>
          </w:tcPr>
          <w:p w14:paraId="59AC366F" w14:textId="77777777" w:rsidR="00A04148" w:rsidRPr="00D41BDC" w:rsidRDefault="00A04148" w:rsidP="00B2326F">
            <w:pPr>
              <w:spacing w:line="240" w:lineRule="auto"/>
              <w:jc w:val="right"/>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327,500 </w:t>
            </w:r>
          </w:p>
        </w:tc>
      </w:tr>
      <w:tr w:rsidR="00A04148" w:rsidRPr="00D41BDC" w14:paraId="2CA13AFB" w14:textId="77777777" w:rsidTr="00B2326F">
        <w:trPr>
          <w:trHeight w:val="323"/>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2B9BCB0D"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SDG 1</w:t>
            </w:r>
          </w:p>
        </w:tc>
        <w:tc>
          <w:tcPr>
            <w:tcW w:w="1530" w:type="dxa"/>
            <w:tcBorders>
              <w:top w:val="nil"/>
              <w:left w:val="nil"/>
              <w:bottom w:val="single" w:sz="4" w:space="0" w:color="auto"/>
              <w:right w:val="single" w:sz="4" w:space="0" w:color="auto"/>
            </w:tcBorders>
            <w:shd w:val="clear" w:color="auto" w:fill="auto"/>
            <w:vAlign w:val="center"/>
            <w:hideMark/>
          </w:tcPr>
          <w:p w14:paraId="12C98293"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1.B</w:t>
            </w:r>
          </w:p>
        </w:tc>
        <w:tc>
          <w:tcPr>
            <w:tcW w:w="6300" w:type="dxa"/>
            <w:tcBorders>
              <w:top w:val="nil"/>
              <w:left w:val="nil"/>
              <w:bottom w:val="single" w:sz="4" w:space="0" w:color="auto"/>
              <w:right w:val="single" w:sz="4" w:space="0" w:color="auto"/>
            </w:tcBorders>
            <w:shd w:val="clear" w:color="000000" w:fill="FFFFFF"/>
            <w:vAlign w:val="center"/>
            <w:hideMark/>
          </w:tcPr>
          <w:p w14:paraId="57A2F481" w14:textId="77777777" w:rsidR="00A04148" w:rsidRPr="00D41BDC" w:rsidRDefault="00A04148" w:rsidP="00B2326F">
            <w:pPr>
              <w:spacing w:line="240" w:lineRule="auto"/>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1.B: Create sound policy frameworks at the national, regional and international levels, based on pro-poor and gender-sensitive development strategies, to support accelerated investment in poverty eradication actions</w:t>
            </w:r>
          </w:p>
        </w:tc>
        <w:tc>
          <w:tcPr>
            <w:tcW w:w="2520" w:type="dxa"/>
            <w:tcBorders>
              <w:top w:val="nil"/>
              <w:left w:val="nil"/>
              <w:bottom w:val="single" w:sz="4" w:space="0" w:color="auto"/>
              <w:right w:val="single" w:sz="4" w:space="0" w:color="auto"/>
            </w:tcBorders>
            <w:shd w:val="clear" w:color="000000" w:fill="FFFFFF"/>
            <w:vAlign w:val="center"/>
            <w:hideMark/>
          </w:tcPr>
          <w:p w14:paraId="218ACE0F"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6%</w:t>
            </w:r>
          </w:p>
        </w:tc>
        <w:tc>
          <w:tcPr>
            <w:tcW w:w="2420" w:type="dxa"/>
            <w:tcBorders>
              <w:top w:val="nil"/>
              <w:left w:val="nil"/>
              <w:bottom w:val="single" w:sz="4" w:space="0" w:color="auto"/>
              <w:right w:val="single" w:sz="8" w:space="0" w:color="auto"/>
            </w:tcBorders>
            <w:shd w:val="clear" w:color="000000" w:fill="FFFFFF"/>
            <w:vAlign w:val="center"/>
            <w:hideMark/>
          </w:tcPr>
          <w:p w14:paraId="650FDD14" w14:textId="77777777" w:rsidR="00A04148" w:rsidRPr="00D41BDC" w:rsidRDefault="00A04148" w:rsidP="00B2326F">
            <w:pPr>
              <w:spacing w:line="240" w:lineRule="auto"/>
              <w:jc w:val="right"/>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112,000 </w:t>
            </w:r>
          </w:p>
        </w:tc>
      </w:tr>
      <w:tr w:rsidR="00A04148" w:rsidRPr="00D41BDC" w14:paraId="4E358029" w14:textId="77777777" w:rsidTr="00B2326F">
        <w:trPr>
          <w:trHeight w:val="152"/>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40608C8B"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SDG 3</w:t>
            </w:r>
          </w:p>
        </w:tc>
        <w:tc>
          <w:tcPr>
            <w:tcW w:w="1530" w:type="dxa"/>
            <w:tcBorders>
              <w:top w:val="nil"/>
              <w:left w:val="nil"/>
              <w:bottom w:val="single" w:sz="4" w:space="0" w:color="auto"/>
              <w:right w:val="single" w:sz="4" w:space="0" w:color="auto"/>
            </w:tcBorders>
            <w:shd w:val="clear" w:color="auto" w:fill="auto"/>
            <w:vAlign w:val="center"/>
            <w:hideMark/>
          </w:tcPr>
          <w:p w14:paraId="52FC96C6"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3.C</w:t>
            </w:r>
          </w:p>
        </w:tc>
        <w:tc>
          <w:tcPr>
            <w:tcW w:w="6300" w:type="dxa"/>
            <w:tcBorders>
              <w:top w:val="nil"/>
              <w:left w:val="nil"/>
              <w:bottom w:val="single" w:sz="4" w:space="0" w:color="auto"/>
              <w:right w:val="single" w:sz="4" w:space="0" w:color="auto"/>
            </w:tcBorders>
            <w:shd w:val="clear" w:color="000000" w:fill="FFFFFF"/>
            <w:vAlign w:val="center"/>
            <w:hideMark/>
          </w:tcPr>
          <w:p w14:paraId="3F310172" w14:textId="77777777" w:rsidR="00A04148" w:rsidRPr="00D41BDC" w:rsidRDefault="00A04148" w:rsidP="00B2326F">
            <w:pPr>
              <w:spacing w:line="240" w:lineRule="auto"/>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3.C: Substantially increase health financing and the recruitment, development, training and retention of the health workforce in developing countries, especially in least developed countries and small island developing States.</w:t>
            </w:r>
          </w:p>
        </w:tc>
        <w:tc>
          <w:tcPr>
            <w:tcW w:w="2520" w:type="dxa"/>
            <w:tcBorders>
              <w:top w:val="nil"/>
              <w:left w:val="nil"/>
              <w:bottom w:val="single" w:sz="4" w:space="0" w:color="auto"/>
              <w:right w:val="single" w:sz="4" w:space="0" w:color="auto"/>
            </w:tcBorders>
            <w:shd w:val="clear" w:color="000000" w:fill="FFFFFF"/>
            <w:vAlign w:val="center"/>
            <w:hideMark/>
          </w:tcPr>
          <w:p w14:paraId="5611523F"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6%</w:t>
            </w:r>
          </w:p>
        </w:tc>
        <w:tc>
          <w:tcPr>
            <w:tcW w:w="2420" w:type="dxa"/>
            <w:tcBorders>
              <w:top w:val="nil"/>
              <w:left w:val="nil"/>
              <w:bottom w:val="single" w:sz="4" w:space="0" w:color="auto"/>
              <w:right w:val="single" w:sz="8" w:space="0" w:color="auto"/>
            </w:tcBorders>
            <w:shd w:val="clear" w:color="000000" w:fill="FFFFFF"/>
            <w:vAlign w:val="center"/>
            <w:hideMark/>
          </w:tcPr>
          <w:p w14:paraId="718D20F0" w14:textId="77777777" w:rsidR="00A04148" w:rsidRPr="00D41BDC" w:rsidRDefault="00A04148" w:rsidP="00B2326F">
            <w:pPr>
              <w:spacing w:line="240" w:lineRule="auto"/>
              <w:jc w:val="right"/>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112,000 </w:t>
            </w:r>
          </w:p>
        </w:tc>
      </w:tr>
      <w:tr w:rsidR="00A04148" w:rsidRPr="00D41BDC" w14:paraId="6E49A409" w14:textId="77777777" w:rsidTr="00B2326F">
        <w:trPr>
          <w:trHeight w:val="260"/>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7582912A"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SDG 4</w:t>
            </w:r>
          </w:p>
        </w:tc>
        <w:tc>
          <w:tcPr>
            <w:tcW w:w="1530" w:type="dxa"/>
            <w:tcBorders>
              <w:top w:val="nil"/>
              <w:left w:val="nil"/>
              <w:bottom w:val="single" w:sz="4" w:space="0" w:color="auto"/>
              <w:right w:val="single" w:sz="4" w:space="0" w:color="auto"/>
            </w:tcBorders>
            <w:shd w:val="clear" w:color="auto" w:fill="auto"/>
            <w:vAlign w:val="center"/>
            <w:hideMark/>
          </w:tcPr>
          <w:p w14:paraId="2D07E428"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4.6</w:t>
            </w:r>
          </w:p>
        </w:tc>
        <w:tc>
          <w:tcPr>
            <w:tcW w:w="6300" w:type="dxa"/>
            <w:tcBorders>
              <w:top w:val="nil"/>
              <w:left w:val="nil"/>
              <w:bottom w:val="single" w:sz="4" w:space="0" w:color="auto"/>
              <w:right w:val="single" w:sz="4" w:space="0" w:color="auto"/>
            </w:tcBorders>
            <w:shd w:val="clear" w:color="000000" w:fill="FFFFFF"/>
            <w:vAlign w:val="center"/>
            <w:hideMark/>
          </w:tcPr>
          <w:p w14:paraId="22C89B97" w14:textId="77777777" w:rsidR="00A04148" w:rsidRPr="00D41BDC" w:rsidRDefault="00A04148" w:rsidP="00B2326F">
            <w:pPr>
              <w:spacing w:line="240" w:lineRule="auto"/>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4.6 Ensure that all youth and a substantial proportion of adults, both men and women, achieve literacy and numeracy</w:t>
            </w:r>
          </w:p>
        </w:tc>
        <w:tc>
          <w:tcPr>
            <w:tcW w:w="2520" w:type="dxa"/>
            <w:tcBorders>
              <w:top w:val="nil"/>
              <w:left w:val="nil"/>
              <w:bottom w:val="single" w:sz="4" w:space="0" w:color="auto"/>
              <w:right w:val="single" w:sz="4" w:space="0" w:color="auto"/>
            </w:tcBorders>
            <w:shd w:val="clear" w:color="000000" w:fill="FFFFFF"/>
            <w:vAlign w:val="center"/>
            <w:hideMark/>
          </w:tcPr>
          <w:p w14:paraId="0505A728"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6%</w:t>
            </w:r>
          </w:p>
        </w:tc>
        <w:tc>
          <w:tcPr>
            <w:tcW w:w="2420" w:type="dxa"/>
            <w:tcBorders>
              <w:top w:val="nil"/>
              <w:left w:val="nil"/>
              <w:bottom w:val="single" w:sz="4" w:space="0" w:color="auto"/>
              <w:right w:val="single" w:sz="8" w:space="0" w:color="auto"/>
            </w:tcBorders>
            <w:shd w:val="clear" w:color="000000" w:fill="FFFFFF"/>
            <w:vAlign w:val="center"/>
            <w:hideMark/>
          </w:tcPr>
          <w:p w14:paraId="44EA5EF5" w14:textId="77777777" w:rsidR="00A04148" w:rsidRPr="00D41BDC" w:rsidRDefault="00A04148" w:rsidP="00B2326F">
            <w:pPr>
              <w:spacing w:line="240" w:lineRule="auto"/>
              <w:jc w:val="right"/>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112,000 </w:t>
            </w:r>
          </w:p>
        </w:tc>
      </w:tr>
      <w:tr w:rsidR="00A04148" w:rsidRPr="00D41BDC" w14:paraId="4D15D3F0" w14:textId="77777777" w:rsidTr="00B2326F">
        <w:trPr>
          <w:trHeight w:val="70"/>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1A26CE9B"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SDG 5</w:t>
            </w:r>
          </w:p>
        </w:tc>
        <w:tc>
          <w:tcPr>
            <w:tcW w:w="1530" w:type="dxa"/>
            <w:tcBorders>
              <w:top w:val="nil"/>
              <w:left w:val="nil"/>
              <w:bottom w:val="single" w:sz="4" w:space="0" w:color="auto"/>
              <w:right w:val="single" w:sz="4" w:space="0" w:color="auto"/>
            </w:tcBorders>
            <w:shd w:val="clear" w:color="auto" w:fill="auto"/>
            <w:vAlign w:val="center"/>
            <w:hideMark/>
          </w:tcPr>
          <w:p w14:paraId="5DD0C1FC"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5.C</w:t>
            </w:r>
          </w:p>
        </w:tc>
        <w:tc>
          <w:tcPr>
            <w:tcW w:w="6300" w:type="dxa"/>
            <w:tcBorders>
              <w:top w:val="nil"/>
              <w:left w:val="nil"/>
              <w:bottom w:val="single" w:sz="4" w:space="0" w:color="auto"/>
              <w:right w:val="single" w:sz="4" w:space="0" w:color="auto"/>
            </w:tcBorders>
            <w:shd w:val="clear" w:color="000000" w:fill="FFFFFF"/>
            <w:vAlign w:val="center"/>
            <w:hideMark/>
          </w:tcPr>
          <w:p w14:paraId="2CAECACC" w14:textId="77777777" w:rsidR="00A04148" w:rsidRPr="00D41BDC" w:rsidRDefault="00A04148" w:rsidP="00B2326F">
            <w:pPr>
              <w:spacing w:line="240" w:lineRule="auto"/>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5.C Adopt and strengthen sound policies and enforceable legislation for the promotion of gender equality and the empowerment of all women and girls at all levels</w:t>
            </w:r>
          </w:p>
        </w:tc>
        <w:tc>
          <w:tcPr>
            <w:tcW w:w="2520" w:type="dxa"/>
            <w:tcBorders>
              <w:top w:val="nil"/>
              <w:left w:val="nil"/>
              <w:bottom w:val="single" w:sz="4" w:space="0" w:color="auto"/>
              <w:right w:val="single" w:sz="4" w:space="0" w:color="auto"/>
            </w:tcBorders>
            <w:shd w:val="clear" w:color="000000" w:fill="FFFFFF"/>
            <w:vAlign w:val="center"/>
            <w:hideMark/>
          </w:tcPr>
          <w:p w14:paraId="48A6BD50"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6%</w:t>
            </w:r>
          </w:p>
        </w:tc>
        <w:tc>
          <w:tcPr>
            <w:tcW w:w="2420" w:type="dxa"/>
            <w:tcBorders>
              <w:top w:val="nil"/>
              <w:left w:val="nil"/>
              <w:bottom w:val="single" w:sz="4" w:space="0" w:color="auto"/>
              <w:right w:val="single" w:sz="8" w:space="0" w:color="auto"/>
            </w:tcBorders>
            <w:shd w:val="clear" w:color="000000" w:fill="FFFFFF"/>
            <w:vAlign w:val="center"/>
            <w:hideMark/>
          </w:tcPr>
          <w:p w14:paraId="3FB991A9" w14:textId="77777777" w:rsidR="00A04148" w:rsidRPr="00D41BDC" w:rsidRDefault="00A04148" w:rsidP="00B2326F">
            <w:pPr>
              <w:spacing w:line="240" w:lineRule="auto"/>
              <w:jc w:val="right"/>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112,000 </w:t>
            </w:r>
          </w:p>
        </w:tc>
      </w:tr>
      <w:tr w:rsidR="00A04148" w:rsidRPr="00D41BDC" w14:paraId="42A30B21" w14:textId="77777777" w:rsidTr="00B2326F">
        <w:trPr>
          <w:trHeight w:val="70"/>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59708C55"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SDG 6</w:t>
            </w:r>
          </w:p>
        </w:tc>
        <w:tc>
          <w:tcPr>
            <w:tcW w:w="1530" w:type="dxa"/>
            <w:tcBorders>
              <w:top w:val="nil"/>
              <w:left w:val="nil"/>
              <w:bottom w:val="single" w:sz="4" w:space="0" w:color="auto"/>
              <w:right w:val="single" w:sz="4" w:space="0" w:color="auto"/>
            </w:tcBorders>
            <w:shd w:val="clear" w:color="auto" w:fill="auto"/>
            <w:vAlign w:val="center"/>
            <w:hideMark/>
          </w:tcPr>
          <w:p w14:paraId="4DC4732B"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6.a</w:t>
            </w:r>
          </w:p>
        </w:tc>
        <w:tc>
          <w:tcPr>
            <w:tcW w:w="6300" w:type="dxa"/>
            <w:tcBorders>
              <w:top w:val="nil"/>
              <w:left w:val="nil"/>
              <w:bottom w:val="single" w:sz="4" w:space="0" w:color="auto"/>
              <w:right w:val="single" w:sz="4" w:space="0" w:color="auto"/>
            </w:tcBorders>
            <w:shd w:val="clear" w:color="000000" w:fill="FFFFFF"/>
            <w:vAlign w:val="center"/>
            <w:hideMark/>
          </w:tcPr>
          <w:p w14:paraId="04830DBE" w14:textId="77777777" w:rsidR="00A04148" w:rsidRPr="00D41BDC" w:rsidRDefault="00A04148" w:rsidP="00B2326F">
            <w:pPr>
              <w:spacing w:line="240" w:lineRule="auto"/>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6.a: Expand international cooperation and capacity-building support to developing countries in water- and sanitation-related activities and programmes, including water harvesting, desalination, water efficiency, wastewater treatment, recycling and reuse technologies</w:t>
            </w:r>
          </w:p>
        </w:tc>
        <w:tc>
          <w:tcPr>
            <w:tcW w:w="2520" w:type="dxa"/>
            <w:tcBorders>
              <w:top w:val="nil"/>
              <w:left w:val="nil"/>
              <w:bottom w:val="single" w:sz="4" w:space="0" w:color="auto"/>
              <w:right w:val="single" w:sz="4" w:space="0" w:color="auto"/>
            </w:tcBorders>
            <w:shd w:val="clear" w:color="000000" w:fill="FFFFFF"/>
            <w:vAlign w:val="center"/>
            <w:hideMark/>
          </w:tcPr>
          <w:p w14:paraId="32B2F2B0"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6%</w:t>
            </w:r>
          </w:p>
        </w:tc>
        <w:tc>
          <w:tcPr>
            <w:tcW w:w="2420" w:type="dxa"/>
            <w:tcBorders>
              <w:top w:val="nil"/>
              <w:left w:val="nil"/>
              <w:bottom w:val="single" w:sz="4" w:space="0" w:color="auto"/>
              <w:right w:val="single" w:sz="8" w:space="0" w:color="auto"/>
            </w:tcBorders>
            <w:shd w:val="clear" w:color="000000" w:fill="FFFFFF"/>
            <w:vAlign w:val="center"/>
            <w:hideMark/>
          </w:tcPr>
          <w:p w14:paraId="16151A6A" w14:textId="77777777" w:rsidR="00A04148" w:rsidRPr="00D41BDC" w:rsidRDefault="00A04148" w:rsidP="00B2326F">
            <w:pPr>
              <w:spacing w:line="240" w:lineRule="auto"/>
              <w:jc w:val="right"/>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112,000 </w:t>
            </w:r>
          </w:p>
        </w:tc>
      </w:tr>
      <w:tr w:rsidR="00A04148" w:rsidRPr="00D41BDC" w14:paraId="281EC9FF" w14:textId="77777777" w:rsidTr="00B2326F">
        <w:trPr>
          <w:trHeight w:val="70"/>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03EEDACB"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SDG 10</w:t>
            </w:r>
          </w:p>
        </w:tc>
        <w:tc>
          <w:tcPr>
            <w:tcW w:w="1530" w:type="dxa"/>
            <w:tcBorders>
              <w:top w:val="nil"/>
              <w:left w:val="nil"/>
              <w:bottom w:val="single" w:sz="4" w:space="0" w:color="auto"/>
              <w:right w:val="single" w:sz="4" w:space="0" w:color="auto"/>
            </w:tcBorders>
            <w:shd w:val="clear" w:color="auto" w:fill="auto"/>
            <w:vAlign w:val="center"/>
            <w:hideMark/>
          </w:tcPr>
          <w:p w14:paraId="7D4C3D23"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10.2</w:t>
            </w:r>
          </w:p>
        </w:tc>
        <w:tc>
          <w:tcPr>
            <w:tcW w:w="6300" w:type="dxa"/>
            <w:tcBorders>
              <w:top w:val="nil"/>
              <w:left w:val="nil"/>
              <w:bottom w:val="single" w:sz="4" w:space="0" w:color="auto"/>
              <w:right w:val="single" w:sz="4" w:space="0" w:color="auto"/>
            </w:tcBorders>
            <w:shd w:val="clear" w:color="000000" w:fill="FFFFFF"/>
            <w:vAlign w:val="center"/>
            <w:hideMark/>
          </w:tcPr>
          <w:p w14:paraId="70D26C09" w14:textId="77777777" w:rsidR="00A04148" w:rsidRPr="00D41BDC" w:rsidRDefault="00A04148" w:rsidP="00B2326F">
            <w:pPr>
              <w:spacing w:line="240" w:lineRule="auto"/>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10.2: By 2030, empower and promote the social, economic and political inclusion of all, irrespective of age, sex, disability, race, ethnicity, origin, religion or economic or other status</w:t>
            </w:r>
          </w:p>
        </w:tc>
        <w:tc>
          <w:tcPr>
            <w:tcW w:w="2520" w:type="dxa"/>
            <w:tcBorders>
              <w:top w:val="nil"/>
              <w:left w:val="nil"/>
              <w:bottom w:val="single" w:sz="4" w:space="0" w:color="auto"/>
              <w:right w:val="single" w:sz="4" w:space="0" w:color="auto"/>
            </w:tcBorders>
            <w:shd w:val="clear" w:color="000000" w:fill="FFFFFF"/>
            <w:vAlign w:val="center"/>
            <w:hideMark/>
          </w:tcPr>
          <w:p w14:paraId="53878D14"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6%</w:t>
            </w:r>
          </w:p>
        </w:tc>
        <w:tc>
          <w:tcPr>
            <w:tcW w:w="2420" w:type="dxa"/>
            <w:tcBorders>
              <w:top w:val="nil"/>
              <w:left w:val="nil"/>
              <w:bottom w:val="single" w:sz="4" w:space="0" w:color="auto"/>
              <w:right w:val="single" w:sz="8" w:space="0" w:color="auto"/>
            </w:tcBorders>
            <w:shd w:val="clear" w:color="000000" w:fill="FFFFFF"/>
            <w:vAlign w:val="center"/>
            <w:hideMark/>
          </w:tcPr>
          <w:p w14:paraId="123C2331" w14:textId="77777777" w:rsidR="00A04148" w:rsidRPr="00D41BDC" w:rsidRDefault="00A04148" w:rsidP="00B2326F">
            <w:pPr>
              <w:spacing w:line="240" w:lineRule="auto"/>
              <w:jc w:val="right"/>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112,000 </w:t>
            </w:r>
          </w:p>
        </w:tc>
      </w:tr>
      <w:tr w:rsidR="00A04148" w:rsidRPr="00D41BDC" w14:paraId="1CEFC0D5" w14:textId="77777777" w:rsidTr="00B2326F">
        <w:trPr>
          <w:trHeight w:val="460"/>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40380225"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SDG 16</w:t>
            </w:r>
          </w:p>
        </w:tc>
        <w:tc>
          <w:tcPr>
            <w:tcW w:w="1530" w:type="dxa"/>
            <w:tcBorders>
              <w:top w:val="nil"/>
              <w:left w:val="nil"/>
              <w:bottom w:val="single" w:sz="4" w:space="0" w:color="auto"/>
              <w:right w:val="single" w:sz="4" w:space="0" w:color="auto"/>
            </w:tcBorders>
            <w:shd w:val="clear" w:color="auto" w:fill="auto"/>
            <w:vAlign w:val="center"/>
            <w:hideMark/>
          </w:tcPr>
          <w:p w14:paraId="3FB71C5C"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16.6</w:t>
            </w:r>
          </w:p>
        </w:tc>
        <w:tc>
          <w:tcPr>
            <w:tcW w:w="6300" w:type="dxa"/>
            <w:tcBorders>
              <w:top w:val="nil"/>
              <w:left w:val="nil"/>
              <w:bottom w:val="single" w:sz="4" w:space="0" w:color="auto"/>
              <w:right w:val="single" w:sz="4" w:space="0" w:color="auto"/>
            </w:tcBorders>
            <w:shd w:val="clear" w:color="000000" w:fill="FFFFFF"/>
            <w:vAlign w:val="center"/>
            <w:hideMark/>
          </w:tcPr>
          <w:p w14:paraId="6EC7C3DF" w14:textId="77777777" w:rsidR="00A04148" w:rsidRPr="00D41BDC" w:rsidRDefault="00A04148" w:rsidP="00B2326F">
            <w:pPr>
              <w:spacing w:line="240" w:lineRule="auto"/>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16.6: Develop effective, accountable and transparent institutions at all levels</w:t>
            </w:r>
          </w:p>
        </w:tc>
        <w:tc>
          <w:tcPr>
            <w:tcW w:w="2520" w:type="dxa"/>
            <w:tcBorders>
              <w:top w:val="nil"/>
              <w:left w:val="nil"/>
              <w:bottom w:val="single" w:sz="4" w:space="0" w:color="auto"/>
              <w:right w:val="single" w:sz="4" w:space="0" w:color="auto"/>
            </w:tcBorders>
            <w:shd w:val="clear" w:color="000000" w:fill="FFFFFF"/>
            <w:vAlign w:val="center"/>
            <w:hideMark/>
          </w:tcPr>
          <w:p w14:paraId="00B222AC"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29%</w:t>
            </w:r>
          </w:p>
        </w:tc>
        <w:tc>
          <w:tcPr>
            <w:tcW w:w="2420" w:type="dxa"/>
            <w:tcBorders>
              <w:top w:val="nil"/>
              <w:left w:val="nil"/>
              <w:bottom w:val="single" w:sz="4" w:space="0" w:color="auto"/>
              <w:right w:val="single" w:sz="8" w:space="0" w:color="auto"/>
            </w:tcBorders>
            <w:shd w:val="clear" w:color="000000" w:fill="FFFFFF"/>
            <w:vAlign w:val="center"/>
            <w:hideMark/>
          </w:tcPr>
          <w:p w14:paraId="4CE8E03F" w14:textId="77777777" w:rsidR="00A04148" w:rsidRPr="00D41BDC" w:rsidRDefault="00A04148" w:rsidP="00B2326F">
            <w:pPr>
              <w:spacing w:line="240" w:lineRule="auto"/>
              <w:jc w:val="right"/>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575,573 </w:t>
            </w:r>
          </w:p>
        </w:tc>
      </w:tr>
      <w:tr w:rsidR="00A04148" w:rsidRPr="00D41BDC" w14:paraId="3E9B3ECF" w14:textId="77777777" w:rsidTr="00B2326F">
        <w:trPr>
          <w:trHeight w:val="70"/>
        </w:trPr>
        <w:tc>
          <w:tcPr>
            <w:tcW w:w="1610" w:type="dxa"/>
            <w:tcBorders>
              <w:top w:val="nil"/>
              <w:left w:val="single" w:sz="8" w:space="0" w:color="auto"/>
              <w:bottom w:val="single" w:sz="4" w:space="0" w:color="auto"/>
              <w:right w:val="single" w:sz="4" w:space="0" w:color="auto"/>
            </w:tcBorders>
            <w:shd w:val="clear" w:color="auto" w:fill="auto"/>
            <w:vAlign w:val="center"/>
            <w:hideMark/>
          </w:tcPr>
          <w:p w14:paraId="34C5788E"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SDG 17</w:t>
            </w:r>
          </w:p>
        </w:tc>
        <w:tc>
          <w:tcPr>
            <w:tcW w:w="1530" w:type="dxa"/>
            <w:tcBorders>
              <w:top w:val="nil"/>
              <w:left w:val="nil"/>
              <w:bottom w:val="single" w:sz="4" w:space="0" w:color="auto"/>
              <w:right w:val="single" w:sz="4" w:space="0" w:color="auto"/>
            </w:tcBorders>
            <w:shd w:val="clear" w:color="auto" w:fill="auto"/>
            <w:vAlign w:val="center"/>
            <w:hideMark/>
          </w:tcPr>
          <w:p w14:paraId="16AEBCE0"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17.1</w:t>
            </w:r>
          </w:p>
        </w:tc>
        <w:tc>
          <w:tcPr>
            <w:tcW w:w="6300" w:type="dxa"/>
            <w:tcBorders>
              <w:top w:val="nil"/>
              <w:left w:val="nil"/>
              <w:bottom w:val="single" w:sz="4" w:space="0" w:color="auto"/>
              <w:right w:val="single" w:sz="4" w:space="0" w:color="auto"/>
            </w:tcBorders>
            <w:shd w:val="clear" w:color="000000" w:fill="FFFFFF"/>
            <w:vAlign w:val="center"/>
            <w:hideMark/>
          </w:tcPr>
          <w:p w14:paraId="48909652" w14:textId="77777777" w:rsidR="00A04148" w:rsidRPr="00D41BDC" w:rsidRDefault="00A04148" w:rsidP="00B2326F">
            <w:pPr>
              <w:spacing w:line="240" w:lineRule="auto"/>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17.1: Strengthen domestic resource mobilization, including through international support to developing countries, to improve domestic capacity for tax and other revenue collection  </w:t>
            </w:r>
          </w:p>
        </w:tc>
        <w:tc>
          <w:tcPr>
            <w:tcW w:w="2520" w:type="dxa"/>
            <w:tcBorders>
              <w:top w:val="nil"/>
              <w:left w:val="nil"/>
              <w:bottom w:val="single" w:sz="4" w:space="0" w:color="auto"/>
              <w:right w:val="single" w:sz="4" w:space="0" w:color="auto"/>
            </w:tcBorders>
            <w:shd w:val="clear" w:color="000000" w:fill="FFFFFF"/>
            <w:vAlign w:val="center"/>
            <w:hideMark/>
          </w:tcPr>
          <w:p w14:paraId="6DE3A36D"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16%</w:t>
            </w:r>
          </w:p>
        </w:tc>
        <w:tc>
          <w:tcPr>
            <w:tcW w:w="2420" w:type="dxa"/>
            <w:tcBorders>
              <w:top w:val="nil"/>
              <w:left w:val="nil"/>
              <w:bottom w:val="single" w:sz="4" w:space="0" w:color="auto"/>
              <w:right w:val="single" w:sz="8" w:space="0" w:color="auto"/>
            </w:tcBorders>
            <w:shd w:val="clear" w:color="000000" w:fill="FFFFFF"/>
            <w:vAlign w:val="center"/>
            <w:hideMark/>
          </w:tcPr>
          <w:p w14:paraId="51016C0E" w14:textId="77777777" w:rsidR="00A04148" w:rsidRPr="00D41BDC" w:rsidRDefault="00A04148" w:rsidP="00B2326F">
            <w:pPr>
              <w:spacing w:line="240" w:lineRule="auto"/>
              <w:jc w:val="right"/>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327,500 </w:t>
            </w:r>
          </w:p>
        </w:tc>
      </w:tr>
      <w:tr w:rsidR="00A04148" w:rsidRPr="00D41BDC" w14:paraId="096B4E23" w14:textId="77777777" w:rsidTr="00B2326F">
        <w:trPr>
          <w:trHeight w:val="70"/>
        </w:trPr>
        <w:tc>
          <w:tcPr>
            <w:tcW w:w="1610" w:type="dxa"/>
            <w:tcBorders>
              <w:top w:val="nil"/>
              <w:left w:val="single" w:sz="8" w:space="0" w:color="auto"/>
              <w:bottom w:val="single" w:sz="8" w:space="0" w:color="auto"/>
              <w:right w:val="single" w:sz="4" w:space="0" w:color="auto"/>
            </w:tcBorders>
            <w:shd w:val="clear" w:color="auto" w:fill="auto"/>
            <w:vAlign w:val="center"/>
            <w:hideMark/>
          </w:tcPr>
          <w:p w14:paraId="64C5705A"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SDG 17</w:t>
            </w:r>
          </w:p>
        </w:tc>
        <w:tc>
          <w:tcPr>
            <w:tcW w:w="1530" w:type="dxa"/>
            <w:tcBorders>
              <w:top w:val="nil"/>
              <w:left w:val="nil"/>
              <w:bottom w:val="single" w:sz="8" w:space="0" w:color="auto"/>
              <w:right w:val="single" w:sz="4" w:space="0" w:color="auto"/>
            </w:tcBorders>
            <w:shd w:val="clear" w:color="auto" w:fill="auto"/>
            <w:vAlign w:val="center"/>
            <w:hideMark/>
          </w:tcPr>
          <w:p w14:paraId="05740EC8"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17.3</w:t>
            </w:r>
          </w:p>
        </w:tc>
        <w:tc>
          <w:tcPr>
            <w:tcW w:w="6300" w:type="dxa"/>
            <w:tcBorders>
              <w:top w:val="nil"/>
              <w:left w:val="nil"/>
              <w:bottom w:val="single" w:sz="8" w:space="0" w:color="auto"/>
              <w:right w:val="single" w:sz="4" w:space="0" w:color="auto"/>
            </w:tcBorders>
            <w:shd w:val="clear" w:color="000000" w:fill="FFFFFF"/>
            <w:vAlign w:val="center"/>
            <w:hideMark/>
          </w:tcPr>
          <w:p w14:paraId="5067B937" w14:textId="77777777" w:rsidR="00A04148" w:rsidRPr="00D41BDC" w:rsidRDefault="00A04148" w:rsidP="00B2326F">
            <w:pPr>
              <w:spacing w:line="240" w:lineRule="auto"/>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17.3: Mobilize additional financial resources for developing countries from multiple sources</w:t>
            </w:r>
          </w:p>
        </w:tc>
        <w:tc>
          <w:tcPr>
            <w:tcW w:w="2520" w:type="dxa"/>
            <w:tcBorders>
              <w:top w:val="nil"/>
              <w:left w:val="nil"/>
              <w:bottom w:val="single" w:sz="4" w:space="0" w:color="auto"/>
              <w:right w:val="single" w:sz="4" w:space="0" w:color="auto"/>
            </w:tcBorders>
            <w:shd w:val="clear" w:color="000000" w:fill="FFFFFF"/>
            <w:vAlign w:val="center"/>
            <w:hideMark/>
          </w:tcPr>
          <w:p w14:paraId="3639536A" w14:textId="77777777" w:rsidR="00A04148" w:rsidRPr="00D41BDC" w:rsidRDefault="00A04148" w:rsidP="00B2326F">
            <w:pPr>
              <w:spacing w:line="240" w:lineRule="auto"/>
              <w:jc w:val="center"/>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6%</w:t>
            </w:r>
          </w:p>
        </w:tc>
        <w:tc>
          <w:tcPr>
            <w:tcW w:w="2420" w:type="dxa"/>
            <w:tcBorders>
              <w:top w:val="nil"/>
              <w:left w:val="nil"/>
              <w:bottom w:val="single" w:sz="4" w:space="0" w:color="auto"/>
              <w:right w:val="single" w:sz="8" w:space="0" w:color="auto"/>
            </w:tcBorders>
            <w:shd w:val="clear" w:color="000000" w:fill="FFFFFF"/>
            <w:vAlign w:val="center"/>
            <w:hideMark/>
          </w:tcPr>
          <w:p w14:paraId="5041DA94" w14:textId="77777777" w:rsidR="00A04148" w:rsidRPr="00D41BDC" w:rsidRDefault="00A04148" w:rsidP="00B2326F">
            <w:pPr>
              <w:spacing w:line="240" w:lineRule="auto"/>
              <w:jc w:val="right"/>
              <w:rPr>
                <w:rFonts w:ascii="Verdana" w:eastAsia="Times New Roman" w:hAnsi="Verdana" w:cs="Calibri"/>
                <w:color w:val="000000"/>
                <w:sz w:val="16"/>
                <w:szCs w:val="16"/>
                <w:lang w:eastAsia="ja-JP"/>
              </w:rPr>
            </w:pPr>
            <w:r w:rsidRPr="00D41BDC">
              <w:rPr>
                <w:rFonts w:ascii="Verdana" w:eastAsia="Times New Roman" w:hAnsi="Verdana" w:cs="Calibri"/>
                <w:color w:val="000000"/>
                <w:sz w:val="16"/>
                <w:szCs w:val="16"/>
                <w:lang w:eastAsia="ja-JP"/>
              </w:rPr>
              <w:t xml:space="preserve">112,000 </w:t>
            </w:r>
          </w:p>
        </w:tc>
      </w:tr>
      <w:tr w:rsidR="00A04148" w:rsidRPr="00D41BDC" w14:paraId="1615164B" w14:textId="77777777" w:rsidTr="00B2326F">
        <w:trPr>
          <w:trHeight w:val="300"/>
        </w:trPr>
        <w:tc>
          <w:tcPr>
            <w:tcW w:w="9440"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74A15D8B" w14:textId="77777777" w:rsidR="00A04148" w:rsidRPr="00D41BDC" w:rsidRDefault="00A04148" w:rsidP="00B2326F">
            <w:pPr>
              <w:spacing w:line="240" w:lineRule="auto"/>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TOTAL</w:t>
            </w:r>
          </w:p>
        </w:tc>
        <w:tc>
          <w:tcPr>
            <w:tcW w:w="2520" w:type="dxa"/>
            <w:tcBorders>
              <w:top w:val="single" w:sz="8" w:space="0" w:color="auto"/>
              <w:left w:val="nil"/>
              <w:bottom w:val="single" w:sz="8" w:space="0" w:color="auto"/>
              <w:right w:val="single" w:sz="4" w:space="0" w:color="auto"/>
            </w:tcBorders>
            <w:shd w:val="clear" w:color="000000" w:fill="FFFFFF"/>
            <w:vAlign w:val="center"/>
            <w:hideMark/>
          </w:tcPr>
          <w:p w14:paraId="6D8E8C9D" w14:textId="77777777" w:rsidR="00A04148" w:rsidRPr="00D41BDC" w:rsidRDefault="00A04148" w:rsidP="00B2326F">
            <w:pPr>
              <w:spacing w:line="240" w:lineRule="auto"/>
              <w:jc w:val="center"/>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100%</w:t>
            </w:r>
          </w:p>
        </w:tc>
        <w:tc>
          <w:tcPr>
            <w:tcW w:w="2420" w:type="dxa"/>
            <w:tcBorders>
              <w:top w:val="single" w:sz="8" w:space="0" w:color="auto"/>
              <w:left w:val="nil"/>
              <w:bottom w:val="single" w:sz="8" w:space="0" w:color="auto"/>
              <w:right w:val="single" w:sz="8" w:space="0" w:color="auto"/>
            </w:tcBorders>
            <w:shd w:val="clear" w:color="000000" w:fill="FFFFFF"/>
            <w:vAlign w:val="center"/>
            <w:hideMark/>
          </w:tcPr>
          <w:p w14:paraId="10B54B43" w14:textId="77777777" w:rsidR="00A04148" w:rsidRPr="00D41BDC" w:rsidRDefault="00A04148" w:rsidP="00B2326F">
            <w:pPr>
              <w:spacing w:line="240" w:lineRule="auto"/>
              <w:jc w:val="right"/>
              <w:rPr>
                <w:rFonts w:ascii="Verdana" w:eastAsia="Times New Roman" w:hAnsi="Verdana" w:cs="Calibri"/>
                <w:color w:val="000000"/>
                <w:sz w:val="18"/>
                <w:szCs w:val="18"/>
                <w:lang w:eastAsia="ja-JP"/>
              </w:rPr>
            </w:pPr>
            <w:r w:rsidRPr="00D41BDC">
              <w:rPr>
                <w:rFonts w:ascii="Verdana" w:eastAsia="Times New Roman" w:hAnsi="Verdana" w:cs="Calibri"/>
                <w:color w:val="000000"/>
                <w:sz w:val="18"/>
                <w:szCs w:val="18"/>
                <w:lang w:eastAsia="ja-JP"/>
              </w:rPr>
              <w:t xml:space="preserve">               2,014,573 </w:t>
            </w:r>
          </w:p>
        </w:tc>
      </w:tr>
    </w:tbl>
    <w:p w14:paraId="420503A1" w14:textId="77777777" w:rsidR="00A04148" w:rsidRPr="00D41BDC" w:rsidRDefault="00A04148" w:rsidP="00A04148">
      <w:pPr>
        <w:spacing w:line="240" w:lineRule="auto"/>
        <w:rPr>
          <w:rFonts w:ascii="Verdana" w:eastAsia="Times New Roman" w:hAnsi="Verdana" w:cs="Times New Roman"/>
          <w:b/>
          <w:bCs/>
          <w:color w:val="0070C0"/>
          <w:sz w:val="20"/>
          <w:u w:val="single"/>
          <w:lang w:eastAsia="en-GB"/>
        </w:rPr>
        <w:sectPr w:rsidR="00A04148" w:rsidRPr="00D41BDC" w:rsidSect="002E60A3">
          <w:pgSz w:w="15840" w:h="12240" w:orient="landscape"/>
          <w:pgMar w:top="720" w:right="720" w:bottom="720" w:left="720" w:header="720" w:footer="720" w:gutter="0"/>
          <w:cols w:space="720"/>
          <w:titlePg/>
          <w:docGrid w:linePitch="360"/>
        </w:sectPr>
      </w:pPr>
    </w:p>
    <w:p w14:paraId="47C32AF0" w14:textId="77777777" w:rsidR="00ED2383" w:rsidRDefault="00ED2383" w:rsidP="00A04148">
      <w:pPr>
        <w:spacing w:line="240" w:lineRule="auto"/>
        <w:rPr>
          <w:rFonts w:ascii="Verdana" w:eastAsia="Times New Roman" w:hAnsi="Verdana" w:cs="Times New Roman"/>
          <w:b/>
          <w:bCs/>
          <w:color w:val="0070C0"/>
          <w:sz w:val="20"/>
          <w:u w:val="single"/>
          <w:lang w:eastAsia="en-GB"/>
        </w:rPr>
      </w:pPr>
    </w:p>
    <w:p w14:paraId="5568FCCC" w14:textId="4E344EE3" w:rsidR="00A04148" w:rsidRPr="00D41BDC" w:rsidRDefault="00A04148" w:rsidP="00A04148">
      <w:pPr>
        <w:spacing w:line="240" w:lineRule="auto"/>
        <w:rPr>
          <w:rFonts w:ascii="Verdana" w:eastAsia="Times New Roman" w:hAnsi="Verdana" w:cs="Times New Roman"/>
          <w:color w:val="0070C0"/>
          <w:szCs w:val="24"/>
          <w:u w:val="single"/>
          <w:lang w:eastAsia="en-GB"/>
        </w:rPr>
      </w:pPr>
      <w:r w:rsidRPr="00D41BDC">
        <w:rPr>
          <w:rFonts w:ascii="Verdana" w:eastAsia="Times New Roman" w:hAnsi="Verdana" w:cs="Times New Roman"/>
          <w:b/>
          <w:bCs/>
          <w:color w:val="0070C0"/>
          <w:sz w:val="20"/>
          <w:u w:val="single"/>
          <w:lang w:eastAsia="en-GB"/>
        </w:rPr>
        <w:t>4.3 Work plan</w:t>
      </w:r>
    </w:p>
    <w:p w14:paraId="37B6F8A0" w14:textId="6DEC1A56" w:rsidR="00A04148" w:rsidRDefault="00A04148" w:rsidP="00A04148">
      <w:pPr>
        <w:spacing w:line="240" w:lineRule="auto"/>
        <w:rPr>
          <w:rFonts w:ascii="Verdana" w:eastAsia="Times New Roman" w:hAnsi="Verdana" w:cs="Times New Roman"/>
          <w:b/>
          <w:color w:val="0070C0"/>
          <w:sz w:val="20"/>
          <w:szCs w:val="20"/>
          <w:u w:val="single"/>
          <w:lang w:eastAsia="en-GB"/>
        </w:rPr>
      </w:pPr>
    </w:p>
    <w:p w14:paraId="15BB518D" w14:textId="77777777" w:rsidR="00ED2383" w:rsidRPr="00D41BDC" w:rsidRDefault="00ED2383" w:rsidP="00A04148">
      <w:pPr>
        <w:spacing w:line="240" w:lineRule="auto"/>
        <w:rPr>
          <w:rFonts w:ascii="Verdana" w:eastAsia="Times New Roman" w:hAnsi="Verdana" w:cs="Times New Roman"/>
          <w:b/>
          <w:color w:val="0070C0"/>
          <w:sz w:val="20"/>
          <w:szCs w:val="20"/>
          <w:u w:val="single"/>
          <w:lang w:eastAsia="en-GB"/>
        </w:rPr>
      </w:pPr>
    </w:p>
    <w:tbl>
      <w:tblPr>
        <w:tblW w:w="14370" w:type="dxa"/>
        <w:tblLayout w:type="fixed"/>
        <w:tblLook w:val="04A0" w:firstRow="1" w:lastRow="0" w:firstColumn="1" w:lastColumn="0" w:noHBand="0" w:noVBand="1"/>
      </w:tblPr>
      <w:tblGrid>
        <w:gridCol w:w="1174"/>
        <w:gridCol w:w="579"/>
        <w:gridCol w:w="578"/>
        <w:gridCol w:w="1714"/>
        <w:gridCol w:w="397"/>
        <w:gridCol w:w="397"/>
        <w:gridCol w:w="397"/>
        <w:gridCol w:w="398"/>
        <w:gridCol w:w="397"/>
        <w:gridCol w:w="397"/>
        <w:gridCol w:w="397"/>
        <w:gridCol w:w="398"/>
        <w:gridCol w:w="1542"/>
        <w:gridCol w:w="940"/>
        <w:gridCol w:w="1184"/>
        <w:gridCol w:w="940"/>
        <w:gridCol w:w="1254"/>
        <w:gridCol w:w="1287"/>
      </w:tblGrid>
      <w:tr w:rsidR="00A04148" w:rsidRPr="00D41BDC" w14:paraId="4B318809" w14:textId="77777777" w:rsidTr="00B2326F">
        <w:trPr>
          <w:trHeight w:val="655"/>
          <w:tblHeader/>
        </w:trPr>
        <w:tc>
          <w:tcPr>
            <w:tcW w:w="1174" w:type="dxa"/>
            <w:vMerge w:val="restart"/>
            <w:tcBorders>
              <w:top w:val="single" w:sz="12" w:space="0" w:color="auto"/>
              <w:left w:val="single" w:sz="12" w:space="0" w:color="auto"/>
              <w:bottom w:val="single" w:sz="4" w:space="0" w:color="auto"/>
              <w:right w:val="single" w:sz="4" w:space="0" w:color="auto"/>
            </w:tcBorders>
            <w:shd w:val="clear" w:color="000000" w:fill="0070C0"/>
            <w:vAlign w:val="center"/>
            <w:hideMark/>
          </w:tcPr>
          <w:p w14:paraId="016CD5CA"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Output</w:t>
            </w:r>
          </w:p>
        </w:tc>
        <w:tc>
          <w:tcPr>
            <w:tcW w:w="1157" w:type="dxa"/>
            <w:gridSpan w:val="2"/>
            <w:tcBorders>
              <w:top w:val="single" w:sz="12" w:space="0" w:color="auto"/>
              <w:left w:val="nil"/>
              <w:bottom w:val="single" w:sz="4" w:space="0" w:color="auto"/>
              <w:right w:val="single" w:sz="4" w:space="0" w:color="auto"/>
            </w:tcBorders>
            <w:shd w:val="clear" w:color="000000" w:fill="0070C0"/>
            <w:vAlign w:val="center"/>
            <w:hideMark/>
          </w:tcPr>
          <w:p w14:paraId="47525AAF"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Annual target/s</w:t>
            </w:r>
          </w:p>
        </w:tc>
        <w:tc>
          <w:tcPr>
            <w:tcW w:w="1714" w:type="dxa"/>
            <w:vMerge w:val="restart"/>
            <w:tcBorders>
              <w:top w:val="single" w:sz="12" w:space="0" w:color="auto"/>
              <w:left w:val="single" w:sz="4" w:space="0" w:color="auto"/>
              <w:bottom w:val="single" w:sz="12" w:space="0" w:color="000000"/>
              <w:right w:val="single" w:sz="4" w:space="0" w:color="auto"/>
            </w:tcBorders>
            <w:shd w:val="clear" w:color="000000" w:fill="0070C0"/>
            <w:vAlign w:val="center"/>
            <w:hideMark/>
          </w:tcPr>
          <w:p w14:paraId="3D6DBD2C"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List of activities</w:t>
            </w:r>
          </w:p>
        </w:tc>
        <w:tc>
          <w:tcPr>
            <w:tcW w:w="3178" w:type="dxa"/>
            <w:gridSpan w:val="8"/>
            <w:tcBorders>
              <w:top w:val="single" w:sz="12" w:space="0" w:color="auto"/>
              <w:left w:val="nil"/>
              <w:bottom w:val="single" w:sz="4" w:space="0" w:color="auto"/>
              <w:right w:val="single" w:sz="4" w:space="0" w:color="auto"/>
            </w:tcBorders>
            <w:shd w:val="clear" w:color="000000" w:fill="0070C0"/>
            <w:vAlign w:val="center"/>
            <w:hideMark/>
          </w:tcPr>
          <w:p w14:paraId="35FF1EDF"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Time frame</w:t>
            </w:r>
          </w:p>
        </w:tc>
        <w:tc>
          <w:tcPr>
            <w:tcW w:w="4606" w:type="dxa"/>
            <w:gridSpan w:val="4"/>
            <w:tcBorders>
              <w:top w:val="single" w:sz="12" w:space="0" w:color="auto"/>
              <w:left w:val="nil"/>
              <w:bottom w:val="single" w:sz="4" w:space="0" w:color="auto"/>
              <w:right w:val="single" w:sz="4" w:space="0" w:color="000000"/>
            </w:tcBorders>
            <w:shd w:val="clear" w:color="000000" w:fill="0070C0"/>
            <w:vAlign w:val="center"/>
            <w:hideMark/>
          </w:tcPr>
          <w:p w14:paraId="17501B58"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xml:space="preserve"> PLANNED BUDGET </w:t>
            </w:r>
          </w:p>
        </w:tc>
        <w:tc>
          <w:tcPr>
            <w:tcW w:w="1254" w:type="dxa"/>
            <w:vMerge w:val="restart"/>
            <w:tcBorders>
              <w:top w:val="single" w:sz="12" w:space="0" w:color="auto"/>
              <w:left w:val="single" w:sz="4" w:space="0" w:color="auto"/>
              <w:bottom w:val="single" w:sz="12" w:space="0" w:color="000000"/>
              <w:right w:val="single" w:sz="12" w:space="0" w:color="auto"/>
            </w:tcBorders>
            <w:shd w:val="clear" w:color="000000" w:fill="0070C0"/>
            <w:vAlign w:val="center"/>
            <w:hideMark/>
          </w:tcPr>
          <w:p w14:paraId="7735B9A2"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PUNO/s involved</w:t>
            </w:r>
          </w:p>
        </w:tc>
        <w:tc>
          <w:tcPr>
            <w:tcW w:w="1287" w:type="dxa"/>
            <w:vMerge w:val="restart"/>
            <w:tcBorders>
              <w:top w:val="single" w:sz="12" w:space="0" w:color="auto"/>
              <w:left w:val="single" w:sz="12" w:space="0" w:color="auto"/>
              <w:bottom w:val="single" w:sz="12" w:space="0" w:color="000000"/>
              <w:right w:val="single" w:sz="12" w:space="0" w:color="auto"/>
            </w:tcBorders>
            <w:shd w:val="clear" w:color="000000" w:fill="0070C0"/>
            <w:vAlign w:val="center"/>
            <w:hideMark/>
          </w:tcPr>
          <w:p w14:paraId="631F84AB"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Implementing partner/s involved</w:t>
            </w:r>
          </w:p>
        </w:tc>
      </w:tr>
      <w:tr w:rsidR="00A04148" w:rsidRPr="00D41BDC" w14:paraId="536649EC" w14:textId="77777777" w:rsidTr="00B2326F">
        <w:trPr>
          <w:trHeight w:val="805"/>
        </w:trPr>
        <w:tc>
          <w:tcPr>
            <w:tcW w:w="1174" w:type="dxa"/>
            <w:vMerge/>
            <w:tcBorders>
              <w:top w:val="single" w:sz="12" w:space="0" w:color="auto"/>
              <w:left w:val="single" w:sz="12" w:space="0" w:color="auto"/>
              <w:bottom w:val="single" w:sz="4" w:space="0" w:color="auto"/>
              <w:right w:val="single" w:sz="4" w:space="0" w:color="auto"/>
            </w:tcBorders>
            <w:vAlign w:val="center"/>
            <w:hideMark/>
          </w:tcPr>
          <w:p w14:paraId="463C9B09" w14:textId="77777777" w:rsidR="00A04148" w:rsidRPr="00D41BDC" w:rsidRDefault="00A04148" w:rsidP="00B2326F">
            <w:pPr>
              <w:spacing w:line="240" w:lineRule="auto"/>
              <w:rPr>
                <w:rFonts w:ascii="Verdana" w:eastAsia="Times New Roman" w:hAnsi="Verdana" w:cs="Calibri"/>
                <w:b/>
                <w:bCs/>
                <w:color w:val="FFFFFF"/>
                <w:sz w:val="14"/>
                <w:szCs w:val="14"/>
                <w:lang w:eastAsia="ja-JP"/>
              </w:rPr>
            </w:pPr>
          </w:p>
        </w:tc>
        <w:tc>
          <w:tcPr>
            <w:tcW w:w="579" w:type="dxa"/>
            <w:tcBorders>
              <w:top w:val="nil"/>
              <w:left w:val="nil"/>
              <w:bottom w:val="nil"/>
              <w:right w:val="single" w:sz="4" w:space="0" w:color="auto"/>
            </w:tcBorders>
            <w:shd w:val="clear" w:color="000000" w:fill="0070C0"/>
            <w:vAlign w:val="center"/>
            <w:hideMark/>
          </w:tcPr>
          <w:p w14:paraId="1E1472FA"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2020</w:t>
            </w:r>
          </w:p>
        </w:tc>
        <w:tc>
          <w:tcPr>
            <w:tcW w:w="578" w:type="dxa"/>
            <w:tcBorders>
              <w:top w:val="nil"/>
              <w:left w:val="nil"/>
              <w:bottom w:val="nil"/>
              <w:right w:val="single" w:sz="4" w:space="0" w:color="auto"/>
            </w:tcBorders>
            <w:shd w:val="clear" w:color="000000" w:fill="0070C0"/>
            <w:vAlign w:val="center"/>
            <w:hideMark/>
          </w:tcPr>
          <w:p w14:paraId="118B97F8"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2022</w:t>
            </w:r>
          </w:p>
        </w:tc>
        <w:tc>
          <w:tcPr>
            <w:tcW w:w="1714" w:type="dxa"/>
            <w:vMerge/>
            <w:tcBorders>
              <w:top w:val="single" w:sz="12" w:space="0" w:color="auto"/>
              <w:left w:val="single" w:sz="4" w:space="0" w:color="auto"/>
              <w:bottom w:val="single" w:sz="12" w:space="0" w:color="000000"/>
              <w:right w:val="single" w:sz="4" w:space="0" w:color="auto"/>
            </w:tcBorders>
            <w:vAlign w:val="center"/>
            <w:hideMark/>
          </w:tcPr>
          <w:p w14:paraId="3351D2F2" w14:textId="77777777" w:rsidR="00A04148" w:rsidRPr="00D41BDC" w:rsidRDefault="00A04148" w:rsidP="00B2326F">
            <w:pPr>
              <w:spacing w:line="240" w:lineRule="auto"/>
              <w:rPr>
                <w:rFonts w:ascii="Verdana" w:eastAsia="Times New Roman" w:hAnsi="Verdana" w:cs="Calibri"/>
                <w:b/>
                <w:bCs/>
                <w:color w:val="FFFFFF"/>
                <w:sz w:val="14"/>
                <w:szCs w:val="14"/>
                <w:lang w:eastAsia="ja-JP"/>
              </w:rPr>
            </w:pPr>
          </w:p>
        </w:tc>
        <w:tc>
          <w:tcPr>
            <w:tcW w:w="397" w:type="dxa"/>
            <w:tcBorders>
              <w:top w:val="nil"/>
              <w:left w:val="nil"/>
              <w:bottom w:val="single" w:sz="12" w:space="0" w:color="auto"/>
              <w:right w:val="single" w:sz="4" w:space="0" w:color="auto"/>
            </w:tcBorders>
            <w:shd w:val="clear" w:color="000000" w:fill="0070C0"/>
            <w:vAlign w:val="center"/>
            <w:hideMark/>
          </w:tcPr>
          <w:p w14:paraId="65165D30"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6-8</w:t>
            </w:r>
          </w:p>
        </w:tc>
        <w:tc>
          <w:tcPr>
            <w:tcW w:w="397" w:type="dxa"/>
            <w:tcBorders>
              <w:top w:val="nil"/>
              <w:left w:val="nil"/>
              <w:bottom w:val="single" w:sz="12" w:space="0" w:color="auto"/>
              <w:right w:val="single" w:sz="4" w:space="0" w:color="auto"/>
            </w:tcBorders>
            <w:shd w:val="clear" w:color="000000" w:fill="0070C0"/>
            <w:vAlign w:val="center"/>
            <w:hideMark/>
          </w:tcPr>
          <w:p w14:paraId="2601DB06"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9-11</w:t>
            </w:r>
          </w:p>
        </w:tc>
        <w:tc>
          <w:tcPr>
            <w:tcW w:w="397" w:type="dxa"/>
            <w:tcBorders>
              <w:top w:val="nil"/>
              <w:left w:val="nil"/>
              <w:bottom w:val="single" w:sz="12" w:space="0" w:color="auto"/>
              <w:right w:val="single" w:sz="4" w:space="0" w:color="auto"/>
            </w:tcBorders>
            <w:shd w:val="clear" w:color="000000" w:fill="0070C0"/>
            <w:vAlign w:val="center"/>
            <w:hideMark/>
          </w:tcPr>
          <w:p w14:paraId="303C2DD4"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12-2</w:t>
            </w:r>
          </w:p>
        </w:tc>
        <w:tc>
          <w:tcPr>
            <w:tcW w:w="398" w:type="dxa"/>
            <w:tcBorders>
              <w:top w:val="nil"/>
              <w:left w:val="nil"/>
              <w:bottom w:val="single" w:sz="12" w:space="0" w:color="auto"/>
              <w:right w:val="single" w:sz="4" w:space="0" w:color="auto"/>
            </w:tcBorders>
            <w:shd w:val="clear" w:color="000000" w:fill="0070C0"/>
            <w:vAlign w:val="center"/>
            <w:hideMark/>
          </w:tcPr>
          <w:p w14:paraId="0FB6DDC8"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3-5</w:t>
            </w:r>
          </w:p>
        </w:tc>
        <w:tc>
          <w:tcPr>
            <w:tcW w:w="397" w:type="dxa"/>
            <w:tcBorders>
              <w:top w:val="nil"/>
              <w:left w:val="nil"/>
              <w:bottom w:val="single" w:sz="12" w:space="0" w:color="auto"/>
              <w:right w:val="single" w:sz="4" w:space="0" w:color="auto"/>
            </w:tcBorders>
            <w:shd w:val="clear" w:color="000000" w:fill="0070C0"/>
            <w:vAlign w:val="center"/>
            <w:hideMark/>
          </w:tcPr>
          <w:p w14:paraId="75670B3C"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6-8</w:t>
            </w:r>
          </w:p>
        </w:tc>
        <w:tc>
          <w:tcPr>
            <w:tcW w:w="397" w:type="dxa"/>
            <w:tcBorders>
              <w:top w:val="nil"/>
              <w:left w:val="nil"/>
              <w:bottom w:val="single" w:sz="12" w:space="0" w:color="auto"/>
              <w:right w:val="single" w:sz="4" w:space="0" w:color="auto"/>
            </w:tcBorders>
            <w:shd w:val="clear" w:color="000000" w:fill="0070C0"/>
            <w:vAlign w:val="center"/>
            <w:hideMark/>
          </w:tcPr>
          <w:p w14:paraId="0D26E4E0"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9-11</w:t>
            </w:r>
          </w:p>
        </w:tc>
        <w:tc>
          <w:tcPr>
            <w:tcW w:w="397" w:type="dxa"/>
            <w:tcBorders>
              <w:top w:val="nil"/>
              <w:left w:val="nil"/>
              <w:bottom w:val="single" w:sz="12" w:space="0" w:color="auto"/>
              <w:right w:val="single" w:sz="4" w:space="0" w:color="auto"/>
            </w:tcBorders>
            <w:shd w:val="clear" w:color="000000" w:fill="0070C0"/>
            <w:vAlign w:val="center"/>
            <w:hideMark/>
          </w:tcPr>
          <w:p w14:paraId="28272464"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12-2</w:t>
            </w:r>
          </w:p>
        </w:tc>
        <w:tc>
          <w:tcPr>
            <w:tcW w:w="398" w:type="dxa"/>
            <w:tcBorders>
              <w:top w:val="nil"/>
              <w:left w:val="nil"/>
              <w:bottom w:val="single" w:sz="12" w:space="0" w:color="auto"/>
              <w:right w:val="single" w:sz="4" w:space="0" w:color="auto"/>
            </w:tcBorders>
            <w:shd w:val="clear" w:color="000000" w:fill="0070C0"/>
            <w:vAlign w:val="center"/>
            <w:hideMark/>
          </w:tcPr>
          <w:p w14:paraId="00ABE0F5"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3-5</w:t>
            </w:r>
          </w:p>
        </w:tc>
        <w:tc>
          <w:tcPr>
            <w:tcW w:w="1542" w:type="dxa"/>
            <w:tcBorders>
              <w:top w:val="nil"/>
              <w:left w:val="nil"/>
              <w:bottom w:val="single" w:sz="12" w:space="0" w:color="auto"/>
              <w:right w:val="single" w:sz="4" w:space="0" w:color="auto"/>
            </w:tcBorders>
            <w:shd w:val="clear" w:color="000000" w:fill="0070C0"/>
            <w:vAlign w:val="center"/>
            <w:hideMark/>
          </w:tcPr>
          <w:p w14:paraId="5CE1B533"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xml:space="preserve"> Overall budget description </w:t>
            </w:r>
          </w:p>
        </w:tc>
        <w:tc>
          <w:tcPr>
            <w:tcW w:w="940" w:type="dxa"/>
            <w:tcBorders>
              <w:top w:val="nil"/>
              <w:left w:val="nil"/>
              <w:bottom w:val="single" w:sz="12" w:space="0" w:color="auto"/>
              <w:right w:val="single" w:sz="4" w:space="0" w:color="auto"/>
            </w:tcBorders>
            <w:shd w:val="clear" w:color="000000" w:fill="0070C0"/>
            <w:vAlign w:val="center"/>
            <w:hideMark/>
          </w:tcPr>
          <w:p w14:paraId="59F14715"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xml:space="preserve"> Joint SDG Fund (USD) </w:t>
            </w:r>
          </w:p>
        </w:tc>
        <w:tc>
          <w:tcPr>
            <w:tcW w:w="1184" w:type="dxa"/>
            <w:tcBorders>
              <w:top w:val="nil"/>
              <w:left w:val="nil"/>
              <w:bottom w:val="single" w:sz="12" w:space="0" w:color="auto"/>
              <w:right w:val="single" w:sz="4" w:space="0" w:color="auto"/>
            </w:tcBorders>
            <w:shd w:val="clear" w:color="000000" w:fill="0070C0"/>
            <w:vAlign w:val="center"/>
            <w:hideMark/>
          </w:tcPr>
          <w:p w14:paraId="1840E8F7"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xml:space="preserve"> PUNO Contributions (USD) </w:t>
            </w:r>
          </w:p>
        </w:tc>
        <w:tc>
          <w:tcPr>
            <w:tcW w:w="940" w:type="dxa"/>
            <w:tcBorders>
              <w:top w:val="nil"/>
              <w:left w:val="nil"/>
              <w:bottom w:val="single" w:sz="12" w:space="0" w:color="auto"/>
              <w:right w:val="single" w:sz="4" w:space="0" w:color="auto"/>
            </w:tcBorders>
            <w:shd w:val="clear" w:color="000000" w:fill="0070C0"/>
            <w:vAlign w:val="center"/>
            <w:hideMark/>
          </w:tcPr>
          <w:p w14:paraId="0D361AA2"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xml:space="preserve"> Total Cost (USD) </w:t>
            </w:r>
          </w:p>
        </w:tc>
        <w:tc>
          <w:tcPr>
            <w:tcW w:w="1254" w:type="dxa"/>
            <w:vMerge/>
            <w:tcBorders>
              <w:top w:val="single" w:sz="12" w:space="0" w:color="auto"/>
              <w:left w:val="single" w:sz="4" w:space="0" w:color="auto"/>
              <w:bottom w:val="single" w:sz="12" w:space="0" w:color="000000"/>
              <w:right w:val="single" w:sz="12" w:space="0" w:color="auto"/>
            </w:tcBorders>
            <w:vAlign w:val="center"/>
            <w:hideMark/>
          </w:tcPr>
          <w:p w14:paraId="6FA87697" w14:textId="77777777" w:rsidR="00A04148" w:rsidRPr="00D41BDC" w:rsidRDefault="00A04148" w:rsidP="00B2326F">
            <w:pPr>
              <w:spacing w:line="240" w:lineRule="auto"/>
              <w:rPr>
                <w:rFonts w:ascii="Verdana" w:eastAsia="Times New Roman" w:hAnsi="Verdana" w:cs="Calibri"/>
                <w:b/>
                <w:bCs/>
                <w:color w:val="FFFFFF"/>
                <w:sz w:val="14"/>
                <w:szCs w:val="14"/>
                <w:lang w:eastAsia="ja-JP"/>
              </w:rPr>
            </w:pPr>
          </w:p>
        </w:tc>
        <w:tc>
          <w:tcPr>
            <w:tcW w:w="1287" w:type="dxa"/>
            <w:vMerge/>
            <w:tcBorders>
              <w:top w:val="single" w:sz="12" w:space="0" w:color="auto"/>
              <w:left w:val="single" w:sz="12" w:space="0" w:color="auto"/>
              <w:bottom w:val="single" w:sz="12" w:space="0" w:color="000000"/>
              <w:right w:val="single" w:sz="12" w:space="0" w:color="auto"/>
            </w:tcBorders>
            <w:vAlign w:val="center"/>
            <w:hideMark/>
          </w:tcPr>
          <w:p w14:paraId="2CDA7279" w14:textId="77777777" w:rsidR="00A04148" w:rsidRPr="00D41BDC" w:rsidRDefault="00A04148" w:rsidP="00B2326F">
            <w:pPr>
              <w:spacing w:line="240" w:lineRule="auto"/>
              <w:rPr>
                <w:rFonts w:ascii="Verdana" w:eastAsia="Times New Roman" w:hAnsi="Verdana" w:cs="Calibri"/>
                <w:b/>
                <w:bCs/>
                <w:color w:val="FFFFFF"/>
                <w:sz w:val="14"/>
                <w:szCs w:val="14"/>
                <w:lang w:eastAsia="ja-JP"/>
              </w:rPr>
            </w:pPr>
          </w:p>
        </w:tc>
      </w:tr>
      <w:tr w:rsidR="00A04148" w:rsidRPr="00D41BDC" w14:paraId="2E6A727D" w14:textId="77777777" w:rsidTr="00B2326F">
        <w:trPr>
          <w:trHeight w:val="260"/>
        </w:trPr>
        <w:tc>
          <w:tcPr>
            <w:tcW w:w="1174" w:type="dxa"/>
            <w:vMerge w:val="restart"/>
            <w:tcBorders>
              <w:top w:val="single" w:sz="12" w:space="0" w:color="auto"/>
              <w:left w:val="single" w:sz="12" w:space="0" w:color="auto"/>
              <w:bottom w:val="single" w:sz="12" w:space="0" w:color="000000"/>
              <w:right w:val="single" w:sz="12" w:space="0" w:color="auto"/>
            </w:tcBorders>
            <w:shd w:val="clear" w:color="000000" w:fill="FFFFFF"/>
            <w:vAlign w:val="center"/>
            <w:hideMark/>
          </w:tcPr>
          <w:p w14:paraId="162EC4E5"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Output 1: 15% revenue mobilization increase in Central Equatoria, Western Equatoria and Northern Bahr el Ghazal states by 2022</w:t>
            </w:r>
          </w:p>
        </w:tc>
        <w:tc>
          <w:tcPr>
            <w:tcW w:w="579"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1B4436B9"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7%</w:t>
            </w:r>
          </w:p>
        </w:tc>
        <w:tc>
          <w:tcPr>
            <w:tcW w:w="578"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22F40D28"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15%</w:t>
            </w:r>
          </w:p>
        </w:tc>
        <w:tc>
          <w:tcPr>
            <w:tcW w:w="1714" w:type="dxa"/>
            <w:tcBorders>
              <w:top w:val="nil"/>
              <w:left w:val="nil"/>
              <w:bottom w:val="single" w:sz="4" w:space="0" w:color="auto"/>
              <w:right w:val="single" w:sz="12" w:space="0" w:color="auto"/>
            </w:tcBorders>
            <w:shd w:val="clear" w:color="auto" w:fill="auto"/>
            <w:vAlign w:val="center"/>
            <w:hideMark/>
          </w:tcPr>
          <w:p w14:paraId="07A988FB" w14:textId="77777777" w:rsidR="00A04148" w:rsidRPr="00D41BDC" w:rsidRDefault="00A04148" w:rsidP="00B2326F">
            <w:pPr>
              <w:spacing w:line="240" w:lineRule="auto"/>
              <w:jc w:val="both"/>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1.1 Enhance systems and procedures for PFM reporting by developing and distributing guidelines and templates</w:t>
            </w:r>
          </w:p>
        </w:tc>
        <w:tc>
          <w:tcPr>
            <w:tcW w:w="397" w:type="dxa"/>
            <w:tcBorders>
              <w:top w:val="nil"/>
              <w:left w:val="nil"/>
              <w:bottom w:val="single" w:sz="4" w:space="0" w:color="auto"/>
              <w:right w:val="single" w:sz="4" w:space="0" w:color="auto"/>
            </w:tcBorders>
            <w:shd w:val="clear" w:color="000000" w:fill="92D050"/>
            <w:vAlign w:val="center"/>
            <w:hideMark/>
          </w:tcPr>
          <w:p w14:paraId="0DF8C9A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92D050"/>
            <w:vAlign w:val="center"/>
            <w:hideMark/>
          </w:tcPr>
          <w:p w14:paraId="1C5D7FB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92D050"/>
            <w:vAlign w:val="center"/>
            <w:hideMark/>
          </w:tcPr>
          <w:p w14:paraId="49F933B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nil"/>
            </w:tcBorders>
            <w:shd w:val="clear" w:color="000000" w:fill="92D050"/>
            <w:vAlign w:val="center"/>
            <w:hideMark/>
          </w:tcPr>
          <w:p w14:paraId="7842FCE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single" w:sz="12" w:space="0" w:color="auto"/>
              <w:bottom w:val="single" w:sz="4" w:space="0" w:color="auto"/>
              <w:right w:val="single" w:sz="4" w:space="0" w:color="auto"/>
            </w:tcBorders>
            <w:shd w:val="clear" w:color="000000" w:fill="92D050"/>
            <w:vAlign w:val="center"/>
            <w:hideMark/>
          </w:tcPr>
          <w:p w14:paraId="3CEE086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92D050"/>
            <w:vAlign w:val="center"/>
            <w:hideMark/>
          </w:tcPr>
          <w:p w14:paraId="12C6596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92D050"/>
            <w:vAlign w:val="center"/>
            <w:hideMark/>
          </w:tcPr>
          <w:p w14:paraId="5E5F838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single" w:sz="12" w:space="0" w:color="auto"/>
            </w:tcBorders>
            <w:shd w:val="clear" w:color="000000" w:fill="92D050"/>
            <w:vAlign w:val="center"/>
            <w:hideMark/>
          </w:tcPr>
          <w:p w14:paraId="1146A39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auto" w:fill="auto"/>
            <w:vAlign w:val="center"/>
            <w:hideMark/>
          </w:tcPr>
          <w:p w14:paraId="5DFEE338"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2. Supplies, Commodities, Materials </w:t>
            </w:r>
          </w:p>
        </w:tc>
        <w:tc>
          <w:tcPr>
            <w:tcW w:w="940" w:type="dxa"/>
            <w:tcBorders>
              <w:top w:val="nil"/>
              <w:left w:val="nil"/>
              <w:bottom w:val="single" w:sz="4" w:space="0" w:color="auto"/>
              <w:right w:val="single" w:sz="4" w:space="0" w:color="auto"/>
            </w:tcBorders>
            <w:shd w:val="clear" w:color="auto" w:fill="auto"/>
            <w:vAlign w:val="center"/>
            <w:hideMark/>
          </w:tcPr>
          <w:p w14:paraId="165FD5DB"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30,000 </w:t>
            </w:r>
          </w:p>
        </w:tc>
        <w:tc>
          <w:tcPr>
            <w:tcW w:w="1184" w:type="dxa"/>
            <w:tcBorders>
              <w:top w:val="nil"/>
              <w:left w:val="nil"/>
              <w:bottom w:val="single" w:sz="4" w:space="0" w:color="auto"/>
              <w:right w:val="single" w:sz="4" w:space="0" w:color="auto"/>
            </w:tcBorders>
            <w:shd w:val="clear" w:color="auto" w:fill="auto"/>
            <w:vAlign w:val="center"/>
            <w:hideMark/>
          </w:tcPr>
          <w:p w14:paraId="759BE55B"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20,000 </w:t>
            </w:r>
          </w:p>
        </w:tc>
        <w:tc>
          <w:tcPr>
            <w:tcW w:w="940" w:type="dxa"/>
            <w:tcBorders>
              <w:top w:val="nil"/>
              <w:left w:val="nil"/>
              <w:bottom w:val="nil"/>
              <w:right w:val="single" w:sz="4" w:space="0" w:color="auto"/>
            </w:tcBorders>
            <w:shd w:val="clear" w:color="auto" w:fill="auto"/>
            <w:vAlign w:val="center"/>
            <w:hideMark/>
          </w:tcPr>
          <w:p w14:paraId="78BADA1A"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50,000 </w:t>
            </w:r>
          </w:p>
        </w:tc>
        <w:tc>
          <w:tcPr>
            <w:tcW w:w="1254" w:type="dxa"/>
            <w:tcBorders>
              <w:top w:val="nil"/>
              <w:left w:val="nil"/>
              <w:bottom w:val="single" w:sz="4" w:space="0" w:color="auto"/>
              <w:right w:val="single" w:sz="12" w:space="0" w:color="auto"/>
            </w:tcBorders>
            <w:shd w:val="clear" w:color="auto" w:fill="auto"/>
            <w:vAlign w:val="center"/>
            <w:hideMark/>
          </w:tcPr>
          <w:p w14:paraId="334E160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tcBorders>
              <w:top w:val="nil"/>
              <w:left w:val="single" w:sz="12" w:space="0" w:color="auto"/>
              <w:bottom w:val="single" w:sz="4" w:space="0" w:color="auto"/>
              <w:right w:val="single" w:sz="12" w:space="0" w:color="auto"/>
            </w:tcBorders>
            <w:shd w:val="clear" w:color="000000" w:fill="FFFFFF"/>
            <w:vAlign w:val="center"/>
            <w:hideMark/>
          </w:tcPr>
          <w:p w14:paraId="55AECFE5"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SRA, NRA, State MoFP, MoFP</w:t>
            </w:r>
          </w:p>
        </w:tc>
      </w:tr>
      <w:tr w:rsidR="00A04148" w:rsidRPr="00D41BDC" w14:paraId="6CB9DCC3" w14:textId="77777777" w:rsidTr="00B2326F">
        <w:trPr>
          <w:trHeight w:val="430"/>
        </w:trPr>
        <w:tc>
          <w:tcPr>
            <w:tcW w:w="1174" w:type="dxa"/>
            <w:vMerge/>
            <w:tcBorders>
              <w:top w:val="single" w:sz="12" w:space="0" w:color="auto"/>
              <w:left w:val="single" w:sz="12" w:space="0" w:color="auto"/>
              <w:bottom w:val="single" w:sz="12" w:space="0" w:color="000000"/>
              <w:right w:val="single" w:sz="12" w:space="0" w:color="auto"/>
            </w:tcBorders>
            <w:vAlign w:val="center"/>
            <w:hideMark/>
          </w:tcPr>
          <w:p w14:paraId="44B6E746"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single" w:sz="12" w:space="0" w:color="auto"/>
              <w:left w:val="single" w:sz="12" w:space="0" w:color="auto"/>
              <w:bottom w:val="single" w:sz="12" w:space="0" w:color="000000"/>
              <w:right w:val="single" w:sz="12" w:space="0" w:color="auto"/>
            </w:tcBorders>
            <w:vAlign w:val="center"/>
            <w:hideMark/>
          </w:tcPr>
          <w:p w14:paraId="37D3354F"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single" w:sz="12" w:space="0" w:color="auto"/>
              <w:left w:val="single" w:sz="12" w:space="0" w:color="auto"/>
              <w:bottom w:val="single" w:sz="12" w:space="0" w:color="000000"/>
              <w:right w:val="single" w:sz="12" w:space="0" w:color="auto"/>
            </w:tcBorders>
            <w:vAlign w:val="center"/>
            <w:hideMark/>
          </w:tcPr>
          <w:p w14:paraId="3CB0D91D"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val="restart"/>
            <w:tcBorders>
              <w:top w:val="nil"/>
              <w:left w:val="single" w:sz="12" w:space="0" w:color="auto"/>
              <w:bottom w:val="nil"/>
              <w:right w:val="single" w:sz="12" w:space="0" w:color="auto"/>
            </w:tcBorders>
            <w:shd w:val="clear" w:color="auto" w:fill="auto"/>
            <w:vAlign w:val="center"/>
            <w:hideMark/>
          </w:tcPr>
          <w:p w14:paraId="6785F6F6"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1.2 Install IT equipment to the SRAs</w:t>
            </w:r>
          </w:p>
        </w:tc>
        <w:tc>
          <w:tcPr>
            <w:tcW w:w="397" w:type="dxa"/>
            <w:vMerge w:val="restart"/>
            <w:tcBorders>
              <w:top w:val="nil"/>
              <w:left w:val="single" w:sz="12" w:space="0" w:color="auto"/>
              <w:bottom w:val="single" w:sz="4" w:space="0" w:color="000000"/>
              <w:right w:val="single" w:sz="4" w:space="0" w:color="auto"/>
            </w:tcBorders>
            <w:shd w:val="clear" w:color="000000" w:fill="92D050"/>
            <w:vAlign w:val="center"/>
            <w:hideMark/>
          </w:tcPr>
          <w:p w14:paraId="19603BD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E5A13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65C41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021FB64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15A00C5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075EC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CC912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7BE84A5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auto" w:fill="auto"/>
            <w:vAlign w:val="center"/>
            <w:hideMark/>
          </w:tcPr>
          <w:p w14:paraId="1979FEDF"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4. Contractual services</w:t>
            </w:r>
          </w:p>
        </w:tc>
        <w:tc>
          <w:tcPr>
            <w:tcW w:w="940" w:type="dxa"/>
            <w:tcBorders>
              <w:top w:val="nil"/>
              <w:left w:val="nil"/>
              <w:bottom w:val="single" w:sz="4" w:space="0" w:color="auto"/>
              <w:right w:val="single" w:sz="4" w:space="0" w:color="auto"/>
            </w:tcBorders>
            <w:shd w:val="clear" w:color="auto" w:fill="auto"/>
            <w:vAlign w:val="center"/>
            <w:hideMark/>
          </w:tcPr>
          <w:p w14:paraId="78337B43"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184" w:type="dxa"/>
            <w:tcBorders>
              <w:top w:val="nil"/>
              <w:left w:val="nil"/>
              <w:bottom w:val="nil"/>
              <w:right w:val="single" w:sz="4" w:space="0" w:color="auto"/>
            </w:tcBorders>
            <w:shd w:val="clear" w:color="auto" w:fill="auto"/>
            <w:noWrap/>
            <w:vAlign w:val="center"/>
            <w:hideMark/>
          </w:tcPr>
          <w:p w14:paraId="6A0CB9C4"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90,000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53F7AEF"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90,000 </w:t>
            </w:r>
          </w:p>
        </w:tc>
        <w:tc>
          <w:tcPr>
            <w:tcW w:w="1254" w:type="dxa"/>
            <w:tcBorders>
              <w:top w:val="nil"/>
              <w:left w:val="nil"/>
              <w:bottom w:val="single" w:sz="4" w:space="0" w:color="auto"/>
              <w:right w:val="single" w:sz="12" w:space="0" w:color="auto"/>
            </w:tcBorders>
            <w:shd w:val="clear" w:color="auto" w:fill="auto"/>
            <w:vAlign w:val="center"/>
            <w:hideMark/>
          </w:tcPr>
          <w:p w14:paraId="6F5BD76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vMerge w:val="restart"/>
            <w:tcBorders>
              <w:top w:val="nil"/>
              <w:left w:val="single" w:sz="12" w:space="0" w:color="auto"/>
              <w:bottom w:val="single" w:sz="4" w:space="0" w:color="auto"/>
              <w:right w:val="single" w:sz="12" w:space="0" w:color="auto"/>
            </w:tcBorders>
            <w:shd w:val="clear" w:color="000000" w:fill="FFFFFF"/>
            <w:vAlign w:val="center"/>
            <w:hideMark/>
          </w:tcPr>
          <w:p w14:paraId="316437B5"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SRA</w:t>
            </w:r>
          </w:p>
        </w:tc>
      </w:tr>
      <w:tr w:rsidR="00A04148" w:rsidRPr="00D41BDC" w14:paraId="7AFA1F9E" w14:textId="77777777" w:rsidTr="00B2326F">
        <w:trPr>
          <w:trHeight w:val="400"/>
        </w:trPr>
        <w:tc>
          <w:tcPr>
            <w:tcW w:w="1174" w:type="dxa"/>
            <w:vMerge/>
            <w:tcBorders>
              <w:top w:val="single" w:sz="12" w:space="0" w:color="auto"/>
              <w:left w:val="single" w:sz="12" w:space="0" w:color="auto"/>
              <w:bottom w:val="single" w:sz="12" w:space="0" w:color="000000"/>
              <w:right w:val="single" w:sz="12" w:space="0" w:color="auto"/>
            </w:tcBorders>
            <w:vAlign w:val="center"/>
            <w:hideMark/>
          </w:tcPr>
          <w:p w14:paraId="3157260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single" w:sz="12" w:space="0" w:color="auto"/>
              <w:left w:val="single" w:sz="12" w:space="0" w:color="auto"/>
              <w:bottom w:val="single" w:sz="12" w:space="0" w:color="000000"/>
              <w:right w:val="single" w:sz="12" w:space="0" w:color="auto"/>
            </w:tcBorders>
            <w:vAlign w:val="center"/>
            <w:hideMark/>
          </w:tcPr>
          <w:p w14:paraId="775A46FC"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single" w:sz="12" w:space="0" w:color="auto"/>
              <w:left w:val="single" w:sz="12" w:space="0" w:color="auto"/>
              <w:bottom w:val="single" w:sz="12" w:space="0" w:color="000000"/>
              <w:right w:val="single" w:sz="12" w:space="0" w:color="auto"/>
            </w:tcBorders>
            <w:vAlign w:val="center"/>
            <w:hideMark/>
          </w:tcPr>
          <w:p w14:paraId="5D622216"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nil"/>
              <w:right w:val="single" w:sz="12" w:space="0" w:color="auto"/>
            </w:tcBorders>
            <w:vAlign w:val="center"/>
            <w:hideMark/>
          </w:tcPr>
          <w:p w14:paraId="18C29F9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7D71A93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0C758DC2"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14CBF8D0"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7014F2EA"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6EB7F36A"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220225D1"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4771839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68D2085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5C965B80"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3. Equipment, Vehicles, and Furniture (including Depreciation) </w:t>
            </w:r>
          </w:p>
        </w:tc>
        <w:tc>
          <w:tcPr>
            <w:tcW w:w="940" w:type="dxa"/>
            <w:tcBorders>
              <w:top w:val="nil"/>
              <w:left w:val="nil"/>
              <w:bottom w:val="single" w:sz="4" w:space="0" w:color="auto"/>
              <w:right w:val="single" w:sz="4" w:space="0" w:color="auto"/>
            </w:tcBorders>
            <w:shd w:val="clear" w:color="auto" w:fill="auto"/>
            <w:vAlign w:val="center"/>
            <w:hideMark/>
          </w:tcPr>
          <w:p w14:paraId="0F41274D"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518D7ABB"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335,000 </w:t>
            </w:r>
          </w:p>
        </w:tc>
        <w:tc>
          <w:tcPr>
            <w:tcW w:w="940" w:type="dxa"/>
            <w:tcBorders>
              <w:top w:val="nil"/>
              <w:left w:val="nil"/>
              <w:bottom w:val="single" w:sz="4" w:space="0" w:color="auto"/>
              <w:right w:val="single" w:sz="4" w:space="0" w:color="auto"/>
            </w:tcBorders>
            <w:shd w:val="clear" w:color="auto" w:fill="auto"/>
            <w:noWrap/>
            <w:vAlign w:val="center"/>
            <w:hideMark/>
          </w:tcPr>
          <w:p w14:paraId="3BAA35E5"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335,000 </w:t>
            </w:r>
          </w:p>
        </w:tc>
        <w:tc>
          <w:tcPr>
            <w:tcW w:w="1254" w:type="dxa"/>
            <w:tcBorders>
              <w:top w:val="nil"/>
              <w:left w:val="nil"/>
              <w:bottom w:val="single" w:sz="4" w:space="0" w:color="auto"/>
              <w:right w:val="single" w:sz="12" w:space="0" w:color="auto"/>
            </w:tcBorders>
            <w:shd w:val="clear" w:color="auto" w:fill="auto"/>
            <w:vAlign w:val="center"/>
            <w:hideMark/>
          </w:tcPr>
          <w:p w14:paraId="0BE2637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vMerge/>
            <w:tcBorders>
              <w:top w:val="nil"/>
              <w:left w:val="single" w:sz="12" w:space="0" w:color="auto"/>
              <w:bottom w:val="single" w:sz="4" w:space="0" w:color="auto"/>
              <w:right w:val="single" w:sz="12" w:space="0" w:color="auto"/>
            </w:tcBorders>
            <w:vAlign w:val="center"/>
            <w:hideMark/>
          </w:tcPr>
          <w:p w14:paraId="070F8F53"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r>
      <w:tr w:rsidR="00A04148" w:rsidRPr="00D41BDC" w14:paraId="3F137AE4" w14:textId="77777777" w:rsidTr="00B2326F">
        <w:trPr>
          <w:trHeight w:val="295"/>
        </w:trPr>
        <w:tc>
          <w:tcPr>
            <w:tcW w:w="1174" w:type="dxa"/>
            <w:vMerge/>
            <w:tcBorders>
              <w:top w:val="single" w:sz="12" w:space="0" w:color="auto"/>
              <w:left w:val="single" w:sz="12" w:space="0" w:color="auto"/>
              <w:bottom w:val="single" w:sz="12" w:space="0" w:color="000000"/>
              <w:right w:val="single" w:sz="12" w:space="0" w:color="auto"/>
            </w:tcBorders>
            <w:vAlign w:val="center"/>
            <w:hideMark/>
          </w:tcPr>
          <w:p w14:paraId="689BE0A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single" w:sz="12" w:space="0" w:color="auto"/>
              <w:left w:val="single" w:sz="12" w:space="0" w:color="auto"/>
              <w:bottom w:val="single" w:sz="12" w:space="0" w:color="000000"/>
              <w:right w:val="single" w:sz="12" w:space="0" w:color="auto"/>
            </w:tcBorders>
            <w:vAlign w:val="center"/>
            <w:hideMark/>
          </w:tcPr>
          <w:p w14:paraId="3F05D150"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single" w:sz="12" w:space="0" w:color="auto"/>
              <w:left w:val="single" w:sz="12" w:space="0" w:color="auto"/>
              <w:bottom w:val="single" w:sz="12" w:space="0" w:color="000000"/>
              <w:right w:val="single" w:sz="12" w:space="0" w:color="auto"/>
            </w:tcBorders>
            <w:vAlign w:val="center"/>
            <w:hideMark/>
          </w:tcPr>
          <w:p w14:paraId="5D3BCCD1"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val="restart"/>
            <w:tcBorders>
              <w:top w:val="single" w:sz="4" w:space="0" w:color="auto"/>
              <w:left w:val="single" w:sz="12" w:space="0" w:color="auto"/>
              <w:bottom w:val="single" w:sz="4" w:space="0" w:color="000000"/>
              <w:right w:val="single" w:sz="12" w:space="0" w:color="auto"/>
            </w:tcBorders>
            <w:shd w:val="clear" w:color="auto" w:fill="auto"/>
            <w:vAlign w:val="center"/>
            <w:hideMark/>
          </w:tcPr>
          <w:p w14:paraId="5A2D5733"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1.3 Facilitate adoption of SRA act</w:t>
            </w:r>
          </w:p>
        </w:tc>
        <w:tc>
          <w:tcPr>
            <w:tcW w:w="397" w:type="dxa"/>
            <w:vMerge w:val="restart"/>
            <w:tcBorders>
              <w:top w:val="nil"/>
              <w:left w:val="single" w:sz="12" w:space="0" w:color="auto"/>
              <w:bottom w:val="single" w:sz="4" w:space="0" w:color="000000"/>
              <w:right w:val="single" w:sz="4" w:space="0" w:color="auto"/>
            </w:tcBorders>
            <w:shd w:val="clear" w:color="000000" w:fill="92D050"/>
            <w:vAlign w:val="center"/>
            <w:hideMark/>
          </w:tcPr>
          <w:p w14:paraId="1877213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42CF3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154C3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07190FB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677D2C4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17CA1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B01C88"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2643813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auto" w:fill="auto"/>
            <w:vAlign w:val="center"/>
            <w:hideMark/>
          </w:tcPr>
          <w:p w14:paraId="06C220B0"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2. Supplies, Commodities, Materials </w:t>
            </w:r>
          </w:p>
        </w:tc>
        <w:tc>
          <w:tcPr>
            <w:tcW w:w="940" w:type="dxa"/>
            <w:tcBorders>
              <w:top w:val="nil"/>
              <w:left w:val="nil"/>
              <w:bottom w:val="single" w:sz="4" w:space="0" w:color="auto"/>
              <w:right w:val="single" w:sz="4" w:space="0" w:color="auto"/>
            </w:tcBorders>
            <w:shd w:val="clear" w:color="auto" w:fill="auto"/>
            <w:vAlign w:val="center"/>
            <w:hideMark/>
          </w:tcPr>
          <w:p w14:paraId="606CA866"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10,000 </w:t>
            </w:r>
          </w:p>
        </w:tc>
        <w:tc>
          <w:tcPr>
            <w:tcW w:w="1184" w:type="dxa"/>
            <w:tcBorders>
              <w:top w:val="nil"/>
              <w:left w:val="nil"/>
              <w:bottom w:val="single" w:sz="4" w:space="0" w:color="auto"/>
              <w:right w:val="single" w:sz="4" w:space="0" w:color="auto"/>
            </w:tcBorders>
            <w:shd w:val="clear" w:color="auto" w:fill="auto"/>
            <w:vAlign w:val="center"/>
            <w:hideMark/>
          </w:tcPr>
          <w:p w14:paraId="43852E31"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6749DF2C"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10,000 </w:t>
            </w:r>
          </w:p>
        </w:tc>
        <w:tc>
          <w:tcPr>
            <w:tcW w:w="1254" w:type="dxa"/>
            <w:tcBorders>
              <w:top w:val="nil"/>
              <w:left w:val="nil"/>
              <w:bottom w:val="single" w:sz="4" w:space="0" w:color="auto"/>
              <w:right w:val="single" w:sz="12" w:space="0" w:color="auto"/>
            </w:tcBorders>
            <w:shd w:val="clear" w:color="auto" w:fill="auto"/>
            <w:vAlign w:val="center"/>
            <w:hideMark/>
          </w:tcPr>
          <w:p w14:paraId="18037ED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vMerge w:val="restart"/>
            <w:tcBorders>
              <w:top w:val="nil"/>
              <w:left w:val="single" w:sz="12" w:space="0" w:color="auto"/>
              <w:bottom w:val="single" w:sz="4" w:space="0" w:color="000000"/>
              <w:right w:val="single" w:sz="12" w:space="0" w:color="auto"/>
            </w:tcBorders>
            <w:shd w:val="clear" w:color="000000" w:fill="FFFFFF"/>
            <w:vAlign w:val="center"/>
            <w:hideMark/>
          </w:tcPr>
          <w:p w14:paraId="5926C2F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SLA</w:t>
            </w:r>
          </w:p>
        </w:tc>
      </w:tr>
      <w:tr w:rsidR="00A04148" w:rsidRPr="00D41BDC" w14:paraId="35BD1487" w14:textId="77777777" w:rsidTr="00B2326F">
        <w:trPr>
          <w:trHeight w:val="295"/>
        </w:trPr>
        <w:tc>
          <w:tcPr>
            <w:tcW w:w="1174" w:type="dxa"/>
            <w:vMerge/>
            <w:tcBorders>
              <w:top w:val="single" w:sz="12" w:space="0" w:color="auto"/>
              <w:left w:val="single" w:sz="12" w:space="0" w:color="auto"/>
              <w:bottom w:val="single" w:sz="12" w:space="0" w:color="000000"/>
              <w:right w:val="single" w:sz="12" w:space="0" w:color="auto"/>
            </w:tcBorders>
            <w:vAlign w:val="center"/>
            <w:hideMark/>
          </w:tcPr>
          <w:p w14:paraId="695E56E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single" w:sz="12" w:space="0" w:color="auto"/>
              <w:left w:val="single" w:sz="12" w:space="0" w:color="auto"/>
              <w:bottom w:val="single" w:sz="12" w:space="0" w:color="000000"/>
              <w:right w:val="single" w:sz="12" w:space="0" w:color="auto"/>
            </w:tcBorders>
            <w:vAlign w:val="center"/>
            <w:hideMark/>
          </w:tcPr>
          <w:p w14:paraId="63384F67"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single" w:sz="12" w:space="0" w:color="auto"/>
              <w:left w:val="single" w:sz="12" w:space="0" w:color="auto"/>
              <w:bottom w:val="single" w:sz="12" w:space="0" w:color="000000"/>
              <w:right w:val="single" w:sz="12" w:space="0" w:color="auto"/>
            </w:tcBorders>
            <w:vAlign w:val="center"/>
            <w:hideMark/>
          </w:tcPr>
          <w:p w14:paraId="024B15D0"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single" w:sz="4" w:space="0" w:color="auto"/>
              <w:left w:val="single" w:sz="12" w:space="0" w:color="auto"/>
              <w:bottom w:val="single" w:sz="4" w:space="0" w:color="000000"/>
              <w:right w:val="single" w:sz="12" w:space="0" w:color="auto"/>
            </w:tcBorders>
            <w:vAlign w:val="center"/>
            <w:hideMark/>
          </w:tcPr>
          <w:p w14:paraId="1590758D"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61FA636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DC4A50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BFC27B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738C11A2"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5F8D6D9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4FB2D9F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1B604F2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58C8E853"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2E85A699"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5. Travel </w:t>
            </w:r>
          </w:p>
        </w:tc>
        <w:tc>
          <w:tcPr>
            <w:tcW w:w="940" w:type="dxa"/>
            <w:tcBorders>
              <w:top w:val="nil"/>
              <w:left w:val="nil"/>
              <w:bottom w:val="single" w:sz="4" w:space="0" w:color="auto"/>
              <w:right w:val="single" w:sz="4" w:space="0" w:color="auto"/>
            </w:tcBorders>
            <w:shd w:val="clear" w:color="auto" w:fill="auto"/>
            <w:vAlign w:val="center"/>
            <w:hideMark/>
          </w:tcPr>
          <w:p w14:paraId="58550B61"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20,000 </w:t>
            </w:r>
          </w:p>
        </w:tc>
        <w:tc>
          <w:tcPr>
            <w:tcW w:w="1184" w:type="dxa"/>
            <w:tcBorders>
              <w:top w:val="nil"/>
              <w:left w:val="nil"/>
              <w:bottom w:val="single" w:sz="4" w:space="0" w:color="auto"/>
              <w:right w:val="single" w:sz="4" w:space="0" w:color="auto"/>
            </w:tcBorders>
            <w:shd w:val="clear" w:color="auto" w:fill="auto"/>
            <w:vAlign w:val="center"/>
            <w:hideMark/>
          </w:tcPr>
          <w:p w14:paraId="51A2733C"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602BAD52"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20,000 </w:t>
            </w:r>
          </w:p>
        </w:tc>
        <w:tc>
          <w:tcPr>
            <w:tcW w:w="1254" w:type="dxa"/>
            <w:tcBorders>
              <w:top w:val="nil"/>
              <w:left w:val="nil"/>
              <w:bottom w:val="single" w:sz="4" w:space="0" w:color="auto"/>
              <w:right w:val="single" w:sz="12" w:space="0" w:color="auto"/>
            </w:tcBorders>
            <w:shd w:val="clear" w:color="auto" w:fill="auto"/>
            <w:vAlign w:val="center"/>
            <w:hideMark/>
          </w:tcPr>
          <w:p w14:paraId="06A50B8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vMerge/>
            <w:tcBorders>
              <w:top w:val="nil"/>
              <w:left w:val="single" w:sz="12" w:space="0" w:color="auto"/>
              <w:bottom w:val="single" w:sz="4" w:space="0" w:color="000000"/>
              <w:right w:val="single" w:sz="12" w:space="0" w:color="auto"/>
            </w:tcBorders>
            <w:vAlign w:val="center"/>
            <w:hideMark/>
          </w:tcPr>
          <w:p w14:paraId="04B8846E"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r>
      <w:tr w:rsidR="00A04148" w:rsidRPr="00D41BDC" w14:paraId="31D4B0BD" w14:textId="77777777" w:rsidTr="00B2326F">
        <w:trPr>
          <w:trHeight w:val="295"/>
        </w:trPr>
        <w:tc>
          <w:tcPr>
            <w:tcW w:w="1174" w:type="dxa"/>
            <w:vMerge/>
            <w:tcBorders>
              <w:top w:val="single" w:sz="12" w:space="0" w:color="auto"/>
              <w:left w:val="single" w:sz="12" w:space="0" w:color="auto"/>
              <w:bottom w:val="single" w:sz="12" w:space="0" w:color="000000"/>
              <w:right w:val="single" w:sz="12" w:space="0" w:color="auto"/>
            </w:tcBorders>
            <w:vAlign w:val="center"/>
            <w:hideMark/>
          </w:tcPr>
          <w:p w14:paraId="31C94B1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single" w:sz="12" w:space="0" w:color="auto"/>
              <w:left w:val="single" w:sz="12" w:space="0" w:color="auto"/>
              <w:bottom w:val="single" w:sz="12" w:space="0" w:color="000000"/>
              <w:right w:val="single" w:sz="12" w:space="0" w:color="auto"/>
            </w:tcBorders>
            <w:vAlign w:val="center"/>
            <w:hideMark/>
          </w:tcPr>
          <w:p w14:paraId="1252BF93"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single" w:sz="12" w:space="0" w:color="auto"/>
              <w:left w:val="single" w:sz="12" w:space="0" w:color="auto"/>
              <w:bottom w:val="single" w:sz="12" w:space="0" w:color="000000"/>
              <w:right w:val="single" w:sz="12" w:space="0" w:color="auto"/>
            </w:tcBorders>
            <w:vAlign w:val="center"/>
            <w:hideMark/>
          </w:tcPr>
          <w:p w14:paraId="0B8C1471"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val="restart"/>
            <w:tcBorders>
              <w:top w:val="nil"/>
              <w:left w:val="single" w:sz="12" w:space="0" w:color="auto"/>
              <w:bottom w:val="single" w:sz="4" w:space="0" w:color="000000"/>
              <w:right w:val="single" w:sz="12" w:space="0" w:color="auto"/>
            </w:tcBorders>
            <w:shd w:val="clear" w:color="auto" w:fill="auto"/>
            <w:vAlign w:val="center"/>
            <w:hideMark/>
          </w:tcPr>
          <w:p w14:paraId="17F8E2B5"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1.4 Improve coordination of tax collecting agencies on national and subnational level </w:t>
            </w:r>
          </w:p>
        </w:tc>
        <w:tc>
          <w:tcPr>
            <w:tcW w:w="397" w:type="dxa"/>
            <w:vMerge w:val="restart"/>
            <w:tcBorders>
              <w:top w:val="nil"/>
              <w:left w:val="single" w:sz="12" w:space="0" w:color="auto"/>
              <w:bottom w:val="single" w:sz="4" w:space="0" w:color="000000"/>
              <w:right w:val="single" w:sz="4" w:space="0" w:color="auto"/>
            </w:tcBorders>
            <w:shd w:val="clear" w:color="000000" w:fill="92D050"/>
            <w:vAlign w:val="center"/>
            <w:hideMark/>
          </w:tcPr>
          <w:p w14:paraId="421E015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251F7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3439E5"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419DEC18"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62772FC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6FF38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DF4C68"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2782DFA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auto" w:fill="auto"/>
            <w:vAlign w:val="center"/>
            <w:hideMark/>
          </w:tcPr>
          <w:p w14:paraId="62CA5059"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2. Supplies, Commodities, Materials </w:t>
            </w:r>
          </w:p>
        </w:tc>
        <w:tc>
          <w:tcPr>
            <w:tcW w:w="940" w:type="dxa"/>
            <w:tcBorders>
              <w:top w:val="nil"/>
              <w:left w:val="nil"/>
              <w:bottom w:val="single" w:sz="4" w:space="0" w:color="auto"/>
              <w:right w:val="single" w:sz="4" w:space="0" w:color="auto"/>
            </w:tcBorders>
            <w:shd w:val="clear" w:color="auto" w:fill="auto"/>
            <w:vAlign w:val="center"/>
            <w:hideMark/>
          </w:tcPr>
          <w:p w14:paraId="067941E6"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20,000 </w:t>
            </w:r>
          </w:p>
        </w:tc>
        <w:tc>
          <w:tcPr>
            <w:tcW w:w="1184" w:type="dxa"/>
            <w:tcBorders>
              <w:top w:val="nil"/>
              <w:left w:val="nil"/>
              <w:bottom w:val="single" w:sz="4" w:space="0" w:color="auto"/>
              <w:right w:val="single" w:sz="4" w:space="0" w:color="auto"/>
            </w:tcBorders>
            <w:shd w:val="clear" w:color="auto" w:fill="auto"/>
            <w:vAlign w:val="center"/>
            <w:hideMark/>
          </w:tcPr>
          <w:p w14:paraId="74E1C6AE"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20,000 </w:t>
            </w:r>
          </w:p>
        </w:tc>
        <w:tc>
          <w:tcPr>
            <w:tcW w:w="940" w:type="dxa"/>
            <w:tcBorders>
              <w:top w:val="nil"/>
              <w:left w:val="nil"/>
              <w:bottom w:val="single" w:sz="4" w:space="0" w:color="auto"/>
              <w:right w:val="single" w:sz="4" w:space="0" w:color="auto"/>
            </w:tcBorders>
            <w:shd w:val="clear" w:color="auto" w:fill="auto"/>
            <w:vAlign w:val="center"/>
            <w:hideMark/>
          </w:tcPr>
          <w:p w14:paraId="148FEEE9"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40,000 </w:t>
            </w:r>
          </w:p>
        </w:tc>
        <w:tc>
          <w:tcPr>
            <w:tcW w:w="1254" w:type="dxa"/>
            <w:tcBorders>
              <w:top w:val="nil"/>
              <w:left w:val="nil"/>
              <w:bottom w:val="single" w:sz="4" w:space="0" w:color="auto"/>
              <w:right w:val="single" w:sz="12" w:space="0" w:color="auto"/>
            </w:tcBorders>
            <w:shd w:val="clear" w:color="auto" w:fill="auto"/>
            <w:vAlign w:val="center"/>
            <w:hideMark/>
          </w:tcPr>
          <w:p w14:paraId="70CD111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vMerge w:val="restart"/>
            <w:tcBorders>
              <w:top w:val="nil"/>
              <w:left w:val="single" w:sz="12" w:space="0" w:color="auto"/>
              <w:bottom w:val="single" w:sz="4" w:space="0" w:color="000000"/>
              <w:right w:val="single" w:sz="12" w:space="0" w:color="auto"/>
            </w:tcBorders>
            <w:shd w:val="clear" w:color="000000" w:fill="FFFFFF"/>
            <w:vAlign w:val="center"/>
            <w:hideMark/>
          </w:tcPr>
          <w:p w14:paraId="0616C01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NRA</w:t>
            </w:r>
          </w:p>
        </w:tc>
      </w:tr>
      <w:tr w:rsidR="00A04148" w:rsidRPr="00D41BDC" w14:paraId="3AE9F591" w14:textId="77777777" w:rsidTr="00B2326F">
        <w:trPr>
          <w:trHeight w:val="295"/>
        </w:trPr>
        <w:tc>
          <w:tcPr>
            <w:tcW w:w="1174" w:type="dxa"/>
            <w:vMerge/>
            <w:tcBorders>
              <w:top w:val="single" w:sz="12" w:space="0" w:color="auto"/>
              <w:left w:val="single" w:sz="12" w:space="0" w:color="auto"/>
              <w:bottom w:val="single" w:sz="12" w:space="0" w:color="000000"/>
              <w:right w:val="single" w:sz="12" w:space="0" w:color="auto"/>
            </w:tcBorders>
            <w:vAlign w:val="center"/>
            <w:hideMark/>
          </w:tcPr>
          <w:p w14:paraId="478D0FD6"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single" w:sz="12" w:space="0" w:color="auto"/>
              <w:left w:val="single" w:sz="12" w:space="0" w:color="auto"/>
              <w:bottom w:val="single" w:sz="12" w:space="0" w:color="000000"/>
              <w:right w:val="single" w:sz="12" w:space="0" w:color="auto"/>
            </w:tcBorders>
            <w:vAlign w:val="center"/>
            <w:hideMark/>
          </w:tcPr>
          <w:p w14:paraId="09A5620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single" w:sz="12" w:space="0" w:color="auto"/>
              <w:left w:val="single" w:sz="12" w:space="0" w:color="auto"/>
              <w:bottom w:val="single" w:sz="12" w:space="0" w:color="000000"/>
              <w:right w:val="single" w:sz="12" w:space="0" w:color="auto"/>
            </w:tcBorders>
            <w:vAlign w:val="center"/>
            <w:hideMark/>
          </w:tcPr>
          <w:p w14:paraId="28AE85DA"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4A51D7D5"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40D1E5D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4F6B2C51"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D8FF6A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76F5DBE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5101FD1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45742F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32B1790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5D7D5703"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2C7FFAE3"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5. Travel </w:t>
            </w:r>
          </w:p>
        </w:tc>
        <w:tc>
          <w:tcPr>
            <w:tcW w:w="940" w:type="dxa"/>
            <w:tcBorders>
              <w:top w:val="nil"/>
              <w:left w:val="nil"/>
              <w:bottom w:val="nil"/>
              <w:right w:val="single" w:sz="4" w:space="0" w:color="auto"/>
            </w:tcBorders>
            <w:shd w:val="clear" w:color="auto" w:fill="auto"/>
            <w:vAlign w:val="center"/>
            <w:hideMark/>
          </w:tcPr>
          <w:p w14:paraId="44C8A66A"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30,000 </w:t>
            </w:r>
          </w:p>
        </w:tc>
        <w:tc>
          <w:tcPr>
            <w:tcW w:w="1184" w:type="dxa"/>
            <w:tcBorders>
              <w:top w:val="nil"/>
              <w:left w:val="nil"/>
              <w:bottom w:val="nil"/>
              <w:right w:val="single" w:sz="4" w:space="0" w:color="auto"/>
            </w:tcBorders>
            <w:shd w:val="clear" w:color="auto" w:fill="auto"/>
            <w:vAlign w:val="center"/>
            <w:hideMark/>
          </w:tcPr>
          <w:p w14:paraId="60A50314"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30,000 </w:t>
            </w:r>
          </w:p>
        </w:tc>
        <w:tc>
          <w:tcPr>
            <w:tcW w:w="940" w:type="dxa"/>
            <w:tcBorders>
              <w:top w:val="nil"/>
              <w:left w:val="nil"/>
              <w:bottom w:val="single" w:sz="4" w:space="0" w:color="auto"/>
              <w:right w:val="single" w:sz="4" w:space="0" w:color="auto"/>
            </w:tcBorders>
            <w:shd w:val="clear" w:color="auto" w:fill="auto"/>
            <w:vAlign w:val="center"/>
            <w:hideMark/>
          </w:tcPr>
          <w:p w14:paraId="3573F68D"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60,000 </w:t>
            </w:r>
          </w:p>
        </w:tc>
        <w:tc>
          <w:tcPr>
            <w:tcW w:w="1254" w:type="dxa"/>
            <w:tcBorders>
              <w:top w:val="nil"/>
              <w:left w:val="nil"/>
              <w:bottom w:val="single" w:sz="4" w:space="0" w:color="auto"/>
              <w:right w:val="single" w:sz="12" w:space="0" w:color="auto"/>
            </w:tcBorders>
            <w:shd w:val="clear" w:color="auto" w:fill="auto"/>
            <w:vAlign w:val="center"/>
            <w:hideMark/>
          </w:tcPr>
          <w:p w14:paraId="3CC6425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vMerge/>
            <w:tcBorders>
              <w:top w:val="nil"/>
              <w:left w:val="single" w:sz="12" w:space="0" w:color="auto"/>
              <w:bottom w:val="single" w:sz="4" w:space="0" w:color="000000"/>
              <w:right w:val="single" w:sz="12" w:space="0" w:color="auto"/>
            </w:tcBorders>
            <w:vAlign w:val="center"/>
            <w:hideMark/>
          </w:tcPr>
          <w:p w14:paraId="1CEC93A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r>
      <w:tr w:rsidR="00A04148" w:rsidRPr="00D41BDC" w14:paraId="3D050BAB" w14:textId="77777777" w:rsidTr="00B2326F">
        <w:trPr>
          <w:trHeight w:val="295"/>
        </w:trPr>
        <w:tc>
          <w:tcPr>
            <w:tcW w:w="1174" w:type="dxa"/>
            <w:vMerge/>
            <w:tcBorders>
              <w:top w:val="single" w:sz="12" w:space="0" w:color="auto"/>
              <w:left w:val="single" w:sz="12" w:space="0" w:color="auto"/>
              <w:bottom w:val="single" w:sz="12" w:space="0" w:color="000000"/>
              <w:right w:val="single" w:sz="12" w:space="0" w:color="auto"/>
            </w:tcBorders>
            <w:vAlign w:val="center"/>
            <w:hideMark/>
          </w:tcPr>
          <w:p w14:paraId="3C7E8B7A"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single" w:sz="12" w:space="0" w:color="auto"/>
              <w:left w:val="single" w:sz="12" w:space="0" w:color="auto"/>
              <w:bottom w:val="single" w:sz="12" w:space="0" w:color="000000"/>
              <w:right w:val="single" w:sz="12" w:space="0" w:color="auto"/>
            </w:tcBorders>
            <w:vAlign w:val="center"/>
            <w:hideMark/>
          </w:tcPr>
          <w:p w14:paraId="5DB98BF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single" w:sz="12" w:space="0" w:color="auto"/>
              <w:left w:val="single" w:sz="12" w:space="0" w:color="auto"/>
              <w:bottom w:val="single" w:sz="12" w:space="0" w:color="000000"/>
              <w:right w:val="single" w:sz="12" w:space="0" w:color="auto"/>
            </w:tcBorders>
            <w:vAlign w:val="center"/>
            <w:hideMark/>
          </w:tcPr>
          <w:p w14:paraId="323AF82B"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tcBorders>
              <w:top w:val="nil"/>
              <w:left w:val="nil"/>
              <w:bottom w:val="nil"/>
              <w:right w:val="single" w:sz="12" w:space="0" w:color="auto"/>
            </w:tcBorders>
            <w:shd w:val="clear" w:color="auto" w:fill="auto"/>
            <w:vAlign w:val="center"/>
            <w:hideMark/>
          </w:tcPr>
          <w:p w14:paraId="1B4F4C03"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1.5 Taxpayer data collection and classification </w:t>
            </w:r>
          </w:p>
        </w:tc>
        <w:tc>
          <w:tcPr>
            <w:tcW w:w="397" w:type="dxa"/>
            <w:tcBorders>
              <w:top w:val="nil"/>
              <w:left w:val="nil"/>
              <w:bottom w:val="nil"/>
              <w:right w:val="single" w:sz="4" w:space="0" w:color="auto"/>
            </w:tcBorders>
            <w:shd w:val="clear" w:color="000000" w:fill="92D050"/>
            <w:vAlign w:val="center"/>
            <w:hideMark/>
          </w:tcPr>
          <w:p w14:paraId="4C23C005"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128A4AB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5E624D7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nil"/>
              <w:right w:val="nil"/>
            </w:tcBorders>
            <w:shd w:val="clear" w:color="000000" w:fill="FFFFFF"/>
            <w:vAlign w:val="center"/>
            <w:hideMark/>
          </w:tcPr>
          <w:p w14:paraId="7C41A98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single" w:sz="12" w:space="0" w:color="auto"/>
              <w:bottom w:val="nil"/>
              <w:right w:val="single" w:sz="4" w:space="0" w:color="auto"/>
            </w:tcBorders>
            <w:shd w:val="clear" w:color="000000" w:fill="FFFFFF"/>
            <w:vAlign w:val="center"/>
            <w:hideMark/>
          </w:tcPr>
          <w:p w14:paraId="7E11E38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0F52AE8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71FD331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nil"/>
              <w:right w:val="single" w:sz="12" w:space="0" w:color="auto"/>
            </w:tcBorders>
            <w:shd w:val="clear" w:color="000000" w:fill="FFFFFF"/>
            <w:vAlign w:val="center"/>
            <w:hideMark/>
          </w:tcPr>
          <w:p w14:paraId="199E34A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12" w:space="0" w:color="auto"/>
              <w:right w:val="single" w:sz="4" w:space="0" w:color="auto"/>
            </w:tcBorders>
            <w:shd w:val="clear" w:color="auto" w:fill="auto"/>
            <w:vAlign w:val="center"/>
            <w:hideMark/>
          </w:tcPr>
          <w:p w14:paraId="6557AE95"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4. Contractual services</w:t>
            </w:r>
          </w:p>
        </w:tc>
        <w:tc>
          <w:tcPr>
            <w:tcW w:w="940" w:type="dxa"/>
            <w:tcBorders>
              <w:top w:val="single" w:sz="4" w:space="0" w:color="auto"/>
              <w:left w:val="nil"/>
              <w:bottom w:val="single" w:sz="12" w:space="0" w:color="auto"/>
              <w:right w:val="single" w:sz="4" w:space="0" w:color="auto"/>
            </w:tcBorders>
            <w:shd w:val="clear" w:color="auto" w:fill="auto"/>
            <w:vAlign w:val="center"/>
            <w:hideMark/>
          </w:tcPr>
          <w:p w14:paraId="6FD16CE2"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184" w:type="dxa"/>
            <w:tcBorders>
              <w:top w:val="single" w:sz="4" w:space="0" w:color="auto"/>
              <w:left w:val="nil"/>
              <w:bottom w:val="single" w:sz="12" w:space="0" w:color="auto"/>
              <w:right w:val="single" w:sz="4" w:space="0" w:color="auto"/>
            </w:tcBorders>
            <w:shd w:val="clear" w:color="auto" w:fill="auto"/>
            <w:vAlign w:val="center"/>
            <w:hideMark/>
          </w:tcPr>
          <w:p w14:paraId="504B0360"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50,000 </w:t>
            </w:r>
          </w:p>
        </w:tc>
        <w:tc>
          <w:tcPr>
            <w:tcW w:w="940" w:type="dxa"/>
            <w:tcBorders>
              <w:top w:val="nil"/>
              <w:left w:val="nil"/>
              <w:bottom w:val="single" w:sz="12" w:space="0" w:color="auto"/>
              <w:right w:val="single" w:sz="4" w:space="0" w:color="auto"/>
            </w:tcBorders>
            <w:shd w:val="clear" w:color="auto" w:fill="auto"/>
            <w:vAlign w:val="center"/>
            <w:hideMark/>
          </w:tcPr>
          <w:p w14:paraId="68CD5BA7"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50,000 </w:t>
            </w:r>
          </w:p>
        </w:tc>
        <w:tc>
          <w:tcPr>
            <w:tcW w:w="1254" w:type="dxa"/>
            <w:tcBorders>
              <w:top w:val="nil"/>
              <w:left w:val="nil"/>
              <w:bottom w:val="single" w:sz="12" w:space="0" w:color="auto"/>
              <w:right w:val="single" w:sz="12" w:space="0" w:color="auto"/>
            </w:tcBorders>
            <w:shd w:val="clear" w:color="auto" w:fill="auto"/>
            <w:vAlign w:val="center"/>
            <w:hideMark/>
          </w:tcPr>
          <w:p w14:paraId="2942177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tcBorders>
              <w:top w:val="nil"/>
              <w:left w:val="single" w:sz="12" w:space="0" w:color="auto"/>
              <w:bottom w:val="single" w:sz="12" w:space="0" w:color="auto"/>
              <w:right w:val="single" w:sz="12" w:space="0" w:color="auto"/>
            </w:tcBorders>
            <w:shd w:val="clear" w:color="000000" w:fill="FFFFFF"/>
            <w:vAlign w:val="center"/>
            <w:hideMark/>
          </w:tcPr>
          <w:p w14:paraId="678A3AF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SRA</w:t>
            </w:r>
          </w:p>
        </w:tc>
      </w:tr>
      <w:tr w:rsidR="00A04148" w:rsidRPr="00D41BDC" w14:paraId="509B9E19" w14:textId="77777777" w:rsidTr="00B2326F">
        <w:trPr>
          <w:trHeight w:val="270"/>
        </w:trPr>
        <w:tc>
          <w:tcPr>
            <w:tcW w:w="1174" w:type="dxa"/>
            <w:tcBorders>
              <w:top w:val="nil"/>
              <w:left w:val="single" w:sz="12" w:space="0" w:color="auto"/>
              <w:bottom w:val="single" w:sz="12" w:space="0" w:color="auto"/>
              <w:right w:val="nil"/>
            </w:tcBorders>
            <w:shd w:val="clear" w:color="000000" w:fill="AEAAAA"/>
            <w:vAlign w:val="center"/>
            <w:hideMark/>
          </w:tcPr>
          <w:p w14:paraId="059D753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Output 1 Total</w:t>
            </w:r>
          </w:p>
        </w:tc>
        <w:tc>
          <w:tcPr>
            <w:tcW w:w="579" w:type="dxa"/>
            <w:tcBorders>
              <w:top w:val="nil"/>
              <w:left w:val="nil"/>
              <w:bottom w:val="single" w:sz="12" w:space="0" w:color="auto"/>
              <w:right w:val="nil"/>
            </w:tcBorders>
            <w:shd w:val="clear" w:color="000000" w:fill="AEAAAA"/>
            <w:vAlign w:val="center"/>
            <w:hideMark/>
          </w:tcPr>
          <w:p w14:paraId="04A68D82"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578" w:type="dxa"/>
            <w:tcBorders>
              <w:top w:val="nil"/>
              <w:left w:val="nil"/>
              <w:bottom w:val="single" w:sz="12" w:space="0" w:color="auto"/>
              <w:right w:val="nil"/>
            </w:tcBorders>
            <w:shd w:val="clear" w:color="000000" w:fill="AEAAAA"/>
            <w:vAlign w:val="center"/>
            <w:hideMark/>
          </w:tcPr>
          <w:p w14:paraId="048F757E"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714" w:type="dxa"/>
            <w:tcBorders>
              <w:top w:val="single" w:sz="12" w:space="0" w:color="auto"/>
              <w:left w:val="nil"/>
              <w:bottom w:val="single" w:sz="12" w:space="0" w:color="auto"/>
              <w:right w:val="nil"/>
            </w:tcBorders>
            <w:shd w:val="clear" w:color="000000" w:fill="AEAAAA"/>
            <w:vAlign w:val="center"/>
            <w:hideMark/>
          </w:tcPr>
          <w:p w14:paraId="0E9B1E45"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6FE4F915"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3E34876D"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003C308D"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8" w:type="dxa"/>
            <w:tcBorders>
              <w:top w:val="single" w:sz="12" w:space="0" w:color="auto"/>
              <w:left w:val="nil"/>
              <w:bottom w:val="single" w:sz="12" w:space="0" w:color="auto"/>
              <w:right w:val="nil"/>
            </w:tcBorders>
            <w:shd w:val="clear" w:color="000000" w:fill="AEAAAA"/>
            <w:vAlign w:val="center"/>
            <w:hideMark/>
          </w:tcPr>
          <w:p w14:paraId="201F3D6F"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6984853E"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1BF89369"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2A3BEE99"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8" w:type="dxa"/>
            <w:tcBorders>
              <w:top w:val="single" w:sz="12" w:space="0" w:color="auto"/>
              <w:left w:val="nil"/>
              <w:bottom w:val="single" w:sz="12" w:space="0" w:color="auto"/>
              <w:right w:val="nil"/>
            </w:tcBorders>
            <w:shd w:val="clear" w:color="000000" w:fill="AEAAAA"/>
            <w:vAlign w:val="center"/>
            <w:hideMark/>
          </w:tcPr>
          <w:p w14:paraId="583D3A0C"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542" w:type="dxa"/>
            <w:tcBorders>
              <w:top w:val="nil"/>
              <w:left w:val="nil"/>
              <w:bottom w:val="single" w:sz="12" w:space="0" w:color="auto"/>
              <w:right w:val="nil"/>
            </w:tcBorders>
            <w:shd w:val="clear" w:color="000000" w:fill="AEAAAA"/>
            <w:noWrap/>
            <w:vAlign w:val="center"/>
            <w:hideMark/>
          </w:tcPr>
          <w:p w14:paraId="3FE8CFBA" w14:textId="77777777" w:rsidR="00A04148" w:rsidRPr="00D41BDC" w:rsidRDefault="00A04148" w:rsidP="00B2326F">
            <w:pPr>
              <w:spacing w:line="240" w:lineRule="auto"/>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w:t>
            </w:r>
          </w:p>
        </w:tc>
        <w:tc>
          <w:tcPr>
            <w:tcW w:w="940" w:type="dxa"/>
            <w:tcBorders>
              <w:top w:val="nil"/>
              <w:left w:val="nil"/>
              <w:bottom w:val="single" w:sz="12" w:space="0" w:color="auto"/>
              <w:right w:val="nil"/>
            </w:tcBorders>
            <w:shd w:val="clear" w:color="000000" w:fill="AEAAAA"/>
            <w:vAlign w:val="center"/>
            <w:hideMark/>
          </w:tcPr>
          <w:p w14:paraId="6175E597"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110,000 </w:t>
            </w:r>
          </w:p>
        </w:tc>
        <w:tc>
          <w:tcPr>
            <w:tcW w:w="1184" w:type="dxa"/>
            <w:tcBorders>
              <w:top w:val="nil"/>
              <w:left w:val="nil"/>
              <w:bottom w:val="single" w:sz="12" w:space="0" w:color="auto"/>
              <w:right w:val="nil"/>
            </w:tcBorders>
            <w:shd w:val="clear" w:color="000000" w:fill="AEAAAA"/>
            <w:vAlign w:val="center"/>
            <w:hideMark/>
          </w:tcPr>
          <w:p w14:paraId="02F5B597"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545,000 </w:t>
            </w:r>
          </w:p>
        </w:tc>
        <w:tc>
          <w:tcPr>
            <w:tcW w:w="940" w:type="dxa"/>
            <w:tcBorders>
              <w:top w:val="nil"/>
              <w:left w:val="nil"/>
              <w:bottom w:val="single" w:sz="12" w:space="0" w:color="auto"/>
              <w:right w:val="nil"/>
            </w:tcBorders>
            <w:shd w:val="clear" w:color="000000" w:fill="AEAAAA"/>
            <w:vAlign w:val="center"/>
            <w:hideMark/>
          </w:tcPr>
          <w:p w14:paraId="27440C44"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655,000 </w:t>
            </w:r>
          </w:p>
        </w:tc>
        <w:tc>
          <w:tcPr>
            <w:tcW w:w="1254" w:type="dxa"/>
            <w:tcBorders>
              <w:top w:val="nil"/>
              <w:left w:val="nil"/>
              <w:bottom w:val="single" w:sz="12" w:space="0" w:color="auto"/>
              <w:right w:val="single" w:sz="12" w:space="0" w:color="auto"/>
            </w:tcBorders>
            <w:shd w:val="clear" w:color="000000" w:fill="AEAAAA"/>
            <w:vAlign w:val="center"/>
            <w:hideMark/>
          </w:tcPr>
          <w:p w14:paraId="78975F33"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UNDP Lead</w:t>
            </w:r>
          </w:p>
        </w:tc>
        <w:tc>
          <w:tcPr>
            <w:tcW w:w="1287" w:type="dxa"/>
            <w:tcBorders>
              <w:top w:val="nil"/>
              <w:left w:val="single" w:sz="12" w:space="0" w:color="auto"/>
              <w:bottom w:val="single" w:sz="12" w:space="0" w:color="auto"/>
              <w:right w:val="single" w:sz="12" w:space="0" w:color="auto"/>
            </w:tcBorders>
            <w:shd w:val="clear" w:color="000000" w:fill="AEAAAA"/>
            <w:vAlign w:val="center"/>
            <w:hideMark/>
          </w:tcPr>
          <w:p w14:paraId="622C17D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r>
      <w:tr w:rsidR="00A04148" w:rsidRPr="00D41BDC" w14:paraId="12F77020" w14:textId="77777777" w:rsidTr="00B2326F">
        <w:trPr>
          <w:trHeight w:val="699"/>
        </w:trPr>
        <w:tc>
          <w:tcPr>
            <w:tcW w:w="1174" w:type="dxa"/>
            <w:vMerge w:val="restart"/>
            <w:tcBorders>
              <w:top w:val="nil"/>
              <w:left w:val="single" w:sz="12" w:space="0" w:color="auto"/>
              <w:bottom w:val="nil"/>
              <w:right w:val="single" w:sz="12" w:space="0" w:color="auto"/>
            </w:tcBorders>
            <w:shd w:val="clear" w:color="000000" w:fill="FFFFFF"/>
            <w:vAlign w:val="center"/>
            <w:hideMark/>
          </w:tcPr>
          <w:p w14:paraId="7D0CFCBF"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Output 2: 22 strengthened and gender-responsive PFM institutions at national and subnational levels especially targeting Central Equatoria, Western Equatoria and Northern </w:t>
            </w:r>
            <w:r w:rsidRPr="00D41BDC">
              <w:rPr>
                <w:rFonts w:ascii="Verdana" w:eastAsia="Times New Roman" w:hAnsi="Verdana" w:cs="Calibri"/>
                <w:b/>
                <w:bCs/>
                <w:color w:val="000000"/>
                <w:sz w:val="14"/>
                <w:szCs w:val="14"/>
                <w:lang w:eastAsia="ja-JP"/>
              </w:rPr>
              <w:lastRenderedPageBreak/>
              <w:t>Bahr el Ghazal states by 2022</w:t>
            </w:r>
          </w:p>
        </w:tc>
        <w:tc>
          <w:tcPr>
            <w:tcW w:w="579" w:type="dxa"/>
            <w:vMerge w:val="restart"/>
            <w:tcBorders>
              <w:top w:val="nil"/>
              <w:left w:val="single" w:sz="12" w:space="0" w:color="auto"/>
              <w:bottom w:val="nil"/>
              <w:right w:val="single" w:sz="12" w:space="0" w:color="auto"/>
            </w:tcBorders>
            <w:shd w:val="clear" w:color="000000" w:fill="FFFFFF"/>
            <w:vAlign w:val="center"/>
            <w:hideMark/>
          </w:tcPr>
          <w:p w14:paraId="76491927"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lastRenderedPageBreak/>
              <w:t>7</w:t>
            </w:r>
          </w:p>
        </w:tc>
        <w:tc>
          <w:tcPr>
            <w:tcW w:w="578" w:type="dxa"/>
            <w:vMerge w:val="restart"/>
            <w:tcBorders>
              <w:top w:val="nil"/>
              <w:left w:val="single" w:sz="12" w:space="0" w:color="auto"/>
              <w:bottom w:val="nil"/>
              <w:right w:val="single" w:sz="12" w:space="0" w:color="auto"/>
            </w:tcBorders>
            <w:shd w:val="clear" w:color="000000" w:fill="FFFFFF"/>
            <w:vAlign w:val="center"/>
            <w:hideMark/>
          </w:tcPr>
          <w:p w14:paraId="6D56F16A"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22</w:t>
            </w:r>
          </w:p>
        </w:tc>
        <w:tc>
          <w:tcPr>
            <w:tcW w:w="1714" w:type="dxa"/>
            <w:tcBorders>
              <w:top w:val="nil"/>
              <w:left w:val="nil"/>
              <w:bottom w:val="single" w:sz="4" w:space="0" w:color="auto"/>
              <w:right w:val="single" w:sz="12" w:space="0" w:color="auto"/>
            </w:tcBorders>
            <w:shd w:val="clear" w:color="auto" w:fill="auto"/>
            <w:vAlign w:val="center"/>
            <w:hideMark/>
          </w:tcPr>
          <w:p w14:paraId="3B786047" w14:textId="77777777" w:rsidR="00A04148" w:rsidRPr="00D41BDC" w:rsidRDefault="00A04148" w:rsidP="00B2326F">
            <w:pPr>
              <w:spacing w:line="240" w:lineRule="auto"/>
              <w:jc w:val="both"/>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2.1 Re- establish National Budget Working Group and State Monitoring Transfer Committees (STMC) and build awareness on SDG implementation within available resources.</w:t>
            </w:r>
          </w:p>
        </w:tc>
        <w:tc>
          <w:tcPr>
            <w:tcW w:w="397" w:type="dxa"/>
            <w:tcBorders>
              <w:top w:val="single" w:sz="4" w:space="0" w:color="auto"/>
              <w:left w:val="nil"/>
              <w:bottom w:val="single" w:sz="4" w:space="0" w:color="auto"/>
              <w:right w:val="single" w:sz="4" w:space="0" w:color="auto"/>
            </w:tcBorders>
            <w:shd w:val="clear" w:color="000000" w:fill="92D050"/>
            <w:vAlign w:val="center"/>
            <w:hideMark/>
          </w:tcPr>
          <w:p w14:paraId="1412458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single" w:sz="4" w:space="0" w:color="auto"/>
              <w:left w:val="nil"/>
              <w:bottom w:val="single" w:sz="4" w:space="0" w:color="auto"/>
              <w:right w:val="single" w:sz="4" w:space="0" w:color="auto"/>
            </w:tcBorders>
            <w:shd w:val="clear" w:color="000000" w:fill="FFFFFF"/>
            <w:vAlign w:val="center"/>
            <w:hideMark/>
          </w:tcPr>
          <w:p w14:paraId="1C014B2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single" w:sz="4" w:space="0" w:color="auto"/>
              <w:left w:val="nil"/>
              <w:bottom w:val="single" w:sz="4" w:space="0" w:color="auto"/>
              <w:right w:val="single" w:sz="4" w:space="0" w:color="auto"/>
            </w:tcBorders>
            <w:shd w:val="clear" w:color="000000" w:fill="FFFFFF"/>
            <w:vAlign w:val="center"/>
            <w:hideMark/>
          </w:tcPr>
          <w:p w14:paraId="78AD7A4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single" w:sz="4" w:space="0" w:color="auto"/>
              <w:left w:val="nil"/>
              <w:bottom w:val="single" w:sz="4" w:space="0" w:color="auto"/>
              <w:right w:val="nil"/>
            </w:tcBorders>
            <w:shd w:val="clear" w:color="000000" w:fill="FFFFFF"/>
            <w:vAlign w:val="center"/>
            <w:hideMark/>
          </w:tcPr>
          <w:p w14:paraId="3238BE7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single" w:sz="4" w:space="0" w:color="auto"/>
              <w:left w:val="single" w:sz="12" w:space="0" w:color="auto"/>
              <w:bottom w:val="single" w:sz="4" w:space="0" w:color="auto"/>
              <w:right w:val="single" w:sz="4" w:space="0" w:color="auto"/>
            </w:tcBorders>
            <w:shd w:val="clear" w:color="000000" w:fill="FFFFFF"/>
            <w:vAlign w:val="center"/>
            <w:hideMark/>
          </w:tcPr>
          <w:p w14:paraId="45F0094A"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single" w:sz="4" w:space="0" w:color="auto"/>
              <w:left w:val="nil"/>
              <w:bottom w:val="single" w:sz="4" w:space="0" w:color="auto"/>
              <w:right w:val="single" w:sz="4" w:space="0" w:color="auto"/>
            </w:tcBorders>
            <w:shd w:val="clear" w:color="000000" w:fill="FFFFFF"/>
            <w:vAlign w:val="center"/>
            <w:hideMark/>
          </w:tcPr>
          <w:p w14:paraId="24A133DA"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single" w:sz="4" w:space="0" w:color="auto"/>
              <w:left w:val="nil"/>
              <w:bottom w:val="single" w:sz="4" w:space="0" w:color="auto"/>
              <w:right w:val="single" w:sz="4" w:space="0" w:color="auto"/>
            </w:tcBorders>
            <w:shd w:val="clear" w:color="000000" w:fill="FFFFFF"/>
            <w:vAlign w:val="center"/>
            <w:hideMark/>
          </w:tcPr>
          <w:p w14:paraId="574EEF1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single" w:sz="4" w:space="0" w:color="auto"/>
              <w:left w:val="nil"/>
              <w:bottom w:val="single" w:sz="4" w:space="0" w:color="auto"/>
              <w:right w:val="single" w:sz="12" w:space="0" w:color="auto"/>
            </w:tcBorders>
            <w:shd w:val="clear" w:color="000000" w:fill="FFFFFF"/>
            <w:vAlign w:val="center"/>
            <w:hideMark/>
          </w:tcPr>
          <w:p w14:paraId="0A37F8D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FB26"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2A799182"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184" w:type="dxa"/>
            <w:tcBorders>
              <w:top w:val="nil"/>
              <w:left w:val="nil"/>
              <w:bottom w:val="single" w:sz="4" w:space="0" w:color="auto"/>
              <w:right w:val="single" w:sz="4" w:space="0" w:color="auto"/>
            </w:tcBorders>
            <w:shd w:val="clear" w:color="auto" w:fill="auto"/>
            <w:vAlign w:val="center"/>
            <w:hideMark/>
          </w:tcPr>
          <w:p w14:paraId="14D0049E"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0B4DD374"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   </w:t>
            </w:r>
          </w:p>
        </w:tc>
        <w:tc>
          <w:tcPr>
            <w:tcW w:w="1254" w:type="dxa"/>
            <w:tcBorders>
              <w:top w:val="single" w:sz="4" w:space="0" w:color="auto"/>
              <w:left w:val="nil"/>
              <w:bottom w:val="single" w:sz="4" w:space="0" w:color="auto"/>
              <w:right w:val="single" w:sz="12" w:space="0" w:color="auto"/>
            </w:tcBorders>
            <w:shd w:val="clear" w:color="auto" w:fill="auto"/>
            <w:vAlign w:val="center"/>
            <w:hideMark/>
          </w:tcPr>
          <w:p w14:paraId="43B5C98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UNICEF</w:t>
            </w:r>
          </w:p>
        </w:tc>
        <w:tc>
          <w:tcPr>
            <w:tcW w:w="1287" w:type="dxa"/>
            <w:tcBorders>
              <w:top w:val="single" w:sz="4" w:space="0" w:color="auto"/>
              <w:left w:val="single" w:sz="12" w:space="0" w:color="auto"/>
              <w:bottom w:val="single" w:sz="4" w:space="0" w:color="auto"/>
              <w:right w:val="single" w:sz="12" w:space="0" w:color="auto"/>
            </w:tcBorders>
            <w:shd w:val="clear" w:color="000000" w:fill="FFFFFF"/>
            <w:vAlign w:val="center"/>
            <w:hideMark/>
          </w:tcPr>
          <w:p w14:paraId="300034D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MoFP (all departments); Line Ministries (SDG input)</w:t>
            </w:r>
          </w:p>
        </w:tc>
      </w:tr>
      <w:tr w:rsidR="00A04148" w:rsidRPr="00D41BDC" w14:paraId="3BEFCD4D" w14:textId="77777777" w:rsidTr="00B2326F">
        <w:trPr>
          <w:trHeight w:val="250"/>
        </w:trPr>
        <w:tc>
          <w:tcPr>
            <w:tcW w:w="1174" w:type="dxa"/>
            <w:vMerge/>
            <w:tcBorders>
              <w:top w:val="nil"/>
              <w:left w:val="single" w:sz="12" w:space="0" w:color="auto"/>
              <w:bottom w:val="nil"/>
              <w:right w:val="single" w:sz="12" w:space="0" w:color="auto"/>
            </w:tcBorders>
            <w:vAlign w:val="center"/>
            <w:hideMark/>
          </w:tcPr>
          <w:p w14:paraId="39953D90"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2D67912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79388F2F"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val="restart"/>
            <w:tcBorders>
              <w:top w:val="nil"/>
              <w:left w:val="single" w:sz="12" w:space="0" w:color="auto"/>
              <w:bottom w:val="single" w:sz="4" w:space="0" w:color="000000"/>
              <w:right w:val="single" w:sz="12" w:space="0" w:color="auto"/>
            </w:tcBorders>
            <w:shd w:val="clear" w:color="auto" w:fill="auto"/>
            <w:vAlign w:val="center"/>
            <w:hideMark/>
          </w:tcPr>
          <w:p w14:paraId="09D9EE3F"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2.2 </w:t>
            </w:r>
            <w:r w:rsidRPr="00D41BDC">
              <w:rPr>
                <w:rFonts w:ascii="Verdana" w:eastAsia="Times New Roman" w:hAnsi="Verdana" w:cs="Calibri"/>
                <w:b/>
                <w:bCs/>
                <w:sz w:val="14"/>
                <w:szCs w:val="14"/>
                <w:lang w:eastAsia="ja-JP"/>
              </w:rPr>
              <w:t>[National Level Training]</w:t>
            </w:r>
            <w:r w:rsidRPr="00D41BDC">
              <w:rPr>
                <w:rFonts w:ascii="Verdana" w:eastAsia="Times New Roman" w:hAnsi="Verdana" w:cs="Calibri"/>
                <w:sz w:val="14"/>
                <w:szCs w:val="14"/>
                <w:lang w:eastAsia="ja-JP"/>
              </w:rPr>
              <w:t xml:space="preserve"> Formulate a government led State Mentoring Team with 15 officers equipped with: (1) knowledge and status of SDGs in SS (2) NDS and alignment to SDGs; </w:t>
            </w:r>
            <w:r w:rsidRPr="00D41BDC">
              <w:rPr>
                <w:rFonts w:ascii="Verdana" w:eastAsia="Times New Roman" w:hAnsi="Verdana" w:cs="Calibri"/>
                <w:sz w:val="14"/>
                <w:szCs w:val="14"/>
                <w:lang w:eastAsia="ja-JP"/>
              </w:rPr>
              <w:lastRenderedPageBreak/>
              <w:t xml:space="preserve">(3) updated guidelines on revenue collection and management; (4) strategic and operational planning and (5)audit procedures. Familiarize State Mentoring Team with recent (post-February 2020 onwards) (6) changes in legislation; (7) issues of transparency and accountability, including (8) legislative oversight; (9) human rights and (10) specific sector SDG implementation. </w:t>
            </w:r>
          </w:p>
        </w:tc>
        <w:tc>
          <w:tcPr>
            <w:tcW w:w="397" w:type="dxa"/>
            <w:vMerge w:val="restart"/>
            <w:tcBorders>
              <w:top w:val="nil"/>
              <w:left w:val="single" w:sz="12" w:space="0" w:color="auto"/>
              <w:bottom w:val="single" w:sz="4" w:space="0" w:color="000000"/>
              <w:right w:val="single" w:sz="4" w:space="0" w:color="auto"/>
            </w:tcBorders>
            <w:shd w:val="clear" w:color="000000" w:fill="92D050"/>
            <w:vAlign w:val="center"/>
            <w:hideMark/>
          </w:tcPr>
          <w:p w14:paraId="08959738"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lastRenderedPageBreak/>
              <w:t> </w:t>
            </w:r>
          </w:p>
        </w:tc>
        <w:tc>
          <w:tcPr>
            <w:tcW w:w="39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6DD6F8E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6B17097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92D050"/>
            <w:vAlign w:val="center"/>
            <w:hideMark/>
          </w:tcPr>
          <w:p w14:paraId="6DD3BEF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single" w:sz="4" w:space="0" w:color="000000"/>
              <w:right w:val="single" w:sz="4" w:space="0" w:color="auto"/>
            </w:tcBorders>
            <w:shd w:val="clear" w:color="000000" w:fill="92D050"/>
            <w:vAlign w:val="center"/>
            <w:hideMark/>
          </w:tcPr>
          <w:p w14:paraId="6F524A1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42F078D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1E59BEE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92D050"/>
            <w:vAlign w:val="center"/>
            <w:hideMark/>
          </w:tcPr>
          <w:p w14:paraId="73FC9C98"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auto" w:fill="auto"/>
            <w:vAlign w:val="center"/>
            <w:hideMark/>
          </w:tcPr>
          <w:p w14:paraId="3D1071C6"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1. Staff and other personnel </w:t>
            </w:r>
          </w:p>
        </w:tc>
        <w:tc>
          <w:tcPr>
            <w:tcW w:w="940" w:type="dxa"/>
            <w:tcBorders>
              <w:top w:val="nil"/>
              <w:left w:val="nil"/>
              <w:bottom w:val="single" w:sz="4" w:space="0" w:color="auto"/>
              <w:right w:val="single" w:sz="4" w:space="0" w:color="auto"/>
            </w:tcBorders>
            <w:shd w:val="clear" w:color="auto" w:fill="auto"/>
            <w:vAlign w:val="center"/>
            <w:hideMark/>
          </w:tcPr>
          <w:p w14:paraId="3AE98AD4"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42,537 </w:t>
            </w:r>
          </w:p>
        </w:tc>
        <w:tc>
          <w:tcPr>
            <w:tcW w:w="1184" w:type="dxa"/>
            <w:tcBorders>
              <w:top w:val="nil"/>
              <w:left w:val="nil"/>
              <w:bottom w:val="single" w:sz="4" w:space="0" w:color="auto"/>
              <w:right w:val="single" w:sz="4" w:space="0" w:color="auto"/>
            </w:tcBorders>
            <w:shd w:val="clear" w:color="auto" w:fill="auto"/>
            <w:vAlign w:val="center"/>
            <w:hideMark/>
          </w:tcPr>
          <w:p w14:paraId="2C7FAEF3"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39676224"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42,537 </w:t>
            </w:r>
          </w:p>
        </w:tc>
        <w:tc>
          <w:tcPr>
            <w:tcW w:w="1254" w:type="dxa"/>
            <w:tcBorders>
              <w:top w:val="nil"/>
              <w:left w:val="nil"/>
              <w:bottom w:val="single" w:sz="4" w:space="0" w:color="auto"/>
              <w:right w:val="single" w:sz="12" w:space="0" w:color="auto"/>
            </w:tcBorders>
            <w:shd w:val="clear" w:color="auto" w:fill="auto"/>
            <w:vAlign w:val="center"/>
            <w:hideMark/>
          </w:tcPr>
          <w:p w14:paraId="4E2CCBF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vMerge w:val="restart"/>
            <w:tcBorders>
              <w:top w:val="nil"/>
              <w:left w:val="single" w:sz="12" w:space="0" w:color="auto"/>
              <w:bottom w:val="single" w:sz="4" w:space="0" w:color="000000"/>
              <w:right w:val="single" w:sz="12" w:space="0" w:color="auto"/>
            </w:tcBorders>
            <w:shd w:val="clear" w:color="000000" w:fill="FFFFFF"/>
            <w:vAlign w:val="center"/>
            <w:hideMark/>
          </w:tcPr>
          <w:p w14:paraId="2799376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PFM Specialist / Project Coordinator (UNDP and UNICEF Cost-shared) 18 months TA P-4 (@20,437/</w:t>
            </w:r>
            <w:proofErr w:type="spellStart"/>
            <w:r w:rsidRPr="00D41BDC">
              <w:rPr>
                <w:rFonts w:ascii="Verdana" w:eastAsia="Times New Roman" w:hAnsi="Verdana" w:cs="Calibri"/>
                <w:color w:val="000000"/>
                <w:sz w:val="14"/>
                <w:szCs w:val="14"/>
                <w:lang w:eastAsia="ja-JP"/>
              </w:rPr>
              <w:t>mo</w:t>
            </w:r>
            <w:proofErr w:type="spellEnd"/>
            <w:r w:rsidRPr="00D41BDC">
              <w:rPr>
                <w:rFonts w:ascii="Verdana" w:eastAsia="Times New Roman" w:hAnsi="Verdana" w:cs="Calibri"/>
                <w:color w:val="000000"/>
                <w:sz w:val="14"/>
                <w:szCs w:val="14"/>
                <w:lang w:eastAsia="ja-JP"/>
              </w:rPr>
              <w:t xml:space="preserve">) and Project Coordinator </w:t>
            </w:r>
            <w:r w:rsidRPr="00D41BDC">
              <w:rPr>
                <w:rFonts w:ascii="Verdana" w:eastAsia="Times New Roman" w:hAnsi="Verdana" w:cs="Calibri"/>
                <w:color w:val="000000"/>
                <w:sz w:val="14"/>
                <w:szCs w:val="14"/>
                <w:lang w:eastAsia="ja-JP"/>
              </w:rPr>
              <w:lastRenderedPageBreak/>
              <w:t>(UNDP and UNICEF Cost-shared) UNICEF PFM Specialist (50% NOC, US$98,448 for 2 years)</w:t>
            </w:r>
          </w:p>
        </w:tc>
      </w:tr>
      <w:tr w:rsidR="00A04148" w:rsidRPr="00D41BDC" w14:paraId="68D522B4" w14:textId="77777777" w:rsidTr="00B2326F">
        <w:trPr>
          <w:trHeight w:val="250"/>
        </w:trPr>
        <w:tc>
          <w:tcPr>
            <w:tcW w:w="1174" w:type="dxa"/>
            <w:vMerge/>
            <w:tcBorders>
              <w:top w:val="nil"/>
              <w:left w:val="single" w:sz="12" w:space="0" w:color="auto"/>
              <w:bottom w:val="nil"/>
              <w:right w:val="single" w:sz="12" w:space="0" w:color="auto"/>
            </w:tcBorders>
            <w:vAlign w:val="center"/>
            <w:hideMark/>
          </w:tcPr>
          <w:p w14:paraId="79A3DD1C"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1E6668B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59CC23E6"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078A0C38"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560375C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DC9CD9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21E147E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5A90B3F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7C553AB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6CBB31F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64797BC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238E0BB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1B64021D"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1. Staff and other personnel </w:t>
            </w:r>
          </w:p>
        </w:tc>
        <w:tc>
          <w:tcPr>
            <w:tcW w:w="940" w:type="dxa"/>
            <w:tcBorders>
              <w:top w:val="nil"/>
              <w:left w:val="nil"/>
              <w:bottom w:val="single" w:sz="4" w:space="0" w:color="auto"/>
              <w:right w:val="single" w:sz="4" w:space="0" w:color="auto"/>
            </w:tcBorders>
            <w:shd w:val="clear" w:color="auto" w:fill="auto"/>
            <w:vAlign w:val="center"/>
            <w:hideMark/>
          </w:tcPr>
          <w:p w14:paraId="66B1C077"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140,985 </w:t>
            </w:r>
          </w:p>
        </w:tc>
        <w:tc>
          <w:tcPr>
            <w:tcW w:w="1184" w:type="dxa"/>
            <w:tcBorders>
              <w:top w:val="nil"/>
              <w:left w:val="nil"/>
              <w:bottom w:val="single" w:sz="4" w:space="0" w:color="auto"/>
              <w:right w:val="single" w:sz="4" w:space="0" w:color="auto"/>
            </w:tcBorders>
            <w:shd w:val="clear" w:color="auto" w:fill="auto"/>
            <w:vAlign w:val="center"/>
            <w:hideMark/>
          </w:tcPr>
          <w:p w14:paraId="4C317C55"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218,051 </w:t>
            </w:r>
          </w:p>
        </w:tc>
        <w:tc>
          <w:tcPr>
            <w:tcW w:w="940" w:type="dxa"/>
            <w:tcBorders>
              <w:top w:val="nil"/>
              <w:left w:val="nil"/>
              <w:bottom w:val="single" w:sz="4" w:space="0" w:color="auto"/>
              <w:right w:val="single" w:sz="4" w:space="0" w:color="auto"/>
            </w:tcBorders>
            <w:shd w:val="clear" w:color="auto" w:fill="auto"/>
            <w:vAlign w:val="center"/>
            <w:hideMark/>
          </w:tcPr>
          <w:p w14:paraId="217BA053"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359,036 </w:t>
            </w:r>
          </w:p>
        </w:tc>
        <w:tc>
          <w:tcPr>
            <w:tcW w:w="1254" w:type="dxa"/>
            <w:tcBorders>
              <w:top w:val="nil"/>
              <w:left w:val="nil"/>
              <w:bottom w:val="single" w:sz="4" w:space="0" w:color="auto"/>
              <w:right w:val="single" w:sz="12" w:space="0" w:color="auto"/>
            </w:tcBorders>
            <w:shd w:val="clear" w:color="auto" w:fill="auto"/>
            <w:vAlign w:val="center"/>
            <w:hideMark/>
          </w:tcPr>
          <w:p w14:paraId="1EC242A8"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UNICEF</w:t>
            </w:r>
          </w:p>
        </w:tc>
        <w:tc>
          <w:tcPr>
            <w:tcW w:w="1287" w:type="dxa"/>
            <w:vMerge/>
            <w:tcBorders>
              <w:top w:val="nil"/>
              <w:left w:val="single" w:sz="12" w:space="0" w:color="auto"/>
              <w:bottom w:val="single" w:sz="4" w:space="0" w:color="000000"/>
              <w:right w:val="single" w:sz="12" w:space="0" w:color="auto"/>
            </w:tcBorders>
            <w:vAlign w:val="center"/>
            <w:hideMark/>
          </w:tcPr>
          <w:p w14:paraId="1D83EAD8"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r>
      <w:tr w:rsidR="00A04148" w:rsidRPr="00D41BDC" w14:paraId="09EB3F17" w14:textId="77777777" w:rsidTr="00B2326F">
        <w:trPr>
          <w:trHeight w:val="250"/>
        </w:trPr>
        <w:tc>
          <w:tcPr>
            <w:tcW w:w="1174" w:type="dxa"/>
            <w:vMerge/>
            <w:tcBorders>
              <w:top w:val="nil"/>
              <w:left w:val="single" w:sz="12" w:space="0" w:color="auto"/>
              <w:bottom w:val="nil"/>
              <w:right w:val="single" w:sz="12" w:space="0" w:color="auto"/>
            </w:tcBorders>
            <w:vAlign w:val="center"/>
            <w:hideMark/>
          </w:tcPr>
          <w:p w14:paraId="53A1431C"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6C985C57"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2C1B6746"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3255B109"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val="restart"/>
            <w:tcBorders>
              <w:top w:val="nil"/>
              <w:left w:val="single" w:sz="12" w:space="0" w:color="auto"/>
              <w:bottom w:val="single" w:sz="4" w:space="0" w:color="000000"/>
              <w:right w:val="single" w:sz="4" w:space="0" w:color="auto"/>
            </w:tcBorders>
            <w:shd w:val="clear" w:color="000000" w:fill="92D050"/>
            <w:vAlign w:val="center"/>
            <w:hideMark/>
          </w:tcPr>
          <w:p w14:paraId="1C75807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62CEE33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35EEE05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92D050"/>
            <w:vAlign w:val="center"/>
            <w:hideMark/>
          </w:tcPr>
          <w:p w14:paraId="28202D2A"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single" w:sz="4" w:space="0" w:color="000000"/>
              <w:right w:val="single" w:sz="4" w:space="0" w:color="auto"/>
            </w:tcBorders>
            <w:shd w:val="clear" w:color="auto" w:fill="auto"/>
            <w:vAlign w:val="center"/>
            <w:hideMark/>
          </w:tcPr>
          <w:p w14:paraId="75715E6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193F6D7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31570BD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auto" w:fill="auto"/>
            <w:vAlign w:val="center"/>
            <w:hideMark/>
          </w:tcPr>
          <w:p w14:paraId="736D943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auto" w:fill="auto"/>
            <w:vAlign w:val="center"/>
            <w:hideMark/>
          </w:tcPr>
          <w:p w14:paraId="4DDADCEA"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2. Supplies, Commodities, Materials </w:t>
            </w:r>
          </w:p>
        </w:tc>
        <w:tc>
          <w:tcPr>
            <w:tcW w:w="940" w:type="dxa"/>
            <w:tcBorders>
              <w:top w:val="nil"/>
              <w:left w:val="nil"/>
              <w:bottom w:val="single" w:sz="4" w:space="0" w:color="auto"/>
              <w:right w:val="single" w:sz="4" w:space="0" w:color="auto"/>
            </w:tcBorders>
            <w:shd w:val="clear" w:color="auto" w:fill="auto"/>
            <w:vAlign w:val="center"/>
            <w:hideMark/>
          </w:tcPr>
          <w:p w14:paraId="6059D100"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15,000 </w:t>
            </w:r>
          </w:p>
        </w:tc>
        <w:tc>
          <w:tcPr>
            <w:tcW w:w="1184" w:type="dxa"/>
            <w:tcBorders>
              <w:top w:val="nil"/>
              <w:left w:val="nil"/>
              <w:bottom w:val="single" w:sz="4" w:space="0" w:color="auto"/>
              <w:right w:val="single" w:sz="4" w:space="0" w:color="auto"/>
            </w:tcBorders>
            <w:shd w:val="clear" w:color="auto" w:fill="auto"/>
            <w:noWrap/>
            <w:vAlign w:val="center"/>
            <w:hideMark/>
          </w:tcPr>
          <w:p w14:paraId="70B3DE97"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3F6F2EC8"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15,000 </w:t>
            </w:r>
          </w:p>
        </w:tc>
        <w:tc>
          <w:tcPr>
            <w:tcW w:w="1254" w:type="dxa"/>
            <w:tcBorders>
              <w:top w:val="nil"/>
              <w:left w:val="nil"/>
              <w:bottom w:val="single" w:sz="4" w:space="0" w:color="auto"/>
              <w:right w:val="single" w:sz="12" w:space="0" w:color="auto"/>
            </w:tcBorders>
            <w:shd w:val="clear" w:color="auto" w:fill="auto"/>
            <w:vAlign w:val="center"/>
            <w:hideMark/>
          </w:tcPr>
          <w:p w14:paraId="2762861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vMerge w:val="restart"/>
            <w:tcBorders>
              <w:top w:val="nil"/>
              <w:left w:val="single" w:sz="12" w:space="0" w:color="auto"/>
              <w:bottom w:val="single" w:sz="4" w:space="0" w:color="000000"/>
              <w:right w:val="single" w:sz="12" w:space="0" w:color="auto"/>
            </w:tcBorders>
            <w:shd w:val="clear" w:color="000000" w:fill="FFFFFF"/>
            <w:vAlign w:val="center"/>
            <w:hideMark/>
          </w:tcPr>
          <w:p w14:paraId="09BF45F3"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MOFP-Planning &amp; Budgets; additional MOFP units; National Revenue Authority; Audit Chamber; Local Govt Board; Min of Gender, Child &amp; SW; Education, Health, National Legislative Authority; OHCHR, WHO)</w:t>
            </w:r>
          </w:p>
        </w:tc>
      </w:tr>
      <w:tr w:rsidR="00A04148" w:rsidRPr="00D41BDC" w14:paraId="2343EDD6" w14:textId="77777777" w:rsidTr="00B2326F">
        <w:trPr>
          <w:trHeight w:val="250"/>
        </w:trPr>
        <w:tc>
          <w:tcPr>
            <w:tcW w:w="1174" w:type="dxa"/>
            <w:vMerge/>
            <w:tcBorders>
              <w:top w:val="nil"/>
              <w:left w:val="single" w:sz="12" w:space="0" w:color="auto"/>
              <w:bottom w:val="nil"/>
              <w:right w:val="single" w:sz="12" w:space="0" w:color="auto"/>
            </w:tcBorders>
            <w:vAlign w:val="center"/>
            <w:hideMark/>
          </w:tcPr>
          <w:p w14:paraId="20E0179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4FF5EB93"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285B3993"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4EBC87B4"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31AEF34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1FB80AC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7281D37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799AB3BA"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3EEDE0A1"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46CF5648"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1B2DE12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4A2426B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67EEB44A"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2. Supplies, Commodities, Materials </w:t>
            </w:r>
          </w:p>
        </w:tc>
        <w:tc>
          <w:tcPr>
            <w:tcW w:w="940" w:type="dxa"/>
            <w:tcBorders>
              <w:top w:val="nil"/>
              <w:left w:val="nil"/>
              <w:bottom w:val="single" w:sz="4" w:space="0" w:color="auto"/>
              <w:right w:val="single" w:sz="4" w:space="0" w:color="auto"/>
            </w:tcBorders>
            <w:shd w:val="clear" w:color="auto" w:fill="auto"/>
            <w:vAlign w:val="center"/>
            <w:hideMark/>
          </w:tcPr>
          <w:p w14:paraId="4B876B5A"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5,000 </w:t>
            </w:r>
          </w:p>
        </w:tc>
        <w:tc>
          <w:tcPr>
            <w:tcW w:w="1184" w:type="dxa"/>
            <w:tcBorders>
              <w:top w:val="nil"/>
              <w:left w:val="nil"/>
              <w:bottom w:val="single" w:sz="4" w:space="0" w:color="auto"/>
              <w:right w:val="single" w:sz="4" w:space="0" w:color="auto"/>
            </w:tcBorders>
            <w:shd w:val="clear" w:color="auto" w:fill="auto"/>
            <w:noWrap/>
            <w:vAlign w:val="center"/>
            <w:hideMark/>
          </w:tcPr>
          <w:p w14:paraId="252E27D3"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76BA921B"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5,000 </w:t>
            </w:r>
          </w:p>
        </w:tc>
        <w:tc>
          <w:tcPr>
            <w:tcW w:w="1254" w:type="dxa"/>
            <w:tcBorders>
              <w:top w:val="nil"/>
              <w:left w:val="nil"/>
              <w:bottom w:val="single" w:sz="4" w:space="0" w:color="auto"/>
              <w:right w:val="single" w:sz="12" w:space="0" w:color="auto"/>
            </w:tcBorders>
            <w:shd w:val="clear" w:color="auto" w:fill="auto"/>
            <w:vAlign w:val="center"/>
            <w:hideMark/>
          </w:tcPr>
          <w:p w14:paraId="6E84087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UNICEF</w:t>
            </w:r>
          </w:p>
        </w:tc>
        <w:tc>
          <w:tcPr>
            <w:tcW w:w="1287" w:type="dxa"/>
            <w:vMerge/>
            <w:tcBorders>
              <w:top w:val="nil"/>
              <w:left w:val="single" w:sz="12" w:space="0" w:color="auto"/>
              <w:bottom w:val="single" w:sz="4" w:space="0" w:color="000000"/>
              <w:right w:val="single" w:sz="12" w:space="0" w:color="auto"/>
            </w:tcBorders>
            <w:vAlign w:val="center"/>
            <w:hideMark/>
          </w:tcPr>
          <w:p w14:paraId="5A44FA51" w14:textId="77777777" w:rsidR="00A04148" w:rsidRPr="00D41BDC" w:rsidRDefault="00A04148" w:rsidP="00B2326F">
            <w:pPr>
              <w:spacing w:line="240" w:lineRule="auto"/>
              <w:rPr>
                <w:rFonts w:ascii="Verdana" w:eastAsia="Times New Roman" w:hAnsi="Verdana" w:cs="Calibri"/>
                <w:sz w:val="14"/>
                <w:szCs w:val="14"/>
                <w:lang w:eastAsia="ja-JP"/>
              </w:rPr>
            </w:pPr>
          </w:p>
        </w:tc>
      </w:tr>
      <w:tr w:rsidR="00A04148" w:rsidRPr="00D41BDC" w14:paraId="173D7FBB" w14:textId="77777777" w:rsidTr="00B2326F">
        <w:trPr>
          <w:trHeight w:val="250"/>
        </w:trPr>
        <w:tc>
          <w:tcPr>
            <w:tcW w:w="1174" w:type="dxa"/>
            <w:vMerge/>
            <w:tcBorders>
              <w:top w:val="nil"/>
              <w:left w:val="single" w:sz="12" w:space="0" w:color="auto"/>
              <w:bottom w:val="nil"/>
              <w:right w:val="single" w:sz="12" w:space="0" w:color="auto"/>
            </w:tcBorders>
            <w:vAlign w:val="center"/>
            <w:hideMark/>
          </w:tcPr>
          <w:p w14:paraId="0008009D"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4E0C40A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47193AA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2DEC2D67"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5896913F"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234F0D02"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2AB2C78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279CD8DD"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47385BD2"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8275058"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77421DA0"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3E77854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0A40BBE7"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5. Travel </w:t>
            </w:r>
          </w:p>
        </w:tc>
        <w:tc>
          <w:tcPr>
            <w:tcW w:w="940" w:type="dxa"/>
            <w:tcBorders>
              <w:top w:val="nil"/>
              <w:left w:val="nil"/>
              <w:bottom w:val="single" w:sz="4" w:space="0" w:color="auto"/>
              <w:right w:val="single" w:sz="4" w:space="0" w:color="auto"/>
            </w:tcBorders>
            <w:shd w:val="clear" w:color="auto" w:fill="auto"/>
            <w:vAlign w:val="center"/>
            <w:hideMark/>
          </w:tcPr>
          <w:p w14:paraId="70754EDA"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1,000 </w:t>
            </w:r>
          </w:p>
        </w:tc>
        <w:tc>
          <w:tcPr>
            <w:tcW w:w="1184" w:type="dxa"/>
            <w:tcBorders>
              <w:top w:val="nil"/>
              <w:left w:val="nil"/>
              <w:bottom w:val="single" w:sz="4" w:space="0" w:color="auto"/>
              <w:right w:val="single" w:sz="4" w:space="0" w:color="auto"/>
            </w:tcBorders>
            <w:shd w:val="clear" w:color="auto" w:fill="auto"/>
            <w:noWrap/>
            <w:vAlign w:val="center"/>
            <w:hideMark/>
          </w:tcPr>
          <w:p w14:paraId="5F5EFB67"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59DF8225"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1,000 </w:t>
            </w:r>
          </w:p>
        </w:tc>
        <w:tc>
          <w:tcPr>
            <w:tcW w:w="1254" w:type="dxa"/>
            <w:tcBorders>
              <w:top w:val="nil"/>
              <w:left w:val="nil"/>
              <w:bottom w:val="single" w:sz="4" w:space="0" w:color="auto"/>
              <w:right w:val="single" w:sz="12" w:space="0" w:color="auto"/>
            </w:tcBorders>
            <w:shd w:val="clear" w:color="auto" w:fill="auto"/>
            <w:vAlign w:val="center"/>
            <w:hideMark/>
          </w:tcPr>
          <w:p w14:paraId="6E90BC9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vMerge/>
            <w:tcBorders>
              <w:top w:val="nil"/>
              <w:left w:val="single" w:sz="12" w:space="0" w:color="auto"/>
              <w:bottom w:val="single" w:sz="4" w:space="0" w:color="000000"/>
              <w:right w:val="single" w:sz="12" w:space="0" w:color="auto"/>
            </w:tcBorders>
            <w:vAlign w:val="center"/>
            <w:hideMark/>
          </w:tcPr>
          <w:p w14:paraId="419F4C43" w14:textId="77777777" w:rsidR="00A04148" w:rsidRPr="00D41BDC" w:rsidRDefault="00A04148" w:rsidP="00B2326F">
            <w:pPr>
              <w:spacing w:line="240" w:lineRule="auto"/>
              <w:rPr>
                <w:rFonts w:ascii="Verdana" w:eastAsia="Times New Roman" w:hAnsi="Verdana" w:cs="Calibri"/>
                <w:sz w:val="14"/>
                <w:szCs w:val="14"/>
                <w:lang w:eastAsia="ja-JP"/>
              </w:rPr>
            </w:pPr>
          </w:p>
        </w:tc>
      </w:tr>
      <w:tr w:rsidR="00A04148" w:rsidRPr="00D41BDC" w14:paraId="37F8A78A" w14:textId="77777777" w:rsidTr="00B2326F">
        <w:trPr>
          <w:trHeight w:val="250"/>
        </w:trPr>
        <w:tc>
          <w:tcPr>
            <w:tcW w:w="1174" w:type="dxa"/>
            <w:vMerge/>
            <w:tcBorders>
              <w:top w:val="nil"/>
              <w:left w:val="single" w:sz="12" w:space="0" w:color="auto"/>
              <w:bottom w:val="nil"/>
              <w:right w:val="single" w:sz="12" w:space="0" w:color="auto"/>
            </w:tcBorders>
            <w:vAlign w:val="center"/>
            <w:hideMark/>
          </w:tcPr>
          <w:p w14:paraId="2D59F72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6F6BABA5"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10A4CB4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1D176A31"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265195E5"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22F03F98"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75C4760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0CF17D4F"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2760F62D"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4DD0D1D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F0F3FD5"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6710AB9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05939833"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5. Travel </w:t>
            </w:r>
          </w:p>
        </w:tc>
        <w:tc>
          <w:tcPr>
            <w:tcW w:w="940" w:type="dxa"/>
            <w:tcBorders>
              <w:top w:val="nil"/>
              <w:left w:val="nil"/>
              <w:bottom w:val="single" w:sz="4" w:space="0" w:color="auto"/>
              <w:right w:val="single" w:sz="4" w:space="0" w:color="auto"/>
            </w:tcBorders>
            <w:shd w:val="clear" w:color="auto" w:fill="auto"/>
            <w:vAlign w:val="center"/>
            <w:hideMark/>
          </w:tcPr>
          <w:p w14:paraId="0A4295ED"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1,000 </w:t>
            </w:r>
          </w:p>
        </w:tc>
        <w:tc>
          <w:tcPr>
            <w:tcW w:w="1184" w:type="dxa"/>
            <w:tcBorders>
              <w:top w:val="nil"/>
              <w:left w:val="nil"/>
              <w:bottom w:val="single" w:sz="4" w:space="0" w:color="auto"/>
              <w:right w:val="single" w:sz="4" w:space="0" w:color="auto"/>
            </w:tcBorders>
            <w:shd w:val="clear" w:color="auto" w:fill="auto"/>
            <w:noWrap/>
            <w:vAlign w:val="center"/>
            <w:hideMark/>
          </w:tcPr>
          <w:p w14:paraId="377E5DD2"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05E20806"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1,000 </w:t>
            </w:r>
          </w:p>
        </w:tc>
        <w:tc>
          <w:tcPr>
            <w:tcW w:w="1254" w:type="dxa"/>
            <w:tcBorders>
              <w:top w:val="nil"/>
              <w:left w:val="nil"/>
              <w:bottom w:val="single" w:sz="4" w:space="0" w:color="auto"/>
              <w:right w:val="single" w:sz="12" w:space="0" w:color="auto"/>
            </w:tcBorders>
            <w:shd w:val="clear" w:color="auto" w:fill="auto"/>
            <w:vAlign w:val="center"/>
            <w:hideMark/>
          </w:tcPr>
          <w:p w14:paraId="4B5A93A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UNICEF</w:t>
            </w:r>
          </w:p>
        </w:tc>
        <w:tc>
          <w:tcPr>
            <w:tcW w:w="1287" w:type="dxa"/>
            <w:vMerge/>
            <w:tcBorders>
              <w:top w:val="nil"/>
              <w:left w:val="single" w:sz="12" w:space="0" w:color="auto"/>
              <w:bottom w:val="single" w:sz="4" w:space="0" w:color="000000"/>
              <w:right w:val="single" w:sz="12" w:space="0" w:color="auto"/>
            </w:tcBorders>
            <w:vAlign w:val="center"/>
            <w:hideMark/>
          </w:tcPr>
          <w:p w14:paraId="6CDEBCAA" w14:textId="77777777" w:rsidR="00A04148" w:rsidRPr="00D41BDC" w:rsidRDefault="00A04148" w:rsidP="00B2326F">
            <w:pPr>
              <w:spacing w:line="240" w:lineRule="auto"/>
              <w:rPr>
                <w:rFonts w:ascii="Verdana" w:eastAsia="Times New Roman" w:hAnsi="Verdana" w:cs="Calibri"/>
                <w:sz w:val="14"/>
                <w:szCs w:val="14"/>
                <w:lang w:eastAsia="ja-JP"/>
              </w:rPr>
            </w:pPr>
          </w:p>
        </w:tc>
      </w:tr>
      <w:tr w:rsidR="00A04148" w:rsidRPr="00D41BDC" w14:paraId="0241BAEC" w14:textId="77777777" w:rsidTr="00B2326F">
        <w:trPr>
          <w:trHeight w:val="602"/>
        </w:trPr>
        <w:tc>
          <w:tcPr>
            <w:tcW w:w="1174" w:type="dxa"/>
            <w:vMerge/>
            <w:tcBorders>
              <w:top w:val="nil"/>
              <w:left w:val="single" w:sz="12" w:space="0" w:color="auto"/>
              <w:bottom w:val="nil"/>
              <w:right w:val="single" w:sz="12" w:space="0" w:color="auto"/>
            </w:tcBorders>
            <w:vAlign w:val="center"/>
            <w:hideMark/>
          </w:tcPr>
          <w:p w14:paraId="5940349E"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0F2F894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2DB280F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340AA6ED"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17B29D1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3A41C17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07A7D5F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4CC80F2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31F9AA93"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211A2B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099C341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48879952"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1511AA65"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61C2A2BB"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184" w:type="dxa"/>
            <w:tcBorders>
              <w:top w:val="nil"/>
              <w:left w:val="nil"/>
              <w:bottom w:val="single" w:sz="4" w:space="0" w:color="auto"/>
              <w:right w:val="single" w:sz="4" w:space="0" w:color="auto"/>
            </w:tcBorders>
            <w:shd w:val="clear" w:color="auto" w:fill="auto"/>
            <w:noWrap/>
            <w:vAlign w:val="center"/>
            <w:hideMark/>
          </w:tcPr>
          <w:p w14:paraId="02E9C910"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5DD31838"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254" w:type="dxa"/>
            <w:tcBorders>
              <w:top w:val="nil"/>
              <w:left w:val="nil"/>
              <w:bottom w:val="single" w:sz="4" w:space="0" w:color="auto"/>
              <w:right w:val="single" w:sz="12" w:space="0" w:color="auto"/>
            </w:tcBorders>
            <w:shd w:val="clear" w:color="000000" w:fill="FFFFFF"/>
            <w:vAlign w:val="center"/>
            <w:hideMark/>
          </w:tcPr>
          <w:p w14:paraId="0654F90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OHCHR</w:t>
            </w:r>
          </w:p>
        </w:tc>
        <w:tc>
          <w:tcPr>
            <w:tcW w:w="1287" w:type="dxa"/>
            <w:vMerge/>
            <w:tcBorders>
              <w:top w:val="nil"/>
              <w:left w:val="single" w:sz="12" w:space="0" w:color="auto"/>
              <w:bottom w:val="single" w:sz="4" w:space="0" w:color="000000"/>
              <w:right w:val="single" w:sz="12" w:space="0" w:color="auto"/>
            </w:tcBorders>
            <w:vAlign w:val="center"/>
            <w:hideMark/>
          </w:tcPr>
          <w:p w14:paraId="04E28CD7" w14:textId="77777777" w:rsidR="00A04148" w:rsidRPr="00D41BDC" w:rsidRDefault="00A04148" w:rsidP="00B2326F">
            <w:pPr>
              <w:spacing w:line="240" w:lineRule="auto"/>
              <w:rPr>
                <w:rFonts w:ascii="Verdana" w:eastAsia="Times New Roman" w:hAnsi="Verdana" w:cs="Calibri"/>
                <w:sz w:val="14"/>
                <w:szCs w:val="14"/>
                <w:lang w:eastAsia="ja-JP"/>
              </w:rPr>
            </w:pPr>
          </w:p>
        </w:tc>
      </w:tr>
      <w:tr w:rsidR="00A04148" w:rsidRPr="00D41BDC" w14:paraId="37AE672F" w14:textId="77777777" w:rsidTr="00B2326F">
        <w:trPr>
          <w:trHeight w:val="458"/>
        </w:trPr>
        <w:tc>
          <w:tcPr>
            <w:tcW w:w="1174" w:type="dxa"/>
            <w:vMerge/>
            <w:tcBorders>
              <w:top w:val="nil"/>
              <w:left w:val="single" w:sz="12" w:space="0" w:color="auto"/>
              <w:bottom w:val="nil"/>
              <w:right w:val="single" w:sz="12" w:space="0" w:color="auto"/>
            </w:tcBorders>
            <w:vAlign w:val="center"/>
            <w:hideMark/>
          </w:tcPr>
          <w:p w14:paraId="2EACA6A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30825A5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13D0AE40"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47B97D47"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3207F731"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76A2E9F0"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62F5A5E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04EA89B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34B2733F"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3CFC071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2BA8B09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018C0D71"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74EC6770"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2C492728"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184" w:type="dxa"/>
            <w:tcBorders>
              <w:top w:val="nil"/>
              <w:left w:val="nil"/>
              <w:bottom w:val="single" w:sz="4" w:space="0" w:color="auto"/>
              <w:right w:val="single" w:sz="4" w:space="0" w:color="auto"/>
            </w:tcBorders>
            <w:shd w:val="clear" w:color="auto" w:fill="auto"/>
            <w:noWrap/>
            <w:vAlign w:val="center"/>
            <w:hideMark/>
          </w:tcPr>
          <w:p w14:paraId="0D6FE51A"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18B4D96F"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   </w:t>
            </w:r>
          </w:p>
        </w:tc>
        <w:tc>
          <w:tcPr>
            <w:tcW w:w="1254" w:type="dxa"/>
            <w:tcBorders>
              <w:top w:val="nil"/>
              <w:left w:val="nil"/>
              <w:bottom w:val="single" w:sz="4" w:space="0" w:color="auto"/>
              <w:right w:val="single" w:sz="12" w:space="0" w:color="auto"/>
            </w:tcBorders>
            <w:shd w:val="clear" w:color="000000" w:fill="FFFFFF"/>
            <w:vAlign w:val="center"/>
            <w:hideMark/>
          </w:tcPr>
          <w:p w14:paraId="6D0639A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WHO</w:t>
            </w:r>
          </w:p>
        </w:tc>
        <w:tc>
          <w:tcPr>
            <w:tcW w:w="1287" w:type="dxa"/>
            <w:vMerge/>
            <w:tcBorders>
              <w:top w:val="nil"/>
              <w:left w:val="single" w:sz="12" w:space="0" w:color="auto"/>
              <w:bottom w:val="single" w:sz="4" w:space="0" w:color="000000"/>
              <w:right w:val="single" w:sz="12" w:space="0" w:color="auto"/>
            </w:tcBorders>
            <w:vAlign w:val="center"/>
            <w:hideMark/>
          </w:tcPr>
          <w:p w14:paraId="22DDF28A" w14:textId="77777777" w:rsidR="00A04148" w:rsidRPr="00D41BDC" w:rsidRDefault="00A04148" w:rsidP="00B2326F">
            <w:pPr>
              <w:spacing w:line="240" w:lineRule="auto"/>
              <w:rPr>
                <w:rFonts w:ascii="Verdana" w:eastAsia="Times New Roman" w:hAnsi="Verdana" w:cs="Calibri"/>
                <w:sz w:val="14"/>
                <w:szCs w:val="14"/>
                <w:lang w:eastAsia="ja-JP"/>
              </w:rPr>
            </w:pPr>
          </w:p>
        </w:tc>
      </w:tr>
      <w:tr w:rsidR="00A04148" w:rsidRPr="00D41BDC" w14:paraId="2DDF5657" w14:textId="77777777" w:rsidTr="00B2326F">
        <w:trPr>
          <w:trHeight w:val="285"/>
        </w:trPr>
        <w:tc>
          <w:tcPr>
            <w:tcW w:w="1174" w:type="dxa"/>
            <w:vMerge/>
            <w:tcBorders>
              <w:top w:val="nil"/>
              <w:left w:val="single" w:sz="12" w:space="0" w:color="auto"/>
              <w:bottom w:val="nil"/>
              <w:right w:val="single" w:sz="12" w:space="0" w:color="auto"/>
            </w:tcBorders>
            <w:vAlign w:val="center"/>
            <w:hideMark/>
          </w:tcPr>
          <w:p w14:paraId="38B941C1"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361C4E20"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76EDE043"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val="restart"/>
            <w:tcBorders>
              <w:top w:val="nil"/>
              <w:left w:val="single" w:sz="12" w:space="0" w:color="auto"/>
              <w:bottom w:val="single" w:sz="4" w:space="0" w:color="000000"/>
              <w:right w:val="single" w:sz="12" w:space="0" w:color="auto"/>
            </w:tcBorders>
            <w:shd w:val="clear" w:color="auto" w:fill="auto"/>
            <w:vAlign w:val="center"/>
            <w:hideMark/>
          </w:tcPr>
          <w:p w14:paraId="1EC164DA"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2.3 </w:t>
            </w:r>
            <w:r w:rsidRPr="00D41BDC">
              <w:rPr>
                <w:rFonts w:ascii="Verdana" w:eastAsia="Times New Roman" w:hAnsi="Verdana" w:cs="Calibri"/>
                <w:b/>
                <w:bCs/>
                <w:sz w:val="14"/>
                <w:szCs w:val="14"/>
                <w:lang w:eastAsia="ja-JP"/>
              </w:rPr>
              <w:t>[State Level Training]</w:t>
            </w:r>
            <w:r w:rsidRPr="00D41BDC">
              <w:rPr>
                <w:rFonts w:ascii="Verdana" w:eastAsia="Times New Roman" w:hAnsi="Verdana" w:cs="Calibri"/>
                <w:sz w:val="14"/>
                <w:szCs w:val="14"/>
                <w:lang w:eastAsia="ja-JP"/>
              </w:rPr>
              <w:t xml:space="preserve"> Support the State Mentoring Team to organize state level </w:t>
            </w:r>
            <w:proofErr w:type="spellStart"/>
            <w:r w:rsidRPr="00D41BDC">
              <w:rPr>
                <w:rFonts w:ascii="Verdana" w:eastAsia="Times New Roman" w:hAnsi="Verdana" w:cs="Calibri"/>
                <w:sz w:val="14"/>
                <w:szCs w:val="14"/>
                <w:lang w:eastAsia="ja-JP"/>
              </w:rPr>
              <w:t>ToT</w:t>
            </w:r>
            <w:proofErr w:type="spellEnd"/>
            <w:r w:rsidRPr="00D41BDC">
              <w:rPr>
                <w:rFonts w:ascii="Verdana" w:eastAsia="Times New Roman" w:hAnsi="Verdana" w:cs="Calibri"/>
                <w:sz w:val="14"/>
                <w:szCs w:val="14"/>
                <w:lang w:eastAsia="ja-JP"/>
              </w:rPr>
              <w:t xml:space="preserve"> trainings in </w:t>
            </w:r>
            <w:r w:rsidRPr="00D41BDC">
              <w:rPr>
                <w:rFonts w:ascii="Verdana" w:eastAsia="Times New Roman" w:hAnsi="Verdana" w:cs="Calibri"/>
                <w:color w:val="000000"/>
                <w:sz w:val="14"/>
                <w:szCs w:val="14"/>
                <w:lang w:eastAsia="ja-JP"/>
              </w:rPr>
              <w:t>Central Equatoria, Western Equatoria and Northern Bahr el Ghazal states</w:t>
            </w:r>
            <w:r w:rsidRPr="00D41BDC">
              <w:rPr>
                <w:rFonts w:ascii="Verdana" w:eastAsia="Times New Roman" w:hAnsi="Verdana" w:cs="Calibri"/>
                <w:sz w:val="14"/>
                <w:szCs w:val="14"/>
                <w:lang w:eastAsia="ja-JP"/>
              </w:rPr>
              <w:t xml:space="preserve"> by involving local CSOs</w:t>
            </w:r>
          </w:p>
        </w:tc>
        <w:tc>
          <w:tcPr>
            <w:tcW w:w="397" w:type="dxa"/>
            <w:vMerge w:val="restart"/>
            <w:tcBorders>
              <w:top w:val="nil"/>
              <w:left w:val="single" w:sz="12" w:space="0" w:color="auto"/>
              <w:bottom w:val="single" w:sz="4" w:space="0" w:color="000000"/>
              <w:right w:val="single" w:sz="4" w:space="0" w:color="auto"/>
            </w:tcBorders>
            <w:shd w:val="clear" w:color="000000" w:fill="92D050"/>
            <w:vAlign w:val="center"/>
            <w:hideMark/>
          </w:tcPr>
          <w:p w14:paraId="7C46B21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3F2A433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536082F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92D050"/>
            <w:vAlign w:val="center"/>
            <w:hideMark/>
          </w:tcPr>
          <w:p w14:paraId="388C571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single" w:sz="4" w:space="0" w:color="000000"/>
              <w:right w:val="single" w:sz="4" w:space="0" w:color="auto"/>
            </w:tcBorders>
            <w:shd w:val="clear" w:color="000000" w:fill="92D050"/>
            <w:vAlign w:val="center"/>
            <w:hideMark/>
          </w:tcPr>
          <w:p w14:paraId="7AF579F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36543765"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57DDE88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auto" w:fill="auto"/>
            <w:vAlign w:val="center"/>
            <w:hideMark/>
          </w:tcPr>
          <w:p w14:paraId="772F07F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auto" w:fill="auto"/>
            <w:vAlign w:val="center"/>
            <w:hideMark/>
          </w:tcPr>
          <w:p w14:paraId="62509485"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2. Supplies, Commodities, Materials </w:t>
            </w:r>
          </w:p>
        </w:tc>
        <w:tc>
          <w:tcPr>
            <w:tcW w:w="940" w:type="dxa"/>
            <w:tcBorders>
              <w:top w:val="nil"/>
              <w:left w:val="nil"/>
              <w:bottom w:val="single" w:sz="4" w:space="0" w:color="auto"/>
              <w:right w:val="single" w:sz="4" w:space="0" w:color="auto"/>
            </w:tcBorders>
            <w:shd w:val="clear" w:color="auto" w:fill="auto"/>
            <w:vAlign w:val="center"/>
            <w:hideMark/>
          </w:tcPr>
          <w:p w14:paraId="485EA8C7"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20,000 </w:t>
            </w:r>
          </w:p>
        </w:tc>
        <w:tc>
          <w:tcPr>
            <w:tcW w:w="1184" w:type="dxa"/>
            <w:tcBorders>
              <w:top w:val="nil"/>
              <w:left w:val="nil"/>
              <w:bottom w:val="single" w:sz="4" w:space="0" w:color="auto"/>
              <w:right w:val="single" w:sz="4" w:space="0" w:color="auto"/>
            </w:tcBorders>
            <w:shd w:val="clear" w:color="auto" w:fill="auto"/>
            <w:vAlign w:val="center"/>
            <w:hideMark/>
          </w:tcPr>
          <w:p w14:paraId="727DBACC"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10,000 </w:t>
            </w:r>
          </w:p>
        </w:tc>
        <w:tc>
          <w:tcPr>
            <w:tcW w:w="940" w:type="dxa"/>
            <w:tcBorders>
              <w:top w:val="nil"/>
              <w:left w:val="nil"/>
              <w:bottom w:val="single" w:sz="4" w:space="0" w:color="auto"/>
              <w:right w:val="single" w:sz="4" w:space="0" w:color="auto"/>
            </w:tcBorders>
            <w:shd w:val="clear" w:color="auto" w:fill="auto"/>
            <w:vAlign w:val="center"/>
            <w:hideMark/>
          </w:tcPr>
          <w:p w14:paraId="5C742283"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30,000 </w:t>
            </w:r>
          </w:p>
        </w:tc>
        <w:tc>
          <w:tcPr>
            <w:tcW w:w="1254" w:type="dxa"/>
            <w:tcBorders>
              <w:top w:val="nil"/>
              <w:left w:val="nil"/>
              <w:bottom w:val="single" w:sz="4" w:space="0" w:color="auto"/>
              <w:right w:val="single" w:sz="12" w:space="0" w:color="auto"/>
            </w:tcBorders>
            <w:shd w:val="clear" w:color="auto" w:fill="auto"/>
            <w:vAlign w:val="center"/>
            <w:hideMark/>
          </w:tcPr>
          <w:p w14:paraId="6E5CE5E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vMerge w:val="restart"/>
            <w:tcBorders>
              <w:top w:val="nil"/>
              <w:left w:val="single" w:sz="12" w:space="0" w:color="auto"/>
              <w:bottom w:val="single" w:sz="4" w:space="0" w:color="000000"/>
              <w:right w:val="single" w:sz="12" w:space="0" w:color="auto"/>
            </w:tcBorders>
            <w:shd w:val="clear" w:color="000000" w:fill="FFFFFF"/>
            <w:vAlign w:val="center"/>
            <w:hideMark/>
          </w:tcPr>
          <w:p w14:paraId="7CED122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State Mentoring Team, State </w:t>
            </w:r>
            <w:proofErr w:type="spellStart"/>
            <w:r w:rsidRPr="00D41BDC">
              <w:rPr>
                <w:rFonts w:ascii="Verdana" w:eastAsia="Times New Roman" w:hAnsi="Verdana" w:cs="Calibri"/>
                <w:color w:val="000000"/>
                <w:sz w:val="14"/>
                <w:szCs w:val="14"/>
                <w:lang w:eastAsia="ja-JP"/>
              </w:rPr>
              <w:t>MoF</w:t>
            </w:r>
            <w:proofErr w:type="spellEnd"/>
            <w:r w:rsidRPr="00D41BDC">
              <w:rPr>
                <w:rFonts w:ascii="Verdana" w:eastAsia="Times New Roman" w:hAnsi="Verdana" w:cs="Calibri"/>
                <w:color w:val="000000"/>
                <w:sz w:val="14"/>
                <w:szCs w:val="14"/>
                <w:lang w:eastAsia="ja-JP"/>
              </w:rPr>
              <w:t>; State DG of Finance and Administration; SRA, state line ministries; select representation from counties</w:t>
            </w:r>
          </w:p>
        </w:tc>
      </w:tr>
      <w:tr w:rsidR="00A04148" w:rsidRPr="00D41BDC" w14:paraId="72F15802" w14:textId="77777777" w:rsidTr="00B2326F">
        <w:trPr>
          <w:trHeight w:val="250"/>
        </w:trPr>
        <w:tc>
          <w:tcPr>
            <w:tcW w:w="1174" w:type="dxa"/>
            <w:vMerge/>
            <w:tcBorders>
              <w:top w:val="nil"/>
              <w:left w:val="single" w:sz="12" w:space="0" w:color="auto"/>
              <w:bottom w:val="nil"/>
              <w:right w:val="single" w:sz="12" w:space="0" w:color="auto"/>
            </w:tcBorders>
            <w:vAlign w:val="center"/>
            <w:hideMark/>
          </w:tcPr>
          <w:p w14:paraId="6C00032C"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57869855"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618EDDB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40DC20A7"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57DD6D7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64BDADBF"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BBF5CB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5754BAA3"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6888D71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64B1031E"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75D18DB5"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0336439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53CC45AF"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2. Supplies, Commodities, Materials </w:t>
            </w:r>
          </w:p>
        </w:tc>
        <w:tc>
          <w:tcPr>
            <w:tcW w:w="940" w:type="dxa"/>
            <w:tcBorders>
              <w:top w:val="nil"/>
              <w:left w:val="nil"/>
              <w:bottom w:val="single" w:sz="4" w:space="0" w:color="auto"/>
              <w:right w:val="single" w:sz="4" w:space="0" w:color="auto"/>
            </w:tcBorders>
            <w:shd w:val="clear" w:color="auto" w:fill="auto"/>
            <w:vAlign w:val="center"/>
            <w:hideMark/>
          </w:tcPr>
          <w:p w14:paraId="5E9A2324"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20,000 </w:t>
            </w:r>
          </w:p>
        </w:tc>
        <w:tc>
          <w:tcPr>
            <w:tcW w:w="1184" w:type="dxa"/>
            <w:tcBorders>
              <w:top w:val="nil"/>
              <w:left w:val="nil"/>
              <w:bottom w:val="single" w:sz="4" w:space="0" w:color="auto"/>
              <w:right w:val="single" w:sz="4" w:space="0" w:color="auto"/>
            </w:tcBorders>
            <w:shd w:val="clear" w:color="auto" w:fill="auto"/>
            <w:vAlign w:val="center"/>
            <w:hideMark/>
          </w:tcPr>
          <w:p w14:paraId="5A430161"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5798D641"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20,000 </w:t>
            </w:r>
          </w:p>
        </w:tc>
        <w:tc>
          <w:tcPr>
            <w:tcW w:w="1254" w:type="dxa"/>
            <w:tcBorders>
              <w:top w:val="nil"/>
              <w:left w:val="nil"/>
              <w:bottom w:val="single" w:sz="4" w:space="0" w:color="auto"/>
              <w:right w:val="single" w:sz="12" w:space="0" w:color="auto"/>
            </w:tcBorders>
            <w:shd w:val="clear" w:color="auto" w:fill="auto"/>
            <w:vAlign w:val="center"/>
            <w:hideMark/>
          </w:tcPr>
          <w:p w14:paraId="1D606AA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UNICEF</w:t>
            </w:r>
          </w:p>
        </w:tc>
        <w:tc>
          <w:tcPr>
            <w:tcW w:w="1287" w:type="dxa"/>
            <w:vMerge/>
            <w:tcBorders>
              <w:top w:val="nil"/>
              <w:left w:val="single" w:sz="12" w:space="0" w:color="auto"/>
              <w:bottom w:val="single" w:sz="4" w:space="0" w:color="000000"/>
              <w:right w:val="single" w:sz="12" w:space="0" w:color="auto"/>
            </w:tcBorders>
            <w:vAlign w:val="center"/>
            <w:hideMark/>
          </w:tcPr>
          <w:p w14:paraId="16E8903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r>
      <w:tr w:rsidR="00A04148" w:rsidRPr="00D41BDC" w14:paraId="48210BB4" w14:textId="77777777" w:rsidTr="00B2326F">
        <w:trPr>
          <w:trHeight w:val="250"/>
        </w:trPr>
        <w:tc>
          <w:tcPr>
            <w:tcW w:w="1174" w:type="dxa"/>
            <w:vMerge/>
            <w:tcBorders>
              <w:top w:val="nil"/>
              <w:left w:val="single" w:sz="12" w:space="0" w:color="auto"/>
              <w:bottom w:val="nil"/>
              <w:right w:val="single" w:sz="12" w:space="0" w:color="auto"/>
            </w:tcBorders>
            <w:vAlign w:val="center"/>
            <w:hideMark/>
          </w:tcPr>
          <w:p w14:paraId="2FCA3040"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7AA9D3E6"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603317C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23247654"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48DC351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42EE1650"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42DADC2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613D470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06DB60A5"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29173FC8"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7BF6AB1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410E0CC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530D51DC"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5. Travel </w:t>
            </w:r>
          </w:p>
        </w:tc>
        <w:tc>
          <w:tcPr>
            <w:tcW w:w="940" w:type="dxa"/>
            <w:tcBorders>
              <w:top w:val="nil"/>
              <w:left w:val="nil"/>
              <w:bottom w:val="single" w:sz="4" w:space="0" w:color="auto"/>
              <w:right w:val="single" w:sz="4" w:space="0" w:color="auto"/>
            </w:tcBorders>
            <w:shd w:val="clear" w:color="auto" w:fill="auto"/>
            <w:vAlign w:val="center"/>
            <w:hideMark/>
          </w:tcPr>
          <w:p w14:paraId="410A52C4"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20,000 </w:t>
            </w:r>
          </w:p>
        </w:tc>
        <w:tc>
          <w:tcPr>
            <w:tcW w:w="1184" w:type="dxa"/>
            <w:tcBorders>
              <w:top w:val="nil"/>
              <w:left w:val="nil"/>
              <w:bottom w:val="single" w:sz="4" w:space="0" w:color="auto"/>
              <w:right w:val="single" w:sz="4" w:space="0" w:color="auto"/>
            </w:tcBorders>
            <w:shd w:val="clear" w:color="auto" w:fill="auto"/>
            <w:vAlign w:val="center"/>
            <w:hideMark/>
          </w:tcPr>
          <w:p w14:paraId="44160DFB"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10,000 </w:t>
            </w:r>
          </w:p>
        </w:tc>
        <w:tc>
          <w:tcPr>
            <w:tcW w:w="940" w:type="dxa"/>
            <w:tcBorders>
              <w:top w:val="nil"/>
              <w:left w:val="nil"/>
              <w:bottom w:val="single" w:sz="4" w:space="0" w:color="auto"/>
              <w:right w:val="single" w:sz="4" w:space="0" w:color="auto"/>
            </w:tcBorders>
            <w:shd w:val="clear" w:color="auto" w:fill="auto"/>
            <w:vAlign w:val="center"/>
            <w:hideMark/>
          </w:tcPr>
          <w:p w14:paraId="1D233BCA"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30,000 </w:t>
            </w:r>
          </w:p>
        </w:tc>
        <w:tc>
          <w:tcPr>
            <w:tcW w:w="1254" w:type="dxa"/>
            <w:tcBorders>
              <w:top w:val="nil"/>
              <w:left w:val="nil"/>
              <w:bottom w:val="single" w:sz="4" w:space="0" w:color="auto"/>
              <w:right w:val="single" w:sz="12" w:space="0" w:color="auto"/>
            </w:tcBorders>
            <w:shd w:val="clear" w:color="auto" w:fill="auto"/>
            <w:vAlign w:val="center"/>
            <w:hideMark/>
          </w:tcPr>
          <w:p w14:paraId="6BB9738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vMerge/>
            <w:tcBorders>
              <w:top w:val="nil"/>
              <w:left w:val="single" w:sz="12" w:space="0" w:color="auto"/>
              <w:bottom w:val="single" w:sz="4" w:space="0" w:color="000000"/>
              <w:right w:val="single" w:sz="12" w:space="0" w:color="auto"/>
            </w:tcBorders>
            <w:vAlign w:val="center"/>
            <w:hideMark/>
          </w:tcPr>
          <w:p w14:paraId="4492A06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r>
      <w:tr w:rsidR="00A04148" w:rsidRPr="00D41BDC" w14:paraId="14155F68" w14:textId="77777777" w:rsidTr="00B2326F">
        <w:trPr>
          <w:trHeight w:val="250"/>
        </w:trPr>
        <w:tc>
          <w:tcPr>
            <w:tcW w:w="1174" w:type="dxa"/>
            <w:vMerge/>
            <w:tcBorders>
              <w:top w:val="nil"/>
              <w:left w:val="single" w:sz="12" w:space="0" w:color="auto"/>
              <w:bottom w:val="nil"/>
              <w:right w:val="single" w:sz="12" w:space="0" w:color="auto"/>
            </w:tcBorders>
            <w:vAlign w:val="center"/>
            <w:hideMark/>
          </w:tcPr>
          <w:p w14:paraId="36CAC245"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1B8BAEA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58B8117C"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2883B391"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5F8C7C45"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2B883E8E"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24D49F1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0BE8C0A1"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7B32909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DE1E238"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3DB077CE"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35F0DE2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74880AA2"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5. Travel </w:t>
            </w:r>
          </w:p>
        </w:tc>
        <w:tc>
          <w:tcPr>
            <w:tcW w:w="940" w:type="dxa"/>
            <w:tcBorders>
              <w:top w:val="nil"/>
              <w:left w:val="nil"/>
              <w:bottom w:val="single" w:sz="4" w:space="0" w:color="auto"/>
              <w:right w:val="single" w:sz="4" w:space="0" w:color="auto"/>
            </w:tcBorders>
            <w:shd w:val="clear" w:color="auto" w:fill="auto"/>
            <w:vAlign w:val="center"/>
            <w:hideMark/>
          </w:tcPr>
          <w:p w14:paraId="220CE216"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20,000 </w:t>
            </w:r>
          </w:p>
        </w:tc>
        <w:tc>
          <w:tcPr>
            <w:tcW w:w="1184" w:type="dxa"/>
            <w:tcBorders>
              <w:top w:val="nil"/>
              <w:left w:val="nil"/>
              <w:bottom w:val="single" w:sz="4" w:space="0" w:color="auto"/>
              <w:right w:val="single" w:sz="4" w:space="0" w:color="auto"/>
            </w:tcBorders>
            <w:shd w:val="clear" w:color="auto" w:fill="auto"/>
            <w:vAlign w:val="center"/>
            <w:hideMark/>
          </w:tcPr>
          <w:p w14:paraId="634A3BEF"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10,000 </w:t>
            </w:r>
          </w:p>
        </w:tc>
        <w:tc>
          <w:tcPr>
            <w:tcW w:w="940" w:type="dxa"/>
            <w:tcBorders>
              <w:top w:val="nil"/>
              <w:left w:val="nil"/>
              <w:bottom w:val="single" w:sz="4" w:space="0" w:color="auto"/>
              <w:right w:val="single" w:sz="4" w:space="0" w:color="auto"/>
            </w:tcBorders>
            <w:shd w:val="clear" w:color="auto" w:fill="auto"/>
            <w:vAlign w:val="center"/>
            <w:hideMark/>
          </w:tcPr>
          <w:p w14:paraId="31EA26C7"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30,000 </w:t>
            </w:r>
          </w:p>
        </w:tc>
        <w:tc>
          <w:tcPr>
            <w:tcW w:w="1254" w:type="dxa"/>
            <w:tcBorders>
              <w:top w:val="nil"/>
              <w:left w:val="nil"/>
              <w:bottom w:val="single" w:sz="4" w:space="0" w:color="auto"/>
              <w:right w:val="single" w:sz="12" w:space="0" w:color="auto"/>
            </w:tcBorders>
            <w:shd w:val="clear" w:color="auto" w:fill="auto"/>
            <w:vAlign w:val="center"/>
            <w:hideMark/>
          </w:tcPr>
          <w:p w14:paraId="7EDE69C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UNICEF</w:t>
            </w:r>
          </w:p>
        </w:tc>
        <w:tc>
          <w:tcPr>
            <w:tcW w:w="1287" w:type="dxa"/>
            <w:vMerge/>
            <w:tcBorders>
              <w:top w:val="nil"/>
              <w:left w:val="single" w:sz="12" w:space="0" w:color="auto"/>
              <w:bottom w:val="single" w:sz="4" w:space="0" w:color="000000"/>
              <w:right w:val="single" w:sz="12" w:space="0" w:color="auto"/>
            </w:tcBorders>
            <w:vAlign w:val="center"/>
            <w:hideMark/>
          </w:tcPr>
          <w:p w14:paraId="358D9838"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r>
      <w:tr w:rsidR="00A04148" w:rsidRPr="00D41BDC" w14:paraId="2DF0812A" w14:textId="77777777" w:rsidTr="00B2326F">
        <w:trPr>
          <w:trHeight w:val="250"/>
        </w:trPr>
        <w:tc>
          <w:tcPr>
            <w:tcW w:w="1174" w:type="dxa"/>
            <w:vMerge/>
            <w:tcBorders>
              <w:top w:val="nil"/>
              <w:left w:val="single" w:sz="12" w:space="0" w:color="auto"/>
              <w:bottom w:val="nil"/>
              <w:right w:val="single" w:sz="12" w:space="0" w:color="auto"/>
            </w:tcBorders>
            <w:vAlign w:val="center"/>
            <w:hideMark/>
          </w:tcPr>
          <w:p w14:paraId="12F9E210"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17624C0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310B04E1"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0EC6F3E6"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01876EF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43B893E1"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1B0E07A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0447E8E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55BEED50"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18A2F885"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3F24D3B8"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02DB05AD"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27756A6F"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nil"/>
              <w:right w:val="single" w:sz="4" w:space="0" w:color="auto"/>
            </w:tcBorders>
            <w:shd w:val="clear" w:color="auto" w:fill="auto"/>
            <w:vAlign w:val="center"/>
            <w:hideMark/>
          </w:tcPr>
          <w:p w14:paraId="5E80DAB9"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184" w:type="dxa"/>
            <w:tcBorders>
              <w:top w:val="nil"/>
              <w:left w:val="nil"/>
              <w:bottom w:val="single" w:sz="4" w:space="0" w:color="auto"/>
              <w:right w:val="single" w:sz="4" w:space="0" w:color="auto"/>
            </w:tcBorders>
            <w:shd w:val="clear" w:color="auto" w:fill="auto"/>
            <w:vAlign w:val="center"/>
            <w:hideMark/>
          </w:tcPr>
          <w:p w14:paraId="1053D71B"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7B6FEFDC"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254" w:type="dxa"/>
            <w:tcBorders>
              <w:top w:val="nil"/>
              <w:left w:val="nil"/>
              <w:bottom w:val="single" w:sz="4" w:space="0" w:color="auto"/>
              <w:right w:val="single" w:sz="12" w:space="0" w:color="auto"/>
            </w:tcBorders>
            <w:shd w:val="clear" w:color="000000" w:fill="FFFFFF"/>
            <w:vAlign w:val="center"/>
            <w:hideMark/>
          </w:tcPr>
          <w:p w14:paraId="1051CEF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OHCHR</w:t>
            </w:r>
          </w:p>
        </w:tc>
        <w:tc>
          <w:tcPr>
            <w:tcW w:w="1287" w:type="dxa"/>
            <w:vMerge/>
            <w:tcBorders>
              <w:top w:val="nil"/>
              <w:left w:val="single" w:sz="12" w:space="0" w:color="auto"/>
              <w:bottom w:val="single" w:sz="4" w:space="0" w:color="000000"/>
              <w:right w:val="single" w:sz="12" w:space="0" w:color="auto"/>
            </w:tcBorders>
            <w:vAlign w:val="center"/>
            <w:hideMark/>
          </w:tcPr>
          <w:p w14:paraId="2D7CF5DA"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r>
      <w:tr w:rsidR="00A04148" w:rsidRPr="00D41BDC" w14:paraId="14EAD5DB" w14:textId="77777777" w:rsidTr="00B2326F">
        <w:trPr>
          <w:trHeight w:val="250"/>
        </w:trPr>
        <w:tc>
          <w:tcPr>
            <w:tcW w:w="1174" w:type="dxa"/>
            <w:vMerge/>
            <w:tcBorders>
              <w:top w:val="nil"/>
              <w:left w:val="single" w:sz="12" w:space="0" w:color="auto"/>
              <w:bottom w:val="nil"/>
              <w:right w:val="single" w:sz="12" w:space="0" w:color="auto"/>
            </w:tcBorders>
            <w:vAlign w:val="center"/>
            <w:hideMark/>
          </w:tcPr>
          <w:p w14:paraId="7E98015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28788C0D"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33A1849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5668AC0F"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089DAA6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239FA51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3E8D0B25"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43F14F3A"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1B79342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13D33622"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28D06808"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5E33BECA"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022B3AF5"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single" w:sz="4" w:space="0" w:color="auto"/>
              <w:left w:val="nil"/>
              <w:bottom w:val="nil"/>
              <w:right w:val="single" w:sz="4" w:space="0" w:color="auto"/>
            </w:tcBorders>
            <w:shd w:val="clear" w:color="auto" w:fill="auto"/>
            <w:vAlign w:val="center"/>
            <w:hideMark/>
          </w:tcPr>
          <w:p w14:paraId="4F8167E0"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184" w:type="dxa"/>
            <w:tcBorders>
              <w:top w:val="nil"/>
              <w:left w:val="nil"/>
              <w:bottom w:val="single" w:sz="4" w:space="0" w:color="auto"/>
              <w:right w:val="single" w:sz="4" w:space="0" w:color="auto"/>
            </w:tcBorders>
            <w:shd w:val="clear" w:color="auto" w:fill="auto"/>
            <w:vAlign w:val="center"/>
            <w:hideMark/>
          </w:tcPr>
          <w:p w14:paraId="327ACFEC"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2C876F85"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   </w:t>
            </w:r>
          </w:p>
        </w:tc>
        <w:tc>
          <w:tcPr>
            <w:tcW w:w="1254" w:type="dxa"/>
            <w:tcBorders>
              <w:top w:val="nil"/>
              <w:left w:val="nil"/>
              <w:bottom w:val="single" w:sz="4" w:space="0" w:color="auto"/>
              <w:right w:val="single" w:sz="12" w:space="0" w:color="auto"/>
            </w:tcBorders>
            <w:shd w:val="clear" w:color="000000" w:fill="FFFFFF"/>
            <w:vAlign w:val="center"/>
            <w:hideMark/>
          </w:tcPr>
          <w:p w14:paraId="62CE128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WHO</w:t>
            </w:r>
          </w:p>
        </w:tc>
        <w:tc>
          <w:tcPr>
            <w:tcW w:w="1287" w:type="dxa"/>
            <w:vMerge/>
            <w:tcBorders>
              <w:top w:val="nil"/>
              <w:left w:val="single" w:sz="12" w:space="0" w:color="auto"/>
              <w:bottom w:val="single" w:sz="4" w:space="0" w:color="000000"/>
              <w:right w:val="single" w:sz="12" w:space="0" w:color="auto"/>
            </w:tcBorders>
            <w:vAlign w:val="center"/>
            <w:hideMark/>
          </w:tcPr>
          <w:p w14:paraId="16AA0E1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r>
      <w:tr w:rsidR="00A04148" w:rsidRPr="00D41BDC" w14:paraId="436C1F45" w14:textId="77777777" w:rsidTr="00B2326F">
        <w:trPr>
          <w:trHeight w:val="250"/>
        </w:trPr>
        <w:tc>
          <w:tcPr>
            <w:tcW w:w="1174" w:type="dxa"/>
            <w:vMerge/>
            <w:tcBorders>
              <w:top w:val="nil"/>
              <w:left w:val="single" w:sz="12" w:space="0" w:color="auto"/>
              <w:bottom w:val="nil"/>
              <w:right w:val="single" w:sz="12" w:space="0" w:color="auto"/>
            </w:tcBorders>
            <w:vAlign w:val="center"/>
            <w:hideMark/>
          </w:tcPr>
          <w:p w14:paraId="101AFC11"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7644D2EB"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495C6ACC"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val="restart"/>
            <w:tcBorders>
              <w:top w:val="nil"/>
              <w:left w:val="single" w:sz="12" w:space="0" w:color="auto"/>
              <w:bottom w:val="single" w:sz="4" w:space="0" w:color="auto"/>
              <w:right w:val="single" w:sz="12" w:space="0" w:color="auto"/>
            </w:tcBorders>
            <w:shd w:val="clear" w:color="auto" w:fill="auto"/>
            <w:vAlign w:val="center"/>
            <w:hideMark/>
          </w:tcPr>
          <w:p w14:paraId="7979DD76"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2.4 </w:t>
            </w:r>
            <w:r w:rsidRPr="00D41BDC">
              <w:rPr>
                <w:rFonts w:ascii="Verdana" w:eastAsia="Times New Roman" w:hAnsi="Verdana" w:cs="Calibri"/>
                <w:b/>
                <w:bCs/>
                <w:sz w:val="14"/>
                <w:szCs w:val="14"/>
                <w:lang w:eastAsia="ja-JP"/>
              </w:rPr>
              <w:t>[State Level Training]</w:t>
            </w:r>
            <w:r w:rsidRPr="00D41BDC">
              <w:rPr>
                <w:rFonts w:ascii="Verdana" w:eastAsia="Times New Roman" w:hAnsi="Verdana" w:cs="Calibri"/>
                <w:sz w:val="14"/>
                <w:szCs w:val="14"/>
                <w:lang w:eastAsia="ja-JP"/>
              </w:rPr>
              <w:t xml:space="preserve"> Support the State Mentoring Team to follow up the PMF cycle process at the state level</w:t>
            </w:r>
          </w:p>
        </w:tc>
        <w:tc>
          <w:tcPr>
            <w:tcW w:w="397" w:type="dxa"/>
            <w:vMerge w:val="restart"/>
            <w:tcBorders>
              <w:top w:val="nil"/>
              <w:left w:val="single" w:sz="12" w:space="0" w:color="auto"/>
              <w:bottom w:val="nil"/>
              <w:right w:val="single" w:sz="4" w:space="0" w:color="auto"/>
            </w:tcBorders>
            <w:shd w:val="clear" w:color="auto" w:fill="auto"/>
            <w:vAlign w:val="center"/>
            <w:hideMark/>
          </w:tcPr>
          <w:p w14:paraId="5331F16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nil"/>
              <w:right w:val="single" w:sz="4" w:space="0" w:color="auto"/>
            </w:tcBorders>
            <w:shd w:val="clear" w:color="000000" w:fill="92D050"/>
            <w:vAlign w:val="center"/>
            <w:hideMark/>
          </w:tcPr>
          <w:p w14:paraId="3E06C7D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nil"/>
              <w:right w:val="single" w:sz="4" w:space="0" w:color="auto"/>
            </w:tcBorders>
            <w:shd w:val="clear" w:color="auto" w:fill="auto"/>
            <w:vAlign w:val="center"/>
            <w:hideMark/>
          </w:tcPr>
          <w:p w14:paraId="252E8C7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nil"/>
              <w:right w:val="single" w:sz="12" w:space="0" w:color="auto"/>
            </w:tcBorders>
            <w:shd w:val="clear" w:color="000000" w:fill="92D050"/>
            <w:vAlign w:val="center"/>
            <w:hideMark/>
          </w:tcPr>
          <w:p w14:paraId="05D015B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nil"/>
              <w:right w:val="single" w:sz="4" w:space="0" w:color="auto"/>
            </w:tcBorders>
            <w:shd w:val="clear" w:color="auto" w:fill="auto"/>
            <w:vAlign w:val="center"/>
            <w:hideMark/>
          </w:tcPr>
          <w:p w14:paraId="1ADCD3F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nil"/>
              <w:right w:val="single" w:sz="4" w:space="0" w:color="auto"/>
            </w:tcBorders>
            <w:shd w:val="clear" w:color="000000" w:fill="92D050"/>
            <w:vAlign w:val="center"/>
            <w:hideMark/>
          </w:tcPr>
          <w:p w14:paraId="24BC41B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nil"/>
              <w:right w:val="single" w:sz="4" w:space="0" w:color="auto"/>
            </w:tcBorders>
            <w:shd w:val="clear" w:color="auto" w:fill="auto"/>
            <w:vAlign w:val="center"/>
            <w:hideMark/>
          </w:tcPr>
          <w:p w14:paraId="65329A1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nil"/>
              <w:right w:val="single" w:sz="12" w:space="0" w:color="auto"/>
            </w:tcBorders>
            <w:shd w:val="clear" w:color="000000" w:fill="92D050"/>
            <w:vAlign w:val="center"/>
            <w:hideMark/>
          </w:tcPr>
          <w:p w14:paraId="614D770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auto" w:fill="auto"/>
            <w:vAlign w:val="center"/>
            <w:hideMark/>
          </w:tcPr>
          <w:p w14:paraId="73DC6D95"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2. Supplies, Commodities, Materials </w:t>
            </w:r>
          </w:p>
        </w:tc>
        <w:tc>
          <w:tcPr>
            <w:tcW w:w="940" w:type="dxa"/>
            <w:tcBorders>
              <w:top w:val="single" w:sz="4" w:space="0" w:color="auto"/>
              <w:left w:val="nil"/>
              <w:bottom w:val="nil"/>
              <w:right w:val="single" w:sz="4" w:space="0" w:color="auto"/>
            </w:tcBorders>
            <w:shd w:val="clear" w:color="auto" w:fill="auto"/>
            <w:vAlign w:val="center"/>
            <w:hideMark/>
          </w:tcPr>
          <w:p w14:paraId="6A64DABF"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2,000 </w:t>
            </w:r>
          </w:p>
        </w:tc>
        <w:tc>
          <w:tcPr>
            <w:tcW w:w="1184" w:type="dxa"/>
            <w:tcBorders>
              <w:top w:val="nil"/>
              <w:left w:val="nil"/>
              <w:bottom w:val="single" w:sz="4" w:space="0" w:color="auto"/>
              <w:right w:val="single" w:sz="4" w:space="0" w:color="auto"/>
            </w:tcBorders>
            <w:shd w:val="clear" w:color="auto" w:fill="auto"/>
            <w:vAlign w:val="center"/>
            <w:hideMark/>
          </w:tcPr>
          <w:p w14:paraId="3A28C7B3"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4981F099"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2,000 </w:t>
            </w:r>
          </w:p>
        </w:tc>
        <w:tc>
          <w:tcPr>
            <w:tcW w:w="1254" w:type="dxa"/>
            <w:tcBorders>
              <w:top w:val="nil"/>
              <w:left w:val="nil"/>
              <w:bottom w:val="single" w:sz="4" w:space="0" w:color="auto"/>
              <w:right w:val="single" w:sz="12" w:space="0" w:color="auto"/>
            </w:tcBorders>
            <w:shd w:val="clear" w:color="auto" w:fill="auto"/>
            <w:vAlign w:val="center"/>
            <w:hideMark/>
          </w:tcPr>
          <w:p w14:paraId="18F7FDD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vMerge w:val="restart"/>
            <w:tcBorders>
              <w:top w:val="nil"/>
              <w:left w:val="single" w:sz="12" w:space="0" w:color="auto"/>
              <w:bottom w:val="nil"/>
              <w:right w:val="single" w:sz="12" w:space="0" w:color="auto"/>
            </w:tcBorders>
            <w:shd w:val="clear" w:color="000000" w:fill="FFFFFF"/>
            <w:vAlign w:val="center"/>
            <w:hideMark/>
          </w:tcPr>
          <w:p w14:paraId="7CD2F0C8"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State Mentoring Team, State </w:t>
            </w:r>
            <w:proofErr w:type="spellStart"/>
            <w:r w:rsidRPr="00D41BDC">
              <w:rPr>
                <w:rFonts w:ascii="Verdana" w:eastAsia="Times New Roman" w:hAnsi="Verdana" w:cs="Calibri"/>
                <w:color w:val="000000"/>
                <w:sz w:val="14"/>
                <w:szCs w:val="14"/>
                <w:lang w:eastAsia="ja-JP"/>
              </w:rPr>
              <w:t>MoF</w:t>
            </w:r>
            <w:proofErr w:type="spellEnd"/>
            <w:r w:rsidRPr="00D41BDC">
              <w:rPr>
                <w:rFonts w:ascii="Verdana" w:eastAsia="Times New Roman" w:hAnsi="Verdana" w:cs="Calibri"/>
                <w:color w:val="000000"/>
                <w:sz w:val="14"/>
                <w:szCs w:val="14"/>
                <w:lang w:eastAsia="ja-JP"/>
              </w:rPr>
              <w:t xml:space="preserve">; State DG of Finance and Administration; SRA, state line ministries; </w:t>
            </w:r>
            <w:r w:rsidRPr="00D41BDC">
              <w:rPr>
                <w:rFonts w:ascii="Verdana" w:eastAsia="Times New Roman" w:hAnsi="Verdana" w:cs="Calibri"/>
                <w:color w:val="000000"/>
                <w:sz w:val="14"/>
                <w:szCs w:val="14"/>
                <w:lang w:eastAsia="ja-JP"/>
              </w:rPr>
              <w:lastRenderedPageBreak/>
              <w:t>select representation from counties</w:t>
            </w:r>
          </w:p>
        </w:tc>
      </w:tr>
      <w:tr w:rsidR="00A04148" w:rsidRPr="00D41BDC" w14:paraId="02BF0E04" w14:textId="77777777" w:rsidTr="00B2326F">
        <w:trPr>
          <w:trHeight w:val="250"/>
        </w:trPr>
        <w:tc>
          <w:tcPr>
            <w:tcW w:w="1174" w:type="dxa"/>
            <w:vMerge/>
            <w:tcBorders>
              <w:top w:val="nil"/>
              <w:left w:val="single" w:sz="12" w:space="0" w:color="auto"/>
              <w:bottom w:val="nil"/>
              <w:right w:val="single" w:sz="12" w:space="0" w:color="auto"/>
            </w:tcBorders>
            <w:vAlign w:val="center"/>
            <w:hideMark/>
          </w:tcPr>
          <w:p w14:paraId="25F8623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44DCFB7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6CA837D5"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auto"/>
              <w:right w:val="single" w:sz="12" w:space="0" w:color="auto"/>
            </w:tcBorders>
            <w:vAlign w:val="center"/>
            <w:hideMark/>
          </w:tcPr>
          <w:p w14:paraId="0C72CF48"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nil"/>
              <w:right w:val="single" w:sz="4" w:space="0" w:color="auto"/>
            </w:tcBorders>
            <w:vAlign w:val="center"/>
            <w:hideMark/>
          </w:tcPr>
          <w:p w14:paraId="2B86BC0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nil"/>
              <w:right w:val="single" w:sz="4" w:space="0" w:color="auto"/>
            </w:tcBorders>
            <w:vAlign w:val="center"/>
            <w:hideMark/>
          </w:tcPr>
          <w:p w14:paraId="6AE7F4DD"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nil"/>
              <w:right w:val="single" w:sz="4" w:space="0" w:color="auto"/>
            </w:tcBorders>
            <w:vAlign w:val="center"/>
            <w:hideMark/>
          </w:tcPr>
          <w:p w14:paraId="5FA9B573"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nil"/>
              <w:right w:val="single" w:sz="12" w:space="0" w:color="auto"/>
            </w:tcBorders>
            <w:vAlign w:val="center"/>
            <w:hideMark/>
          </w:tcPr>
          <w:p w14:paraId="0CA2DDAA"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nil"/>
              <w:right w:val="single" w:sz="4" w:space="0" w:color="auto"/>
            </w:tcBorders>
            <w:vAlign w:val="center"/>
            <w:hideMark/>
          </w:tcPr>
          <w:p w14:paraId="5F1E70E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nil"/>
              <w:right w:val="single" w:sz="4" w:space="0" w:color="auto"/>
            </w:tcBorders>
            <w:vAlign w:val="center"/>
            <w:hideMark/>
          </w:tcPr>
          <w:p w14:paraId="2DDE96A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nil"/>
              <w:right w:val="single" w:sz="4" w:space="0" w:color="auto"/>
            </w:tcBorders>
            <w:vAlign w:val="center"/>
            <w:hideMark/>
          </w:tcPr>
          <w:p w14:paraId="4F464FBF"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nil"/>
              <w:right w:val="single" w:sz="12" w:space="0" w:color="auto"/>
            </w:tcBorders>
            <w:vAlign w:val="center"/>
            <w:hideMark/>
          </w:tcPr>
          <w:p w14:paraId="576E2C60"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38A93E7C"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5. Travel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FCEEC32"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20,000 </w:t>
            </w:r>
          </w:p>
        </w:tc>
        <w:tc>
          <w:tcPr>
            <w:tcW w:w="1184" w:type="dxa"/>
            <w:tcBorders>
              <w:top w:val="nil"/>
              <w:left w:val="nil"/>
              <w:bottom w:val="nil"/>
              <w:right w:val="single" w:sz="4" w:space="0" w:color="auto"/>
            </w:tcBorders>
            <w:shd w:val="clear" w:color="auto" w:fill="auto"/>
            <w:vAlign w:val="center"/>
            <w:hideMark/>
          </w:tcPr>
          <w:p w14:paraId="50480923"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76936EC9"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20,000 </w:t>
            </w:r>
          </w:p>
        </w:tc>
        <w:tc>
          <w:tcPr>
            <w:tcW w:w="1254" w:type="dxa"/>
            <w:tcBorders>
              <w:top w:val="nil"/>
              <w:left w:val="nil"/>
              <w:bottom w:val="single" w:sz="4" w:space="0" w:color="auto"/>
              <w:right w:val="single" w:sz="12" w:space="0" w:color="auto"/>
            </w:tcBorders>
            <w:shd w:val="clear" w:color="auto" w:fill="auto"/>
            <w:vAlign w:val="center"/>
            <w:hideMark/>
          </w:tcPr>
          <w:p w14:paraId="110E048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UNICEF</w:t>
            </w:r>
          </w:p>
        </w:tc>
        <w:tc>
          <w:tcPr>
            <w:tcW w:w="1287" w:type="dxa"/>
            <w:vMerge/>
            <w:tcBorders>
              <w:top w:val="nil"/>
              <w:left w:val="single" w:sz="12" w:space="0" w:color="auto"/>
              <w:bottom w:val="nil"/>
              <w:right w:val="single" w:sz="12" w:space="0" w:color="auto"/>
            </w:tcBorders>
            <w:vAlign w:val="center"/>
            <w:hideMark/>
          </w:tcPr>
          <w:p w14:paraId="61CFFA38"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r>
      <w:tr w:rsidR="00A04148" w:rsidRPr="00D41BDC" w14:paraId="5D9C3FC3" w14:textId="77777777" w:rsidTr="00B2326F">
        <w:trPr>
          <w:trHeight w:val="410"/>
        </w:trPr>
        <w:tc>
          <w:tcPr>
            <w:tcW w:w="1174" w:type="dxa"/>
            <w:vMerge/>
            <w:tcBorders>
              <w:top w:val="nil"/>
              <w:left w:val="single" w:sz="12" w:space="0" w:color="auto"/>
              <w:bottom w:val="nil"/>
              <w:right w:val="single" w:sz="12" w:space="0" w:color="auto"/>
            </w:tcBorders>
            <w:vAlign w:val="center"/>
            <w:hideMark/>
          </w:tcPr>
          <w:p w14:paraId="7689507E"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nil"/>
              <w:right w:val="single" w:sz="12" w:space="0" w:color="auto"/>
            </w:tcBorders>
            <w:vAlign w:val="center"/>
            <w:hideMark/>
          </w:tcPr>
          <w:p w14:paraId="0CE1F5F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nil"/>
              <w:right w:val="single" w:sz="12" w:space="0" w:color="auto"/>
            </w:tcBorders>
            <w:vAlign w:val="center"/>
            <w:hideMark/>
          </w:tcPr>
          <w:p w14:paraId="53A545B7"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tcBorders>
              <w:top w:val="nil"/>
              <w:left w:val="nil"/>
              <w:bottom w:val="single" w:sz="4" w:space="0" w:color="auto"/>
              <w:right w:val="single" w:sz="12" w:space="0" w:color="auto"/>
            </w:tcBorders>
            <w:shd w:val="clear" w:color="auto" w:fill="auto"/>
            <w:vAlign w:val="center"/>
            <w:hideMark/>
          </w:tcPr>
          <w:p w14:paraId="0670608A"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2.5 Continue the development of Planning (UNDP), Budgeting, Audit and Reporting (UNICEF) Guidelines and existing MoFP tools adjustments </w:t>
            </w:r>
          </w:p>
        </w:tc>
        <w:tc>
          <w:tcPr>
            <w:tcW w:w="397" w:type="dxa"/>
            <w:tcBorders>
              <w:top w:val="single" w:sz="4" w:space="0" w:color="auto"/>
              <w:left w:val="nil"/>
              <w:bottom w:val="nil"/>
              <w:right w:val="single" w:sz="4" w:space="0" w:color="auto"/>
            </w:tcBorders>
            <w:shd w:val="clear" w:color="000000" w:fill="92D050"/>
            <w:vAlign w:val="center"/>
            <w:hideMark/>
          </w:tcPr>
          <w:p w14:paraId="2034468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single" w:sz="4" w:space="0" w:color="auto"/>
              <w:left w:val="nil"/>
              <w:bottom w:val="nil"/>
              <w:right w:val="single" w:sz="4" w:space="0" w:color="auto"/>
            </w:tcBorders>
            <w:shd w:val="clear" w:color="000000" w:fill="FFFFFF"/>
            <w:vAlign w:val="center"/>
            <w:hideMark/>
          </w:tcPr>
          <w:p w14:paraId="108386D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single" w:sz="4" w:space="0" w:color="auto"/>
              <w:left w:val="nil"/>
              <w:bottom w:val="nil"/>
              <w:right w:val="single" w:sz="4" w:space="0" w:color="auto"/>
            </w:tcBorders>
            <w:shd w:val="clear" w:color="000000" w:fill="FFFFFF"/>
            <w:vAlign w:val="center"/>
            <w:hideMark/>
          </w:tcPr>
          <w:p w14:paraId="20D78925"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single" w:sz="4" w:space="0" w:color="auto"/>
              <w:left w:val="nil"/>
              <w:bottom w:val="nil"/>
              <w:right w:val="nil"/>
            </w:tcBorders>
            <w:shd w:val="clear" w:color="000000" w:fill="FFFFFF"/>
            <w:vAlign w:val="center"/>
            <w:hideMark/>
          </w:tcPr>
          <w:p w14:paraId="07B5110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single" w:sz="4" w:space="0" w:color="auto"/>
              <w:left w:val="single" w:sz="12" w:space="0" w:color="auto"/>
              <w:bottom w:val="nil"/>
              <w:right w:val="single" w:sz="4" w:space="0" w:color="auto"/>
            </w:tcBorders>
            <w:shd w:val="clear" w:color="000000" w:fill="92D050"/>
            <w:vAlign w:val="center"/>
            <w:hideMark/>
          </w:tcPr>
          <w:p w14:paraId="485B296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single" w:sz="4" w:space="0" w:color="auto"/>
              <w:left w:val="nil"/>
              <w:bottom w:val="nil"/>
              <w:right w:val="single" w:sz="4" w:space="0" w:color="auto"/>
            </w:tcBorders>
            <w:shd w:val="clear" w:color="000000" w:fill="FFFFFF"/>
            <w:vAlign w:val="center"/>
            <w:hideMark/>
          </w:tcPr>
          <w:p w14:paraId="6C50824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single" w:sz="4" w:space="0" w:color="auto"/>
              <w:left w:val="nil"/>
              <w:bottom w:val="nil"/>
              <w:right w:val="single" w:sz="4" w:space="0" w:color="auto"/>
            </w:tcBorders>
            <w:shd w:val="clear" w:color="000000" w:fill="FFFFFF"/>
            <w:vAlign w:val="center"/>
            <w:hideMark/>
          </w:tcPr>
          <w:p w14:paraId="67A1BAA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single" w:sz="4" w:space="0" w:color="auto"/>
              <w:left w:val="nil"/>
              <w:bottom w:val="nil"/>
              <w:right w:val="single" w:sz="12" w:space="0" w:color="auto"/>
            </w:tcBorders>
            <w:shd w:val="clear" w:color="000000" w:fill="FFFFFF"/>
            <w:vAlign w:val="center"/>
            <w:hideMark/>
          </w:tcPr>
          <w:p w14:paraId="4283483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single" w:sz="4" w:space="0" w:color="auto"/>
              <w:bottom w:val="single" w:sz="4" w:space="0" w:color="auto"/>
              <w:right w:val="single" w:sz="4" w:space="0" w:color="auto"/>
            </w:tcBorders>
            <w:shd w:val="clear" w:color="auto" w:fill="auto"/>
            <w:vAlign w:val="center"/>
            <w:hideMark/>
          </w:tcPr>
          <w:p w14:paraId="4175C610"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2. Supplies, Commodities, Materials </w:t>
            </w:r>
          </w:p>
        </w:tc>
        <w:tc>
          <w:tcPr>
            <w:tcW w:w="940" w:type="dxa"/>
            <w:tcBorders>
              <w:top w:val="nil"/>
              <w:left w:val="nil"/>
              <w:bottom w:val="single" w:sz="4" w:space="0" w:color="auto"/>
              <w:right w:val="single" w:sz="4" w:space="0" w:color="auto"/>
            </w:tcBorders>
            <w:shd w:val="clear" w:color="auto" w:fill="auto"/>
            <w:vAlign w:val="center"/>
            <w:hideMark/>
          </w:tcPr>
          <w:p w14:paraId="5E3C1F1D"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                   20,000 </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14:paraId="43828A6E" w14:textId="77777777" w:rsidR="00A04148" w:rsidRPr="00D41BDC" w:rsidRDefault="00A04148" w:rsidP="00B2326F">
            <w:pPr>
              <w:spacing w:line="240" w:lineRule="auto"/>
              <w:jc w:val="right"/>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940" w:type="dxa"/>
            <w:tcBorders>
              <w:top w:val="nil"/>
              <w:left w:val="nil"/>
              <w:bottom w:val="single" w:sz="4" w:space="0" w:color="auto"/>
              <w:right w:val="single" w:sz="4" w:space="0" w:color="auto"/>
            </w:tcBorders>
            <w:shd w:val="clear" w:color="auto" w:fill="auto"/>
            <w:vAlign w:val="center"/>
            <w:hideMark/>
          </w:tcPr>
          <w:p w14:paraId="02057136"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20,000 </w:t>
            </w:r>
          </w:p>
        </w:tc>
        <w:tc>
          <w:tcPr>
            <w:tcW w:w="1254" w:type="dxa"/>
            <w:tcBorders>
              <w:top w:val="nil"/>
              <w:left w:val="nil"/>
              <w:bottom w:val="single" w:sz="4" w:space="0" w:color="auto"/>
              <w:right w:val="single" w:sz="12" w:space="0" w:color="auto"/>
            </w:tcBorders>
            <w:shd w:val="clear" w:color="auto" w:fill="auto"/>
            <w:vAlign w:val="center"/>
            <w:hideMark/>
          </w:tcPr>
          <w:p w14:paraId="25D4D08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tcBorders>
              <w:top w:val="single" w:sz="4" w:space="0" w:color="auto"/>
              <w:left w:val="single" w:sz="12" w:space="0" w:color="auto"/>
              <w:bottom w:val="nil"/>
              <w:right w:val="single" w:sz="12" w:space="0" w:color="auto"/>
            </w:tcBorders>
            <w:shd w:val="clear" w:color="000000" w:fill="FFFFFF"/>
            <w:vAlign w:val="center"/>
            <w:hideMark/>
          </w:tcPr>
          <w:p w14:paraId="70508F7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proofErr w:type="spellStart"/>
            <w:r w:rsidRPr="00D41BDC">
              <w:rPr>
                <w:rFonts w:ascii="Verdana" w:eastAsia="Times New Roman" w:hAnsi="Verdana" w:cs="Calibri"/>
                <w:color w:val="000000"/>
                <w:sz w:val="14"/>
                <w:szCs w:val="14"/>
                <w:lang w:eastAsia="ja-JP"/>
              </w:rPr>
              <w:t>MoFP</w:t>
            </w:r>
            <w:proofErr w:type="spellEnd"/>
            <w:r w:rsidRPr="00D41BDC">
              <w:rPr>
                <w:rFonts w:ascii="Verdana" w:eastAsia="Times New Roman" w:hAnsi="Verdana" w:cs="Calibri"/>
                <w:color w:val="000000"/>
                <w:sz w:val="14"/>
                <w:szCs w:val="14"/>
                <w:lang w:eastAsia="ja-JP"/>
              </w:rPr>
              <w:t xml:space="preserve">, State </w:t>
            </w:r>
            <w:proofErr w:type="spellStart"/>
            <w:r w:rsidRPr="00D41BDC">
              <w:rPr>
                <w:rFonts w:ascii="Verdana" w:eastAsia="Times New Roman" w:hAnsi="Verdana" w:cs="Calibri"/>
                <w:color w:val="000000"/>
                <w:sz w:val="14"/>
                <w:szCs w:val="14"/>
                <w:lang w:eastAsia="ja-JP"/>
              </w:rPr>
              <w:t>MoF</w:t>
            </w:r>
            <w:proofErr w:type="spellEnd"/>
            <w:r w:rsidRPr="00D41BDC">
              <w:rPr>
                <w:rFonts w:ascii="Verdana" w:eastAsia="Times New Roman" w:hAnsi="Verdana" w:cs="Calibri"/>
                <w:color w:val="000000"/>
                <w:sz w:val="14"/>
                <w:szCs w:val="14"/>
                <w:lang w:eastAsia="ja-JP"/>
              </w:rPr>
              <w:t>, State Rev. Authority, State Mentors.</w:t>
            </w:r>
          </w:p>
        </w:tc>
      </w:tr>
      <w:tr w:rsidR="00A04148" w:rsidRPr="00D41BDC" w14:paraId="24F4166A" w14:textId="77777777" w:rsidTr="00B2326F">
        <w:trPr>
          <w:trHeight w:val="700"/>
        </w:trPr>
        <w:tc>
          <w:tcPr>
            <w:tcW w:w="1174" w:type="dxa"/>
            <w:tcBorders>
              <w:top w:val="single" w:sz="12" w:space="0" w:color="auto"/>
              <w:left w:val="single" w:sz="12" w:space="0" w:color="auto"/>
              <w:bottom w:val="single" w:sz="12" w:space="0" w:color="auto"/>
              <w:right w:val="nil"/>
            </w:tcBorders>
            <w:shd w:val="clear" w:color="000000" w:fill="AEAAAA"/>
            <w:vAlign w:val="center"/>
            <w:hideMark/>
          </w:tcPr>
          <w:p w14:paraId="4E4707F6"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Output 2 Total</w:t>
            </w:r>
          </w:p>
        </w:tc>
        <w:tc>
          <w:tcPr>
            <w:tcW w:w="579" w:type="dxa"/>
            <w:tcBorders>
              <w:top w:val="single" w:sz="12" w:space="0" w:color="auto"/>
              <w:left w:val="nil"/>
              <w:bottom w:val="single" w:sz="12" w:space="0" w:color="auto"/>
              <w:right w:val="nil"/>
            </w:tcBorders>
            <w:shd w:val="clear" w:color="000000" w:fill="AEAAAA"/>
            <w:vAlign w:val="center"/>
            <w:hideMark/>
          </w:tcPr>
          <w:p w14:paraId="16094655"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578" w:type="dxa"/>
            <w:tcBorders>
              <w:top w:val="single" w:sz="12" w:space="0" w:color="auto"/>
              <w:left w:val="nil"/>
              <w:bottom w:val="single" w:sz="12" w:space="0" w:color="auto"/>
              <w:right w:val="nil"/>
            </w:tcBorders>
            <w:shd w:val="clear" w:color="000000" w:fill="AEAAAA"/>
            <w:vAlign w:val="center"/>
            <w:hideMark/>
          </w:tcPr>
          <w:p w14:paraId="7CDBD5CF"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714" w:type="dxa"/>
            <w:tcBorders>
              <w:top w:val="single" w:sz="12" w:space="0" w:color="auto"/>
              <w:left w:val="nil"/>
              <w:bottom w:val="single" w:sz="12" w:space="0" w:color="auto"/>
              <w:right w:val="nil"/>
            </w:tcBorders>
            <w:shd w:val="clear" w:color="000000" w:fill="AEAAAA"/>
            <w:vAlign w:val="center"/>
            <w:hideMark/>
          </w:tcPr>
          <w:p w14:paraId="18A6697A"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432929CA"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1D34F444"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138B8BEE"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8" w:type="dxa"/>
            <w:tcBorders>
              <w:top w:val="single" w:sz="12" w:space="0" w:color="auto"/>
              <w:left w:val="nil"/>
              <w:bottom w:val="single" w:sz="12" w:space="0" w:color="auto"/>
              <w:right w:val="nil"/>
            </w:tcBorders>
            <w:shd w:val="clear" w:color="000000" w:fill="AEAAAA"/>
            <w:vAlign w:val="center"/>
            <w:hideMark/>
          </w:tcPr>
          <w:p w14:paraId="6B83D7EA"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3BFF1D86"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451C7EB6"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7135EE92"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8" w:type="dxa"/>
            <w:tcBorders>
              <w:top w:val="single" w:sz="12" w:space="0" w:color="auto"/>
              <w:left w:val="nil"/>
              <w:bottom w:val="single" w:sz="12" w:space="0" w:color="auto"/>
              <w:right w:val="nil"/>
            </w:tcBorders>
            <w:shd w:val="clear" w:color="000000" w:fill="AEAAAA"/>
            <w:vAlign w:val="center"/>
            <w:hideMark/>
          </w:tcPr>
          <w:p w14:paraId="3D0E4ACE"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542" w:type="dxa"/>
            <w:tcBorders>
              <w:top w:val="single" w:sz="12" w:space="0" w:color="auto"/>
              <w:left w:val="nil"/>
              <w:bottom w:val="single" w:sz="12" w:space="0" w:color="auto"/>
              <w:right w:val="nil"/>
            </w:tcBorders>
            <w:shd w:val="clear" w:color="000000" w:fill="AEAAAA"/>
            <w:noWrap/>
            <w:vAlign w:val="center"/>
            <w:hideMark/>
          </w:tcPr>
          <w:p w14:paraId="68588CBC" w14:textId="77777777" w:rsidR="00A04148" w:rsidRPr="00D41BDC" w:rsidRDefault="00A04148" w:rsidP="00B2326F">
            <w:pPr>
              <w:spacing w:line="240" w:lineRule="auto"/>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w:t>
            </w:r>
          </w:p>
        </w:tc>
        <w:tc>
          <w:tcPr>
            <w:tcW w:w="940" w:type="dxa"/>
            <w:tcBorders>
              <w:top w:val="single" w:sz="12" w:space="0" w:color="auto"/>
              <w:left w:val="nil"/>
              <w:bottom w:val="single" w:sz="12" w:space="0" w:color="auto"/>
              <w:right w:val="nil"/>
            </w:tcBorders>
            <w:shd w:val="clear" w:color="000000" w:fill="AEAAAA"/>
            <w:vAlign w:val="center"/>
            <w:hideMark/>
          </w:tcPr>
          <w:p w14:paraId="281C0893"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327,522 </w:t>
            </w:r>
          </w:p>
        </w:tc>
        <w:tc>
          <w:tcPr>
            <w:tcW w:w="1184" w:type="dxa"/>
            <w:tcBorders>
              <w:top w:val="single" w:sz="12" w:space="0" w:color="auto"/>
              <w:left w:val="nil"/>
              <w:bottom w:val="single" w:sz="12" w:space="0" w:color="auto"/>
              <w:right w:val="nil"/>
            </w:tcBorders>
            <w:shd w:val="clear" w:color="000000" w:fill="AEAAAA"/>
            <w:vAlign w:val="center"/>
            <w:hideMark/>
          </w:tcPr>
          <w:p w14:paraId="5681C80B"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248,051 </w:t>
            </w:r>
          </w:p>
        </w:tc>
        <w:tc>
          <w:tcPr>
            <w:tcW w:w="940" w:type="dxa"/>
            <w:tcBorders>
              <w:top w:val="single" w:sz="12" w:space="0" w:color="auto"/>
              <w:left w:val="nil"/>
              <w:bottom w:val="single" w:sz="12" w:space="0" w:color="auto"/>
              <w:right w:val="nil"/>
            </w:tcBorders>
            <w:shd w:val="clear" w:color="000000" w:fill="AEAAAA"/>
            <w:vAlign w:val="center"/>
            <w:hideMark/>
          </w:tcPr>
          <w:p w14:paraId="4BE42344"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575,573 </w:t>
            </w:r>
          </w:p>
        </w:tc>
        <w:tc>
          <w:tcPr>
            <w:tcW w:w="1254" w:type="dxa"/>
            <w:tcBorders>
              <w:top w:val="single" w:sz="12" w:space="0" w:color="auto"/>
              <w:left w:val="nil"/>
              <w:bottom w:val="single" w:sz="12" w:space="0" w:color="auto"/>
              <w:right w:val="single" w:sz="12" w:space="0" w:color="auto"/>
            </w:tcBorders>
            <w:shd w:val="clear" w:color="000000" w:fill="AEAAAA"/>
            <w:vAlign w:val="center"/>
            <w:hideMark/>
          </w:tcPr>
          <w:p w14:paraId="0A29B64E"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UNDP/UNICEF Lead</w:t>
            </w:r>
          </w:p>
        </w:tc>
        <w:tc>
          <w:tcPr>
            <w:tcW w:w="1287" w:type="dxa"/>
            <w:tcBorders>
              <w:top w:val="single" w:sz="12" w:space="0" w:color="auto"/>
              <w:left w:val="single" w:sz="12" w:space="0" w:color="auto"/>
              <w:bottom w:val="single" w:sz="12" w:space="0" w:color="auto"/>
              <w:right w:val="single" w:sz="12" w:space="0" w:color="auto"/>
            </w:tcBorders>
            <w:shd w:val="clear" w:color="000000" w:fill="AEAAAA"/>
            <w:vAlign w:val="center"/>
            <w:hideMark/>
          </w:tcPr>
          <w:p w14:paraId="7D439690"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r>
      <w:tr w:rsidR="00A04148" w:rsidRPr="00D41BDC" w14:paraId="0D876317" w14:textId="77777777" w:rsidTr="00B2326F">
        <w:trPr>
          <w:trHeight w:val="615"/>
        </w:trPr>
        <w:tc>
          <w:tcPr>
            <w:tcW w:w="1174" w:type="dxa"/>
            <w:vMerge w:val="restart"/>
            <w:tcBorders>
              <w:top w:val="nil"/>
              <w:left w:val="single" w:sz="12" w:space="0" w:color="auto"/>
              <w:bottom w:val="single" w:sz="12" w:space="0" w:color="000000"/>
              <w:right w:val="single" w:sz="12" w:space="0" w:color="auto"/>
            </w:tcBorders>
            <w:shd w:val="clear" w:color="000000" w:fill="FFFFFF"/>
            <w:vAlign w:val="center"/>
            <w:hideMark/>
          </w:tcPr>
          <w:p w14:paraId="430C9CFA"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Output 3: Improved transparency and coordination in the preparation of SDG-aligned national and state level development strategies by 2022</w:t>
            </w:r>
          </w:p>
        </w:tc>
        <w:tc>
          <w:tcPr>
            <w:tcW w:w="579" w:type="dxa"/>
            <w:vMerge w:val="restart"/>
            <w:tcBorders>
              <w:top w:val="nil"/>
              <w:left w:val="single" w:sz="12" w:space="0" w:color="auto"/>
              <w:bottom w:val="single" w:sz="12" w:space="0" w:color="000000"/>
              <w:right w:val="single" w:sz="12" w:space="0" w:color="auto"/>
            </w:tcBorders>
            <w:shd w:val="clear" w:color="000000" w:fill="FFFFFF"/>
            <w:vAlign w:val="center"/>
            <w:hideMark/>
          </w:tcPr>
          <w:p w14:paraId="55EEECB3"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0</w:t>
            </w:r>
          </w:p>
        </w:tc>
        <w:tc>
          <w:tcPr>
            <w:tcW w:w="578" w:type="dxa"/>
            <w:vMerge w:val="restart"/>
            <w:tcBorders>
              <w:top w:val="nil"/>
              <w:left w:val="single" w:sz="12" w:space="0" w:color="auto"/>
              <w:bottom w:val="single" w:sz="12" w:space="0" w:color="000000"/>
              <w:right w:val="single" w:sz="12" w:space="0" w:color="auto"/>
            </w:tcBorders>
            <w:shd w:val="clear" w:color="000000" w:fill="FFFFFF"/>
            <w:vAlign w:val="center"/>
            <w:hideMark/>
          </w:tcPr>
          <w:p w14:paraId="49FB6C9D"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5</w:t>
            </w:r>
          </w:p>
        </w:tc>
        <w:tc>
          <w:tcPr>
            <w:tcW w:w="1714" w:type="dxa"/>
            <w:tcBorders>
              <w:top w:val="nil"/>
              <w:left w:val="nil"/>
              <w:bottom w:val="single" w:sz="4" w:space="0" w:color="auto"/>
              <w:right w:val="single" w:sz="12" w:space="0" w:color="auto"/>
            </w:tcBorders>
            <w:shd w:val="clear" w:color="auto" w:fill="auto"/>
            <w:vAlign w:val="center"/>
            <w:hideMark/>
          </w:tcPr>
          <w:p w14:paraId="4D8297DA"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3.1 </w:t>
            </w:r>
            <w:r w:rsidRPr="00D41BDC">
              <w:rPr>
                <w:rFonts w:ascii="Verdana" w:eastAsia="Times New Roman" w:hAnsi="Verdana" w:cs="Calibri"/>
                <w:b/>
                <w:bCs/>
                <w:sz w:val="14"/>
                <w:szCs w:val="14"/>
                <w:lang w:eastAsia="ja-JP"/>
              </w:rPr>
              <w:t>[National Level Engagement]</w:t>
            </w:r>
            <w:r w:rsidRPr="00D41BDC">
              <w:rPr>
                <w:rFonts w:ascii="Verdana" w:eastAsia="Times New Roman" w:hAnsi="Verdana" w:cs="Calibri"/>
                <w:sz w:val="14"/>
                <w:szCs w:val="14"/>
                <w:lang w:eastAsia="ja-JP"/>
              </w:rPr>
              <w:t xml:space="preserve"> Organize a consultation workshop to develop NDS and INFF (2022 - 2024) aligned to focus on SDG achievement</w:t>
            </w:r>
          </w:p>
        </w:tc>
        <w:tc>
          <w:tcPr>
            <w:tcW w:w="397" w:type="dxa"/>
            <w:tcBorders>
              <w:top w:val="nil"/>
              <w:left w:val="nil"/>
              <w:bottom w:val="single" w:sz="4" w:space="0" w:color="auto"/>
              <w:right w:val="single" w:sz="4" w:space="0" w:color="auto"/>
            </w:tcBorders>
            <w:shd w:val="clear" w:color="000000" w:fill="FFFFFF"/>
            <w:vAlign w:val="center"/>
            <w:hideMark/>
          </w:tcPr>
          <w:p w14:paraId="260877B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auto" w:fill="auto"/>
            <w:vAlign w:val="center"/>
            <w:hideMark/>
          </w:tcPr>
          <w:p w14:paraId="2DE5621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53F04E6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single" w:sz="12" w:space="0" w:color="auto"/>
            </w:tcBorders>
            <w:shd w:val="clear" w:color="000000" w:fill="FFFFFF"/>
            <w:vAlign w:val="center"/>
            <w:hideMark/>
          </w:tcPr>
          <w:p w14:paraId="44FC23DA"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auto" w:fill="auto"/>
            <w:vAlign w:val="center"/>
            <w:hideMark/>
          </w:tcPr>
          <w:p w14:paraId="17F82DA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92D050"/>
            <w:vAlign w:val="center"/>
            <w:hideMark/>
          </w:tcPr>
          <w:p w14:paraId="26FC0FC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92D050"/>
            <w:vAlign w:val="center"/>
            <w:hideMark/>
          </w:tcPr>
          <w:p w14:paraId="2EF5E9E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single" w:sz="12" w:space="0" w:color="auto"/>
            </w:tcBorders>
            <w:shd w:val="clear" w:color="000000" w:fill="92D050"/>
            <w:vAlign w:val="center"/>
            <w:hideMark/>
          </w:tcPr>
          <w:p w14:paraId="2B1C48D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000000" w:fill="FFFFFF"/>
            <w:vAlign w:val="center"/>
            <w:hideMark/>
          </w:tcPr>
          <w:p w14:paraId="77236A32"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2. Supplies, Commodities, Materials </w:t>
            </w:r>
          </w:p>
        </w:tc>
        <w:tc>
          <w:tcPr>
            <w:tcW w:w="940" w:type="dxa"/>
            <w:tcBorders>
              <w:top w:val="nil"/>
              <w:left w:val="nil"/>
              <w:bottom w:val="single" w:sz="4" w:space="0" w:color="auto"/>
              <w:right w:val="single" w:sz="4" w:space="0" w:color="auto"/>
            </w:tcBorders>
            <w:shd w:val="clear" w:color="000000" w:fill="FFFFFF"/>
            <w:vAlign w:val="center"/>
            <w:hideMark/>
          </w:tcPr>
          <w:p w14:paraId="24ADF74D"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50,000 </w:t>
            </w:r>
          </w:p>
        </w:tc>
        <w:tc>
          <w:tcPr>
            <w:tcW w:w="1184" w:type="dxa"/>
            <w:tcBorders>
              <w:top w:val="nil"/>
              <w:left w:val="nil"/>
              <w:bottom w:val="single" w:sz="4" w:space="0" w:color="auto"/>
              <w:right w:val="single" w:sz="4" w:space="0" w:color="auto"/>
            </w:tcBorders>
            <w:shd w:val="clear" w:color="000000" w:fill="FFFFFF"/>
            <w:vAlign w:val="center"/>
            <w:hideMark/>
          </w:tcPr>
          <w:p w14:paraId="40F5179E"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50,000 </w:t>
            </w:r>
          </w:p>
        </w:tc>
        <w:tc>
          <w:tcPr>
            <w:tcW w:w="940" w:type="dxa"/>
            <w:tcBorders>
              <w:top w:val="nil"/>
              <w:left w:val="nil"/>
              <w:bottom w:val="single" w:sz="4" w:space="0" w:color="auto"/>
              <w:right w:val="single" w:sz="4" w:space="0" w:color="auto"/>
            </w:tcBorders>
            <w:shd w:val="clear" w:color="000000" w:fill="FFFFFF"/>
            <w:vAlign w:val="center"/>
            <w:hideMark/>
          </w:tcPr>
          <w:p w14:paraId="1597EFA7"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100,000 </w:t>
            </w:r>
          </w:p>
        </w:tc>
        <w:tc>
          <w:tcPr>
            <w:tcW w:w="1254" w:type="dxa"/>
            <w:tcBorders>
              <w:top w:val="nil"/>
              <w:left w:val="nil"/>
              <w:bottom w:val="single" w:sz="4" w:space="0" w:color="auto"/>
              <w:right w:val="single" w:sz="12" w:space="0" w:color="auto"/>
            </w:tcBorders>
            <w:shd w:val="clear" w:color="000000" w:fill="FFFFFF"/>
            <w:vAlign w:val="center"/>
            <w:hideMark/>
          </w:tcPr>
          <w:p w14:paraId="00D198B0"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UNDP</w:t>
            </w:r>
          </w:p>
        </w:tc>
        <w:tc>
          <w:tcPr>
            <w:tcW w:w="1287" w:type="dxa"/>
            <w:vMerge w:val="restart"/>
            <w:tcBorders>
              <w:top w:val="single" w:sz="4" w:space="0" w:color="auto"/>
              <w:left w:val="single" w:sz="12" w:space="0" w:color="auto"/>
              <w:bottom w:val="single" w:sz="4" w:space="0" w:color="000000"/>
              <w:right w:val="single" w:sz="12" w:space="0" w:color="auto"/>
            </w:tcBorders>
            <w:shd w:val="clear" w:color="000000" w:fill="FFFFFF"/>
            <w:vAlign w:val="center"/>
            <w:hideMark/>
          </w:tcPr>
          <w:p w14:paraId="03DB4233"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MOFP-Planning &amp; Budgets; additional MOFP units; South Sudan Relief and Rehabilitation Commission; National Revenue Authority; Audit Chamber; Min of Local Govt; Min of Gender, Child &amp; SW; Education, Health, National Legislative </w:t>
            </w:r>
            <w:proofErr w:type="spellStart"/>
            <w:r w:rsidRPr="00D41BDC">
              <w:rPr>
                <w:rFonts w:ascii="Verdana" w:eastAsia="Times New Roman" w:hAnsi="Verdana" w:cs="Calibri"/>
                <w:sz w:val="14"/>
                <w:szCs w:val="14"/>
                <w:lang w:eastAsia="ja-JP"/>
              </w:rPr>
              <w:t>Authorirty</w:t>
            </w:r>
            <w:proofErr w:type="spellEnd"/>
            <w:r w:rsidRPr="00D41BDC">
              <w:rPr>
                <w:rFonts w:ascii="Verdana" w:eastAsia="Times New Roman" w:hAnsi="Verdana" w:cs="Calibri"/>
                <w:sz w:val="14"/>
                <w:szCs w:val="14"/>
                <w:lang w:eastAsia="ja-JP"/>
              </w:rPr>
              <w:t>; OHCHR, WHO); private sector, international development partners</w:t>
            </w:r>
          </w:p>
        </w:tc>
      </w:tr>
      <w:tr w:rsidR="00A04148" w:rsidRPr="00D41BDC" w14:paraId="1FA00CEC" w14:textId="77777777" w:rsidTr="00B2326F">
        <w:trPr>
          <w:trHeight w:val="560"/>
        </w:trPr>
        <w:tc>
          <w:tcPr>
            <w:tcW w:w="1174" w:type="dxa"/>
            <w:vMerge/>
            <w:tcBorders>
              <w:top w:val="nil"/>
              <w:left w:val="single" w:sz="12" w:space="0" w:color="auto"/>
              <w:bottom w:val="single" w:sz="12" w:space="0" w:color="000000"/>
              <w:right w:val="single" w:sz="12" w:space="0" w:color="auto"/>
            </w:tcBorders>
            <w:vAlign w:val="center"/>
            <w:hideMark/>
          </w:tcPr>
          <w:p w14:paraId="1DF1300C"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48CD09E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7D015175"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val="restart"/>
            <w:tcBorders>
              <w:top w:val="nil"/>
              <w:left w:val="single" w:sz="12" w:space="0" w:color="auto"/>
              <w:bottom w:val="single" w:sz="4" w:space="0" w:color="auto"/>
              <w:right w:val="single" w:sz="12" w:space="0" w:color="auto"/>
            </w:tcBorders>
            <w:shd w:val="clear" w:color="auto" w:fill="auto"/>
            <w:vAlign w:val="center"/>
            <w:hideMark/>
          </w:tcPr>
          <w:p w14:paraId="369EE958"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3.2 </w:t>
            </w:r>
            <w:r w:rsidRPr="00D41BDC">
              <w:rPr>
                <w:rFonts w:ascii="Verdana" w:eastAsia="Times New Roman" w:hAnsi="Verdana" w:cs="Calibri"/>
                <w:b/>
                <w:bCs/>
                <w:sz w:val="14"/>
                <w:szCs w:val="14"/>
                <w:lang w:eastAsia="ja-JP"/>
              </w:rPr>
              <w:t>[State Level Engagement]</w:t>
            </w:r>
            <w:r w:rsidRPr="00D41BDC">
              <w:rPr>
                <w:rFonts w:ascii="Verdana" w:eastAsia="Times New Roman" w:hAnsi="Verdana" w:cs="Calibri"/>
                <w:sz w:val="14"/>
                <w:szCs w:val="14"/>
                <w:lang w:eastAsia="ja-JP"/>
              </w:rPr>
              <w:t xml:space="preserve"> Support GRSS to hold consultative workshops to (1) Establish State Development Planning Committees and (2) Develop NDS and SDG-aligning State Development Strategies (SDS) and Sector Plans by maintaining the planning processes inclusive of donor and private sector contributions to state development. </w:t>
            </w:r>
          </w:p>
        </w:tc>
        <w:tc>
          <w:tcPr>
            <w:tcW w:w="397" w:type="dxa"/>
            <w:vMerge w:val="restart"/>
            <w:tcBorders>
              <w:top w:val="nil"/>
              <w:left w:val="single" w:sz="12" w:space="0" w:color="auto"/>
              <w:bottom w:val="single" w:sz="4" w:space="0" w:color="000000"/>
              <w:right w:val="single" w:sz="4" w:space="0" w:color="auto"/>
            </w:tcBorders>
            <w:shd w:val="clear" w:color="auto" w:fill="auto"/>
            <w:vAlign w:val="center"/>
            <w:hideMark/>
          </w:tcPr>
          <w:p w14:paraId="096AA7E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5BB898C5"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53C9927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92D050"/>
            <w:vAlign w:val="center"/>
            <w:hideMark/>
          </w:tcPr>
          <w:p w14:paraId="77048AF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single" w:sz="4" w:space="0" w:color="000000"/>
              <w:right w:val="single" w:sz="4" w:space="0" w:color="auto"/>
            </w:tcBorders>
            <w:shd w:val="clear" w:color="auto" w:fill="auto"/>
            <w:vAlign w:val="center"/>
            <w:hideMark/>
          </w:tcPr>
          <w:p w14:paraId="0454E8C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4871C35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4F5F1C1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92D050"/>
            <w:vAlign w:val="center"/>
            <w:hideMark/>
          </w:tcPr>
          <w:p w14:paraId="0EC6AA5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000000" w:fill="FFFFFF"/>
            <w:vAlign w:val="center"/>
            <w:hideMark/>
          </w:tcPr>
          <w:p w14:paraId="76821768"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2. Supplies, Commodities, Materials </w:t>
            </w:r>
          </w:p>
        </w:tc>
        <w:tc>
          <w:tcPr>
            <w:tcW w:w="940" w:type="dxa"/>
            <w:tcBorders>
              <w:top w:val="nil"/>
              <w:left w:val="nil"/>
              <w:bottom w:val="single" w:sz="4" w:space="0" w:color="auto"/>
              <w:right w:val="single" w:sz="4" w:space="0" w:color="auto"/>
            </w:tcBorders>
            <w:shd w:val="clear" w:color="000000" w:fill="FFFFFF"/>
            <w:vAlign w:val="center"/>
            <w:hideMark/>
          </w:tcPr>
          <w:p w14:paraId="77C8F361"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45,000 </w:t>
            </w:r>
          </w:p>
        </w:tc>
        <w:tc>
          <w:tcPr>
            <w:tcW w:w="1184" w:type="dxa"/>
            <w:tcBorders>
              <w:top w:val="nil"/>
              <w:left w:val="nil"/>
              <w:bottom w:val="single" w:sz="4" w:space="0" w:color="auto"/>
              <w:right w:val="single" w:sz="4" w:space="0" w:color="auto"/>
            </w:tcBorders>
            <w:shd w:val="clear" w:color="000000" w:fill="FFFFFF"/>
            <w:noWrap/>
            <w:vAlign w:val="center"/>
            <w:hideMark/>
          </w:tcPr>
          <w:p w14:paraId="732DC127"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3D57EB2E"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45,000 </w:t>
            </w:r>
          </w:p>
        </w:tc>
        <w:tc>
          <w:tcPr>
            <w:tcW w:w="1254" w:type="dxa"/>
            <w:tcBorders>
              <w:top w:val="nil"/>
              <w:left w:val="nil"/>
              <w:bottom w:val="single" w:sz="4" w:space="0" w:color="auto"/>
              <w:right w:val="single" w:sz="12" w:space="0" w:color="auto"/>
            </w:tcBorders>
            <w:shd w:val="clear" w:color="000000" w:fill="FFFFFF"/>
            <w:vAlign w:val="center"/>
            <w:hideMark/>
          </w:tcPr>
          <w:p w14:paraId="70E620D8"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UNDP</w:t>
            </w:r>
          </w:p>
        </w:tc>
        <w:tc>
          <w:tcPr>
            <w:tcW w:w="1287" w:type="dxa"/>
            <w:vMerge/>
            <w:tcBorders>
              <w:top w:val="single" w:sz="4" w:space="0" w:color="auto"/>
              <w:left w:val="single" w:sz="12" w:space="0" w:color="auto"/>
              <w:bottom w:val="single" w:sz="4" w:space="0" w:color="000000"/>
              <w:right w:val="single" w:sz="12" w:space="0" w:color="auto"/>
            </w:tcBorders>
            <w:vAlign w:val="center"/>
            <w:hideMark/>
          </w:tcPr>
          <w:p w14:paraId="4786F634" w14:textId="77777777" w:rsidR="00A04148" w:rsidRPr="00D41BDC" w:rsidRDefault="00A04148" w:rsidP="00B2326F">
            <w:pPr>
              <w:spacing w:line="240" w:lineRule="auto"/>
              <w:rPr>
                <w:rFonts w:ascii="Verdana" w:eastAsia="Times New Roman" w:hAnsi="Verdana" w:cs="Calibri"/>
                <w:sz w:val="14"/>
                <w:szCs w:val="14"/>
                <w:lang w:eastAsia="ja-JP"/>
              </w:rPr>
            </w:pPr>
          </w:p>
        </w:tc>
      </w:tr>
      <w:tr w:rsidR="00A04148" w:rsidRPr="00D41BDC" w14:paraId="3BABA325" w14:textId="77777777" w:rsidTr="00B2326F">
        <w:trPr>
          <w:trHeight w:val="560"/>
        </w:trPr>
        <w:tc>
          <w:tcPr>
            <w:tcW w:w="1174" w:type="dxa"/>
            <w:vMerge/>
            <w:tcBorders>
              <w:top w:val="nil"/>
              <w:left w:val="single" w:sz="12" w:space="0" w:color="auto"/>
              <w:bottom w:val="single" w:sz="12" w:space="0" w:color="000000"/>
              <w:right w:val="single" w:sz="12" w:space="0" w:color="auto"/>
            </w:tcBorders>
            <w:vAlign w:val="center"/>
            <w:hideMark/>
          </w:tcPr>
          <w:p w14:paraId="5A1C800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126801D5"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3B1AFCD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auto"/>
              <w:right w:val="single" w:sz="12" w:space="0" w:color="auto"/>
            </w:tcBorders>
            <w:vAlign w:val="center"/>
            <w:hideMark/>
          </w:tcPr>
          <w:p w14:paraId="1562308D"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72ED5B6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16D8518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03BBF95E"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5D5A386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6932BC8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A778393"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35FF73E5"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240DFBB3"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000000" w:fill="FFFFFF"/>
            <w:vAlign w:val="center"/>
            <w:hideMark/>
          </w:tcPr>
          <w:p w14:paraId="477DBDE5"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5. Travel </w:t>
            </w:r>
          </w:p>
        </w:tc>
        <w:tc>
          <w:tcPr>
            <w:tcW w:w="940" w:type="dxa"/>
            <w:tcBorders>
              <w:top w:val="nil"/>
              <w:left w:val="nil"/>
              <w:bottom w:val="single" w:sz="4" w:space="0" w:color="auto"/>
              <w:right w:val="single" w:sz="4" w:space="0" w:color="auto"/>
            </w:tcBorders>
            <w:shd w:val="clear" w:color="000000" w:fill="FFFFFF"/>
            <w:vAlign w:val="center"/>
            <w:hideMark/>
          </w:tcPr>
          <w:p w14:paraId="3DEAD90D"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10,000 </w:t>
            </w:r>
          </w:p>
        </w:tc>
        <w:tc>
          <w:tcPr>
            <w:tcW w:w="1184" w:type="dxa"/>
            <w:tcBorders>
              <w:top w:val="nil"/>
              <w:left w:val="nil"/>
              <w:bottom w:val="single" w:sz="4" w:space="0" w:color="auto"/>
              <w:right w:val="single" w:sz="4" w:space="0" w:color="auto"/>
            </w:tcBorders>
            <w:shd w:val="clear" w:color="000000" w:fill="FFFFFF"/>
            <w:vAlign w:val="center"/>
            <w:hideMark/>
          </w:tcPr>
          <w:p w14:paraId="75959FE9"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0824A5D5"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10,000 </w:t>
            </w:r>
          </w:p>
        </w:tc>
        <w:tc>
          <w:tcPr>
            <w:tcW w:w="1254" w:type="dxa"/>
            <w:tcBorders>
              <w:top w:val="nil"/>
              <w:left w:val="nil"/>
              <w:bottom w:val="single" w:sz="4" w:space="0" w:color="auto"/>
              <w:right w:val="single" w:sz="12" w:space="0" w:color="auto"/>
            </w:tcBorders>
            <w:shd w:val="clear" w:color="000000" w:fill="FFFFFF"/>
            <w:vAlign w:val="center"/>
            <w:hideMark/>
          </w:tcPr>
          <w:p w14:paraId="00FA9D59"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UNDP</w:t>
            </w:r>
          </w:p>
        </w:tc>
        <w:tc>
          <w:tcPr>
            <w:tcW w:w="1287" w:type="dxa"/>
            <w:vMerge/>
            <w:tcBorders>
              <w:top w:val="single" w:sz="4" w:space="0" w:color="auto"/>
              <w:left w:val="single" w:sz="12" w:space="0" w:color="auto"/>
              <w:bottom w:val="single" w:sz="4" w:space="0" w:color="000000"/>
              <w:right w:val="single" w:sz="12" w:space="0" w:color="auto"/>
            </w:tcBorders>
            <w:vAlign w:val="center"/>
            <w:hideMark/>
          </w:tcPr>
          <w:p w14:paraId="2972FEF4" w14:textId="77777777" w:rsidR="00A04148" w:rsidRPr="00D41BDC" w:rsidRDefault="00A04148" w:rsidP="00B2326F">
            <w:pPr>
              <w:spacing w:line="240" w:lineRule="auto"/>
              <w:rPr>
                <w:rFonts w:ascii="Verdana" w:eastAsia="Times New Roman" w:hAnsi="Verdana" w:cs="Calibri"/>
                <w:sz w:val="14"/>
                <w:szCs w:val="14"/>
                <w:lang w:eastAsia="ja-JP"/>
              </w:rPr>
            </w:pPr>
          </w:p>
        </w:tc>
      </w:tr>
      <w:tr w:rsidR="00A04148" w:rsidRPr="00D41BDC" w14:paraId="18D3643C" w14:textId="77777777" w:rsidTr="00B2326F">
        <w:trPr>
          <w:trHeight w:val="390"/>
        </w:trPr>
        <w:tc>
          <w:tcPr>
            <w:tcW w:w="1174" w:type="dxa"/>
            <w:vMerge/>
            <w:tcBorders>
              <w:top w:val="nil"/>
              <w:left w:val="single" w:sz="12" w:space="0" w:color="auto"/>
              <w:bottom w:val="single" w:sz="12" w:space="0" w:color="000000"/>
              <w:right w:val="single" w:sz="12" w:space="0" w:color="auto"/>
            </w:tcBorders>
            <w:vAlign w:val="center"/>
            <w:hideMark/>
          </w:tcPr>
          <w:p w14:paraId="429E92E1"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58758805"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2FF01031"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val="restart"/>
            <w:tcBorders>
              <w:top w:val="nil"/>
              <w:left w:val="single" w:sz="12" w:space="0" w:color="auto"/>
              <w:bottom w:val="single" w:sz="4" w:space="0" w:color="auto"/>
              <w:right w:val="single" w:sz="12" w:space="0" w:color="auto"/>
            </w:tcBorders>
            <w:shd w:val="clear" w:color="auto" w:fill="auto"/>
            <w:vAlign w:val="center"/>
            <w:hideMark/>
          </w:tcPr>
          <w:p w14:paraId="27AA029E"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3.3 </w:t>
            </w:r>
            <w:r w:rsidRPr="00D41BDC">
              <w:rPr>
                <w:rFonts w:ascii="Verdana" w:eastAsia="Times New Roman" w:hAnsi="Verdana" w:cs="Calibri"/>
                <w:b/>
                <w:bCs/>
                <w:sz w:val="14"/>
                <w:szCs w:val="14"/>
                <w:lang w:eastAsia="ja-JP"/>
              </w:rPr>
              <w:t xml:space="preserve">[State Level Engagement] </w:t>
            </w:r>
            <w:r w:rsidRPr="00D41BDC">
              <w:rPr>
                <w:rFonts w:ascii="Verdana" w:eastAsia="Times New Roman" w:hAnsi="Verdana" w:cs="Calibri"/>
                <w:sz w:val="14"/>
                <w:szCs w:val="14"/>
                <w:lang w:eastAsia="ja-JP"/>
              </w:rPr>
              <w:t xml:space="preserve">Support GRSS to </w:t>
            </w:r>
            <w:r w:rsidRPr="00D41BDC">
              <w:rPr>
                <w:rFonts w:ascii="Verdana" w:eastAsia="Times New Roman" w:hAnsi="Verdana" w:cs="Calibri"/>
                <w:sz w:val="14"/>
                <w:szCs w:val="14"/>
                <w:lang w:eastAsia="ja-JP"/>
              </w:rPr>
              <w:lastRenderedPageBreak/>
              <w:t>hold State Budget Workshops to (1) Establish the state level CMTC- County Monitoring Transfer Committee and (2) Develop state budgets</w:t>
            </w:r>
          </w:p>
        </w:tc>
        <w:tc>
          <w:tcPr>
            <w:tcW w:w="397" w:type="dxa"/>
            <w:vMerge w:val="restart"/>
            <w:tcBorders>
              <w:top w:val="nil"/>
              <w:left w:val="single" w:sz="12" w:space="0" w:color="auto"/>
              <w:bottom w:val="single" w:sz="4" w:space="0" w:color="000000"/>
              <w:right w:val="single" w:sz="4" w:space="0" w:color="auto"/>
            </w:tcBorders>
            <w:shd w:val="clear" w:color="000000" w:fill="92D050"/>
            <w:vAlign w:val="center"/>
            <w:hideMark/>
          </w:tcPr>
          <w:p w14:paraId="4033209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lastRenderedPageBreak/>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04754B3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D3767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2573916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single" w:sz="4" w:space="0" w:color="000000"/>
              <w:right w:val="single" w:sz="4" w:space="0" w:color="auto"/>
            </w:tcBorders>
            <w:shd w:val="clear" w:color="000000" w:fill="92D050"/>
            <w:vAlign w:val="center"/>
            <w:hideMark/>
          </w:tcPr>
          <w:p w14:paraId="5D9D4F9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7704334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auto" w:fill="auto"/>
            <w:vAlign w:val="center"/>
            <w:hideMark/>
          </w:tcPr>
          <w:p w14:paraId="772FB3D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auto" w:fill="auto"/>
            <w:vAlign w:val="center"/>
            <w:hideMark/>
          </w:tcPr>
          <w:p w14:paraId="7C13D80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000000" w:fill="FFFFFF"/>
            <w:vAlign w:val="center"/>
            <w:hideMark/>
          </w:tcPr>
          <w:p w14:paraId="2052C3E2"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2. Supplies, Commodities, Materials </w:t>
            </w:r>
          </w:p>
        </w:tc>
        <w:tc>
          <w:tcPr>
            <w:tcW w:w="940" w:type="dxa"/>
            <w:tcBorders>
              <w:top w:val="nil"/>
              <w:left w:val="nil"/>
              <w:bottom w:val="single" w:sz="4" w:space="0" w:color="auto"/>
              <w:right w:val="single" w:sz="4" w:space="0" w:color="auto"/>
            </w:tcBorders>
            <w:shd w:val="clear" w:color="000000" w:fill="FFFFFF"/>
            <w:vAlign w:val="center"/>
            <w:hideMark/>
          </w:tcPr>
          <w:p w14:paraId="22317205"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20,000 </w:t>
            </w:r>
          </w:p>
        </w:tc>
        <w:tc>
          <w:tcPr>
            <w:tcW w:w="1184" w:type="dxa"/>
            <w:tcBorders>
              <w:top w:val="nil"/>
              <w:left w:val="nil"/>
              <w:bottom w:val="single" w:sz="4" w:space="0" w:color="auto"/>
              <w:right w:val="single" w:sz="4" w:space="0" w:color="auto"/>
            </w:tcBorders>
            <w:shd w:val="clear" w:color="000000" w:fill="FFFFFF"/>
            <w:vAlign w:val="center"/>
            <w:hideMark/>
          </w:tcPr>
          <w:p w14:paraId="5DEFF724"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59E90B4D"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20,000 </w:t>
            </w:r>
          </w:p>
        </w:tc>
        <w:tc>
          <w:tcPr>
            <w:tcW w:w="1254" w:type="dxa"/>
            <w:tcBorders>
              <w:top w:val="nil"/>
              <w:left w:val="nil"/>
              <w:bottom w:val="single" w:sz="4" w:space="0" w:color="auto"/>
              <w:right w:val="single" w:sz="12" w:space="0" w:color="auto"/>
            </w:tcBorders>
            <w:shd w:val="clear" w:color="000000" w:fill="FFFFFF"/>
            <w:vAlign w:val="center"/>
            <w:hideMark/>
          </w:tcPr>
          <w:p w14:paraId="5C63600A"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UNICEF</w:t>
            </w:r>
          </w:p>
        </w:tc>
        <w:tc>
          <w:tcPr>
            <w:tcW w:w="1287" w:type="dxa"/>
            <w:vMerge/>
            <w:tcBorders>
              <w:top w:val="single" w:sz="4" w:space="0" w:color="auto"/>
              <w:left w:val="single" w:sz="12" w:space="0" w:color="auto"/>
              <w:bottom w:val="single" w:sz="4" w:space="0" w:color="000000"/>
              <w:right w:val="single" w:sz="12" w:space="0" w:color="auto"/>
            </w:tcBorders>
            <w:vAlign w:val="center"/>
            <w:hideMark/>
          </w:tcPr>
          <w:p w14:paraId="6B683C04" w14:textId="77777777" w:rsidR="00A04148" w:rsidRPr="00D41BDC" w:rsidRDefault="00A04148" w:rsidP="00B2326F">
            <w:pPr>
              <w:spacing w:line="240" w:lineRule="auto"/>
              <w:rPr>
                <w:rFonts w:ascii="Verdana" w:eastAsia="Times New Roman" w:hAnsi="Verdana" w:cs="Calibri"/>
                <w:sz w:val="14"/>
                <w:szCs w:val="14"/>
                <w:lang w:eastAsia="ja-JP"/>
              </w:rPr>
            </w:pPr>
          </w:p>
        </w:tc>
      </w:tr>
      <w:tr w:rsidR="00A04148" w:rsidRPr="00D41BDC" w14:paraId="4B6CFF4D" w14:textId="77777777" w:rsidTr="00B2326F">
        <w:trPr>
          <w:trHeight w:val="390"/>
        </w:trPr>
        <w:tc>
          <w:tcPr>
            <w:tcW w:w="1174" w:type="dxa"/>
            <w:vMerge/>
            <w:tcBorders>
              <w:top w:val="nil"/>
              <w:left w:val="single" w:sz="12" w:space="0" w:color="auto"/>
              <w:bottom w:val="single" w:sz="12" w:space="0" w:color="000000"/>
              <w:right w:val="single" w:sz="12" w:space="0" w:color="auto"/>
            </w:tcBorders>
            <w:vAlign w:val="center"/>
            <w:hideMark/>
          </w:tcPr>
          <w:p w14:paraId="00B9122A"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56FA89DB"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64878407"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auto"/>
              <w:right w:val="single" w:sz="12" w:space="0" w:color="auto"/>
            </w:tcBorders>
            <w:vAlign w:val="center"/>
            <w:hideMark/>
          </w:tcPr>
          <w:p w14:paraId="3DE0F44F"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7A09468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0E37BFD"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421875BF"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3F69FC40"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5FFEF140"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27A017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2D96E43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10BDA50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000000" w:fill="FFFFFF"/>
            <w:vAlign w:val="center"/>
            <w:hideMark/>
          </w:tcPr>
          <w:p w14:paraId="5670432C"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5. Travel </w:t>
            </w:r>
          </w:p>
        </w:tc>
        <w:tc>
          <w:tcPr>
            <w:tcW w:w="940" w:type="dxa"/>
            <w:tcBorders>
              <w:top w:val="nil"/>
              <w:left w:val="nil"/>
              <w:bottom w:val="single" w:sz="4" w:space="0" w:color="auto"/>
              <w:right w:val="single" w:sz="4" w:space="0" w:color="auto"/>
            </w:tcBorders>
            <w:shd w:val="clear" w:color="000000" w:fill="FFFFFF"/>
            <w:vAlign w:val="center"/>
            <w:hideMark/>
          </w:tcPr>
          <w:p w14:paraId="2BCDDC15"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132,000 </w:t>
            </w:r>
          </w:p>
        </w:tc>
        <w:tc>
          <w:tcPr>
            <w:tcW w:w="1184" w:type="dxa"/>
            <w:tcBorders>
              <w:top w:val="nil"/>
              <w:left w:val="nil"/>
              <w:bottom w:val="single" w:sz="4" w:space="0" w:color="auto"/>
              <w:right w:val="single" w:sz="4" w:space="0" w:color="auto"/>
            </w:tcBorders>
            <w:shd w:val="clear" w:color="000000" w:fill="FFFFFF"/>
            <w:vAlign w:val="center"/>
            <w:hideMark/>
          </w:tcPr>
          <w:p w14:paraId="1380D717"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50C84F71"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132,000 </w:t>
            </w:r>
          </w:p>
        </w:tc>
        <w:tc>
          <w:tcPr>
            <w:tcW w:w="1254" w:type="dxa"/>
            <w:tcBorders>
              <w:top w:val="nil"/>
              <w:left w:val="nil"/>
              <w:bottom w:val="single" w:sz="4" w:space="0" w:color="auto"/>
              <w:right w:val="single" w:sz="12" w:space="0" w:color="auto"/>
            </w:tcBorders>
            <w:shd w:val="clear" w:color="000000" w:fill="FFFFFF"/>
            <w:vAlign w:val="center"/>
            <w:hideMark/>
          </w:tcPr>
          <w:p w14:paraId="2F9C83D5"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UNICEF</w:t>
            </w:r>
          </w:p>
        </w:tc>
        <w:tc>
          <w:tcPr>
            <w:tcW w:w="1287" w:type="dxa"/>
            <w:vMerge/>
            <w:tcBorders>
              <w:top w:val="single" w:sz="4" w:space="0" w:color="auto"/>
              <w:left w:val="single" w:sz="12" w:space="0" w:color="auto"/>
              <w:bottom w:val="single" w:sz="4" w:space="0" w:color="000000"/>
              <w:right w:val="single" w:sz="12" w:space="0" w:color="auto"/>
            </w:tcBorders>
            <w:vAlign w:val="center"/>
            <w:hideMark/>
          </w:tcPr>
          <w:p w14:paraId="227A5DCB" w14:textId="77777777" w:rsidR="00A04148" w:rsidRPr="00D41BDC" w:rsidRDefault="00A04148" w:rsidP="00B2326F">
            <w:pPr>
              <w:spacing w:line="240" w:lineRule="auto"/>
              <w:rPr>
                <w:rFonts w:ascii="Verdana" w:eastAsia="Times New Roman" w:hAnsi="Verdana" w:cs="Calibri"/>
                <w:sz w:val="14"/>
                <w:szCs w:val="14"/>
                <w:lang w:eastAsia="ja-JP"/>
              </w:rPr>
            </w:pPr>
          </w:p>
        </w:tc>
      </w:tr>
      <w:tr w:rsidR="00A04148" w:rsidRPr="00D41BDC" w14:paraId="5673398C" w14:textId="77777777" w:rsidTr="00B2326F">
        <w:trPr>
          <w:trHeight w:val="690"/>
        </w:trPr>
        <w:tc>
          <w:tcPr>
            <w:tcW w:w="1174" w:type="dxa"/>
            <w:vMerge/>
            <w:tcBorders>
              <w:top w:val="nil"/>
              <w:left w:val="single" w:sz="12" w:space="0" w:color="auto"/>
              <w:bottom w:val="single" w:sz="12" w:space="0" w:color="000000"/>
              <w:right w:val="single" w:sz="12" w:space="0" w:color="auto"/>
            </w:tcBorders>
            <w:vAlign w:val="center"/>
            <w:hideMark/>
          </w:tcPr>
          <w:p w14:paraId="2F8AFC8C"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02075CF5"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6F85CB2A"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tcBorders>
              <w:top w:val="nil"/>
              <w:left w:val="nil"/>
              <w:bottom w:val="single" w:sz="4" w:space="0" w:color="auto"/>
              <w:right w:val="single" w:sz="12" w:space="0" w:color="auto"/>
            </w:tcBorders>
            <w:shd w:val="clear" w:color="auto" w:fill="auto"/>
            <w:vAlign w:val="center"/>
            <w:hideMark/>
          </w:tcPr>
          <w:p w14:paraId="7ACFF1E2"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3.4 Produce national and state level Citizen’s Budget, including SDG aligned expenditure analysis and engage with citizens and parliament members</w:t>
            </w:r>
          </w:p>
        </w:tc>
        <w:tc>
          <w:tcPr>
            <w:tcW w:w="397" w:type="dxa"/>
            <w:tcBorders>
              <w:top w:val="nil"/>
              <w:left w:val="nil"/>
              <w:bottom w:val="single" w:sz="4" w:space="0" w:color="auto"/>
              <w:right w:val="single" w:sz="4" w:space="0" w:color="auto"/>
            </w:tcBorders>
            <w:shd w:val="clear" w:color="auto" w:fill="auto"/>
            <w:vAlign w:val="center"/>
            <w:hideMark/>
          </w:tcPr>
          <w:p w14:paraId="167F63F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auto" w:fill="auto"/>
            <w:vAlign w:val="center"/>
            <w:hideMark/>
          </w:tcPr>
          <w:p w14:paraId="302AADC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92D050"/>
            <w:vAlign w:val="center"/>
            <w:hideMark/>
          </w:tcPr>
          <w:p w14:paraId="7058B9B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single" w:sz="12" w:space="0" w:color="auto"/>
            </w:tcBorders>
            <w:shd w:val="clear" w:color="000000" w:fill="92D050"/>
            <w:vAlign w:val="center"/>
            <w:hideMark/>
          </w:tcPr>
          <w:p w14:paraId="16D8FA25"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auto" w:fill="auto"/>
            <w:vAlign w:val="center"/>
            <w:hideMark/>
          </w:tcPr>
          <w:p w14:paraId="1D01297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auto" w:fill="auto"/>
            <w:vAlign w:val="center"/>
            <w:hideMark/>
          </w:tcPr>
          <w:p w14:paraId="50A1AEA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92D050"/>
            <w:vAlign w:val="center"/>
            <w:hideMark/>
          </w:tcPr>
          <w:p w14:paraId="65B50085"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single" w:sz="12" w:space="0" w:color="auto"/>
            </w:tcBorders>
            <w:shd w:val="clear" w:color="000000" w:fill="92D050"/>
            <w:vAlign w:val="center"/>
            <w:hideMark/>
          </w:tcPr>
          <w:p w14:paraId="6BE1EAB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000000" w:fill="FFFFFF"/>
            <w:vAlign w:val="center"/>
            <w:hideMark/>
          </w:tcPr>
          <w:p w14:paraId="54F59C95"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4. Contractual services</w:t>
            </w:r>
          </w:p>
        </w:tc>
        <w:tc>
          <w:tcPr>
            <w:tcW w:w="940" w:type="dxa"/>
            <w:tcBorders>
              <w:top w:val="nil"/>
              <w:left w:val="nil"/>
              <w:bottom w:val="single" w:sz="4" w:space="0" w:color="auto"/>
              <w:right w:val="single" w:sz="4" w:space="0" w:color="auto"/>
            </w:tcBorders>
            <w:shd w:val="clear" w:color="000000" w:fill="FFFFFF"/>
            <w:vAlign w:val="center"/>
            <w:hideMark/>
          </w:tcPr>
          <w:p w14:paraId="6D84EBF3"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10,000 </w:t>
            </w:r>
          </w:p>
        </w:tc>
        <w:tc>
          <w:tcPr>
            <w:tcW w:w="1184" w:type="dxa"/>
            <w:tcBorders>
              <w:top w:val="nil"/>
              <w:left w:val="nil"/>
              <w:bottom w:val="single" w:sz="4" w:space="0" w:color="auto"/>
              <w:right w:val="single" w:sz="4" w:space="0" w:color="auto"/>
            </w:tcBorders>
            <w:shd w:val="clear" w:color="000000" w:fill="FFFFFF"/>
            <w:vAlign w:val="center"/>
            <w:hideMark/>
          </w:tcPr>
          <w:p w14:paraId="1F5CB1BB"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421B0E80"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10,000 </w:t>
            </w:r>
          </w:p>
        </w:tc>
        <w:tc>
          <w:tcPr>
            <w:tcW w:w="1254" w:type="dxa"/>
            <w:tcBorders>
              <w:top w:val="nil"/>
              <w:left w:val="nil"/>
              <w:bottom w:val="single" w:sz="4" w:space="0" w:color="auto"/>
              <w:right w:val="single" w:sz="12" w:space="0" w:color="auto"/>
            </w:tcBorders>
            <w:shd w:val="clear" w:color="000000" w:fill="FFFFFF"/>
            <w:vAlign w:val="center"/>
            <w:hideMark/>
          </w:tcPr>
          <w:p w14:paraId="23082DDA"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UNICEF</w:t>
            </w:r>
          </w:p>
        </w:tc>
        <w:tc>
          <w:tcPr>
            <w:tcW w:w="1287" w:type="dxa"/>
            <w:tcBorders>
              <w:top w:val="nil"/>
              <w:left w:val="single" w:sz="12" w:space="0" w:color="auto"/>
              <w:bottom w:val="single" w:sz="4" w:space="0" w:color="auto"/>
              <w:right w:val="single" w:sz="12" w:space="0" w:color="auto"/>
            </w:tcBorders>
            <w:shd w:val="clear" w:color="000000" w:fill="FFFFFF"/>
            <w:vAlign w:val="center"/>
            <w:hideMark/>
          </w:tcPr>
          <w:p w14:paraId="0BD3C68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MoFP, national line ministries</w:t>
            </w:r>
          </w:p>
        </w:tc>
      </w:tr>
      <w:tr w:rsidR="00A04148" w:rsidRPr="00D41BDC" w14:paraId="5E9F064D" w14:textId="77777777" w:rsidTr="00B2326F">
        <w:trPr>
          <w:trHeight w:val="715"/>
        </w:trPr>
        <w:tc>
          <w:tcPr>
            <w:tcW w:w="1174" w:type="dxa"/>
            <w:vMerge/>
            <w:tcBorders>
              <w:top w:val="nil"/>
              <w:left w:val="single" w:sz="12" w:space="0" w:color="auto"/>
              <w:bottom w:val="single" w:sz="12" w:space="0" w:color="000000"/>
              <w:right w:val="single" w:sz="12" w:space="0" w:color="auto"/>
            </w:tcBorders>
            <w:vAlign w:val="center"/>
            <w:hideMark/>
          </w:tcPr>
          <w:p w14:paraId="1D73A546"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78983A1B"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02FA092F"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tcBorders>
              <w:top w:val="nil"/>
              <w:left w:val="nil"/>
              <w:bottom w:val="single" w:sz="4" w:space="0" w:color="auto"/>
              <w:right w:val="single" w:sz="12" w:space="0" w:color="auto"/>
            </w:tcBorders>
            <w:shd w:val="clear" w:color="auto" w:fill="auto"/>
            <w:vAlign w:val="center"/>
            <w:hideMark/>
          </w:tcPr>
          <w:p w14:paraId="4D3F0ECA"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3.5 Conduct budget analysis (e.g. Budget Briefs around the draft national budgets including SDG aligned expenditure analysis) </w:t>
            </w:r>
          </w:p>
        </w:tc>
        <w:tc>
          <w:tcPr>
            <w:tcW w:w="397" w:type="dxa"/>
            <w:tcBorders>
              <w:top w:val="nil"/>
              <w:left w:val="nil"/>
              <w:bottom w:val="single" w:sz="4" w:space="0" w:color="auto"/>
              <w:right w:val="single" w:sz="4" w:space="0" w:color="auto"/>
            </w:tcBorders>
            <w:shd w:val="clear" w:color="000000" w:fill="FFFFFF"/>
            <w:vAlign w:val="center"/>
            <w:hideMark/>
          </w:tcPr>
          <w:p w14:paraId="0727368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0662923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92D050"/>
            <w:vAlign w:val="center"/>
            <w:hideMark/>
          </w:tcPr>
          <w:p w14:paraId="0E8EEC1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single" w:sz="12" w:space="0" w:color="auto"/>
            </w:tcBorders>
            <w:shd w:val="clear" w:color="000000" w:fill="92D050"/>
            <w:vAlign w:val="center"/>
            <w:hideMark/>
          </w:tcPr>
          <w:p w14:paraId="1C031D99"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auto" w:fill="auto"/>
            <w:vAlign w:val="center"/>
            <w:hideMark/>
          </w:tcPr>
          <w:p w14:paraId="3E932CC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auto" w:fill="auto"/>
            <w:vAlign w:val="center"/>
            <w:hideMark/>
          </w:tcPr>
          <w:p w14:paraId="2F28CE7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92D050"/>
            <w:vAlign w:val="center"/>
            <w:hideMark/>
          </w:tcPr>
          <w:p w14:paraId="4B8589B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single" w:sz="12" w:space="0" w:color="auto"/>
            </w:tcBorders>
            <w:shd w:val="clear" w:color="000000" w:fill="92D050"/>
            <w:vAlign w:val="center"/>
            <w:hideMark/>
          </w:tcPr>
          <w:p w14:paraId="5D010D3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000000" w:fill="FFFFFF"/>
            <w:vAlign w:val="center"/>
            <w:hideMark/>
          </w:tcPr>
          <w:p w14:paraId="0C63F73B"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4. Contractual services</w:t>
            </w:r>
          </w:p>
        </w:tc>
        <w:tc>
          <w:tcPr>
            <w:tcW w:w="940" w:type="dxa"/>
            <w:tcBorders>
              <w:top w:val="nil"/>
              <w:left w:val="nil"/>
              <w:bottom w:val="single" w:sz="4" w:space="0" w:color="auto"/>
              <w:right w:val="single" w:sz="4" w:space="0" w:color="auto"/>
            </w:tcBorders>
            <w:shd w:val="clear" w:color="000000" w:fill="FFFFFF"/>
            <w:vAlign w:val="center"/>
            <w:hideMark/>
          </w:tcPr>
          <w:p w14:paraId="72105185"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   </w:t>
            </w:r>
          </w:p>
        </w:tc>
        <w:tc>
          <w:tcPr>
            <w:tcW w:w="1184" w:type="dxa"/>
            <w:tcBorders>
              <w:top w:val="nil"/>
              <w:left w:val="nil"/>
              <w:bottom w:val="single" w:sz="4" w:space="0" w:color="auto"/>
              <w:right w:val="single" w:sz="4" w:space="0" w:color="auto"/>
            </w:tcBorders>
            <w:shd w:val="clear" w:color="000000" w:fill="FFFFFF"/>
            <w:vAlign w:val="center"/>
            <w:hideMark/>
          </w:tcPr>
          <w:p w14:paraId="77145945"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10,000 </w:t>
            </w:r>
          </w:p>
        </w:tc>
        <w:tc>
          <w:tcPr>
            <w:tcW w:w="940" w:type="dxa"/>
            <w:tcBorders>
              <w:top w:val="nil"/>
              <w:left w:val="nil"/>
              <w:bottom w:val="single" w:sz="4" w:space="0" w:color="auto"/>
              <w:right w:val="single" w:sz="4" w:space="0" w:color="auto"/>
            </w:tcBorders>
            <w:shd w:val="clear" w:color="000000" w:fill="FFFFFF"/>
            <w:vAlign w:val="center"/>
            <w:hideMark/>
          </w:tcPr>
          <w:p w14:paraId="62B192F1"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10,000 </w:t>
            </w:r>
          </w:p>
        </w:tc>
        <w:tc>
          <w:tcPr>
            <w:tcW w:w="1254" w:type="dxa"/>
            <w:tcBorders>
              <w:top w:val="nil"/>
              <w:left w:val="nil"/>
              <w:bottom w:val="single" w:sz="4" w:space="0" w:color="auto"/>
              <w:right w:val="single" w:sz="12" w:space="0" w:color="auto"/>
            </w:tcBorders>
            <w:shd w:val="clear" w:color="000000" w:fill="FFFFFF"/>
            <w:vAlign w:val="center"/>
            <w:hideMark/>
          </w:tcPr>
          <w:p w14:paraId="515F1086"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UNICEF</w:t>
            </w:r>
          </w:p>
        </w:tc>
        <w:tc>
          <w:tcPr>
            <w:tcW w:w="1287" w:type="dxa"/>
            <w:tcBorders>
              <w:top w:val="nil"/>
              <w:left w:val="single" w:sz="12" w:space="0" w:color="auto"/>
              <w:bottom w:val="single" w:sz="4" w:space="0" w:color="auto"/>
              <w:right w:val="single" w:sz="12" w:space="0" w:color="auto"/>
            </w:tcBorders>
            <w:shd w:val="clear" w:color="000000" w:fill="FFFFFF"/>
            <w:vAlign w:val="center"/>
            <w:hideMark/>
          </w:tcPr>
          <w:p w14:paraId="4709D0E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MoFP, national line ministries</w:t>
            </w:r>
          </w:p>
        </w:tc>
      </w:tr>
      <w:tr w:rsidR="00A04148" w:rsidRPr="00D41BDC" w14:paraId="18D8B15F" w14:textId="77777777" w:rsidTr="00B2326F">
        <w:trPr>
          <w:trHeight w:val="720"/>
        </w:trPr>
        <w:tc>
          <w:tcPr>
            <w:tcW w:w="1174" w:type="dxa"/>
            <w:vMerge/>
            <w:tcBorders>
              <w:top w:val="nil"/>
              <w:left w:val="single" w:sz="12" w:space="0" w:color="auto"/>
              <w:bottom w:val="single" w:sz="12" w:space="0" w:color="000000"/>
              <w:right w:val="single" w:sz="12" w:space="0" w:color="auto"/>
            </w:tcBorders>
            <w:vAlign w:val="center"/>
            <w:hideMark/>
          </w:tcPr>
          <w:p w14:paraId="15C1AB8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41DD9DE0"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6DFE79AE"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tcBorders>
              <w:top w:val="nil"/>
              <w:left w:val="nil"/>
              <w:bottom w:val="single" w:sz="4" w:space="0" w:color="auto"/>
              <w:right w:val="single" w:sz="12" w:space="0" w:color="auto"/>
            </w:tcBorders>
            <w:shd w:val="clear" w:color="auto" w:fill="auto"/>
            <w:vAlign w:val="center"/>
            <w:hideMark/>
          </w:tcPr>
          <w:p w14:paraId="568F0A36"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3.6 Capacity building/advocacy workshops of transparency and accountability at national and state legislatures and with budget and admin officers around the Open Budget Survey</w:t>
            </w:r>
          </w:p>
        </w:tc>
        <w:tc>
          <w:tcPr>
            <w:tcW w:w="397" w:type="dxa"/>
            <w:tcBorders>
              <w:top w:val="nil"/>
              <w:left w:val="nil"/>
              <w:bottom w:val="single" w:sz="4" w:space="0" w:color="auto"/>
              <w:right w:val="single" w:sz="4" w:space="0" w:color="auto"/>
            </w:tcBorders>
            <w:shd w:val="clear" w:color="000000" w:fill="FFFFFF"/>
            <w:vAlign w:val="center"/>
            <w:hideMark/>
          </w:tcPr>
          <w:p w14:paraId="4887992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150B375A"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6A57246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single" w:sz="12" w:space="0" w:color="auto"/>
            </w:tcBorders>
            <w:shd w:val="clear" w:color="000000" w:fill="FFFFFF"/>
            <w:vAlign w:val="center"/>
            <w:hideMark/>
          </w:tcPr>
          <w:p w14:paraId="2C1D544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7C37B44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000B413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4AD18A8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single" w:sz="12" w:space="0" w:color="auto"/>
            </w:tcBorders>
            <w:shd w:val="clear" w:color="000000" w:fill="FFFFFF"/>
            <w:vAlign w:val="center"/>
            <w:hideMark/>
          </w:tcPr>
          <w:p w14:paraId="63BD76E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000000" w:fill="FFFFFF"/>
            <w:vAlign w:val="center"/>
            <w:hideMark/>
          </w:tcPr>
          <w:p w14:paraId="7687530E"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5. Travel </w:t>
            </w:r>
          </w:p>
        </w:tc>
        <w:tc>
          <w:tcPr>
            <w:tcW w:w="940" w:type="dxa"/>
            <w:tcBorders>
              <w:top w:val="nil"/>
              <w:left w:val="nil"/>
              <w:bottom w:val="single" w:sz="4" w:space="0" w:color="auto"/>
              <w:right w:val="single" w:sz="4" w:space="0" w:color="auto"/>
            </w:tcBorders>
            <w:shd w:val="clear" w:color="000000" w:fill="FFFFFF"/>
            <w:vAlign w:val="center"/>
            <w:hideMark/>
          </w:tcPr>
          <w:p w14:paraId="408A49CE"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22,000 </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E3848" w14:textId="77777777" w:rsidR="00A04148" w:rsidRPr="00D41BDC" w:rsidRDefault="00A04148" w:rsidP="00B2326F">
            <w:pPr>
              <w:spacing w:line="240" w:lineRule="auto"/>
              <w:jc w:val="right"/>
              <w:rPr>
                <w:rFonts w:ascii="Verdana" w:eastAsia="Times New Roman" w:hAnsi="Verdana" w:cs="Calibri"/>
                <w:color w:val="9C0006"/>
                <w:sz w:val="14"/>
                <w:szCs w:val="14"/>
                <w:lang w:eastAsia="ja-JP"/>
              </w:rPr>
            </w:pPr>
            <w:r w:rsidRPr="00D41BDC">
              <w:rPr>
                <w:rFonts w:ascii="Verdana" w:eastAsia="Times New Roman" w:hAnsi="Verdana" w:cs="Calibri"/>
                <w:color w:val="9C0006"/>
                <w:sz w:val="14"/>
                <w:szCs w:val="14"/>
                <w:lang w:eastAsia="ja-JP"/>
              </w:rPr>
              <w:t xml:space="preserve">                   </w:t>
            </w:r>
            <w:r w:rsidRPr="00D41BDC">
              <w:rPr>
                <w:rFonts w:ascii="Verdana" w:eastAsia="Times New Roman" w:hAnsi="Verdana" w:cs="Calibri"/>
                <w:sz w:val="14"/>
                <w:szCs w:val="14"/>
                <w:lang w:eastAsia="ja-JP"/>
              </w:rPr>
              <w:t xml:space="preserve">20,000 </w:t>
            </w:r>
          </w:p>
        </w:tc>
        <w:tc>
          <w:tcPr>
            <w:tcW w:w="940" w:type="dxa"/>
            <w:tcBorders>
              <w:top w:val="nil"/>
              <w:left w:val="nil"/>
              <w:bottom w:val="single" w:sz="4" w:space="0" w:color="auto"/>
              <w:right w:val="single" w:sz="4" w:space="0" w:color="auto"/>
            </w:tcBorders>
            <w:shd w:val="clear" w:color="000000" w:fill="FFFFFF"/>
            <w:vAlign w:val="center"/>
            <w:hideMark/>
          </w:tcPr>
          <w:p w14:paraId="3201F0D5"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42,000 </w:t>
            </w:r>
          </w:p>
        </w:tc>
        <w:tc>
          <w:tcPr>
            <w:tcW w:w="1254" w:type="dxa"/>
            <w:tcBorders>
              <w:top w:val="nil"/>
              <w:left w:val="nil"/>
              <w:bottom w:val="single" w:sz="4" w:space="0" w:color="auto"/>
              <w:right w:val="single" w:sz="12" w:space="0" w:color="auto"/>
            </w:tcBorders>
            <w:shd w:val="clear" w:color="000000" w:fill="FFFFFF"/>
            <w:vAlign w:val="center"/>
            <w:hideMark/>
          </w:tcPr>
          <w:p w14:paraId="0F80EA95"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UNICEF</w:t>
            </w:r>
          </w:p>
        </w:tc>
        <w:tc>
          <w:tcPr>
            <w:tcW w:w="1287" w:type="dxa"/>
            <w:tcBorders>
              <w:top w:val="nil"/>
              <w:left w:val="single" w:sz="12" w:space="0" w:color="auto"/>
              <w:bottom w:val="single" w:sz="4" w:space="0" w:color="auto"/>
              <w:right w:val="single" w:sz="12" w:space="0" w:color="auto"/>
            </w:tcBorders>
            <w:shd w:val="clear" w:color="000000" w:fill="FFFFFF"/>
            <w:vAlign w:val="center"/>
            <w:hideMark/>
          </w:tcPr>
          <w:p w14:paraId="5FB4096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MoFP, National Legislature, International Budget Partnership (IDP)</w:t>
            </w:r>
          </w:p>
        </w:tc>
      </w:tr>
      <w:tr w:rsidR="00A04148" w:rsidRPr="00D41BDC" w14:paraId="7222DD92" w14:textId="77777777" w:rsidTr="00B2326F">
        <w:trPr>
          <w:trHeight w:val="400"/>
        </w:trPr>
        <w:tc>
          <w:tcPr>
            <w:tcW w:w="1174" w:type="dxa"/>
            <w:vMerge/>
            <w:tcBorders>
              <w:top w:val="nil"/>
              <w:left w:val="single" w:sz="12" w:space="0" w:color="auto"/>
              <w:bottom w:val="single" w:sz="12" w:space="0" w:color="000000"/>
              <w:right w:val="single" w:sz="12" w:space="0" w:color="auto"/>
            </w:tcBorders>
            <w:vAlign w:val="center"/>
            <w:hideMark/>
          </w:tcPr>
          <w:p w14:paraId="4C1948E7"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010E9306"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272AFD23"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val="restart"/>
            <w:tcBorders>
              <w:top w:val="nil"/>
              <w:left w:val="single" w:sz="12" w:space="0" w:color="auto"/>
              <w:bottom w:val="single" w:sz="4" w:space="0" w:color="000000"/>
              <w:right w:val="single" w:sz="12" w:space="0" w:color="auto"/>
            </w:tcBorders>
            <w:shd w:val="clear" w:color="000000" w:fill="FFFFFF"/>
            <w:vAlign w:val="center"/>
            <w:hideMark/>
          </w:tcPr>
          <w:p w14:paraId="373DE4C9"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3.7 Conduct a Public Expenditure Review (PER) and Public Expenditure Tracking Survey (UNICEF - PETS education) </w:t>
            </w:r>
          </w:p>
        </w:tc>
        <w:tc>
          <w:tcPr>
            <w:tcW w:w="397" w:type="dxa"/>
            <w:vMerge w:val="restart"/>
            <w:tcBorders>
              <w:top w:val="nil"/>
              <w:left w:val="single" w:sz="12" w:space="0" w:color="auto"/>
              <w:bottom w:val="single" w:sz="4" w:space="0" w:color="000000"/>
              <w:right w:val="single" w:sz="4" w:space="0" w:color="auto"/>
            </w:tcBorders>
            <w:shd w:val="clear" w:color="000000" w:fill="92D050"/>
            <w:vAlign w:val="center"/>
            <w:hideMark/>
          </w:tcPr>
          <w:p w14:paraId="5C7EB36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03B6017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7862F3CA"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072F8A1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45D24C95"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D0C5F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48A79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39534C6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000000" w:fill="FFFFFF"/>
            <w:vAlign w:val="center"/>
            <w:hideMark/>
          </w:tcPr>
          <w:p w14:paraId="4BA652B2"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4. Contractual services</w:t>
            </w:r>
          </w:p>
        </w:tc>
        <w:tc>
          <w:tcPr>
            <w:tcW w:w="940" w:type="dxa"/>
            <w:tcBorders>
              <w:top w:val="nil"/>
              <w:left w:val="nil"/>
              <w:bottom w:val="single" w:sz="4" w:space="0" w:color="auto"/>
              <w:right w:val="single" w:sz="4" w:space="0" w:color="auto"/>
            </w:tcBorders>
            <w:shd w:val="clear" w:color="000000" w:fill="FFFFFF"/>
            <w:vAlign w:val="center"/>
            <w:hideMark/>
          </w:tcPr>
          <w:p w14:paraId="46BF639C"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1184" w:type="dxa"/>
            <w:tcBorders>
              <w:top w:val="nil"/>
              <w:left w:val="nil"/>
              <w:bottom w:val="single" w:sz="4" w:space="0" w:color="auto"/>
              <w:right w:val="single" w:sz="4" w:space="0" w:color="auto"/>
            </w:tcBorders>
            <w:shd w:val="clear" w:color="000000" w:fill="FFFFFF"/>
            <w:vAlign w:val="center"/>
            <w:hideMark/>
          </w:tcPr>
          <w:p w14:paraId="375D358F"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250,000 </w:t>
            </w:r>
          </w:p>
        </w:tc>
        <w:tc>
          <w:tcPr>
            <w:tcW w:w="940" w:type="dxa"/>
            <w:tcBorders>
              <w:top w:val="nil"/>
              <w:left w:val="nil"/>
              <w:bottom w:val="single" w:sz="4" w:space="0" w:color="auto"/>
              <w:right w:val="single" w:sz="4" w:space="0" w:color="auto"/>
            </w:tcBorders>
            <w:shd w:val="clear" w:color="000000" w:fill="FFFFFF"/>
            <w:vAlign w:val="center"/>
            <w:hideMark/>
          </w:tcPr>
          <w:p w14:paraId="0DDC7948"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250,000 </w:t>
            </w:r>
          </w:p>
        </w:tc>
        <w:tc>
          <w:tcPr>
            <w:tcW w:w="1254" w:type="dxa"/>
            <w:tcBorders>
              <w:top w:val="nil"/>
              <w:left w:val="nil"/>
              <w:bottom w:val="single" w:sz="4" w:space="0" w:color="auto"/>
              <w:right w:val="single" w:sz="12" w:space="0" w:color="auto"/>
            </w:tcBorders>
            <w:shd w:val="clear" w:color="000000" w:fill="FFFFFF"/>
            <w:vAlign w:val="center"/>
            <w:hideMark/>
          </w:tcPr>
          <w:p w14:paraId="5E2579D3"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UNICEF</w:t>
            </w:r>
          </w:p>
        </w:tc>
        <w:tc>
          <w:tcPr>
            <w:tcW w:w="1287" w:type="dxa"/>
            <w:tcBorders>
              <w:top w:val="nil"/>
              <w:left w:val="single" w:sz="12" w:space="0" w:color="auto"/>
              <w:bottom w:val="single" w:sz="4" w:space="0" w:color="auto"/>
              <w:right w:val="single" w:sz="12" w:space="0" w:color="auto"/>
            </w:tcBorders>
            <w:shd w:val="clear" w:color="000000" w:fill="FFFFFF"/>
            <w:vAlign w:val="center"/>
            <w:hideMark/>
          </w:tcPr>
          <w:p w14:paraId="5EBF761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proofErr w:type="spellStart"/>
            <w:r w:rsidRPr="00D41BDC">
              <w:rPr>
                <w:rFonts w:ascii="Verdana" w:eastAsia="Times New Roman" w:hAnsi="Verdana" w:cs="Calibri"/>
                <w:color w:val="000000"/>
                <w:sz w:val="14"/>
                <w:szCs w:val="14"/>
                <w:lang w:eastAsia="ja-JP"/>
              </w:rPr>
              <w:t>MoFP</w:t>
            </w:r>
            <w:proofErr w:type="spellEnd"/>
            <w:r w:rsidRPr="00D41BDC">
              <w:rPr>
                <w:rFonts w:ascii="Verdana" w:eastAsia="Times New Roman" w:hAnsi="Verdana" w:cs="Calibri"/>
                <w:color w:val="000000"/>
                <w:sz w:val="14"/>
                <w:szCs w:val="14"/>
                <w:lang w:eastAsia="ja-JP"/>
              </w:rPr>
              <w:t xml:space="preserve">, State </w:t>
            </w:r>
            <w:proofErr w:type="spellStart"/>
            <w:r w:rsidRPr="00D41BDC">
              <w:rPr>
                <w:rFonts w:ascii="Verdana" w:eastAsia="Times New Roman" w:hAnsi="Verdana" w:cs="Calibri"/>
                <w:color w:val="000000"/>
                <w:sz w:val="14"/>
                <w:szCs w:val="14"/>
                <w:lang w:eastAsia="ja-JP"/>
              </w:rPr>
              <w:t>MoF</w:t>
            </w:r>
            <w:proofErr w:type="spellEnd"/>
            <w:r w:rsidRPr="00D41BDC">
              <w:rPr>
                <w:rFonts w:ascii="Verdana" w:eastAsia="Times New Roman" w:hAnsi="Verdana" w:cs="Calibri"/>
                <w:color w:val="000000"/>
                <w:sz w:val="14"/>
                <w:szCs w:val="14"/>
                <w:lang w:eastAsia="ja-JP"/>
              </w:rPr>
              <w:t>, National and state educations MDAs, national and state educations NGOs and CSOs</w:t>
            </w:r>
          </w:p>
        </w:tc>
      </w:tr>
      <w:tr w:rsidR="00A04148" w:rsidRPr="00D41BDC" w14:paraId="1DDF35BF" w14:textId="77777777" w:rsidTr="00B2326F">
        <w:trPr>
          <w:trHeight w:val="250"/>
        </w:trPr>
        <w:tc>
          <w:tcPr>
            <w:tcW w:w="1174" w:type="dxa"/>
            <w:vMerge/>
            <w:tcBorders>
              <w:top w:val="nil"/>
              <w:left w:val="single" w:sz="12" w:space="0" w:color="auto"/>
              <w:bottom w:val="single" w:sz="12" w:space="0" w:color="000000"/>
              <w:right w:val="single" w:sz="12" w:space="0" w:color="auto"/>
            </w:tcBorders>
            <w:vAlign w:val="center"/>
            <w:hideMark/>
          </w:tcPr>
          <w:p w14:paraId="3E9B1C3B"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5F96D661"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38AB2400"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1890E8E6"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0A436B51"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778B8E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4D5A2B6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174075E0"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1EF6C93A"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7C92680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17AE741F"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1AA98223"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000000" w:fill="FFFFFF"/>
            <w:vAlign w:val="center"/>
            <w:hideMark/>
          </w:tcPr>
          <w:p w14:paraId="73F22705"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2BCFCE66"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1184" w:type="dxa"/>
            <w:tcBorders>
              <w:top w:val="nil"/>
              <w:left w:val="nil"/>
              <w:bottom w:val="single" w:sz="4" w:space="0" w:color="auto"/>
              <w:right w:val="single" w:sz="4" w:space="0" w:color="auto"/>
            </w:tcBorders>
            <w:shd w:val="clear" w:color="000000" w:fill="FFFFFF"/>
            <w:vAlign w:val="center"/>
            <w:hideMark/>
          </w:tcPr>
          <w:p w14:paraId="5E2DE1F7"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2142A270"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w:t>
            </w:r>
          </w:p>
        </w:tc>
        <w:tc>
          <w:tcPr>
            <w:tcW w:w="1254" w:type="dxa"/>
            <w:tcBorders>
              <w:top w:val="nil"/>
              <w:left w:val="nil"/>
              <w:bottom w:val="single" w:sz="4" w:space="0" w:color="auto"/>
              <w:right w:val="single" w:sz="12" w:space="0" w:color="auto"/>
            </w:tcBorders>
            <w:shd w:val="clear" w:color="000000" w:fill="FFFFFF"/>
            <w:vAlign w:val="center"/>
            <w:hideMark/>
          </w:tcPr>
          <w:p w14:paraId="145E7722"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WHO</w:t>
            </w:r>
          </w:p>
        </w:tc>
        <w:tc>
          <w:tcPr>
            <w:tcW w:w="1287" w:type="dxa"/>
            <w:tcBorders>
              <w:top w:val="nil"/>
              <w:left w:val="single" w:sz="12" w:space="0" w:color="auto"/>
              <w:bottom w:val="nil"/>
              <w:right w:val="single" w:sz="12" w:space="0" w:color="auto"/>
            </w:tcBorders>
            <w:shd w:val="clear" w:color="000000" w:fill="FFFFFF"/>
            <w:vAlign w:val="center"/>
            <w:hideMark/>
          </w:tcPr>
          <w:p w14:paraId="070D2208"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r>
      <w:tr w:rsidR="00A04148" w:rsidRPr="00D41BDC" w14:paraId="449BCAF5" w14:textId="77777777" w:rsidTr="00B2326F">
        <w:trPr>
          <w:trHeight w:val="250"/>
        </w:trPr>
        <w:tc>
          <w:tcPr>
            <w:tcW w:w="1174" w:type="dxa"/>
            <w:vMerge/>
            <w:tcBorders>
              <w:top w:val="nil"/>
              <w:left w:val="single" w:sz="12" w:space="0" w:color="auto"/>
              <w:bottom w:val="single" w:sz="12" w:space="0" w:color="000000"/>
              <w:right w:val="single" w:sz="12" w:space="0" w:color="auto"/>
            </w:tcBorders>
            <w:vAlign w:val="center"/>
            <w:hideMark/>
          </w:tcPr>
          <w:p w14:paraId="171D93A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64B5B75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2A4790B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val="restart"/>
            <w:tcBorders>
              <w:top w:val="nil"/>
              <w:left w:val="single" w:sz="12" w:space="0" w:color="auto"/>
              <w:bottom w:val="single" w:sz="4" w:space="0" w:color="auto"/>
              <w:right w:val="single" w:sz="12" w:space="0" w:color="auto"/>
            </w:tcBorders>
            <w:shd w:val="clear" w:color="auto" w:fill="auto"/>
            <w:vAlign w:val="center"/>
            <w:hideMark/>
          </w:tcPr>
          <w:p w14:paraId="1687D650"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3.8 Conduct fiscal space analysis, </w:t>
            </w:r>
            <w:r w:rsidRPr="00D41BDC">
              <w:rPr>
                <w:rFonts w:ascii="Verdana" w:eastAsia="Times New Roman" w:hAnsi="Verdana" w:cs="Calibri"/>
                <w:sz w:val="14"/>
                <w:szCs w:val="14"/>
                <w:lang w:eastAsia="ja-JP"/>
              </w:rPr>
              <w:lastRenderedPageBreak/>
              <w:t xml:space="preserve">exploring revenue sources, PFM practice and SDG commitments in Central Equatoria, Western Equatoria and Northern Bahr el Ghazal states </w:t>
            </w:r>
          </w:p>
        </w:tc>
        <w:tc>
          <w:tcPr>
            <w:tcW w:w="39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74356B0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lastRenderedPageBreak/>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575BE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6CC87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52525AA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3C6BF30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586A1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EB579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92D050"/>
            <w:vAlign w:val="center"/>
            <w:hideMark/>
          </w:tcPr>
          <w:p w14:paraId="458CF8A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000000" w:fill="FFFFFF"/>
            <w:vAlign w:val="center"/>
            <w:hideMark/>
          </w:tcPr>
          <w:p w14:paraId="4C2BF79C"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4. Contractual services</w:t>
            </w:r>
          </w:p>
        </w:tc>
        <w:tc>
          <w:tcPr>
            <w:tcW w:w="940" w:type="dxa"/>
            <w:tcBorders>
              <w:top w:val="nil"/>
              <w:left w:val="nil"/>
              <w:bottom w:val="single" w:sz="4" w:space="0" w:color="auto"/>
              <w:right w:val="single" w:sz="4" w:space="0" w:color="auto"/>
            </w:tcBorders>
            <w:shd w:val="clear" w:color="000000" w:fill="FFFFFF"/>
            <w:vAlign w:val="center"/>
            <w:hideMark/>
          </w:tcPr>
          <w:p w14:paraId="4DC6E673"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25,000 </w:t>
            </w:r>
          </w:p>
        </w:tc>
        <w:tc>
          <w:tcPr>
            <w:tcW w:w="1184" w:type="dxa"/>
            <w:tcBorders>
              <w:top w:val="nil"/>
              <w:left w:val="nil"/>
              <w:bottom w:val="single" w:sz="4" w:space="0" w:color="auto"/>
              <w:right w:val="single" w:sz="4" w:space="0" w:color="auto"/>
            </w:tcBorders>
            <w:shd w:val="clear" w:color="000000" w:fill="FFFFFF"/>
            <w:vAlign w:val="center"/>
            <w:hideMark/>
          </w:tcPr>
          <w:p w14:paraId="6283AE41"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70C0E3B4"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25,000 </w:t>
            </w:r>
          </w:p>
        </w:tc>
        <w:tc>
          <w:tcPr>
            <w:tcW w:w="1254" w:type="dxa"/>
            <w:tcBorders>
              <w:top w:val="nil"/>
              <w:left w:val="nil"/>
              <w:bottom w:val="single" w:sz="4" w:space="0" w:color="auto"/>
              <w:right w:val="single" w:sz="12" w:space="0" w:color="auto"/>
            </w:tcBorders>
            <w:shd w:val="clear" w:color="000000" w:fill="FFFFFF"/>
            <w:vAlign w:val="center"/>
            <w:hideMark/>
          </w:tcPr>
          <w:p w14:paraId="32EC6667"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UNDP</w:t>
            </w:r>
          </w:p>
        </w:tc>
        <w:tc>
          <w:tcPr>
            <w:tcW w:w="1287" w:type="dxa"/>
            <w:vMerge w:val="restart"/>
            <w:tcBorders>
              <w:top w:val="single" w:sz="4" w:space="0" w:color="auto"/>
              <w:left w:val="single" w:sz="12" w:space="0" w:color="auto"/>
              <w:bottom w:val="single" w:sz="4" w:space="0" w:color="000000"/>
              <w:right w:val="single" w:sz="12" w:space="0" w:color="auto"/>
            </w:tcBorders>
            <w:shd w:val="clear" w:color="000000" w:fill="FFFFFF"/>
            <w:vAlign w:val="center"/>
            <w:hideMark/>
          </w:tcPr>
          <w:p w14:paraId="32215A8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State </w:t>
            </w:r>
            <w:proofErr w:type="spellStart"/>
            <w:r w:rsidRPr="00D41BDC">
              <w:rPr>
                <w:rFonts w:ascii="Verdana" w:eastAsia="Times New Roman" w:hAnsi="Verdana" w:cs="Calibri"/>
                <w:color w:val="000000"/>
                <w:sz w:val="14"/>
                <w:szCs w:val="14"/>
                <w:lang w:eastAsia="ja-JP"/>
              </w:rPr>
              <w:t>MoF</w:t>
            </w:r>
            <w:proofErr w:type="spellEnd"/>
          </w:p>
        </w:tc>
      </w:tr>
      <w:tr w:rsidR="00A04148" w:rsidRPr="00D41BDC" w14:paraId="60DE0F64" w14:textId="77777777" w:rsidTr="00B2326F">
        <w:trPr>
          <w:trHeight w:val="250"/>
        </w:trPr>
        <w:tc>
          <w:tcPr>
            <w:tcW w:w="1174" w:type="dxa"/>
            <w:vMerge/>
            <w:tcBorders>
              <w:top w:val="nil"/>
              <w:left w:val="single" w:sz="12" w:space="0" w:color="auto"/>
              <w:bottom w:val="single" w:sz="12" w:space="0" w:color="000000"/>
              <w:right w:val="single" w:sz="12" w:space="0" w:color="auto"/>
            </w:tcBorders>
            <w:vAlign w:val="center"/>
            <w:hideMark/>
          </w:tcPr>
          <w:p w14:paraId="27C5FCE3"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718348CF"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548D1DD1"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auto"/>
              <w:right w:val="single" w:sz="12" w:space="0" w:color="auto"/>
            </w:tcBorders>
            <w:vAlign w:val="center"/>
            <w:hideMark/>
          </w:tcPr>
          <w:p w14:paraId="44BDB511"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3CD8145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4891D65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1DD8243E"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07F31C31"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148D4A1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0B5FF002"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7A87312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2F766AE2"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000000" w:fill="FFFFFF"/>
            <w:vAlign w:val="center"/>
            <w:hideMark/>
          </w:tcPr>
          <w:p w14:paraId="6CEF2A5A"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4. Contractual services</w:t>
            </w:r>
          </w:p>
        </w:tc>
        <w:tc>
          <w:tcPr>
            <w:tcW w:w="940" w:type="dxa"/>
            <w:tcBorders>
              <w:top w:val="nil"/>
              <w:left w:val="nil"/>
              <w:bottom w:val="single" w:sz="4" w:space="0" w:color="auto"/>
              <w:right w:val="single" w:sz="4" w:space="0" w:color="auto"/>
            </w:tcBorders>
            <w:shd w:val="clear" w:color="000000" w:fill="FFFFFF"/>
            <w:vAlign w:val="center"/>
            <w:hideMark/>
          </w:tcPr>
          <w:p w14:paraId="2E38BF20"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10,000 </w:t>
            </w:r>
          </w:p>
        </w:tc>
        <w:tc>
          <w:tcPr>
            <w:tcW w:w="1184" w:type="dxa"/>
            <w:tcBorders>
              <w:top w:val="nil"/>
              <w:left w:val="nil"/>
              <w:bottom w:val="single" w:sz="4" w:space="0" w:color="auto"/>
              <w:right w:val="single" w:sz="4" w:space="0" w:color="auto"/>
            </w:tcBorders>
            <w:shd w:val="clear" w:color="000000" w:fill="FFFFFF"/>
            <w:vAlign w:val="center"/>
            <w:hideMark/>
          </w:tcPr>
          <w:p w14:paraId="5208EEFD"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3BC53AE0"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10,000 </w:t>
            </w:r>
          </w:p>
        </w:tc>
        <w:tc>
          <w:tcPr>
            <w:tcW w:w="1254" w:type="dxa"/>
            <w:tcBorders>
              <w:top w:val="nil"/>
              <w:left w:val="nil"/>
              <w:bottom w:val="single" w:sz="4" w:space="0" w:color="auto"/>
              <w:right w:val="single" w:sz="12" w:space="0" w:color="auto"/>
            </w:tcBorders>
            <w:shd w:val="clear" w:color="000000" w:fill="FFFFFF"/>
            <w:vAlign w:val="center"/>
            <w:hideMark/>
          </w:tcPr>
          <w:p w14:paraId="18706A7C"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UNICEF</w:t>
            </w:r>
          </w:p>
        </w:tc>
        <w:tc>
          <w:tcPr>
            <w:tcW w:w="1287" w:type="dxa"/>
            <w:vMerge/>
            <w:tcBorders>
              <w:top w:val="single" w:sz="4" w:space="0" w:color="auto"/>
              <w:left w:val="single" w:sz="12" w:space="0" w:color="auto"/>
              <w:bottom w:val="single" w:sz="4" w:space="0" w:color="000000"/>
              <w:right w:val="single" w:sz="12" w:space="0" w:color="auto"/>
            </w:tcBorders>
            <w:vAlign w:val="center"/>
            <w:hideMark/>
          </w:tcPr>
          <w:p w14:paraId="2BB1D8F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r>
      <w:tr w:rsidR="00A04148" w:rsidRPr="00D41BDC" w14:paraId="68C8C74E" w14:textId="77777777" w:rsidTr="00B2326F">
        <w:trPr>
          <w:trHeight w:val="400"/>
        </w:trPr>
        <w:tc>
          <w:tcPr>
            <w:tcW w:w="1174" w:type="dxa"/>
            <w:vMerge/>
            <w:tcBorders>
              <w:top w:val="nil"/>
              <w:left w:val="single" w:sz="12" w:space="0" w:color="auto"/>
              <w:bottom w:val="single" w:sz="12" w:space="0" w:color="000000"/>
              <w:right w:val="single" w:sz="12" w:space="0" w:color="auto"/>
            </w:tcBorders>
            <w:vAlign w:val="center"/>
            <w:hideMark/>
          </w:tcPr>
          <w:p w14:paraId="420152FC"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47D9575A"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77F8EE4F"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tcBorders>
              <w:top w:val="nil"/>
              <w:left w:val="nil"/>
              <w:bottom w:val="single" w:sz="4" w:space="0" w:color="auto"/>
              <w:right w:val="single" w:sz="12" w:space="0" w:color="auto"/>
            </w:tcBorders>
            <w:shd w:val="clear" w:color="auto" w:fill="auto"/>
            <w:vAlign w:val="center"/>
            <w:hideMark/>
          </w:tcPr>
          <w:p w14:paraId="23DB4C01"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3.9 Establish and operationalize a national dashboard to monitor state online financial and operational reporting (including on SDG related programmes) to promote good governance and strengthen institutional transparency.</w:t>
            </w:r>
          </w:p>
        </w:tc>
        <w:tc>
          <w:tcPr>
            <w:tcW w:w="397" w:type="dxa"/>
            <w:tcBorders>
              <w:top w:val="nil"/>
              <w:left w:val="nil"/>
              <w:bottom w:val="single" w:sz="4" w:space="0" w:color="auto"/>
              <w:right w:val="single" w:sz="4" w:space="0" w:color="auto"/>
            </w:tcBorders>
            <w:shd w:val="clear" w:color="000000" w:fill="FFFFFF"/>
            <w:vAlign w:val="center"/>
            <w:hideMark/>
          </w:tcPr>
          <w:p w14:paraId="2EFF8D38"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1CD9626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5AA1DB9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single" w:sz="12" w:space="0" w:color="auto"/>
            </w:tcBorders>
            <w:shd w:val="clear" w:color="000000" w:fill="FFFFFF"/>
            <w:vAlign w:val="center"/>
            <w:hideMark/>
          </w:tcPr>
          <w:p w14:paraId="0E71401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29B37F5A"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66297BD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60816A6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single" w:sz="12" w:space="0" w:color="auto"/>
            </w:tcBorders>
            <w:shd w:val="clear" w:color="000000" w:fill="FFFFFF"/>
            <w:vAlign w:val="center"/>
            <w:hideMark/>
          </w:tcPr>
          <w:p w14:paraId="5FDCF10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000000" w:fill="FFFFFF"/>
            <w:vAlign w:val="center"/>
            <w:hideMark/>
          </w:tcPr>
          <w:p w14:paraId="3A185990"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3. Equipment, Vehicles, and Furniture (including Depreciation) </w:t>
            </w:r>
          </w:p>
        </w:tc>
        <w:tc>
          <w:tcPr>
            <w:tcW w:w="940" w:type="dxa"/>
            <w:tcBorders>
              <w:top w:val="nil"/>
              <w:left w:val="nil"/>
              <w:bottom w:val="single" w:sz="4" w:space="0" w:color="auto"/>
              <w:right w:val="single" w:sz="4" w:space="0" w:color="auto"/>
            </w:tcBorders>
            <w:shd w:val="clear" w:color="000000" w:fill="FFFFFF"/>
            <w:vAlign w:val="center"/>
            <w:hideMark/>
          </w:tcPr>
          <w:p w14:paraId="5330BAFC"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25,000 </w:t>
            </w:r>
          </w:p>
        </w:tc>
        <w:tc>
          <w:tcPr>
            <w:tcW w:w="1184" w:type="dxa"/>
            <w:tcBorders>
              <w:top w:val="nil"/>
              <w:left w:val="nil"/>
              <w:bottom w:val="single" w:sz="4" w:space="0" w:color="auto"/>
              <w:right w:val="single" w:sz="4" w:space="0" w:color="auto"/>
            </w:tcBorders>
            <w:shd w:val="clear" w:color="000000" w:fill="FFFFFF"/>
            <w:noWrap/>
            <w:vAlign w:val="center"/>
            <w:hideMark/>
          </w:tcPr>
          <w:p w14:paraId="0F822EF1"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104F7B6A"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25,000 </w:t>
            </w:r>
          </w:p>
        </w:tc>
        <w:tc>
          <w:tcPr>
            <w:tcW w:w="1254" w:type="dxa"/>
            <w:tcBorders>
              <w:top w:val="nil"/>
              <w:left w:val="nil"/>
              <w:bottom w:val="single" w:sz="4" w:space="0" w:color="auto"/>
              <w:right w:val="single" w:sz="12" w:space="0" w:color="auto"/>
            </w:tcBorders>
            <w:shd w:val="clear" w:color="000000" w:fill="FFFFFF"/>
            <w:vAlign w:val="center"/>
            <w:hideMark/>
          </w:tcPr>
          <w:p w14:paraId="543E5D42"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UNICEF</w:t>
            </w:r>
          </w:p>
        </w:tc>
        <w:tc>
          <w:tcPr>
            <w:tcW w:w="1287" w:type="dxa"/>
            <w:tcBorders>
              <w:top w:val="nil"/>
              <w:left w:val="single" w:sz="12" w:space="0" w:color="auto"/>
              <w:bottom w:val="single" w:sz="4" w:space="0" w:color="auto"/>
              <w:right w:val="single" w:sz="12" w:space="0" w:color="auto"/>
            </w:tcBorders>
            <w:shd w:val="clear" w:color="000000" w:fill="FFFFFF"/>
            <w:vAlign w:val="center"/>
            <w:hideMark/>
          </w:tcPr>
          <w:p w14:paraId="778C9F5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proofErr w:type="spellStart"/>
            <w:r w:rsidRPr="00D41BDC">
              <w:rPr>
                <w:rFonts w:ascii="Verdana" w:eastAsia="Times New Roman" w:hAnsi="Verdana" w:cs="Calibri"/>
                <w:color w:val="000000"/>
                <w:sz w:val="14"/>
                <w:szCs w:val="14"/>
                <w:lang w:eastAsia="ja-JP"/>
              </w:rPr>
              <w:t>MoFP</w:t>
            </w:r>
            <w:proofErr w:type="spellEnd"/>
            <w:r w:rsidRPr="00D41BDC">
              <w:rPr>
                <w:rFonts w:ascii="Verdana" w:eastAsia="Times New Roman" w:hAnsi="Verdana" w:cs="Calibri"/>
                <w:color w:val="000000"/>
                <w:sz w:val="14"/>
                <w:szCs w:val="14"/>
                <w:lang w:eastAsia="ja-JP"/>
              </w:rPr>
              <w:t xml:space="preserve">, State </w:t>
            </w:r>
            <w:proofErr w:type="spellStart"/>
            <w:r w:rsidRPr="00D41BDC">
              <w:rPr>
                <w:rFonts w:ascii="Verdana" w:eastAsia="Times New Roman" w:hAnsi="Verdana" w:cs="Calibri"/>
                <w:color w:val="000000"/>
                <w:sz w:val="14"/>
                <w:szCs w:val="14"/>
                <w:lang w:eastAsia="ja-JP"/>
              </w:rPr>
              <w:t>MoF</w:t>
            </w:r>
            <w:proofErr w:type="spellEnd"/>
          </w:p>
        </w:tc>
      </w:tr>
      <w:tr w:rsidR="00A04148" w:rsidRPr="00D41BDC" w14:paraId="71079026" w14:textId="77777777" w:rsidTr="00B2326F">
        <w:trPr>
          <w:trHeight w:val="250"/>
        </w:trPr>
        <w:tc>
          <w:tcPr>
            <w:tcW w:w="1174" w:type="dxa"/>
            <w:vMerge/>
            <w:tcBorders>
              <w:top w:val="nil"/>
              <w:left w:val="single" w:sz="12" w:space="0" w:color="auto"/>
              <w:bottom w:val="single" w:sz="12" w:space="0" w:color="000000"/>
              <w:right w:val="single" w:sz="12" w:space="0" w:color="auto"/>
            </w:tcBorders>
            <w:vAlign w:val="center"/>
            <w:hideMark/>
          </w:tcPr>
          <w:p w14:paraId="7992F64A"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15FF77DC"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04A5F9E2"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val="restart"/>
            <w:tcBorders>
              <w:top w:val="nil"/>
              <w:left w:val="single" w:sz="12" w:space="0" w:color="auto"/>
              <w:bottom w:val="single" w:sz="4" w:space="0" w:color="auto"/>
              <w:right w:val="single" w:sz="12" w:space="0" w:color="auto"/>
            </w:tcBorders>
            <w:shd w:val="clear" w:color="auto" w:fill="auto"/>
            <w:vAlign w:val="center"/>
            <w:hideMark/>
          </w:tcPr>
          <w:p w14:paraId="6E700719"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3.10 Establish Governor's (and state minister's) forum on PFM - training on leadership in PFM cycle</w:t>
            </w:r>
          </w:p>
        </w:tc>
        <w:tc>
          <w:tcPr>
            <w:tcW w:w="39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5ACD4C88"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10FDE06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960DC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759B86F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6A96E0A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34E518"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45AAA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FFFFFF"/>
            <w:vAlign w:val="center"/>
            <w:hideMark/>
          </w:tcPr>
          <w:p w14:paraId="34B18A5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000000" w:fill="FFFFFF"/>
            <w:vAlign w:val="center"/>
            <w:hideMark/>
          </w:tcPr>
          <w:p w14:paraId="1A14D6C4"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5. Travel </w:t>
            </w:r>
          </w:p>
        </w:tc>
        <w:tc>
          <w:tcPr>
            <w:tcW w:w="940" w:type="dxa"/>
            <w:tcBorders>
              <w:top w:val="nil"/>
              <w:left w:val="nil"/>
              <w:bottom w:val="single" w:sz="4" w:space="0" w:color="auto"/>
              <w:right w:val="single" w:sz="4" w:space="0" w:color="auto"/>
            </w:tcBorders>
            <w:shd w:val="clear" w:color="000000" w:fill="FFFFFF"/>
            <w:noWrap/>
            <w:vAlign w:val="center"/>
            <w:hideMark/>
          </w:tcPr>
          <w:p w14:paraId="2C7FE8A8"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10,000 </w:t>
            </w:r>
          </w:p>
        </w:tc>
        <w:tc>
          <w:tcPr>
            <w:tcW w:w="1184" w:type="dxa"/>
            <w:tcBorders>
              <w:top w:val="nil"/>
              <w:left w:val="nil"/>
              <w:bottom w:val="single" w:sz="4" w:space="0" w:color="auto"/>
              <w:right w:val="single" w:sz="4" w:space="0" w:color="auto"/>
            </w:tcBorders>
            <w:shd w:val="clear" w:color="000000" w:fill="FFFFFF"/>
            <w:noWrap/>
            <w:vAlign w:val="center"/>
            <w:hideMark/>
          </w:tcPr>
          <w:p w14:paraId="420D4B80"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13163882"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10,000 </w:t>
            </w:r>
          </w:p>
        </w:tc>
        <w:tc>
          <w:tcPr>
            <w:tcW w:w="1254" w:type="dxa"/>
            <w:tcBorders>
              <w:top w:val="nil"/>
              <w:left w:val="nil"/>
              <w:bottom w:val="single" w:sz="4" w:space="0" w:color="auto"/>
              <w:right w:val="single" w:sz="12" w:space="0" w:color="auto"/>
            </w:tcBorders>
            <w:shd w:val="clear" w:color="000000" w:fill="FFFFFF"/>
            <w:vAlign w:val="center"/>
            <w:hideMark/>
          </w:tcPr>
          <w:p w14:paraId="56827FE2"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UNDP</w:t>
            </w:r>
          </w:p>
        </w:tc>
        <w:tc>
          <w:tcPr>
            <w:tcW w:w="1287" w:type="dxa"/>
            <w:vMerge w:val="restart"/>
            <w:tcBorders>
              <w:top w:val="nil"/>
              <w:left w:val="single" w:sz="12" w:space="0" w:color="auto"/>
              <w:bottom w:val="single" w:sz="4" w:space="0" w:color="auto"/>
              <w:right w:val="single" w:sz="12" w:space="0" w:color="auto"/>
            </w:tcBorders>
            <w:shd w:val="clear" w:color="000000" w:fill="FFFFFF"/>
            <w:vAlign w:val="center"/>
            <w:hideMark/>
          </w:tcPr>
          <w:p w14:paraId="6770E4D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State DG of Finance and Admin, State Development Committee, Governor's office, state and local CSO</w:t>
            </w:r>
          </w:p>
        </w:tc>
      </w:tr>
      <w:tr w:rsidR="00A04148" w:rsidRPr="00D41BDC" w14:paraId="13EF760E" w14:textId="77777777" w:rsidTr="00B2326F">
        <w:trPr>
          <w:trHeight w:val="250"/>
        </w:trPr>
        <w:tc>
          <w:tcPr>
            <w:tcW w:w="1174" w:type="dxa"/>
            <w:vMerge/>
            <w:tcBorders>
              <w:top w:val="nil"/>
              <w:left w:val="single" w:sz="12" w:space="0" w:color="auto"/>
              <w:bottom w:val="single" w:sz="12" w:space="0" w:color="000000"/>
              <w:right w:val="single" w:sz="12" w:space="0" w:color="auto"/>
            </w:tcBorders>
            <w:vAlign w:val="center"/>
            <w:hideMark/>
          </w:tcPr>
          <w:p w14:paraId="4A31FAAA"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7A6A2525"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551FF107"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auto"/>
              <w:right w:val="single" w:sz="12" w:space="0" w:color="auto"/>
            </w:tcBorders>
            <w:vAlign w:val="center"/>
            <w:hideMark/>
          </w:tcPr>
          <w:p w14:paraId="456E8BA9"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3CF09E5F"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75F8836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9D58E3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70BD8342"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31616C6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01891F04"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04777D4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770DAF55"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000000" w:fill="FFFFFF"/>
            <w:vAlign w:val="center"/>
            <w:hideMark/>
          </w:tcPr>
          <w:p w14:paraId="630C5176"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2. Supplies, Commodities, Materials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E06F0" w14:textId="77777777" w:rsidR="00A04148" w:rsidRPr="00D41BDC" w:rsidRDefault="00A04148" w:rsidP="00B2326F">
            <w:pPr>
              <w:spacing w:line="240" w:lineRule="auto"/>
              <w:jc w:val="right"/>
              <w:rPr>
                <w:rFonts w:ascii="Verdana" w:eastAsia="Times New Roman" w:hAnsi="Verdana" w:cs="Calibri"/>
                <w:color w:val="9C0006"/>
                <w:sz w:val="14"/>
                <w:szCs w:val="14"/>
                <w:lang w:eastAsia="ja-JP"/>
              </w:rPr>
            </w:pPr>
            <w:r w:rsidRPr="00D41BDC">
              <w:rPr>
                <w:rFonts w:ascii="Verdana" w:eastAsia="Times New Roman" w:hAnsi="Verdana" w:cs="Calibri"/>
                <w:sz w:val="14"/>
                <w:szCs w:val="14"/>
                <w:lang w:eastAsia="ja-JP"/>
              </w:rPr>
              <w:t xml:space="preserve">                   20,000 </w:t>
            </w:r>
          </w:p>
        </w:tc>
        <w:tc>
          <w:tcPr>
            <w:tcW w:w="1184" w:type="dxa"/>
            <w:tcBorders>
              <w:top w:val="nil"/>
              <w:left w:val="nil"/>
              <w:bottom w:val="single" w:sz="4" w:space="0" w:color="auto"/>
              <w:right w:val="single" w:sz="4" w:space="0" w:color="auto"/>
            </w:tcBorders>
            <w:shd w:val="clear" w:color="000000" w:fill="FFFFFF"/>
            <w:vAlign w:val="center"/>
            <w:hideMark/>
          </w:tcPr>
          <w:p w14:paraId="4B7D14AE"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188F3BD8"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20,000 </w:t>
            </w:r>
          </w:p>
        </w:tc>
        <w:tc>
          <w:tcPr>
            <w:tcW w:w="1254" w:type="dxa"/>
            <w:tcBorders>
              <w:top w:val="nil"/>
              <w:left w:val="nil"/>
              <w:bottom w:val="single" w:sz="4" w:space="0" w:color="auto"/>
              <w:right w:val="single" w:sz="12" w:space="0" w:color="auto"/>
            </w:tcBorders>
            <w:shd w:val="clear" w:color="000000" w:fill="FFFFFF"/>
            <w:vAlign w:val="center"/>
            <w:hideMark/>
          </w:tcPr>
          <w:p w14:paraId="49F77EC5"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UNDP</w:t>
            </w:r>
          </w:p>
        </w:tc>
        <w:tc>
          <w:tcPr>
            <w:tcW w:w="1287" w:type="dxa"/>
            <w:vMerge/>
            <w:tcBorders>
              <w:top w:val="nil"/>
              <w:left w:val="single" w:sz="12" w:space="0" w:color="auto"/>
              <w:bottom w:val="single" w:sz="4" w:space="0" w:color="auto"/>
              <w:right w:val="single" w:sz="12" w:space="0" w:color="auto"/>
            </w:tcBorders>
            <w:vAlign w:val="center"/>
            <w:hideMark/>
          </w:tcPr>
          <w:p w14:paraId="36C7395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r>
      <w:tr w:rsidR="00A04148" w:rsidRPr="00D41BDC" w14:paraId="4345CB53" w14:textId="77777777" w:rsidTr="00B2326F">
        <w:trPr>
          <w:trHeight w:val="400"/>
        </w:trPr>
        <w:tc>
          <w:tcPr>
            <w:tcW w:w="1174" w:type="dxa"/>
            <w:vMerge/>
            <w:tcBorders>
              <w:top w:val="nil"/>
              <w:left w:val="single" w:sz="12" w:space="0" w:color="auto"/>
              <w:bottom w:val="single" w:sz="12" w:space="0" w:color="000000"/>
              <w:right w:val="single" w:sz="12" w:space="0" w:color="auto"/>
            </w:tcBorders>
            <w:vAlign w:val="center"/>
            <w:hideMark/>
          </w:tcPr>
          <w:p w14:paraId="6490BA72"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1F4D8C92"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7D1678C1"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tcBorders>
              <w:top w:val="nil"/>
              <w:left w:val="nil"/>
              <w:bottom w:val="single" w:sz="4" w:space="0" w:color="auto"/>
              <w:right w:val="single" w:sz="12" w:space="0" w:color="auto"/>
            </w:tcBorders>
            <w:shd w:val="clear" w:color="auto" w:fill="auto"/>
            <w:vAlign w:val="center"/>
            <w:hideMark/>
          </w:tcPr>
          <w:p w14:paraId="62237B66"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3.11 Organize Governor's exposure visit - Champions/friends of PFM</w:t>
            </w:r>
          </w:p>
        </w:tc>
        <w:tc>
          <w:tcPr>
            <w:tcW w:w="397" w:type="dxa"/>
            <w:tcBorders>
              <w:top w:val="nil"/>
              <w:left w:val="nil"/>
              <w:bottom w:val="single" w:sz="4" w:space="0" w:color="auto"/>
              <w:right w:val="single" w:sz="4" w:space="0" w:color="auto"/>
            </w:tcBorders>
            <w:shd w:val="clear" w:color="000000" w:fill="FFFFFF"/>
            <w:vAlign w:val="center"/>
            <w:hideMark/>
          </w:tcPr>
          <w:p w14:paraId="0641D87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271B047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92D050"/>
            <w:vAlign w:val="center"/>
            <w:hideMark/>
          </w:tcPr>
          <w:p w14:paraId="5287D10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single" w:sz="12" w:space="0" w:color="auto"/>
            </w:tcBorders>
            <w:shd w:val="clear" w:color="000000" w:fill="FFFFFF"/>
            <w:vAlign w:val="center"/>
            <w:hideMark/>
          </w:tcPr>
          <w:p w14:paraId="3F6BCEE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25EDD62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303C71C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single" w:sz="4" w:space="0" w:color="auto"/>
              <w:right w:val="single" w:sz="4" w:space="0" w:color="auto"/>
            </w:tcBorders>
            <w:shd w:val="clear" w:color="000000" w:fill="FFFFFF"/>
            <w:vAlign w:val="center"/>
            <w:hideMark/>
          </w:tcPr>
          <w:p w14:paraId="19E5A53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single" w:sz="4" w:space="0" w:color="auto"/>
              <w:right w:val="single" w:sz="12" w:space="0" w:color="auto"/>
            </w:tcBorders>
            <w:shd w:val="clear" w:color="000000" w:fill="FFFFFF"/>
            <w:vAlign w:val="center"/>
            <w:hideMark/>
          </w:tcPr>
          <w:p w14:paraId="19FF816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000000" w:fill="FFFFFF"/>
            <w:vAlign w:val="center"/>
            <w:hideMark/>
          </w:tcPr>
          <w:p w14:paraId="7A14FBA6"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5. Travel </w:t>
            </w:r>
          </w:p>
        </w:tc>
        <w:tc>
          <w:tcPr>
            <w:tcW w:w="940" w:type="dxa"/>
            <w:tcBorders>
              <w:top w:val="nil"/>
              <w:left w:val="nil"/>
              <w:bottom w:val="single" w:sz="4" w:space="0" w:color="auto"/>
              <w:right w:val="single" w:sz="4" w:space="0" w:color="auto"/>
            </w:tcBorders>
            <w:shd w:val="clear" w:color="000000" w:fill="FFFFFF"/>
            <w:noWrap/>
            <w:vAlign w:val="center"/>
            <w:hideMark/>
          </w:tcPr>
          <w:p w14:paraId="12071355"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35,000 </w:t>
            </w:r>
          </w:p>
        </w:tc>
        <w:tc>
          <w:tcPr>
            <w:tcW w:w="1184" w:type="dxa"/>
            <w:tcBorders>
              <w:top w:val="nil"/>
              <w:left w:val="nil"/>
              <w:bottom w:val="single" w:sz="4" w:space="0" w:color="auto"/>
              <w:right w:val="single" w:sz="4" w:space="0" w:color="auto"/>
            </w:tcBorders>
            <w:shd w:val="clear" w:color="000000" w:fill="FFFFFF"/>
            <w:vAlign w:val="center"/>
            <w:hideMark/>
          </w:tcPr>
          <w:p w14:paraId="347D5974"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47DD8C1C"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35,000 </w:t>
            </w:r>
          </w:p>
        </w:tc>
        <w:tc>
          <w:tcPr>
            <w:tcW w:w="1254" w:type="dxa"/>
            <w:tcBorders>
              <w:top w:val="nil"/>
              <w:left w:val="nil"/>
              <w:bottom w:val="single" w:sz="4" w:space="0" w:color="auto"/>
              <w:right w:val="single" w:sz="12" w:space="0" w:color="auto"/>
            </w:tcBorders>
            <w:shd w:val="clear" w:color="000000" w:fill="FFFFFF"/>
            <w:vAlign w:val="center"/>
            <w:hideMark/>
          </w:tcPr>
          <w:p w14:paraId="1954E744"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UNDP</w:t>
            </w:r>
          </w:p>
        </w:tc>
        <w:tc>
          <w:tcPr>
            <w:tcW w:w="1287" w:type="dxa"/>
            <w:tcBorders>
              <w:top w:val="nil"/>
              <w:left w:val="single" w:sz="12" w:space="0" w:color="auto"/>
              <w:bottom w:val="single" w:sz="4" w:space="0" w:color="auto"/>
              <w:right w:val="single" w:sz="12" w:space="0" w:color="auto"/>
            </w:tcBorders>
            <w:shd w:val="clear" w:color="000000" w:fill="FFFFFF"/>
            <w:vAlign w:val="center"/>
            <w:hideMark/>
          </w:tcPr>
          <w:p w14:paraId="6938CE0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State DG of Finance and Admin, State Development Committee, Governor's office, state and local CSO</w:t>
            </w:r>
          </w:p>
        </w:tc>
      </w:tr>
      <w:tr w:rsidR="00A04148" w:rsidRPr="00D41BDC" w14:paraId="41C15F83" w14:textId="77777777" w:rsidTr="00B2326F">
        <w:trPr>
          <w:trHeight w:val="717"/>
        </w:trPr>
        <w:tc>
          <w:tcPr>
            <w:tcW w:w="1174" w:type="dxa"/>
            <w:vMerge/>
            <w:tcBorders>
              <w:top w:val="nil"/>
              <w:left w:val="single" w:sz="12" w:space="0" w:color="auto"/>
              <w:bottom w:val="single" w:sz="12" w:space="0" w:color="000000"/>
              <w:right w:val="single" w:sz="12" w:space="0" w:color="auto"/>
            </w:tcBorders>
            <w:vAlign w:val="center"/>
            <w:hideMark/>
          </w:tcPr>
          <w:p w14:paraId="6795F9A1"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7F96847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4C6456B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05F9EFF"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3.12 Raise awareness on PFM cycle (i.e. Budget Briefs) through citizens’ engagement events and participatory radio programme (i.e. Our Voices interactive) </w:t>
            </w:r>
          </w:p>
        </w:tc>
        <w:tc>
          <w:tcPr>
            <w:tcW w:w="397" w:type="dxa"/>
            <w:vMerge w:val="restart"/>
            <w:tcBorders>
              <w:top w:val="nil"/>
              <w:left w:val="single" w:sz="12" w:space="0" w:color="auto"/>
              <w:bottom w:val="single" w:sz="12" w:space="0" w:color="000000"/>
              <w:right w:val="single" w:sz="4" w:space="0" w:color="auto"/>
            </w:tcBorders>
            <w:shd w:val="clear" w:color="000000" w:fill="FFFFFF"/>
            <w:vAlign w:val="center"/>
            <w:hideMark/>
          </w:tcPr>
          <w:p w14:paraId="2F63616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129D3C5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12" w:space="0" w:color="000000"/>
              <w:right w:val="single" w:sz="4" w:space="0" w:color="auto"/>
            </w:tcBorders>
            <w:shd w:val="clear" w:color="000000" w:fill="92D050"/>
            <w:vAlign w:val="center"/>
            <w:hideMark/>
          </w:tcPr>
          <w:p w14:paraId="35206963"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12" w:space="0" w:color="000000"/>
              <w:right w:val="single" w:sz="12" w:space="0" w:color="auto"/>
            </w:tcBorders>
            <w:shd w:val="clear" w:color="000000" w:fill="FFFFFF"/>
            <w:vAlign w:val="center"/>
            <w:hideMark/>
          </w:tcPr>
          <w:p w14:paraId="3777D30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single" w:sz="12" w:space="0" w:color="000000"/>
              <w:right w:val="single" w:sz="4" w:space="0" w:color="auto"/>
            </w:tcBorders>
            <w:shd w:val="clear" w:color="000000" w:fill="FFFFFF"/>
            <w:vAlign w:val="center"/>
            <w:hideMark/>
          </w:tcPr>
          <w:p w14:paraId="0AE6B79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501ECB3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4867CEC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12" w:space="0" w:color="000000"/>
              <w:right w:val="single" w:sz="12" w:space="0" w:color="auto"/>
            </w:tcBorders>
            <w:shd w:val="clear" w:color="000000" w:fill="FFFFFF"/>
            <w:vAlign w:val="center"/>
            <w:hideMark/>
          </w:tcPr>
          <w:p w14:paraId="5173BC05"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000000" w:fill="FFFFFF"/>
            <w:vAlign w:val="center"/>
            <w:hideMark/>
          </w:tcPr>
          <w:p w14:paraId="6000F9F6"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6. Transfers and Grants to Counterparts </w:t>
            </w:r>
          </w:p>
        </w:tc>
        <w:tc>
          <w:tcPr>
            <w:tcW w:w="940" w:type="dxa"/>
            <w:tcBorders>
              <w:top w:val="nil"/>
              <w:left w:val="nil"/>
              <w:bottom w:val="single" w:sz="4" w:space="0" w:color="auto"/>
              <w:right w:val="single" w:sz="4" w:space="0" w:color="auto"/>
            </w:tcBorders>
            <w:shd w:val="clear" w:color="000000" w:fill="FFFFFF"/>
            <w:noWrap/>
            <w:vAlign w:val="center"/>
            <w:hideMark/>
          </w:tcPr>
          <w:p w14:paraId="20822CA8"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20,000 </w:t>
            </w:r>
          </w:p>
        </w:tc>
        <w:tc>
          <w:tcPr>
            <w:tcW w:w="1184" w:type="dxa"/>
            <w:tcBorders>
              <w:top w:val="nil"/>
              <w:left w:val="nil"/>
              <w:bottom w:val="single" w:sz="4" w:space="0" w:color="auto"/>
              <w:right w:val="single" w:sz="4" w:space="0" w:color="auto"/>
            </w:tcBorders>
            <w:shd w:val="clear" w:color="000000" w:fill="FFFFFF"/>
            <w:vAlign w:val="center"/>
            <w:hideMark/>
          </w:tcPr>
          <w:p w14:paraId="3CF7FE26"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000000" w:fill="FFFFFF"/>
            <w:vAlign w:val="center"/>
            <w:hideMark/>
          </w:tcPr>
          <w:p w14:paraId="10DDDED6"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20,000 </w:t>
            </w:r>
          </w:p>
        </w:tc>
        <w:tc>
          <w:tcPr>
            <w:tcW w:w="1254" w:type="dxa"/>
            <w:tcBorders>
              <w:top w:val="nil"/>
              <w:left w:val="nil"/>
              <w:bottom w:val="single" w:sz="4" w:space="0" w:color="auto"/>
              <w:right w:val="single" w:sz="12" w:space="0" w:color="auto"/>
            </w:tcBorders>
            <w:shd w:val="clear" w:color="000000" w:fill="FFFFFF"/>
            <w:vAlign w:val="center"/>
            <w:hideMark/>
          </w:tcPr>
          <w:p w14:paraId="2ABA61DB"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UNDP</w:t>
            </w:r>
          </w:p>
        </w:tc>
        <w:tc>
          <w:tcPr>
            <w:tcW w:w="1287" w:type="dxa"/>
            <w:vMerge w:val="restart"/>
            <w:tcBorders>
              <w:top w:val="nil"/>
              <w:left w:val="single" w:sz="12" w:space="0" w:color="auto"/>
              <w:bottom w:val="single" w:sz="12" w:space="0" w:color="000000"/>
              <w:right w:val="single" w:sz="12" w:space="0" w:color="auto"/>
            </w:tcBorders>
            <w:shd w:val="clear" w:color="000000" w:fill="FFFFFF"/>
            <w:vAlign w:val="center"/>
            <w:hideMark/>
          </w:tcPr>
          <w:p w14:paraId="4B48C52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Media</w:t>
            </w:r>
          </w:p>
        </w:tc>
      </w:tr>
      <w:tr w:rsidR="00A04148" w:rsidRPr="00D41BDC" w14:paraId="55D0132F" w14:textId="77777777" w:rsidTr="00ED2383">
        <w:trPr>
          <w:trHeight w:val="708"/>
        </w:trPr>
        <w:tc>
          <w:tcPr>
            <w:tcW w:w="1174" w:type="dxa"/>
            <w:vMerge/>
            <w:tcBorders>
              <w:top w:val="nil"/>
              <w:left w:val="single" w:sz="12" w:space="0" w:color="auto"/>
              <w:bottom w:val="single" w:sz="12" w:space="0" w:color="000000"/>
              <w:right w:val="single" w:sz="12" w:space="0" w:color="auto"/>
            </w:tcBorders>
            <w:vAlign w:val="center"/>
            <w:hideMark/>
          </w:tcPr>
          <w:p w14:paraId="3279EA5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9" w:type="dxa"/>
            <w:vMerge/>
            <w:tcBorders>
              <w:top w:val="nil"/>
              <w:left w:val="single" w:sz="12" w:space="0" w:color="auto"/>
              <w:bottom w:val="single" w:sz="12" w:space="0" w:color="000000"/>
              <w:right w:val="single" w:sz="12" w:space="0" w:color="auto"/>
            </w:tcBorders>
            <w:vAlign w:val="center"/>
            <w:hideMark/>
          </w:tcPr>
          <w:p w14:paraId="0A20364C"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578" w:type="dxa"/>
            <w:vMerge/>
            <w:tcBorders>
              <w:top w:val="nil"/>
              <w:left w:val="single" w:sz="12" w:space="0" w:color="auto"/>
              <w:bottom w:val="single" w:sz="12" w:space="0" w:color="000000"/>
              <w:right w:val="single" w:sz="12" w:space="0" w:color="auto"/>
            </w:tcBorders>
            <w:vAlign w:val="center"/>
            <w:hideMark/>
          </w:tcPr>
          <w:p w14:paraId="10CFAC8C"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12" w:space="0" w:color="000000"/>
              <w:right w:val="single" w:sz="12" w:space="0" w:color="auto"/>
            </w:tcBorders>
            <w:vAlign w:val="center"/>
            <w:hideMark/>
          </w:tcPr>
          <w:p w14:paraId="0A1B2D69"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12" w:space="0" w:color="000000"/>
              <w:right w:val="single" w:sz="4" w:space="0" w:color="auto"/>
            </w:tcBorders>
            <w:vAlign w:val="center"/>
            <w:hideMark/>
          </w:tcPr>
          <w:p w14:paraId="4FA9D19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12" w:space="0" w:color="000000"/>
              <w:right w:val="single" w:sz="4" w:space="0" w:color="auto"/>
            </w:tcBorders>
            <w:vAlign w:val="center"/>
            <w:hideMark/>
          </w:tcPr>
          <w:p w14:paraId="40DB3DEA"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12" w:space="0" w:color="000000"/>
              <w:right w:val="single" w:sz="4" w:space="0" w:color="auto"/>
            </w:tcBorders>
            <w:vAlign w:val="center"/>
            <w:hideMark/>
          </w:tcPr>
          <w:p w14:paraId="35E31798"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12" w:space="0" w:color="000000"/>
              <w:right w:val="single" w:sz="12" w:space="0" w:color="auto"/>
            </w:tcBorders>
            <w:vAlign w:val="center"/>
            <w:hideMark/>
          </w:tcPr>
          <w:p w14:paraId="640CF70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12" w:space="0" w:color="000000"/>
              <w:right w:val="single" w:sz="4" w:space="0" w:color="auto"/>
            </w:tcBorders>
            <w:vAlign w:val="center"/>
            <w:hideMark/>
          </w:tcPr>
          <w:p w14:paraId="606E05C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12" w:space="0" w:color="000000"/>
              <w:right w:val="single" w:sz="4" w:space="0" w:color="auto"/>
            </w:tcBorders>
            <w:vAlign w:val="center"/>
            <w:hideMark/>
          </w:tcPr>
          <w:p w14:paraId="77E0D0F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12" w:space="0" w:color="000000"/>
              <w:right w:val="single" w:sz="4" w:space="0" w:color="auto"/>
            </w:tcBorders>
            <w:vAlign w:val="center"/>
            <w:hideMark/>
          </w:tcPr>
          <w:p w14:paraId="06BDE250"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12" w:space="0" w:color="000000"/>
              <w:right w:val="single" w:sz="12" w:space="0" w:color="auto"/>
            </w:tcBorders>
            <w:vAlign w:val="center"/>
            <w:hideMark/>
          </w:tcPr>
          <w:p w14:paraId="3D9FC24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12" w:space="0" w:color="auto"/>
              <w:right w:val="single" w:sz="4" w:space="0" w:color="auto"/>
            </w:tcBorders>
            <w:shd w:val="clear" w:color="000000" w:fill="FFFFFF"/>
            <w:noWrap/>
            <w:vAlign w:val="center"/>
            <w:hideMark/>
          </w:tcPr>
          <w:p w14:paraId="34EDB008"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6. Transfers and Grants to Counterparts </w:t>
            </w:r>
          </w:p>
        </w:tc>
        <w:tc>
          <w:tcPr>
            <w:tcW w:w="940" w:type="dxa"/>
            <w:tcBorders>
              <w:top w:val="nil"/>
              <w:left w:val="nil"/>
              <w:bottom w:val="single" w:sz="12" w:space="0" w:color="auto"/>
              <w:right w:val="single" w:sz="4" w:space="0" w:color="auto"/>
            </w:tcBorders>
            <w:shd w:val="clear" w:color="000000" w:fill="FFFFFF"/>
            <w:noWrap/>
            <w:vAlign w:val="center"/>
            <w:hideMark/>
          </w:tcPr>
          <w:p w14:paraId="1D86F541"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20,000 </w:t>
            </w:r>
          </w:p>
        </w:tc>
        <w:tc>
          <w:tcPr>
            <w:tcW w:w="1184" w:type="dxa"/>
            <w:tcBorders>
              <w:top w:val="nil"/>
              <w:left w:val="nil"/>
              <w:bottom w:val="single" w:sz="12" w:space="0" w:color="auto"/>
              <w:right w:val="single" w:sz="4" w:space="0" w:color="auto"/>
            </w:tcBorders>
            <w:shd w:val="clear" w:color="000000" w:fill="FFFFFF"/>
            <w:noWrap/>
            <w:vAlign w:val="center"/>
            <w:hideMark/>
          </w:tcPr>
          <w:p w14:paraId="5D7B89FD"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12" w:space="0" w:color="auto"/>
              <w:right w:val="single" w:sz="4" w:space="0" w:color="auto"/>
            </w:tcBorders>
            <w:shd w:val="clear" w:color="000000" w:fill="FFFFFF"/>
            <w:noWrap/>
            <w:vAlign w:val="center"/>
            <w:hideMark/>
          </w:tcPr>
          <w:p w14:paraId="6769A4C5" w14:textId="77777777" w:rsidR="00A04148" w:rsidRPr="00D41BDC" w:rsidRDefault="00A04148" w:rsidP="00B2326F">
            <w:pPr>
              <w:spacing w:line="240" w:lineRule="auto"/>
              <w:jc w:val="right"/>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                      20,000 </w:t>
            </w:r>
          </w:p>
        </w:tc>
        <w:tc>
          <w:tcPr>
            <w:tcW w:w="1254" w:type="dxa"/>
            <w:tcBorders>
              <w:top w:val="nil"/>
              <w:left w:val="nil"/>
              <w:bottom w:val="single" w:sz="12" w:space="0" w:color="auto"/>
              <w:right w:val="single" w:sz="12" w:space="0" w:color="auto"/>
            </w:tcBorders>
            <w:shd w:val="clear" w:color="000000" w:fill="FFFFFF"/>
            <w:noWrap/>
            <w:vAlign w:val="center"/>
            <w:hideMark/>
          </w:tcPr>
          <w:p w14:paraId="5AE30F0D" w14:textId="77777777" w:rsidR="00A04148" w:rsidRPr="00D41BDC" w:rsidRDefault="00A04148" w:rsidP="00B2326F">
            <w:pPr>
              <w:spacing w:line="240" w:lineRule="auto"/>
              <w:jc w:val="center"/>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UNICEF</w:t>
            </w:r>
          </w:p>
        </w:tc>
        <w:tc>
          <w:tcPr>
            <w:tcW w:w="1287" w:type="dxa"/>
            <w:vMerge/>
            <w:tcBorders>
              <w:top w:val="nil"/>
              <w:left w:val="single" w:sz="12" w:space="0" w:color="auto"/>
              <w:bottom w:val="single" w:sz="12" w:space="0" w:color="000000"/>
              <w:right w:val="single" w:sz="12" w:space="0" w:color="auto"/>
            </w:tcBorders>
            <w:vAlign w:val="center"/>
            <w:hideMark/>
          </w:tcPr>
          <w:p w14:paraId="53C55EBB"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r>
      <w:tr w:rsidR="00A04148" w:rsidRPr="00D41BDC" w14:paraId="02AE4989" w14:textId="77777777" w:rsidTr="00B2326F">
        <w:trPr>
          <w:trHeight w:val="348"/>
        </w:trPr>
        <w:tc>
          <w:tcPr>
            <w:tcW w:w="1174" w:type="dxa"/>
            <w:tcBorders>
              <w:top w:val="nil"/>
              <w:left w:val="single" w:sz="12" w:space="0" w:color="auto"/>
              <w:bottom w:val="single" w:sz="12" w:space="0" w:color="auto"/>
              <w:right w:val="nil"/>
            </w:tcBorders>
            <w:shd w:val="clear" w:color="000000" w:fill="AEAAAA"/>
            <w:vAlign w:val="center"/>
            <w:hideMark/>
          </w:tcPr>
          <w:p w14:paraId="2A7CD77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Output 3 Total</w:t>
            </w:r>
          </w:p>
        </w:tc>
        <w:tc>
          <w:tcPr>
            <w:tcW w:w="579" w:type="dxa"/>
            <w:tcBorders>
              <w:top w:val="nil"/>
              <w:left w:val="nil"/>
              <w:bottom w:val="single" w:sz="12" w:space="0" w:color="auto"/>
              <w:right w:val="nil"/>
            </w:tcBorders>
            <w:shd w:val="clear" w:color="000000" w:fill="AEAAAA"/>
            <w:vAlign w:val="center"/>
            <w:hideMark/>
          </w:tcPr>
          <w:p w14:paraId="12624DC4"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578" w:type="dxa"/>
            <w:tcBorders>
              <w:top w:val="nil"/>
              <w:left w:val="nil"/>
              <w:bottom w:val="single" w:sz="12" w:space="0" w:color="auto"/>
              <w:right w:val="nil"/>
            </w:tcBorders>
            <w:shd w:val="clear" w:color="000000" w:fill="AEAAAA"/>
            <w:vAlign w:val="center"/>
            <w:hideMark/>
          </w:tcPr>
          <w:p w14:paraId="604E1CC3"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714" w:type="dxa"/>
            <w:tcBorders>
              <w:top w:val="nil"/>
              <w:left w:val="nil"/>
              <w:bottom w:val="single" w:sz="12" w:space="0" w:color="auto"/>
              <w:right w:val="nil"/>
            </w:tcBorders>
            <w:shd w:val="clear" w:color="000000" w:fill="AEAAAA"/>
            <w:vAlign w:val="center"/>
            <w:hideMark/>
          </w:tcPr>
          <w:p w14:paraId="2FB24666"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65437D8F"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6934D43A"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2ABEA9E3"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8" w:type="dxa"/>
            <w:tcBorders>
              <w:top w:val="nil"/>
              <w:left w:val="nil"/>
              <w:bottom w:val="single" w:sz="12" w:space="0" w:color="auto"/>
              <w:right w:val="nil"/>
            </w:tcBorders>
            <w:shd w:val="clear" w:color="000000" w:fill="AEAAAA"/>
            <w:vAlign w:val="center"/>
            <w:hideMark/>
          </w:tcPr>
          <w:p w14:paraId="6F8823C2"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54D0AF74"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64E7D738"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2D3876A2"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8" w:type="dxa"/>
            <w:tcBorders>
              <w:top w:val="nil"/>
              <w:left w:val="nil"/>
              <w:bottom w:val="single" w:sz="12" w:space="0" w:color="auto"/>
              <w:right w:val="nil"/>
            </w:tcBorders>
            <w:shd w:val="clear" w:color="000000" w:fill="AEAAAA"/>
            <w:vAlign w:val="center"/>
            <w:hideMark/>
          </w:tcPr>
          <w:p w14:paraId="6A2BDEEB"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542" w:type="dxa"/>
            <w:tcBorders>
              <w:top w:val="nil"/>
              <w:left w:val="nil"/>
              <w:bottom w:val="single" w:sz="12" w:space="0" w:color="auto"/>
              <w:right w:val="nil"/>
            </w:tcBorders>
            <w:shd w:val="clear" w:color="000000" w:fill="AEAAAA"/>
            <w:noWrap/>
            <w:vAlign w:val="center"/>
            <w:hideMark/>
          </w:tcPr>
          <w:p w14:paraId="3013D4CF" w14:textId="77777777" w:rsidR="00A04148" w:rsidRPr="00D41BDC" w:rsidRDefault="00A04148" w:rsidP="00B2326F">
            <w:pPr>
              <w:spacing w:line="240" w:lineRule="auto"/>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w:t>
            </w:r>
          </w:p>
        </w:tc>
        <w:tc>
          <w:tcPr>
            <w:tcW w:w="940" w:type="dxa"/>
            <w:tcBorders>
              <w:top w:val="nil"/>
              <w:left w:val="nil"/>
              <w:bottom w:val="single" w:sz="12" w:space="0" w:color="auto"/>
              <w:right w:val="nil"/>
            </w:tcBorders>
            <w:shd w:val="clear" w:color="000000" w:fill="AEAAAA"/>
            <w:vAlign w:val="center"/>
            <w:hideMark/>
          </w:tcPr>
          <w:p w14:paraId="03D7D136"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454,000 </w:t>
            </w:r>
          </w:p>
        </w:tc>
        <w:tc>
          <w:tcPr>
            <w:tcW w:w="1184" w:type="dxa"/>
            <w:tcBorders>
              <w:top w:val="nil"/>
              <w:left w:val="nil"/>
              <w:bottom w:val="single" w:sz="12" w:space="0" w:color="auto"/>
              <w:right w:val="nil"/>
            </w:tcBorders>
            <w:shd w:val="clear" w:color="000000" w:fill="AEAAAA"/>
            <w:vAlign w:val="center"/>
            <w:hideMark/>
          </w:tcPr>
          <w:p w14:paraId="0981A716"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330,000 </w:t>
            </w:r>
          </w:p>
        </w:tc>
        <w:tc>
          <w:tcPr>
            <w:tcW w:w="940" w:type="dxa"/>
            <w:tcBorders>
              <w:top w:val="nil"/>
              <w:left w:val="nil"/>
              <w:bottom w:val="single" w:sz="12" w:space="0" w:color="auto"/>
              <w:right w:val="nil"/>
            </w:tcBorders>
            <w:shd w:val="clear" w:color="000000" w:fill="AEAAAA"/>
            <w:vAlign w:val="center"/>
            <w:hideMark/>
          </w:tcPr>
          <w:p w14:paraId="4DF3BFBF"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784,000 </w:t>
            </w:r>
          </w:p>
        </w:tc>
        <w:tc>
          <w:tcPr>
            <w:tcW w:w="1254" w:type="dxa"/>
            <w:tcBorders>
              <w:top w:val="nil"/>
              <w:left w:val="nil"/>
              <w:bottom w:val="single" w:sz="12" w:space="0" w:color="auto"/>
              <w:right w:val="single" w:sz="12" w:space="0" w:color="auto"/>
            </w:tcBorders>
            <w:shd w:val="clear" w:color="000000" w:fill="AEAAAA"/>
            <w:vAlign w:val="center"/>
            <w:hideMark/>
          </w:tcPr>
          <w:p w14:paraId="1B0FEA8A"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UNICEF Lead</w:t>
            </w:r>
          </w:p>
        </w:tc>
        <w:tc>
          <w:tcPr>
            <w:tcW w:w="1287" w:type="dxa"/>
            <w:tcBorders>
              <w:top w:val="nil"/>
              <w:left w:val="single" w:sz="12" w:space="0" w:color="auto"/>
              <w:bottom w:val="single" w:sz="12" w:space="0" w:color="auto"/>
              <w:right w:val="single" w:sz="12" w:space="0" w:color="auto"/>
            </w:tcBorders>
            <w:shd w:val="clear" w:color="000000" w:fill="AEAAAA"/>
            <w:vAlign w:val="center"/>
            <w:hideMark/>
          </w:tcPr>
          <w:p w14:paraId="4CA5760A"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r>
      <w:tr w:rsidR="00A04148" w:rsidRPr="00D41BDC" w14:paraId="56630282" w14:textId="77777777" w:rsidTr="00B2326F">
        <w:trPr>
          <w:trHeight w:val="300"/>
        </w:trPr>
        <w:tc>
          <w:tcPr>
            <w:tcW w:w="1174" w:type="dxa"/>
            <w:vMerge w:val="restart"/>
            <w:tcBorders>
              <w:top w:val="nil"/>
              <w:left w:val="single" w:sz="12" w:space="0" w:color="auto"/>
              <w:bottom w:val="nil"/>
              <w:right w:val="single" w:sz="12" w:space="0" w:color="auto"/>
            </w:tcBorders>
            <w:shd w:val="clear" w:color="auto" w:fill="auto"/>
            <w:vAlign w:val="center"/>
            <w:hideMark/>
          </w:tcPr>
          <w:p w14:paraId="7347AF75"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lastRenderedPageBreak/>
              <w:t>Joint Operation and M&amp;E Cost</w:t>
            </w:r>
          </w:p>
        </w:tc>
        <w:tc>
          <w:tcPr>
            <w:tcW w:w="1157" w:type="dxa"/>
            <w:gridSpan w:val="2"/>
            <w:vMerge w:val="restart"/>
            <w:tcBorders>
              <w:top w:val="single" w:sz="12" w:space="0" w:color="auto"/>
              <w:left w:val="single" w:sz="12" w:space="0" w:color="auto"/>
              <w:bottom w:val="nil"/>
              <w:right w:val="single" w:sz="12" w:space="0" w:color="000000"/>
            </w:tcBorders>
            <w:shd w:val="clear" w:color="000000" w:fill="AEAAAA"/>
            <w:vAlign w:val="center"/>
            <w:hideMark/>
          </w:tcPr>
          <w:p w14:paraId="20231F88"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714" w:type="dxa"/>
            <w:vMerge w:val="restart"/>
            <w:tcBorders>
              <w:top w:val="nil"/>
              <w:left w:val="single" w:sz="12" w:space="0" w:color="auto"/>
              <w:bottom w:val="single" w:sz="4" w:space="0" w:color="000000"/>
              <w:right w:val="single" w:sz="12" w:space="0" w:color="auto"/>
            </w:tcBorders>
            <w:shd w:val="clear" w:color="auto" w:fill="auto"/>
            <w:vAlign w:val="center"/>
            <w:hideMark/>
          </w:tcPr>
          <w:p w14:paraId="7E7D70E8"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Operation Cost</w:t>
            </w:r>
          </w:p>
        </w:tc>
        <w:tc>
          <w:tcPr>
            <w:tcW w:w="397" w:type="dxa"/>
            <w:vMerge w:val="restart"/>
            <w:tcBorders>
              <w:top w:val="nil"/>
              <w:left w:val="single" w:sz="12" w:space="0" w:color="auto"/>
              <w:bottom w:val="single" w:sz="4" w:space="0" w:color="000000"/>
              <w:right w:val="single" w:sz="4" w:space="0" w:color="auto"/>
            </w:tcBorders>
            <w:shd w:val="clear" w:color="000000" w:fill="92D050"/>
            <w:vAlign w:val="center"/>
            <w:hideMark/>
          </w:tcPr>
          <w:p w14:paraId="2D615F9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0B9C8EC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101F26B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92D050"/>
            <w:vAlign w:val="center"/>
            <w:hideMark/>
          </w:tcPr>
          <w:p w14:paraId="161DF97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12" w:space="0" w:color="auto"/>
              <w:bottom w:val="single" w:sz="4" w:space="0" w:color="000000"/>
              <w:right w:val="single" w:sz="4" w:space="0" w:color="auto"/>
            </w:tcBorders>
            <w:shd w:val="clear" w:color="000000" w:fill="92D050"/>
            <w:vAlign w:val="center"/>
            <w:hideMark/>
          </w:tcPr>
          <w:p w14:paraId="16F793F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32F4F0E8"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79CABD42"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vMerge w:val="restart"/>
            <w:tcBorders>
              <w:top w:val="nil"/>
              <w:left w:val="single" w:sz="4" w:space="0" w:color="auto"/>
              <w:bottom w:val="single" w:sz="4" w:space="0" w:color="000000"/>
              <w:right w:val="single" w:sz="12" w:space="0" w:color="auto"/>
            </w:tcBorders>
            <w:shd w:val="clear" w:color="000000" w:fill="92D050"/>
            <w:vAlign w:val="center"/>
            <w:hideMark/>
          </w:tcPr>
          <w:p w14:paraId="71CB8A07"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auto" w:fill="auto"/>
            <w:vAlign w:val="center"/>
            <w:hideMark/>
          </w:tcPr>
          <w:p w14:paraId="287B34E4"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7. General Operating and other Direct Costs </w:t>
            </w:r>
          </w:p>
        </w:tc>
        <w:tc>
          <w:tcPr>
            <w:tcW w:w="940" w:type="dxa"/>
            <w:tcBorders>
              <w:top w:val="nil"/>
              <w:left w:val="nil"/>
              <w:bottom w:val="single" w:sz="4" w:space="0" w:color="auto"/>
              <w:right w:val="single" w:sz="4" w:space="0" w:color="auto"/>
            </w:tcBorders>
            <w:shd w:val="clear" w:color="auto" w:fill="auto"/>
            <w:noWrap/>
            <w:vAlign w:val="center"/>
            <w:hideMark/>
          </w:tcPr>
          <w:p w14:paraId="19A8DC88"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1,753 </w:t>
            </w:r>
          </w:p>
        </w:tc>
        <w:tc>
          <w:tcPr>
            <w:tcW w:w="1184" w:type="dxa"/>
            <w:tcBorders>
              <w:top w:val="nil"/>
              <w:left w:val="nil"/>
              <w:bottom w:val="single" w:sz="4" w:space="0" w:color="auto"/>
              <w:right w:val="single" w:sz="4" w:space="0" w:color="auto"/>
            </w:tcBorders>
            <w:shd w:val="clear" w:color="auto" w:fill="auto"/>
            <w:vAlign w:val="center"/>
            <w:hideMark/>
          </w:tcPr>
          <w:p w14:paraId="7E210EBE"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auto" w:fill="auto"/>
            <w:noWrap/>
            <w:vAlign w:val="center"/>
            <w:hideMark/>
          </w:tcPr>
          <w:p w14:paraId="553F77D9"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1,753 </w:t>
            </w:r>
          </w:p>
        </w:tc>
        <w:tc>
          <w:tcPr>
            <w:tcW w:w="1254" w:type="dxa"/>
            <w:tcBorders>
              <w:top w:val="nil"/>
              <w:left w:val="nil"/>
              <w:bottom w:val="single" w:sz="4" w:space="0" w:color="auto"/>
              <w:right w:val="single" w:sz="12" w:space="0" w:color="auto"/>
            </w:tcBorders>
            <w:shd w:val="clear" w:color="auto" w:fill="auto"/>
            <w:vAlign w:val="center"/>
            <w:hideMark/>
          </w:tcPr>
          <w:p w14:paraId="7EE59E2A"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tcBorders>
              <w:top w:val="nil"/>
              <w:left w:val="single" w:sz="12" w:space="0" w:color="auto"/>
              <w:bottom w:val="single" w:sz="4" w:space="0" w:color="auto"/>
              <w:right w:val="single" w:sz="12" w:space="0" w:color="auto"/>
            </w:tcBorders>
            <w:shd w:val="clear" w:color="auto" w:fill="auto"/>
            <w:vAlign w:val="center"/>
            <w:hideMark/>
          </w:tcPr>
          <w:p w14:paraId="49F1A565"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r>
      <w:tr w:rsidR="00A04148" w:rsidRPr="00D41BDC" w14:paraId="4F52C842" w14:textId="77777777" w:rsidTr="00B2326F">
        <w:trPr>
          <w:trHeight w:val="290"/>
        </w:trPr>
        <w:tc>
          <w:tcPr>
            <w:tcW w:w="1174" w:type="dxa"/>
            <w:vMerge/>
            <w:tcBorders>
              <w:top w:val="nil"/>
              <w:left w:val="single" w:sz="12" w:space="0" w:color="auto"/>
              <w:bottom w:val="nil"/>
              <w:right w:val="single" w:sz="12" w:space="0" w:color="auto"/>
            </w:tcBorders>
            <w:vAlign w:val="center"/>
            <w:hideMark/>
          </w:tcPr>
          <w:p w14:paraId="2F6427DE"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157" w:type="dxa"/>
            <w:gridSpan w:val="2"/>
            <w:vMerge/>
            <w:tcBorders>
              <w:top w:val="single" w:sz="12" w:space="0" w:color="auto"/>
              <w:left w:val="single" w:sz="12" w:space="0" w:color="auto"/>
              <w:bottom w:val="nil"/>
              <w:right w:val="single" w:sz="12" w:space="0" w:color="000000"/>
            </w:tcBorders>
            <w:vAlign w:val="center"/>
            <w:hideMark/>
          </w:tcPr>
          <w:p w14:paraId="305A460B"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4" w:space="0" w:color="000000"/>
              <w:right w:val="single" w:sz="12" w:space="0" w:color="auto"/>
            </w:tcBorders>
            <w:vAlign w:val="center"/>
            <w:hideMark/>
          </w:tcPr>
          <w:p w14:paraId="123DD809"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6995820C"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27AAE9B7"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62D4E5C6"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1C7FC40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12" w:space="0" w:color="auto"/>
              <w:bottom w:val="single" w:sz="4" w:space="0" w:color="000000"/>
              <w:right w:val="single" w:sz="4" w:space="0" w:color="auto"/>
            </w:tcBorders>
            <w:vAlign w:val="center"/>
            <w:hideMark/>
          </w:tcPr>
          <w:p w14:paraId="6C903E58"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74B4B532"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7" w:type="dxa"/>
            <w:vMerge/>
            <w:tcBorders>
              <w:top w:val="nil"/>
              <w:left w:val="single" w:sz="4" w:space="0" w:color="auto"/>
              <w:bottom w:val="single" w:sz="4" w:space="0" w:color="000000"/>
              <w:right w:val="single" w:sz="4" w:space="0" w:color="auto"/>
            </w:tcBorders>
            <w:vAlign w:val="center"/>
            <w:hideMark/>
          </w:tcPr>
          <w:p w14:paraId="5398297D"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398" w:type="dxa"/>
            <w:vMerge/>
            <w:tcBorders>
              <w:top w:val="nil"/>
              <w:left w:val="single" w:sz="4" w:space="0" w:color="auto"/>
              <w:bottom w:val="single" w:sz="4" w:space="0" w:color="000000"/>
              <w:right w:val="single" w:sz="12" w:space="0" w:color="auto"/>
            </w:tcBorders>
            <w:vAlign w:val="center"/>
            <w:hideMark/>
          </w:tcPr>
          <w:p w14:paraId="0F7C70A9" w14:textId="77777777" w:rsidR="00A04148" w:rsidRPr="00D41BDC" w:rsidRDefault="00A04148" w:rsidP="00B2326F">
            <w:pPr>
              <w:spacing w:line="240" w:lineRule="auto"/>
              <w:rPr>
                <w:rFonts w:ascii="Verdana" w:eastAsia="Times New Roman" w:hAnsi="Verdana" w:cs="Calibri"/>
                <w:color w:val="000000"/>
                <w:sz w:val="14"/>
                <w:szCs w:val="14"/>
                <w:lang w:eastAsia="ja-JP"/>
              </w:rPr>
            </w:pPr>
          </w:p>
        </w:tc>
        <w:tc>
          <w:tcPr>
            <w:tcW w:w="1542" w:type="dxa"/>
            <w:tcBorders>
              <w:top w:val="nil"/>
              <w:left w:val="nil"/>
              <w:bottom w:val="single" w:sz="4" w:space="0" w:color="auto"/>
              <w:right w:val="single" w:sz="4" w:space="0" w:color="auto"/>
            </w:tcBorders>
            <w:shd w:val="clear" w:color="auto" w:fill="auto"/>
            <w:vAlign w:val="center"/>
            <w:hideMark/>
          </w:tcPr>
          <w:p w14:paraId="33FACB7A"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xml:space="preserve">7. General Operating and other Direct Costs </w:t>
            </w:r>
          </w:p>
        </w:tc>
        <w:tc>
          <w:tcPr>
            <w:tcW w:w="940" w:type="dxa"/>
            <w:tcBorders>
              <w:top w:val="nil"/>
              <w:left w:val="nil"/>
              <w:bottom w:val="single" w:sz="4" w:space="0" w:color="auto"/>
              <w:right w:val="single" w:sz="4" w:space="0" w:color="auto"/>
            </w:tcBorders>
            <w:shd w:val="clear" w:color="auto" w:fill="auto"/>
            <w:noWrap/>
            <w:vAlign w:val="center"/>
            <w:hideMark/>
          </w:tcPr>
          <w:p w14:paraId="375CD71F"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1,30</w:t>
            </w:r>
            <w:r>
              <w:rPr>
                <w:rFonts w:ascii="Verdana" w:eastAsia="Times New Roman" w:hAnsi="Verdana" w:cs="Calibri"/>
                <w:sz w:val="14"/>
                <w:szCs w:val="14"/>
                <w:lang w:eastAsia="ja-JP"/>
              </w:rPr>
              <w:t>5</w:t>
            </w:r>
            <w:r w:rsidRPr="00D41BDC">
              <w:rPr>
                <w:rFonts w:ascii="Verdana" w:eastAsia="Times New Roman" w:hAnsi="Verdana" w:cs="Calibri"/>
                <w:sz w:val="14"/>
                <w:szCs w:val="14"/>
                <w:lang w:eastAsia="ja-JP"/>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7FB584E4"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auto" w:fill="auto"/>
            <w:noWrap/>
            <w:vAlign w:val="center"/>
            <w:hideMark/>
          </w:tcPr>
          <w:p w14:paraId="71B82DB7"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1,30</w:t>
            </w:r>
            <w:r>
              <w:rPr>
                <w:rFonts w:ascii="Verdana" w:eastAsia="Times New Roman" w:hAnsi="Verdana" w:cs="Calibri"/>
                <w:sz w:val="14"/>
                <w:szCs w:val="14"/>
                <w:lang w:eastAsia="ja-JP"/>
              </w:rPr>
              <w:t>5</w:t>
            </w:r>
            <w:r w:rsidRPr="00D41BDC">
              <w:rPr>
                <w:rFonts w:ascii="Verdana" w:eastAsia="Times New Roman" w:hAnsi="Verdana" w:cs="Calibri"/>
                <w:sz w:val="14"/>
                <w:szCs w:val="14"/>
                <w:lang w:eastAsia="ja-JP"/>
              </w:rPr>
              <w:t xml:space="preserve"> </w:t>
            </w:r>
          </w:p>
        </w:tc>
        <w:tc>
          <w:tcPr>
            <w:tcW w:w="1254" w:type="dxa"/>
            <w:tcBorders>
              <w:top w:val="nil"/>
              <w:left w:val="nil"/>
              <w:bottom w:val="single" w:sz="4" w:space="0" w:color="auto"/>
              <w:right w:val="single" w:sz="12" w:space="0" w:color="auto"/>
            </w:tcBorders>
            <w:shd w:val="clear" w:color="auto" w:fill="auto"/>
            <w:vAlign w:val="center"/>
            <w:hideMark/>
          </w:tcPr>
          <w:p w14:paraId="41BEAE4E"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UNICEF</w:t>
            </w:r>
          </w:p>
        </w:tc>
        <w:tc>
          <w:tcPr>
            <w:tcW w:w="1287" w:type="dxa"/>
            <w:tcBorders>
              <w:top w:val="nil"/>
              <w:left w:val="single" w:sz="12" w:space="0" w:color="auto"/>
              <w:bottom w:val="single" w:sz="4" w:space="0" w:color="auto"/>
              <w:right w:val="single" w:sz="12" w:space="0" w:color="auto"/>
            </w:tcBorders>
            <w:shd w:val="clear" w:color="auto" w:fill="auto"/>
            <w:vAlign w:val="center"/>
            <w:hideMark/>
          </w:tcPr>
          <w:p w14:paraId="4B31C4AC"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r>
      <w:tr w:rsidR="00A04148" w:rsidRPr="00D41BDC" w14:paraId="6733B85C" w14:textId="77777777" w:rsidTr="00B2326F">
        <w:trPr>
          <w:trHeight w:val="290"/>
        </w:trPr>
        <w:tc>
          <w:tcPr>
            <w:tcW w:w="1174" w:type="dxa"/>
            <w:vMerge/>
            <w:tcBorders>
              <w:top w:val="nil"/>
              <w:left w:val="single" w:sz="12" w:space="0" w:color="auto"/>
              <w:bottom w:val="nil"/>
              <w:right w:val="single" w:sz="12" w:space="0" w:color="auto"/>
            </w:tcBorders>
            <w:vAlign w:val="center"/>
            <w:hideMark/>
          </w:tcPr>
          <w:p w14:paraId="35D97AA6"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157" w:type="dxa"/>
            <w:gridSpan w:val="2"/>
            <w:vMerge/>
            <w:tcBorders>
              <w:top w:val="single" w:sz="12" w:space="0" w:color="auto"/>
              <w:left w:val="single" w:sz="12" w:space="0" w:color="auto"/>
              <w:bottom w:val="nil"/>
              <w:right w:val="single" w:sz="12" w:space="0" w:color="000000"/>
            </w:tcBorders>
            <w:vAlign w:val="center"/>
            <w:hideMark/>
          </w:tcPr>
          <w:p w14:paraId="7342F0A4"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A16C893" w14:textId="77777777" w:rsidR="00A04148" w:rsidRPr="00D41BDC" w:rsidRDefault="00A04148" w:rsidP="00B2326F">
            <w:pPr>
              <w:spacing w:line="240" w:lineRule="auto"/>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Joint Communication, Monitoring &amp; Final Evaluation (external)</w:t>
            </w:r>
          </w:p>
        </w:tc>
        <w:tc>
          <w:tcPr>
            <w:tcW w:w="397" w:type="dxa"/>
            <w:tcBorders>
              <w:top w:val="nil"/>
              <w:left w:val="nil"/>
              <w:bottom w:val="nil"/>
              <w:right w:val="single" w:sz="4" w:space="0" w:color="auto"/>
            </w:tcBorders>
            <w:shd w:val="clear" w:color="000000" w:fill="FFFFFF"/>
            <w:vAlign w:val="center"/>
            <w:hideMark/>
          </w:tcPr>
          <w:p w14:paraId="0719992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7C1445C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30C5C56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nil"/>
              <w:right w:val="single" w:sz="12" w:space="0" w:color="auto"/>
            </w:tcBorders>
            <w:shd w:val="clear" w:color="000000" w:fill="FFFFFF"/>
            <w:vAlign w:val="center"/>
            <w:hideMark/>
          </w:tcPr>
          <w:p w14:paraId="2E31C4E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465A866A"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19E35D7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4285404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nil"/>
              <w:right w:val="single" w:sz="12" w:space="0" w:color="auto"/>
            </w:tcBorders>
            <w:shd w:val="clear" w:color="000000" w:fill="92D050"/>
            <w:vAlign w:val="center"/>
            <w:hideMark/>
          </w:tcPr>
          <w:p w14:paraId="0CFE9C90"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auto" w:fill="auto"/>
            <w:vAlign w:val="center"/>
            <w:hideMark/>
          </w:tcPr>
          <w:p w14:paraId="1EC8F477"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4. Contractual services</w:t>
            </w:r>
          </w:p>
        </w:tc>
        <w:tc>
          <w:tcPr>
            <w:tcW w:w="940" w:type="dxa"/>
            <w:tcBorders>
              <w:top w:val="nil"/>
              <w:left w:val="nil"/>
              <w:bottom w:val="single" w:sz="4" w:space="0" w:color="auto"/>
              <w:right w:val="single" w:sz="4" w:space="0" w:color="auto"/>
            </w:tcBorders>
            <w:shd w:val="clear" w:color="auto" w:fill="auto"/>
            <w:noWrap/>
            <w:vAlign w:val="center"/>
            <w:hideMark/>
          </w:tcPr>
          <w:p w14:paraId="1E573CE5"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20,000 </w:t>
            </w:r>
          </w:p>
        </w:tc>
        <w:tc>
          <w:tcPr>
            <w:tcW w:w="1184" w:type="dxa"/>
            <w:tcBorders>
              <w:top w:val="nil"/>
              <w:left w:val="nil"/>
              <w:bottom w:val="single" w:sz="4" w:space="0" w:color="auto"/>
              <w:right w:val="single" w:sz="4" w:space="0" w:color="auto"/>
            </w:tcBorders>
            <w:shd w:val="clear" w:color="auto" w:fill="auto"/>
            <w:vAlign w:val="center"/>
            <w:hideMark/>
          </w:tcPr>
          <w:p w14:paraId="13C7D17F"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auto" w:fill="auto"/>
            <w:noWrap/>
            <w:vAlign w:val="center"/>
            <w:hideMark/>
          </w:tcPr>
          <w:p w14:paraId="73BCA05E"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20,000 </w:t>
            </w:r>
          </w:p>
        </w:tc>
        <w:tc>
          <w:tcPr>
            <w:tcW w:w="1254" w:type="dxa"/>
            <w:tcBorders>
              <w:top w:val="nil"/>
              <w:left w:val="nil"/>
              <w:bottom w:val="single" w:sz="4" w:space="0" w:color="auto"/>
              <w:right w:val="single" w:sz="12" w:space="0" w:color="auto"/>
            </w:tcBorders>
            <w:shd w:val="clear" w:color="auto" w:fill="auto"/>
            <w:vAlign w:val="center"/>
            <w:hideMark/>
          </w:tcPr>
          <w:p w14:paraId="26612EEF"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UNDP</w:t>
            </w:r>
          </w:p>
        </w:tc>
        <w:tc>
          <w:tcPr>
            <w:tcW w:w="1287" w:type="dxa"/>
            <w:tcBorders>
              <w:top w:val="nil"/>
              <w:left w:val="single" w:sz="12" w:space="0" w:color="auto"/>
              <w:bottom w:val="single" w:sz="4" w:space="0" w:color="auto"/>
              <w:right w:val="single" w:sz="12" w:space="0" w:color="auto"/>
            </w:tcBorders>
            <w:shd w:val="clear" w:color="auto" w:fill="auto"/>
            <w:vAlign w:val="center"/>
            <w:hideMark/>
          </w:tcPr>
          <w:p w14:paraId="7952592B"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r>
      <w:tr w:rsidR="00A04148" w:rsidRPr="00D41BDC" w14:paraId="7EA4A101" w14:textId="77777777" w:rsidTr="00B2326F">
        <w:trPr>
          <w:trHeight w:val="300"/>
        </w:trPr>
        <w:tc>
          <w:tcPr>
            <w:tcW w:w="1174" w:type="dxa"/>
            <w:vMerge/>
            <w:tcBorders>
              <w:top w:val="nil"/>
              <w:left w:val="single" w:sz="12" w:space="0" w:color="auto"/>
              <w:bottom w:val="nil"/>
              <w:right w:val="single" w:sz="12" w:space="0" w:color="auto"/>
            </w:tcBorders>
            <w:vAlign w:val="center"/>
            <w:hideMark/>
          </w:tcPr>
          <w:p w14:paraId="4634976F"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157" w:type="dxa"/>
            <w:gridSpan w:val="2"/>
            <w:vMerge/>
            <w:tcBorders>
              <w:top w:val="single" w:sz="12" w:space="0" w:color="auto"/>
              <w:left w:val="single" w:sz="12" w:space="0" w:color="auto"/>
              <w:bottom w:val="nil"/>
              <w:right w:val="single" w:sz="12" w:space="0" w:color="000000"/>
            </w:tcBorders>
            <w:vAlign w:val="center"/>
            <w:hideMark/>
          </w:tcPr>
          <w:p w14:paraId="6AA25A62"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p>
        </w:tc>
        <w:tc>
          <w:tcPr>
            <w:tcW w:w="1714" w:type="dxa"/>
            <w:vMerge/>
            <w:tcBorders>
              <w:top w:val="nil"/>
              <w:left w:val="single" w:sz="12" w:space="0" w:color="auto"/>
              <w:bottom w:val="single" w:sz="12" w:space="0" w:color="000000"/>
              <w:right w:val="single" w:sz="12" w:space="0" w:color="auto"/>
            </w:tcBorders>
            <w:vAlign w:val="center"/>
            <w:hideMark/>
          </w:tcPr>
          <w:p w14:paraId="7172525E" w14:textId="77777777" w:rsidR="00A04148" w:rsidRPr="00D41BDC" w:rsidRDefault="00A04148" w:rsidP="00B2326F">
            <w:pPr>
              <w:spacing w:line="240" w:lineRule="auto"/>
              <w:rPr>
                <w:rFonts w:ascii="Verdana" w:eastAsia="Times New Roman" w:hAnsi="Verdana" w:cs="Calibri"/>
                <w:sz w:val="14"/>
                <w:szCs w:val="14"/>
                <w:lang w:eastAsia="ja-JP"/>
              </w:rPr>
            </w:pPr>
          </w:p>
        </w:tc>
        <w:tc>
          <w:tcPr>
            <w:tcW w:w="397" w:type="dxa"/>
            <w:tcBorders>
              <w:top w:val="nil"/>
              <w:left w:val="nil"/>
              <w:bottom w:val="nil"/>
              <w:right w:val="single" w:sz="4" w:space="0" w:color="auto"/>
            </w:tcBorders>
            <w:shd w:val="clear" w:color="000000" w:fill="FFFFFF"/>
            <w:vAlign w:val="center"/>
            <w:hideMark/>
          </w:tcPr>
          <w:p w14:paraId="49CEC826"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1CE1382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07338AD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nil"/>
              <w:right w:val="single" w:sz="12" w:space="0" w:color="auto"/>
            </w:tcBorders>
            <w:shd w:val="clear" w:color="000000" w:fill="FFFFFF"/>
            <w:vAlign w:val="center"/>
            <w:hideMark/>
          </w:tcPr>
          <w:p w14:paraId="5F62BBD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69CDF1FD"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1CC9558C"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7" w:type="dxa"/>
            <w:tcBorders>
              <w:top w:val="nil"/>
              <w:left w:val="nil"/>
              <w:bottom w:val="nil"/>
              <w:right w:val="single" w:sz="4" w:space="0" w:color="auto"/>
            </w:tcBorders>
            <w:shd w:val="clear" w:color="000000" w:fill="FFFFFF"/>
            <w:vAlign w:val="center"/>
            <w:hideMark/>
          </w:tcPr>
          <w:p w14:paraId="72E39F24"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398" w:type="dxa"/>
            <w:tcBorders>
              <w:top w:val="nil"/>
              <w:left w:val="nil"/>
              <w:bottom w:val="nil"/>
              <w:right w:val="single" w:sz="12" w:space="0" w:color="auto"/>
            </w:tcBorders>
            <w:shd w:val="clear" w:color="000000" w:fill="92D050"/>
            <w:vAlign w:val="center"/>
            <w:hideMark/>
          </w:tcPr>
          <w:p w14:paraId="215D2CA1"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c>
          <w:tcPr>
            <w:tcW w:w="1542" w:type="dxa"/>
            <w:tcBorders>
              <w:top w:val="nil"/>
              <w:left w:val="nil"/>
              <w:bottom w:val="single" w:sz="4" w:space="0" w:color="auto"/>
              <w:right w:val="single" w:sz="4" w:space="0" w:color="auto"/>
            </w:tcBorders>
            <w:shd w:val="clear" w:color="auto" w:fill="auto"/>
            <w:vAlign w:val="center"/>
            <w:hideMark/>
          </w:tcPr>
          <w:p w14:paraId="0E85DC68"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4. Contractual services</w:t>
            </w:r>
          </w:p>
        </w:tc>
        <w:tc>
          <w:tcPr>
            <w:tcW w:w="940" w:type="dxa"/>
            <w:tcBorders>
              <w:top w:val="nil"/>
              <w:left w:val="nil"/>
              <w:bottom w:val="single" w:sz="4" w:space="0" w:color="auto"/>
              <w:right w:val="single" w:sz="4" w:space="0" w:color="auto"/>
            </w:tcBorders>
            <w:shd w:val="clear" w:color="auto" w:fill="auto"/>
            <w:noWrap/>
            <w:vAlign w:val="center"/>
            <w:hideMark/>
          </w:tcPr>
          <w:p w14:paraId="406532EF"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20,000 </w:t>
            </w:r>
          </w:p>
        </w:tc>
        <w:tc>
          <w:tcPr>
            <w:tcW w:w="1184" w:type="dxa"/>
            <w:tcBorders>
              <w:top w:val="nil"/>
              <w:left w:val="nil"/>
              <w:bottom w:val="single" w:sz="4" w:space="0" w:color="auto"/>
              <w:right w:val="single" w:sz="4" w:space="0" w:color="auto"/>
            </w:tcBorders>
            <w:shd w:val="clear" w:color="auto" w:fill="auto"/>
            <w:vAlign w:val="center"/>
            <w:hideMark/>
          </w:tcPr>
          <w:p w14:paraId="055FDAA9"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w:t>
            </w:r>
          </w:p>
        </w:tc>
        <w:tc>
          <w:tcPr>
            <w:tcW w:w="940" w:type="dxa"/>
            <w:tcBorders>
              <w:top w:val="nil"/>
              <w:left w:val="nil"/>
              <w:bottom w:val="single" w:sz="4" w:space="0" w:color="auto"/>
              <w:right w:val="single" w:sz="4" w:space="0" w:color="auto"/>
            </w:tcBorders>
            <w:shd w:val="clear" w:color="auto" w:fill="auto"/>
            <w:noWrap/>
            <w:vAlign w:val="center"/>
            <w:hideMark/>
          </w:tcPr>
          <w:p w14:paraId="49544515" w14:textId="77777777" w:rsidR="00A04148" w:rsidRPr="00D41BDC" w:rsidRDefault="00A04148" w:rsidP="00B2326F">
            <w:pPr>
              <w:spacing w:line="240" w:lineRule="auto"/>
              <w:jc w:val="right"/>
              <w:rPr>
                <w:rFonts w:ascii="Verdana" w:eastAsia="Times New Roman" w:hAnsi="Verdana" w:cs="Calibri"/>
                <w:sz w:val="14"/>
                <w:szCs w:val="14"/>
                <w:lang w:eastAsia="ja-JP"/>
              </w:rPr>
            </w:pPr>
            <w:r w:rsidRPr="00D41BDC">
              <w:rPr>
                <w:rFonts w:ascii="Verdana" w:eastAsia="Times New Roman" w:hAnsi="Verdana" w:cs="Calibri"/>
                <w:sz w:val="14"/>
                <w:szCs w:val="14"/>
                <w:lang w:eastAsia="ja-JP"/>
              </w:rPr>
              <w:t xml:space="preserve">                   20,000 </w:t>
            </w:r>
          </w:p>
        </w:tc>
        <w:tc>
          <w:tcPr>
            <w:tcW w:w="1254" w:type="dxa"/>
            <w:tcBorders>
              <w:top w:val="nil"/>
              <w:left w:val="nil"/>
              <w:bottom w:val="single" w:sz="4" w:space="0" w:color="auto"/>
              <w:right w:val="single" w:sz="12" w:space="0" w:color="auto"/>
            </w:tcBorders>
            <w:shd w:val="clear" w:color="auto" w:fill="auto"/>
            <w:vAlign w:val="center"/>
            <w:hideMark/>
          </w:tcPr>
          <w:p w14:paraId="40EB1F9B" w14:textId="77777777" w:rsidR="00A04148" w:rsidRPr="00D41BDC" w:rsidRDefault="00A04148" w:rsidP="00B2326F">
            <w:pPr>
              <w:spacing w:line="240" w:lineRule="auto"/>
              <w:jc w:val="center"/>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UNICEF</w:t>
            </w:r>
          </w:p>
        </w:tc>
        <w:tc>
          <w:tcPr>
            <w:tcW w:w="1287" w:type="dxa"/>
            <w:tcBorders>
              <w:top w:val="nil"/>
              <w:left w:val="single" w:sz="12" w:space="0" w:color="auto"/>
              <w:bottom w:val="single" w:sz="4" w:space="0" w:color="auto"/>
              <w:right w:val="single" w:sz="12" w:space="0" w:color="auto"/>
            </w:tcBorders>
            <w:shd w:val="clear" w:color="auto" w:fill="auto"/>
            <w:vAlign w:val="center"/>
            <w:hideMark/>
          </w:tcPr>
          <w:p w14:paraId="17284325" w14:textId="77777777" w:rsidR="00A04148" w:rsidRPr="00D41BDC" w:rsidRDefault="00A04148" w:rsidP="00B2326F">
            <w:pPr>
              <w:spacing w:line="240" w:lineRule="auto"/>
              <w:rPr>
                <w:rFonts w:ascii="Verdana" w:eastAsia="Times New Roman" w:hAnsi="Verdana" w:cs="Calibri"/>
                <w:color w:val="000000"/>
                <w:sz w:val="14"/>
                <w:szCs w:val="14"/>
                <w:lang w:eastAsia="ja-JP"/>
              </w:rPr>
            </w:pPr>
            <w:r w:rsidRPr="00D41BDC">
              <w:rPr>
                <w:rFonts w:ascii="Verdana" w:eastAsia="Times New Roman" w:hAnsi="Verdana" w:cs="Calibri"/>
                <w:color w:val="000000"/>
                <w:sz w:val="14"/>
                <w:szCs w:val="14"/>
                <w:lang w:eastAsia="ja-JP"/>
              </w:rPr>
              <w:t> </w:t>
            </w:r>
          </w:p>
        </w:tc>
      </w:tr>
      <w:tr w:rsidR="00A04148" w:rsidRPr="00D41BDC" w14:paraId="31EAA205" w14:textId="77777777" w:rsidTr="00B2326F">
        <w:trPr>
          <w:trHeight w:val="310"/>
        </w:trPr>
        <w:tc>
          <w:tcPr>
            <w:tcW w:w="1174" w:type="dxa"/>
            <w:tcBorders>
              <w:top w:val="single" w:sz="12" w:space="0" w:color="auto"/>
              <w:left w:val="single" w:sz="12" w:space="0" w:color="auto"/>
              <w:bottom w:val="single" w:sz="12" w:space="0" w:color="auto"/>
              <w:right w:val="nil"/>
            </w:tcBorders>
            <w:shd w:val="clear" w:color="000000" w:fill="AEAAAA"/>
            <w:noWrap/>
            <w:vAlign w:val="center"/>
            <w:hideMark/>
          </w:tcPr>
          <w:p w14:paraId="0CC196E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Management Cost</w:t>
            </w:r>
          </w:p>
        </w:tc>
        <w:tc>
          <w:tcPr>
            <w:tcW w:w="579" w:type="dxa"/>
            <w:tcBorders>
              <w:top w:val="single" w:sz="12" w:space="0" w:color="auto"/>
              <w:left w:val="nil"/>
              <w:bottom w:val="single" w:sz="12" w:space="0" w:color="auto"/>
              <w:right w:val="nil"/>
            </w:tcBorders>
            <w:shd w:val="clear" w:color="000000" w:fill="AEAAAA"/>
            <w:vAlign w:val="center"/>
            <w:hideMark/>
          </w:tcPr>
          <w:p w14:paraId="79C6F95A"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578" w:type="dxa"/>
            <w:tcBorders>
              <w:top w:val="single" w:sz="12" w:space="0" w:color="auto"/>
              <w:left w:val="nil"/>
              <w:bottom w:val="single" w:sz="12" w:space="0" w:color="auto"/>
              <w:right w:val="nil"/>
            </w:tcBorders>
            <w:shd w:val="clear" w:color="000000" w:fill="AEAAAA"/>
            <w:vAlign w:val="center"/>
            <w:hideMark/>
          </w:tcPr>
          <w:p w14:paraId="6158DEF0"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714" w:type="dxa"/>
            <w:tcBorders>
              <w:top w:val="nil"/>
              <w:left w:val="nil"/>
              <w:bottom w:val="single" w:sz="12" w:space="0" w:color="auto"/>
              <w:right w:val="nil"/>
            </w:tcBorders>
            <w:shd w:val="clear" w:color="000000" w:fill="AEAAAA"/>
            <w:vAlign w:val="center"/>
            <w:hideMark/>
          </w:tcPr>
          <w:p w14:paraId="296D9719"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6C4A61DC"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7C993592"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1CA91D99"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8" w:type="dxa"/>
            <w:tcBorders>
              <w:top w:val="single" w:sz="12" w:space="0" w:color="auto"/>
              <w:left w:val="nil"/>
              <w:bottom w:val="single" w:sz="12" w:space="0" w:color="auto"/>
              <w:right w:val="nil"/>
            </w:tcBorders>
            <w:shd w:val="clear" w:color="000000" w:fill="AEAAAA"/>
            <w:vAlign w:val="center"/>
            <w:hideMark/>
          </w:tcPr>
          <w:p w14:paraId="1EE13E4A"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421F7034"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4B205421"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single" w:sz="12" w:space="0" w:color="auto"/>
              <w:left w:val="nil"/>
              <w:bottom w:val="single" w:sz="12" w:space="0" w:color="auto"/>
              <w:right w:val="nil"/>
            </w:tcBorders>
            <w:shd w:val="clear" w:color="000000" w:fill="AEAAAA"/>
            <w:vAlign w:val="center"/>
            <w:hideMark/>
          </w:tcPr>
          <w:p w14:paraId="32485CA4"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8" w:type="dxa"/>
            <w:tcBorders>
              <w:top w:val="single" w:sz="12" w:space="0" w:color="auto"/>
              <w:left w:val="nil"/>
              <w:bottom w:val="single" w:sz="12" w:space="0" w:color="auto"/>
              <w:right w:val="nil"/>
            </w:tcBorders>
            <w:shd w:val="clear" w:color="000000" w:fill="AEAAAA"/>
            <w:vAlign w:val="center"/>
            <w:hideMark/>
          </w:tcPr>
          <w:p w14:paraId="1D16D393"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542" w:type="dxa"/>
            <w:tcBorders>
              <w:top w:val="single" w:sz="12" w:space="0" w:color="auto"/>
              <w:left w:val="nil"/>
              <w:bottom w:val="single" w:sz="12" w:space="0" w:color="auto"/>
              <w:right w:val="nil"/>
            </w:tcBorders>
            <w:shd w:val="clear" w:color="000000" w:fill="AEAAAA"/>
            <w:noWrap/>
            <w:vAlign w:val="center"/>
            <w:hideMark/>
          </w:tcPr>
          <w:p w14:paraId="0FBF79A2" w14:textId="77777777" w:rsidR="00A04148" w:rsidRPr="00D41BDC" w:rsidRDefault="00A04148" w:rsidP="00B2326F">
            <w:pPr>
              <w:spacing w:line="240" w:lineRule="auto"/>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w:t>
            </w:r>
          </w:p>
        </w:tc>
        <w:tc>
          <w:tcPr>
            <w:tcW w:w="940" w:type="dxa"/>
            <w:tcBorders>
              <w:top w:val="single" w:sz="12" w:space="0" w:color="auto"/>
              <w:left w:val="nil"/>
              <w:bottom w:val="single" w:sz="12" w:space="0" w:color="auto"/>
              <w:right w:val="nil"/>
            </w:tcBorders>
            <w:shd w:val="clear" w:color="000000" w:fill="AEAAAA"/>
            <w:vAlign w:val="center"/>
            <w:hideMark/>
          </w:tcPr>
          <w:p w14:paraId="3FA9FD6A"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43,057 </w:t>
            </w:r>
          </w:p>
        </w:tc>
        <w:tc>
          <w:tcPr>
            <w:tcW w:w="1184" w:type="dxa"/>
            <w:tcBorders>
              <w:top w:val="single" w:sz="12" w:space="0" w:color="auto"/>
              <w:left w:val="nil"/>
              <w:bottom w:val="single" w:sz="12" w:space="0" w:color="auto"/>
              <w:right w:val="nil"/>
            </w:tcBorders>
            <w:shd w:val="clear" w:color="000000" w:fill="AEAAAA"/>
            <w:vAlign w:val="center"/>
            <w:hideMark/>
          </w:tcPr>
          <w:p w14:paraId="776BA2DF"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   </w:t>
            </w:r>
          </w:p>
        </w:tc>
        <w:tc>
          <w:tcPr>
            <w:tcW w:w="940" w:type="dxa"/>
            <w:tcBorders>
              <w:top w:val="single" w:sz="12" w:space="0" w:color="auto"/>
              <w:left w:val="nil"/>
              <w:bottom w:val="single" w:sz="12" w:space="0" w:color="auto"/>
              <w:right w:val="nil"/>
            </w:tcBorders>
            <w:shd w:val="clear" w:color="000000" w:fill="AEAAAA"/>
            <w:vAlign w:val="center"/>
            <w:hideMark/>
          </w:tcPr>
          <w:p w14:paraId="77543D45" w14:textId="77777777" w:rsidR="00A04148" w:rsidRPr="00D41BDC" w:rsidRDefault="00A04148" w:rsidP="00B2326F">
            <w:pPr>
              <w:spacing w:line="240" w:lineRule="auto"/>
              <w:jc w:val="right"/>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43,057 </w:t>
            </w:r>
          </w:p>
        </w:tc>
        <w:tc>
          <w:tcPr>
            <w:tcW w:w="1254" w:type="dxa"/>
            <w:tcBorders>
              <w:top w:val="single" w:sz="12" w:space="0" w:color="auto"/>
              <w:left w:val="nil"/>
              <w:bottom w:val="single" w:sz="12" w:space="0" w:color="auto"/>
              <w:right w:val="single" w:sz="12" w:space="0" w:color="auto"/>
            </w:tcBorders>
            <w:shd w:val="clear" w:color="000000" w:fill="AEAAAA"/>
            <w:vAlign w:val="center"/>
            <w:hideMark/>
          </w:tcPr>
          <w:p w14:paraId="75BF6E6F" w14:textId="77777777" w:rsidR="00A04148" w:rsidRPr="00D41BDC" w:rsidRDefault="00A04148" w:rsidP="00B2326F">
            <w:pPr>
              <w:spacing w:line="240" w:lineRule="auto"/>
              <w:jc w:val="center"/>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287" w:type="dxa"/>
            <w:tcBorders>
              <w:top w:val="single" w:sz="12" w:space="0" w:color="auto"/>
              <w:left w:val="single" w:sz="12" w:space="0" w:color="auto"/>
              <w:bottom w:val="single" w:sz="12" w:space="0" w:color="auto"/>
              <w:right w:val="single" w:sz="12" w:space="0" w:color="auto"/>
            </w:tcBorders>
            <w:shd w:val="clear" w:color="000000" w:fill="AEAAAA"/>
            <w:vAlign w:val="center"/>
            <w:hideMark/>
          </w:tcPr>
          <w:p w14:paraId="4BFC8798" w14:textId="77777777" w:rsidR="00A04148" w:rsidRPr="00D41BDC" w:rsidRDefault="00A04148" w:rsidP="00B2326F">
            <w:pPr>
              <w:spacing w:line="240" w:lineRule="auto"/>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r>
      <w:tr w:rsidR="00A04148" w:rsidRPr="00D41BDC" w14:paraId="18720BAA" w14:textId="77777777" w:rsidTr="00B2326F">
        <w:trPr>
          <w:trHeight w:val="310"/>
        </w:trPr>
        <w:tc>
          <w:tcPr>
            <w:tcW w:w="1174" w:type="dxa"/>
            <w:tcBorders>
              <w:top w:val="nil"/>
              <w:left w:val="single" w:sz="12" w:space="0" w:color="auto"/>
              <w:bottom w:val="single" w:sz="12" w:space="0" w:color="auto"/>
              <w:right w:val="nil"/>
            </w:tcBorders>
            <w:shd w:val="clear" w:color="000000" w:fill="AEAAAA"/>
            <w:vAlign w:val="center"/>
            <w:hideMark/>
          </w:tcPr>
          <w:p w14:paraId="11565E74" w14:textId="77777777" w:rsidR="00A04148" w:rsidRPr="00D41BDC" w:rsidRDefault="00A04148" w:rsidP="00B2326F">
            <w:pPr>
              <w:spacing w:line="240" w:lineRule="auto"/>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579" w:type="dxa"/>
            <w:tcBorders>
              <w:top w:val="nil"/>
              <w:left w:val="nil"/>
              <w:bottom w:val="single" w:sz="12" w:space="0" w:color="auto"/>
              <w:right w:val="nil"/>
            </w:tcBorders>
            <w:shd w:val="clear" w:color="000000" w:fill="AEAAAA"/>
            <w:vAlign w:val="center"/>
            <w:hideMark/>
          </w:tcPr>
          <w:p w14:paraId="39724A4E"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578" w:type="dxa"/>
            <w:tcBorders>
              <w:top w:val="nil"/>
              <w:left w:val="nil"/>
              <w:bottom w:val="single" w:sz="12" w:space="0" w:color="auto"/>
              <w:right w:val="nil"/>
            </w:tcBorders>
            <w:shd w:val="clear" w:color="000000" w:fill="AEAAAA"/>
            <w:vAlign w:val="center"/>
            <w:hideMark/>
          </w:tcPr>
          <w:p w14:paraId="709954B8"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714" w:type="dxa"/>
            <w:tcBorders>
              <w:top w:val="nil"/>
              <w:left w:val="nil"/>
              <w:bottom w:val="single" w:sz="12" w:space="0" w:color="auto"/>
              <w:right w:val="nil"/>
            </w:tcBorders>
            <w:shd w:val="clear" w:color="000000" w:fill="AEAAAA"/>
            <w:vAlign w:val="center"/>
            <w:hideMark/>
          </w:tcPr>
          <w:p w14:paraId="45541480" w14:textId="77777777" w:rsidR="00A04148" w:rsidRPr="00D41BDC" w:rsidRDefault="00A04148" w:rsidP="00B2326F">
            <w:pPr>
              <w:spacing w:line="240" w:lineRule="auto"/>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Indirect Support Costs (Max. 7%)  </w:t>
            </w:r>
          </w:p>
        </w:tc>
        <w:tc>
          <w:tcPr>
            <w:tcW w:w="397" w:type="dxa"/>
            <w:tcBorders>
              <w:top w:val="nil"/>
              <w:left w:val="nil"/>
              <w:bottom w:val="single" w:sz="12" w:space="0" w:color="auto"/>
              <w:right w:val="nil"/>
            </w:tcBorders>
            <w:shd w:val="clear" w:color="000000" w:fill="AEAAAA"/>
            <w:vAlign w:val="center"/>
            <w:hideMark/>
          </w:tcPr>
          <w:p w14:paraId="45A33D81"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227B50E3"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6FDAD1D4"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8" w:type="dxa"/>
            <w:tcBorders>
              <w:top w:val="nil"/>
              <w:left w:val="nil"/>
              <w:bottom w:val="single" w:sz="12" w:space="0" w:color="auto"/>
              <w:right w:val="nil"/>
            </w:tcBorders>
            <w:shd w:val="clear" w:color="000000" w:fill="AEAAAA"/>
            <w:vAlign w:val="center"/>
            <w:hideMark/>
          </w:tcPr>
          <w:p w14:paraId="38B0A927"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6C560FD0"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3CA985D0"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4E7F6217"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8" w:type="dxa"/>
            <w:tcBorders>
              <w:top w:val="nil"/>
              <w:left w:val="nil"/>
              <w:bottom w:val="single" w:sz="12" w:space="0" w:color="auto"/>
              <w:right w:val="nil"/>
            </w:tcBorders>
            <w:shd w:val="clear" w:color="000000" w:fill="AEAAAA"/>
            <w:vAlign w:val="center"/>
            <w:hideMark/>
          </w:tcPr>
          <w:p w14:paraId="07E2EAEB"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542" w:type="dxa"/>
            <w:tcBorders>
              <w:top w:val="nil"/>
              <w:left w:val="nil"/>
              <w:bottom w:val="single" w:sz="12" w:space="0" w:color="auto"/>
              <w:right w:val="nil"/>
            </w:tcBorders>
            <w:shd w:val="clear" w:color="000000" w:fill="AEAAAA"/>
            <w:noWrap/>
            <w:vAlign w:val="center"/>
            <w:hideMark/>
          </w:tcPr>
          <w:p w14:paraId="275AF5B1" w14:textId="77777777" w:rsidR="00A04148" w:rsidRPr="00D41BDC" w:rsidRDefault="00A04148" w:rsidP="00B2326F">
            <w:pPr>
              <w:spacing w:line="240" w:lineRule="auto"/>
              <w:outlineLvl w:val="0"/>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Indirect Support Costs (Max. 7%)  </w:t>
            </w:r>
          </w:p>
        </w:tc>
        <w:tc>
          <w:tcPr>
            <w:tcW w:w="940" w:type="dxa"/>
            <w:tcBorders>
              <w:top w:val="nil"/>
              <w:left w:val="nil"/>
              <w:bottom w:val="single" w:sz="12" w:space="0" w:color="auto"/>
              <w:right w:val="nil"/>
            </w:tcBorders>
            <w:shd w:val="clear" w:color="000000" w:fill="AEAAAA"/>
            <w:vAlign w:val="center"/>
            <w:hideMark/>
          </w:tcPr>
          <w:p w14:paraId="6790433E" w14:textId="77777777" w:rsidR="00A04148" w:rsidRPr="00D41BDC" w:rsidRDefault="00A04148" w:rsidP="00B2326F">
            <w:pPr>
              <w:spacing w:line="240" w:lineRule="auto"/>
              <w:jc w:val="right"/>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32,710 </w:t>
            </w:r>
          </w:p>
        </w:tc>
        <w:tc>
          <w:tcPr>
            <w:tcW w:w="1184" w:type="dxa"/>
            <w:tcBorders>
              <w:top w:val="nil"/>
              <w:left w:val="nil"/>
              <w:bottom w:val="single" w:sz="12" w:space="0" w:color="auto"/>
              <w:right w:val="nil"/>
            </w:tcBorders>
            <w:shd w:val="clear" w:color="000000" w:fill="AEAAAA"/>
            <w:vAlign w:val="center"/>
            <w:hideMark/>
          </w:tcPr>
          <w:p w14:paraId="2470875A" w14:textId="77777777" w:rsidR="00A04148" w:rsidRPr="00D41BDC" w:rsidRDefault="00A04148" w:rsidP="00B2326F">
            <w:pPr>
              <w:spacing w:line="240" w:lineRule="auto"/>
              <w:jc w:val="right"/>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940" w:type="dxa"/>
            <w:tcBorders>
              <w:top w:val="nil"/>
              <w:left w:val="nil"/>
              <w:bottom w:val="single" w:sz="12" w:space="0" w:color="auto"/>
              <w:right w:val="nil"/>
            </w:tcBorders>
            <w:shd w:val="clear" w:color="000000" w:fill="AEAAAA"/>
            <w:noWrap/>
            <w:vAlign w:val="center"/>
            <w:hideMark/>
          </w:tcPr>
          <w:p w14:paraId="0C055BC5" w14:textId="77777777" w:rsidR="00A04148" w:rsidRPr="00D41BDC" w:rsidRDefault="00A04148" w:rsidP="00B2326F">
            <w:pPr>
              <w:spacing w:line="240" w:lineRule="auto"/>
              <w:jc w:val="right"/>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32,710 </w:t>
            </w:r>
          </w:p>
        </w:tc>
        <w:tc>
          <w:tcPr>
            <w:tcW w:w="1254" w:type="dxa"/>
            <w:tcBorders>
              <w:top w:val="nil"/>
              <w:left w:val="nil"/>
              <w:bottom w:val="single" w:sz="12" w:space="0" w:color="auto"/>
              <w:right w:val="single" w:sz="12" w:space="0" w:color="auto"/>
            </w:tcBorders>
            <w:shd w:val="clear" w:color="000000" w:fill="AEAAAA"/>
            <w:vAlign w:val="center"/>
            <w:hideMark/>
          </w:tcPr>
          <w:p w14:paraId="449E4066"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UNDP</w:t>
            </w:r>
          </w:p>
        </w:tc>
        <w:tc>
          <w:tcPr>
            <w:tcW w:w="1287" w:type="dxa"/>
            <w:tcBorders>
              <w:top w:val="nil"/>
              <w:left w:val="single" w:sz="12" w:space="0" w:color="auto"/>
              <w:bottom w:val="single" w:sz="12" w:space="0" w:color="auto"/>
              <w:right w:val="single" w:sz="12" w:space="0" w:color="auto"/>
            </w:tcBorders>
            <w:shd w:val="clear" w:color="000000" w:fill="AEAAAA"/>
            <w:vAlign w:val="center"/>
            <w:hideMark/>
          </w:tcPr>
          <w:p w14:paraId="06196CDD" w14:textId="77777777" w:rsidR="00A04148" w:rsidRPr="00D41BDC" w:rsidRDefault="00A04148" w:rsidP="00B2326F">
            <w:pPr>
              <w:spacing w:line="240" w:lineRule="auto"/>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r>
      <w:tr w:rsidR="00A04148" w:rsidRPr="00D41BDC" w14:paraId="5E7D2F38" w14:textId="77777777" w:rsidTr="00B2326F">
        <w:trPr>
          <w:trHeight w:val="310"/>
        </w:trPr>
        <w:tc>
          <w:tcPr>
            <w:tcW w:w="1174" w:type="dxa"/>
            <w:tcBorders>
              <w:top w:val="nil"/>
              <w:left w:val="single" w:sz="12" w:space="0" w:color="auto"/>
              <w:bottom w:val="single" w:sz="12" w:space="0" w:color="auto"/>
              <w:right w:val="nil"/>
            </w:tcBorders>
            <w:shd w:val="clear" w:color="000000" w:fill="AEAAAA"/>
            <w:vAlign w:val="center"/>
            <w:hideMark/>
          </w:tcPr>
          <w:p w14:paraId="6A364721" w14:textId="77777777" w:rsidR="00A04148" w:rsidRPr="00D41BDC" w:rsidRDefault="00A04148" w:rsidP="00B2326F">
            <w:pPr>
              <w:spacing w:line="240" w:lineRule="auto"/>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579" w:type="dxa"/>
            <w:tcBorders>
              <w:top w:val="nil"/>
              <w:left w:val="nil"/>
              <w:bottom w:val="single" w:sz="12" w:space="0" w:color="auto"/>
              <w:right w:val="nil"/>
            </w:tcBorders>
            <w:shd w:val="clear" w:color="000000" w:fill="AEAAAA"/>
            <w:vAlign w:val="center"/>
            <w:hideMark/>
          </w:tcPr>
          <w:p w14:paraId="3F53BD0B"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578" w:type="dxa"/>
            <w:tcBorders>
              <w:top w:val="nil"/>
              <w:left w:val="nil"/>
              <w:bottom w:val="single" w:sz="12" w:space="0" w:color="auto"/>
              <w:right w:val="nil"/>
            </w:tcBorders>
            <w:shd w:val="clear" w:color="000000" w:fill="AEAAAA"/>
            <w:vAlign w:val="center"/>
            <w:hideMark/>
          </w:tcPr>
          <w:p w14:paraId="0A8812BC"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714" w:type="dxa"/>
            <w:tcBorders>
              <w:top w:val="nil"/>
              <w:left w:val="nil"/>
              <w:bottom w:val="single" w:sz="12" w:space="0" w:color="auto"/>
              <w:right w:val="nil"/>
            </w:tcBorders>
            <w:shd w:val="clear" w:color="000000" w:fill="AEAAAA"/>
            <w:vAlign w:val="center"/>
            <w:hideMark/>
          </w:tcPr>
          <w:p w14:paraId="21437191" w14:textId="77777777" w:rsidR="00A04148" w:rsidRPr="00D41BDC" w:rsidRDefault="00A04148" w:rsidP="00B2326F">
            <w:pPr>
              <w:spacing w:line="240" w:lineRule="auto"/>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Indirect Support Costs (Max. 7%)  </w:t>
            </w:r>
          </w:p>
        </w:tc>
        <w:tc>
          <w:tcPr>
            <w:tcW w:w="397" w:type="dxa"/>
            <w:tcBorders>
              <w:top w:val="nil"/>
              <w:left w:val="nil"/>
              <w:bottom w:val="single" w:sz="12" w:space="0" w:color="auto"/>
              <w:right w:val="nil"/>
            </w:tcBorders>
            <w:shd w:val="clear" w:color="000000" w:fill="AEAAAA"/>
            <w:vAlign w:val="center"/>
            <w:hideMark/>
          </w:tcPr>
          <w:p w14:paraId="33689527"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4E2ECBF7"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7453918D"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8" w:type="dxa"/>
            <w:tcBorders>
              <w:top w:val="nil"/>
              <w:left w:val="nil"/>
              <w:bottom w:val="single" w:sz="12" w:space="0" w:color="auto"/>
              <w:right w:val="nil"/>
            </w:tcBorders>
            <w:shd w:val="clear" w:color="000000" w:fill="AEAAAA"/>
            <w:vAlign w:val="center"/>
            <w:hideMark/>
          </w:tcPr>
          <w:p w14:paraId="4503D1B9"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3E9177A8"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6DA82C83"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7" w:type="dxa"/>
            <w:tcBorders>
              <w:top w:val="nil"/>
              <w:left w:val="nil"/>
              <w:bottom w:val="single" w:sz="12" w:space="0" w:color="auto"/>
              <w:right w:val="nil"/>
            </w:tcBorders>
            <w:shd w:val="clear" w:color="000000" w:fill="AEAAAA"/>
            <w:vAlign w:val="center"/>
            <w:hideMark/>
          </w:tcPr>
          <w:p w14:paraId="67C09E8A"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398" w:type="dxa"/>
            <w:tcBorders>
              <w:top w:val="nil"/>
              <w:left w:val="nil"/>
              <w:bottom w:val="single" w:sz="12" w:space="0" w:color="auto"/>
              <w:right w:val="nil"/>
            </w:tcBorders>
            <w:shd w:val="clear" w:color="000000" w:fill="AEAAAA"/>
            <w:vAlign w:val="center"/>
            <w:hideMark/>
          </w:tcPr>
          <w:p w14:paraId="638F0533"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1542" w:type="dxa"/>
            <w:tcBorders>
              <w:top w:val="nil"/>
              <w:left w:val="nil"/>
              <w:bottom w:val="single" w:sz="12" w:space="0" w:color="auto"/>
              <w:right w:val="nil"/>
            </w:tcBorders>
            <w:shd w:val="clear" w:color="000000" w:fill="AEAAAA"/>
            <w:noWrap/>
            <w:vAlign w:val="center"/>
            <w:hideMark/>
          </w:tcPr>
          <w:p w14:paraId="00C7530B" w14:textId="77777777" w:rsidR="00A04148" w:rsidRPr="00D41BDC" w:rsidRDefault="00A04148" w:rsidP="00B2326F">
            <w:pPr>
              <w:spacing w:line="240" w:lineRule="auto"/>
              <w:outlineLvl w:val="0"/>
              <w:rPr>
                <w:rFonts w:ascii="Verdana" w:eastAsia="Times New Roman" w:hAnsi="Verdana" w:cs="Calibri"/>
                <w:b/>
                <w:bCs/>
                <w:sz w:val="14"/>
                <w:szCs w:val="14"/>
                <w:lang w:eastAsia="ja-JP"/>
              </w:rPr>
            </w:pPr>
            <w:r w:rsidRPr="00D41BDC">
              <w:rPr>
                <w:rFonts w:ascii="Verdana" w:eastAsia="Times New Roman" w:hAnsi="Verdana" w:cs="Calibri"/>
                <w:b/>
                <w:bCs/>
                <w:sz w:val="14"/>
                <w:szCs w:val="14"/>
                <w:lang w:eastAsia="ja-JP"/>
              </w:rPr>
              <w:t xml:space="preserve">Indirect Support Costs (Max. 7%)  </w:t>
            </w:r>
          </w:p>
        </w:tc>
        <w:tc>
          <w:tcPr>
            <w:tcW w:w="940" w:type="dxa"/>
            <w:tcBorders>
              <w:top w:val="nil"/>
              <w:left w:val="nil"/>
              <w:bottom w:val="single" w:sz="12" w:space="0" w:color="auto"/>
              <w:right w:val="nil"/>
            </w:tcBorders>
            <w:shd w:val="clear" w:color="000000" w:fill="AEAAAA"/>
            <w:vAlign w:val="center"/>
            <w:hideMark/>
          </w:tcPr>
          <w:p w14:paraId="79C9747B" w14:textId="77777777" w:rsidR="00A04148" w:rsidRPr="00D41BDC" w:rsidRDefault="00A04148" w:rsidP="00B2326F">
            <w:pPr>
              <w:spacing w:line="240" w:lineRule="auto"/>
              <w:jc w:val="right"/>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32,710 </w:t>
            </w:r>
          </w:p>
        </w:tc>
        <w:tc>
          <w:tcPr>
            <w:tcW w:w="1184" w:type="dxa"/>
            <w:tcBorders>
              <w:top w:val="nil"/>
              <w:left w:val="nil"/>
              <w:bottom w:val="single" w:sz="12" w:space="0" w:color="auto"/>
              <w:right w:val="nil"/>
            </w:tcBorders>
            <w:shd w:val="clear" w:color="000000" w:fill="AEAAAA"/>
            <w:vAlign w:val="center"/>
            <w:hideMark/>
          </w:tcPr>
          <w:p w14:paraId="40868853" w14:textId="77777777" w:rsidR="00A04148" w:rsidRPr="00D41BDC" w:rsidRDefault="00A04148" w:rsidP="00B2326F">
            <w:pPr>
              <w:spacing w:line="240" w:lineRule="auto"/>
              <w:jc w:val="right"/>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c>
          <w:tcPr>
            <w:tcW w:w="940" w:type="dxa"/>
            <w:tcBorders>
              <w:top w:val="single" w:sz="4" w:space="0" w:color="auto"/>
              <w:left w:val="nil"/>
              <w:bottom w:val="single" w:sz="12" w:space="0" w:color="auto"/>
              <w:right w:val="nil"/>
            </w:tcBorders>
            <w:shd w:val="clear" w:color="000000" w:fill="AEAAAA"/>
            <w:noWrap/>
            <w:vAlign w:val="center"/>
            <w:hideMark/>
          </w:tcPr>
          <w:p w14:paraId="04289DEA" w14:textId="77777777" w:rsidR="00A04148" w:rsidRPr="00D41BDC" w:rsidRDefault="00A04148" w:rsidP="00B2326F">
            <w:pPr>
              <w:spacing w:line="240" w:lineRule="auto"/>
              <w:jc w:val="right"/>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xml:space="preserve">                      32,710 </w:t>
            </w:r>
          </w:p>
        </w:tc>
        <w:tc>
          <w:tcPr>
            <w:tcW w:w="1254" w:type="dxa"/>
            <w:tcBorders>
              <w:top w:val="nil"/>
              <w:left w:val="nil"/>
              <w:bottom w:val="single" w:sz="12" w:space="0" w:color="auto"/>
              <w:right w:val="single" w:sz="12" w:space="0" w:color="auto"/>
            </w:tcBorders>
            <w:shd w:val="clear" w:color="000000" w:fill="AEAAAA"/>
            <w:vAlign w:val="center"/>
            <w:hideMark/>
          </w:tcPr>
          <w:p w14:paraId="253ED19B" w14:textId="77777777" w:rsidR="00A04148" w:rsidRPr="00D41BDC" w:rsidRDefault="00A04148" w:rsidP="00B2326F">
            <w:pPr>
              <w:spacing w:line="240" w:lineRule="auto"/>
              <w:jc w:val="center"/>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UNICEF</w:t>
            </w:r>
          </w:p>
        </w:tc>
        <w:tc>
          <w:tcPr>
            <w:tcW w:w="1287" w:type="dxa"/>
            <w:tcBorders>
              <w:top w:val="nil"/>
              <w:left w:val="single" w:sz="12" w:space="0" w:color="auto"/>
              <w:bottom w:val="single" w:sz="12" w:space="0" w:color="auto"/>
              <w:right w:val="single" w:sz="12" w:space="0" w:color="auto"/>
            </w:tcBorders>
            <w:shd w:val="clear" w:color="000000" w:fill="AEAAAA"/>
            <w:vAlign w:val="center"/>
            <w:hideMark/>
          </w:tcPr>
          <w:p w14:paraId="75FBF89A" w14:textId="77777777" w:rsidR="00A04148" w:rsidRPr="00D41BDC" w:rsidRDefault="00A04148" w:rsidP="00B2326F">
            <w:pPr>
              <w:spacing w:line="240" w:lineRule="auto"/>
              <w:outlineLvl w:val="0"/>
              <w:rPr>
                <w:rFonts w:ascii="Verdana" w:eastAsia="Times New Roman" w:hAnsi="Verdana" w:cs="Calibri"/>
                <w:b/>
                <w:bCs/>
                <w:color w:val="000000"/>
                <w:sz w:val="14"/>
                <w:szCs w:val="14"/>
                <w:lang w:eastAsia="ja-JP"/>
              </w:rPr>
            </w:pPr>
            <w:r w:rsidRPr="00D41BDC">
              <w:rPr>
                <w:rFonts w:ascii="Verdana" w:eastAsia="Times New Roman" w:hAnsi="Verdana" w:cs="Calibri"/>
                <w:b/>
                <w:bCs/>
                <w:color w:val="000000"/>
                <w:sz w:val="14"/>
                <w:szCs w:val="14"/>
                <w:lang w:eastAsia="ja-JP"/>
              </w:rPr>
              <w:t> </w:t>
            </w:r>
          </w:p>
        </w:tc>
      </w:tr>
      <w:tr w:rsidR="00A04148" w:rsidRPr="00D41BDC" w14:paraId="7F19D24A" w14:textId="77777777" w:rsidTr="00B2326F">
        <w:trPr>
          <w:trHeight w:val="310"/>
        </w:trPr>
        <w:tc>
          <w:tcPr>
            <w:tcW w:w="1174" w:type="dxa"/>
            <w:tcBorders>
              <w:top w:val="nil"/>
              <w:left w:val="single" w:sz="12" w:space="0" w:color="auto"/>
              <w:bottom w:val="single" w:sz="12" w:space="0" w:color="auto"/>
              <w:right w:val="nil"/>
            </w:tcBorders>
            <w:shd w:val="clear" w:color="000000" w:fill="757171"/>
            <w:vAlign w:val="center"/>
            <w:hideMark/>
          </w:tcPr>
          <w:p w14:paraId="03895A2E" w14:textId="77777777" w:rsidR="00A04148" w:rsidRPr="00D41BDC" w:rsidRDefault="00A04148" w:rsidP="00B2326F">
            <w:pPr>
              <w:spacing w:line="240" w:lineRule="auto"/>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Overall Total</w:t>
            </w:r>
          </w:p>
        </w:tc>
        <w:tc>
          <w:tcPr>
            <w:tcW w:w="579" w:type="dxa"/>
            <w:tcBorders>
              <w:top w:val="nil"/>
              <w:left w:val="nil"/>
              <w:bottom w:val="single" w:sz="12" w:space="0" w:color="auto"/>
              <w:right w:val="nil"/>
            </w:tcBorders>
            <w:shd w:val="clear" w:color="000000" w:fill="757171"/>
            <w:vAlign w:val="center"/>
            <w:hideMark/>
          </w:tcPr>
          <w:p w14:paraId="47553A3A"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c>
          <w:tcPr>
            <w:tcW w:w="578" w:type="dxa"/>
            <w:tcBorders>
              <w:top w:val="nil"/>
              <w:left w:val="nil"/>
              <w:bottom w:val="single" w:sz="12" w:space="0" w:color="auto"/>
              <w:right w:val="nil"/>
            </w:tcBorders>
            <w:shd w:val="clear" w:color="000000" w:fill="757171"/>
            <w:vAlign w:val="center"/>
            <w:hideMark/>
          </w:tcPr>
          <w:p w14:paraId="2BA7A0A8"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c>
          <w:tcPr>
            <w:tcW w:w="1714" w:type="dxa"/>
            <w:tcBorders>
              <w:top w:val="nil"/>
              <w:left w:val="nil"/>
              <w:bottom w:val="single" w:sz="12" w:space="0" w:color="auto"/>
              <w:right w:val="nil"/>
            </w:tcBorders>
            <w:shd w:val="clear" w:color="000000" w:fill="757171"/>
            <w:vAlign w:val="center"/>
            <w:hideMark/>
          </w:tcPr>
          <w:p w14:paraId="58CB21D9" w14:textId="77777777" w:rsidR="00A04148" w:rsidRPr="00D41BDC" w:rsidRDefault="00A04148" w:rsidP="00B2326F">
            <w:pPr>
              <w:spacing w:line="240" w:lineRule="auto"/>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c>
          <w:tcPr>
            <w:tcW w:w="397" w:type="dxa"/>
            <w:tcBorders>
              <w:top w:val="nil"/>
              <w:left w:val="nil"/>
              <w:bottom w:val="single" w:sz="12" w:space="0" w:color="auto"/>
              <w:right w:val="nil"/>
            </w:tcBorders>
            <w:shd w:val="clear" w:color="000000" w:fill="757171"/>
            <w:vAlign w:val="center"/>
            <w:hideMark/>
          </w:tcPr>
          <w:p w14:paraId="03DE735A"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c>
          <w:tcPr>
            <w:tcW w:w="397" w:type="dxa"/>
            <w:tcBorders>
              <w:top w:val="nil"/>
              <w:left w:val="nil"/>
              <w:bottom w:val="single" w:sz="12" w:space="0" w:color="auto"/>
              <w:right w:val="nil"/>
            </w:tcBorders>
            <w:shd w:val="clear" w:color="000000" w:fill="757171"/>
            <w:vAlign w:val="center"/>
            <w:hideMark/>
          </w:tcPr>
          <w:p w14:paraId="07FBFE4B"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c>
          <w:tcPr>
            <w:tcW w:w="397" w:type="dxa"/>
            <w:tcBorders>
              <w:top w:val="nil"/>
              <w:left w:val="nil"/>
              <w:bottom w:val="single" w:sz="12" w:space="0" w:color="auto"/>
              <w:right w:val="nil"/>
            </w:tcBorders>
            <w:shd w:val="clear" w:color="000000" w:fill="757171"/>
            <w:vAlign w:val="center"/>
            <w:hideMark/>
          </w:tcPr>
          <w:p w14:paraId="6957385E"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c>
          <w:tcPr>
            <w:tcW w:w="398" w:type="dxa"/>
            <w:tcBorders>
              <w:top w:val="nil"/>
              <w:left w:val="nil"/>
              <w:bottom w:val="single" w:sz="12" w:space="0" w:color="auto"/>
              <w:right w:val="nil"/>
            </w:tcBorders>
            <w:shd w:val="clear" w:color="000000" w:fill="757171"/>
            <w:vAlign w:val="center"/>
            <w:hideMark/>
          </w:tcPr>
          <w:p w14:paraId="521A6608"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c>
          <w:tcPr>
            <w:tcW w:w="397" w:type="dxa"/>
            <w:tcBorders>
              <w:top w:val="nil"/>
              <w:left w:val="nil"/>
              <w:bottom w:val="single" w:sz="12" w:space="0" w:color="auto"/>
              <w:right w:val="nil"/>
            </w:tcBorders>
            <w:shd w:val="clear" w:color="000000" w:fill="757171"/>
            <w:vAlign w:val="center"/>
            <w:hideMark/>
          </w:tcPr>
          <w:p w14:paraId="59C932B9"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c>
          <w:tcPr>
            <w:tcW w:w="397" w:type="dxa"/>
            <w:tcBorders>
              <w:top w:val="nil"/>
              <w:left w:val="nil"/>
              <w:bottom w:val="single" w:sz="12" w:space="0" w:color="auto"/>
              <w:right w:val="nil"/>
            </w:tcBorders>
            <w:shd w:val="clear" w:color="000000" w:fill="757171"/>
            <w:vAlign w:val="center"/>
            <w:hideMark/>
          </w:tcPr>
          <w:p w14:paraId="16ABB9AD"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c>
          <w:tcPr>
            <w:tcW w:w="397" w:type="dxa"/>
            <w:tcBorders>
              <w:top w:val="nil"/>
              <w:left w:val="nil"/>
              <w:bottom w:val="single" w:sz="12" w:space="0" w:color="auto"/>
              <w:right w:val="nil"/>
            </w:tcBorders>
            <w:shd w:val="clear" w:color="000000" w:fill="757171"/>
            <w:vAlign w:val="center"/>
            <w:hideMark/>
          </w:tcPr>
          <w:p w14:paraId="54FEECDA"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c>
          <w:tcPr>
            <w:tcW w:w="398" w:type="dxa"/>
            <w:tcBorders>
              <w:top w:val="nil"/>
              <w:left w:val="nil"/>
              <w:bottom w:val="single" w:sz="12" w:space="0" w:color="auto"/>
              <w:right w:val="nil"/>
            </w:tcBorders>
            <w:shd w:val="clear" w:color="000000" w:fill="757171"/>
            <w:vAlign w:val="center"/>
            <w:hideMark/>
          </w:tcPr>
          <w:p w14:paraId="52D13A37"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c>
          <w:tcPr>
            <w:tcW w:w="1542" w:type="dxa"/>
            <w:tcBorders>
              <w:top w:val="nil"/>
              <w:left w:val="nil"/>
              <w:bottom w:val="single" w:sz="12" w:space="0" w:color="auto"/>
              <w:right w:val="nil"/>
            </w:tcBorders>
            <w:shd w:val="clear" w:color="000000" w:fill="757171"/>
            <w:noWrap/>
            <w:vAlign w:val="center"/>
            <w:hideMark/>
          </w:tcPr>
          <w:p w14:paraId="3FB333B6" w14:textId="77777777" w:rsidR="00A04148" w:rsidRPr="00D41BDC" w:rsidRDefault="00A04148" w:rsidP="00B2326F">
            <w:pPr>
              <w:spacing w:line="240" w:lineRule="auto"/>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c>
          <w:tcPr>
            <w:tcW w:w="940" w:type="dxa"/>
            <w:tcBorders>
              <w:top w:val="nil"/>
              <w:left w:val="nil"/>
              <w:bottom w:val="single" w:sz="12" w:space="0" w:color="auto"/>
              <w:right w:val="nil"/>
            </w:tcBorders>
            <w:shd w:val="clear" w:color="000000" w:fill="757171"/>
            <w:vAlign w:val="center"/>
            <w:hideMark/>
          </w:tcPr>
          <w:p w14:paraId="58D39DE4" w14:textId="77777777" w:rsidR="00A04148" w:rsidRPr="00D41BDC" w:rsidRDefault="00A04148" w:rsidP="00B2326F">
            <w:pPr>
              <w:spacing w:line="240" w:lineRule="auto"/>
              <w:jc w:val="right"/>
              <w:rPr>
                <w:rFonts w:ascii="Verdana" w:eastAsia="Times New Roman" w:hAnsi="Verdana" w:cs="Calibri"/>
                <w:b/>
                <w:bCs/>
                <w:color w:val="FFFFFF"/>
                <w:sz w:val="12"/>
                <w:szCs w:val="12"/>
                <w:lang w:eastAsia="ja-JP"/>
              </w:rPr>
            </w:pPr>
            <w:r w:rsidRPr="00D41BDC">
              <w:rPr>
                <w:rFonts w:ascii="Verdana" w:eastAsia="Times New Roman" w:hAnsi="Verdana" w:cs="Calibri"/>
                <w:b/>
                <w:bCs/>
                <w:color w:val="FFFFFF"/>
                <w:sz w:val="12"/>
                <w:szCs w:val="12"/>
                <w:lang w:eastAsia="ja-JP"/>
              </w:rPr>
              <w:t xml:space="preserve">                1,000,000 </w:t>
            </w:r>
          </w:p>
        </w:tc>
        <w:tc>
          <w:tcPr>
            <w:tcW w:w="1184" w:type="dxa"/>
            <w:tcBorders>
              <w:top w:val="nil"/>
              <w:left w:val="nil"/>
              <w:bottom w:val="single" w:sz="12" w:space="0" w:color="auto"/>
              <w:right w:val="nil"/>
            </w:tcBorders>
            <w:shd w:val="clear" w:color="000000" w:fill="757171"/>
            <w:vAlign w:val="center"/>
            <w:hideMark/>
          </w:tcPr>
          <w:p w14:paraId="495D0653" w14:textId="77777777" w:rsidR="00A04148" w:rsidRPr="00D41BDC" w:rsidRDefault="00A04148" w:rsidP="00B2326F">
            <w:pPr>
              <w:spacing w:line="240" w:lineRule="auto"/>
              <w:jc w:val="right"/>
              <w:rPr>
                <w:rFonts w:ascii="Verdana" w:eastAsia="Times New Roman" w:hAnsi="Verdana" w:cs="Calibri"/>
                <w:b/>
                <w:bCs/>
                <w:color w:val="FFFFFF"/>
                <w:sz w:val="12"/>
                <w:szCs w:val="12"/>
                <w:lang w:eastAsia="ja-JP"/>
              </w:rPr>
            </w:pPr>
            <w:r w:rsidRPr="00D41BDC">
              <w:rPr>
                <w:rFonts w:ascii="Verdana" w:eastAsia="Times New Roman" w:hAnsi="Verdana" w:cs="Calibri"/>
                <w:b/>
                <w:bCs/>
                <w:color w:val="FFFFFF"/>
                <w:sz w:val="12"/>
                <w:szCs w:val="12"/>
                <w:lang w:eastAsia="ja-JP"/>
              </w:rPr>
              <w:t xml:space="preserve">                1,123,051 </w:t>
            </w:r>
          </w:p>
        </w:tc>
        <w:tc>
          <w:tcPr>
            <w:tcW w:w="940" w:type="dxa"/>
            <w:tcBorders>
              <w:top w:val="nil"/>
              <w:left w:val="nil"/>
              <w:bottom w:val="single" w:sz="12" w:space="0" w:color="auto"/>
              <w:right w:val="nil"/>
            </w:tcBorders>
            <w:shd w:val="clear" w:color="000000" w:fill="757171"/>
            <w:vAlign w:val="center"/>
            <w:hideMark/>
          </w:tcPr>
          <w:p w14:paraId="10C87778" w14:textId="77777777" w:rsidR="00A04148" w:rsidRPr="00D41BDC" w:rsidRDefault="00A04148" w:rsidP="00B2326F">
            <w:pPr>
              <w:spacing w:line="240" w:lineRule="auto"/>
              <w:jc w:val="right"/>
              <w:rPr>
                <w:rFonts w:ascii="Verdana" w:eastAsia="Times New Roman" w:hAnsi="Verdana" w:cs="Calibri"/>
                <w:b/>
                <w:bCs/>
                <w:color w:val="FFFFFF"/>
                <w:sz w:val="12"/>
                <w:szCs w:val="12"/>
                <w:lang w:eastAsia="ja-JP"/>
              </w:rPr>
            </w:pPr>
            <w:r w:rsidRPr="00D41BDC">
              <w:rPr>
                <w:rFonts w:ascii="Verdana" w:eastAsia="Times New Roman" w:hAnsi="Verdana" w:cs="Calibri"/>
                <w:b/>
                <w:bCs/>
                <w:color w:val="FFFFFF"/>
                <w:sz w:val="12"/>
                <w:szCs w:val="12"/>
                <w:lang w:eastAsia="ja-JP"/>
              </w:rPr>
              <w:t xml:space="preserve">                2,123,051 </w:t>
            </w:r>
          </w:p>
        </w:tc>
        <w:tc>
          <w:tcPr>
            <w:tcW w:w="1254" w:type="dxa"/>
            <w:tcBorders>
              <w:top w:val="nil"/>
              <w:left w:val="nil"/>
              <w:bottom w:val="single" w:sz="12" w:space="0" w:color="auto"/>
              <w:right w:val="single" w:sz="12" w:space="0" w:color="auto"/>
            </w:tcBorders>
            <w:shd w:val="clear" w:color="000000" w:fill="757171"/>
            <w:vAlign w:val="center"/>
            <w:hideMark/>
          </w:tcPr>
          <w:p w14:paraId="759BFDD9" w14:textId="77777777" w:rsidR="00A04148" w:rsidRPr="00D41BDC" w:rsidRDefault="00A04148" w:rsidP="00B2326F">
            <w:pPr>
              <w:spacing w:line="240" w:lineRule="auto"/>
              <w:jc w:val="center"/>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c>
          <w:tcPr>
            <w:tcW w:w="1287" w:type="dxa"/>
            <w:tcBorders>
              <w:top w:val="nil"/>
              <w:left w:val="single" w:sz="12" w:space="0" w:color="auto"/>
              <w:bottom w:val="single" w:sz="12" w:space="0" w:color="auto"/>
              <w:right w:val="single" w:sz="12" w:space="0" w:color="auto"/>
            </w:tcBorders>
            <w:shd w:val="clear" w:color="000000" w:fill="757171"/>
            <w:vAlign w:val="center"/>
            <w:hideMark/>
          </w:tcPr>
          <w:p w14:paraId="7C666411" w14:textId="77777777" w:rsidR="00A04148" w:rsidRPr="00D41BDC" w:rsidRDefault="00A04148" w:rsidP="00B2326F">
            <w:pPr>
              <w:spacing w:line="240" w:lineRule="auto"/>
              <w:rPr>
                <w:rFonts w:ascii="Verdana" w:eastAsia="Times New Roman" w:hAnsi="Verdana" w:cs="Calibri"/>
                <w:b/>
                <w:bCs/>
                <w:color w:val="FFFFFF"/>
                <w:sz w:val="14"/>
                <w:szCs w:val="14"/>
                <w:lang w:eastAsia="ja-JP"/>
              </w:rPr>
            </w:pPr>
            <w:r w:rsidRPr="00D41BDC">
              <w:rPr>
                <w:rFonts w:ascii="Verdana" w:eastAsia="Times New Roman" w:hAnsi="Verdana" w:cs="Calibri"/>
                <w:b/>
                <w:bCs/>
                <w:color w:val="FFFFFF"/>
                <w:sz w:val="14"/>
                <w:szCs w:val="14"/>
                <w:lang w:eastAsia="ja-JP"/>
              </w:rPr>
              <w:t> </w:t>
            </w:r>
          </w:p>
        </w:tc>
      </w:tr>
    </w:tbl>
    <w:p w14:paraId="19661CE6" w14:textId="02FE01F3" w:rsidR="00A04148" w:rsidRPr="003E2544" w:rsidRDefault="00BC72A9" w:rsidP="00245274">
      <w:pPr>
        <w:spacing w:line="240" w:lineRule="auto"/>
        <w:rPr>
          <w:rFonts w:ascii="Verdana" w:eastAsia="Times New Roman" w:hAnsi="Verdana" w:cs="Times New Roman"/>
          <w:b/>
          <w:color w:val="0070C0"/>
          <w:sz w:val="20"/>
          <w:szCs w:val="20"/>
          <w:u w:val="single"/>
          <w:lang w:eastAsia="en-GB"/>
        </w:rPr>
        <w:sectPr w:rsidR="00A04148" w:rsidRPr="003E2544" w:rsidSect="00BC72A9">
          <w:pgSz w:w="15840" w:h="12240" w:orient="landscape"/>
          <w:pgMar w:top="0" w:right="720" w:bottom="720" w:left="720" w:header="720" w:footer="720" w:gutter="0"/>
          <w:cols w:space="720"/>
          <w:titlePg/>
          <w:docGrid w:linePitch="360"/>
        </w:sectPr>
      </w:pPr>
      <w:r>
        <w:rPr>
          <w:rFonts w:ascii="Verdana" w:eastAsia="Times New Roman" w:hAnsi="Verdana" w:cs="Times New Roman"/>
          <w:b/>
          <w:color w:val="0070C0"/>
          <w:sz w:val="20"/>
          <w:szCs w:val="20"/>
          <w:u w:val="single"/>
          <w:lang w:eastAsia="en-GB"/>
        </w:rPr>
        <w:br w:type="page"/>
      </w:r>
    </w:p>
    <w:p w14:paraId="437E8B47" w14:textId="75BB02BE" w:rsidR="00272BF8" w:rsidRPr="003E2544" w:rsidRDefault="00272BF8" w:rsidP="008618F5">
      <w:pPr>
        <w:pStyle w:val="Heading2"/>
        <w:spacing w:line="240" w:lineRule="auto"/>
        <w:rPr>
          <w:lang w:eastAsia="en-GB"/>
        </w:rPr>
      </w:pPr>
      <w:r w:rsidRPr="003E2544">
        <w:rPr>
          <w:lang w:eastAsia="en-GB"/>
        </w:rPr>
        <w:lastRenderedPageBreak/>
        <w:t>Annex 5. Risk Management Plan</w:t>
      </w:r>
    </w:p>
    <w:p w14:paraId="5186E0C6" w14:textId="77777777" w:rsidR="00B077C0" w:rsidRPr="003E2544" w:rsidRDefault="00B077C0" w:rsidP="00245274">
      <w:pPr>
        <w:spacing w:line="240" w:lineRule="auto"/>
        <w:rPr>
          <w:rFonts w:ascii="Verdana" w:hAnsi="Verdana"/>
        </w:rPr>
      </w:pPr>
    </w:p>
    <w:p w14:paraId="3E69F222" w14:textId="77EB3302" w:rsidR="00B077C0" w:rsidRPr="003E2544" w:rsidRDefault="00B077C0" w:rsidP="00245274">
      <w:pPr>
        <w:spacing w:line="240" w:lineRule="auto"/>
        <w:jc w:val="both"/>
        <w:rPr>
          <w:rFonts w:ascii="Verdana" w:hAnsi="Verdana"/>
          <w:sz w:val="20"/>
          <w:szCs w:val="20"/>
        </w:rPr>
      </w:pPr>
      <w:r w:rsidRPr="003E2544">
        <w:rPr>
          <w:rFonts w:ascii="Verdana" w:hAnsi="Verdana"/>
          <w:sz w:val="20"/>
          <w:szCs w:val="20"/>
        </w:rPr>
        <w:t xml:space="preserve">Regular risk monitoring and review </w:t>
      </w:r>
      <w:r w:rsidR="00BB5122" w:rsidRPr="003E2544">
        <w:rPr>
          <w:rFonts w:ascii="Verdana" w:hAnsi="Verdana"/>
          <w:sz w:val="20"/>
          <w:szCs w:val="20"/>
        </w:rPr>
        <w:t>will be</w:t>
      </w:r>
      <w:r w:rsidRPr="003E2544">
        <w:rPr>
          <w:rFonts w:ascii="Verdana" w:hAnsi="Verdana"/>
          <w:sz w:val="20"/>
          <w:szCs w:val="20"/>
        </w:rPr>
        <w:t xml:space="preserve"> conducted to inform management decisions, enabling adaptive management and course corrections. The results of monitoring and review </w:t>
      </w:r>
      <w:r w:rsidR="00FB6A29" w:rsidRPr="003E2544">
        <w:rPr>
          <w:rFonts w:ascii="Verdana" w:hAnsi="Verdana"/>
          <w:sz w:val="20"/>
          <w:szCs w:val="20"/>
        </w:rPr>
        <w:t xml:space="preserve">will </w:t>
      </w:r>
      <w:r w:rsidRPr="003E2544">
        <w:rPr>
          <w:rFonts w:ascii="Verdana" w:hAnsi="Verdana"/>
          <w:sz w:val="20"/>
          <w:szCs w:val="20"/>
        </w:rPr>
        <w:t xml:space="preserve">be recorded and reported as appropriate and be used as a regular input to </w:t>
      </w:r>
      <w:r w:rsidR="00FB6A29" w:rsidRPr="003E2544">
        <w:rPr>
          <w:rFonts w:ascii="Verdana" w:hAnsi="Verdana"/>
          <w:sz w:val="20"/>
          <w:szCs w:val="20"/>
        </w:rPr>
        <w:t>the JP</w:t>
      </w:r>
      <w:r w:rsidRPr="003E2544">
        <w:rPr>
          <w:rFonts w:ascii="Verdana" w:hAnsi="Verdana"/>
          <w:sz w:val="20"/>
          <w:szCs w:val="20"/>
        </w:rPr>
        <w:t xml:space="preserve"> and </w:t>
      </w:r>
      <w:r w:rsidR="00FB6A29" w:rsidRPr="003E2544">
        <w:rPr>
          <w:rFonts w:ascii="Verdana" w:hAnsi="Verdana"/>
          <w:sz w:val="20"/>
          <w:szCs w:val="20"/>
        </w:rPr>
        <w:t>its</w:t>
      </w:r>
      <w:r w:rsidRPr="003E2544">
        <w:rPr>
          <w:rFonts w:ascii="Verdana" w:hAnsi="Verdana"/>
          <w:sz w:val="20"/>
          <w:szCs w:val="20"/>
        </w:rPr>
        <w:t xml:space="preserve"> management decisions, audits, and organizational performance.</w:t>
      </w:r>
    </w:p>
    <w:p w14:paraId="49597B5D" w14:textId="77777777" w:rsidR="00652FAE" w:rsidRPr="003E2544" w:rsidRDefault="00652FAE" w:rsidP="00245274">
      <w:pPr>
        <w:spacing w:line="240" w:lineRule="auto"/>
        <w:jc w:val="both"/>
        <w:rPr>
          <w:rFonts w:ascii="Verdana" w:hAnsi="Verdana"/>
          <w:sz w:val="20"/>
          <w:szCs w:val="20"/>
        </w:rPr>
      </w:pPr>
    </w:p>
    <w:p w14:paraId="017AD2E7" w14:textId="0F809784" w:rsidR="00B077C0" w:rsidRPr="003E2544" w:rsidRDefault="00B077C0" w:rsidP="00245274">
      <w:pPr>
        <w:spacing w:line="240" w:lineRule="auto"/>
        <w:jc w:val="both"/>
        <w:rPr>
          <w:rFonts w:ascii="Verdana" w:hAnsi="Verdana"/>
          <w:sz w:val="20"/>
          <w:szCs w:val="20"/>
        </w:rPr>
      </w:pPr>
      <w:r w:rsidRPr="003E2544">
        <w:rPr>
          <w:rFonts w:ascii="Verdana" w:hAnsi="Verdana"/>
          <w:sz w:val="20"/>
          <w:szCs w:val="20"/>
        </w:rPr>
        <w:t xml:space="preserve">In case of threats to organizational objectives, risk treatment </w:t>
      </w:r>
      <w:r w:rsidR="00652FAE" w:rsidRPr="003E2544">
        <w:rPr>
          <w:rFonts w:ascii="Verdana" w:hAnsi="Verdana"/>
          <w:sz w:val="20"/>
          <w:szCs w:val="20"/>
        </w:rPr>
        <w:t>will</w:t>
      </w:r>
      <w:r w:rsidRPr="003E2544">
        <w:rPr>
          <w:rFonts w:ascii="Verdana" w:hAnsi="Verdana"/>
          <w:sz w:val="20"/>
          <w:szCs w:val="20"/>
        </w:rPr>
        <w:t xml:space="preserve"> be of four types: terminate (seeking to eliminate activity that triggers such a risk), transfer (passing ownership and/or liability to a third party), mitigate (reducing the likelihood and/or impact of the risk below the threshold of acceptability), and tolerate (tolerating the risk level). </w:t>
      </w:r>
    </w:p>
    <w:p w14:paraId="5FF9A582" w14:textId="77777777" w:rsidR="00B077C0" w:rsidRPr="003E2544" w:rsidRDefault="00B077C0" w:rsidP="00245274">
      <w:pPr>
        <w:spacing w:line="240" w:lineRule="auto"/>
        <w:jc w:val="both"/>
        <w:rPr>
          <w:rFonts w:ascii="Verdana" w:hAnsi="Verdana"/>
          <w:sz w:val="20"/>
          <w:szCs w:val="20"/>
        </w:rPr>
      </w:pPr>
    </w:p>
    <w:p w14:paraId="074F51E9" w14:textId="2F355FDE" w:rsidR="00B077C0" w:rsidRDefault="00B077C0" w:rsidP="00245274">
      <w:pPr>
        <w:spacing w:line="240" w:lineRule="auto"/>
        <w:jc w:val="both"/>
        <w:rPr>
          <w:rFonts w:ascii="Verdana" w:hAnsi="Verdana"/>
          <w:sz w:val="20"/>
          <w:szCs w:val="20"/>
        </w:rPr>
      </w:pPr>
      <w:r w:rsidRPr="003E2544">
        <w:rPr>
          <w:rFonts w:ascii="Verdana" w:hAnsi="Verdana"/>
          <w:sz w:val="20"/>
          <w:szCs w:val="20"/>
        </w:rPr>
        <w:t xml:space="preserve">All risks are assigned </w:t>
      </w:r>
      <w:r w:rsidR="009D11C9" w:rsidRPr="003E2544">
        <w:rPr>
          <w:rFonts w:ascii="Verdana" w:hAnsi="Verdana"/>
          <w:sz w:val="20"/>
          <w:szCs w:val="20"/>
        </w:rPr>
        <w:t>with</w:t>
      </w:r>
      <w:r w:rsidR="001514DA" w:rsidRPr="003E2544">
        <w:rPr>
          <w:rFonts w:ascii="Verdana" w:hAnsi="Verdana"/>
          <w:sz w:val="20"/>
          <w:szCs w:val="20"/>
        </w:rPr>
        <w:t xml:space="preserve"> Responsible Organization/Person</w:t>
      </w:r>
      <w:r w:rsidRPr="003E2544">
        <w:rPr>
          <w:rFonts w:ascii="Verdana" w:hAnsi="Verdana"/>
          <w:sz w:val="20"/>
          <w:szCs w:val="20"/>
        </w:rPr>
        <w:t>, the individual who is ultimately accountable for ensuring the risk is managed appropriately</w:t>
      </w:r>
      <w:r w:rsidR="00CB0AFB" w:rsidRPr="003E2544">
        <w:rPr>
          <w:rFonts w:ascii="Verdana" w:hAnsi="Verdana"/>
          <w:sz w:val="20"/>
          <w:szCs w:val="20"/>
        </w:rPr>
        <w:t xml:space="preserve"> and</w:t>
      </w:r>
      <w:r w:rsidRPr="003E2544">
        <w:rPr>
          <w:rFonts w:ascii="Verdana" w:hAnsi="Verdana"/>
          <w:sz w:val="20"/>
          <w:szCs w:val="20"/>
        </w:rPr>
        <w:t xml:space="preserve"> executing the risk </w:t>
      </w:r>
      <w:r w:rsidR="008372D6" w:rsidRPr="003E2544">
        <w:rPr>
          <w:rFonts w:ascii="Verdana" w:hAnsi="Verdana"/>
          <w:sz w:val="20"/>
          <w:szCs w:val="20"/>
        </w:rPr>
        <w:t>mitigating measures</w:t>
      </w:r>
      <w:r w:rsidRPr="003E2544">
        <w:rPr>
          <w:rFonts w:ascii="Verdana" w:hAnsi="Verdana"/>
          <w:sz w:val="20"/>
          <w:szCs w:val="20"/>
        </w:rPr>
        <w:t>. Ownership is assigned based on the principle of who is ‘best suited’ to take accountability for managing the risk, noting that many people may need to be involved.</w:t>
      </w:r>
      <w:r w:rsidR="008372D6" w:rsidRPr="003E2544">
        <w:rPr>
          <w:rFonts w:ascii="Verdana" w:hAnsi="Verdana"/>
          <w:sz w:val="20"/>
          <w:szCs w:val="20"/>
        </w:rPr>
        <w:t xml:space="preserve"> The risk monitoring and review will be done quarterly using the risk matrix below.</w:t>
      </w:r>
    </w:p>
    <w:p w14:paraId="2DABA5FC" w14:textId="2D0B8253" w:rsidR="003B1C02" w:rsidRDefault="003B1C02" w:rsidP="00245274">
      <w:pPr>
        <w:spacing w:line="240" w:lineRule="auto"/>
        <w:jc w:val="both"/>
        <w:rPr>
          <w:rFonts w:ascii="Verdana" w:hAnsi="Verdana"/>
          <w:sz w:val="20"/>
          <w:szCs w:val="20"/>
        </w:rPr>
      </w:pPr>
    </w:p>
    <w:tbl>
      <w:tblPr>
        <w:tblStyle w:val="TableGrid"/>
        <w:tblW w:w="0" w:type="auto"/>
        <w:jc w:val="center"/>
        <w:tblLayout w:type="fixed"/>
        <w:tblLook w:val="04A0" w:firstRow="1" w:lastRow="0" w:firstColumn="1" w:lastColumn="0" w:noHBand="0" w:noVBand="1"/>
      </w:tblPr>
      <w:tblGrid>
        <w:gridCol w:w="1834"/>
        <w:gridCol w:w="1131"/>
        <w:gridCol w:w="1222"/>
        <w:gridCol w:w="1208"/>
        <w:gridCol w:w="2700"/>
        <w:gridCol w:w="1255"/>
      </w:tblGrid>
      <w:tr w:rsidR="003B1C02" w:rsidRPr="003455B0" w14:paraId="7A92D4C3" w14:textId="77777777" w:rsidTr="00D66711">
        <w:trPr>
          <w:tblHeader/>
          <w:jc w:val="center"/>
        </w:trPr>
        <w:tc>
          <w:tcPr>
            <w:tcW w:w="1834" w:type="dxa"/>
            <w:shd w:val="clear" w:color="auto" w:fill="BDD6EE" w:themeFill="accent5" w:themeFillTint="66"/>
            <w:vAlign w:val="center"/>
          </w:tcPr>
          <w:p w14:paraId="0C9AD736" w14:textId="77777777" w:rsidR="003B1C02" w:rsidRPr="008618F5" w:rsidRDefault="003B1C02" w:rsidP="009D3197">
            <w:pPr>
              <w:spacing w:line="240" w:lineRule="auto"/>
              <w:jc w:val="both"/>
              <w:rPr>
                <w:rFonts w:ascii="Verdana" w:eastAsia="Cambria" w:hAnsi="Verdana" w:cs="Calibri"/>
                <w:b/>
                <w:color w:val="auto"/>
                <w:sz w:val="24"/>
                <w:szCs w:val="24"/>
              </w:rPr>
            </w:pPr>
            <w:r w:rsidRPr="008618F5">
              <w:rPr>
                <w:rFonts w:ascii="Verdana" w:eastAsia="Cambria" w:hAnsi="Verdana" w:cs="Calibri"/>
                <w:b/>
                <w:color w:val="auto"/>
                <w:sz w:val="24"/>
                <w:szCs w:val="24"/>
              </w:rPr>
              <w:t>Risks</w:t>
            </w:r>
          </w:p>
        </w:tc>
        <w:tc>
          <w:tcPr>
            <w:tcW w:w="1131" w:type="dxa"/>
            <w:shd w:val="clear" w:color="auto" w:fill="BDD6EE" w:themeFill="accent5" w:themeFillTint="66"/>
            <w:vAlign w:val="center"/>
          </w:tcPr>
          <w:p w14:paraId="2B3EEAE4" w14:textId="77777777" w:rsidR="003B1C02" w:rsidRPr="008618F5" w:rsidRDefault="003B1C02" w:rsidP="009D3197">
            <w:pPr>
              <w:spacing w:line="240" w:lineRule="auto"/>
              <w:jc w:val="both"/>
              <w:rPr>
                <w:rFonts w:ascii="Verdana" w:eastAsia="Cambria" w:hAnsi="Verdana" w:cs="Calibri"/>
                <w:color w:val="auto"/>
                <w:sz w:val="16"/>
                <w:szCs w:val="24"/>
              </w:rPr>
            </w:pPr>
            <w:r w:rsidRPr="008618F5">
              <w:rPr>
                <w:rFonts w:ascii="Verdana" w:eastAsia="Cambria" w:hAnsi="Verdana" w:cs="Calibri"/>
                <w:b/>
                <w:color w:val="auto"/>
                <w:sz w:val="20"/>
                <w:szCs w:val="24"/>
              </w:rPr>
              <w:t>Risk Level:</w:t>
            </w:r>
          </w:p>
          <w:p w14:paraId="27C5F01E" w14:textId="77777777" w:rsidR="003B1C02" w:rsidRPr="008618F5" w:rsidRDefault="003B1C02" w:rsidP="009D3197">
            <w:pPr>
              <w:spacing w:line="240" w:lineRule="auto"/>
              <w:rPr>
                <w:rFonts w:ascii="Verdana" w:eastAsia="Cambria" w:hAnsi="Verdana" w:cs="Calibri"/>
                <w:color w:val="auto"/>
                <w:sz w:val="12"/>
              </w:rPr>
            </w:pPr>
            <w:r w:rsidRPr="008618F5">
              <w:rPr>
                <w:rFonts w:ascii="Verdana" w:eastAsia="Cambria" w:hAnsi="Verdana" w:cs="Calibri"/>
                <w:color w:val="auto"/>
                <w:sz w:val="12"/>
              </w:rPr>
              <w:t>(Likelihood x Impact)</w:t>
            </w:r>
          </w:p>
        </w:tc>
        <w:tc>
          <w:tcPr>
            <w:tcW w:w="1222" w:type="dxa"/>
            <w:shd w:val="clear" w:color="auto" w:fill="BDD6EE" w:themeFill="accent5" w:themeFillTint="66"/>
            <w:vAlign w:val="center"/>
          </w:tcPr>
          <w:p w14:paraId="6F9966B8" w14:textId="77777777" w:rsidR="003B1C02" w:rsidRPr="008618F5" w:rsidRDefault="003B1C02" w:rsidP="009D3197">
            <w:pPr>
              <w:spacing w:line="240" w:lineRule="auto"/>
              <w:rPr>
                <w:rFonts w:ascii="Verdana" w:eastAsia="Calibri" w:hAnsi="Verdana" w:cs="Calibri"/>
                <w:b/>
                <w:color w:val="auto"/>
                <w:szCs w:val="24"/>
              </w:rPr>
            </w:pPr>
            <w:r w:rsidRPr="008618F5">
              <w:rPr>
                <w:rFonts w:ascii="Verdana" w:eastAsia="Calibri" w:hAnsi="Verdana" w:cs="Calibri"/>
                <w:b/>
                <w:color w:val="auto"/>
                <w:sz w:val="20"/>
                <w:szCs w:val="24"/>
              </w:rPr>
              <w:t>Likelihood:</w:t>
            </w:r>
            <w:r w:rsidRPr="008618F5">
              <w:rPr>
                <w:rFonts w:ascii="Verdana" w:eastAsia="Calibri" w:hAnsi="Verdana" w:cs="Calibri"/>
                <w:b/>
                <w:color w:val="auto"/>
                <w:szCs w:val="24"/>
              </w:rPr>
              <w:t xml:space="preserve"> </w:t>
            </w:r>
          </w:p>
          <w:p w14:paraId="6B06870B" w14:textId="77777777" w:rsidR="003B1C02" w:rsidRPr="008618F5" w:rsidRDefault="003B1C02" w:rsidP="009D3197">
            <w:pPr>
              <w:spacing w:line="240" w:lineRule="auto"/>
              <w:rPr>
                <w:rFonts w:ascii="Verdana" w:eastAsia="Calibri" w:hAnsi="Verdana" w:cs="Calibri"/>
                <w:color w:val="auto"/>
                <w:sz w:val="12"/>
              </w:rPr>
            </w:pPr>
            <w:r w:rsidRPr="008618F5">
              <w:rPr>
                <w:rFonts w:ascii="Verdana" w:eastAsia="Calibri" w:hAnsi="Verdana" w:cs="Calibri"/>
                <w:color w:val="auto"/>
                <w:sz w:val="12"/>
              </w:rPr>
              <w:t>Certain - 5</w:t>
            </w:r>
          </w:p>
          <w:p w14:paraId="7477A7E8" w14:textId="77777777" w:rsidR="003B1C02" w:rsidRPr="008618F5" w:rsidRDefault="003B1C02" w:rsidP="009D3197">
            <w:pPr>
              <w:spacing w:line="240" w:lineRule="auto"/>
              <w:rPr>
                <w:rFonts w:ascii="Verdana" w:eastAsia="Calibri" w:hAnsi="Verdana" w:cs="Calibri"/>
                <w:color w:val="auto"/>
                <w:sz w:val="12"/>
              </w:rPr>
            </w:pPr>
            <w:r w:rsidRPr="008618F5">
              <w:rPr>
                <w:rFonts w:ascii="Verdana" w:eastAsia="Calibri" w:hAnsi="Verdana" w:cs="Calibri"/>
                <w:color w:val="auto"/>
                <w:sz w:val="12"/>
              </w:rPr>
              <w:t>Likely - 4</w:t>
            </w:r>
          </w:p>
          <w:p w14:paraId="2D715350" w14:textId="77777777" w:rsidR="003B1C02" w:rsidRPr="008618F5" w:rsidRDefault="003B1C02" w:rsidP="009D3197">
            <w:pPr>
              <w:spacing w:line="240" w:lineRule="auto"/>
              <w:rPr>
                <w:rFonts w:ascii="Verdana" w:eastAsia="Calibri" w:hAnsi="Verdana" w:cs="Calibri"/>
                <w:color w:val="auto"/>
                <w:sz w:val="12"/>
              </w:rPr>
            </w:pPr>
            <w:r w:rsidRPr="008618F5">
              <w:rPr>
                <w:rFonts w:ascii="Verdana" w:eastAsia="Calibri" w:hAnsi="Verdana" w:cs="Calibri"/>
                <w:color w:val="auto"/>
                <w:sz w:val="12"/>
              </w:rPr>
              <w:t>Possible - 3</w:t>
            </w:r>
          </w:p>
          <w:p w14:paraId="6F95EA6B" w14:textId="77777777" w:rsidR="003B1C02" w:rsidRPr="008618F5" w:rsidRDefault="003B1C02" w:rsidP="009D3197">
            <w:pPr>
              <w:spacing w:line="240" w:lineRule="auto"/>
              <w:rPr>
                <w:rFonts w:ascii="Verdana" w:eastAsia="Calibri" w:hAnsi="Verdana" w:cs="Calibri"/>
                <w:color w:val="auto"/>
                <w:sz w:val="12"/>
              </w:rPr>
            </w:pPr>
            <w:r w:rsidRPr="008618F5">
              <w:rPr>
                <w:rFonts w:ascii="Verdana" w:eastAsia="Calibri" w:hAnsi="Verdana" w:cs="Calibri"/>
                <w:color w:val="auto"/>
                <w:sz w:val="12"/>
              </w:rPr>
              <w:t>Unlikely - 2</w:t>
            </w:r>
          </w:p>
          <w:p w14:paraId="654EFA36" w14:textId="77777777" w:rsidR="003B1C02" w:rsidRPr="008618F5" w:rsidRDefault="003B1C02" w:rsidP="009D3197">
            <w:pPr>
              <w:spacing w:line="240" w:lineRule="auto"/>
              <w:rPr>
                <w:rFonts w:ascii="Verdana" w:eastAsia="Times New Roman" w:hAnsi="Verdana" w:cs="Times New Roman"/>
                <w:color w:val="auto"/>
                <w:sz w:val="24"/>
                <w:szCs w:val="24"/>
                <w:lang w:eastAsia="en-GB"/>
              </w:rPr>
            </w:pPr>
            <w:r w:rsidRPr="008618F5">
              <w:rPr>
                <w:rFonts w:ascii="Verdana" w:eastAsia="Calibri" w:hAnsi="Verdana" w:cs="Calibri"/>
                <w:color w:val="auto"/>
                <w:sz w:val="12"/>
              </w:rPr>
              <w:t>Rare – 1</w:t>
            </w:r>
          </w:p>
        </w:tc>
        <w:tc>
          <w:tcPr>
            <w:tcW w:w="1208" w:type="dxa"/>
            <w:shd w:val="clear" w:color="auto" w:fill="BDD6EE" w:themeFill="accent5" w:themeFillTint="66"/>
            <w:vAlign w:val="center"/>
          </w:tcPr>
          <w:p w14:paraId="21E1E6D3" w14:textId="77777777" w:rsidR="003B1C02" w:rsidRPr="008618F5" w:rsidRDefault="003B1C02" w:rsidP="009D3197">
            <w:pPr>
              <w:spacing w:line="240" w:lineRule="auto"/>
              <w:rPr>
                <w:rFonts w:ascii="Verdana" w:eastAsia="Calibri" w:hAnsi="Verdana" w:cs="Calibri"/>
                <w:b/>
                <w:color w:val="auto"/>
                <w:sz w:val="20"/>
                <w:szCs w:val="24"/>
              </w:rPr>
            </w:pPr>
            <w:r w:rsidRPr="008618F5">
              <w:rPr>
                <w:rFonts w:ascii="Verdana" w:eastAsia="Calibri" w:hAnsi="Verdana" w:cs="Calibri"/>
                <w:b/>
                <w:color w:val="auto"/>
                <w:sz w:val="20"/>
                <w:szCs w:val="24"/>
              </w:rPr>
              <w:t xml:space="preserve">Impact: </w:t>
            </w:r>
          </w:p>
          <w:p w14:paraId="7260F422" w14:textId="77777777" w:rsidR="003B1C02" w:rsidRPr="008618F5" w:rsidRDefault="003B1C02" w:rsidP="009D3197">
            <w:pPr>
              <w:spacing w:line="240" w:lineRule="auto"/>
              <w:jc w:val="both"/>
              <w:rPr>
                <w:rFonts w:ascii="Verdana" w:eastAsia="Cambria" w:hAnsi="Verdana" w:cs="Calibri"/>
                <w:color w:val="auto"/>
                <w:sz w:val="12"/>
              </w:rPr>
            </w:pPr>
            <w:r w:rsidRPr="008618F5">
              <w:rPr>
                <w:rFonts w:ascii="Verdana" w:eastAsia="Cambria" w:hAnsi="Verdana" w:cs="Calibri"/>
                <w:color w:val="auto"/>
                <w:sz w:val="12"/>
              </w:rPr>
              <w:t>Essential – 5</w:t>
            </w:r>
          </w:p>
          <w:p w14:paraId="0C82A122" w14:textId="77777777" w:rsidR="003B1C02" w:rsidRPr="008618F5" w:rsidRDefault="003B1C02" w:rsidP="009D3197">
            <w:pPr>
              <w:spacing w:line="240" w:lineRule="auto"/>
              <w:jc w:val="both"/>
              <w:rPr>
                <w:rFonts w:ascii="Verdana" w:eastAsia="Cambria" w:hAnsi="Verdana" w:cs="Calibri"/>
                <w:color w:val="auto"/>
                <w:sz w:val="12"/>
              </w:rPr>
            </w:pPr>
            <w:r w:rsidRPr="008618F5">
              <w:rPr>
                <w:rFonts w:ascii="Verdana" w:eastAsia="Cambria" w:hAnsi="Verdana" w:cs="Calibri"/>
                <w:color w:val="auto"/>
                <w:sz w:val="12"/>
              </w:rPr>
              <w:t>Major - 4</w:t>
            </w:r>
          </w:p>
          <w:p w14:paraId="0A6C54AB" w14:textId="77777777" w:rsidR="003B1C02" w:rsidRPr="008618F5" w:rsidRDefault="003B1C02" w:rsidP="009D3197">
            <w:pPr>
              <w:spacing w:line="240" w:lineRule="auto"/>
              <w:jc w:val="both"/>
              <w:rPr>
                <w:rFonts w:ascii="Verdana" w:eastAsia="Cambria" w:hAnsi="Verdana" w:cs="Calibri"/>
                <w:color w:val="auto"/>
                <w:sz w:val="12"/>
              </w:rPr>
            </w:pPr>
            <w:r w:rsidRPr="008618F5">
              <w:rPr>
                <w:rFonts w:ascii="Verdana" w:eastAsia="Cambria" w:hAnsi="Verdana" w:cs="Calibri"/>
                <w:color w:val="auto"/>
                <w:sz w:val="12"/>
              </w:rPr>
              <w:t>Moderate - 3</w:t>
            </w:r>
          </w:p>
          <w:p w14:paraId="78F8EA40" w14:textId="77777777" w:rsidR="003B1C02" w:rsidRPr="008618F5" w:rsidRDefault="003B1C02" w:rsidP="009D3197">
            <w:pPr>
              <w:spacing w:line="240" w:lineRule="auto"/>
              <w:jc w:val="both"/>
              <w:rPr>
                <w:rFonts w:ascii="Verdana" w:eastAsia="Cambria" w:hAnsi="Verdana" w:cs="Calibri"/>
                <w:color w:val="auto"/>
                <w:sz w:val="12"/>
              </w:rPr>
            </w:pPr>
            <w:r w:rsidRPr="008618F5">
              <w:rPr>
                <w:rFonts w:ascii="Verdana" w:eastAsia="Cambria" w:hAnsi="Verdana" w:cs="Calibri"/>
                <w:color w:val="auto"/>
                <w:sz w:val="12"/>
              </w:rPr>
              <w:t>Minor - 2</w:t>
            </w:r>
          </w:p>
          <w:p w14:paraId="003F9A0E" w14:textId="77777777" w:rsidR="003B1C02" w:rsidRPr="008618F5" w:rsidRDefault="003B1C02" w:rsidP="009D3197">
            <w:pPr>
              <w:spacing w:line="240" w:lineRule="auto"/>
              <w:jc w:val="both"/>
              <w:rPr>
                <w:rFonts w:ascii="Verdana" w:eastAsia="Cambria" w:hAnsi="Verdana" w:cs="Calibri"/>
                <w:color w:val="auto"/>
                <w:sz w:val="18"/>
                <w:szCs w:val="24"/>
              </w:rPr>
            </w:pPr>
            <w:r w:rsidRPr="008618F5">
              <w:rPr>
                <w:rFonts w:ascii="Verdana" w:eastAsia="Cambria" w:hAnsi="Verdana" w:cs="Calibri"/>
                <w:color w:val="auto"/>
                <w:sz w:val="12"/>
              </w:rPr>
              <w:t>Insignificant - 1</w:t>
            </w:r>
          </w:p>
        </w:tc>
        <w:tc>
          <w:tcPr>
            <w:tcW w:w="2700" w:type="dxa"/>
            <w:shd w:val="clear" w:color="auto" w:fill="BDD6EE" w:themeFill="accent5" w:themeFillTint="66"/>
            <w:vAlign w:val="center"/>
          </w:tcPr>
          <w:p w14:paraId="2305C7DB" w14:textId="77777777" w:rsidR="003B1C02" w:rsidRPr="008618F5" w:rsidRDefault="003B1C02" w:rsidP="009D3197">
            <w:pPr>
              <w:spacing w:line="240" w:lineRule="auto"/>
              <w:jc w:val="center"/>
              <w:rPr>
                <w:rFonts w:ascii="Verdana" w:eastAsia="Cambria" w:hAnsi="Verdana" w:cs="Calibri"/>
                <w:b/>
                <w:color w:val="auto"/>
                <w:sz w:val="20"/>
                <w:szCs w:val="24"/>
              </w:rPr>
            </w:pPr>
            <w:r w:rsidRPr="008618F5">
              <w:rPr>
                <w:rFonts w:ascii="Verdana" w:eastAsia="Cambria" w:hAnsi="Verdana" w:cs="Calibri"/>
                <w:b/>
                <w:color w:val="auto"/>
                <w:sz w:val="20"/>
                <w:szCs w:val="24"/>
              </w:rPr>
              <w:t>Mitigating measures</w:t>
            </w:r>
          </w:p>
        </w:tc>
        <w:tc>
          <w:tcPr>
            <w:tcW w:w="1255" w:type="dxa"/>
            <w:shd w:val="clear" w:color="auto" w:fill="BDD6EE" w:themeFill="accent5" w:themeFillTint="66"/>
            <w:vAlign w:val="center"/>
          </w:tcPr>
          <w:p w14:paraId="2FD0DBF3" w14:textId="77777777" w:rsidR="003B1C02" w:rsidRPr="008618F5" w:rsidRDefault="003B1C02" w:rsidP="009D3197">
            <w:pPr>
              <w:spacing w:line="240" w:lineRule="auto"/>
              <w:jc w:val="center"/>
              <w:rPr>
                <w:rFonts w:ascii="Verdana" w:eastAsia="Times New Roman" w:hAnsi="Verdana" w:cs="Times New Roman"/>
                <w:color w:val="auto"/>
                <w:sz w:val="24"/>
                <w:szCs w:val="24"/>
                <w:lang w:eastAsia="en-GB"/>
              </w:rPr>
            </w:pPr>
            <w:r w:rsidRPr="008618F5">
              <w:rPr>
                <w:rFonts w:ascii="Verdana" w:eastAsia="Cambria" w:hAnsi="Verdana" w:cs="Calibri"/>
                <w:b/>
                <w:color w:val="auto"/>
                <w:sz w:val="18"/>
                <w:szCs w:val="24"/>
              </w:rPr>
              <w:t>Responsible Org./Person</w:t>
            </w:r>
          </w:p>
        </w:tc>
      </w:tr>
      <w:tr w:rsidR="003B1C02" w:rsidRPr="003455B0" w14:paraId="0C688F07" w14:textId="77777777" w:rsidTr="009D3197">
        <w:trPr>
          <w:jc w:val="center"/>
        </w:trPr>
        <w:tc>
          <w:tcPr>
            <w:tcW w:w="9350" w:type="dxa"/>
            <w:gridSpan w:val="6"/>
            <w:vAlign w:val="center"/>
          </w:tcPr>
          <w:p w14:paraId="6DF934B9" w14:textId="77777777" w:rsidR="003B1C02" w:rsidRPr="008618F5" w:rsidRDefault="003B1C02" w:rsidP="009D3197">
            <w:pPr>
              <w:spacing w:line="240" w:lineRule="auto"/>
              <w:rPr>
                <w:rFonts w:ascii="Verdana" w:eastAsia="Times New Roman" w:hAnsi="Verdana" w:cs="Times New Roman"/>
                <w:b/>
                <w:bCs/>
                <w:color w:val="auto"/>
                <w:sz w:val="18"/>
                <w:szCs w:val="18"/>
                <w:lang w:eastAsia="en-GB"/>
              </w:rPr>
            </w:pPr>
            <w:r w:rsidRPr="008618F5">
              <w:rPr>
                <w:rFonts w:ascii="Verdana" w:eastAsia="Times New Roman" w:hAnsi="Verdana" w:cs="Times New Roman"/>
                <w:b/>
                <w:bCs/>
                <w:color w:val="auto"/>
                <w:sz w:val="18"/>
                <w:szCs w:val="18"/>
                <w:lang w:eastAsia="en-GB"/>
              </w:rPr>
              <w:t>Contextual risks</w:t>
            </w:r>
          </w:p>
        </w:tc>
      </w:tr>
      <w:tr w:rsidR="003B1C02" w:rsidRPr="003455B0" w14:paraId="5BEB8CF0" w14:textId="77777777" w:rsidTr="009D3197">
        <w:trPr>
          <w:jc w:val="center"/>
        </w:trPr>
        <w:tc>
          <w:tcPr>
            <w:tcW w:w="1834" w:type="dxa"/>
            <w:vAlign w:val="center"/>
          </w:tcPr>
          <w:p w14:paraId="2243AFB9"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hAnsi="Verdana"/>
                <w:color w:val="auto"/>
                <w:sz w:val="18"/>
                <w:szCs w:val="18"/>
              </w:rPr>
              <w:t>Political tension and civil unrest</w:t>
            </w:r>
          </w:p>
        </w:tc>
        <w:tc>
          <w:tcPr>
            <w:tcW w:w="1131" w:type="dxa"/>
            <w:vAlign w:val="center"/>
          </w:tcPr>
          <w:p w14:paraId="19B91E2E" w14:textId="22653853"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6</w:t>
            </w:r>
          </w:p>
        </w:tc>
        <w:tc>
          <w:tcPr>
            <w:tcW w:w="1222" w:type="dxa"/>
            <w:vAlign w:val="center"/>
          </w:tcPr>
          <w:p w14:paraId="6DC7999C" w14:textId="202E8106"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2</w:t>
            </w:r>
          </w:p>
        </w:tc>
        <w:tc>
          <w:tcPr>
            <w:tcW w:w="1208" w:type="dxa"/>
            <w:vAlign w:val="center"/>
          </w:tcPr>
          <w:p w14:paraId="1D5CD9C7" w14:textId="331897DA"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3</w:t>
            </w:r>
          </w:p>
        </w:tc>
        <w:tc>
          <w:tcPr>
            <w:tcW w:w="2700" w:type="dxa"/>
            <w:vAlign w:val="center"/>
          </w:tcPr>
          <w:p w14:paraId="0E1B748C"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hAnsi="Verdana"/>
                <w:color w:val="auto"/>
                <w:sz w:val="18"/>
                <w:szCs w:val="18"/>
              </w:rPr>
              <w:t>In case of a severe breakout of armed conflict, the JP activities will be relocated to other locations with a quick assessment of the target location.</w:t>
            </w:r>
          </w:p>
        </w:tc>
        <w:tc>
          <w:tcPr>
            <w:tcW w:w="1255" w:type="dxa"/>
            <w:vAlign w:val="center"/>
          </w:tcPr>
          <w:p w14:paraId="4E52DCC0"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PUNO, RCO</w:t>
            </w:r>
          </w:p>
        </w:tc>
      </w:tr>
      <w:tr w:rsidR="007B24DB" w:rsidRPr="003455B0" w14:paraId="27AB93B0" w14:textId="77777777" w:rsidTr="009D3197">
        <w:trPr>
          <w:jc w:val="center"/>
        </w:trPr>
        <w:tc>
          <w:tcPr>
            <w:tcW w:w="1834" w:type="dxa"/>
            <w:vAlign w:val="center"/>
          </w:tcPr>
          <w:p w14:paraId="70B6E228" w14:textId="7C4D80A1" w:rsidR="007B24DB" w:rsidRPr="00B40D9E" w:rsidRDefault="007B24DB" w:rsidP="009D3197">
            <w:pPr>
              <w:spacing w:line="240" w:lineRule="auto"/>
              <w:rPr>
                <w:rFonts w:ascii="Verdana" w:hAnsi="Verdana"/>
                <w:color w:val="auto"/>
                <w:sz w:val="18"/>
                <w:szCs w:val="18"/>
              </w:rPr>
            </w:pPr>
            <w:r w:rsidRPr="00B40D9E">
              <w:rPr>
                <w:rFonts w:ascii="Verdana" w:hAnsi="Verdana"/>
                <w:color w:val="auto"/>
                <w:sz w:val="18"/>
                <w:szCs w:val="18"/>
              </w:rPr>
              <w:t>Impact of global COVID 19 health pandemic and economic</w:t>
            </w:r>
          </w:p>
        </w:tc>
        <w:tc>
          <w:tcPr>
            <w:tcW w:w="1131" w:type="dxa"/>
            <w:vAlign w:val="center"/>
          </w:tcPr>
          <w:p w14:paraId="330F1E21" w14:textId="1232FF0C" w:rsidR="007B24DB" w:rsidRPr="00B40D9E" w:rsidRDefault="007B24DB" w:rsidP="009D3197">
            <w:pPr>
              <w:spacing w:line="240" w:lineRule="auto"/>
              <w:jc w:val="center"/>
              <w:rPr>
                <w:rFonts w:ascii="Verdana" w:hAnsi="Verdana"/>
                <w:color w:val="auto"/>
                <w:sz w:val="18"/>
                <w:szCs w:val="18"/>
              </w:rPr>
            </w:pPr>
            <w:r w:rsidRPr="007B24DB">
              <w:rPr>
                <w:rFonts w:ascii="Verdana" w:hAnsi="Verdana"/>
                <w:color w:val="auto"/>
                <w:sz w:val="18"/>
                <w:szCs w:val="18"/>
              </w:rPr>
              <w:t>25</w:t>
            </w:r>
          </w:p>
        </w:tc>
        <w:tc>
          <w:tcPr>
            <w:tcW w:w="1222" w:type="dxa"/>
            <w:vAlign w:val="center"/>
          </w:tcPr>
          <w:p w14:paraId="6603ACBB" w14:textId="4E8222C1" w:rsidR="007B24DB" w:rsidRPr="00B40D9E" w:rsidRDefault="007B24DB" w:rsidP="009D3197">
            <w:pPr>
              <w:spacing w:line="240" w:lineRule="auto"/>
              <w:jc w:val="center"/>
              <w:rPr>
                <w:rFonts w:ascii="Verdana" w:hAnsi="Verdana"/>
                <w:color w:val="auto"/>
                <w:sz w:val="18"/>
                <w:szCs w:val="18"/>
              </w:rPr>
            </w:pPr>
            <w:r w:rsidRPr="00B40D9E">
              <w:rPr>
                <w:rFonts w:ascii="Verdana" w:hAnsi="Verdana"/>
                <w:color w:val="auto"/>
                <w:sz w:val="18"/>
                <w:szCs w:val="18"/>
              </w:rPr>
              <w:t>5</w:t>
            </w:r>
          </w:p>
        </w:tc>
        <w:tc>
          <w:tcPr>
            <w:tcW w:w="1208" w:type="dxa"/>
            <w:vAlign w:val="center"/>
          </w:tcPr>
          <w:p w14:paraId="36066C7C" w14:textId="01171548" w:rsidR="007B24DB" w:rsidRPr="00B40D9E" w:rsidRDefault="007B24DB" w:rsidP="009D3197">
            <w:pPr>
              <w:spacing w:line="240" w:lineRule="auto"/>
              <w:jc w:val="center"/>
              <w:rPr>
                <w:rFonts w:ascii="Verdana" w:hAnsi="Verdana"/>
                <w:color w:val="auto"/>
                <w:sz w:val="18"/>
                <w:szCs w:val="18"/>
              </w:rPr>
            </w:pPr>
            <w:r w:rsidRPr="00B40D9E">
              <w:rPr>
                <w:rFonts w:ascii="Verdana" w:hAnsi="Verdana"/>
                <w:color w:val="auto"/>
                <w:sz w:val="18"/>
                <w:szCs w:val="18"/>
              </w:rPr>
              <w:t>5</w:t>
            </w:r>
          </w:p>
        </w:tc>
        <w:tc>
          <w:tcPr>
            <w:tcW w:w="2700" w:type="dxa"/>
            <w:vAlign w:val="center"/>
          </w:tcPr>
          <w:p w14:paraId="2F7C8FC3" w14:textId="3766840D" w:rsidR="007B24DB" w:rsidRPr="00B40D9E" w:rsidRDefault="007B24DB" w:rsidP="009D3197">
            <w:pPr>
              <w:spacing w:line="240" w:lineRule="auto"/>
              <w:rPr>
                <w:rFonts w:ascii="Verdana" w:hAnsi="Verdana"/>
                <w:color w:val="auto"/>
                <w:sz w:val="18"/>
                <w:szCs w:val="18"/>
              </w:rPr>
            </w:pPr>
            <w:r w:rsidRPr="00B40D9E">
              <w:rPr>
                <w:rFonts w:ascii="Verdana" w:hAnsi="Verdana"/>
                <w:color w:val="auto"/>
                <w:sz w:val="18"/>
                <w:szCs w:val="18"/>
              </w:rPr>
              <w:t>Institute best practice measures together with global partners to restrict health and economic impact of COVID 19</w:t>
            </w:r>
            <w:r w:rsidR="00A22234" w:rsidRPr="00B40D9E">
              <w:rPr>
                <w:rFonts w:ascii="Verdana" w:hAnsi="Verdana"/>
                <w:color w:val="auto"/>
                <w:sz w:val="18"/>
                <w:szCs w:val="18"/>
              </w:rPr>
              <w:t>,  including possibility of decreased non-oil revenues in the states, affecting output 1 achievement.</w:t>
            </w:r>
          </w:p>
        </w:tc>
        <w:tc>
          <w:tcPr>
            <w:tcW w:w="1255" w:type="dxa"/>
            <w:vAlign w:val="center"/>
          </w:tcPr>
          <w:p w14:paraId="58A406F4" w14:textId="66496CB4" w:rsidR="007B24DB" w:rsidRPr="00B40D9E" w:rsidRDefault="007B24DB" w:rsidP="009D3197">
            <w:pPr>
              <w:spacing w:line="240" w:lineRule="auto"/>
              <w:rPr>
                <w:rFonts w:ascii="Verdana" w:hAnsi="Verdana"/>
                <w:color w:val="auto"/>
                <w:sz w:val="18"/>
                <w:szCs w:val="18"/>
              </w:rPr>
            </w:pPr>
            <w:r>
              <w:rPr>
                <w:rFonts w:ascii="Verdana" w:hAnsi="Verdana"/>
                <w:color w:val="auto"/>
                <w:sz w:val="18"/>
                <w:szCs w:val="18"/>
              </w:rPr>
              <w:t>PUNO, RCO</w:t>
            </w:r>
          </w:p>
        </w:tc>
      </w:tr>
      <w:tr w:rsidR="003B1C02" w:rsidRPr="003455B0" w14:paraId="5C9139C7" w14:textId="77777777" w:rsidTr="009D3197">
        <w:trPr>
          <w:jc w:val="center"/>
        </w:trPr>
        <w:tc>
          <w:tcPr>
            <w:tcW w:w="1834" w:type="dxa"/>
            <w:vAlign w:val="center"/>
          </w:tcPr>
          <w:p w14:paraId="768AAF32"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 xml:space="preserve">Lack of political will: In the new Unity Government, PFM reform is low on the agenda. </w:t>
            </w:r>
          </w:p>
        </w:tc>
        <w:tc>
          <w:tcPr>
            <w:tcW w:w="1131" w:type="dxa"/>
            <w:vAlign w:val="center"/>
          </w:tcPr>
          <w:p w14:paraId="41701377" w14:textId="51864369"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6</w:t>
            </w:r>
          </w:p>
        </w:tc>
        <w:tc>
          <w:tcPr>
            <w:tcW w:w="1222" w:type="dxa"/>
            <w:vAlign w:val="center"/>
          </w:tcPr>
          <w:p w14:paraId="03A79147" w14:textId="26D4FC59"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2</w:t>
            </w:r>
          </w:p>
        </w:tc>
        <w:tc>
          <w:tcPr>
            <w:tcW w:w="1208" w:type="dxa"/>
            <w:vAlign w:val="center"/>
          </w:tcPr>
          <w:p w14:paraId="4E7D0A7D" w14:textId="53E196B5"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3</w:t>
            </w:r>
          </w:p>
        </w:tc>
        <w:tc>
          <w:tcPr>
            <w:tcW w:w="2700" w:type="dxa"/>
            <w:vAlign w:val="center"/>
          </w:tcPr>
          <w:p w14:paraId="2E083201"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hAnsi="Verdana"/>
                <w:color w:val="auto"/>
                <w:sz w:val="18"/>
                <w:szCs w:val="18"/>
              </w:rPr>
              <w:t>JP will continue its high-level, evidence-based advocacy for increased investment; build partner capacity at primary and community levels for scaling up integrated high impact interventions; and monitor for equitable results and document lessons to advocate with the Government and development partners for replication and sustaining investment.</w:t>
            </w:r>
          </w:p>
        </w:tc>
        <w:tc>
          <w:tcPr>
            <w:tcW w:w="1255" w:type="dxa"/>
            <w:vAlign w:val="center"/>
          </w:tcPr>
          <w:p w14:paraId="0B732CFA"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PUNO, RCO</w:t>
            </w:r>
          </w:p>
        </w:tc>
      </w:tr>
      <w:tr w:rsidR="003B1C02" w:rsidRPr="003455B0" w14:paraId="3B49461E" w14:textId="77777777" w:rsidTr="009D3197">
        <w:trPr>
          <w:jc w:val="center"/>
        </w:trPr>
        <w:tc>
          <w:tcPr>
            <w:tcW w:w="9350" w:type="dxa"/>
            <w:gridSpan w:val="6"/>
            <w:vAlign w:val="center"/>
          </w:tcPr>
          <w:p w14:paraId="4A6261A8" w14:textId="77777777" w:rsidR="003B1C02" w:rsidRPr="008618F5" w:rsidRDefault="003B1C02" w:rsidP="009D3197">
            <w:pPr>
              <w:spacing w:line="240" w:lineRule="auto"/>
              <w:jc w:val="center"/>
              <w:rPr>
                <w:rFonts w:ascii="Verdana" w:eastAsia="Times New Roman" w:hAnsi="Verdana" w:cs="Times New Roman"/>
                <w:b/>
                <w:bCs/>
                <w:color w:val="auto"/>
                <w:sz w:val="18"/>
                <w:szCs w:val="18"/>
                <w:lang w:eastAsia="en-GB"/>
              </w:rPr>
            </w:pPr>
            <w:r w:rsidRPr="008618F5">
              <w:rPr>
                <w:rFonts w:ascii="Verdana" w:eastAsia="Times New Roman" w:hAnsi="Verdana" w:cs="Times New Roman"/>
                <w:b/>
                <w:bCs/>
                <w:color w:val="auto"/>
                <w:sz w:val="18"/>
                <w:szCs w:val="18"/>
                <w:lang w:eastAsia="en-GB"/>
              </w:rPr>
              <w:lastRenderedPageBreak/>
              <w:t>Programmatic risks</w:t>
            </w:r>
          </w:p>
        </w:tc>
      </w:tr>
      <w:tr w:rsidR="003B1C02" w:rsidRPr="003455B0" w14:paraId="453AD364" w14:textId="77777777" w:rsidTr="009D3197">
        <w:trPr>
          <w:jc w:val="center"/>
        </w:trPr>
        <w:tc>
          <w:tcPr>
            <w:tcW w:w="1834" w:type="dxa"/>
            <w:vAlign w:val="center"/>
          </w:tcPr>
          <w:p w14:paraId="0513CFCF"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 xml:space="preserve">Staff turnover in national MoFP requires reorientation of the intended project, which could delay project implementation </w:t>
            </w:r>
          </w:p>
        </w:tc>
        <w:tc>
          <w:tcPr>
            <w:tcW w:w="1131" w:type="dxa"/>
            <w:vAlign w:val="center"/>
          </w:tcPr>
          <w:p w14:paraId="6417E2AF"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9</w:t>
            </w:r>
          </w:p>
        </w:tc>
        <w:tc>
          <w:tcPr>
            <w:tcW w:w="1222" w:type="dxa"/>
            <w:vAlign w:val="center"/>
          </w:tcPr>
          <w:p w14:paraId="03602D0B"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3</w:t>
            </w:r>
          </w:p>
        </w:tc>
        <w:tc>
          <w:tcPr>
            <w:tcW w:w="1208" w:type="dxa"/>
            <w:vAlign w:val="center"/>
          </w:tcPr>
          <w:p w14:paraId="1BACADD4"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3</w:t>
            </w:r>
          </w:p>
        </w:tc>
        <w:tc>
          <w:tcPr>
            <w:tcW w:w="2700" w:type="dxa"/>
            <w:vAlign w:val="center"/>
          </w:tcPr>
          <w:p w14:paraId="4A9565A6"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 xml:space="preserve">Broad based advocacy and capacity building across MoFP technical teams to ensure no disruption of project.  </w:t>
            </w:r>
          </w:p>
        </w:tc>
        <w:tc>
          <w:tcPr>
            <w:tcW w:w="1255" w:type="dxa"/>
            <w:vAlign w:val="center"/>
          </w:tcPr>
          <w:p w14:paraId="60695DA8"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UNDP and UNICEF</w:t>
            </w:r>
          </w:p>
        </w:tc>
      </w:tr>
      <w:tr w:rsidR="007B24DB" w:rsidRPr="003455B0" w14:paraId="11B9A9CA" w14:textId="77777777" w:rsidTr="009D3197">
        <w:trPr>
          <w:jc w:val="center"/>
        </w:trPr>
        <w:tc>
          <w:tcPr>
            <w:tcW w:w="1834" w:type="dxa"/>
            <w:vAlign w:val="center"/>
          </w:tcPr>
          <w:p w14:paraId="209FB7F1" w14:textId="60BE5629" w:rsidR="007B24DB" w:rsidRPr="00990BA0" w:rsidRDefault="007B24DB" w:rsidP="007B24DB">
            <w:pPr>
              <w:spacing w:line="240" w:lineRule="auto"/>
              <w:rPr>
                <w:rFonts w:ascii="Verdana" w:eastAsia="Times New Roman" w:hAnsi="Verdana" w:cs="Times New Roman"/>
                <w:color w:val="auto"/>
                <w:sz w:val="18"/>
                <w:szCs w:val="18"/>
                <w:lang w:eastAsia="en-GB"/>
              </w:rPr>
            </w:pPr>
            <w:r w:rsidRPr="00990BA0">
              <w:rPr>
                <w:rFonts w:ascii="Verdana" w:eastAsia="Times New Roman" w:hAnsi="Verdana" w:cs="Times New Roman"/>
                <w:color w:val="auto"/>
                <w:sz w:val="18"/>
                <w:szCs w:val="18"/>
                <w:lang w:eastAsia="en-GB"/>
              </w:rPr>
              <w:t xml:space="preserve">COVID19 related travel </w:t>
            </w:r>
            <w:r w:rsidR="00A52E65" w:rsidRPr="00990BA0">
              <w:rPr>
                <w:rFonts w:ascii="Verdana" w:eastAsia="Times New Roman" w:hAnsi="Verdana" w:cs="Times New Roman"/>
                <w:color w:val="auto"/>
                <w:sz w:val="18"/>
                <w:szCs w:val="18"/>
                <w:lang w:eastAsia="en-GB"/>
              </w:rPr>
              <w:t xml:space="preserve">and physical distancing </w:t>
            </w:r>
            <w:r w:rsidRPr="00990BA0">
              <w:rPr>
                <w:rFonts w:ascii="Verdana" w:eastAsia="Times New Roman" w:hAnsi="Verdana" w:cs="Times New Roman"/>
                <w:color w:val="auto"/>
                <w:sz w:val="18"/>
                <w:szCs w:val="18"/>
                <w:lang w:eastAsia="en-GB"/>
              </w:rPr>
              <w:t xml:space="preserve">restrictions makes it difficult for </w:t>
            </w:r>
            <w:r w:rsidR="00A52E65" w:rsidRPr="00990BA0">
              <w:rPr>
                <w:rFonts w:ascii="Verdana" w:eastAsia="Times New Roman" w:hAnsi="Verdana" w:cs="Times New Roman"/>
                <w:color w:val="auto"/>
                <w:sz w:val="18"/>
                <w:szCs w:val="18"/>
                <w:lang w:eastAsia="en-GB"/>
              </w:rPr>
              <w:t xml:space="preserve">large workshops and </w:t>
            </w:r>
            <w:r w:rsidRPr="00990BA0">
              <w:rPr>
                <w:rFonts w:ascii="Verdana" w:eastAsia="Times New Roman" w:hAnsi="Verdana" w:cs="Times New Roman"/>
                <w:color w:val="auto"/>
                <w:sz w:val="18"/>
                <w:szCs w:val="18"/>
                <w:lang w:eastAsia="en-GB"/>
              </w:rPr>
              <w:t xml:space="preserve">monitoring of implementation at state level by core PUNO and Govt teams in Juba </w:t>
            </w:r>
          </w:p>
        </w:tc>
        <w:tc>
          <w:tcPr>
            <w:tcW w:w="1131" w:type="dxa"/>
            <w:vAlign w:val="center"/>
          </w:tcPr>
          <w:p w14:paraId="2A604B94" w14:textId="073F08FA" w:rsidR="007B24DB" w:rsidRPr="00990BA0" w:rsidRDefault="007B24DB" w:rsidP="009D3197">
            <w:pPr>
              <w:spacing w:line="240" w:lineRule="auto"/>
              <w:jc w:val="center"/>
              <w:rPr>
                <w:rFonts w:ascii="Verdana" w:eastAsia="Times New Roman" w:hAnsi="Verdana" w:cs="Times New Roman"/>
                <w:color w:val="auto"/>
                <w:sz w:val="18"/>
                <w:szCs w:val="18"/>
                <w:lang w:eastAsia="en-GB"/>
              </w:rPr>
            </w:pPr>
            <w:r w:rsidRPr="00990BA0">
              <w:rPr>
                <w:rFonts w:ascii="Verdana" w:eastAsia="Times New Roman" w:hAnsi="Verdana" w:cs="Times New Roman"/>
                <w:color w:val="auto"/>
                <w:sz w:val="18"/>
                <w:szCs w:val="18"/>
                <w:lang w:eastAsia="en-GB"/>
              </w:rPr>
              <w:t>12</w:t>
            </w:r>
          </w:p>
        </w:tc>
        <w:tc>
          <w:tcPr>
            <w:tcW w:w="1222" w:type="dxa"/>
            <w:vAlign w:val="center"/>
          </w:tcPr>
          <w:p w14:paraId="4B403AFE" w14:textId="496F2169" w:rsidR="007B24DB" w:rsidRPr="00990BA0" w:rsidRDefault="007B24DB" w:rsidP="009D3197">
            <w:pPr>
              <w:spacing w:line="240" w:lineRule="auto"/>
              <w:jc w:val="center"/>
              <w:rPr>
                <w:rFonts w:ascii="Verdana" w:eastAsia="Times New Roman" w:hAnsi="Verdana" w:cs="Times New Roman"/>
                <w:color w:val="auto"/>
                <w:sz w:val="18"/>
                <w:szCs w:val="18"/>
                <w:lang w:eastAsia="en-GB"/>
              </w:rPr>
            </w:pPr>
            <w:r w:rsidRPr="00990BA0">
              <w:rPr>
                <w:rFonts w:ascii="Verdana" w:eastAsia="Times New Roman" w:hAnsi="Verdana" w:cs="Times New Roman"/>
                <w:color w:val="auto"/>
                <w:sz w:val="18"/>
                <w:szCs w:val="18"/>
                <w:lang w:eastAsia="en-GB"/>
              </w:rPr>
              <w:t>4</w:t>
            </w:r>
          </w:p>
        </w:tc>
        <w:tc>
          <w:tcPr>
            <w:tcW w:w="1208" w:type="dxa"/>
            <w:vAlign w:val="center"/>
          </w:tcPr>
          <w:p w14:paraId="7A23EE06" w14:textId="47619FDF" w:rsidR="007B24DB" w:rsidRPr="00990BA0" w:rsidRDefault="007B24DB" w:rsidP="009D3197">
            <w:pPr>
              <w:spacing w:line="240" w:lineRule="auto"/>
              <w:jc w:val="center"/>
              <w:rPr>
                <w:rFonts w:ascii="Verdana" w:eastAsia="Times New Roman" w:hAnsi="Verdana" w:cs="Times New Roman"/>
                <w:color w:val="auto"/>
                <w:sz w:val="18"/>
                <w:szCs w:val="18"/>
                <w:lang w:eastAsia="en-GB"/>
              </w:rPr>
            </w:pPr>
            <w:r w:rsidRPr="00990BA0">
              <w:rPr>
                <w:rFonts w:ascii="Verdana" w:eastAsia="Times New Roman" w:hAnsi="Verdana" w:cs="Times New Roman"/>
                <w:color w:val="auto"/>
                <w:sz w:val="18"/>
                <w:szCs w:val="18"/>
                <w:lang w:eastAsia="en-GB"/>
              </w:rPr>
              <w:t>3</w:t>
            </w:r>
          </w:p>
        </w:tc>
        <w:tc>
          <w:tcPr>
            <w:tcW w:w="2700" w:type="dxa"/>
            <w:vAlign w:val="center"/>
          </w:tcPr>
          <w:p w14:paraId="4F6F4E85" w14:textId="04E1F7E8" w:rsidR="007B24DB" w:rsidRPr="00990BA0" w:rsidRDefault="007B24DB" w:rsidP="00F61466">
            <w:pPr>
              <w:spacing w:line="240" w:lineRule="auto"/>
              <w:rPr>
                <w:rFonts w:ascii="Verdana" w:eastAsia="Times New Roman" w:hAnsi="Verdana" w:cs="Times New Roman"/>
                <w:color w:val="auto"/>
                <w:sz w:val="18"/>
                <w:szCs w:val="18"/>
                <w:lang w:eastAsia="en-GB"/>
              </w:rPr>
            </w:pPr>
            <w:r w:rsidRPr="00990BA0">
              <w:rPr>
                <w:rFonts w:ascii="Verdana" w:eastAsia="Times New Roman" w:hAnsi="Verdana" w:cs="Times New Roman"/>
                <w:color w:val="auto"/>
                <w:sz w:val="18"/>
                <w:szCs w:val="18"/>
                <w:lang w:eastAsia="en-GB"/>
              </w:rPr>
              <w:t>PUNO teams in Juba will work closely with Field Offices and State MoFP and actors to ensure implementation of project</w:t>
            </w:r>
            <w:r w:rsidR="00A52E65" w:rsidRPr="00990BA0">
              <w:rPr>
                <w:rFonts w:ascii="Verdana" w:eastAsia="Times New Roman" w:hAnsi="Verdana" w:cs="Times New Roman"/>
                <w:color w:val="auto"/>
                <w:sz w:val="18"/>
                <w:szCs w:val="18"/>
                <w:lang w:eastAsia="en-GB"/>
              </w:rPr>
              <w:t xml:space="preserve">; </w:t>
            </w:r>
            <w:r w:rsidR="00F61466" w:rsidRPr="00990BA0">
              <w:rPr>
                <w:rFonts w:ascii="Verdana" w:eastAsia="Times New Roman" w:hAnsi="Verdana" w:cs="Times New Roman"/>
                <w:color w:val="auto"/>
                <w:sz w:val="18"/>
                <w:szCs w:val="18"/>
                <w:lang w:eastAsia="en-GB"/>
              </w:rPr>
              <w:t>and PUNO teams will explore</w:t>
            </w:r>
            <w:r w:rsidR="00A52E65" w:rsidRPr="00990BA0">
              <w:rPr>
                <w:rFonts w:ascii="Verdana" w:eastAsia="Times New Roman" w:hAnsi="Verdana" w:cs="Times New Roman"/>
                <w:color w:val="auto"/>
                <w:sz w:val="18"/>
                <w:szCs w:val="18"/>
                <w:lang w:eastAsia="en-GB"/>
              </w:rPr>
              <w:t xml:space="preserve"> smaller number of participants across several workshops to observe COVID19 related </w:t>
            </w:r>
            <w:proofErr w:type="spellStart"/>
            <w:r w:rsidR="00A52E65" w:rsidRPr="00990BA0">
              <w:rPr>
                <w:rFonts w:ascii="Verdana" w:eastAsia="Times New Roman" w:hAnsi="Verdana" w:cs="Times New Roman"/>
                <w:color w:val="auto"/>
                <w:sz w:val="18"/>
                <w:szCs w:val="18"/>
                <w:lang w:eastAsia="en-GB"/>
              </w:rPr>
              <w:t>GoSS</w:t>
            </w:r>
            <w:proofErr w:type="spellEnd"/>
            <w:r w:rsidR="00A52E65" w:rsidRPr="00990BA0">
              <w:rPr>
                <w:rFonts w:ascii="Verdana" w:eastAsia="Times New Roman" w:hAnsi="Verdana" w:cs="Times New Roman"/>
                <w:color w:val="auto"/>
                <w:sz w:val="18"/>
                <w:szCs w:val="18"/>
                <w:lang w:eastAsia="en-GB"/>
              </w:rPr>
              <w:t xml:space="preserve"> procedures. </w:t>
            </w:r>
            <w:r w:rsidRPr="00990BA0">
              <w:rPr>
                <w:rFonts w:ascii="Verdana" w:eastAsia="Times New Roman" w:hAnsi="Verdana" w:cs="Times New Roman"/>
                <w:color w:val="auto"/>
                <w:sz w:val="18"/>
                <w:szCs w:val="18"/>
                <w:lang w:eastAsia="en-GB"/>
              </w:rPr>
              <w:t xml:space="preserve"> </w:t>
            </w:r>
          </w:p>
        </w:tc>
        <w:tc>
          <w:tcPr>
            <w:tcW w:w="1255" w:type="dxa"/>
            <w:vAlign w:val="center"/>
          </w:tcPr>
          <w:p w14:paraId="7C242558" w14:textId="3F9CE5C3" w:rsidR="007B24DB" w:rsidRPr="00990BA0" w:rsidRDefault="007B24DB" w:rsidP="009D3197">
            <w:pPr>
              <w:spacing w:line="240" w:lineRule="auto"/>
              <w:rPr>
                <w:rFonts w:ascii="Verdana" w:eastAsia="Times New Roman" w:hAnsi="Verdana" w:cs="Times New Roman"/>
                <w:color w:val="auto"/>
                <w:sz w:val="18"/>
                <w:szCs w:val="18"/>
                <w:lang w:eastAsia="en-GB"/>
              </w:rPr>
            </w:pPr>
            <w:r w:rsidRPr="00990BA0">
              <w:rPr>
                <w:rFonts w:ascii="Verdana" w:eastAsia="Times New Roman" w:hAnsi="Verdana" w:cs="Times New Roman"/>
                <w:color w:val="auto"/>
                <w:sz w:val="18"/>
                <w:szCs w:val="18"/>
                <w:lang w:eastAsia="en-GB"/>
              </w:rPr>
              <w:t xml:space="preserve">PUNO </w:t>
            </w:r>
          </w:p>
        </w:tc>
      </w:tr>
      <w:tr w:rsidR="003B1C02" w:rsidRPr="003455B0" w14:paraId="1C49CB16" w14:textId="77777777" w:rsidTr="009D3197">
        <w:trPr>
          <w:jc w:val="center"/>
        </w:trPr>
        <w:tc>
          <w:tcPr>
            <w:tcW w:w="1834" w:type="dxa"/>
            <w:vAlign w:val="center"/>
          </w:tcPr>
          <w:p w14:paraId="7CCC899A"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hAnsi="Verdana"/>
                <w:color w:val="auto"/>
                <w:sz w:val="18"/>
                <w:szCs w:val="18"/>
              </w:rPr>
              <w:t>Inadequate capacity investments by government will affect sustainability of the programme.</w:t>
            </w:r>
          </w:p>
        </w:tc>
        <w:tc>
          <w:tcPr>
            <w:tcW w:w="1131" w:type="dxa"/>
            <w:vAlign w:val="center"/>
          </w:tcPr>
          <w:p w14:paraId="4DC7D6D3"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hAnsi="Verdana"/>
                <w:color w:val="auto"/>
                <w:sz w:val="18"/>
                <w:szCs w:val="18"/>
              </w:rPr>
              <w:t>6</w:t>
            </w:r>
          </w:p>
        </w:tc>
        <w:tc>
          <w:tcPr>
            <w:tcW w:w="1222" w:type="dxa"/>
            <w:vAlign w:val="center"/>
          </w:tcPr>
          <w:p w14:paraId="06893C7D"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hAnsi="Verdana"/>
                <w:color w:val="auto"/>
                <w:sz w:val="18"/>
                <w:szCs w:val="18"/>
              </w:rPr>
              <w:t>2</w:t>
            </w:r>
          </w:p>
        </w:tc>
        <w:tc>
          <w:tcPr>
            <w:tcW w:w="1208" w:type="dxa"/>
            <w:vAlign w:val="center"/>
          </w:tcPr>
          <w:p w14:paraId="59E24719"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hAnsi="Verdana"/>
                <w:color w:val="auto"/>
                <w:sz w:val="18"/>
                <w:szCs w:val="18"/>
              </w:rPr>
              <w:t>3</w:t>
            </w:r>
          </w:p>
        </w:tc>
        <w:tc>
          <w:tcPr>
            <w:tcW w:w="2700" w:type="dxa"/>
            <w:vAlign w:val="center"/>
          </w:tcPr>
          <w:p w14:paraId="58CE730E"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hAnsi="Verdana"/>
                <w:color w:val="auto"/>
                <w:sz w:val="18"/>
                <w:szCs w:val="18"/>
              </w:rPr>
              <w:t>JP will closely work with the government, document best practices and lobby the Ministry to budget capacity strengthening activities including systems development.</w:t>
            </w:r>
          </w:p>
        </w:tc>
        <w:tc>
          <w:tcPr>
            <w:tcW w:w="1255" w:type="dxa"/>
            <w:vAlign w:val="center"/>
          </w:tcPr>
          <w:p w14:paraId="0320CC49"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hAnsi="Verdana"/>
                <w:color w:val="auto"/>
                <w:sz w:val="18"/>
                <w:szCs w:val="18"/>
              </w:rPr>
              <w:t>UNICEF</w:t>
            </w:r>
          </w:p>
        </w:tc>
      </w:tr>
      <w:tr w:rsidR="003B1C02" w:rsidRPr="003455B0" w14:paraId="7971DDE8" w14:textId="77777777" w:rsidTr="009D3197">
        <w:trPr>
          <w:jc w:val="center"/>
        </w:trPr>
        <w:tc>
          <w:tcPr>
            <w:tcW w:w="9350" w:type="dxa"/>
            <w:gridSpan w:val="6"/>
            <w:vAlign w:val="center"/>
          </w:tcPr>
          <w:p w14:paraId="5600D82B" w14:textId="77777777" w:rsidR="003B1C02" w:rsidRPr="008618F5" w:rsidRDefault="003B1C02" w:rsidP="009D3197">
            <w:pPr>
              <w:spacing w:line="240" w:lineRule="auto"/>
              <w:jc w:val="center"/>
              <w:rPr>
                <w:rFonts w:ascii="Verdana" w:eastAsia="Times New Roman" w:hAnsi="Verdana" w:cs="Times New Roman"/>
                <w:b/>
                <w:bCs/>
                <w:color w:val="auto"/>
                <w:sz w:val="18"/>
                <w:szCs w:val="18"/>
                <w:lang w:eastAsia="en-GB"/>
              </w:rPr>
            </w:pPr>
            <w:r w:rsidRPr="008618F5">
              <w:rPr>
                <w:rFonts w:ascii="Verdana" w:eastAsia="Times New Roman" w:hAnsi="Verdana" w:cs="Times New Roman"/>
                <w:b/>
                <w:bCs/>
                <w:color w:val="auto"/>
                <w:sz w:val="18"/>
                <w:szCs w:val="18"/>
                <w:lang w:eastAsia="en-GB"/>
              </w:rPr>
              <w:t>Institutional risks</w:t>
            </w:r>
          </w:p>
        </w:tc>
      </w:tr>
      <w:tr w:rsidR="0020229D" w:rsidRPr="003455B0" w14:paraId="008A9BEC" w14:textId="77777777" w:rsidTr="009D3197">
        <w:trPr>
          <w:jc w:val="center"/>
        </w:trPr>
        <w:tc>
          <w:tcPr>
            <w:tcW w:w="1834" w:type="dxa"/>
            <w:vAlign w:val="center"/>
          </w:tcPr>
          <w:p w14:paraId="074BCB03" w14:textId="61347DBF" w:rsidR="0020229D" w:rsidRPr="00C026FF" w:rsidRDefault="0020229D" w:rsidP="0020229D">
            <w:pPr>
              <w:spacing w:line="240" w:lineRule="auto"/>
              <w:rPr>
                <w:rFonts w:ascii="Verdana" w:eastAsia="Times New Roman" w:hAnsi="Verdana" w:cs="Times New Roman"/>
                <w:color w:val="auto"/>
                <w:sz w:val="18"/>
                <w:szCs w:val="18"/>
                <w:lang w:eastAsia="en-GB"/>
              </w:rPr>
            </w:pPr>
            <w:r w:rsidRPr="00C026FF">
              <w:rPr>
                <w:rFonts w:ascii="Verdana" w:eastAsia="Times New Roman" w:hAnsi="Verdana" w:cs="Times New Roman"/>
                <w:color w:val="auto"/>
                <w:sz w:val="18"/>
                <w:szCs w:val="18"/>
                <w:lang w:eastAsia="en-GB"/>
              </w:rPr>
              <w:t xml:space="preserve">Institutional resources are limited due to the emergency health and social demands created directly and indirectly by COVID19 </w:t>
            </w:r>
          </w:p>
        </w:tc>
        <w:tc>
          <w:tcPr>
            <w:tcW w:w="1131" w:type="dxa"/>
            <w:vAlign w:val="center"/>
          </w:tcPr>
          <w:p w14:paraId="01B7EE09" w14:textId="66C22019" w:rsidR="0020229D" w:rsidRPr="00C026FF" w:rsidRDefault="0020229D" w:rsidP="0020229D">
            <w:pPr>
              <w:spacing w:line="240" w:lineRule="auto"/>
              <w:jc w:val="center"/>
              <w:rPr>
                <w:rFonts w:ascii="Verdana" w:eastAsia="Times New Roman" w:hAnsi="Verdana" w:cs="Times New Roman"/>
                <w:color w:val="auto"/>
                <w:sz w:val="18"/>
                <w:szCs w:val="18"/>
                <w:lang w:eastAsia="en-GB"/>
              </w:rPr>
            </w:pPr>
            <w:r w:rsidRPr="00C026FF">
              <w:rPr>
                <w:rFonts w:ascii="Verdana" w:eastAsia="Times New Roman" w:hAnsi="Verdana" w:cs="Times New Roman"/>
                <w:color w:val="auto"/>
                <w:sz w:val="18"/>
                <w:szCs w:val="18"/>
                <w:lang w:eastAsia="en-GB"/>
              </w:rPr>
              <w:t>12</w:t>
            </w:r>
          </w:p>
        </w:tc>
        <w:tc>
          <w:tcPr>
            <w:tcW w:w="1222" w:type="dxa"/>
            <w:vAlign w:val="center"/>
          </w:tcPr>
          <w:p w14:paraId="08338EBD" w14:textId="40564B81" w:rsidR="0020229D" w:rsidRPr="00C026FF" w:rsidRDefault="0020229D" w:rsidP="0020229D">
            <w:pPr>
              <w:spacing w:line="240" w:lineRule="auto"/>
              <w:jc w:val="center"/>
              <w:rPr>
                <w:rFonts w:ascii="Verdana" w:eastAsia="Times New Roman" w:hAnsi="Verdana" w:cs="Times New Roman"/>
                <w:color w:val="auto"/>
                <w:sz w:val="18"/>
                <w:szCs w:val="18"/>
                <w:lang w:eastAsia="en-GB"/>
              </w:rPr>
            </w:pPr>
            <w:r w:rsidRPr="00C026FF">
              <w:rPr>
                <w:rFonts w:ascii="Verdana" w:eastAsia="Times New Roman" w:hAnsi="Verdana" w:cs="Times New Roman"/>
                <w:color w:val="auto"/>
                <w:sz w:val="18"/>
                <w:szCs w:val="18"/>
                <w:lang w:eastAsia="en-GB"/>
              </w:rPr>
              <w:t>4</w:t>
            </w:r>
          </w:p>
        </w:tc>
        <w:tc>
          <w:tcPr>
            <w:tcW w:w="1208" w:type="dxa"/>
            <w:vAlign w:val="center"/>
          </w:tcPr>
          <w:p w14:paraId="3CF7965F" w14:textId="499B6755" w:rsidR="0020229D" w:rsidRPr="00C026FF" w:rsidRDefault="0020229D" w:rsidP="0020229D">
            <w:pPr>
              <w:spacing w:line="240" w:lineRule="auto"/>
              <w:jc w:val="center"/>
              <w:rPr>
                <w:rFonts w:ascii="Verdana" w:eastAsia="Times New Roman" w:hAnsi="Verdana" w:cs="Times New Roman"/>
                <w:color w:val="auto"/>
                <w:sz w:val="18"/>
                <w:szCs w:val="18"/>
                <w:lang w:eastAsia="en-GB"/>
              </w:rPr>
            </w:pPr>
            <w:r w:rsidRPr="00C026FF">
              <w:rPr>
                <w:rFonts w:ascii="Verdana" w:eastAsia="Times New Roman" w:hAnsi="Verdana" w:cs="Times New Roman"/>
                <w:color w:val="auto"/>
                <w:sz w:val="18"/>
                <w:szCs w:val="18"/>
                <w:lang w:eastAsia="en-GB"/>
              </w:rPr>
              <w:t>3</w:t>
            </w:r>
          </w:p>
        </w:tc>
        <w:tc>
          <w:tcPr>
            <w:tcW w:w="2700" w:type="dxa"/>
            <w:vAlign w:val="center"/>
          </w:tcPr>
          <w:p w14:paraId="01507D58" w14:textId="126D8EDD" w:rsidR="0020229D" w:rsidRPr="00C026FF" w:rsidRDefault="000A4534" w:rsidP="0020229D">
            <w:pPr>
              <w:spacing w:line="240" w:lineRule="auto"/>
              <w:rPr>
                <w:rFonts w:ascii="Verdana" w:eastAsia="Times New Roman" w:hAnsi="Verdana" w:cs="Times New Roman"/>
                <w:color w:val="auto"/>
                <w:sz w:val="18"/>
                <w:szCs w:val="18"/>
                <w:lang w:eastAsia="en-GB"/>
              </w:rPr>
            </w:pPr>
            <w:r w:rsidRPr="00C026FF">
              <w:rPr>
                <w:rFonts w:ascii="Verdana" w:eastAsia="Times New Roman" w:hAnsi="Verdana" w:cs="Times New Roman"/>
                <w:color w:val="auto"/>
                <w:sz w:val="18"/>
                <w:szCs w:val="18"/>
                <w:lang w:eastAsia="en-GB"/>
              </w:rPr>
              <w:t xml:space="preserve">PUNO’s partner with lending and aid institutions to ensure PFM institutional reforms are customized to constantly changing service delivery platforms. </w:t>
            </w:r>
          </w:p>
        </w:tc>
        <w:tc>
          <w:tcPr>
            <w:tcW w:w="1255" w:type="dxa"/>
            <w:vAlign w:val="center"/>
          </w:tcPr>
          <w:p w14:paraId="07E53E10" w14:textId="124DE56C" w:rsidR="0020229D" w:rsidRPr="00C026FF" w:rsidRDefault="000A4534" w:rsidP="0020229D">
            <w:pPr>
              <w:spacing w:line="240" w:lineRule="auto"/>
              <w:rPr>
                <w:rFonts w:ascii="Verdana" w:eastAsia="Times New Roman" w:hAnsi="Verdana" w:cs="Times New Roman"/>
                <w:color w:val="auto"/>
                <w:sz w:val="18"/>
                <w:szCs w:val="18"/>
                <w:lang w:eastAsia="en-GB"/>
              </w:rPr>
            </w:pPr>
            <w:r w:rsidRPr="00C026FF">
              <w:rPr>
                <w:rFonts w:ascii="Verdana" w:eastAsia="Times New Roman" w:hAnsi="Verdana" w:cs="Times New Roman"/>
                <w:color w:val="auto"/>
                <w:sz w:val="18"/>
                <w:szCs w:val="18"/>
                <w:lang w:eastAsia="en-GB"/>
              </w:rPr>
              <w:t>PUNO</w:t>
            </w:r>
          </w:p>
        </w:tc>
      </w:tr>
      <w:tr w:rsidR="003B1C02" w:rsidRPr="003455B0" w14:paraId="559A54EC" w14:textId="77777777" w:rsidTr="009D3197">
        <w:trPr>
          <w:jc w:val="center"/>
        </w:trPr>
        <w:tc>
          <w:tcPr>
            <w:tcW w:w="1834" w:type="dxa"/>
            <w:vAlign w:val="center"/>
          </w:tcPr>
          <w:p w14:paraId="205B09E4"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 xml:space="preserve">Limited donor interest in supporting complementary project initiatives affecting the sustainability of the programme </w:t>
            </w:r>
          </w:p>
        </w:tc>
        <w:tc>
          <w:tcPr>
            <w:tcW w:w="1131" w:type="dxa"/>
            <w:vAlign w:val="center"/>
          </w:tcPr>
          <w:p w14:paraId="5F972600"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9</w:t>
            </w:r>
          </w:p>
        </w:tc>
        <w:tc>
          <w:tcPr>
            <w:tcW w:w="1222" w:type="dxa"/>
            <w:vAlign w:val="center"/>
          </w:tcPr>
          <w:p w14:paraId="4499B45A"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3</w:t>
            </w:r>
          </w:p>
        </w:tc>
        <w:tc>
          <w:tcPr>
            <w:tcW w:w="1208" w:type="dxa"/>
            <w:vAlign w:val="center"/>
          </w:tcPr>
          <w:p w14:paraId="57A8BF2E"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3</w:t>
            </w:r>
          </w:p>
        </w:tc>
        <w:tc>
          <w:tcPr>
            <w:tcW w:w="2700" w:type="dxa"/>
            <w:vAlign w:val="center"/>
          </w:tcPr>
          <w:p w14:paraId="7FBB236B"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 xml:space="preserve">Continue to actively update and involve the PFM donor working group on project status and advocate for importance of scaling the initiative to all 10 States after PUNO project. </w:t>
            </w:r>
          </w:p>
        </w:tc>
        <w:tc>
          <w:tcPr>
            <w:tcW w:w="1255" w:type="dxa"/>
            <w:vAlign w:val="center"/>
          </w:tcPr>
          <w:p w14:paraId="494ACCA9"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PUNO, RCO</w:t>
            </w:r>
          </w:p>
        </w:tc>
      </w:tr>
      <w:tr w:rsidR="003B1C02" w:rsidRPr="003455B0" w14:paraId="73BF1354" w14:textId="77777777" w:rsidTr="009D3197">
        <w:trPr>
          <w:jc w:val="center"/>
        </w:trPr>
        <w:tc>
          <w:tcPr>
            <w:tcW w:w="1834" w:type="dxa"/>
            <w:vAlign w:val="center"/>
          </w:tcPr>
          <w:p w14:paraId="1CB8C04C"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 xml:space="preserve">Limited and inadequate coordination </w:t>
            </w:r>
            <w:r w:rsidRPr="008618F5">
              <w:rPr>
                <w:rFonts w:ascii="Verdana" w:eastAsia="Times New Roman" w:hAnsi="Verdana" w:cs="Times New Roman"/>
                <w:color w:val="auto"/>
                <w:sz w:val="18"/>
                <w:szCs w:val="18"/>
                <w:lang w:eastAsia="en-GB"/>
              </w:rPr>
              <w:lastRenderedPageBreak/>
              <w:t xml:space="preserve">among PUNO members and key Government stakeholders negatively impacts the project results </w:t>
            </w:r>
          </w:p>
        </w:tc>
        <w:tc>
          <w:tcPr>
            <w:tcW w:w="1131" w:type="dxa"/>
            <w:vAlign w:val="center"/>
          </w:tcPr>
          <w:p w14:paraId="76B5DFEC"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lastRenderedPageBreak/>
              <w:t>4</w:t>
            </w:r>
          </w:p>
        </w:tc>
        <w:tc>
          <w:tcPr>
            <w:tcW w:w="1222" w:type="dxa"/>
            <w:vAlign w:val="center"/>
          </w:tcPr>
          <w:p w14:paraId="3A5C6967"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2</w:t>
            </w:r>
          </w:p>
        </w:tc>
        <w:tc>
          <w:tcPr>
            <w:tcW w:w="1208" w:type="dxa"/>
            <w:vAlign w:val="center"/>
          </w:tcPr>
          <w:p w14:paraId="06447A40"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2</w:t>
            </w:r>
          </w:p>
        </w:tc>
        <w:tc>
          <w:tcPr>
            <w:tcW w:w="2700" w:type="dxa"/>
            <w:vAlign w:val="center"/>
          </w:tcPr>
          <w:p w14:paraId="0C1296F6"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 xml:space="preserve">Close oversight will be provided through a common project </w:t>
            </w:r>
            <w:r w:rsidRPr="008618F5">
              <w:rPr>
                <w:rFonts w:ascii="Verdana" w:eastAsia="Times New Roman" w:hAnsi="Verdana" w:cs="Times New Roman"/>
                <w:color w:val="auto"/>
                <w:sz w:val="18"/>
                <w:szCs w:val="18"/>
                <w:lang w:eastAsia="en-GB"/>
              </w:rPr>
              <w:lastRenderedPageBreak/>
              <w:t xml:space="preserve">coordinator (PFM consultant) as well as the Project Implementation Committee overseen by Government.  </w:t>
            </w:r>
          </w:p>
        </w:tc>
        <w:tc>
          <w:tcPr>
            <w:tcW w:w="1255" w:type="dxa"/>
            <w:vAlign w:val="center"/>
          </w:tcPr>
          <w:p w14:paraId="40360733"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lastRenderedPageBreak/>
              <w:t xml:space="preserve">PUNO, MoFP, NRA </w:t>
            </w:r>
          </w:p>
        </w:tc>
      </w:tr>
      <w:tr w:rsidR="003B1C02" w:rsidRPr="003455B0" w14:paraId="5E745136" w14:textId="77777777" w:rsidTr="009D3197">
        <w:trPr>
          <w:jc w:val="center"/>
        </w:trPr>
        <w:tc>
          <w:tcPr>
            <w:tcW w:w="9350" w:type="dxa"/>
            <w:gridSpan w:val="6"/>
            <w:vAlign w:val="center"/>
          </w:tcPr>
          <w:p w14:paraId="04557BA0" w14:textId="77777777" w:rsidR="003B1C02" w:rsidRPr="008618F5" w:rsidRDefault="003B1C02" w:rsidP="009D3197">
            <w:pPr>
              <w:spacing w:line="240" w:lineRule="auto"/>
              <w:jc w:val="center"/>
              <w:rPr>
                <w:rFonts w:ascii="Verdana" w:eastAsia="Times New Roman" w:hAnsi="Verdana" w:cs="Times New Roman"/>
                <w:b/>
                <w:bCs/>
                <w:color w:val="auto"/>
                <w:sz w:val="18"/>
                <w:szCs w:val="18"/>
                <w:lang w:eastAsia="en-GB"/>
              </w:rPr>
            </w:pPr>
            <w:r w:rsidRPr="008618F5">
              <w:rPr>
                <w:rFonts w:ascii="Verdana" w:eastAsia="Times New Roman" w:hAnsi="Verdana" w:cs="Times New Roman"/>
                <w:b/>
                <w:bCs/>
                <w:color w:val="auto"/>
                <w:sz w:val="18"/>
                <w:szCs w:val="18"/>
                <w:lang w:eastAsia="en-GB"/>
              </w:rPr>
              <w:t>Fiduciary risks</w:t>
            </w:r>
          </w:p>
        </w:tc>
      </w:tr>
      <w:tr w:rsidR="003B1C02" w:rsidRPr="003455B0" w14:paraId="67C65F77" w14:textId="77777777" w:rsidTr="009D3197">
        <w:trPr>
          <w:jc w:val="center"/>
        </w:trPr>
        <w:tc>
          <w:tcPr>
            <w:tcW w:w="1834" w:type="dxa"/>
            <w:vAlign w:val="center"/>
          </w:tcPr>
          <w:p w14:paraId="2F5C6547"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 xml:space="preserve">Funds disbursed to implementing partners (e.g. consultants, institutions) are not managed effectively and not value for money  </w:t>
            </w:r>
          </w:p>
        </w:tc>
        <w:tc>
          <w:tcPr>
            <w:tcW w:w="1131" w:type="dxa"/>
            <w:vAlign w:val="center"/>
          </w:tcPr>
          <w:p w14:paraId="06A61469"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6</w:t>
            </w:r>
          </w:p>
        </w:tc>
        <w:tc>
          <w:tcPr>
            <w:tcW w:w="1222" w:type="dxa"/>
            <w:vAlign w:val="center"/>
          </w:tcPr>
          <w:p w14:paraId="2C69BBCA"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2</w:t>
            </w:r>
          </w:p>
        </w:tc>
        <w:tc>
          <w:tcPr>
            <w:tcW w:w="1208" w:type="dxa"/>
            <w:vAlign w:val="center"/>
          </w:tcPr>
          <w:p w14:paraId="6F55FE56" w14:textId="77777777" w:rsidR="003B1C02" w:rsidRPr="008618F5" w:rsidRDefault="003B1C02" w:rsidP="009D3197">
            <w:pPr>
              <w:spacing w:line="240" w:lineRule="auto"/>
              <w:jc w:val="center"/>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3</w:t>
            </w:r>
          </w:p>
        </w:tc>
        <w:tc>
          <w:tcPr>
            <w:tcW w:w="2700" w:type="dxa"/>
            <w:vAlign w:val="center"/>
          </w:tcPr>
          <w:p w14:paraId="510B0DCC"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 xml:space="preserve">Close oversight will be provided through a common project coordinator (PFM consultant) as well as the Project Implementation Committee overseen by Government.  </w:t>
            </w:r>
          </w:p>
        </w:tc>
        <w:tc>
          <w:tcPr>
            <w:tcW w:w="1255" w:type="dxa"/>
            <w:vAlign w:val="center"/>
          </w:tcPr>
          <w:p w14:paraId="301D1BF5" w14:textId="77777777" w:rsidR="003B1C02" w:rsidRPr="008618F5" w:rsidRDefault="003B1C02" w:rsidP="009D3197">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 xml:space="preserve">PUNO, MOFP, NRA </w:t>
            </w:r>
          </w:p>
        </w:tc>
      </w:tr>
      <w:tr w:rsidR="007B24DB" w:rsidRPr="003455B0" w14:paraId="01558408" w14:textId="77777777" w:rsidTr="009D3197">
        <w:trPr>
          <w:jc w:val="center"/>
        </w:trPr>
        <w:tc>
          <w:tcPr>
            <w:tcW w:w="1834" w:type="dxa"/>
            <w:vAlign w:val="center"/>
          </w:tcPr>
          <w:p w14:paraId="58C9909A" w14:textId="77777777" w:rsidR="007B24DB" w:rsidRPr="008618F5" w:rsidRDefault="007B24DB" w:rsidP="009D3197">
            <w:pPr>
              <w:spacing w:line="240" w:lineRule="auto"/>
              <w:rPr>
                <w:rFonts w:ascii="Verdana" w:eastAsia="Times New Roman" w:hAnsi="Verdana" w:cs="Times New Roman"/>
                <w:sz w:val="18"/>
                <w:szCs w:val="18"/>
                <w:lang w:eastAsia="en-GB"/>
              </w:rPr>
            </w:pPr>
          </w:p>
        </w:tc>
        <w:tc>
          <w:tcPr>
            <w:tcW w:w="1131" w:type="dxa"/>
            <w:vAlign w:val="center"/>
          </w:tcPr>
          <w:p w14:paraId="47BD3F6F" w14:textId="77777777" w:rsidR="007B24DB" w:rsidRPr="008618F5" w:rsidRDefault="007B24DB" w:rsidP="009D3197">
            <w:pPr>
              <w:spacing w:line="240" w:lineRule="auto"/>
              <w:jc w:val="center"/>
              <w:rPr>
                <w:rFonts w:ascii="Verdana" w:eastAsia="Times New Roman" w:hAnsi="Verdana" w:cs="Times New Roman"/>
                <w:sz w:val="18"/>
                <w:szCs w:val="18"/>
                <w:lang w:eastAsia="en-GB"/>
              </w:rPr>
            </w:pPr>
          </w:p>
        </w:tc>
        <w:tc>
          <w:tcPr>
            <w:tcW w:w="1222" w:type="dxa"/>
            <w:vAlign w:val="center"/>
          </w:tcPr>
          <w:p w14:paraId="423756D9" w14:textId="77777777" w:rsidR="007B24DB" w:rsidRPr="008618F5" w:rsidRDefault="007B24DB" w:rsidP="009D3197">
            <w:pPr>
              <w:spacing w:line="240" w:lineRule="auto"/>
              <w:jc w:val="center"/>
              <w:rPr>
                <w:rFonts w:ascii="Verdana" w:eastAsia="Times New Roman" w:hAnsi="Verdana" w:cs="Times New Roman"/>
                <w:sz w:val="18"/>
                <w:szCs w:val="18"/>
                <w:lang w:eastAsia="en-GB"/>
              </w:rPr>
            </w:pPr>
          </w:p>
        </w:tc>
        <w:tc>
          <w:tcPr>
            <w:tcW w:w="1208" w:type="dxa"/>
            <w:vAlign w:val="center"/>
          </w:tcPr>
          <w:p w14:paraId="600B8E48" w14:textId="77777777" w:rsidR="007B24DB" w:rsidRPr="008618F5" w:rsidRDefault="007B24DB" w:rsidP="009D3197">
            <w:pPr>
              <w:spacing w:line="240" w:lineRule="auto"/>
              <w:jc w:val="center"/>
              <w:rPr>
                <w:rFonts w:ascii="Verdana" w:eastAsia="Times New Roman" w:hAnsi="Verdana" w:cs="Times New Roman"/>
                <w:sz w:val="18"/>
                <w:szCs w:val="18"/>
                <w:lang w:eastAsia="en-GB"/>
              </w:rPr>
            </w:pPr>
          </w:p>
        </w:tc>
        <w:tc>
          <w:tcPr>
            <w:tcW w:w="2700" w:type="dxa"/>
            <w:vAlign w:val="center"/>
          </w:tcPr>
          <w:p w14:paraId="365E5CFD" w14:textId="77777777" w:rsidR="007B24DB" w:rsidRPr="008618F5" w:rsidRDefault="007B24DB" w:rsidP="009D3197">
            <w:pPr>
              <w:spacing w:line="240" w:lineRule="auto"/>
              <w:rPr>
                <w:rFonts w:ascii="Verdana" w:eastAsia="Times New Roman" w:hAnsi="Verdana" w:cs="Times New Roman"/>
                <w:sz w:val="18"/>
                <w:szCs w:val="18"/>
                <w:lang w:eastAsia="en-GB"/>
              </w:rPr>
            </w:pPr>
          </w:p>
        </w:tc>
        <w:tc>
          <w:tcPr>
            <w:tcW w:w="1255" w:type="dxa"/>
            <w:vAlign w:val="center"/>
          </w:tcPr>
          <w:p w14:paraId="5D2220E9" w14:textId="77777777" w:rsidR="007B24DB" w:rsidRPr="008618F5" w:rsidRDefault="007B24DB" w:rsidP="009D3197">
            <w:pPr>
              <w:spacing w:line="240" w:lineRule="auto"/>
              <w:rPr>
                <w:rFonts w:ascii="Verdana" w:eastAsia="Times New Roman" w:hAnsi="Verdana" w:cs="Times New Roman"/>
                <w:sz w:val="18"/>
                <w:szCs w:val="18"/>
                <w:lang w:eastAsia="en-GB"/>
              </w:rPr>
            </w:pPr>
          </w:p>
        </w:tc>
      </w:tr>
      <w:tr w:rsidR="000A4534" w:rsidRPr="003455B0" w14:paraId="61827AA6" w14:textId="77777777" w:rsidTr="00087534">
        <w:trPr>
          <w:trHeight w:val="377"/>
          <w:jc w:val="center"/>
        </w:trPr>
        <w:tc>
          <w:tcPr>
            <w:tcW w:w="1834" w:type="dxa"/>
            <w:shd w:val="clear" w:color="auto" w:fill="FFFFFF" w:themeFill="background1"/>
            <w:vAlign w:val="center"/>
          </w:tcPr>
          <w:p w14:paraId="1C048557" w14:textId="3ABDB3AC" w:rsidR="000A4534" w:rsidRPr="00087534" w:rsidRDefault="000A4534" w:rsidP="000A4534">
            <w:pPr>
              <w:spacing w:line="240" w:lineRule="auto"/>
              <w:rPr>
                <w:rFonts w:ascii="Verdana" w:hAnsi="Verdana"/>
                <w:color w:val="auto"/>
                <w:sz w:val="18"/>
                <w:szCs w:val="18"/>
              </w:rPr>
            </w:pPr>
            <w:r w:rsidRPr="00087534">
              <w:rPr>
                <w:rFonts w:ascii="Verdana" w:hAnsi="Verdana"/>
                <w:color w:val="auto"/>
                <w:sz w:val="18"/>
                <w:szCs w:val="18"/>
              </w:rPr>
              <w:t>Increased levels of funding at sub-national level, intended for COVID 19 response, create disincentives for transparent PFM systems, to allow for the diversion of funds.</w:t>
            </w:r>
          </w:p>
        </w:tc>
        <w:tc>
          <w:tcPr>
            <w:tcW w:w="1131" w:type="dxa"/>
            <w:shd w:val="clear" w:color="auto" w:fill="FFFFFF" w:themeFill="background1"/>
            <w:vAlign w:val="center"/>
          </w:tcPr>
          <w:p w14:paraId="747C1B1E" w14:textId="0AE450BD" w:rsidR="000A4534" w:rsidRPr="00087534" w:rsidRDefault="000A4534" w:rsidP="000A4534">
            <w:pPr>
              <w:spacing w:line="240" w:lineRule="auto"/>
              <w:jc w:val="center"/>
              <w:rPr>
                <w:rFonts w:ascii="Verdana" w:hAnsi="Verdana"/>
                <w:color w:val="auto"/>
                <w:sz w:val="18"/>
                <w:szCs w:val="18"/>
              </w:rPr>
            </w:pPr>
            <w:r w:rsidRPr="00087534">
              <w:rPr>
                <w:rFonts w:ascii="Verdana" w:eastAsia="Times New Roman" w:hAnsi="Verdana" w:cs="Times New Roman"/>
                <w:color w:val="auto"/>
                <w:sz w:val="18"/>
                <w:szCs w:val="18"/>
                <w:lang w:eastAsia="en-GB"/>
              </w:rPr>
              <w:t>12</w:t>
            </w:r>
          </w:p>
        </w:tc>
        <w:tc>
          <w:tcPr>
            <w:tcW w:w="1222" w:type="dxa"/>
            <w:shd w:val="clear" w:color="auto" w:fill="FFFFFF" w:themeFill="background1"/>
            <w:vAlign w:val="center"/>
          </w:tcPr>
          <w:p w14:paraId="58294DCD" w14:textId="73FA0ABE" w:rsidR="000A4534" w:rsidRPr="00087534" w:rsidRDefault="000A4534" w:rsidP="000A4534">
            <w:pPr>
              <w:spacing w:line="240" w:lineRule="auto"/>
              <w:jc w:val="center"/>
              <w:rPr>
                <w:rFonts w:ascii="Verdana" w:hAnsi="Verdana"/>
                <w:color w:val="auto"/>
                <w:sz w:val="18"/>
                <w:szCs w:val="18"/>
              </w:rPr>
            </w:pPr>
            <w:r w:rsidRPr="00087534">
              <w:rPr>
                <w:rFonts w:ascii="Verdana" w:eastAsia="Times New Roman" w:hAnsi="Verdana" w:cs="Times New Roman"/>
                <w:color w:val="auto"/>
                <w:sz w:val="18"/>
                <w:szCs w:val="18"/>
                <w:lang w:eastAsia="en-GB"/>
              </w:rPr>
              <w:t>4</w:t>
            </w:r>
          </w:p>
        </w:tc>
        <w:tc>
          <w:tcPr>
            <w:tcW w:w="1208" w:type="dxa"/>
            <w:shd w:val="clear" w:color="auto" w:fill="FFFFFF" w:themeFill="background1"/>
            <w:vAlign w:val="center"/>
          </w:tcPr>
          <w:p w14:paraId="439A8DB6" w14:textId="5A7B220B" w:rsidR="000A4534" w:rsidRPr="00087534" w:rsidRDefault="000A4534" w:rsidP="000A4534">
            <w:pPr>
              <w:spacing w:line="240" w:lineRule="auto"/>
              <w:jc w:val="center"/>
              <w:rPr>
                <w:rFonts w:ascii="Verdana" w:hAnsi="Verdana"/>
                <w:color w:val="auto"/>
                <w:sz w:val="18"/>
                <w:szCs w:val="18"/>
              </w:rPr>
            </w:pPr>
            <w:r w:rsidRPr="00087534">
              <w:rPr>
                <w:rFonts w:ascii="Verdana" w:eastAsia="Times New Roman" w:hAnsi="Verdana" w:cs="Times New Roman"/>
                <w:color w:val="auto"/>
                <w:sz w:val="18"/>
                <w:szCs w:val="18"/>
                <w:lang w:eastAsia="en-GB"/>
              </w:rPr>
              <w:t>3</w:t>
            </w:r>
          </w:p>
        </w:tc>
        <w:tc>
          <w:tcPr>
            <w:tcW w:w="2700" w:type="dxa"/>
            <w:shd w:val="clear" w:color="auto" w:fill="FFFFFF" w:themeFill="background1"/>
            <w:vAlign w:val="center"/>
          </w:tcPr>
          <w:p w14:paraId="1B3B4999" w14:textId="40D5E620" w:rsidR="000A4534" w:rsidRPr="00087534" w:rsidRDefault="000A4534" w:rsidP="000A4534">
            <w:pPr>
              <w:spacing w:line="240" w:lineRule="auto"/>
              <w:rPr>
                <w:rFonts w:ascii="Verdana" w:hAnsi="Verdana"/>
                <w:color w:val="auto"/>
                <w:sz w:val="18"/>
                <w:szCs w:val="18"/>
              </w:rPr>
            </w:pPr>
            <w:r w:rsidRPr="00087534">
              <w:rPr>
                <w:rFonts w:ascii="Verdana" w:eastAsia="Times New Roman" w:hAnsi="Verdana" w:cs="Times New Roman"/>
                <w:color w:val="auto"/>
                <w:sz w:val="18"/>
                <w:szCs w:val="18"/>
                <w:lang w:eastAsia="en-GB"/>
              </w:rPr>
              <w:t xml:space="preserve">PUNO’s partner with lending and aid institutions to ensure PFM institutional reforms are customized to constantly changing service delivery platforms. </w:t>
            </w:r>
          </w:p>
        </w:tc>
        <w:tc>
          <w:tcPr>
            <w:tcW w:w="1255" w:type="dxa"/>
            <w:shd w:val="clear" w:color="auto" w:fill="FFFFFF" w:themeFill="background1"/>
            <w:vAlign w:val="center"/>
          </w:tcPr>
          <w:p w14:paraId="4C833B30" w14:textId="68EA2334" w:rsidR="000A4534" w:rsidRPr="00087534" w:rsidRDefault="000A4534" w:rsidP="000A4534">
            <w:pPr>
              <w:spacing w:line="240" w:lineRule="auto"/>
              <w:rPr>
                <w:rFonts w:ascii="Verdana" w:eastAsia="Times New Roman" w:hAnsi="Verdana" w:cs="Times New Roman"/>
                <w:color w:val="auto"/>
                <w:sz w:val="18"/>
                <w:szCs w:val="18"/>
                <w:lang w:eastAsia="en-GB"/>
              </w:rPr>
            </w:pPr>
            <w:r w:rsidRPr="00087534">
              <w:rPr>
                <w:rFonts w:ascii="Verdana" w:eastAsia="Times New Roman" w:hAnsi="Verdana" w:cs="Times New Roman"/>
                <w:color w:val="auto"/>
                <w:sz w:val="18"/>
                <w:szCs w:val="18"/>
                <w:lang w:eastAsia="en-GB"/>
              </w:rPr>
              <w:t>PUNO</w:t>
            </w:r>
          </w:p>
        </w:tc>
      </w:tr>
      <w:tr w:rsidR="000A4534" w:rsidRPr="003455B0" w14:paraId="217B5183" w14:textId="77777777" w:rsidTr="009D3197">
        <w:trPr>
          <w:trHeight w:val="377"/>
          <w:jc w:val="center"/>
        </w:trPr>
        <w:tc>
          <w:tcPr>
            <w:tcW w:w="1834" w:type="dxa"/>
            <w:vAlign w:val="center"/>
          </w:tcPr>
          <w:p w14:paraId="404953CA" w14:textId="77777777" w:rsidR="000A4534" w:rsidRPr="008618F5" w:rsidRDefault="000A4534" w:rsidP="000A4534">
            <w:pPr>
              <w:spacing w:line="240" w:lineRule="auto"/>
              <w:rPr>
                <w:rFonts w:ascii="Verdana" w:eastAsia="Times New Roman" w:hAnsi="Verdana" w:cs="Times New Roman"/>
                <w:color w:val="auto"/>
                <w:sz w:val="18"/>
                <w:szCs w:val="18"/>
                <w:lang w:eastAsia="en-GB"/>
              </w:rPr>
            </w:pPr>
            <w:r w:rsidRPr="008618F5">
              <w:rPr>
                <w:rFonts w:ascii="Verdana" w:hAnsi="Verdana"/>
                <w:color w:val="auto"/>
                <w:sz w:val="18"/>
                <w:szCs w:val="18"/>
              </w:rPr>
              <w:t>Low financial and programmatic capacity of implementing partners.</w:t>
            </w:r>
          </w:p>
        </w:tc>
        <w:tc>
          <w:tcPr>
            <w:tcW w:w="1131" w:type="dxa"/>
            <w:vAlign w:val="center"/>
          </w:tcPr>
          <w:p w14:paraId="58203403" w14:textId="77777777" w:rsidR="000A4534" w:rsidRPr="008618F5" w:rsidRDefault="000A4534" w:rsidP="000A4534">
            <w:pPr>
              <w:spacing w:line="240" w:lineRule="auto"/>
              <w:jc w:val="center"/>
              <w:rPr>
                <w:rFonts w:ascii="Verdana" w:eastAsia="Times New Roman" w:hAnsi="Verdana" w:cs="Times New Roman"/>
                <w:color w:val="auto"/>
                <w:sz w:val="18"/>
                <w:szCs w:val="18"/>
                <w:lang w:eastAsia="en-GB"/>
              </w:rPr>
            </w:pPr>
            <w:r w:rsidRPr="008618F5">
              <w:rPr>
                <w:rFonts w:ascii="Verdana" w:hAnsi="Verdana"/>
                <w:color w:val="auto"/>
                <w:sz w:val="18"/>
                <w:szCs w:val="18"/>
              </w:rPr>
              <w:t>3</w:t>
            </w:r>
          </w:p>
        </w:tc>
        <w:tc>
          <w:tcPr>
            <w:tcW w:w="1222" w:type="dxa"/>
            <w:vAlign w:val="center"/>
          </w:tcPr>
          <w:p w14:paraId="667849CE" w14:textId="77777777" w:rsidR="000A4534" w:rsidRPr="008618F5" w:rsidRDefault="000A4534" w:rsidP="000A4534">
            <w:pPr>
              <w:spacing w:line="240" w:lineRule="auto"/>
              <w:jc w:val="center"/>
              <w:rPr>
                <w:rFonts w:ascii="Verdana" w:eastAsia="Times New Roman" w:hAnsi="Verdana" w:cs="Times New Roman"/>
                <w:color w:val="auto"/>
                <w:sz w:val="18"/>
                <w:szCs w:val="18"/>
                <w:lang w:eastAsia="en-GB"/>
              </w:rPr>
            </w:pPr>
            <w:r w:rsidRPr="008618F5">
              <w:rPr>
                <w:rFonts w:ascii="Verdana" w:hAnsi="Verdana"/>
                <w:color w:val="auto"/>
                <w:sz w:val="18"/>
                <w:szCs w:val="18"/>
              </w:rPr>
              <w:t>3</w:t>
            </w:r>
          </w:p>
        </w:tc>
        <w:tc>
          <w:tcPr>
            <w:tcW w:w="1208" w:type="dxa"/>
            <w:vAlign w:val="center"/>
          </w:tcPr>
          <w:p w14:paraId="2FB44133" w14:textId="77777777" w:rsidR="000A4534" w:rsidRPr="008618F5" w:rsidRDefault="000A4534" w:rsidP="000A4534">
            <w:pPr>
              <w:spacing w:line="240" w:lineRule="auto"/>
              <w:jc w:val="center"/>
              <w:rPr>
                <w:rFonts w:ascii="Verdana" w:eastAsia="Times New Roman" w:hAnsi="Verdana" w:cs="Times New Roman"/>
                <w:color w:val="auto"/>
                <w:sz w:val="18"/>
                <w:szCs w:val="18"/>
                <w:lang w:eastAsia="en-GB"/>
              </w:rPr>
            </w:pPr>
            <w:r w:rsidRPr="008618F5">
              <w:rPr>
                <w:rFonts w:ascii="Verdana" w:hAnsi="Verdana"/>
                <w:color w:val="auto"/>
                <w:sz w:val="18"/>
                <w:szCs w:val="18"/>
              </w:rPr>
              <w:t>1</w:t>
            </w:r>
          </w:p>
        </w:tc>
        <w:tc>
          <w:tcPr>
            <w:tcW w:w="2700" w:type="dxa"/>
            <w:vAlign w:val="center"/>
          </w:tcPr>
          <w:p w14:paraId="31360171" w14:textId="77777777" w:rsidR="000A4534" w:rsidRPr="008618F5" w:rsidRDefault="000A4534" w:rsidP="000A4534">
            <w:pPr>
              <w:spacing w:line="240" w:lineRule="auto"/>
              <w:rPr>
                <w:rFonts w:ascii="Verdana" w:eastAsia="Times New Roman" w:hAnsi="Verdana" w:cs="Times New Roman"/>
                <w:color w:val="auto"/>
                <w:sz w:val="18"/>
                <w:szCs w:val="18"/>
                <w:lang w:eastAsia="en-GB"/>
              </w:rPr>
            </w:pPr>
            <w:r w:rsidRPr="008618F5">
              <w:rPr>
                <w:rFonts w:ascii="Verdana" w:hAnsi="Verdana"/>
                <w:color w:val="auto"/>
                <w:sz w:val="18"/>
                <w:szCs w:val="18"/>
              </w:rPr>
              <w:t>Assurance activities include programmatic visits, spot checks and audits. NGO profiles, previous history and prior audit reports are considered when developing partnerships. Ongoing financial management monitoring (spot checks and audits) are carried out in line with each partner’s identified risk rating.</w:t>
            </w:r>
          </w:p>
        </w:tc>
        <w:tc>
          <w:tcPr>
            <w:tcW w:w="1255" w:type="dxa"/>
            <w:vAlign w:val="center"/>
          </w:tcPr>
          <w:p w14:paraId="7FE22390" w14:textId="77777777" w:rsidR="000A4534" w:rsidRPr="008618F5" w:rsidRDefault="000A4534" w:rsidP="000A4534">
            <w:pPr>
              <w:spacing w:line="240" w:lineRule="auto"/>
              <w:rPr>
                <w:rFonts w:ascii="Verdana" w:eastAsia="Times New Roman" w:hAnsi="Verdana" w:cs="Times New Roman"/>
                <w:color w:val="auto"/>
                <w:sz w:val="18"/>
                <w:szCs w:val="18"/>
                <w:lang w:eastAsia="en-GB"/>
              </w:rPr>
            </w:pPr>
            <w:r w:rsidRPr="008618F5">
              <w:rPr>
                <w:rFonts w:ascii="Verdana" w:eastAsia="Times New Roman" w:hAnsi="Verdana" w:cs="Times New Roman"/>
                <w:color w:val="auto"/>
                <w:sz w:val="18"/>
                <w:szCs w:val="18"/>
                <w:lang w:eastAsia="en-GB"/>
              </w:rPr>
              <w:t xml:space="preserve">PUNO, State Mentoring Teams (MoFP) </w:t>
            </w:r>
          </w:p>
        </w:tc>
      </w:tr>
    </w:tbl>
    <w:p w14:paraId="2D937276" w14:textId="77777777" w:rsidR="003B1C02" w:rsidRPr="003E2544" w:rsidRDefault="003B1C02" w:rsidP="00245274">
      <w:pPr>
        <w:spacing w:line="240" w:lineRule="auto"/>
        <w:jc w:val="both"/>
        <w:rPr>
          <w:rFonts w:ascii="Verdana" w:eastAsia="Times New Roman" w:hAnsi="Verdana" w:cs="Times New Roman"/>
          <w:i/>
          <w:iCs/>
          <w:color w:val="C45911" w:themeColor="accent2" w:themeShade="BF"/>
          <w:sz w:val="20"/>
          <w:szCs w:val="20"/>
          <w:lang w:eastAsia="en-GB"/>
        </w:rPr>
      </w:pPr>
    </w:p>
    <w:p w14:paraId="0B51B847" w14:textId="2163617A" w:rsidR="00272BF8" w:rsidRPr="003E2544" w:rsidRDefault="00272BF8" w:rsidP="00245274">
      <w:pPr>
        <w:spacing w:line="240" w:lineRule="auto"/>
        <w:rPr>
          <w:rFonts w:ascii="Verdana" w:eastAsia="Times New Roman" w:hAnsi="Verdana" w:cs="Times New Roman"/>
          <w:color w:val="000000" w:themeColor="text1"/>
          <w:sz w:val="20"/>
          <w:szCs w:val="20"/>
          <w:lang w:eastAsia="en-GB"/>
        </w:rPr>
      </w:pPr>
    </w:p>
    <w:bookmarkEnd w:id="11"/>
    <w:p w14:paraId="3A853F13" w14:textId="77777777" w:rsidR="00AD02EB" w:rsidRPr="003E2544" w:rsidRDefault="00AD02EB" w:rsidP="00245274">
      <w:pPr>
        <w:spacing w:line="240" w:lineRule="auto"/>
        <w:rPr>
          <w:rFonts w:ascii="Verdana" w:eastAsia="Verdana" w:hAnsi="Verdana" w:cs="Verdana"/>
          <w:b/>
          <w:bCs/>
        </w:rPr>
        <w:sectPr w:rsidR="00AD02EB" w:rsidRPr="003E2544" w:rsidSect="001B38F0">
          <w:pgSz w:w="12240" w:h="15840"/>
          <w:pgMar w:top="1440" w:right="1440" w:bottom="1440" w:left="1440" w:header="720" w:footer="720" w:gutter="0"/>
          <w:cols w:space="720"/>
          <w:titlePg/>
          <w:docGrid w:linePitch="360"/>
        </w:sectPr>
      </w:pPr>
    </w:p>
    <w:p w14:paraId="5292997E" w14:textId="06CBCACC" w:rsidR="008A737A" w:rsidRPr="007F013C" w:rsidRDefault="008A737A" w:rsidP="008A737A">
      <w:pPr>
        <w:pStyle w:val="Heading2"/>
      </w:pPr>
      <w:r w:rsidRPr="008A737A">
        <w:lastRenderedPageBreak/>
        <w:t xml:space="preserve">Annex </w:t>
      </w:r>
      <w:r>
        <w:t>6</w:t>
      </w:r>
      <w:r w:rsidRPr="008A737A">
        <w:t xml:space="preserve">. SDGs and </w:t>
      </w:r>
      <w:r>
        <w:t>T</w:t>
      </w:r>
      <w:r w:rsidRPr="008A737A">
        <w:t xml:space="preserve">argets </w:t>
      </w:r>
    </w:p>
    <w:p w14:paraId="5D174692" w14:textId="77777777" w:rsidR="008A737A" w:rsidRDefault="008A737A" w:rsidP="008A737A">
      <w:pPr>
        <w:spacing w:line="240" w:lineRule="auto"/>
      </w:pPr>
    </w:p>
    <w:tbl>
      <w:tblPr>
        <w:tblW w:w="5000" w:type="pct"/>
        <w:tblLayout w:type="fixed"/>
        <w:tblCellMar>
          <w:left w:w="0" w:type="dxa"/>
          <w:right w:w="0" w:type="dxa"/>
        </w:tblCellMar>
        <w:tblLook w:val="04A0" w:firstRow="1" w:lastRow="0" w:firstColumn="1" w:lastColumn="0" w:noHBand="0" w:noVBand="1"/>
      </w:tblPr>
      <w:tblGrid>
        <w:gridCol w:w="803"/>
        <w:gridCol w:w="3071"/>
        <w:gridCol w:w="2370"/>
        <w:gridCol w:w="2926"/>
        <w:gridCol w:w="1610"/>
      </w:tblGrid>
      <w:tr w:rsidR="008A737A" w:rsidRPr="003455B0" w14:paraId="464C237B" w14:textId="77777777" w:rsidTr="008B5897">
        <w:trPr>
          <w:trHeight w:val="208"/>
        </w:trPr>
        <w:tc>
          <w:tcPr>
            <w:tcW w:w="80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15" w:type="dxa"/>
              <w:left w:w="74" w:type="dxa"/>
              <w:bottom w:w="0" w:type="dxa"/>
              <w:right w:w="74" w:type="dxa"/>
            </w:tcMar>
            <w:hideMark/>
          </w:tcPr>
          <w:p w14:paraId="60FB3A09" w14:textId="77777777" w:rsidR="008A737A" w:rsidRPr="00DC4150" w:rsidRDefault="008A737A" w:rsidP="008B5897">
            <w:pPr>
              <w:spacing w:line="240" w:lineRule="auto"/>
              <w:rPr>
                <w:rFonts w:ascii="Verdana" w:eastAsia="Calibri" w:hAnsi="Verdana" w:cs="Times New Roman"/>
                <w:iCs/>
                <w:sz w:val="18"/>
                <w:szCs w:val="18"/>
              </w:rPr>
            </w:pPr>
            <w:r w:rsidRPr="000465E0">
              <w:rPr>
                <w:rFonts w:ascii="Verdana" w:eastAsia="Calibri" w:hAnsi="Verdana" w:cs="Times New Roman"/>
                <w:b/>
                <w:bCs/>
                <w:iCs/>
                <w:sz w:val="18"/>
                <w:szCs w:val="18"/>
              </w:rPr>
              <w:t> </w:t>
            </w:r>
          </w:p>
        </w:tc>
        <w:tc>
          <w:tcPr>
            <w:tcW w:w="307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15" w:type="dxa"/>
              <w:left w:w="74" w:type="dxa"/>
              <w:bottom w:w="0" w:type="dxa"/>
              <w:right w:w="74" w:type="dxa"/>
            </w:tcMar>
            <w:hideMark/>
          </w:tcPr>
          <w:p w14:paraId="20EE53CC" w14:textId="77777777" w:rsidR="008A737A" w:rsidRPr="008A737A" w:rsidRDefault="008A737A" w:rsidP="008B5897">
            <w:pPr>
              <w:spacing w:line="240" w:lineRule="auto"/>
              <w:jc w:val="center"/>
              <w:rPr>
                <w:rFonts w:ascii="Verdana" w:eastAsia="Calibri" w:hAnsi="Verdana" w:cs="Times New Roman"/>
                <w:b/>
                <w:bCs/>
                <w:iCs/>
                <w:sz w:val="18"/>
                <w:szCs w:val="18"/>
              </w:rPr>
            </w:pPr>
            <w:r w:rsidRPr="008A737A">
              <w:rPr>
                <w:rFonts w:ascii="Verdana" w:eastAsia="Calibri" w:hAnsi="Verdana" w:cs="Times New Roman"/>
                <w:b/>
                <w:bCs/>
                <w:iCs/>
                <w:sz w:val="18"/>
                <w:szCs w:val="18"/>
              </w:rPr>
              <w:t>Target</w:t>
            </w:r>
          </w:p>
          <w:p w14:paraId="72117B7E" w14:textId="77777777" w:rsidR="008A737A" w:rsidRPr="008A737A" w:rsidRDefault="008A737A" w:rsidP="008B5897">
            <w:pPr>
              <w:spacing w:line="240" w:lineRule="auto"/>
              <w:jc w:val="center"/>
              <w:rPr>
                <w:rFonts w:ascii="Verdana" w:eastAsia="Calibri" w:hAnsi="Verdana" w:cs="Times New Roman"/>
                <w:iCs/>
                <w:sz w:val="18"/>
                <w:szCs w:val="18"/>
              </w:rPr>
            </w:pPr>
          </w:p>
        </w:tc>
        <w:tc>
          <w:tcPr>
            <w:tcW w:w="237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15" w:type="dxa"/>
              <w:left w:w="74" w:type="dxa"/>
              <w:bottom w:w="0" w:type="dxa"/>
              <w:right w:w="74" w:type="dxa"/>
            </w:tcMar>
            <w:hideMark/>
          </w:tcPr>
          <w:p w14:paraId="23BB8E6E" w14:textId="77777777" w:rsidR="008A737A" w:rsidRPr="008A737A" w:rsidRDefault="008A737A" w:rsidP="008B5897">
            <w:pPr>
              <w:spacing w:line="240" w:lineRule="auto"/>
              <w:jc w:val="center"/>
              <w:rPr>
                <w:rFonts w:ascii="Verdana" w:eastAsia="Calibri" w:hAnsi="Verdana" w:cs="Times New Roman"/>
                <w:iCs/>
                <w:sz w:val="18"/>
                <w:szCs w:val="18"/>
              </w:rPr>
            </w:pPr>
            <w:r w:rsidRPr="008A737A">
              <w:rPr>
                <w:rFonts w:ascii="Verdana" w:eastAsia="Calibri" w:hAnsi="Verdana" w:cs="Times New Roman"/>
                <w:b/>
                <w:bCs/>
                <w:iCs/>
                <w:sz w:val="18"/>
                <w:szCs w:val="18"/>
              </w:rPr>
              <w:t>Indicator</w:t>
            </w:r>
          </w:p>
        </w:tc>
        <w:tc>
          <w:tcPr>
            <w:tcW w:w="292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Pr>
          <w:p w14:paraId="6D53DCF6" w14:textId="77777777" w:rsidR="008A737A" w:rsidRPr="008A737A" w:rsidRDefault="008A737A" w:rsidP="008B5897">
            <w:pPr>
              <w:spacing w:line="240" w:lineRule="auto"/>
              <w:jc w:val="center"/>
              <w:rPr>
                <w:rFonts w:ascii="Verdana" w:eastAsia="Calibri" w:hAnsi="Verdana" w:cs="Times New Roman"/>
                <w:b/>
                <w:bCs/>
                <w:iCs/>
                <w:sz w:val="18"/>
                <w:szCs w:val="18"/>
              </w:rPr>
            </w:pPr>
            <w:r w:rsidRPr="008A737A">
              <w:rPr>
                <w:rFonts w:ascii="Verdana" w:eastAsia="Calibri" w:hAnsi="Verdana" w:cs="Times New Roman"/>
                <w:b/>
                <w:bCs/>
                <w:iCs/>
                <w:sz w:val="18"/>
                <w:szCs w:val="18"/>
              </w:rPr>
              <w:t>Baseline and Target</w:t>
            </w:r>
          </w:p>
        </w:tc>
        <w:tc>
          <w:tcPr>
            <w:tcW w:w="161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15" w:type="dxa"/>
              <w:left w:w="74" w:type="dxa"/>
              <w:bottom w:w="0" w:type="dxa"/>
              <w:right w:w="74" w:type="dxa"/>
            </w:tcMar>
          </w:tcPr>
          <w:p w14:paraId="4550C2C0" w14:textId="77777777" w:rsidR="008A737A" w:rsidRPr="008A737A" w:rsidRDefault="008A737A" w:rsidP="008B5897">
            <w:pPr>
              <w:spacing w:line="240" w:lineRule="auto"/>
              <w:jc w:val="center"/>
              <w:rPr>
                <w:rFonts w:ascii="Verdana" w:eastAsia="Calibri" w:hAnsi="Verdana" w:cs="Times New Roman"/>
                <w:iCs/>
                <w:sz w:val="18"/>
                <w:szCs w:val="18"/>
              </w:rPr>
            </w:pPr>
            <w:r w:rsidRPr="008A737A">
              <w:rPr>
                <w:rFonts w:ascii="Verdana" w:eastAsia="Calibri" w:hAnsi="Verdana" w:cs="Times New Roman"/>
                <w:b/>
                <w:bCs/>
                <w:iCs/>
                <w:sz w:val="18"/>
                <w:szCs w:val="18"/>
              </w:rPr>
              <w:t>Means of Verification</w:t>
            </w:r>
          </w:p>
        </w:tc>
      </w:tr>
      <w:tr w:rsidR="008A737A" w:rsidRPr="003455B0" w14:paraId="10878CB0" w14:textId="77777777" w:rsidTr="008B5897">
        <w:trPr>
          <w:trHeight w:val="1662"/>
        </w:trPr>
        <w:tc>
          <w:tcPr>
            <w:tcW w:w="803" w:type="dxa"/>
            <w:vMerge w:val="restar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Mar>
              <w:top w:w="15" w:type="dxa"/>
              <w:left w:w="74" w:type="dxa"/>
              <w:bottom w:w="0" w:type="dxa"/>
              <w:right w:w="74" w:type="dxa"/>
            </w:tcMar>
            <w:vAlign w:val="center"/>
            <w:hideMark/>
          </w:tcPr>
          <w:p w14:paraId="71F9F674" w14:textId="77777777" w:rsidR="008A737A" w:rsidRPr="008A737A" w:rsidRDefault="008A737A" w:rsidP="008B5897">
            <w:pPr>
              <w:spacing w:line="240" w:lineRule="auto"/>
              <w:jc w:val="center"/>
              <w:rPr>
                <w:rFonts w:ascii="Verdana" w:eastAsia="Calibri" w:hAnsi="Verdana" w:cs="Times New Roman"/>
                <w:iCs/>
                <w:sz w:val="18"/>
                <w:szCs w:val="18"/>
              </w:rPr>
            </w:pPr>
            <w:r w:rsidRPr="008A737A">
              <w:rPr>
                <w:rFonts w:ascii="Verdana" w:eastAsia="Calibri" w:hAnsi="Verdana" w:cs="Times New Roman"/>
                <w:b/>
                <w:bCs/>
                <w:iCs/>
                <w:sz w:val="18"/>
                <w:szCs w:val="18"/>
              </w:rPr>
              <w:t>SDG 1</w:t>
            </w:r>
          </w:p>
          <w:p w14:paraId="1D70B901" w14:textId="77777777" w:rsidR="008A737A" w:rsidRPr="008A737A" w:rsidRDefault="008A737A" w:rsidP="008B5897">
            <w:pPr>
              <w:spacing w:line="240" w:lineRule="auto"/>
              <w:jc w:val="center"/>
              <w:rPr>
                <w:rFonts w:ascii="Verdana" w:eastAsia="Calibri" w:hAnsi="Verdana" w:cs="Times New Roman"/>
                <w:iCs/>
                <w:sz w:val="18"/>
                <w:szCs w:val="18"/>
              </w:rPr>
            </w:pPr>
          </w:p>
        </w:tc>
        <w:tc>
          <w:tcPr>
            <w:tcW w:w="307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15" w:type="dxa"/>
              <w:left w:w="74" w:type="dxa"/>
              <w:bottom w:w="0" w:type="dxa"/>
              <w:right w:w="74" w:type="dxa"/>
            </w:tcMar>
            <w:hideMark/>
          </w:tcPr>
          <w:p w14:paraId="08760E65" w14:textId="77777777" w:rsidR="008A737A" w:rsidRPr="003455B0" w:rsidRDefault="008A737A" w:rsidP="008B5897">
            <w:pPr>
              <w:spacing w:line="240" w:lineRule="auto"/>
              <w:rPr>
                <w:rFonts w:ascii="Verdana" w:eastAsia="Calibri" w:hAnsi="Verdana" w:cs="Times New Roman"/>
                <w:iCs/>
                <w:sz w:val="18"/>
                <w:szCs w:val="18"/>
              </w:rPr>
            </w:pPr>
            <w:r w:rsidRPr="000465E0">
              <w:rPr>
                <w:rFonts w:ascii="Verdana" w:eastAsia="Calibri" w:hAnsi="Verdana" w:cs="Times New Roman"/>
                <w:iCs/>
                <w:sz w:val="18"/>
                <w:szCs w:val="18"/>
              </w:rPr>
              <w:t xml:space="preserve">1.A: Ensure significant mobilization of resources from a variety of sources, including through enhanced development cooperation, in order to provide adequate and predictable means for developing countries, in particular </w:t>
            </w:r>
            <w:r w:rsidRPr="00DC4150">
              <w:rPr>
                <w:rFonts w:ascii="Verdana" w:eastAsia="Calibri" w:hAnsi="Verdana" w:cs="Times New Roman"/>
                <w:iCs/>
                <w:sz w:val="18"/>
                <w:szCs w:val="18"/>
              </w:rPr>
              <w:t>least developed countries, to implement programmes and policies to end poverty in all its dimensions</w:t>
            </w:r>
          </w:p>
        </w:tc>
        <w:tc>
          <w:tcPr>
            <w:tcW w:w="237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15" w:type="dxa"/>
              <w:left w:w="74" w:type="dxa"/>
              <w:bottom w:w="0" w:type="dxa"/>
              <w:right w:w="74" w:type="dxa"/>
            </w:tcMar>
            <w:hideMark/>
          </w:tcPr>
          <w:p w14:paraId="3412E08E"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 xml:space="preserve">1.A.1: % of allocation to essential services (Education, Health and Social Protection) at the national and state levels </w:t>
            </w:r>
          </w:p>
        </w:tc>
        <w:tc>
          <w:tcPr>
            <w:tcW w:w="2926"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533D7356" w14:textId="77777777" w:rsidR="008A737A" w:rsidRPr="003455B0" w:rsidRDefault="008A737A" w:rsidP="008B5897">
            <w:pPr>
              <w:spacing w:line="240" w:lineRule="auto"/>
              <w:rPr>
                <w:rFonts w:ascii="Verdana" w:eastAsia="Calibri" w:hAnsi="Verdana" w:cs="Times New Roman"/>
                <w:sz w:val="18"/>
                <w:szCs w:val="18"/>
              </w:rPr>
            </w:pPr>
            <w:r w:rsidRPr="003455B0">
              <w:rPr>
                <w:rFonts w:ascii="Verdana" w:eastAsia="Calibri" w:hAnsi="Verdana" w:cs="Times New Roman"/>
                <w:sz w:val="18"/>
                <w:szCs w:val="18"/>
              </w:rPr>
              <w:t xml:space="preserve">Baseline (2019/20 - approved allocation): </w:t>
            </w:r>
          </w:p>
          <w:p w14:paraId="777E9C94" w14:textId="77777777" w:rsidR="008A737A" w:rsidRPr="003455B0" w:rsidRDefault="008A737A" w:rsidP="008B5897">
            <w:pPr>
              <w:pStyle w:val="ListParagraph"/>
              <w:numPr>
                <w:ilvl w:val="0"/>
                <w:numId w:val="53"/>
              </w:numPr>
              <w:spacing w:line="240" w:lineRule="auto"/>
              <w:rPr>
                <w:rFonts w:ascii="Verdana" w:eastAsia="Calibri" w:hAnsi="Verdana" w:cs="Times New Roman"/>
                <w:sz w:val="18"/>
                <w:szCs w:val="18"/>
              </w:rPr>
            </w:pPr>
            <w:r w:rsidRPr="003455B0">
              <w:rPr>
                <w:rFonts w:ascii="Verdana" w:eastAsia="Calibri" w:hAnsi="Verdana" w:cs="Times New Roman"/>
                <w:sz w:val="18"/>
                <w:szCs w:val="18"/>
              </w:rPr>
              <w:t xml:space="preserve">National level: 8% Education –5%, Health -1%, Social &amp; Humanitarian Affairs – 2 % (NDS) </w:t>
            </w:r>
          </w:p>
          <w:p w14:paraId="4F49E103" w14:textId="77777777" w:rsidR="008A737A" w:rsidRPr="003455B0" w:rsidRDefault="008A737A" w:rsidP="008B5897">
            <w:pPr>
              <w:pStyle w:val="ListParagraph"/>
              <w:numPr>
                <w:ilvl w:val="0"/>
                <w:numId w:val="53"/>
              </w:numPr>
              <w:spacing w:line="240" w:lineRule="auto"/>
              <w:rPr>
                <w:rFonts w:ascii="Verdana" w:eastAsia="Calibri" w:hAnsi="Verdana" w:cs="Times New Roman"/>
                <w:sz w:val="18"/>
                <w:szCs w:val="18"/>
              </w:rPr>
            </w:pPr>
            <w:r w:rsidRPr="003455B0">
              <w:rPr>
                <w:rFonts w:ascii="Verdana" w:hAnsi="Verdana"/>
                <w:sz w:val="18"/>
                <w:szCs w:val="18"/>
              </w:rPr>
              <w:t>State level: Data not available; established after 2021</w:t>
            </w:r>
          </w:p>
          <w:p w14:paraId="604A04AF" w14:textId="77777777" w:rsidR="008A737A" w:rsidRPr="003455B0" w:rsidRDefault="008A737A" w:rsidP="008B5897">
            <w:pPr>
              <w:spacing w:line="240" w:lineRule="auto"/>
              <w:rPr>
                <w:rFonts w:ascii="Verdana" w:eastAsia="Calibri" w:hAnsi="Verdana" w:cs="Times New Roman"/>
                <w:sz w:val="18"/>
                <w:szCs w:val="18"/>
              </w:rPr>
            </w:pPr>
            <w:r w:rsidRPr="003455B0">
              <w:rPr>
                <w:rFonts w:ascii="Verdana" w:eastAsia="Calibri" w:hAnsi="Verdana" w:cs="Times New Roman"/>
                <w:sz w:val="18"/>
                <w:szCs w:val="18"/>
              </w:rPr>
              <w:t>Target:</w:t>
            </w:r>
          </w:p>
          <w:p w14:paraId="12A28A30" w14:textId="77777777" w:rsidR="008A737A" w:rsidRPr="003455B0" w:rsidRDefault="008A737A" w:rsidP="008B5897">
            <w:pPr>
              <w:pStyle w:val="ListParagraph"/>
              <w:numPr>
                <w:ilvl w:val="0"/>
                <w:numId w:val="53"/>
              </w:numPr>
              <w:spacing w:line="240" w:lineRule="auto"/>
              <w:rPr>
                <w:rFonts w:ascii="Verdana" w:hAnsi="Verdana"/>
                <w:sz w:val="18"/>
                <w:szCs w:val="18"/>
              </w:rPr>
            </w:pPr>
            <w:r w:rsidRPr="003455B0">
              <w:rPr>
                <w:rFonts w:ascii="Verdana" w:eastAsia="Calibri" w:hAnsi="Verdana" w:cs="Times New Roman"/>
                <w:sz w:val="18"/>
                <w:szCs w:val="18"/>
              </w:rPr>
              <w:t>National level: 15%</w:t>
            </w:r>
            <w:r w:rsidRPr="003455B0">
              <w:rPr>
                <w:rFonts w:ascii="Verdana" w:hAnsi="Verdana"/>
                <w:sz w:val="18"/>
                <w:szCs w:val="18"/>
              </w:rPr>
              <w:t xml:space="preserve"> </w:t>
            </w:r>
          </w:p>
          <w:p w14:paraId="009C1A66" w14:textId="77777777" w:rsidR="008A737A" w:rsidRPr="003455B0" w:rsidRDefault="008A737A" w:rsidP="008B5897">
            <w:pPr>
              <w:pStyle w:val="ListParagraph"/>
              <w:numPr>
                <w:ilvl w:val="0"/>
                <w:numId w:val="53"/>
              </w:numPr>
              <w:spacing w:line="240" w:lineRule="auto"/>
              <w:rPr>
                <w:rFonts w:ascii="Verdana" w:hAnsi="Verdana"/>
                <w:sz w:val="18"/>
                <w:szCs w:val="18"/>
              </w:rPr>
            </w:pPr>
            <w:r w:rsidRPr="003455B0">
              <w:rPr>
                <w:rFonts w:ascii="Verdana" w:hAnsi="Verdana"/>
                <w:sz w:val="18"/>
                <w:szCs w:val="18"/>
              </w:rPr>
              <w:t>State level: TBC</w:t>
            </w:r>
          </w:p>
        </w:tc>
        <w:tc>
          <w:tcPr>
            <w:tcW w:w="161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15" w:type="dxa"/>
              <w:left w:w="74" w:type="dxa"/>
              <w:bottom w:w="0" w:type="dxa"/>
              <w:right w:w="74" w:type="dxa"/>
            </w:tcMar>
          </w:tcPr>
          <w:p w14:paraId="7FAD6F0D"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 xml:space="preserve">Approved budgets (allocation) </w:t>
            </w:r>
          </w:p>
          <w:p w14:paraId="3B8A482D" w14:textId="77777777" w:rsidR="008A737A" w:rsidRPr="003455B0" w:rsidRDefault="008A737A" w:rsidP="008B5897">
            <w:pPr>
              <w:spacing w:line="240" w:lineRule="auto"/>
              <w:rPr>
                <w:rFonts w:ascii="Verdana" w:eastAsia="Calibri" w:hAnsi="Verdana" w:cs="Times New Roman"/>
                <w:iCs/>
                <w:sz w:val="18"/>
                <w:szCs w:val="18"/>
              </w:rPr>
            </w:pPr>
          </w:p>
          <w:p w14:paraId="42FFAE81" w14:textId="77777777" w:rsidR="008A737A" w:rsidRPr="003455B0" w:rsidRDefault="008A737A" w:rsidP="008B5897">
            <w:pPr>
              <w:spacing w:line="240" w:lineRule="auto"/>
              <w:rPr>
                <w:rFonts w:ascii="Verdana" w:eastAsia="Calibri" w:hAnsi="Verdana" w:cs="Times New Roman"/>
                <w:iCs/>
                <w:sz w:val="18"/>
                <w:szCs w:val="18"/>
                <w:u w:val="single"/>
              </w:rPr>
            </w:pPr>
            <w:r w:rsidRPr="003455B0">
              <w:rPr>
                <w:rFonts w:ascii="Verdana" w:eastAsia="Calibri" w:hAnsi="Verdana" w:cs="Times New Roman"/>
                <w:iCs/>
                <w:sz w:val="18"/>
                <w:szCs w:val="18"/>
                <w:u w:val="single"/>
              </w:rPr>
              <w:t>RRF Outcome Indicator 1</w:t>
            </w:r>
          </w:p>
          <w:p w14:paraId="65D661A1" w14:textId="77777777" w:rsidR="008A737A" w:rsidRPr="003455B0" w:rsidRDefault="008A737A" w:rsidP="008B5897">
            <w:pPr>
              <w:spacing w:line="240" w:lineRule="auto"/>
              <w:rPr>
                <w:rFonts w:ascii="Verdana" w:eastAsia="Calibri" w:hAnsi="Verdana" w:cs="Times New Roman"/>
                <w:iCs/>
                <w:sz w:val="18"/>
                <w:szCs w:val="18"/>
              </w:rPr>
            </w:pPr>
          </w:p>
          <w:p w14:paraId="6C6C445D"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Annually</w:t>
            </w:r>
          </w:p>
        </w:tc>
      </w:tr>
      <w:tr w:rsidR="008A737A" w:rsidRPr="003455B0" w14:paraId="00556D44" w14:textId="77777777" w:rsidTr="008B5897">
        <w:trPr>
          <w:trHeight w:val="688"/>
        </w:trPr>
        <w:tc>
          <w:tcPr>
            <w:tcW w:w="803" w:type="dxa"/>
            <w:vMerge/>
            <w:vAlign w:val="center"/>
            <w:hideMark/>
          </w:tcPr>
          <w:p w14:paraId="3B2CFACE" w14:textId="77777777" w:rsidR="008A737A" w:rsidRPr="008A737A" w:rsidRDefault="008A737A" w:rsidP="008B5897">
            <w:pPr>
              <w:spacing w:line="240" w:lineRule="auto"/>
              <w:jc w:val="center"/>
              <w:rPr>
                <w:rFonts w:ascii="Verdana" w:eastAsia="Calibri" w:hAnsi="Verdana" w:cs="Times New Roman"/>
                <w:iCs/>
                <w:sz w:val="18"/>
                <w:szCs w:val="18"/>
              </w:rPr>
            </w:pPr>
          </w:p>
        </w:tc>
        <w:tc>
          <w:tcPr>
            <w:tcW w:w="30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hideMark/>
          </w:tcPr>
          <w:p w14:paraId="479E7386" w14:textId="77777777" w:rsidR="008A737A" w:rsidRPr="00DC4150" w:rsidRDefault="008A737A" w:rsidP="008B5897">
            <w:pPr>
              <w:spacing w:line="240" w:lineRule="auto"/>
              <w:rPr>
                <w:rFonts w:ascii="Verdana" w:eastAsia="Calibri" w:hAnsi="Verdana" w:cs="Times New Roman"/>
                <w:iCs/>
                <w:sz w:val="18"/>
                <w:szCs w:val="18"/>
              </w:rPr>
            </w:pPr>
            <w:r w:rsidRPr="000465E0">
              <w:rPr>
                <w:rFonts w:ascii="Verdana" w:eastAsia="Calibri" w:hAnsi="Verdana" w:cs="Times New Roman"/>
                <w:iCs/>
                <w:sz w:val="18"/>
                <w:szCs w:val="18"/>
              </w:rPr>
              <w:t>1.B: Create sound policy frameworks at the national, regional and international levels, based on pro-poor and gender-sensitive development strategies, to support accelerated investment in poverty eradication actions</w:t>
            </w:r>
          </w:p>
        </w:tc>
        <w:tc>
          <w:tcPr>
            <w:tcW w:w="2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hideMark/>
          </w:tcPr>
          <w:p w14:paraId="24C2A87C"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 xml:space="preserve">Gender and pro-poor aspects are included in Budget Call Circular and state budget guidelines </w:t>
            </w:r>
          </w:p>
        </w:tc>
        <w:tc>
          <w:tcPr>
            <w:tcW w:w="29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5AC6577D"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 xml:space="preserve">Baseline (2020): </w:t>
            </w:r>
          </w:p>
          <w:p w14:paraId="06174A54" w14:textId="77777777" w:rsidR="008A737A" w:rsidRPr="003455B0" w:rsidRDefault="008A737A" w:rsidP="008B5897">
            <w:pPr>
              <w:pStyle w:val="ListParagraph"/>
              <w:numPr>
                <w:ilvl w:val="0"/>
                <w:numId w:val="53"/>
              </w:numPr>
              <w:spacing w:line="240" w:lineRule="auto"/>
              <w:rPr>
                <w:rFonts w:ascii="Verdana" w:hAnsi="Verdana"/>
                <w:iCs/>
                <w:sz w:val="18"/>
                <w:szCs w:val="18"/>
              </w:rPr>
            </w:pPr>
            <w:r w:rsidRPr="003455B0">
              <w:rPr>
                <w:rFonts w:ascii="Verdana" w:eastAsia="Calibri" w:hAnsi="Verdana" w:cs="Times New Roman"/>
                <w:iCs/>
                <w:sz w:val="18"/>
                <w:szCs w:val="18"/>
              </w:rPr>
              <w:t xml:space="preserve">National level: </w:t>
            </w:r>
            <w:r w:rsidRPr="003455B0">
              <w:rPr>
                <w:rFonts w:ascii="Verdana" w:hAnsi="Verdana"/>
                <w:iCs/>
                <w:sz w:val="18"/>
                <w:szCs w:val="18"/>
              </w:rPr>
              <w:t>No</w:t>
            </w:r>
          </w:p>
          <w:p w14:paraId="468B2BEB" w14:textId="77777777" w:rsidR="008A737A" w:rsidRPr="003455B0" w:rsidRDefault="008A737A" w:rsidP="008B5897">
            <w:pPr>
              <w:pStyle w:val="ListParagraph"/>
              <w:numPr>
                <w:ilvl w:val="0"/>
                <w:numId w:val="53"/>
              </w:numPr>
              <w:spacing w:line="240" w:lineRule="auto"/>
              <w:rPr>
                <w:rFonts w:ascii="Verdana" w:eastAsia="Calibri" w:hAnsi="Verdana" w:cs="Times New Roman"/>
                <w:iCs/>
                <w:sz w:val="18"/>
                <w:szCs w:val="18"/>
              </w:rPr>
            </w:pPr>
            <w:r w:rsidRPr="003455B0">
              <w:rPr>
                <w:rFonts w:ascii="Verdana" w:hAnsi="Verdana"/>
                <w:iCs/>
                <w:sz w:val="18"/>
                <w:szCs w:val="18"/>
              </w:rPr>
              <w:t>State level: No</w:t>
            </w:r>
          </w:p>
          <w:p w14:paraId="6420A113"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Target:</w:t>
            </w:r>
          </w:p>
          <w:p w14:paraId="52D03369" w14:textId="77777777" w:rsidR="008A737A" w:rsidRPr="003455B0" w:rsidRDefault="008A737A" w:rsidP="008B5897">
            <w:pPr>
              <w:pStyle w:val="ListParagraph"/>
              <w:numPr>
                <w:ilvl w:val="0"/>
                <w:numId w:val="53"/>
              </w:num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National level: Yes</w:t>
            </w:r>
          </w:p>
          <w:p w14:paraId="1851375C" w14:textId="77777777" w:rsidR="008A737A" w:rsidRPr="003455B0" w:rsidRDefault="008A737A" w:rsidP="008B5897">
            <w:pPr>
              <w:pStyle w:val="ListParagraph"/>
              <w:numPr>
                <w:ilvl w:val="0"/>
                <w:numId w:val="53"/>
              </w:num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State level: Yes</w:t>
            </w:r>
          </w:p>
        </w:tc>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hideMark/>
          </w:tcPr>
          <w:p w14:paraId="7EC593B1"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 xml:space="preserve">Approved budgets (allocation) </w:t>
            </w:r>
          </w:p>
          <w:p w14:paraId="7CBFF43E" w14:textId="77777777" w:rsidR="008A737A" w:rsidRPr="003455B0" w:rsidRDefault="008A737A" w:rsidP="008B5897">
            <w:pPr>
              <w:spacing w:line="240" w:lineRule="auto"/>
              <w:rPr>
                <w:rFonts w:ascii="Verdana" w:eastAsia="Calibri" w:hAnsi="Verdana" w:cs="Times New Roman"/>
                <w:iCs/>
                <w:sz w:val="18"/>
                <w:szCs w:val="18"/>
              </w:rPr>
            </w:pPr>
          </w:p>
          <w:p w14:paraId="6B09F3F8" w14:textId="77777777" w:rsidR="008A737A" w:rsidRPr="003455B0" w:rsidRDefault="008A737A" w:rsidP="008B5897">
            <w:pPr>
              <w:spacing w:line="240" w:lineRule="auto"/>
              <w:rPr>
                <w:rFonts w:ascii="Verdana" w:eastAsia="Times New Roman" w:hAnsi="Verdana" w:cs="Calibri"/>
                <w:sz w:val="18"/>
                <w:szCs w:val="18"/>
                <w:u w:val="single"/>
                <w:lang w:eastAsia="ja-JP"/>
              </w:rPr>
            </w:pPr>
            <w:r w:rsidRPr="003455B0">
              <w:rPr>
                <w:rFonts w:ascii="Verdana" w:eastAsia="Calibri" w:hAnsi="Verdana" w:cs="Times New Roman"/>
                <w:iCs/>
                <w:sz w:val="18"/>
                <w:szCs w:val="18"/>
                <w:u w:val="single"/>
              </w:rPr>
              <w:t xml:space="preserve">RRF Output Indicator </w:t>
            </w:r>
            <w:r w:rsidRPr="003455B0">
              <w:rPr>
                <w:rFonts w:ascii="Verdana" w:eastAsia="Times New Roman" w:hAnsi="Verdana" w:cs="Calibri"/>
                <w:sz w:val="18"/>
                <w:szCs w:val="18"/>
                <w:u w:val="single"/>
                <w:lang w:eastAsia="ja-JP"/>
              </w:rPr>
              <w:t>1.2.3</w:t>
            </w:r>
          </w:p>
          <w:p w14:paraId="77E15E43" w14:textId="77777777" w:rsidR="008A737A" w:rsidRPr="003455B0" w:rsidRDefault="008A737A" w:rsidP="008B5897">
            <w:pPr>
              <w:spacing w:line="240" w:lineRule="auto"/>
              <w:rPr>
                <w:rFonts w:ascii="Verdana" w:eastAsia="Calibri" w:hAnsi="Verdana" w:cs="Times New Roman"/>
                <w:iCs/>
                <w:sz w:val="18"/>
                <w:szCs w:val="18"/>
              </w:rPr>
            </w:pPr>
          </w:p>
          <w:p w14:paraId="1BEA2335"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Annually</w:t>
            </w:r>
          </w:p>
        </w:tc>
      </w:tr>
      <w:tr w:rsidR="008A737A" w:rsidRPr="003455B0" w14:paraId="033DB4C2" w14:textId="77777777" w:rsidTr="008B5897">
        <w:trPr>
          <w:trHeight w:val="1295"/>
        </w:trPr>
        <w:tc>
          <w:tcPr>
            <w:tcW w:w="8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Mar>
              <w:top w:w="15" w:type="dxa"/>
              <w:left w:w="74" w:type="dxa"/>
              <w:bottom w:w="0" w:type="dxa"/>
              <w:right w:w="74" w:type="dxa"/>
            </w:tcMar>
            <w:vAlign w:val="center"/>
            <w:hideMark/>
          </w:tcPr>
          <w:p w14:paraId="684D8857" w14:textId="77777777" w:rsidR="008A737A" w:rsidRPr="008A737A" w:rsidRDefault="008A737A" w:rsidP="008B5897">
            <w:pPr>
              <w:spacing w:line="240" w:lineRule="auto"/>
              <w:jc w:val="center"/>
              <w:rPr>
                <w:rFonts w:ascii="Verdana" w:eastAsia="Calibri" w:hAnsi="Verdana" w:cs="Times New Roman"/>
                <w:iCs/>
                <w:sz w:val="18"/>
                <w:szCs w:val="18"/>
              </w:rPr>
            </w:pPr>
            <w:r w:rsidRPr="008A737A">
              <w:rPr>
                <w:rFonts w:ascii="Verdana" w:eastAsia="Calibri" w:hAnsi="Verdana" w:cs="Times New Roman"/>
                <w:b/>
                <w:bCs/>
                <w:iCs/>
                <w:sz w:val="18"/>
                <w:szCs w:val="18"/>
              </w:rPr>
              <w:t>SDG 3</w:t>
            </w:r>
          </w:p>
        </w:tc>
        <w:tc>
          <w:tcPr>
            <w:tcW w:w="30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15" w:type="dxa"/>
              <w:left w:w="74" w:type="dxa"/>
              <w:bottom w:w="0" w:type="dxa"/>
              <w:right w:w="74" w:type="dxa"/>
            </w:tcMar>
            <w:hideMark/>
          </w:tcPr>
          <w:p w14:paraId="01746C1E" w14:textId="77777777" w:rsidR="008A737A" w:rsidRPr="003455B0" w:rsidRDefault="008A737A" w:rsidP="008B5897">
            <w:pPr>
              <w:spacing w:line="240" w:lineRule="auto"/>
              <w:rPr>
                <w:rFonts w:ascii="Verdana" w:eastAsia="Calibri" w:hAnsi="Verdana" w:cs="Times New Roman"/>
                <w:iCs/>
                <w:sz w:val="18"/>
                <w:szCs w:val="18"/>
              </w:rPr>
            </w:pPr>
            <w:r w:rsidRPr="000465E0">
              <w:rPr>
                <w:rFonts w:ascii="Verdana" w:eastAsia="Calibri" w:hAnsi="Verdana" w:cs="Times New Roman"/>
                <w:iCs/>
                <w:sz w:val="18"/>
                <w:szCs w:val="18"/>
              </w:rPr>
              <w:t>3.C: Substantial</w:t>
            </w:r>
            <w:r w:rsidRPr="00DC4150">
              <w:rPr>
                <w:rFonts w:ascii="Verdana" w:eastAsia="Calibri" w:hAnsi="Verdana" w:cs="Times New Roman"/>
                <w:iCs/>
                <w:sz w:val="18"/>
                <w:szCs w:val="18"/>
              </w:rPr>
              <w:t xml:space="preserve">ly increase health financing and the recruitment, development, training and retention of the health workforce in developing countries, especially in least developed countries and small </w:t>
            </w:r>
            <w:r w:rsidRPr="003455B0">
              <w:rPr>
                <w:rFonts w:ascii="Verdana" w:eastAsia="Calibri" w:hAnsi="Verdana" w:cs="Times New Roman"/>
                <w:iCs/>
                <w:sz w:val="18"/>
                <w:szCs w:val="18"/>
              </w:rPr>
              <w:t>island developing States.</w:t>
            </w:r>
          </w:p>
        </w:tc>
        <w:tc>
          <w:tcPr>
            <w:tcW w:w="2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15" w:type="dxa"/>
              <w:left w:w="74" w:type="dxa"/>
              <w:bottom w:w="0" w:type="dxa"/>
              <w:right w:w="74" w:type="dxa"/>
            </w:tcMar>
            <w:hideMark/>
          </w:tcPr>
          <w:p w14:paraId="6A647C15"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3.C.1: % of allocation to health sector at the national and state level</w:t>
            </w:r>
          </w:p>
          <w:p w14:paraId="2BF932E2" w14:textId="77777777" w:rsidR="008A737A" w:rsidRPr="003455B0" w:rsidRDefault="008A737A" w:rsidP="008B5897">
            <w:pPr>
              <w:spacing w:line="240" w:lineRule="auto"/>
              <w:rPr>
                <w:rFonts w:ascii="Verdana" w:eastAsia="Calibri" w:hAnsi="Verdana" w:cs="Times New Roman"/>
                <w:iCs/>
                <w:sz w:val="18"/>
                <w:szCs w:val="18"/>
              </w:rPr>
            </w:pPr>
          </w:p>
          <w:p w14:paraId="1221D3B5" w14:textId="77777777" w:rsidR="008A737A" w:rsidRPr="003455B0" w:rsidRDefault="008A737A" w:rsidP="008B5897">
            <w:pPr>
              <w:spacing w:line="240" w:lineRule="auto"/>
              <w:rPr>
                <w:rFonts w:ascii="Verdana" w:eastAsia="Calibri" w:hAnsi="Verdana" w:cs="Times New Roman"/>
                <w:iCs/>
                <w:sz w:val="18"/>
                <w:szCs w:val="18"/>
              </w:rPr>
            </w:pPr>
          </w:p>
        </w:tc>
        <w:tc>
          <w:tcPr>
            <w:tcW w:w="29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36C384CC" w14:textId="77777777" w:rsidR="008A737A" w:rsidRPr="003455B0" w:rsidRDefault="008A737A" w:rsidP="008B5897">
            <w:pPr>
              <w:spacing w:line="240" w:lineRule="auto"/>
              <w:rPr>
                <w:rFonts w:ascii="Verdana" w:eastAsia="Calibri" w:hAnsi="Verdana" w:cs="Times New Roman"/>
                <w:sz w:val="18"/>
                <w:szCs w:val="18"/>
              </w:rPr>
            </w:pPr>
            <w:r w:rsidRPr="003455B0">
              <w:rPr>
                <w:rFonts w:ascii="Verdana" w:eastAsia="Calibri" w:hAnsi="Verdana" w:cs="Times New Roman"/>
                <w:sz w:val="18"/>
                <w:szCs w:val="18"/>
              </w:rPr>
              <w:t>Baseline 2019/20-approved</w:t>
            </w:r>
          </w:p>
          <w:p w14:paraId="05CA48E0" w14:textId="77777777" w:rsidR="008A737A" w:rsidRPr="003455B0" w:rsidRDefault="008A737A" w:rsidP="008B5897">
            <w:pPr>
              <w:spacing w:line="240" w:lineRule="auto"/>
              <w:rPr>
                <w:rFonts w:ascii="Verdana" w:eastAsia="Calibri" w:hAnsi="Verdana" w:cs="Times New Roman"/>
                <w:sz w:val="18"/>
                <w:szCs w:val="18"/>
              </w:rPr>
            </w:pPr>
            <w:r w:rsidRPr="003455B0">
              <w:rPr>
                <w:rFonts w:ascii="Verdana" w:eastAsia="Calibri" w:hAnsi="Verdana" w:cs="Times New Roman"/>
                <w:sz w:val="18"/>
                <w:szCs w:val="18"/>
              </w:rPr>
              <w:t xml:space="preserve">allocation </w:t>
            </w:r>
          </w:p>
          <w:p w14:paraId="3C5A66C8" w14:textId="77777777" w:rsidR="008A737A" w:rsidRPr="003455B0" w:rsidRDefault="008A737A" w:rsidP="008B5897">
            <w:pPr>
              <w:pStyle w:val="ListParagraph"/>
              <w:numPr>
                <w:ilvl w:val="0"/>
                <w:numId w:val="53"/>
              </w:numPr>
              <w:spacing w:line="240" w:lineRule="auto"/>
              <w:jc w:val="left"/>
              <w:rPr>
                <w:rFonts w:ascii="Verdana" w:hAnsi="Verdana"/>
                <w:sz w:val="18"/>
                <w:szCs w:val="18"/>
              </w:rPr>
            </w:pPr>
            <w:r w:rsidRPr="003455B0">
              <w:rPr>
                <w:rFonts w:ascii="Verdana" w:eastAsia="Calibri" w:hAnsi="Verdana" w:cs="Times New Roman"/>
                <w:sz w:val="18"/>
                <w:szCs w:val="18"/>
              </w:rPr>
              <w:t xml:space="preserve">National level: 1% </w:t>
            </w:r>
          </w:p>
          <w:p w14:paraId="7325E357" w14:textId="77777777" w:rsidR="008A737A" w:rsidRPr="003455B0" w:rsidRDefault="008A737A" w:rsidP="008B5897">
            <w:pPr>
              <w:pStyle w:val="ListParagraph"/>
              <w:numPr>
                <w:ilvl w:val="0"/>
                <w:numId w:val="53"/>
              </w:numPr>
              <w:spacing w:line="240" w:lineRule="auto"/>
              <w:jc w:val="left"/>
              <w:rPr>
                <w:rFonts w:ascii="Verdana" w:eastAsia="Calibri" w:hAnsi="Verdana" w:cs="Times New Roman"/>
                <w:sz w:val="18"/>
                <w:szCs w:val="18"/>
              </w:rPr>
            </w:pPr>
            <w:r w:rsidRPr="003455B0">
              <w:rPr>
                <w:rFonts w:ascii="Verdana" w:hAnsi="Verdana"/>
                <w:sz w:val="18"/>
                <w:szCs w:val="18"/>
              </w:rPr>
              <w:t xml:space="preserve">State level: Data not available; baseline established after 2021. </w:t>
            </w:r>
          </w:p>
          <w:p w14:paraId="0F8F74E6" w14:textId="77777777" w:rsidR="008A737A" w:rsidRPr="003455B0" w:rsidRDefault="008A737A" w:rsidP="008B5897">
            <w:pPr>
              <w:spacing w:line="240" w:lineRule="auto"/>
              <w:rPr>
                <w:rFonts w:ascii="Verdana" w:eastAsia="Calibri" w:hAnsi="Verdana" w:cs="Times New Roman"/>
                <w:sz w:val="18"/>
                <w:szCs w:val="18"/>
              </w:rPr>
            </w:pPr>
            <w:r w:rsidRPr="003455B0">
              <w:rPr>
                <w:rFonts w:ascii="Verdana" w:eastAsia="Calibri" w:hAnsi="Verdana" w:cs="Times New Roman"/>
                <w:sz w:val="18"/>
                <w:szCs w:val="18"/>
              </w:rPr>
              <w:t>Target:</w:t>
            </w:r>
          </w:p>
          <w:p w14:paraId="0D844B70" w14:textId="77777777" w:rsidR="008A737A" w:rsidRPr="003455B0" w:rsidRDefault="008A737A" w:rsidP="008B5897">
            <w:pPr>
              <w:pStyle w:val="ListParagraph"/>
              <w:numPr>
                <w:ilvl w:val="0"/>
                <w:numId w:val="53"/>
              </w:numPr>
              <w:spacing w:line="240" w:lineRule="auto"/>
              <w:rPr>
                <w:rFonts w:ascii="Verdana" w:hAnsi="Verdana"/>
                <w:sz w:val="18"/>
                <w:szCs w:val="18"/>
              </w:rPr>
            </w:pPr>
            <w:r w:rsidRPr="003455B0">
              <w:rPr>
                <w:rFonts w:ascii="Verdana" w:eastAsia="Calibri" w:hAnsi="Verdana" w:cs="Times New Roman"/>
                <w:sz w:val="18"/>
                <w:szCs w:val="18"/>
              </w:rPr>
              <w:t>National level: 3% (Note:</w:t>
            </w:r>
            <w:r w:rsidRPr="003455B0">
              <w:rPr>
                <w:rFonts w:ascii="Verdana" w:hAnsi="Verdana"/>
                <w:sz w:val="18"/>
                <w:szCs w:val="18"/>
              </w:rPr>
              <w:t xml:space="preserve"> (15% Abuja Declaration)</w:t>
            </w:r>
            <w:r w:rsidRPr="003455B0">
              <w:rPr>
                <w:rFonts w:ascii="Verdana" w:eastAsia="Calibri" w:hAnsi="Verdana" w:cs="Times New Roman"/>
                <w:sz w:val="18"/>
                <w:szCs w:val="18"/>
              </w:rPr>
              <w:t xml:space="preserve"> </w:t>
            </w:r>
          </w:p>
          <w:p w14:paraId="274EBDCA" w14:textId="77777777" w:rsidR="008A737A" w:rsidRPr="003455B0" w:rsidRDefault="008A737A" w:rsidP="008B5897">
            <w:pPr>
              <w:pStyle w:val="ListParagraph"/>
              <w:numPr>
                <w:ilvl w:val="0"/>
                <w:numId w:val="53"/>
              </w:numPr>
              <w:spacing w:line="240" w:lineRule="auto"/>
              <w:rPr>
                <w:rFonts w:ascii="Verdana" w:hAnsi="Verdana"/>
                <w:sz w:val="18"/>
                <w:szCs w:val="18"/>
              </w:rPr>
            </w:pPr>
            <w:r w:rsidRPr="003455B0">
              <w:rPr>
                <w:rFonts w:ascii="Verdana" w:hAnsi="Verdana"/>
                <w:sz w:val="18"/>
                <w:szCs w:val="18"/>
              </w:rPr>
              <w:t>State level: TBC</w:t>
            </w:r>
          </w:p>
        </w:tc>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15" w:type="dxa"/>
              <w:left w:w="74" w:type="dxa"/>
              <w:bottom w:w="0" w:type="dxa"/>
              <w:right w:w="74" w:type="dxa"/>
            </w:tcMar>
            <w:hideMark/>
          </w:tcPr>
          <w:p w14:paraId="12D3A768"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 xml:space="preserve">Approved budgets (allocation) </w:t>
            </w:r>
          </w:p>
          <w:p w14:paraId="5CC9FD06" w14:textId="77777777" w:rsidR="008A737A" w:rsidRPr="003455B0" w:rsidRDefault="008A737A" w:rsidP="008B5897">
            <w:pPr>
              <w:spacing w:line="240" w:lineRule="auto"/>
              <w:rPr>
                <w:rFonts w:ascii="Verdana" w:eastAsia="Calibri" w:hAnsi="Verdana" w:cs="Times New Roman"/>
                <w:iCs/>
                <w:sz w:val="18"/>
                <w:szCs w:val="18"/>
              </w:rPr>
            </w:pPr>
          </w:p>
          <w:p w14:paraId="4BFCAA84" w14:textId="77777777" w:rsidR="008A737A" w:rsidRPr="003455B0" w:rsidRDefault="008A737A" w:rsidP="008B5897">
            <w:pPr>
              <w:spacing w:line="240" w:lineRule="auto"/>
              <w:rPr>
                <w:rFonts w:ascii="Verdana" w:eastAsia="Calibri" w:hAnsi="Verdana" w:cs="Times New Roman"/>
                <w:iCs/>
                <w:sz w:val="18"/>
                <w:szCs w:val="18"/>
                <w:u w:val="single"/>
              </w:rPr>
            </w:pPr>
            <w:r w:rsidRPr="003455B0">
              <w:rPr>
                <w:rFonts w:ascii="Verdana" w:eastAsia="Calibri" w:hAnsi="Verdana" w:cs="Times New Roman"/>
                <w:iCs/>
                <w:sz w:val="18"/>
                <w:szCs w:val="18"/>
                <w:u w:val="single"/>
              </w:rPr>
              <w:t>RRF Outcome Indicator 1</w:t>
            </w:r>
          </w:p>
          <w:p w14:paraId="372673E7" w14:textId="77777777" w:rsidR="008A737A" w:rsidRPr="003455B0" w:rsidRDefault="008A737A" w:rsidP="008B5897">
            <w:pPr>
              <w:spacing w:line="240" w:lineRule="auto"/>
              <w:rPr>
                <w:rFonts w:ascii="Verdana" w:eastAsia="Calibri" w:hAnsi="Verdana" w:cs="Times New Roman"/>
                <w:iCs/>
                <w:sz w:val="18"/>
                <w:szCs w:val="18"/>
              </w:rPr>
            </w:pPr>
          </w:p>
          <w:p w14:paraId="5939389D"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Annually</w:t>
            </w:r>
          </w:p>
        </w:tc>
      </w:tr>
      <w:tr w:rsidR="008A737A" w:rsidRPr="003455B0" w14:paraId="16DBD9FA" w14:textId="77777777" w:rsidTr="008B5897">
        <w:trPr>
          <w:trHeight w:val="599"/>
        </w:trPr>
        <w:tc>
          <w:tcPr>
            <w:tcW w:w="8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Mar>
              <w:top w:w="15" w:type="dxa"/>
              <w:left w:w="74" w:type="dxa"/>
              <w:bottom w:w="0" w:type="dxa"/>
              <w:right w:w="74" w:type="dxa"/>
            </w:tcMar>
            <w:vAlign w:val="center"/>
            <w:hideMark/>
          </w:tcPr>
          <w:p w14:paraId="714C2228" w14:textId="77777777" w:rsidR="008A737A" w:rsidRPr="008A737A" w:rsidRDefault="008A737A" w:rsidP="008B5897">
            <w:pPr>
              <w:spacing w:line="240" w:lineRule="auto"/>
              <w:jc w:val="center"/>
              <w:rPr>
                <w:rFonts w:ascii="Verdana" w:eastAsia="Calibri" w:hAnsi="Verdana" w:cs="Times New Roman"/>
                <w:iCs/>
                <w:sz w:val="18"/>
                <w:szCs w:val="18"/>
              </w:rPr>
            </w:pPr>
            <w:r w:rsidRPr="008A737A">
              <w:rPr>
                <w:rFonts w:ascii="Verdana" w:eastAsia="Calibri" w:hAnsi="Verdana" w:cs="Times New Roman"/>
                <w:b/>
                <w:bCs/>
                <w:iCs/>
                <w:sz w:val="18"/>
                <w:szCs w:val="18"/>
              </w:rPr>
              <w:t>SDG 4</w:t>
            </w:r>
          </w:p>
        </w:tc>
        <w:tc>
          <w:tcPr>
            <w:tcW w:w="30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hideMark/>
          </w:tcPr>
          <w:p w14:paraId="10C754C5" w14:textId="77777777" w:rsidR="008A737A" w:rsidRPr="003455B0" w:rsidRDefault="008A737A" w:rsidP="008B5897">
            <w:pPr>
              <w:spacing w:line="240" w:lineRule="auto"/>
              <w:rPr>
                <w:rFonts w:ascii="Verdana" w:eastAsia="Calibri" w:hAnsi="Verdana" w:cs="Times New Roman"/>
                <w:iCs/>
                <w:sz w:val="18"/>
                <w:szCs w:val="18"/>
              </w:rPr>
            </w:pPr>
            <w:r w:rsidRPr="000465E0">
              <w:rPr>
                <w:rFonts w:ascii="Verdana" w:eastAsia="Calibri" w:hAnsi="Verdana" w:cs="Times New Roman"/>
                <w:iCs/>
                <w:sz w:val="18"/>
                <w:szCs w:val="18"/>
              </w:rPr>
              <w:t xml:space="preserve">4.1: By 2030, ensure that all girls </w:t>
            </w:r>
            <w:r w:rsidRPr="00DC4150">
              <w:rPr>
                <w:rFonts w:ascii="Verdana" w:eastAsia="Calibri" w:hAnsi="Verdana" w:cs="Times New Roman"/>
                <w:iCs/>
                <w:sz w:val="18"/>
                <w:szCs w:val="18"/>
              </w:rPr>
              <w:t xml:space="preserve">and boys complete free, </w:t>
            </w:r>
            <w:r w:rsidRPr="003455B0">
              <w:rPr>
                <w:rFonts w:ascii="Verdana" w:eastAsia="Calibri" w:hAnsi="Verdana" w:cs="Times New Roman"/>
                <w:iCs/>
                <w:sz w:val="18"/>
                <w:szCs w:val="18"/>
              </w:rPr>
              <w:t>equitable and quality primary and secondary education leading to relevant and effective learning outcomes</w:t>
            </w:r>
          </w:p>
        </w:tc>
        <w:tc>
          <w:tcPr>
            <w:tcW w:w="2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hideMark/>
          </w:tcPr>
          <w:p w14:paraId="4A0BB3E7"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 of allocation to education sector at the national and state level</w:t>
            </w:r>
          </w:p>
        </w:tc>
        <w:tc>
          <w:tcPr>
            <w:tcW w:w="29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3E017072" w14:textId="77777777" w:rsidR="008A737A" w:rsidRPr="003455B0" w:rsidRDefault="008A737A" w:rsidP="008B5897">
            <w:pPr>
              <w:spacing w:line="240" w:lineRule="auto"/>
              <w:rPr>
                <w:rFonts w:ascii="Verdana" w:eastAsia="Calibri" w:hAnsi="Verdana" w:cs="Times New Roman"/>
                <w:sz w:val="18"/>
                <w:szCs w:val="18"/>
              </w:rPr>
            </w:pPr>
            <w:r w:rsidRPr="003455B0">
              <w:rPr>
                <w:rFonts w:ascii="Verdana" w:eastAsia="Calibri" w:hAnsi="Verdana" w:cs="Times New Roman"/>
                <w:sz w:val="18"/>
                <w:szCs w:val="18"/>
              </w:rPr>
              <w:t xml:space="preserve">Baseline 2019/20-approved allocation </w:t>
            </w:r>
          </w:p>
          <w:p w14:paraId="5843A2D9" w14:textId="77777777" w:rsidR="008A737A" w:rsidRPr="003455B0" w:rsidRDefault="008A737A" w:rsidP="008B5897">
            <w:pPr>
              <w:pStyle w:val="ListParagraph"/>
              <w:numPr>
                <w:ilvl w:val="0"/>
                <w:numId w:val="53"/>
              </w:numPr>
              <w:spacing w:line="240" w:lineRule="auto"/>
              <w:rPr>
                <w:rFonts w:ascii="Verdana" w:hAnsi="Verdana"/>
                <w:sz w:val="18"/>
                <w:szCs w:val="18"/>
              </w:rPr>
            </w:pPr>
            <w:r w:rsidRPr="003455B0">
              <w:rPr>
                <w:rFonts w:ascii="Verdana" w:eastAsia="Calibri" w:hAnsi="Verdana" w:cs="Times New Roman"/>
                <w:sz w:val="18"/>
                <w:szCs w:val="18"/>
              </w:rPr>
              <w:t>National level:  5%</w:t>
            </w:r>
          </w:p>
          <w:p w14:paraId="35CB4C14" w14:textId="77777777" w:rsidR="008A737A" w:rsidRPr="003455B0" w:rsidRDefault="008A737A" w:rsidP="008B5897">
            <w:pPr>
              <w:pStyle w:val="ListParagraph"/>
              <w:numPr>
                <w:ilvl w:val="0"/>
                <w:numId w:val="53"/>
              </w:numPr>
              <w:spacing w:line="240" w:lineRule="auto"/>
              <w:rPr>
                <w:rFonts w:ascii="Verdana" w:eastAsia="Calibri" w:hAnsi="Verdana" w:cs="Times New Roman"/>
                <w:sz w:val="18"/>
                <w:szCs w:val="18"/>
              </w:rPr>
            </w:pPr>
            <w:r w:rsidRPr="003455B0">
              <w:rPr>
                <w:rFonts w:ascii="Verdana" w:hAnsi="Verdana"/>
                <w:sz w:val="18"/>
                <w:szCs w:val="18"/>
              </w:rPr>
              <w:t>State level: Data not available</w:t>
            </w:r>
          </w:p>
          <w:p w14:paraId="53326EA9" w14:textId="77777777" w:rsidR="008A737A" w:rsidRPr="003455B0" w:rsidRDefault="008A737A" w:rsidP="008B5897">
            <w:pPr>
              <w:spacing w:line="240" w:lineRule="auto"/>
              <w:rPr>
                <w:rFonts w:ascii="Verdana" w:eastAsia="Calibri" w:hAnsi="Verdana" w:cs="Times New Roman"/>
                <w:sz w:val="18"/>
                <w:szCs w:val="18"/>
              </w:rPr>
            </w:pPr>
            <w:r w:rsidRPr="003455B0">
              <w:rPr>
                <w:rFonts w:ascii="Verdana" w:eastAsia="Calibri" w:hAnsi="Verdana" w:cs="Times New Roman"/>
                <w:sz w:val="18"/>
                <w:szCs w:val="18"/>
              </w:rPr>
              <w:t>Target:</w:t>
            </w:r>
          </w:p>
          <w:p w14:paraId="50CC299A" w14:textId="77777777" w:rsidR="008A737A" w:rsidRPr="003455B0" w:rsidRDefault="008A737A" w:rsidP="008B5897">
            <w:pPr>
              <w:pStyle w:val="ListParagraph"/>
              <w:numPr>
                <w:ilvl w:val="0"/>
                <w:numId w:val="53"/>
              </w:numPr>
              <w:spacing w:line="240" w:lineRule="auto"/>
              <w:rPr>
                <w:rFonts w:ascii="Verdana" w:hAnsi="Verdana"/>
                <w:sz w:val="18"/>
                <w:szCs w:val="18"/>
              </w:rPr>
            </w:pPr>
            <w:r w:rsidRPr="003455B0">
              <w:rPr>
                <w:rFonts w:ascii="Verdana" w:eastAsia="Calibri" w:hAnsi="Verdana" w:cs="Times New Roman"/>
                <w:sz w:val="18"/>
                <w:szCs w:val="18"/>
              </w:rPr>
              <w:t>National level: 8% (Note: 20% in Incheon Declaration)</w:t>
            </w:r>
          </w:p>
          <w:p w14:paraId="4364DB7A" w14:textId="77777777" w:rsidR="008A737A" w:rsidRPr="003455B0" w:rsidRDefault="008A737A" w:rsidP="008B5897">
            <w:pPr>
              <w:pStyle w:val="ListParagraph"/>
              <w:numPr>
                <w:ilvl w:val="0"/>
                <w:numId w:val="53"/>
              </w:numPr>
              <w:spacing w:line="240" w:lineRule="auto"/>
              <w:rPr>
                <w:rFonts w:ascii="Verdana" w:hAnsi="Verdana"/>
                <w:sz w:val="18"/>
                <w:szCs w:val="18"/>
              </w:rPr>
            </w:pPr>
            <w:r w:rsidRPr="003455B0">
              <w:rPr>
                <w:rFonts w:ascii="Verdana" w:hAnsi="Verdana"/>
                <w:sz w:val="18"/>
                <w:szCs w:val="18"/>
              </w:rPr>
              <w:t>State level: TBC</w:t>
            </w:r>
            <w:r w:rsidRPr="003455B0">
              <w:rPr>
                <w:rFonts w:ascii="Verdana" w:eastAsia="Calibri" w:hAnsi="Verdana" w:cs="Times New Roman"/>
                <w:sz w:val="18"/>
                <w:szCs w:val="18"/>
              </w:rPr>
              <w:t xml:space="preserve"> </w:t>
            </w:r>
          </w:p>
        </w:tc>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hideMark/>
          </w:tcPr>
          <w:p w14:paraId="0F44ABB1"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 xml:space="preserve">Approved budgets (allocation) </w:t>
            </w:r>
          </w:p>
          <w:p w14:paraId="587B6D02" w14:textId="77777777" w:rsidR="008A737A" w:rsidRPr="003455B0" w:rsidRDefault="008A737A" w:rsidP="008B5897">
            <w:pPr>
              <w:spacing w:line="240" w:lineRule="auto"/>
              <w:rPr>
                <w:rFonts w:ascii="Verdana" w:eastAsia="Calibri" w:hAnsi="Verdana" w:cs="Times New Roman"/>
                <w:iCs/>
                <w:sz w:val="18"/>
                <w:szCs w:val="18"/>
              </w:rPr>
            </w:pPr>
          </w:p>
          <w:p w14:paraId="1211B90D" w14:textId="77777777" w:rsidR="008A737A" w:rsidRPr="003455B0" w:rsidRDefault="008A737A" w:rsidP="008B5897">
            <w:pPr>
              <w:spacing w:line="240" w:lineRule="auto"/>
              <w:rPr>
                <w:rFonts w:ascii="Verdana" w:eastAsia="Calibri" w:hAnsi="Verdana" w:cs="Times New Roman"/>
                <w:iCs/>
                <w:sz w:val="18"/>
                <w:szCs w:val="18"/>
                <w:u w:val="single"/>
              </w:rPr>
            </w:pPr>
            <w:r w:rsidRPr="003455B0">
              <w:rPr>
                <w:rFonts w:ascii="Verdana" w:eastAsia="Calibri" w:hAnsi="Verdana" w:cs="Times New Roman"/>
                <w:iCs/>
                <w:sz w:val="18"/>
                <w:szCs w:val="18"/>
                <w:u w:val="single"/>
              </w:rPr>
              <w:t>RRF Outcome Indicator 1</w:t>
            </w:r>
          </w:p>
          <w:p w14:paraId="4CF4DA99" w14:textId="77777777" w:rsidR="008A737A" w:rsidRPr="003455B0" w:rsidRDefault="008A737A" w:rsidP="008B5897">
            <w:pPr>
              <w:spacing w:line="240" w:lineRule="auto"/>
              <w:rPr>
                <w:rFonts w:ascii="Verdana" w:eastAsia="Calibri" w:hAnsi="Verdana" w:cs="Times New Roman"/>
                <w:iCs/>
                <w:sz w:val="18"/>
                <w:szCs w:val="18"/>
              </w:rPr>
            </w:pPr>
          </w:p>
          <w:p w14:paraId="6873063B"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Annually</w:t>
            </w:r>
          </w:p>
          <w:p w14:paraId="1FC2FFCB"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 xml:space="preserve"> </w:t>
            </w:r>
          </w:p>
        </w:tc>
      </w:tr>
      <w:tr w:rsidR="008A737A" w:rsidRPr="003455B0" w14:paraId="1A241266" w14:textId="77777777" w:rsidTr="008B5897">
        <w:trPr>
          <w:trHeight w:val="599"/>
        </w:trPr>
        <w:tc>
          <w:tcPr>
            <w:tcW w:w="8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Mar>
              <w:top w:w="15" w:type="dxa"/>
              <w:left w:w="74" w:type="dxa"/>
              <w:bottom w:w="0" w:type="dxa"/>
              <w:right w:w="74" w:type="dxa"/>
            </w:tcMar>
            <w:vAlign w:val="center"/>
            <w:hideMark/>
          </w:tcPr>
          <w:p w14:paraId="0B460D63" w14:textId="77777777" w:rsidR="008A737A" w:rsidRPr="008A737A" w:rsidRDefault="008A737A" w:rsidP="008B5897">
            <w:pPr>
              <w:spacing w:line="240" w:lineRule="auto"/>
              <w:jc w:val="center"/>
              <w:rPr>
                <w:rFonts w:ascii="Verdana" w:eastAsia="Calibri" w:hAnsi="Verdana" w:cs="Times New Roman"/>
                <w:iCs/>
                <w:sz w:val="18"/>
                <w:szCs w:val="18"/>
              </w:rPr>
            </w:pPr>
            <w:r w:rsidRPr="008A737A">
              <w:rPr>
                <w:rFonts w:ascii="Verdana" w:eastAsia="Calibri" w:hAnsi="Verdana" w:cs="Times New Roman"/>
                <w:b/>
                <w:bCs/>
                <w:iCs/>
                <w:sz w:val="18"/>
                <w:szCs w:val="18"/>
              </w:rPr>
              <w:t>SDG 5</w:t>
            </w:r>
          </w:p>
        </w:tc>
        <w:tc>
          <w:tcPr>
            <w:tcW w:w="30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15" w:type="dxa"/>
              <w:left w:w="74" w:type="dxa"/>
              <w:bottom w:w="0" w:type="dxa"/>
              <w:right w:w="74" w:type="dxa"/>
            </w:tcMar>
            <w:hideMark/>
          </w:tcPr>
          <w:p w14:paraId="197C3FF8" w14:textId="77777777" w:rsidR="008A737A" w:rsidRPr="003455B0" w:rsidRDefault="008A737A" w:rsidP="008B5897">
            <w:pPr>
              <w:spacing w:line="240" w:lineRule="auto"/>
              <w:rPr>
                <w:rFonts w:ascii="Verdana" w:eastAsia="Calibri" w:hAnsi="Verdana" w:cs="Times New Roman"/>
                <w:iCs/>
                <w:sz w:val="18"/>
                <w:szCs w:val="18"/>
              </w:rPr>
            </w:pPr>
            <w:r w:rsidRPr="000465E0">
              <w:rPr>
                <w:rFonts w:ascii="Verdana" w:eastAsia="Calibri" w:hAnsi="Verdana" w:cs="Times New Roman"/>
                <w:iCs/>
                <w:sz w:val="18"/>
                <w:szCs w:val="18"/>
              </w:rPr>
              <w:t xml:space="preserve">5.C Adopt and strengthen sound policies and </w:t>
            </w:r>
            <w:r w:rsidRPr="00DC4150">
              <w:rPr>
                <w:rFonts w:ascii="Verdana" w:eastAsia="Calibri" w:hAnsi="Verdana" w:cs="Times New Roman"/>
                <w:iCs/>
                <w:sz w:val="18"/>
                <w:szCs w:val="18"/>
              </w:rPr>
              <w:t>enforceable legislation for the promotion of gender equality and the empowerment of all women and girls at all levels</w:t>
            </w:r>
          </w:p>
        </w:tc>
        <w:tc>
          <w:tcPr>
            <w:tcW w:w="2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15" w:type="dxa"/>
              <w:left w:w="74" w:type="dxa"/>
              <w:bottom w:w="0" w:type="dxa"/>
              <w:right w:w="74" w:type="dxa"/>
            </w:tcMar>
            <w:hideMark/>
          </w:tcPr>
          <w:p w14:paraId="4EAEDEFD"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 xml:space="preserve">Gender and pro-poor aspects are included in Budget Call Circular and state budget guidelines </w:t>
            </w:r>
          </w:p>
        </w:tc>
        <w:tc>
          <w:tcPr>
            <w:tcW w:w="29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25AD7E35"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 xml:space="preserve">Baseline (2020): </w:t>
            </w:r>
          </w:p>
          <w:p w14:paraId="0BCF791F" w14:textId="77777777" w:rsidR="008A737A" w:rsidRPr="003455B0" w:rsidRDefault="008A737A" w:rsidP="008B5897">
            <w:pPr>
              <w:pStyle w:val="ListParagraph"/>
              <w:numPr>
                <w:ilvl w:val="0"/>
                <w:numId w:val="53"/>
              </w:numPr>
              <w:spacing w:line="240" w:lineRule="auto"/>
              <w:rPr>
                <w:rFonts w:ascii="Verdana" w:hAnsi="Verdana"/>
                <w:iCs/>
                <w:sz w:val="18"/>
                <w:szCs w:val="18"/>
              </w:rPr>
            </w:pPr>
            <w:r w:rsidRPr="003455B0">
              <w:rPr>
                <w:rFonts w:ascii="Verdana" w:eastAsia="Calibri" w:hAnsi="Verdana" w:cs="Times New Roman"/>
                <w:iCs/>
                <w:sz w:val="18"/>
                <w:szCs w:val="18"/>
              </w:rPr>
              <w:t xml:space="preserve">National level: </w:t>
            </w:r>
            <w:r w:rsidRPr="003455B0">
              <w:rPr>
                <w:rFonts w:ascii="Verdana" w:hAnsi="Verdana"/>
                <w:iCs/>
                <w:sz w:val="18"/>
                <w:szCs w:val="18"/>
              </w:rPr>
              <w:t>No</w:t>
            </w:r>
          </w:p>
          <w:p w14:paraId="316640C7" w14:textId="77777777" w:rsidR="008A737A" w:rsidRPr="003455B0" w:rsidRDefault="008A737A" w:rsidP="008B5897">
            <w:pPr>
              <w:pStyle w:val="ListParagraph"/>
              <w:numPr>
                <w:ilvl w:val="0"/>
                <w:numId w:val="53"/>
              </w:numPr>
              <w:spacing w:line="240" w:lineRule="auto"/>
              <w:rPr>
                <w:rFonts w:ascii="Verdana" w:eastAsia="Calibri" w:hAnsi="Verdana" w:cs="Times New Roman"/>
                <w:iCs/>
                <w:sz w:val="18"/>
                <w:szCs w:val="18"/>
              </w:rPr>
            </w:pPr>
            <w:r w:rsidRPr="003455B0">
              <w:rPr>
                <w:rFonts w:ascii="Verdana" w:hAnsi="Verdana"/>
                <w:iCs/>
                <w:sz w:val="18"/>
                <w:szCs w:val="18"/>
              </w:rPr>
              <w:t>State level: No</w:t>
            </w:r>
          </w:p>
          <w:p w14:paraId="3ACFD3B5"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Target:</w:t>
            </w:r>
          </w:p>
          <w:p w14:paraId="51F9902F" w14:textId="77777777" w:rsidR="008A737A" w:rsidRPr="003455B0" w:rsidRDefault="008A737A" w:rsidP="008B5897">
            <w:pPr>
              <w:pStyle w:val="ListParagraph"/>
              <w:numPr>
                <w:ilvl w:val="0"/>
                <w:numId w:val="53"/>
              </w:numPr>
              <w:spacing w:line="240" w:lineRule="auto"/>
              <w:rPr>
                <w:rFonts w:ascii="Verdana" w:hAnsi="Verdana"/>
                <w:iCs/>
                <w:sz w:val="18"/>
                <w:szCs w:val="18"/>
              </w:rPr>
            </w:pPr>
            <w:r w:rsidRPr="003455B0">
              <w:rPr>
                <w:rFonts w:ascii="Verdana" w:eastAsia="Calibri" w:hAnsi="Verdana" w:cs="Times New Roman"/>
                <w:iCs/>
                <w:sz w:val="18"/>
                <w:szCs w:val="18"/>
              </w:rPr>
              <w:t xml:space="preserve">National level: </w:t>
            </w:r>
            <w:r w:rsidRPr="003455B0">
              <w:rPr>
                <w:rFonts w:ascii="Verdana" w:hAnsi="Verdana"/>
                <w:iCs/>
                <w:sz w:val="18"/>
                <w:szCs w:val="18"/>
              </w:rPr>
              <w:t>Yes</w:t>
            </w:r>
          </w:p>
          <w:p w14:paraId="6E1D3536" w14:textId="77777777" w:rsidR="008A737A" w:rsidRPr="003455B0" w:rsidRDefault="008A737A" w:rsidP="008B5897">
            <w:pPr>
              <w:pStyle w:val="ListParagraph"/>
              <w:numPr>
                <w:ilvl w:val="0"/>
                <w:numId w:val="53"/>
              </w:numPr>
              <w:spacing w:line="240" w:lineRule="auto"/>
              <w:rPr>
                <w:rFonts w:ascii="Verdana" w:hAnsi="Verdana"/>
                <w:iCs/>
                <w:sz w:val="18"/>
                <w:szCs w:val="18"/>
              </w:rPr>
            </w:pPr>
            <w:r w:rsidRPr="003455B0">
              <w:rPr>
                <w:rFonts w:ascii="Verdana" w:hAnsi="Verdana"/>
                <w:iCs/>
                <w:sz w:val="18"/>
                <w:szCs w:val="18"/>
              </w:rPr>
              <w:t>State level: Yes</w:t>
            </w:r>
          </w:p>
        </w:tc>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15" w:type="dxa"/>
              <w:left w:w="74" w:type="dxa"/>
              <w:bottom w:w="0" w:type="dxa"/>
              <w:right w:w="74" w:type="dxa"/>
            </w:tcMar>
            <w:hideMark/>
          </w:tcPr>
          <w:p w14:paraId="718F4629"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 xml:space="preserve">Approved budgets (allocation) </w:t>
            </w:r>
          </w:p>
          <w:p w14:paraId="20838251" w14:textId="77777777" w:rsidR="008A737A" w:rsidRPr="003455B0" w:rsidRDefault="008A737A" w:rsidP="008B5897">
            <w:pPr>
              <w:spacing w:line="240" w:lineRule="auto"/>
              <w:rPr>
                <w:rFonts w:ascii="Verdana" w:eastAsia="Calibri" w:hAnsi="Verdana" w:cs="Times New Roman"/>
                <w:iCs/>
                <w:sz w:val="18"/>
                <w:szCs w:val="18"/>
              </w:rPr>
            </w:pPr>
          </w:p>
          <w:p w14:paraId="702B14CC" w14:textId="77777777" w:rsidR="008A737A" w:rsidRPr="003455B0" w:rsidRDefault="008A737A" w:rsidP="008B5897">
            <w:pPr>
              <w:spacing w:line="240" w:lineRule="auto"/>
              <w:rPr>
                <w:rFonts w:ascii="Verdana" w:eastAsia="Times New Roman" w:hAnsi="Verdana" w:cs="Calibri"/>
                <w:sz w:val="18"/>
                <w:szCs w:val="18"/>
                <w:u w:val="single"/>
                <w:lang w:eastAsia="ja-JP"/>
              </w:rPr>
            </w:pPr>
            <w:r w:rsidRPr="003455B0">
              <w:rPr>
                <w:rFonts w:ascii="Verdana" w:eastAsia="Calibri" w:hAnsi="Verdana" w:cs="Times New Roman"/>
                <w:iCs/>
                <w:sz w:val="18"/>
                <w:szCs w:val="18"/>
                <w:u w:val="single"/>
              </w:rPr>
              <w:t xml:space="preserve">RRF Output Indicator </w:t>
            </w:r>
            <w:r w:rsidRPr="003455B0">
              <w:rPr>
                <w:rFonts w:ascii="Verdana" w:eastAsia="Times New Roman" w:hAnsi="Verdana" w:cs="Calibri"/>
                <w:sz w:val="18"/>
                <w:szCs w:val="18"/>
                <w:u w:val="single"/>
                <w:lang w:eastAsia="ja-JP"/>
              </w:rPr>
              <w:t>1.2.3</w:t>
            </w:r>
          </w:p>
          <w:p w14:paraId="3FC9B8DD" w14:textId="77777777" w:rsidR="008A737A" w:rsidRPr="003455B0" w:rsidRDefault="008A737A" w:rsidP="008B5897">
            <w:pPr>
              <w:spacing w:line="240" w:lineRule="auto"/>
              <w:rPr>
                <w:rFonts w:ascii="Verdana" w:eastAsia="Calibri" w:hAnsi="Verdana" w:cs="Times New Roman"/>
                <w:iCs/>
                <w:sz w:val="18"/>
                <w:szCs w:val="18"/>
              </w:rPr>
            </w:pPr>
          </w:p>
          <w:p w14:paraId="38C5DFB6"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Annually</w:t>
            </w:r>
          </w:p>
        </w:tc>
      </w:tr>
      <w:tr w:rsidR="008A737A" w:rsidRPr="003455B0" w14:paraId="40C1DE27" w14:textId="77777777" w:rsidTr="008B5897">
        <w:trPr>
          <w:trHeight w:val="283"/>
        </w:trPr>
        <w:tc>
          <w:tcPr>
            <w:tcW w:w="8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Mar>
              <w:top w:w="15" w:type="dxa"/>
              <w:left w:w="74" w:type="dxa"/>
              <w:bottom w:w="0" w:type="dxa"/>
              <w:right w:w="74" w:type="dxa"/>
            </w:tcMar>
            <w:vAlign w:val="center"/>
          </w:tcPr>
          <w:p w14:paraId="74E29F41" w14:textId="77777777" w:rsidR="008A737A" w:rsidRPr="008A737A" w:rsidRDefault="008A737A" w:rsidP="008B5897">
            <w:pPr>
              <w:spacing w:line="240" w:lineRule="auto"/>
              <w:jc w:val="center"/>
              <w:rPr>
                <w:rFonts w:ascii="Verdana" w:eastAsia="Calibri" w:hAnsi="Verdana" w:cs="Times New Roman"/>
                <w:b/>
                <w:bCs/>
                <w:iCs/>
                <w:sz w:val="18"/>
                <w:szCs w:val="18"/>
              </w:rPr>
            </w:pPr>
            <w:r w:rsidRPr="008A737A">
              <w:rPr>
                <w:rFonts w:ascii="Verdana" w:eastAsia="Calibri" w:hAnsi="Verdana" w:cs="Times New Roman"/>
                <w:b/>
                <w:bCs/>
                <w:iCs/>
                <w:sz w:val="18"/>
                <w:szCs w:val="18"/>
              </w:rPr>
              <w:t>SDG 10</w:t>
            </w:r>
          </w:p>
        </w:tc>
        <w:tc>
          <w:tcPr>
            <w:tcW w:w="30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tcPr>
          <w:p w14:paraId="35047667" w14:textId="77777777" w:rsidR="008A737A" w:rsidRPr="000465E0" w:rsidRDefault="008A737A" w:rsidP="008B5897">
            <w:pPr>
              <w:spacing w:line="240" w:lineRule="auto"/>
              <w:rPr>
                <w:rFonts w:ascii="Verdana" w:eastAsia="Calibri" w:hAnsi="Verdana" w:cs="Times New Roman"/>
                <w:sz w:val="18"/>
                <w:szCs w:val="18"/>
              </w:rPr>
            </w:pPr>
            <w:r w:rsidRPr="000465E0">
              <w:rPr>
                <w:rFonts w:ascii="Verdana" w:eastAsia="Calibri" w:hAnsi="Verdana" w:cs="Times New Roman"/>
                <w:sz w:val="18"/>
                <w:szCs w:val="18"/>
              </w:rPr>
              <w:t>10.B: Encourage official development assistance and financial flows</w:t>
            </w:r>
            <w:r w:rsidRPr="00DC4150">
              <w:rPr>
                <w:rFonts w:ascii="Verdana" w:eastAsia="Calibri" w:hAnsi="Verdana" w:cs="Times New Roman"/>
                <w:sz w:val="18"/>
                <w:szCs w:val="18"/>
              </w:rPr>
              <w:t xml:space="preserve">, including foreign direct investment, to States where the need is greatest, in particular least developed </w:t>
            </w:r>
            <w:r w:rsidRPr="003455B0">
              <w:rPr>
                <w:rFonts w:ascii="Verdana" w:eastAsia="Calibri" w:hAnsi="Verdana" w:cs="Times New Roman"/>
                <w:sz w:val="18"/>
                <w:szCs w:val="18"/>
              </w:rPr>
              <w:t xml:space="preserve">countries, African countries, small island developing States and landlocked developing countries, in accordance with </w:t>
            </w:r>
            <w:r w:rsidRPr="003455B0">
              <w:rPr>
                <w:rFonts w:ascii="Verdana" w:eastAsia="Calibri" w:hAnsi="Verdana" w:cs="Times New Roman"/>
                <w:sz w:val="18"/>
                <w:szCs w:val="18"/>
              </w:rPr>
              <w:lastRenderedPageBreak/>
              <w:t>their national plans and programmes</w:t>
            </w:r>
            <w:r w:rsidRPr="000465E0">
              <w:rPr>
                <w:rStyle w:val="FootnoteReference"/>
                <w:rFonts w:ascii="Verdana" w:eastAsia="Calibri" w:hAnsi="Verdana" w:cs="Times New Roman"/>
                <w:sz w:val="18"/>
                <w:szCs w:val="18"/>
              </w:rPr>
              <w:footnoteReference w:id="37"/>
            </w:r>
          </w:p>
        </w:tc>
        <w:tc>
          <w:tcPr>
            <w:tcW w:w="2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tcPr>
          <w:p w14:paraId="073F1594" w14:textId="77777777" w:rsidR="008A737A" w:rsidRPr="003455B0" w:rsidRDefault="008A737A" w:rsidP="008B5897">
            <w:pPr>
              <w:spacing w:line="240" w:lineRule="auto"/>
              <w:rPr>
                <w:rFonts w:ascii="Verdana" w:eastAsia="Calibri" w:hAnsi="Verdana" w:cs="Times New Roman"/>
                <w:iCs/>
                <w:sz w:val="18"/>
                <w:szCs w:val="18"/>
              </w:rPr>
            </w:pPr>
            <w:r w:rsidRPr="00DC4150">
              <w:rPr>
                <w:rFonts w:ascii="Verdana" w:eastAsia="Calibri" w:hAnsi="Verdana" w:cs="Times New Roman"/>
                <w:iCs/>
                <w:sz w:val="18"/>
                <w:szCs w:val="18"/>
              </w:rPr>
              <w:lastRenderedPageBreak/>
              <w:t>10.B.1: Total resource flows for essential services (Education, Health and Social Protection) by type of flow (ODA and Private Financing) at the national and state level</w:t>
            </w:r>
          </w:p>
          <w:p w14:paraId="1A2B7F2C" w14:textId="77777777" w:rsidR="008A737A" w:rsidRPr="003455B0" w:rsidRDefault="008A737A" w:rsidP="008B5897">
            <w:pPr>
              <w:spacing w:line="240" w:lineRule="auto"/>
              <w:rPr>
                <w:rFonts w:ascii="Verdana" w:eastAsia="Calibri" w:hAnsi="Verdana" w:cs="Times New Roman"/>
                <w:iCs/>
                <w:sz w:val="18"/>
                <w:szCs w:val="18"/>
              </w:rPr>
            </w:pPr>
          </w:p>
          <w:p w14:paraId="11BA7B80" w14:textId="77777777" w:rsidR="008A737A" w:rsidRPr="003455B0" w:rsidRDefault="008A737A" w:rsidP="008B5897">
            <w:pPr>
              <w:spacing w:line="240" w:lineRule="auto"/>
              <w:rPr>
                <w:rFonts w:ascii="Verdana" w:eastAsia="Calibri" w:hAnsi="Verdana" w:cs="Times New Roman"/>
                <w:iCs/>
                <w:sz w:val="18"/>
                <w:szCs w:val="18"/>
              </w:rPr>
            </w:pPr>
          </w:p>
        </w:tc>
        <w:tc>
          <w:tcPr>
            <w:tcW w:w="29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3A20A009"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Baseline (2017/2018):</w:t>
            </w:r>
          </w:p>
          <w:p w14:paraId="10A85E80"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National level:</w:t>
            </w:r>
          </w:p>
          <w:p w14:paraId="263E1730"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Govt fund: USD 775 million</w:t>
            </w:r>
          </w:p>
          <w:p w14:paraId="370C593D"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ODA: USD 1.577 million</w:t>
            </w:r>
          </w:p>
          <w:p w14:paraId="6FC859F7"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Private Financing: TBC</w:t>
            </w:r>
          </w:p>
          <w:p w14:paraId="74304CA4"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State level:</w:t>
            </w:r>
          </w:p>
          <w:p w14:paraId="7BF92FC7"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ODA: TBC</w:t>
            </w:r>
          </w:p>
          <w:p w14:paraId="21AADD68"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Private Financing: TBC</w:t>
            </w:r>
          </w:p>
          <w:p w14:paraId="32FC98DA"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lastRenderedPageBreak/>
              <w:t xml:space="preserve">Target: To be established at project inception phase with MoFP. </w:t>
            </w:r>
          </w:p>
        </w:tc>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tcPr>
          <w:p w14:paraId="1F80B445"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lastRenderedPageBreak/>
              <w:t>OECD (National Level)</w:t>
            </w:r>
          </w:p>
          <w:p w14:paraId="27908313" w14:textId="77777777" w:rsidR="008A737A" w:rsidRPr="003455B0" w:rsidRDefault="008A737A" w:rsidP="008B5897">
            <w:pPr>
              <w:spacing w:line="240" w:lineRule="auto"/>
              <w:rPr>
                <w:rFonts w:ascii="Verdana" w:eastAsia="Calibri" w:hAnsi="Verdana" w:cs="Times New Roman"/>
                <w:iCs/>
                <w:sz w:val="18"/>
                <w:szCs w:val="18"/>
              </w:rPr>
            </w:pPr>
          </w:p>
          <w:p w14:paraId="6E0138BB" w14:textId="77777777" w:rsidR="008A737A" w:rsidRPr="003455B0" w:rsidRDefault="008A737A" w:rsidP="008B5897">
            <w:pPr>
              <w:spacing w:line="240" w:lineRule="auto"/>
              <w:rPr>
                <w:rFonts w:ascii="Verdana" w:eastAsia="Calibri" w:hAnsi="Verdana" w:cs="Times New Roman"/>
                <w:iCs/>
                <w:sz w:val="18"/>
                <w:szCs w:val="18"/>
                <w:u w:val="single"/>
              </w:rPr>
            </w:pPr>
            <w:r w:rsidRPr="003455B0">
              <w:rPr>
                <w:rFonts w:ascii="Verdana" w:eastAsia="Calibri" w:hAnsi="Verdana" w:cs="Times New Roman"/>
                <w:iCs/>
                <w:sz w:val="18"/>
                <w:szCs w:val="18"/>
                <w:u w:val="single"/>
              </w:rPr>
              <w:t>RRF Outcome Indicator 1</w:t>
            </w:r>
          </w:p>
          <w:p w14:paraId="3FEA4D0D" w14:textId="77777777" w:rsidR="008A737A" w:rsidRPr="003455B0" w:rsidRDefault="008A737A" w:rsidP="008B5897">
            <w:pPr>
              <w:spacing w:line="240" w:lineRule="auto"/>
              <w:rPr>
                <w:rFonts w:ascii="Verdana" w:eastAsia="Calibri" w:hAnsi="Verdana" w:cs="Times New Roman"/>
                <w:iCs/>
                <w:sz w:val="18"/>
                <w:szCs w:val="18"/>
              </w:rPr>
            </w:pPr>
          </w:p>
          <w:p w14:paraId="1A9AD3F3"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Annually</w:t>
            </w:r>
          </w:p>
        </w:tc>
      </w:tr>
      <w:tr w:rsidR="008A737A" w:rsidRPr="003455B0" w14:paraId="2617BB79" w14:textId="77777777" w:rsidTr="008B5897">
        <w:trPr>
          <w:trHeight w:val="283"/>
        </w:trPr>
        <w:tc>
          <w:tcPr>
            <w:tcW w:w="8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Mar>
              <w:top w:w="15" w:type="dxa"/>
              <w:left w:w="74" w:type="dxa"/>
              <w:bottom w:w="0" w:type="dxa"/>
              <w:right w:w="74" w:type="dxa"/>
            </w:tcMar>
            <w:vAlign w:val="center"/>
          </w:tcPr>
          <w:p w14:paraId="687465F1" w14:textId="77777777" w:rsidR="008A737A" w:rsidRPr="008A737A" w:rsidRDefault="008A737A" w:rsidP="008B5897">
            <w:pPr>
              <w:spacing w:line="240" w:lineRule="auto"/>
              <w:jc w:val="center"/>
              <w:rPr>
                <w:rFonts w:ascii="Verdana" w:eastAsia="Calibri" w:hAnsi="Verdana" w:cs="Times New Roman"/>
                <w:b/>
                <w:bCs/>
                <w:iCs/>
                <w:sz w:val="18"/>
                <w:szCs w:val="18"/>
              </w:rPr>
            </w:pPr>
            <w:r w:rsidRPr="008A737A">
              <w:rPr>
                <w:rFonts w:ascii="Verdana" w:eastAsia="Calibri" w:hAnsi="Verdana" w:cs="Times New Roman"/>
                <w:b/>
                <w:bCs/>
                <w:iCs/>
                <w:sz w:val="18"/>
                <w:szCs w:val="18"/>
              </w:rPr>
              <w:t>SDG 16</w:t>
            </w:r>
          </w:p>
        </w:tc>
        <w:tc>
          <w:tcPr>
            <w:tcW w:w="30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tcPr>
          <w:p w14:paraId="5477BE58" w14:textId="77777777" w:rsidR="008A737A" w:rsidRPr="00DC4150" w:rsidRDefault="008A737A" w:rsidP="008B5897">
            <w:pPr>
              <w:rPr>
                <w:rFonts w:ascii="Verdana" w:eastAsia="Calibri" w:hAnsi="Verdana" w:cs="Times New Roman"/>
                <w:iCs/>
                <w:sz w:val="18"/>
                <w:szCs w:val="18"/>
              </w:rPr>
            </w:pPr>
            <w:r w:rsidRPr="000465E0">
              <w:rPr>
                <w:rFonts w:ascii="Verdana" w:eastAsia="Calibri" w:hAnsi="Verdana" w:cs="Times New Roman"/>
                <w:iCs/>
                <w:sz w:val="18"/>
                <w:szCs w:val="18"/>
              </w:rPr>
              <w:t>16.6: Develop effective, accountable and transpar</w:t>
            </w:r>
            <w:r w:rsidRPr="00DC4150">
              <w:rPr>
                <w:rFonts w:ascii="Verdana" w:eastAsia="Calibri" w:hAnsi="Verdana" w:cs="Times New Roman"/>
                <w:iCs/>
                <w:sz w:val="18"/>
                <w:szCs w:val="18"/>
              </w:rPr>
              <w:t>ent institutions at all levels</w:t>
            </w:r>
          </w:p>
          <w:p w14:paraId="10CE101C"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 </w:t>
            </w:r>
          </w:p>
        </w:tc>
        <w:tc>
          <w:tcPr>
            <w:tcW w:w="2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tcPr>
          <w:p w14:paraId="4C4CC95A"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16.6.1: Primary government expenditures as a proportion of original approved budget, by sector (or by budget codes or similar)</w:t>
            </w:r>
          </w:p>
        </w:tc>
        <w:tc>
          <w:tcPr>
            <w:tcW w:w="29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38D570F7" w14:textId="77777777" w:rsidR="008A737A" w:rsidRPr="003455B0" w:rsidRDefault="008A737A" w:rsidP="008B5897">
            <w:pPr>
              <w:rPr>
                <w:rFonts w:ascii="Verdana" w:eastAsia="Calibri" w:hAnsi="Verdana" w:cs="Times New Roman"/>
                <w:sz w:val="18"/>
                <w:szCs w:val="18"/>
              </w:rPr>
            </w:pPr>
            <w:r w:rsidRPr="003455B0">
              <w:rPr>
                <w:rFonts w:ascii="Verdana" w:eastAsia="Calibri" w:hAnsi="Verdana" w:cs="Times New Roman"/>
                <w:sz w:val="18"/>
                <w:szCs w:val="18"/>
              </w:rPr>
              <w:t xml:space="preserve">Baseline 2019/20-approved allocation </w:t>
            </w:r>
          </w:p>
          <w:p w14:paraId="6F5B8374" w14:textId="77777777" w:rsidR="008A737A" w:rsidRPr="003455B0" w:rsidRDefault="008A737A" w:rsidP="008B5897">
            <w:pPr>
              <w:rPr>
                <w:rFonts w:ascii="Verdana" w:eastAsia="Calibri" w:hAnsi="Verdana" w:cs="Times New Roman"/>
                <w:sz w:val="18"/>
                <w:szCs w:val="18"/>
              </w:rPr>
            </w:pPr>
            <w:r w:rsidRPr="003455B0">
              <w:rPr>
                <w:rFonts w:ascii="Verdana" w:eastAsia="Calibri" w:hAnsi="Verdana" w:cs="Times New Roman"/>
                <w:sz w:val="18"/>
                <w:szCs w:val="18"/>
              </w:rPr>
              <w:t xml:space="preserve">National level: 1.5% </w:t>
            </w:r>
          </w:p>
          <w:p w14:paraId="24CEDD2C" w14:textId="77777777" w:rsidR="008A737A" w:rsidRPr="003455B0" w:rsidRDefault="008A737A" w:rsidP="008B5897">
            <w:pPr>
              <w:rPr>
                <w:rFonts w:ascii="Verdana" w:eastAsia="Calibri" w:hAnsi="Verdana" w:cs="Times New Roman"/>
                <w:sz w:val="18"/>
                <w:szCs w:val="18"/>
              </w:rPr>
            </w:pPr>
            <w:r w:rsidRPr="003455B0">
              <w:rPr>
                <w:rFonts w:ascii="Verdana" w:eastAsia="Calibri" w:hAnsi="Verdana" w:cs="Times New Roman"/>
                <w:sz w:val="18"/>
                <w:szCs w:val="18"/>
              </w:rPr>
              <w:t xml:space="preserve">State level: Not available </w:t>
            </w:r>
          </w:p>
          <w:p w14:paraId="2F07A758" w14:textId="77777777" w:rsidR="008A737A" w:rsidRPr="003455B0" w:rsidRDefault="008A737A" w:rsidP="008B5897">
            <w:pPr>
              <w:rPr>
                <w:rFonts w:ascii="Verdana" w:eastAsia="Calibri" w:hAnsi="Verdana" w:cs="Times New Roman"/>
                <w:sz w:val="18"/>
                <w:szCs w:val="18"/>
              </w:rPr>
            </w:pPr>
            <w:r w:rsidRPr="003455B0">
              <w:rPr>
                <w:rFonts w:ascii="Verdana" w:eastAsia="Calibri" w:hAnsi="Verdana" w:cs="Times New Roman"/>
                <w:sz w:val="18"/>
                <w:szCs w:val="18"/>
              </w:rPr>
              <w:t>Target:</w:t>
            </w:r>
          </w:p>
          <w:p w14:paraId="53ABA3F3" w14:textId="77777777" w:rsidR="008A737A" w:rsidRPr="003455B0" w:rsidRDefault="008A737A" w:rsidP="008B5897">
            <w:pPr>
              <w:rPr>
                <w:rFonts w:ascii="Verdana" w:eastAsia="Calibri" w:hAnsi="Verdana" w:cs="Times New Roman"/>
                <w:sz w:val="18"/>
                <w:szCs w:val="18"/>
              </w:rPr>
            </w:pPr>
            <w:r w:rsidRPr="003455B0">
              <w:rPr>
                <w:rFonts w:ascii="Verdana" w:eastAsia="Calibri" w:hAnsi="Verdana" w:cs="Times New Roman"/>
                <w:sz w:val="18"/>
                <w:szCs w:val="18"/>
              </w:rPr>
              <w:t xml:space="preserve">National level: 5% (to be defined in inception phase) </w:t>
            </w:r>
          </w:p>
          <w:p w14:paraId="7ABD77F7" w14:textId="77777777" w:rsidR="008A737A" w:rsidRPr="003455B0" w:rsidRDefault="008A737A" w:rsidP="008B5897">
            <w:pPr>
              <w:rPr>
                <w:rFonts w:ascii="Verdana" w:eastAsia="Calibri" w:hAnsi="Verdana" w:cs="Times New Roman"/>
                <w:sz w:val="18"/>
                <w:szCs w:val="18"/>
              </w:rPr>
            </w:pPr>
            <w:r w:rsidRPr="003455B0">
              <w:rPr>
                <w:rFonts w:ascii="Verdana" w:eastAsia="Calibri" w:hAnsi="Verdana" w:cs="Times New Roman"/>
                <w:sz w:val="18"/>
                <w:szCs w:val="18"/>
              </w:rPr>
              <w:t>State level: To be established with MoFP.</w:t>
            </w:r>
          </w:p>
        </w:tc>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tcPr>
          <w:p w14:paraId="51B04500"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Budget and expenditure reports</w:t>
            </w:r>
          </w:p>
          <w:p w14:paraId="7253FE05" w14:textId="77777777" w:rsidR="008A737A" w:rsidRPr="003455B0" w:rsidRDefault="008A737A" w:rsidP="008B5897">
            <w:pPr>
              <w:spacing w:line="240" w:lineRule="auto"/>
              <w:rPr>
                <w:rFonts w:ascii="Verdana" w:eastAsia="Calibri" w:hAnsi="Verdana" w:cs="Times New Roman"/>
                <w:iCs/>
                <w:sz w:val="18"/>
                <w:szCs w:val="18"/>
              </w:rPr>
            </w:pPr>
          </w:p>
          <w:p w14:paraId="1B44EAAC" w14:textId="77777777" w:rsidR="008A737A" w:rsidRPr="003455B0" w:rsidRDefault="008A737A" w:rsidP="008B5897">
            <w:pPr>
              <w:spacing w:line="240" w:lineRule="auto"/>
              <w:rPr>
                <w:rFonts w:ascii="Verdana" w:eastAsia="Calibri" w:hAnsi="Verdana" w:cs="Times New Roman"/>
                <w:iCs/>
                <w:sz w:val="18"/>
                <w:szCs w:val="18"/>
                <w:u w:val="single"/>
              </w:rPr>
            </w:pPr>
            <w:r w:rsidRPr="003455B0">
              <w:rPr>
                <w:rFonts w:ascii="Verdana" w:eastAsia="Calibri" w:hAnsi="Verdana" w:cs="Times New Roman"/>
                <w:iCs/>
                <w:sz w:val="18"/>
                <w:szCs w:val="18"/>
                <w:u w:val="single"/>
              </w:rPr>
              <w:t>RRF Output Indicator 1.3.2 and 1.3.3</w:t>
            </w:r>
          </w:p>
          <w:p w14:paraId="3DEB8ED8" w14:textId="77777777" w:rsidR="008A737A" w:rsidRPr="003455B0" w:rsidRDefault="008A737A" w:rsidP="008B5897">
            <w:pPr>
              <w:spacing w:line="240" w:lineRule="auto"/>
              <w:rPr>
                <w:rFonts w:ascii="Verdana" w:eastAsia="Calibri" w:hAnsi="Verdana" w:cs="Times New Roman"/>
                <w:iCs/>
                <w:sz w:val="18"/>
                <w:szCs w:val="18"/>
              </w:rPr>
            </w:pPr>
          </w:p>
          <w:p w14:paraId="10D3BD74"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Annually</w:t>
            </w:r>
          </w:p>
        </w:tc>
      </w:tr>
      <w:tr w:rsidR="008A737A" w:rsidRPr="003455B0" w14:paraId="69DD56D2" w14:textId="77777777" w:rsidTr="008B5897">
        <w:trPr>
          <w:trHeight w:val="283"/>
        </w:trPr>
        <w:tc>
          <w:tcPr>
            <w:tcW w:w="803"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4472C4" w:themeFill="accent1"/>
            <w:tcMar>
              <w:top w:w="15" w:type="dxa"/>
              <w:left w:w="74" w:type="dxa"/>
              <w:bottom w:w="0" w:type="dxa"/>
              <w:right w:w="74" w:type="dxa"/>
            </w:tcMar>
            <w:vAlign w:val="center"/>
          </w:tcPr>
          <w:p w14:paraId="777FCA80" w14:textId="77777777" w:rsidR="008A737A" w:rsidRPr="008A737A" w:rsidRDefault="008A737A" w:rsidP="008B5897">
            <w:pPr>
              <w:spacing w:line="240" w:lineRule="auto"/>
              <w:jc w:val="center"/>
              <w:rPr>
                <w:rFonts w:ascii="Verdana" w:eastAsia="Calibri" w:hAnsi="Verdana" w:cs="Times New Roman"/>
                <w:b/>
                <w:bCs/>
                <w:iCs/>
                <w:sz w:val="18"/>
                <w:szCs w:val="18"/>
              </w:rPr>
            </w:pPr>
            <w:r w:rsidRPr="008A737A">
              <w:rPr>
                <w:rFonts w:ascii="Verdana" w:eastAsia="Calibri" w:hAnsi="Verdana" w:cs="Times New Roman"/>
                <w:b/>
                <w:bCs/>
                <w:iCs/>
                <w:sz w:val="18"/>
                <w:szCs w:val="18"/>
              </w:rPr>
              <w:t>SDG 17</w:t>
            </w:r>
          </w:p>
          <w:p w14:paraId="7C887D84" w14:textId="77777777" w:rsidR="008A737A" w:rsidRPr="008A737A" w:rsidRDefault="008A737A" w:rsidP="008B5897">
            <w:pPr>
              <w:spacing w:line="240" w:lineRule="auto"/>
              <w:jc w:val="center"/>
              <w:rPr>
                <w:rFonts w:ascii="Verdana" w:eastAsia="Calibri" w:hAnsi="Verdana" w:cs="Times New Roman"/>
                <w:b/>
                <w:bCs/>
                <w:iCs/>
                <w:sz w:val="18"/>
                <w:szCs w:val="18"/>
              </w:rPr>
            </w:pPr>
          </w:p>
        </w:tc>
        <w:tc>
          <w:tcPr>
            <w:tcW w:w="30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tcPr>
          <w:p w14:paraId="1B443C3F" w14:textId="77777777" w:rsidR="008A737A" w:rsidRPr="00DC4150" w:rsidRDefault="008A737A" w:rsidP="008B5897">
            <w:pPr>
              <w:spacing w:line="240" w:lineRule="auto"/>
              <w:rPr>
                <w:rFonts w:ascii="Verdana" w:eastAsia="Calibri" w:hAnsi="Verdana" w:cs="Times New Roman"/>
                <w:iCs/>
                <w:sz w:val="18"/>
                <w:szCs w:val="18"/>
              </w:rPr>
            </w:pPr>
            <w:r w:rsidRPr="000465E0">
              <w:rPr>
                <w:rFonts w:ascii="Verdana" w:eastAsia="Calibri" w:hAnsi="Verdana" w:cs="Times New Roman"/>
                <w:iCs/>
                <w:sz w:val="18"/>
                <w:szCs w:val="18"/>
              </w:rPr>
              <w:t>17.1: Strengthen domestic resource mobilization, including through inte</w:t>
            </w:r>
            <w:r w:rsidRPr="00DC4150">
              <w:rPr>
                <w:rFonts w:ascii="Verdana" w:eastAsia="Calibri" w:hAnsi="Verdana" w:cs="Times New Roman"/>
                <w:iCs/>
                <w:sz w:val="18"/>
                <w:szCs w:val="18"/>
              </w:rPr>
              <w:t xml:space="preserve">rnational support to developing countries, to improve domestic capacity for tax and other revenue collection  </w:t>
            </w:r>
          </w:p>
        </w:tc>
        <w:tc>
          <w:tcPr>
            <w:tcW w:w="2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tcPr>
          <w:p w14:paraId="23C80A24" w14:textId="77777777" w:rsidR="008A737A" w:rsidRPr="000465E0" w:rsidRDefault="008A737A" w:rsidP="008B5897">
            <w:pPr>
              <w:spacing w:line="240" w:lineRule="auto"/>
              <w:rPr>
                <w:rFonts w:ascii="Verdana" w:eastAsia="Calibri" w:hAnsi="Verdana" w:cs="Times New Roman"/>
                <w:iCs/>
                <w:sz w:val="18"/>
                <w:szCs w:val="18"/>
              </w:rPr>
            </w:pPr>
            <w:r w:rsidRPr="008A737A">
              <w:rPr>
                <w:rFonts w:ascii="Verdana" w:eastAsia="Times New Roman" w:hAnsi="Verdana" w:cs="Calibri"/>
                <w:sz w:val="18"/>
                <w:szCs w:val="18"/>
                <w:lang w:eastAsia="ja-JP"/>
              </w:rPr>
              <w:t>% increase in non-oil revenue mobilization in Central Equatoria, Western Equatoria and Northern Bahr el Ghazal states</w:t>
            </w:r>
          </w:p>
        </w:tc>
        <w:tc>
          <w:tcPr>
            <w:tcW w:w="29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4C39C4F8" w14:textId="77777777" w:rsidR="008A737A" w:rsidRPr="00DC4150" w:rsidRDefault="008A737A" w:rsidP="008B5897">
            <w:pPr>
              <w:rPr>
                <w:rFonts w:ascii="Verdana" w:eastAsia="Calibri" w:hAnsi="Verdana" w:cs="Times New Roman"/>
                <w:sz w:val="18"/>
                <w:szCs w:val="18"/>
              </w:rPr>
            </w:pPr>
            <w:r w:rsidRPr="00DC4150">
              <w:rPr>
                <w:rFonts w:ascii="Verdana" w:eastAsia="Calibri" w:hAnsi="Verdana" w:cs="Times New Roman"/>
                <w:sz w:val="18"/>
                <w:szCs w:val="18"/>
              </w:rPr>
              <w:t>Baseline (2019):</w:t>
            </w:r>
          </w:p>
          <w:p w14:paraId="5F463948" w14:textId="77777777" w:rsidR="008A737A" w:rsidRPr="003455B0" w:rsidRDefault="008A737A" w:rsidP="008B5897">
            <w:pPr>
              <w:pStyle w:val="ListParagraph"/>
              <w:numPr>
                <w:ilvl w:val="0"/>
                <w:numId w:val="54"/>
              </w:numPr>
              <w:spacing w:line="240" w:lineRule="auto"/>
              <w:jc w:val="left"/>
              <w:rPr>
                <w:rFonts w:ascii="Verdana" w:eastAsia="Calibri" w:hAnsi="Verdana" w:cs="Times New Roman"/>
                <w:sz w:val="18"/>
                <w:szCs w:val="18"/>
              </w:rPr>
            </w:pPr>
            <w:r w:rsidRPr="003455B0">
              <w:rPr>
                <w:rFonts w:ascii="Verdana" w:eastAsia="Calibri" w:hAnsi="Verdana" w:cs="Times New Roman"/>
                <w:sz w:val="18"/>
                <w:szCs w:val="18"/>
              </w:rPr>
              <w:t>National level: Proxy Measure- 18/19 LOGOSEED-US$ 1.1Bn</w:t>
            </w:r>
          </w:p>
          <w:p w14:paraId="24105B2C" w14:textId="77777777" w:rsidR="008A737A" w:rsidRPr="003455B0" w:rsidRDefault="008A737A" w:rsidP="008B5897">
            <w:pPr>
              <w:pStyle w:val="ListParagraph"/>
              <w:numPr>
                <w:ilvl w:val="0"/>
                <w:numId w:val="54"/>
              </w:numPr>
              <w:spacing w:line="240" w:lineRule="auto"/>
              <w:rPr>
                <w:rFonts w:ascii="Verdana" w:eastAsia="Calibri" w:hAnsi="Verdana" w:cs="Times New Roman"/>
                <w:sz w:val="18"/>
                <w:szCs w:val="18"/>
              </w:rPr>
            </w:pPr>
            <w:r w:rsidRPr="003455B0">
              <w:rPr>
                <w:rFonts w:ascii="Verdana" w:eastAsia="Calibri" w:hAnsi="Verdana" w:cs="Times New Roman"/>
                <w:sz w:val="18"/>
                <w:szCs w:val="18"/>
              </w:rPr>
              <w:t>State level: Not available</w:t>
            </w:r>
          </w:p>
          <w:p w14:paraId="22865C8F" w14:textId="77777777" w:rsidR="008A737A" w:rsidRPr="003455B0" w:rsidRDefault="008A737A" w:rsidP="008B5897">
            <w:pPr>
              <w:rPr>
                <w:rFonts w:ascii="Verdana" w:eastAsia="Calibri" w:hAnsi="Verdana" w:cs="Times New Roman"/>
                <w:sz w:val="18"/>
                <w:szCs w:val="18"/>
              </w:rPr>
            </w:pPr>
            <w:r w:rsidRPr="003455B0">
              <w:rPr>
                <w:rFonts w:ascii="Verdana" w:eastAsia="Calibri" w:hAnsi="Verdana" w:cs="Times New Roman"/>
                <w:sz w:val="18"/>
                <w:szCs w:val="18"/>
              </w:rPr>
              <w:t>Target:</w:t>
            </w:r>
          </w:p>
          <w:p w14:paraId="1799AEEC" w14:textId="77777777" w:rsidR="008A737A" w:rsidRPr="003455B0" w:rsidRDefault="008A737A" w:rsidP="008B5897">
            <w:pPr>
              <w:spacing w:line="240" w:lineRule="auto"/>
              <w:rPr>
                <w:rFonts w:ascii="Verdana" w:eastAsia="Calibri" w:hAnsi="Verdana" w:cs="Times New Roman"/>
                <w:sz w:val="18"/>
                <w:szCs w:val="18"/>
              </w:rPr>
            </w:pPr>
            <w:r w:rsidRPr="003455B0">
              <w:rPr>
                <w:rFonts w:ascii="Verdana" w:eastAsia="Calibri" w:hAnsi="Verdana" w:cs="Times New Roman"/>
                <w:sz w:val="18"/>
                <w:szCs w:val="18"/>
              </w:rPr>
              <w:t xml:space="preserve">To be established at inception phase. </w:t>
            </w:r>
          </w:p>
        </w:tc>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tcPr>
          <w:p w14:paraId="7DD84675"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Report from NRA and SRA</w:t>
            </w:r>
          </w:p>
          <w:p w14:paraId="6D13F594" w14:textId="77777777" w:rsidR="008A737A" w:rsidRPr="003455B0" w:rsidRDefault="008A737A" w:rsidP="008B5897">
            <w:pPr>
              <w:spacing w:line="240" w:lineRule="auto"/>
              <w:rPr>
                <w:rFonts w:ascii="Verdana" w:eastAsia="Calibri" w:hAnsi="Verdana" w:cs="Times New Roman"/>
                <w:iCs/>
                <w:sz w:val="18"/>
                <w:szCs w:val="18"/>
              </w:rPr>
            </w:pPr>
          </w:p>
          <w:p w14:paraId="31C1315E" w14:textId="77777777" w:rsidR="008A737A" w:rsidRPr="003455B0" w:rsidRDefault="008A737A" w:rsidP="008B5897">
            <w:pPr>
              <w:spacing w:line="240" w:lineRule="auto"/>
              <w:rPr>
                <w:rFonts w:ascii="Verdana" w:eastAsia="Calibri" w:hAnsi="Verdana" w:cs="Times New Roman"/>
                <w:iCs/>
                <w:sz w:val="18"/>
                <w:szCs w:val="18"/>
                <w:u w:val="single"/>
              </w:rPr>
            </w:pPr>
            <w:r w:rsidRPr="003455B0">
              <w:rPr>
                <w:rFonts w:ascii="Verdana" w:eastAsia="Calibri" w:hAnsi="Verdana" w:cs="Times New Roman"/>
                <w:iCs/>
                <w:sz w:val="18"/>
                <w:szCs w:val="18"/>
                <w:u w:val="single"/>
              </w:rPr>
              <w:t>RRF Output Indicator 1.1.1</w:t>
            </w:r>
          </w:p>
          <w:p w14:paraId="5B8FADB3" w14:textId="77777777" w:rsidR="008A737A" w:rsidRPr="003455B0" w:rsidRDefault="008A737A" w:rsidP="008B5897">
            <w:pPr>
              <w:spacing w:line="240" w:lineRule="auto"/>
              <w:rPr>
                <w:rFonts w:ascii="Verdana" w:eastAsia="Calibri" w:hAnsi="Verdana" w:cs="Times New Roman"/>
                <w:iCs/>
                <w:sz w:val="18"/>
                <w:szCs w:val="18"/>
              </w:rPr>
            </w:pPr>
          </w:p>
          <w:p w14:paraId="3207A1F7"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Annually</w:t>
            </w:r>
          </w:p>
        </w:tc>
      </w:tr>
      <w:tr w:rsidR="008A737A" w:rsidRPr="003455B0" w14:paraId="2B7E3E58" w14:textId="77777777" w:rsidTr="008B5897">
        <w:trPr>
          <w:trHeight w:val="283"/>
        </w:trPr>
        <w:tc>
          <w:tcPr>
            <w:tcW w:w="803" w:type="dxa"/>
            <w:vMerge/>
            <w:tcMar>
              <w:top w:w="15" w:type="dxa"/>
              <w:left w:w="74" w:type="dxa"/>
              <w:bottom w:w="0" w:type="dxa"/>
              <w:right w:w="74" w:type="dxa"/>
            </w:tcMar>
          </w:tcPr>
          <w:p w14:paraId="6B58AB2D" w14:textId="77777777" w:rsidR="008A737A" w:rsidRPr="003455B0" w:rsidRDefault="008A737A" w:rsidP="008B5897">
            <w:pPr>
              <w:spacing w:line="240" w:lineRule="auto"/>
              <w:rPr>
                <w:rFonts w:ascii="Verdana" w:eastAsia="Calibri" w:hAnsi="Verdana" w:cs="Times New Roman"/>
                <w:b/>
                <w:bCs/>
                <w:iCs/>
                <w:sz w:val="18"/>
                <w:szCs w:val="18"/>
              </w:rPr>
            </w:pPr>
          </w:p>
        </w:tc>
        <w:tc>
          <w:tcPr>
            <w:tcW w:w="307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tcPr>
          <w:p w14:paraId="43ABC4F9"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17.3: Mobilize additional financial resources for developing countries from multiple sources</w:t>
            </w:r>
          </w:p>
        </w:tc>
        <w:tc>
          <w:tcPr>
            <w:tcW w:w="23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tcPr>
          <w:p w14:paraId="2FB06664"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17.3.1: Private Financing and ODA as a proportion of total national/state financial framework (i.e. INFF, SDSs, and Sector Plans)</w:t>
            </w:r>
          </w:p>
        </w:tc>
        <w:tc>
          <w:tcPr>
            <w:tcW w:w="29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1D54CD51"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Baseline (2018):</w:t>
            </w:r>
          </w:p>
          <w:p w14:paraId="59555EBC"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National level:</w:t>
            </w:r>
          </w:p>
          <w:p w14:paraId="3B2048FC"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ODA: US $ 250-350m</w:t>
            </w:r>
          </w:p>
          <w:p w14:paraId="609CBA98"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Private Financing: TBC</w:t>
            </w:r>
          </w:p>
          <w:p w14:paraId="77AF4B42"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State level:</w:t>
            </w:r>
          </w:p>
          <w:p w14:paraId="1AE70E5A"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ODA: TBC</w:t>
            </w:r>
          </w:p>
          <w:p w14:paraId="2D1E5169"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Private Financing: TBC</w:t>
            </w:r>
          </w:p>
          <w:p w14:paraId="7F260441"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iCs/>
                <w:sz w:val="18"/>
                <w:szCs w:val="18"/>
              </w:rPr>
              <w:t xml:space="preserve">Target: </w:t>
            </w:r>
          </w:p>
          <w:p w14:paraId="707E2D04" w14:textId="77777777" w:rsidR="008A737A" w:rsidRPr="003455B0" w:rsidRDefault="008A737A" w:rsidP="008B5897">
            <w:pPr>
              <w:rPr>
                <w:rFonts w:ascii="Verdana" w:eastAsia="Calibri" w:hAnsi="Verdana" w:cs="Times New Roman"/>
                <w:iCs/>
                <w:sz w:val="18"/>
                <w:szCs w:val="18"/>
              </w:rPr>
            </w:pPr>
            <w:r w:rsidRPr="003455B0">
              <w:rPr>
                <w:rFonts w:ascii="Verdana" w:eastAsia="Calibri" w:hAnsi="Verdana" w:cs="Times New Roman"/>
                <w:sz w:val="18"/>
                <w:szCs w:val="18"/>
              </w:rPr>
              <w:t>To be established at inception phase.</w:t>
            </w:r>
          </w:p>
        </w:tc>
        <w:tc>
          <w:tcPr>
            <w:tcW w:w="1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15" w:type="dxa"/>
              <w:left w:w="74" w:type="dxa"/>
              <w:bottom w:w="0" w:type="dxa"/>
              <w:right w:w="74" w:type="dxa"/>
            </w:tcMar>
          </w:tcPr>
          <w:p w14:paraId="3391F8F3"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INFF and SDS and Sector Plans</w:t>
            </w:r>
          </w:p>
          <w:p w14:paraId="02085DEB" w14:textId="77777777" w:rsidR="008A737A" w:rsidRPr="003455B0" w:rsidRDefault="008A737A" w:rsidP="008B5897">
            <w:pPr>
              <w:spacing w:line="240" w:lineRule="auto"/>
              <w:rPr>
                <w:rFonts w:ascii="Verdana" w:eastAsia="Calibri" w:hAnsi="Verdana" w:cs="Times New Roman"/>
                <w:iCs/>
                <w:sz w:val="18"/>
                <w:szCs w:val="18"/>
              </w:rPr>
            </w:pPr>
          </w:p>
          <w:p w14:paraId="1607B978" w14:textId="77777777" w:rsidR="008A737A" w:rsidRPr="003455B0" w:rsidRDefault="008A737A" w:rsidP="008B5897">
            <w:pPr>
              <w:spacing w:line="240" w:lineRule="auto"/>
              <w:rPr>
                <w:rFonts w:ascii="Verdana" w:eastAsia="Calibri" w:hAnsi="Verdana" w:cs="Times New Roman"/>
                <w:iCs/>
                <w:sz w:val="18"/>
                <w:szCs w:val="18"/>
                <w:u w:val="single"/>
              </w:rPr>
            </w:pPr>
            <w:r w:rsidRPr="003455B0">
              <w:rPr>
                <w:rFonts w:ascii="Verdana" w:eastAsia="Calibri" w:hAnsi="Verdana" w:cs="Times New Roman"/>
                <w:iCs/>
                <w:sz w:val="18"/>
                <w:szCs w:val="18"/>
                <w:u w:val="single"/>
              </w:rPr>
              <w:t>RRF Outcome Indicator 1</w:t>
            </w:r>
          </w:p>
          <w:p w14:paraId="4162F3CF" w14:textId="77777777" w:rsidR="008A737A" w:rsidRPr="003455B0" w:rsidRDefault="008A737A" w:rsidP="008B5897">
            <w:pPr>
              <w:spacing w:line="240" w:lineRule="auto"/>
              <w:rPr>
                <w:rFonts w:ascii="Verdana" w:eastAsia="Calibri" w:hAnsi="Verdana" w:cs="Times New Roman"/>
                <w:iCs/>
                <w:sz w:val="18"/>
                <w:szCs w:val="18"/>
              </w:rPr>
            </w:pPr>
          </w:p>
          <w:p w14:paraId="0C30140F" w14:textId="77777777" w:rsidR="008A737A" w:rsidRPr="003455B0" w:rsidRDefault="008A737A" w:rsidP="008B5897">
            <w:pPr>
              <w:spacing w:line="240" w:lineRule="auto"/>
              <w:rPr>
                <w:rFonts w:ascii="Verdana" w:eastAsia="Calibri" w:hAnsi="Verdana" w:cs="Times New Roman"/>
                <w:iCs/>
                <w:sz w:val="18"/>
                <w:szCs w:val="18"/>
              </w:rPr>
            </w:pPr>
            <w:r w:rsidRPr="003455B0">
              <w:rPr>
                <w:rFonts w:ascii="Verdana" w:eastAsia="Calibri" w:hAnsi="Verdana" w:cs="Times New Roman"/>
                <w:iCs/>
                <w:sz w:val="18"/>
                <w:szCs w:val="18"/>
              </w:rPr>
              <w:t>Annually</w:t>
            </w:r>
          </w:p>
        </w:tc>
      </w:tr>
    </w:tbl>
    <w:p w14:paraId="252A86F8" w14:textId="77777777" w:rsidR="008A737A" w:rsidRPr="003E2544" w:rsidRDefault="008A737A" w:rsidP="008A737A">
      <w:pPr>
        <w:spacing w:line="240" w:lineRule="auto"/>
        <w:rPr>
          <w:rFonts w:ascii="Verdana" w:hAnsi="Verdana"/>
          <w:sz w:val="20"/>
          <w:szCs w:val="20"/>
        </w:rPr>
      </w:pPr>
    </w:p>
    <w:p w14:paraId="41220E7D" w14:textId="77777777" w:rsidR="008A737A" w:rsidRDefault="008A737A" w:rsidP="00245274">
      <w:pPr>
        <w:pStyle w:val="Heading2"/>
        <w:spacing w:line="240" w:lineRule="auto"/>
      </w:pPr>
    </w:p>
    <w:p w14:paraId="64378E71" w14:textId="77777777" w:rsidR="008A737A" w:rsidRDefault="008A737A" w:rsidP="00245274">
      <w:pPr>
        <w:pStyle w:val="Heading2"/>
        <w:spacing w:line="240" w:lineRule="auto"/>
        <w:sectPr w:rsidR="008A737A" w:rsidSect="008A737A">
          <w:pgSz w:w="12240" w:h="15840"/>
          <w:pgMar w:top="720" w:right="720" w:bottom="720" w:left="720" w:header="720" w:footer="720" w:gutter="0"/>
          <w:cols w:space="720"/>
          <w:titlePg/>
          <w:docGrid w:linePitch="360"/>
        </w:sectPr>
      </w:pPr>
    </w:p>
    <w:p w14:paraId="4F844330" w14:textId="5DCF7D4D" w:rsidR="00326558" w:rsidRDefault="00326558" w:rsidP="00245274">
      <w:pPr>
        <w:pStyle w:val="Heading2"/>
        <w:spacing w:line="240" w:lineRule="auto"/>
      </w:pPr>
      <w:r w:rsidRPr="00D66711">
        <w:lastRenderedPageBreak/>
        <w:t xml:space="preserve">Annex </w:t>
      </w:r>
      <w:r w:rsidR="00A913B0">
        <w:t>7</w:t>
      </w:r>
      <w:r w:rsidRPr="00D66711">
        <w:t>: PFM Cycle Mapping Exercise</w:t>
      </w:r>
    </w:p>
    <w:p w14:paraId="23897706" w14:textId="6BA7E058" w:rsidR="007F013C" w:rsidRDefault="007F013C" w:rsidP="007F013C"/>
    <w:p w14:paraId="214194DA" w14:textId="573C2B6C" w:rsidR="007F013C" w:rsidRDefault="007F013C" w:rsidP="007F013C">
      <w:pPr>
        <w:spacing w:line="240" w:lineRule="auto"/>
        <w:rPr>
          <w:rFonts w:ascii="Verdana" w:hAnsi="Verdana" w:cstheme="minorHAnsi"/>
          <w:sz w:val="18"/>
          <w:szCs w:val="18"/>
        </w:rPr>
      </w:pPr>
      <w:r w:rsidRPr="004B0460">
        <w:rPr>
          <w:rFonts w:ascii="Verdana" w:hAnsi="Verdana" w:cstheme="minorHAnsi"/>
          <w:sz w:val="18"/>
          <w:szCs w:val="18"/>
        </w:rPr>
        <w:t>This document outlines phases of public financial management and maps UNDP, UNICEF, OHCHR and WHO’s</w:t>
      </w:r>
      <w:r w:rsidRPr="004B0460" w:rsidDel="000465E0">
        <w:rPr>
          <w:rFonts w:ascii="Verdana" w:hAnsi="Verdana" w:cstheme="minorHAnsi"/>
          <w:sz w:val="18"/>
          <w:szCs w:val="18"/>
        </w:rPr>
        <w:t xml:space="preserve"> </w:t>
      </w:r>
      <w:r w:rsidRPr="004B0460">
        <w:rPr>
          <w:rFonts w:ascii="Verdana" w:hAnsi="Verdana" w:cstheme="minorHAnsi"/>
          <w:sz w:val="18"/>
          <w:szCs w:val="18"/>
        </w:rPr>
        <w:t xml:space="preserve">past/ongoing interventions in South Sudan, gaps identified, proposed intervention in general and proposed activities specifically for Joint SDG Fund. This mapping exercise was </w:t>
      </w:r>
      <w:r w:rsidR="00AD3520">
        <w:rPr>
          <w:rFonts w:ascii="Verdana" w:hAnsi="Verdana" w:cstheme="minorHAnsi"/>
          <w:sz w:val="18"/>
          <w:szCs w:val="18"/>
        </w:rPr>
        <w:t xml:space="preserve">completed in </w:t>
      </w:r>
      <w:r w:rsidR="00B02C49">
        <w:rPr>
          <w:rFonts w:ascii="Verdana" w:hAnsi="Verdana" w:cstheme="minorHAnsi"/>
          <w:sz w:val="18"/>
          <w:szCs w:val="18"/>
        </w:rPr>
        <w:t>collaboration</w:t>
      </w:r>
      <w:r w:rsidR="00AD3520">
        <w:rPr>
          <w:rFonts w:ascii="Verdana" w:hAnsi="Verdana" w:cstheme="minorHAnsi"/>
          <w:sz w:val="18"/>
          <w:szCs w:val="18"/>
        </w:rPr>
        <w:t xml:space="preserve"> with key </w:t>
      </w:r>
      <w:r w:rsidR="00725465">
        <w:rPr>
          <w:rFonts w:ascii="Verdana" w:hAnsi="Verdana" w:cstheme="minorHAnsi"/>
          <w:sz w:val="18"/>
          <w:szCs w:val="18"/>
        </w:rPr>
        <w:t xml:space="preserve">PFM institutions including </w:t>
      </w:r>
      <w:r w:rsidRPr="004B0460">
        <w:rPr>
          <w:rFonts w:ascii="Verdana" w:hAnsi="Verdana" w:cstheme="minorHAnsi"/>
          <w:sz w:val="18"/>
          <w:szCs w:val="18"/>
        </w:rPr>
        <w:t>MoFP, NRA and SRA</w:t>
      </w:r>
      <w:r w:rsidR="00725465">
        <w:rPr>
          <w:rFonts w:ascii="Verdana" w:hAnsi="Verdana" w:cstheme="minorHAnsi"/>
          <w:sz w:val="18"/>
          <w:szCs w:val="18"/>
        </w:rPr>
        <w:t>s</w:t>
      </w:r>
      <w:r w:rsidRPr="004B0460">
        <w:rPr>
          <w:rFonts w:ascii="Verdana" w:hAnsi="Verdana" w:cstheme="minorHAnsi"/>
          <w:sz w:val="18"/>
          <w:szCs w:val="18"/>
        </w:rPr>
        <w:t>.</w:t>
      </w:r>
    </w:p>
    <w:p w14:paraId="3A5ABABB" w14:textId="77777777" w:rsidR="00762252" w:rsidRPr="004B0460" w:rsidRDefault="00762252" w:rsidP="007F013C">
      <w:pPr>
        <w:spacing w:line="240" w:lineRule="auto"/>
        <w:rPr>
          <w:rFonts w:ascii="Verdana" w:hAnsi="Verdana" w:cstheme="minorHAnsi"/>
          <w:sz w:val="18"/>
          <w:szCs w:val="18"/>
        </w:rPr>
      </w:pPr>
    </w:p>
    <w:tbl>
      <w:tblPr>
        <w:tblStyle w:val="TableGrid"/>
        <w:tblpPr w:leftFromText="180" w:rightFromText="180" w:vertAnchor="text" w:tblpY="1"/>
        <w:tblOverlap w:val="never"/>
        <w:tblW w:w="5000" w:type="pct"/>
        <w:tblLook w:val="04A0" w:firstRow="1" w:lastRow="0" w:firstColumn="1" w:lastColumn="0" w:noHBand="0" w:noVBand="1"/>
      </w:tblPr>
      <w:tblGrid>
        <w:gridCol w:w="1530"/>
        <w:gridCol w:w="3235"/>
        <w:gridCol w:w="2340"/>
        <w:gridCol w:w="2476"/>
        <w:gridCol w:w="2404"/>
        <w:gridCol w:w="2405"/>
      </w:tblGrid>
      <w:tr w:rsidR="004B0460" w:rsidRPr="00E1574B" w14:paraId="385F4E7C" w14:textId="77777777" w:rsidTr="00762252">
        <w:trPr>
          <w:trHeight w:val="512"/>
          <w:tblHeader/>
        </w:trPr>
        <w:tc>
          <w:tcPr>
            <w:tcW w:w="1530" w:type="dxa"/>
            <w:tcBorders>
              <w:top w:val="nil"/>
            </w:tcBorders>
            <w:shd w:val="clear" w:color="auto" w:fill="5B9BD5" w:themeFill="accent5"/>
            <w:vAlign w:val="center"/>
          </w:tcPr>
          <w:p w14:paraId="1F009A59" w14:textId="25829B52" w:rsidR="007F013C" w:rsidRPr="00E1574B" w:rsidRDefault="007F013C" w:rsidP="00762252">
            <w:pPr>
              <w:rPr>
                <w:rFonts w:ascii="Verdana" w:hAnsi="Verdana" w:cstheme="minorHAnsi"/>
                <w:b/>
                <w:color w:val="auto"/>
                <w:sz w:val="16"/>
                <w:szCs w:val="16"/>
              </w:rPr>
            </w:pPr>
            <w:r w:rsidRPr="00E1574B">
              <w:rPr>
                <w:rFonts w:ascii="Verdana" w:hAnsi="Verdana" w:cstheme="minorHAnsi"/>
                <w:b/>
                <w:color w:val="auto"/>
                <w:sz w:val="16"/>
                <w:szCs w:val="16"/>
              </w:rPr>
              <w:t>Public Finance Phase</w:t>
            </w:r>
          </w:p>
        </w:tc>
        <w:tc>
          <w:tcPr>
            <w:tcW w:w="3235" w:type="dxa"/>
            <w:shd w:val="clear" w:color="auto" w:fill="5B9BD5" w:themeFill="accent5"/>
            <w:vAlign w:val="center"/>
          </w:tcPr>
          <w:p w14:paraId="752E137B" w14:textId="77777777" w:rsidR="007F013C" w:rsidRPr="00E1574B" w:rsidRDefault="007F013C" w:rsidP="00762252">
            <w:pPr>
              <w:rPr>
                <w:rFonts w:ascii="Verdana" w:hAnsi="Verdana" w:cstheme="minorHAnsi"/>
                <w:b/>
                <w:color w:val="auto"/>
                <w:sz w:val="16"/>
                <w:szCs w:val="16"/>
              </w:rPr>
            </w:pPr>
            <w:r w:rsidRPr="00E1574B">
              <w:rPr>
                <w:rFonts w:ascii="Verdana" w:hAnsi="Verdana" w:cstheme="minorHAnsi"/>
                <w:b/>
                <w:color w:val="auto"/>
                <w:sz w:val="16"/>
                <w:szCs w:val="16"/>
              </w:rPr>
              <w:t>Intervention undertaken by UNDP, UNICEF, OHCHR and WHO</w:t>
            </w:r>
          </w:p>
        </w:tc>
        <w:tc>
          <w:tcPr>
            <w:tcW w:w="2340" w:type="dxa"/>
            <w:shd w:val="clear" w:color="auto" w:fill="5B9BD5" w:themeFill="accent5"/>
            <w:vAlign w:val="center"/>
          </w:tcPr>
          <w:p w14:paraId="03AE5D02" w14:textId="77777777" w:rsidR="007F013C" w:rsidRPr="00E1574B" w:rsidRDefault="007F013C" w:rsidP="00762252">
            <w:pPr>
              <w:rPr>
                <w:rFonts w:ascii="Verdana" w:hAnsi="Verdana" w:cstheme="minorHAnsi"/>
                <w:b/>
                <w:color w:val="auto"/>
                <w:sz w:val="16"/>
                <w:szCs w:val="16"/>
              </w:rPr>
            </w:pPr>
            <w:r w:rsidRPr="00E1574B">
              <w:rPr>
                <w:rFonts w:ascii="Verdana" w:hAnsi="Verdana" w:cstheme="minorHAnsi"/>
                <w:b/>
                <w:color w:val="auto"/>
                <w:sz w:val="16"/>
                <w:szCs w:val="16"/>
              </w:rPr>
              <w:t>Successful intervention</w:t>
            </w:r>
          </w:p>
        </w:tc>
        <w:tc>
          <w:tcPr>
            <w:tcW w:w="2476" w:type="dxa"/>
            <w:shd w:val="clear" w:color="auto" w:fill="5B9BD5" w:themeFill="accent5"/>
            <w:vAlign w:val="center"/>
          </w:tcPr>
          <w:p w14:paraId="5332CB00" w14:textId="77777777" w:rsidR="007F013C" w:rsidRPr="00E1574B" w:rsidRDefault="007F013C" w:rsidP="00762252">
            <w:pPr>
              <w:rPr>
                <w:rFonts w:ascii="Verdana" w:hAnsi="Verdana" w:cstheme="minorHAnsi"/>
                <w:b/>
                <w:color w:val="auto"/>
                <w:sz w:val="16"/>
                <w:szCs w:val="16"/>
              </w:rPr>
            </w:pPr>
            <w:r w:rsidRPr="00E1574B">
              <w:rPr>
                <w:rFonts w:ascii="Verdana" w:hAnsi="Verdana" w:cstheme="minorHAnsi"/>
                <w:b/>
                <w:color w:val="auto"/>
                <w:sz w:val="16"/>
                <w:szCs w:val="16"/>
              </w:rPr>
              <w:t>Gaps identified</w:t>
            </w:r>
          </w:p>
        </w:tc>
        <w:tc>
          <w:tcPr>
            <w:tcW w:w="2404" w:type="dxa"/>
            <w:shd w:val="clear" w:color="auto" w:fill="5B9BD5" w:themeFill="accent5"/>
            <w:vAlign w:val="center"/>
          </w:tcPr>
          <w:p w14:paraId="5EA29E75" w14:textId="1E8D6A8A" w:rsidR="007F013C" w:rsidRPr="00E1574B" w:rsidRDefault="007F013C" w:rsidP="00762252">
            <w:pPr>
              <w:rPr>
                <w:rFonts w:ascii="Verdana" w:hAnsi="Verdana" w:cstheme="minorHAnsi"/>
                <w:b/>
                <w:color w:val="auto"/>
                <w:sz w:val="16"/>
                <w:szCs w:val="16"/>
              </w:rPr>
            </w:pPr>
            <w:r w:rsidRPr="00E1574B">
              <w:rPr>
                <w:rFonts w:ascii="Verdana" w:hAnsi="Verdana" w:cstheme="minorHAnsi"/>
                <w:b/>
                <w:color w:val="auto"/>
                <w:sz w:val="16"/>
                <w:szCs w:val="16"/>
              </w:rPr>
              <w:t>Proposed intervention</w:t>
            </w:r>
          </w:p>
        </w:tc>
        <w:tc>
          <w:tcPr>
            <w:tcW w:w="2405" w:type="dxa"/>
            <w:shd w:val="clear" w:color="auto" w:fill="5B9BD5" w:themeFill="accent5"/>
            <w:vAlign w:val="center"/>
          </w:tcPr>
          <w:p w14:paraId="1FA5D815" w14:textId="77777777" w:rsidR="007F013C" w:rsidRPr="00E1574B" w:rsidRDefault="007F013C" w:rsidP="00762252">
            <w:pPr>
              <w:rPr>
                <w:rFonts w:ascii="Verdana" w:hAnsi="Verdana" w:cstheme="minorHAnsi"/>
                <w:b/>
                <w:color w:val="auto"/>
                <w:sz w:val="16"/>
                <w:szCs w:val="16"/>
              </w:rPr>
            </w:pPr>
            <w:r w:rsidRPr="00E1574B">
              <w:rPr>
                <w:rFonts w:ascii="Verdana" w:hAnsi="Verdana" w:cstheme="minorHAnsi"/>
                <w:b/>
                <w:color w:val="auto"/>
                <w:sz w:val="16"/>
                <w:szCs w:val="16"/>
              </w:rPr>
              <w:t>Proposed SDG fund activity</w:t>
            </w:r>
          </w:p>
        </w:tc>
      </w:tr>
      <w:tr w:rsidR="004B0460" w:rsidRPr="00E1574B" w14:paraId="01934521" w14:textId="77777777" w:rsidTr="00762252">
        <w:trPr>
          <w:trHeight w:val="512"/>
        </w:trPr>
        <w:tc>
          <w:tcPr>
            <w:tcW w:w="1530" w:type="dxa"/>
            <w:vMerge w:val="restart"/>
            <w:tcBorders>
              <w:top w:val="nil"/>
            </w:tcBorders>
            <w:shd w:val="clear" w:color="auto" w:fill="FFFFFF" w:themeFill="background1"/>
            <w:vAlign w:val="center"/>
          </w:tcPr>
          <w:p w14:paraId="3B52AF02" w14:textId="77777777" w:rsidR="007F013C" w:rsidRPr="00E1574B" w:rsidRDefault="007F013C" w:rsidP="00762252">
            <w:pPr>
              <w:rPr>
                <w:rFonts w:ascii="Verdana" w:hAnsi="Verdana" w:cstheme="minorHAnsi"/>
                <w:b/>
                <w:color w:val="auto"/>
                <w:sz w:val="16"/>
                <w:szCs w:val="16"/>
              </w:rPr>
            </w:pPr>
            <w:r w:rsidRPr="00E1574B">
              <w:rPr>
                <w:rFonts w:ascii="Verdana" w:hAnsi="Verdana" w:cstheme="minorHAnsi"/>
                <w:b/>
                <w:color w:val="auto"/>
                <w:sz w:val="16"/>
                <w:szCs w:val="16"/>
              </w:rPr>
              <w:t>National level Planning, Budgeting and Financing mechanisms</w:t>
            </w:r>
          </w:p>
        </w:tc>
        <w:tc>
          <w:tcPr>
            <w:tcW w:w="3235" w:type="dxa"/>
            <w:vMerge w:val="restart"/>
            <w:shd w:val="clear" w:color="auto" w:fill="FFFFFF" w:themeFill="background1"/>
            <w:vAlign w:val="center"/>
          </w:tcPr>
          <w:p w14:paraId="6E10AFE6" w14:textId="77777777" w:rsidR="007F013C" w:rsidRPr="00E1574B" w:rsidRDefault="007F013C" w:rsidP="00762252">
            <w:pPr>
              <w:rPr>
                <w:rFonts w:ascii="Verdana" w:hAnsi="Verdana" w:cstheme="minorHAnsi"/>
                <w:bCs/>
                <w:color w:val="auto"/>
                <w:sz w:val="16"/>
                <w:szCs w:val="16"/>
              </w:rPr>
            </w:pPr>
            <w:r w:rsidRPr="00E1574B">
              <w:rPr>
                <w:rFonts w:ascii="Verdana" w:hAnsi="Verdana" w:cstheme="minorHAnsi"/>
                <w:bCs/>
                <w:color w:val="auto"/>
                <w:sz w:val="16"/>
                <w:szCs w:val="16"/>
              </w:rPr>
              <w:t>WHO:</w:t>
            </w:r>
          </w:p>
          <w:p w14:paraId="1138F209" w14:textId="77777777" w:rsidR="007F013C" w:rsidRPr="00E1574B" w:rsidRDefault="007F013C" w:rsidP="00762252">
            <w:pPr>
              <w:rPr>
                <w:rFonts w:ascii="Verdana" w:hAnsi="Verdana" w:cstheme="minorHAnsi"/>
                <w:bCs/>
                <w:color w:val="auto"/>
                <w:sz w:val="16"/>
                <w:szCs w:val="16"/>
              </w:rPr>
            </w:pPr>
            <w:r w:rsidRPr="00E1574B">
              <w:rPr>
                <w:rFonts w:ascii="Verdana" w:hAnsi="Verdana" w:cstheme="minorHAnsi"/>
                <w:bCs/>
                <w:color w:val="auto"/>
                <w:sz w:val="16"/>
                <w:szCs w:val="16"/>
              </w:rPr>
              <w:t xml:space="preserve">Development of the first Health Financing Strategy through technical assistance to </w:t>
            </w:r>
            <w:proofErr w:type="spellStart"/>
            <w:r w:rsidRPr="00E1574B">
              <w:rPr>
                <w:rFonts w:ascii="Verdana" w:hAnsi="Verdana" w:cstheme="minorHAnsi"/>
                <w:bCs/>
                <w:color w:val="auto"/>
                <w:sz w:val="16"/>
                <w:szCs w:val="16"/>
              </w:rPr>
              <w:t>MoH</w:t>
            </w:r>
            <w:proofErr w:type="spellEnd"/>
            <w:r w:rsidRPr="00E1574B">
              <w:rPr>
                <w:rFonts w:ascii="Verdana" w:hAnsi="Verdana" w:cstheme="minorHAnsi"/>
                <w:bCs/>
                <w:color w:val="auto"/>
                <w:sz w:val="16"/>
                <w:szCs w:val="16"/>
              </w:rPr>
              <w:t xml:space="preserve"> and in consultation with </w:t>
            </w:r>
            <w:proofErr w:type="spellStart"/>
            <w:r w:rsidRPr="00E1574B">
              <w:rPr>
                <w:rFonts w:ascii="Verdana" w:hAnsi="Verdana" w:cstheme="minorHAnsi"/>
                <w:bCs/>
                <w:color w:val="auto"/>
                <w:sz w:val="16"/>
                <w:szCs w:val="16"/>
              </w:rPr>
              <w:t>MoFEP</w:t>
            </w:r>
            <w:proofErr w:type="spellEnd"/>
            <w:r w:rsidRPr="00E1574B">
              <w:rPr>
                <w:rFonts w:ascii="Verdana" w:hAnsi="Verdana" w:cstheme="minorHAnsi"/>
                <w:bCs/>
                <w:color w:val="auto"/>
                <w:sz w:val="16"/>
                <w:szCs w:val="16"/>
              </w:rPr>
              <w:t xml:space="preserve"> towards the achievement of Universal Health Coverage (SDG 3.8) underpinning the SDG agenda of realizing the right to health for all</w:t>
            </w:r>
          </w:p>
        </w:tc>
        <w:tc>
          <w:tcPr>
            <w:tcW w:w="2340" w:type="dxa"/>
            <w:shd w:val="clear" w:color="auto" w:fill="FFFFFF" w:themeFill="background1"/>
            <w:vAlign w:val="center"/>
          </w:tcPr>
          <w:p w14:paraId="50A9F0E6" w14:textId="77777777" w:rsidR="007F013C" w:rsidRPr="00E1574B" w:rsidRDefault="007F013C" w:rsidP="00762252">
            <w:pPr>
              <w:rPr>
                <w:rFonts w:ascii="Verdana" w:hAnsi="Verdana" w:cstheme="minorHAnsi"/>
                <w:bCs/>
                <w:color w:val="auto"/>
                <w:sz w:val="16"/>
                <w:szCs w:val="16"/>
              </w:rPr>
            </w:pPr>
            <w:r w:rsidRPr="00E1574B">
              <w:rPr>
                <w:rFonts w:ascii="Verdana" w:hAnsi="Verdana" w:cstheme="minorHAnsi"/>
                <w:bCs/>
                <w:color w:val="auto"/>
                <w:sz w:val="16"/>
                <w:szCs w:val="16"/>
              </w:rPr>
              <w:t>First National health financing strategy and its implementation plan developed</w:t>
            </w:r>
          </w:p>
        </w:tc>
        <w:tc>
          <w:tcPr>
            <w:tcW w:w="2476" w:type="dxa"/>
            <w:shd w:val="clear" w:color="auto" w:fill="FFFFFF" w:themeFill="background1"/>
            <w:vAlign w:val="center"/>
          </w:tcPr>
          <w:p w14:paraId="228B9926" w14:textId="77777777" w:rsidR="007F013C" w:rsidRPr="00E1574B" w:rsidRDefault="007F013C" w:rsidP="00762252">
            <w:pPr>
              <w:rPr>
                <w:rFonts w:ascii="Verdana" w:hAnsi="Verdana" w:cstheme="minorHAnsi"/>
                <w:bCs/>
                <w:color w:val="auto"/>
                <w:sz w:val="16"/>
                <w:szCs w:val="16"/>
              </w:rPr>
            </w:pPr>
            <w:r w:rsidRPr="00E1574B">
              <w:rPr>
                <w:rFonts w:ascii="Verdana" w:hAnsi="Verdana" w:cstheme="minorHAnsi"/>
                <w:bCs/>
                <w:color w:val="auto"/>
                <w:sz w:val="16"/>
                <w:szCs w:val="16"/>
              </w:rPr>
              <w:t>Weak PFM systems at the National Level impacting on planning, budgeting and budget executions resulting in poorly funded social services at the service delivery points</w:t>
            </w:r>
          </w:p>
        </w:tc>
        <w:tc>
          <w:tcPr>
            <w:tcW w:w="2404" w:type="dxa"/>
            <w:shd w:val="clear" w:color="auto" w:fill="FFFFFF" w:themeFill="background1"/>
            <w:vAlign w:val="center"/>
          </w:tcPr>
          <w:p w14:paraId="607F085E" w14:textId="77777777" w:rsidR="007F013C" w:rsidRPr="00E1574B" w:rsidRDefault="007F013C" w:rsidP="00762252">
            <w:pPr>
              <w:rPr>
                <w:rFonts w:ascii="Verdana" w:hAnsi="Verdana" w:cstheme="minorHAnsi"/>
                <w:bCs/>
                <w:color w:val="auto"/>
                <w:sz w:val="16"/>
                <w:szCs w:val="16"/>
              </w:rPr>
            </w:pPr>
            <w:r w:rsidRPr="00E1574B">
              <w:rPr>
                <w:rFonts w:ascii="Verdana" w:hAnsi="Verdana" w:cstheme="minorHAnsi"/>
                <w:bCs/>
                <w:color w:val="auto"/>
                <w:sz w:val="16"/>
                <w:szCs w:val="16"/>
              </w:rPr>
              <w:t xml:space="preserve">Strengthen PFM systems at national level in particular for </w:t>
            </w:r>
            <w:proofErr w:type="spellStart"/>
            <w:r w:rsidRPr="00E1574B">
              <w:rPr>
                <w:rFonts w:ascii="Verdana" w:hAnsi="Verdana" w:cstheme="minorHAnsi"/>
                <w:bCs/>
                <w:color w:val="auto"/>
                <w:sz w:val="16"/>
                <w:szCs w:val="16"/>
              </w:rPr>
              <w:t>MoH</w:t>
            </w:r>
            <w:proofErr w:type="spellEnd"/>
            <w:r w:rsidRPr="00E1574B">
              <w:rPr>
                <w:rFonts w:ascii="Verdana" w:hAnsi="Verdana" w:cstheme="minorHAnsi"/>
                <w:bCs/>
                <w:color w:val="auto"/>
                <w:sz w:val="16"/>
                <w:szCs w:val="16"/>
              </w:rPr>
              <w:t xml:space="preserve"> as a key social sector and one of the least governments funded, to implement</w:t>
            </w:r>
          </w:p>
          <w:p w14:paraId="0470D585" w14:textId="77777777" w:rsidR="007F013C" w:rsidRPr="00E1574B" w:rsidRDefault="007F013C" w:rsidP="00762252">
            <w:pPr>
              <w:rPr>
                <w:rFonts w:ascii="Verdana" w:hAnsi="Verdana" w:cstheme="minorHAnsi"/>
                <w:bCs/>
                <w:color w:val="auto"/>
                <w:sz w:val="16"/>
                <w:szCs w:val="16"/>
              </w:rPr>
            </w:pPr>
            <w:r w:rsidRPr="00E1574B">
              <w:rPr>
                <w:rFonts w:ascii="Verdana" w:hAnsi="Verdana" w:cstheme="minorHAnsi"/>
                <w:bCs/>
                <w:color w:val="auto"/>
                <w:sz w:val="16"/>
                <w:szCs w:val="16"/>
              </w:rPr>
              <w:t>some of the key health financing reforms aimed at improving revenue generation, pooling of funds and strategic purchasing for health.</w:t>
            </w:r>
          </w:p>
        </w:tc>
        <w:tc>
          <w:tcPr>
            <w:tcW w:w="2405" w:type="dxa"/>
            <w:shd w:val="clear" w:color="auto" w:fill="FFFFFF" w:themeFill="background1"/>
            <w:vAlign w:val="center"/>
          </w:tcPr>
          <w:p w14:paraId="77BBFAD9" w14:textId="77777777" w:rsidR="007F013C" w:rsidRPr="00E1574B" w:rsidRDefault="007F013C" w:rsidP="00762252">
            <w:pPr>
              <w:rPr>
                <w:rFonts w:ascii="Verdana" w:hAnsi="Verdana" w:cstheme="minorHAnsi"/>
                <w:bCs/>
                <w:color w:val="auto"/>
                <w:sz w:val="16"/>
                <w:szCs w:val="16"/>
              </w:rPr>
            </w:pPr>
            <w:r w:rsidRPr="00E1574B">
              <w:rPr>
                <w:rFonts w:ascii="Verdana" w:hAnsi="Verdana" w:cstheme="minorHAnsi"/>
                <w:bCs/>
                <w:color w:val="auto"/>
                <w:sz w:val="16"/>
                <w:szCs w:val="16"/>
              </w:rPr>
              <w:t xml:space="preserve">Deploy technical expert to work with </w:t>
            </w:r>
            <w:proofErr w:type="spellStart"/>
            <w:r w:rsidRPr="00E1574B">
              <w:rPr>
                <w:rFonts w:ascii="Verdana" w:hAnsi="Verdana" w:cstheme="minorHAnsi"/>
                <w:bCs/>
                <w:color w:val="auto"/>
                <w:sz w:val="16"/>
                <w:szCs w:val="16"/>
              </w:rPr>
              <w:t>MoFEP</w:t>
            </w:r>
            <w:proofErr w:type="spellEnd"/>
            <w:r w:rsidRPr="00E1574B">
              <w:rPr>
                <w:rFonts w:ascii="Verdana" w:hAnsi="Verdana" w:cstheme="minorHAnsi"/>
                <w:bCs/>
                <w:color w:val="auto"/>
                <w:sz w:val="16"/>
                <w:szCs w:val="16"/>
              </w:rPr>
              <w:t xml:space="preserve"> and </w:t>
            </w:r>
            <w:proofErr w:type="spellStart"/>
            <w:r w:rsidRPr="00E1574B">
              <w:rPr>
                <w:rFonts w:ascii="Verdana" w:hAnsi="Verdana" w:cstheme="minorHAnsi"/>
                <w:bCs/>
                <w:color w:val="auto"/>
                <w:sz w:val="16"/>
                <w:szCs w:val="16"/>
              </w:rPr>
              <w:t>MoH</w:t>
            </w:r>
            <w:proofErr w:type="spellEnd"/>
            <w:r w:rsidRPr="00E1574B">
              <w:rPr>
                <w:rFonts w:ascii="Verdana" w:hAnsi="Verdana" w:cstheme="minorHAnsi"/>
                <w:bCs/>
                <w:color w:val="auto"/>
                <w:sz w:val="16"/>
                <w:szCs w:val="16"/>
              </w:rPr>
              <w:t xml:space="preserve"> and private sector on strengthening PFM systems at national level and implementing roll-out of key health financing reforms</w:t>
            </w:r>
          </w:p>
        </w:tc>
      </w:tr>
      <w:tr w:rsidR="004B0460" w:rsidRPr="00E1574B" w14:paraId="77D99C55" w14:textId="77777777" w:rsidTr="00762252">
        <w:trPr>
          <w:trHeight w:val="512"/>
        </w:trPr>
        <w:tc>
          <w:tcPr>
            <w:tcW w:w="1530" w:type="dxa"/>
            <w:vMerge/>
            <w:shd w:val="clear" w:color="auto" w:fill="FFFFFF" w:themeFill="background1"/>
            <w:vAlign w:val="center"/>
          </w:tcPr>
          <w:p w14:paraId="09CFC4DB" w14:textId="77777777" w:rsidR="007F013C" w:rsidRPr="00E1574B" w:rsidRDefault="007F013C" w:rsidP="00762252">
            <w:pPr>
              <w:rPr>
                <w:rFonts w:ascii="Verdana" w:hAnsi="Verdana" w:cstheme="minorHAnsi"/>
                <w:b/>
                <w:color w:val="auto"/>
                <w:sz w:val="16"/>
                <w:szCs w:val="16"/>
              </w:rPr>
            </w:pPr>
          </w:p>
        </w:tc>
        <w:tc>
          <w:tcPr>
            <w:tcW w:w="3235" w:type="dxa"/>
            <w:vMerge/>
            <w:shd w:val="clear" w:color="auto" w:fill="FFFFFF" w:themeFill="background1"/>
            <w:vAlign w:val="center"/>
          </w:tcPr>
          <w:p w14:paraId="02BFAC14" w14:textId="77777777" w:rsidR="007F013C" w:rsidRPr="00E1574B" w:rsidRDefault="007F013C" w:rsidP="00762252">
            <w:pPr>
              <w:rPr>
                <w:rFonts w:ascii="Verdana" w:hAnsi="Verdana" w:cstheme="minorHAnsi"/>
                <w:bCs/>
                <w:color w:val="auto"/>
                <w:sz w:val="16"/>
                <w:szCs w:val="16"/>
              </w:rPr>
            </w:pPr>
          </w:p>
        </w:tc>
        <w:tc>
          <w:tcPr>
            <w:tcW w:w="2340" w:type="dxa"/>
            <w:shd w:val="clear" w:color="auto" w:fill="FFFFFF" w:themeFill="background1"/>
            <w:vAlign w:val="center"/>
          </w:tcPr>
          <w:p w14:paraId="0E3921D2" w14:textId="77777777" w:rsidR="007F013C" w:rsidRPr="00E1574B" w:rsidRDefault="007F013C" w:rsidP="00762252">
            <w:pPr>
              <w:rPr>
                <w:rFonts w:ascii="Verdana" w:hAnsi="Verdana" w:cstheme="minorHAnsi"/>
                <w:bCs/>
                <w:color w:val="auto"/>
                <w:sz w:val="16"/>
                <w:szCs w:val="16"/>
              </w:rPr>
            </w:pPr>
          </w:p>
        </w:tc>
        <w:tc>
          <w:tcPr>
            <w:tcW w:w="2476" w:type="dxa"/>
            <w:shd w:val="clear" w:color="auto" w:fill="FFFFFF" w:themeFill="background1"/>
            <w:vAlign w:val="center"/>
          </w:tcPr>
          <w:p w14:paraId="40D32702" w14:textId="77777777" w:rsidR="007F013C" w:rsidRPr="00E1574B" w:rsidRDefault="007F013C" w:rsidP="00762252">
            <w:pPr>
              <w:rPr>
                <w:rFonts w:ascii="Verdana" w:hAnsi="Verdana" w:cstheme="minorHAnsi"/>
                <w:bCs/>
                <w:color w:val="auto"/>
                <w:sz w:val="16"/>
                <w:szCs w:val="16"/>
              </w:rPr>
            </w:pPr>
            <w:r w:rsidRPr="00E1574B">
              <w:rPr>
                <w:rFonts w:ascii="Verdana" w:hAnsi="Verdana" w:cstheme="minorHAnsi"/>
                <w:bCs/>
                <w:color w:val="auto"/>
                <w:sz w:val="16"/>
                <w:szCs w:val="16"/>
              </w:rPr>
              <w:t>Low government budget allocation to key social sectors particularly health (current allocation is 1.1.% far below the recommended 15% - Abuja declaration)</w:t>
            </w:r>
          </w:p>
          <w:p w14:paraId="7F8C42EA" w14:textId="77777777" w:rsidR="007F013C" w:rsidRPr="00E1574B" w:rsidRDefault="007F013C" w:rsidP="00762252">
            <w:pPr>
              <w:rPr>
                <w:rFonts w:ascii="Verdana" w:hAnsi="Verdana" w:cstheme="minorHAnsi"/>
                <w:bCs/>
                <w:color w:val="auto"/>
                <w:sz w:val="16"/>
                <w:szCs w:val="16"/>
              </w:rPr>
            </w:pPr>
          </w:p>
          <w:p w14:paraId="42F00298" w14:textId="77777777" w:rsidR="007F013C" w:rsidRPr="00E1574B" w:rsidRDefault="007F013C" w:rsidP="00762252">
            <w:pPr>
              <w:rPr>
                <w:rFonts w:ascii="Verdana" w:hAnsi="Verdana" w:cstheme="minorHAnsi"/>
                <w:bCs/>
                <w:color w:val="auto"/>
                <w:sz w:val="16"/>
                <w:szCs w:val="16"/>
              </w:rPr>
            </w:pPr>
            <w:r w:rsidRPr="00E1574B">
              <w:rPr>
                <w:rFonts w:ascii="Verdana" w:hAnsi="Verdana" w:cstheme="minorHAnsi"/>
                <w:bCs/>
                <w:color w:val="auto"/>
                <w:sz w:val="16"/>
                <w:szCs w:val="16"/>
              </w:rPr>
              <w:t>High out of pocket expenditure on health pushing many south Sudanese into poverty</w:t>
            </w:r>
          </w:p>
        </w:tc>
        <w:tc>
          <w:tcPr>
            <w:tcW w:w="2404" w:type="dxa"/>
            <w:shd w:val="clear" w:color="auto" w:fill="FFFFFF" w:themeFill="background1"/>
            <w:vAlign w:val="center"/>
          </w:tcPr>
          <w:p w14:paraId="0CA0572A" w14:textId="77777777" w:rsidR="007F013C" w:rsidRPr="00E1574B" w:rsidRDefault="007F013C" w:rsidP="00762252">
            <w:pPr>
              <w:rPr>
                <w:rFonts w:ascii="Verdana" w:hAnsi="Verdana" w:cstheme="minorHAnsi"/>
                <w:bCs/>
                <w:color w:val="auto"/>
                <w:sz w:val="16"/>
                <w:szCs w:val="16"/>
              </w:rPr>
            </w:pPr>
            <w:r w:rsidRPr="00E1574B">
              <w:rPr>
                <w:rFonts w:ascii="Verdana" w:hAnsi="Verdana" w:cstheme="minorHAnsi"/>
                <w:bCs/>
                <w:color w:val="auto"/>
                <w:sz w:val="16"/>
                <w:szCs w:val="16"/>
              </w:rPr>
              <w:t>Policy dialogue and Advocacy through evidence generation for increased government budget allocations to key social sectors such as the health sector which has one of the lowest allocations (1.1%)</w:t>
            </w:r>
          </w:p>
        </w:tc>
        <w:tc>
          <w:tcPr>
            <w:tcW w:w="2405" w:type="dxa"/>
            <w:shd w:val="clear" w:color="auto" w:fill="FFFFFF" w:themeFill="background1"/>
            <w:vAlign w:val="center"/>
          </w:tcPr>
          <w:p w14:paraId="7E3CA6D8" w14:textId="77777777" w:rsidR="007F013C" w:rsidRPr="00E1574B" w:rsidRDefault="007F013C" w:rsidP="00762252">
            <w:pPr>
              <w:rPr>
                <w:rFonts w:ascii="Verdana" w:hAnsi="Verdana" w:cstheme="minorHAnsi"/>
                <w:bCs/>
                <w:color w:val="auto"/>
                <w:sz w:val="16"/>
                <w:szCs w:val="16"/>
              </w:rPr>
            </w:pPr>
            <w:r w:rsidRPr="00E1574B">
              <w:rPr>
                <w:rFonts w:ascii="Verdana" w:hAnsi="Verdana" w:cstheme="minorHAnsi"/>
                <w:bCs/>
                <w:color w:val="auto"/>
                <w:sz w:val="16"/>
                <w:szCs w:val="16"/>
              </w:rPr>
              <w:t>Support policy dialogue and high-level advocacy based on evidence generated, for increased government revenue allocation to key social sectors</w:t>
            </w:r>
          </w:p>
        </w:tc>
      </w:tr>
      <w:tr w:rsidR="004B0460" w:rsidRPr="00E1574B" w14:paraId="20E55D38" w14:textId="77777777" w:rsidTr="00762252">
        <w:tc>
          <w:tcPr>
            <w:tcW w:w="1530" w:type="dxa"/>
            <w:vMerge w:val="restart"/>
            <w:vAlign w:val="center"/>
          </w:tcPr>
          <w:p w14:paraId="724F706C" w14:textId="77777777" w:rsidR="007F013C" w:rsidRPr="00E1574B" w:rsidRDefault="007F013C" w:rsidP="00762252">
            <w:pPr>
              <w:rPr>
                <w:rFonts w:ascii="Verdana" w:hAnsi="Verdana" w:cstheme="minorHAnsi"/>
                <w:b/>
                <w:bCs/>
                <w:color w:val="auto"/>
                <w:sz w:val="16"/>
                <w:szCs w:val="16"/>
              </w:rPr>
            </w:pPr>
            <w:r w:rsidRPr="00E1574B">
              <w:rPr>
                <w:rFonts w:ascii="Verdana" w:hAnsi="Verdana" w:cstheme="minorHAnsi"/>
                <w:b/>
                <w:bCs/>
                <w:color w:val="auto"/>
                <w:sz w:val="16"/>
                <w:szCs w:val="16"/>
              </w:rPr>
              <w:t>State Development Strategy (SDS)</w:t>
            </w:r>
          </w:p>
        </w:tc>
        <w:tc>
          <w:tcPr>
            <w:tcW w:w="3235" w:type="dxa"/>
            <w:vMerge w:val="restart"/>
            <w:vAlign w:val="center"/>
          </w:tcPr>
          <w:p w14:paraId="6C98CFB3"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No current intervention undertaken</w:t>
            </w:r>
          </w:p>
          <w:p w14:paraId="3D64F898" w14:textId="77777777" w:rsidR="007F013C" w:rsidRPr="00E1574B" w:rsidRDefault="007F013C" w:rsidP="00762252">
            <w:pPr>
              <w:rPr>
                <w:rFonts w:ascii="Verdana" w:hAnsi="Verdana" w:cstheme="minorHAnsi"/>
                <w:color w:val="auto"/>
                <w:sz w:val="16"/>
                <w:szCs w:val="16"/>
              </w:rPr>
            </w:pPr>
          </w:p>
          <w:p w14:paraId="65A1AEB7" w14:textId="77777777" w:rsidR="007F013C" w:rsidRPr="00E1574B" w:rsidRDefault="007F013C" w:rsidP="00762252">
            <w:pPr>
              <w:rPr>
                <w:rFonts w:ascii="Verdana" w:hAnsi="Verdana" w:cstheme="minorHAnsi"/>
                <w:color w:val="auto"/>
                <w:sz w:val="16"/>
                <w:szCs w:val="16"/>
              </w:rPr>
            </w:pPr>
          </w:p>
          <w:p w14:paraId="06B897F9"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State Ministers of Finance, members of state legislature, Director-generals participate in planning sessions to reconstruct state level PFM system in 2019 as part of the needs-assessment for the national PF4C capacity building programme. </w:t>
            </w:r>
          </w:p>
        </w:tc>
        <w:tc>
          <w:tcPr>
            <w:tcW w:w="2340" w:type="dxa"/>
            <w:vMerge w:val="restart"/>
            <w:vAlign w:val="center"/>
          </w:tcPr>
          <w:p w14:paraId="72AAD7BD"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w:t>
            </w:r>
          </w:p>
          <w:p w14:paraId="1F2354EA" w14:textId="77777777" w:rsidR="007F013C" w:rsidRPr="00E1574B" w:rsidRDefault="007F013C" w:rsidP="00762252">
            <w:pPr>
              <w:rPr>
                <w:rFonts w:ascii="Verdana" w:hAnsi="Verdana" w:cstheme="minorHAnsi"/>
                <w:color w:val="auto"/>
                <w:sz w:val="16"/>
                <w:szCs w:val="16"/>
              </w:rPr>
            </w:pPr>
          </w:p>
        </w:tc>
        <w:tc>
          <w:tcPr>
            <w:tcW w:w="2476" w:type="dxa"/>
            <w:vAlign w:val="center"/>
          </w:tcPr>
          <w:p w14:paraId="1B22892E" w14:textId="6C0C954B"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Most states lack State Development Strategy or Plans to guide the spending of money collected. If exists, they are often developed in a non-inclusive approach (i.e. no consultation with private sector, CSOs including GEWE CSOs, UN agencies, etc.)</w:t>
            </w:r>
          </w:p>
          <w:p w14:paraId="16F565A8" w14:textId="77777777" w:rsidR="007F013C" w:rsidRPr="00E1574B" w:rsidRDefault="007F013C" w:rsidP="00762252">
            <w:pPr>
              <w:rPr>
                <w:rFonts w:ascii="Verdana" w:hAnsi="Verdana" w:cstheme="minorHAnsi"/>
                <w:color w:val="auto"/>
                <w:sz w:val="16"/>
                <w:szCs w:val="16"/>
              </w:rPr>
            </w:pPr>
          </w:p>
          <w:p w14:paraId="5F499D7E" w14:textId="77777777" w:rsidR="007F013C" w:rsidRPr="00E1574B" w:rsidRDefault="007F013C" w:rsidP="00762252">
            <w:pPr>
              <w:rPr>
                <w:rFonts w:ascii="Verdana" w:hAnsi="Verdana" w:cstheme="minorHAnsi"/>
                <w:color w:val="auto"/>
                <w:sz w:val="16"/>
                <w:szCs w:val="16"/>
              </w:rPr>
            </w:pPr>
          </w:p>
        </w:tc>
        <w:tc>
          <w:tcPr>
            <w:tcW w:w="2404" w:type="dxa"/>
            <w:vAlign w:val="center"/>
          </w:tcPr>
          <w:p w14:paraId="262BE535"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Deploy technical expert to facilitate the process of developing fiscal discipline, PFM compliance and SDG-aligned SDSs.</w:t>
            </w:r>
          </w:p>
          <w:p w14:paraId="7D04F472" w14:textId="77777777" w:rsidR="007F013C" w:rsidRPr="00E1574B" w:rsidRDefault="007F013C" w:rsidP="00762252">
            <w:pPr>
              <w:rPr>
                <w:rFonts w:ascii="Verdana" w:hAnsi="Verdana" w:cstheme="minorHAnsi"/>
                <w:color w:val="auto"/>
                <w:sz w:val="16"/>
                <w:szCs w:val="16"/>
              </w:rPr>
            </w:pPr>
          </w:p>
          <w:p w14:paraId="4222C395" w14:textId="77777777" w:rsidR="007F013C" w:rsidRPr="00E1574B" w:rsidRDefault="007F013C" w:rsidP="00762252">
            <w:pPr>
              <w:rPr>
                <w:rFonts w:ascii="Verdana" w:hAnsi="Verdana" w:cstheme="minorHAnsi"/>
                <w:color w:val="auto"/>
                <w:sz w:val="16"/>
                <w:szCs w:val="16"/>
              </w:rPr>
            </w:pPr>
          </w:p>
        </w:tc>
        <w:tc>
          <w:tcPr>
            <w:tcW w:w="2405" w:type="dxa"/>
            <w:vAlign w:val="center"/>
          </w:tcPr>
          <w:p w14:paraId="4AB602DF"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Support the development of SDG-aligned State Development Strategies in three states (UNDP).</w:t>
            </w:r>
          </w:p>
          <w:p w14:paraId="4398F363" w14:textId="77777777" w:rsidR="007F013C" w:rsidRPr="00E1574B" w:rsidRDefault="007F013C" w:rsidP="00762252">
            <w:pPr>
              <w:rPr>
                <w:rFonts w:ascii="Verdana" w:hAnsi="Verdana" w:cstheme="minorHAnsi"/>
                <w:color w:val="auto"/>
                <w:sz w:val="16"/>
                <w:szCs w:val="16"/>
              </w:rPr>
            </w:pPr>
          </w:p>
          <w:p w14:paraId="5DBDF6A7"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Build Capacity in Costed Work Plans for 2021, aligned to SDS and State Budget Submission. (UNICEF/UNDP)</w:t>
            </w:r>
          </w:p>
          <w:p w14:paraId="5BAC4EC4" w14:textId="77777777" w:rsidR="007F013C" w:rsidRPr="00E1574B" w:rsidRDefault="007F013C" w:rsidP="00762252">
            <w:pPr>
              <w:rPr>
                <w:rFonts w:ascii="Verdana" w:hAnsi="Verdana" w:cstheme="minorHAnsi"/>
                <w:color w:val="auto"/>
                <w:sz w:val="16"/>
                <w:szCs w:val="16"/>
              </w:rPr>
            </w:pPr>
          </w:p>
          <w:p w14:paraId="7C5696D5"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State-level fiscal space analysis (UNICEF/UNDP)</w:t>
            </w:r>
          </w:p>
        </w:tc>
      </w:tr>
      <w:tr w:rsidR="004B0460" w:rsidRPr="00E1574B" w14:paraId="14E8BD80" w14:textId="77777777" w:rsidTr="00762252">
        <w:tc>
          <w:tcPr>
            <w:tcW w:w="1530" w:type="dxa"/>
            <w:vMerge/>
            <w:vAlign w:val="center"/>
          </w:tcPr>
          <w:p w14:paraId="1A36004B" w14:textId="77777777" w:rsidR="007F013C" w:rsidRPr="00E1574B" w:rsidRDefault="007F013C" w:rsidP="00762252">
            <w:pPr>
              <w:rPr>
                <w:rFonts w:ascii="Verdana" w:hAnsi="Verdana" w:cstheme="minorHAnsi"/>
                <w:b/>
                <w:bCs/>
                <w:color w:val="auto"/>
                <w:sz w:val="16"/>
                <w:szCs w:val="16"/>
              </w:rPr>
            </w:pPr>
          </w:p>
        </w:tc>
        <w:tc>
          <w:tcPr>
            <w:tcW w:w="3235" w:type="dxa"/>
            <w:vMerge/>
            <w:vAlign w:val="center"/>
          </w:tcPr>
          <w:p w14:paraId="24B5F3A5" w14:textId="77777777" w:rsidR="007F013C" w:rsidRPr="00E1574B" w:rsidRDefault="007F013C" w:rsidP="00762252">
            <w:pPr>
              <w:rPr>
                <w:rFonts w:ascii="Verdana" w:hAnsi="Verdana" w:cstheme="minorHAnsi"/>
                <w:color w:val="auto"/>
                <w:sz w:val="16"/>
                <w:szCs w:val="16"/>
              </w:rPr>
            </w:pPr>
          </w:p>
        </w:tc>
        <w:tc>
          <w:tcPr>
            <w:tcW w:w="2340" w:type="dxa"/>
            <w:vMerge/>
            <w:vAlign w:val="center"/>
          </w:tcPr>
          <w:p w14:paraId="7350D5D5" w14:textId="77777777" w:rsidR="007F013C" w:rsidRPr="00E1574B" w:rsidRDefault="007F013C" w:rsidP="00762252">
            <w:pPr>
              <w:rPr>
                <w:rFonts w:ascii="Verdana" w:hAnsi="Verdana" w:cstheme="minorHAnsi"/>
                <w:color w:val="auto"/>
                <w:sz w:val="16"/>
                <w:szCs w:val="16"/>
              </w:rPr>
            </w:pPr>
          </w:p>
        </w:tc>
        <w:tc>
          <w:tcPr>
            <w:tcW w:w="2476" w:type="dxa"/>
            <w:vAlign w:val="center"/>
          </w:tcPr>
          <w:p w14:paraId="7F2844DC"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State government’s capacity to formulate State Development Plans limited – lack of payment of state officials leading to high degree of absenteeism on the state level.</w:t>
            </w:r>
          </w:p>
        </w:tc>
        <w:tc>
          <w:tcPr>
            <w:tcW w:w="2404" w:type="dxa"/>
            <w:vAlign w:val="center"/>
          </w:tcPr>
          <w:p w14:paraId="46E6AF1F" w14:textId="77777777" w:rsidR="007F013C" w:rsidRPr="00E1574B" w:rsidRDefault="007F013C" w:rsidP="00762252">
            <w:pPr>
              <w:rPr>
                <w:rFonts w:ascii="Verdana" w:hAnsi="Verdana" w:cstheme="minorHAnsi"/>
                <w:color w:val="auto"/>
                <w:sz w:val="16"/>
                <w:szCs w:val="16"/>
              </w:rPr>
            </w:pPr>
          </w:p>
        </w:tc>
        <w:tc>
          <w:tcPr>
            <w:tcW w:w="2405" w:type="dxa"/>
            <w:vAlign w:val="center"/>
          </w:tcPr>
          <w:p w14:paraId="1AD91434"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Re-establish the SDP Committee in the first three-tier states (Aweil, </w:t>
            </w:r>
            <w:proofErr w:type="spellStart"/>
            <w:r w:rsidRPr="00E1574B">
              <w:rPr>
                <w:rFonts w:ascii="Verdana" w:hAnsi="Verdana" w:cstheme="minorHAnsi"/>
                <w:color w:val="auto"/>
                <w:sz w:val="16"/>
                <w:szCs w:val="16"/>
              </w:rPr>
              <w:t>Jubek</w:t>
            </w:r>
            <w:proofErr w:type="spellEnd"/>
            <w:r w:rsidRPr="00E1574B">
              <w:rPr>
                <w:rFonts w:ascii="Verdana" w:hAnsi="Verdana" w:cstheme="minorHAnsi"/>
                <w:color w:val="auto"/>
                <w:sz w:val="16"/>
                <w:szCs w:val="16"/>
              </w:rPr>
              <w:t xml:space="preserve"> and </w:t>
            </w:r>
            <w:proofErr w:type="spellStart"/>
            <w:r w:rsidRPr="00E1574B">
              <w:rPr>
                <w:rFonts w:ascii="Verdana" w:hAnsi="Verdana" w:cstheme="minorHAnsi"/>
                <w:color w:val="auto"/>
                <w:sz w:val="16"/>
                <w:szCs w:val="16"/>
              </w:rPr>
              <w:t>Gbudue</w:t>
            </w:r>
            <w:proofErr w:type="spellEnd"/>
            <w:r w:rsidRPr="00E1574B">
              <w:rPr>
                <w:rFonts w:ascii="Verdana" w:hAnsi="Verdana" w:cstheme="minorHAnsi"/>
                <w:color w:val="auto"/>
                <w:sz w:val="16"/>
                <w:szCs w:val="16"/>
              </w:rPr>
              <w:t>) to ensure citizen’s inclusive development of SDG-aligned State Development Plan. (UNDP/UNICEF)</w:t>
            </w:r>
          </w:p>
        </w:tc>
      </w:tr>
      <w:tr w:rsidR="004B0460" w:rsidRPr="00E1574B" w14:paraId="1ABBA236" w14:textId="77777777" w:rsidTr="00762252">
        <w:tc>
          <w:tcPr>
            <w:tcW w:w="1530" w:type="dxa"/>
            <w:vMerge w:val="restart"/>
            <w:vAlign w:val="center"/>
          </w:tcPr>
          <w:p w14:paraId="3FBA8A3A" w14:textId="77777777" w:rsidR="007F013C" w:rsidRPr="00E1574B" w:rsidRDefault="007F013C" w:rsidP="00762252">
            <w:pPr>
              <w:rPr>
                <w:rFonts w:ascii="Verdana" w:hAnsi="Verdana" w:cstheme="minorHAnsi"/>
                <w:b/>
                <w:bCs/>
                <w:color w:val="auto"/>
                <w:sz w:val="16"/>
                <w:szCs w:val="16"/>
              </w:rPr>
            </w:pPr>
            <w:r w:rsidRPr="00E1574B">
              <w:rPr>
                <w:rFonts w:ascii="Verdana" w:hAnsi="Verdana" w:cstheme="minorHAnsi"/>
                <w:b/>
                <w:bCs/>
                <w:color w:val="auto"/>
                <w:sz w:val="16"/>
                <w:szCs w:val="16"/>
              </w:rPr>
              <w:t>State budgeting planning process</w:t>
            </w:r>
          </w:p>
        </w:tc>
        <w:tc>
          <w:tcPr>
            <w:tcW w:w="3235" w:type="dxa"/>
            <w:vMerge w:val="restart"/>
            <w:vAlign w:val="center"/>
          </w:tcPr>
          <w:p w14:paraId="7255ABC8"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b/>
                <w:color w:val="auto"/>
                <w:sz w:val="16"/>
                <w:szCs w:val="16"/>
                <w:u w:val="single"/>
              </w:rPr>
              <w:t>UNICEF ongoing/planned:</w:t>
            </w:r>
            <w:r w:rsidRPr="00E1574B">
              <w:rPr>
                <w:rFonts w:ascii="Verdana" w:hAnsi="Verdana" w:cstheme="minorHAnsi"/>
                <w:color w:val="auto"/>
                <w:sz w:val="16"/>
                <w:szCs w:val="16"/>
              </w:rPr>
              <w:t xml:space="preserve"> Facilitated MoFP-Budget and Planning office to develop a ‘Road Map’ for budget preparation, implementation, monitoring and reporting’- will be 1 component of comprehensive  PFM Road Map facilitated by UNDP.</w:t>
            </w:r>
          </w:p>
          <w:p w14:paraId="5BAC1A41" w14:textId="77777777" w:rsidR="007F013C" w:rsidRPr="00E1574B" w:rsidRDefault="007F013C" w:rsidP="00762252">
            <w:pPr>
              <w:rPr>
                <w:rFonts w:ascii="Verdana" w:hAnsi="Verdana" w:cstheme="minorHAnsi"/>
                <w:color w:val="auto"/>
                <w:sz w:val="16"/>
                <w:szCs w:val="16"/>
              </w:rPr>
            </w:pPr>
          </w:p>
          <w:p w14:paraId="74782087"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The above PFM needs were identified in a stakeholder consultation within MoFP Units, MoFP with Social Sector Ministries (including Health, Education, Water, Gender) in 2019. </w:t>
            </w:r>
          </w:p>
          <w:p w14:paraId="3F84D0FB" w14:textId="77777777" w:rsidR="007F013C" w:rsidRPr="00E1574B" w:rsidRDefault="007F013C" w:rsidP="00762252">
            <w:pPr>
              <w:rPr>
                <w:rFonts w:ascii="Verdana" w:hAnsi="Verdana" w:cstheme="minorHAnsi"/>
                <w:color w:val="auto"/>
                <w:sz w:val="16"/>
                <w:szCs w:val="16"/>
              </w:rPr>
            </w:pPr>
          </w:p>
          <w:p w14:paraId="6552036D"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State Budget Circular and Budget Guidelines revised and updated</w:t>
            </w:r>
          </w:p>
          <w:p w14:paraId="165A4910" w14:textId="77777777" w:rsidR="007F013C" w:rsidRPr="00E1574B" w:rsidRDefault="007F013C" w:rsidP="00762252">
            <w:pPr>
              <w:rPr>
                <w:rFonts w:ascii="Verdana" w:hAnsi="Verdana" w:cstheme="minorHAnsi"/>
                <w:color w:val="auto"/>
                <w:sz w:val="16"/>
                <w:szCs w:val="16"/>
              </w:rPr>
            </w:pPr>
          </w:p>
          <w:p w14:paraId="20B1A3D6"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Dormant State Budget Workshops re-established, with </w:t>
            </w:r>
          </w:p>
          <w:p w14:paraId="59E704FC"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32+1 States covered in 2019, via a </w:t>
            </w:r>
            <w:proofErr w:type="spellStart"/>
            <w:r w:rsidRPr="00E1574B">
              <w:rPr>
                <w:rFonts w:ascii="Verdana" w:hAnsi="Verdana" w:cstheme="minorHAnsi"/>
                <w:color w:val="auto"/>
                <w:sz w:val="16"/>
                <w:szCs w:val="16"/>
              </w:rPr>
              <w:t>ToT</w:t>
            </w:r>
            <w:proofErr w:type="spellEnd"/>
            <w:r w:rsidRPr="00E1574B">
              <w:rPr>
                <w:rFonts w:ascii="Verdana" w:hAnsi="Verdana" w:cstheme="minorHAnsi"/>
                <w:color w:val="auto"/>
                <w:sz w:val="16"/>
                <w:szCs w:val="16"/>
              </w:rPr>
              <w:t xml:space="preserve"> approach in 3 regional workshops. </w:t>
            </w:r>
          </w:p>
          <w:p w14:paraId="0EB712E3" w14:textId="77777777" w:rsidR="007F013C" w:rsidRPr="00E1574B" w:rsidRDefault="007F013C" w:rsidP="00762252">
            <w:pPr>
              <w:rPr>
                <w:rFonts w:ascii="Verdana" w:hAnsi="Verdana" w:cstheme="minorHAnsi"/>
                <w:color w:val="auto"/>
                <w:sz w:val="16"/>
                <w:szCs w:val="16"/>
              </w:rPr>
            </w:pPr>
          </w:p>
          <w:p w14:paraId="205C520D"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State and National Budget Preparation System software amended, updated and distributed to 32 states</w:t>
            </w:r>
          </w:p>
          <w:p w14:paraId="10C4906C" w14:textId="77777777" w:rsidR="007F013C" w:rsidRPr="00E1574B" w:rsidRDefault="007F013C" w:rsidP="00762252">
            <w:pPr>
              <w:rPr>
                <w:rFonts w:ascii="Verdana" w:hAnsi="Verdana" w:cstheme="minorHAnsi"/>
                <w:color w:val="auto"/>
                <w:sz w:val="16"/>
                <w:szCs w:val="16"/>
              </w:rPr>
            </w:pPr>
          </w:p>
          <w:p w14:paraId="5FE52E96"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Planned (through other WHO funding)</w:t>
            </w:r>
          </w:p>
          <w:p w14:paraId="763928E6" w14:textId="77777777" w:rsidR="007F013C" w:rsidRPr="00E1574B" w:rsidRDefault="007F013C" w:rsidP="00762252">
            <w:pPr>
              <w:rPr>
                <w:rFonts w:ascii="Verdana" w:hAnsi="Verdana" w:cstheme="minorHAnsi"/>
                <w:color w:val="auto"/>
                <w:sz w:val="16"/>
                <w:szCs w:val="16"/>
              </w:rPr>
            </w:pPr>
            <w:proofErr w:type="spellStart"/>
            <w:r w:rsidRPr="00E1574B">
              <w:rPr>
                <w:rFonts w:ascii="Verdana" w:hAnsi="Verdana" w:cstheme="minorHAnsi"/>
                <w:color w:val="auto"/>
                <w:sz w:val="16"/>
                <w:szCs w:val="16"/>
              </w:rPr>
              <w:t>ToT</w:t>
            </w:r>
            <w:proofErr w:type="spellEnd"/>
            <w:r w:rsidRPr="00E1574B">
              <w:rPr>
                <w:rFonts w:ascii="Verdana" w:hAnsi="Verdana" w:cstheme="minorHAnsi"/>
                <w:color w:val="auto"/>
                <w:sz w:val="16"/>
                <w:szCs w:val="16"/>
              </w:rPr>
              <w:t xml:space="preserve"> on operational planning and budgeting for the Ministry of Health</w:t>
            </w:r>
          </w:p>
          <w:p w14:paraId="09E2FBCA"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Hands on training to State and CHDs and partners on operational planning and budgeting </w:t>
            </w:r>
          </w:p>
        </w:tc>
        <w:tc>
          <w:tcPr>
            <w:tcW w:w="2340" w:type="dxa"/>
            <w:vMerge w:val="restart"/>
            <w:vAlign w:val="center"/>
          </w:tcPr>
          <w:p w14:paraId="63E22E27"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N/A</w:t>
            </w:r>
          </w:p>
        </w:tc>
        <w:tc>
          <w:tcPr>
            <w:tcW w:w="2476" w:type="dxa"/>
            <w:vAlign w:val="center"/>
          </w:tcPr>
          <w:p w14:paraId="771169BA"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No state level plan and budget</w:t>
            </w:r>
          </w:p>
          <w:p w14:paraId="7212036C" w14:textId="77777777" w:rsidR="007F013C" w:rsidRPr="00E1574B" w:rsidRDefault="007F013C" w:rsidP="00762252">
            <w:pPr>
              <w:rPr>
                <w:rFonts w:ascii="Verdana" w:hAnsi="Verdana" w:cstheme="minorHAnsi"/>
                <w:color w:val="auto"/>
                <w:sz w:val="16"/>
                <w:szCs w:val="16"/>
              </w:rPr>
            </w:pPr>
          </w:p>
          <w:p w14:paraId="381A3401"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b/>
                <w:color w:val="auto"/>
                <w:sz w:val="16"/>
                <w:szCs w:val="16"/>
                <w:u w:val="single"/>
              </w:rPr>
              <w:t>UNICEF</w:t>
            </w:r>
            <w:r w:rsidRPr="00E1574B">
              <w:rPr>
                <w:rFonts w:ascii="Verdana" w:hAnsi="Verdana" w:cstheme="minorHAnsi"/>
                <w:color w:val="auto"/>
                <w:sz w:val="16"/>
                <w:szCs w:val="16"/>
              </w:rPr>
              <w:t>: The UNICEF Capacity Assessment (2019) Study identified, that PFM systems and expertise at state level are comprehensive and adequate and require support in re-establishing pre-2013 standards</w:t>
            </w:r>
          </w:p>
          <w:p w14:paraId="6049E83F" w14:textId="77777777" w:rsidR="007F013C" w:rsidRPr="00E1574B" w:rsidRDefault="007F013C" w:rsidP="00762252">
            <w:pPr>
              <w:rPr>
                <w:rFonts w:ascii="Verdana" w:hAnsi="Verdana" w:cstheme="minorHAnsi"/>
                <w:color w:val="auto"/>
                <w:sz w:val="16"/>
                <w:szCs w:val="16"/>
              </w:rPr>
            </w:pPr>
          </w:p>
          <w:p w14:paraId="0E5FA995" w14:textId="77777777" w:rsidR="007F013C" w:rsidRPr="00E1574B" w:rsidRDefault="007F013C" w:rsidP="00762252">
            <w:pPr>
              <w:rPr>
                <w:rFonts w:ascii="Verdana" w:hAnsi="Verdana" w:cstheme="minorHAnsi"/>
                <w:color w:val="auto"/>
                <w:sz w:val="16"/>
                <w:szCs w:val="16"/>
              </w:rPr>
            </w:pPr>
          </w:p>
        </w:tc>
        <w:tc>
          <w:tcPr>
            <w:tcW w:w="2404" w:type="dxa"/>
            <w:vAlign w:val="center"/>
          </w:tcPr>
          <w:p w14:paraId="06F973CD"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Provide technical expertise, training and budget facilitation workshops;</w:t>
            </w:r>
          </w:p>
        </w:tc>
        <w:tc>
          <w:tcPr>
            <w:tcW w:w="2405" w:type="dxa"/>
            <w:vAlign w:val="center"/>
          </w:tcPr>
          <w:p w14:paraId="2ADC3B91"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Support the development of state plan/budget in align with the SDS.</w:t>
            </w:r>
          </w:p>
          <w:p w14:paraId="5DE5F713"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Capacity Building for state level officers in preparing costed work plans-together with re-establishing state mentoring teams.</w:t>
            </w:r>
          </w:p>
          <w:p w14:paraId="5A448617"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Support State Budget Workshops (UNICEF)</w:t>
            </w:r>
          </w:p>
          <w:p w14:paraId="11D919AB" w14:textId="77777777" w:rsidR="007F013C" w:rsidRPr="00E1574B" w:rsidRDefault="007F013C" w:rsidP="00762252">
            <w:pPr>
              <w:rPr>
                <w:rFonts w:ascii="Verdana" w:hAnsi="Verdana" w:cstheme="minorHAnsi"/>
                <w:color w:val="auto"/>
                <w:sz w:val="16"/>
                <w:szCs w:val="16"/>
              </w:rPr>
            </w:pPr>
          </w:p>
          <w:p w14:paraId="50BA6B85"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Support State annual health sector Operational Plans and Budget workshops for Health (WHO)</w:t>
            </w:r>
          </w:p>
        </w:tc>
      </w:tr>
      <w:tr w:rsidR="004B0460" w:rsidRPr="00E1574B" w14:paraId="6F2BDCEC" w14:textId="77777777" w:rsidTr="00762252">
        <w:tc>
          <w:tcPr>
            <w:tcW w:w="1530" w:type="dxa"/>
            <w:vMerge/>
            <w:vAlign w:val="center"/>
          </w:tcPr>
          <w:p w14:paraId="2B4AC3BD" w14:textId="77777777" w:rsidR="007F013C" w:rsidRPr="00E1574B" w:rsidRDefault="007F013C" w:rsidP="00762252">
            <w:pPr>
              <w:rPr>
                <w:rFonts w:ascii="Verdana" w:hAnsi="Verdana" w:cstheme="minorHAnsi"/>
                <w:color w:val="auto"/>
                <w:sz w:val="16"/>
                <w:szCs w:val="16"/>
              </w:rPr>
            </w:pPr>
          </w:p>
        </w:tc>
        <w:tc>
          <w:tcPr>
            <w:tcW w:w="3235" w:type="dxa"/>
            <w:vMerge/>
            <w:vAlign w:val="center"/>
          </w:tcPr>
          <w:p w14:paraId="6E44067E" w14:textId="77777777" w:rsidR="007F013C" w:rsidRPr="00E1574B" w:rsidRDefault="007F013C" w:rsidP="00762252">
            <w:pPr>
              <w:rPr>
                <w:rFonts w:ascii="Verdana" w:hAnsi="Verdana" w:cstheme="minorHAnsi"/>
                <w:color w:val="auto"/>
                <w:sz w:val="16"/>
                <w:szCs w:val="16"/>
              </w:rPr>
            </w:pPr>
          </w:p>
        </w:tc>
        <w:tc>
          <w:tcPr>
            <w:tcW w:w="2340" w:type="dxa"/>
            <w:vMerge/>
            <w:vAlign w:val="center"/>
          </w:tcPr>
          <w:p w14:paraId="42BA1200" w14:textId="77777777" w:rsidR="007F013C" w:rsidRPr="00E1574B" w:rsidRDefault="007F013C" w:rsidP="00762252">
            <w:pPr>
              <w:rPr>
                <w:rFonts w:ascii="Verdana" w:hAnsi="Verdana" w:cstheme="minorHAnsi"/>
                <w:color w:val="auto"/>
                <w:sz w:val="16"/>
                <w:szCs w:val="16"/>
              </w:rPr>
            </w:pPr>
          </w:p>
        </w:tc>
        <w:tc>
          <w:tcPr>
            <w:tcW w:w="2476" w:type="dxa"/>
            <w:vAlign w:val="center"/>
          </w:tcPr>
          <w:p w14:paraId="77515826" w14:textId="77777777" w:rsidR="007F013C" w:rsidRPr="00E1574B" w:rsidRDefault="007F013C" w:rsidP="00762252">
            <w:pPr>
              <w:rPr>
                <w:rFonts w:ascii="Verdana" w:hAnsi="Verdana" w:cstheme="minorHAnsi"/>
                <w:b/>
                <w:color w:val="auto"/>
                <w:sz w:val="16"/>
                <w:szCs w:val="16"/>
                <w:u w:val="single"/>
              </w:rPr>
            </w:pPr>
            <w:r w:rsidRPr="00E1574B">
              <w:rPr>
                <w:rFonts w:ascii="Verdana" w:hAnsi="Verdana" w:cstheme="minorHAnsi"/>
                <w:b/>
                <w:color w:val="auto"/>
                <w:sz w:val="16"/>
                <w:szCs w:val="16"/>
                <w:u w:val="single"/>
              </w:rPr>
              <w:t xml:space="preserve">UNICEF: </w:t>
            </w:r>
          </w:p>
          <w:p w14:paraId="06AF94F5"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(See above, knowledge and expertise is there- systems need to be re-established)</w:t>
            </w:r>
          </w:p>
        </w:tc>
        <w:tc>
          <w:tcPr>
            <w:tcW w:w="2404" w:type="dxa"/>
            <w:vAlign w:val="center"/>
          </w:tcPr>
          <w:p w14:paraId="18F224E4"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Strengthen capacity of state ministries providing social services in planning/budgeting process.</w:t>
            </w:r>
          </w:p>
        </w:tc>
        <w:tc>
          <w:tcPr>
            <w:tcW w:w="2405" w:type="dxa"/>
            <w:vAlign w:val="center"/>
          </w:tcPr>
          <w:p w14:paraId="1C7E06E9"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Strengthen capacity of state ministries providing social services on budgeting processes (i.e. health, education) (UNICEF)</w:t>
            </w:r>
          </w:p>
          <w:p w14:paraId="29DBE872" w14:textId="77777777" w:rsidR="007F013C" w:rsidRPr="00E1574B" w:rsidRDefault="007F013C" w:rsidP="00762252">
            <w:pPr>
              <w:rPr>
                <w:rFonts w:ascii="Verdana" w:hAnsi="Verdana" w:cstheme="minorHAnsi"/>
                <w:color w:val="auto"/>
                <w:sz w:val="16"/>
                <w:szCs w:val="16"/>
              </w:rPr>
            </w:pPr>
          </w:p>
          <w:p w14:paraId="7471220C"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Strengthen capacity of State Ministry of Health and CHDs and partners on budgeting processes (WHO)</w:t>
            </w:r>
          </w:p>
          <w:p w14:paraId="33340EE3" w14:textId="77777777" w:rsidR="007F013C" w:rsidRPr="00E1574B" w:rsidRDefault="007F013C" w:rsidP="00762252">
            <w:pPr>
              <w:rPr>
                <w:rFonts w:ascii="Verdana" w:hAnsi="Verdana" w:cstheme="minorHAnsi"/>
                <w:color w:val="auto"/>
                <w:sz w:val="16"/>
                <w:szCs w:val="16"/>
              </w:rPr>
            </w:pPr>
          </w:p>
        </w:tc>
      </w:tr>
      <w:tr w:rsidR="004B0460" w:rsidRPr="00E1574B" w14:paraId="0EAEF661" w14:textId="77777777" w:rsidTr="00762252">
        <w:tc>
          <w:tcPr>
            <w:tcW w:w="1530" w:type="dxa"/>
            <w:vMerge w:val="restart"/>
            <w:vAlign w:val="center"/>
          </w:tcPr>
          <w:p w14:paraId="00C74E5D" w14:textId="77777777" w:rsidR="007F013C" w:rsidRPr="00E1574B" w:rsidRDefault="007F013C" w:rsidP="00762252">
            <w:pPr>
              <w:rPr>
                <w:rFonts w:ascii="Verdana" w:hAnsi="Verdana" w:cstheme="minorHAnsi"/>
                <w:b/>
                <w:bCs/>
                <w:color w:val="auto"/>
                <w:sz w:val="16"/>
                <w:szCs w:val="16"/>
              </w:rPr>
            </w:pPr>
            <w:r w:rsidRPr="00E1574B">
              <w:rPr>
                <w:rFonts w:ascii="Verdana" w:hAnsi="Verdana" w:cstheme="minorHAnsi"/>
                <w:b/>
                <w:bCs/>
                <w:color w:val="auto"/>
                <w:sz w:val="16"/>
                <w:szCs w:val="16"/>
              </w:rPr>
              <w:lastRenderedPageBreak/>
              <w:t>State budget/plan approval</w:t>
            </w:r>
          </w:p>
        </w:tc>
        <w:tc>
          <w:tcPr>
            <w:tcW w:w="3235" w:type="dxa"/>
            <w:vMerge w:val="restart"/>
            <w:vAlign w:val="center"/>
          </w:tcPr>
          <w:p w14:paraId="7915E660" w14:textId="77777777" w:rsidR="007F013C" w:rsidRPr="00E1574B" w:rsidRDefault="007F013C" w:rsidP="00762252">
            <w:pPr>
              <w:rPr>
                <w:rFonts w:ascii="Verdana" w:hAnsi="Verdana" w:cstheme="minorHAnsi"/>
                <w:b/>
                <w:color w:val="auto"/>
                <w:sz w:val="16"/>
                <w:szCs w:val="16"/>
                <w:u w:val="single"/>
              </w:rPr>
            </w:pPr>
            <w:r w:rsidRPr="00E1574B">
              <w:rPr>
                <w:rFonts w:ascii="Verdana" w:hAnsi="Verdana" w:cstheme="minorHAnsi"/>
                <w:b/>
                <w:color w:val="auto"/>
                <w:sz w:val="16"/>
                <w:szCs w:val="16"/>
                <w:u w:val="single"/>
              </w:rPr>
              <w:t xml:space="preserve">UNICEF: </w:t>
            </w:r>
          </w:p>
          <w:p w14:paraId="5833F19A"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Produced draft 2018/2019 FY National Budget Brief and Education Budget Brief with key advocacy issues focused on social services sectors for use by various actors including NLA</w:t>
            </w:r>
          </w:p>
          <w:p w14:paraId="5BC88892" w14:textId="77777777" w:rsidR="007F013C" w:rsidRPr="00E1574B" w:rsidRDefault="007F013C" w:rsidP="00762252">
            <w:pPr>
              <w:rPr>
                <w:rFonts w:ascii="Verdana" w:hAnsi="Verdana" w:cstheme="minorHAnsi"/>
                <w:color w:val="auto"/>
                <w:sz w:val="16"/>
                <w:szCs w:val="16"/>
              </w:rPr>
            </w:pPr>
          </w:p>
          <w:p w14:paraId="372C2AE5"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Produced 2019/2020 FY Citizen’s Budgets (Draft and Enacted); disseminated Citizens’ Budget to MoFP and NLA for use. </w:t>
            </w:r>
          </w:p>
          <w:p w14:paraId="34767593" w14:textId="77777777" w:rsidR="007F013C" w:rsidRPr="00E1574B" w:rsidRDefault="007F013C" w:rsidP="00762252">
            <w:pPr>
              <w:rPr>
                <w:rFonts w:ascii="Verdana" w:hAnsi="Verdana" w:cstheme="minorHAnsi"/>
                <w:b/>
                <w:color w:val="auto"/>
                <w:sz w:val="16"/>
                <w:szCs w:val="16"/>
                <w:u w:val="single"/>
              </w:rPr>
            </w:pPr>
          </w:p>
          <w:p w14:paraId="3F894ED6" w14:textId="77777777" w:rsidR="007F013C" w:rsidRPr="00E1574B" w:rsidRDefault="007F013C" w:rsidP="00762252">
            <w:pPr>
              <w:rPr>
                <w:rFonts w:ascii="Verdana" w:hAnsi="Verdana" w:cstheme="minorHAnsi"/>
                <w:b/>
                <w:color w:val="auto"/>
                <w:sz w:val="16"/>
                <w:szCs w:val="16"/>
                <w:u w:val="single"/>
              </w:rPr>
            </w:pPr>
          </w:p>
          <w:p w14:paraId="11A237B2" w14:textId="77777777" w:rsidR="007F013C" w:rsidRPr="00E1574B" w:rsidRDefault="007F013C" w:rsidP="00762252">
            <w:pPr>
              <w:rPr>
                <w:rFonts w:ascii="Verdana" w:hAnsi="Verdana" w:cstheme="minorHAnsi"/>
                <w:b/>
                <w:color w:val="auto"/>
                <w:sz w:val="16"/>
                <w:szCs w:val="16"/>
                <w:u w:val="single"/>
              </w:rPr>
            </w:pPr>
          </w:p>
          <w:p w14:paraId="173F53E0" w14:textId="77777777" w:rsidR="007F013C" w:rsidRPr="00E1574B" w:rsidRDefault="007F013C" w:rsidP="00762252">
            <w:pPr>
              <w:rPr>
                <w:rFonts w:ascii="Verdana" w:hAnsi="Verdana" w:cstheme="minorHAnsi"/>
                <w:b/>
                <w:color w:val="auto"/>
                <w:sz w:val="16"/>
                <w:szCs w:val="16"/>
                <w:u w:val="single"/>
              </w:rPr>
            </w:pPr>
          </w:p>
          <w:p w14:paraId="7381724B" w14:textId="77777777" w:rsidR="007F013C" w:rsidRPr="00E1574B" w:rsidRDefault="007F013C" w:rsidP="00762252">
            <w:pPr>
              <w:rPr>
                <w:rFonts w:ascii="Verdana" w:hAnsi="Verdana" w:cstheme="minorHAnsi"/>
                <w:b/>
                <w:color w:val="auto"/>
                <w:sz w:val="16"/>
                <w:szCs w:val="16"/>
                <w:u w:val="single"/>
              </w:rPr>
            </w:pPr>
          </w:p>
          <w:p w14:paraId="480A90BF" w14:textId="77777777" w:rsidR="007F013C" w:rsidRPr="00E1574B" w:rsidRDefault="007F013C" w:rsidP="00762252">
            <w:pPr>
              <w:rPr>
                <w:rFonts w:ascii="Verdana" w:hAnsi="Verdana" w:cstheme="minorHAnsi"/>
                <w:b/>
                <w:color w:val="auto"/>
                <w:sz w:val="16"/>
                <w:szCs w:val="16"/>
                <w:u w:val="single"/>
              </w:rPr>
            </w:pPr>
          </w:p>
          <w:p w14:paraId="585FBFA2" w14:textId="77777777" w:rsidR="007F013C" w:rsidRPr="00E1574B" w:rsidRDefault="007F013C" w:rsidP="00762252">
            <w:pPr>
              <w:rPr>
                <w:rFonts w:ascii="Verdana" w:hAnsi="Verdana" w:cstheme="minorHAnsi"/>
                <w:b/>
                <w:color w:val="auto"/>
                <w:sz w:val="16"/>
                <w:szCs w:val="16"/>
                <w:u w:val="single"/>
              </w:rPr>
            </w:pPr>
          </w:p>
          <w:p w14:paraId="6C47984B" w14:textId="77777777" w:rsidR="007F013C" w:rsidRPr="00E1574B" w:rsidRDefault="007F013C" w:rsidP="00762252">
            <w:pPr>
              <w:rPr>
                <w:rFonts w:ascii="Verdana" w:hAnsi="Verdana" w:cstheme="minorHAnsi"/>
                <w:color w:val="auto"/>
                <w:sz w:val="16"/>
                <w:szCs w:val="16"/>
              </w:rPr>
            </w:pPr>
          </w:p>
        </w:tc>
        <w:tc>
          <w:tcPr>
            <w:tcW w:w="2340" w:type="dxa"/>
            <w:vMerge w:val="restart"/>
            <w:vAlign w:val="center"/>
          </w:tcPr>
          <w:p w14:paraId="11AA6B69" w14:textId="77777777" w:rsidR="007F013C" w:rsidRPr="00E1574B" w:rsidRDefault="007F013C" w:rsidP="00762252">
            <w:pPr>
              <w:rPr>
                <w:rFonts w:ascii="Verdana" w:hAnsi="Verdana" w:cstheme="minorHAnsi"/>
                <w:color w:val="auto"/>
                <w:sz w:val="16"/>
                <w:szCs w:val="16"/>
              </w:rPr>
            </w:pPr>
          </w:p>
        </w:tc>
        <w:tc>
          <w:tcPr>
            <w:tcW w:w="2476" w:type="dxa"/>
            <w:vAlign w:val="center"/>
          </w:tcPr>
          <w:p w14:paraId="51E75FDA"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States largely operating without approved budgets, because the national level is also operating without a budget - Existing laws not being enforced.</w:t>
            </w:r>
          </w:p>
        </w:tc>
        <w:tc>
          <w:tcPr>
            <w:tcW w:w="2404" w:type="dxa"/>
            <w:vAlign w:val="center"/>
          </w:tcPr>
          <w:p w14:paraId="34551DB1"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Facilitate policy dialogue between national and state level PFM actors.</w:t>
            </w:r>
          </w:p>
          <w:p w14:paraId="4060CD91"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Strengthen the budgeting process at the national level</w:t>
            </w:r>
            <w:r w:rsidRPr="00E1574B">
              <w:rPr>
                <w:rStyle w:val="FootnoteReference"/>
                <w:rFonts w:ascii="Verdana" w:hAnsi="Verdana" w:cstheme="minorHAnsi"/>
                <w:color w:val="auto"/>
                <w:sz w:val="16"/>
                <w:szCs w:val="16"/>
              </w:rPr>
              <w:footnoteReference w:id="38"/>
            </w:r>
            <w:r w:rsidRPr="00E1574B">
              <w:rPr>
                <w:rFonts w:ascii="Verdana" w:hAnsi="Verdana" w:cstheme="minorHAnsi"/>
                <w:color w:val="auto"/>
                <w:sz w:val="16"/>
                <w:szCs w:val="16"/>
              </w:rPr>
              <w:t>.</w:t>
            </w:r>
          </w:p>
        </w:tc>
        <w:tc>
          <w:tcPr>
            <w:tcW w:w="2405" w:type="dxa"/>
            <w:vAlign w:val="center"/>
          </w:tcPr>
          <w:p w14:paraId="5CBB0B57"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Facilitate policy dialogue between national and state level PFM actors. (UNDP)</w:t>
            </w:r>
          </w:p>
        </w:tc>
      </w:tr>
      <w:tr w:rsidR="004B0460" w:rsidRPr="00E1574B" w14:paraId="6C138D5E" w14:textId="77777777" w:rsidTr="00762252">
        <w:tc>
          <w:tcPr>
            <w:tcW w:w="1530" w:type="dxa"/>
            <w:vMerge/>
            <w:vAlign w:val="center"/>
          </w:tcPr>
          <w:p w14:paraId="692E9EAF" w14:textId="77777777" w:rsidR="007F013C" w:rsidRPr="00E1574B" w:rsidRDefault="007F013C" w:rsidP="00762252">
            <w:pPr>
              <w:rPr>
                <w:rFonts w:ascii="Verdana" w:hAnsi="Verdana" w:cstheme="minorHAnsi"/>
                <w:color w:val="auto"/>
                <w:sz w:val="16"/>
                <w:szCs w:val="16"/>
              </w:rPr>
            </w:pPr>
          </w:p>
        </w:tc>
        <w:tc>
          <w:tcPr>
            <w:tcW w:w="3235" w:type="dxa"/>
            <w:vMerge/>
            <w:vAlign w:val="center"/>
          </w:tcPr>
          <w:p w14:paraId="3C8A894C" w14:textId="77777777" w:rsidR="007F013C" w:rsidRPr="00E1574B" w:rsidRDefault="007F013C" w:rsidP="00762252">
            <w:pPr>
              <w:rPr>
                <w:rFonts w:ascii="Verdana" w:hAnsi="Verdana" w:cstheme="minorHAnsi"/>
                <w:color w:val="auto"/>
                <w:sz w:val="16"/>
                <w:szCs w:val="16"/>
              </w:rPr>
            </w:pPr>
          </w:p>
        </w:tc>
        <w:tc>
          <w:tcPr>
            <w:tcW w:w="2340" w:type="dxa"/>
            <w:vMerge/>
            <w:vAlign w:val="center"/>
          </w:tcPr>
          <w:p w14:paraId="29C20DC4" w14:textId="77777777" w:rsidR="007F013C" w:rsidRPr="00E1574B" w:rsidRDefault="007F013C" w:rsidP="00762252">
            <w:pPr>
              <w:rPr>
                <w:rFonts w:ascii="Verdana" w:hAnsi="Verdana" w:cstheme="minorHAnsi"/>
                <w:color w:val="auto"/>
                <w:sz w:val="16"/>
                <w:szCs w:val="16"/>
              </w:rPr>
            </w:pPr>
          </w:p>
        </w:tc>
        <w:tc>
          <w:tcPr>
            <w:tcW w:w="2476" w:type="dxa"/>
            <w:vAlign w:val="center"/>
          </w:tcPr>
          <w:p w14:paraId="1496D3ED"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SLA members oversight functions</w:t>
            </w:r>
          </w:p>
        </w:tc>
        <w:tc>
          <w:tcPr>
            <w:tcW w:w="2404" w:type="dxa"/>
            <w:vAlign w:val="center"/>
          </w:tcPr>
          <w:p w14:paraId="794CD5A7" w14:textId="77777777" w:rsidR="007F013C" w:rsidRPr="00E1574B" w:rsidRDefault="007F013C" w:rsidP="00762252">
            <w:pPr>
              <w:rPr>
                <w:rFonts w:ascii="Verdana" w:hAnsi="Verdana" w:cstheme="minorHAnsi"/>
                <w:color w:val="auto"/>
                <w:sz w:val="16"/>
                <w:szCs w:val="16"/>
              </w:rPr>
            </w:pPr>
          </w:p>
          <w:p w14:paraId="13AD6E78" w14:textId="77777777" w:rsidR="007F013C" w:rsidRPr="00E1574B" w:rsidRDefault="007F013C" w:rsidP="00762252">
            <w:pPr>
              <w:rPr>
                <w:rFonts w:ascii="Verdana" w:hAnsi="Verdana" w:cstheme="minorHAnsi"/>
                <w:color w:val="auto"/>
                <w:sz w:val="16"/>
                <w:szCs w:val="16"/>
              </w:rPr>
            </w:pPr>
          </w:p>
          <w:p w14:paraId="7F739C60" w14:textId="77777777" w:rsidR="007F013C" w:rsidRPr="00E1574B" w:rsidRDefault="007F013C" w:rsidP="00762252">
            <w:pPr>
              <w:rPr>
                <w:rFonts w:ascii="Verdana" w:hAnsi="Verdana" w:cstheme="minorHAnsi"/>
                <w:color w:val="auto"/>
                <w:sz w:val="16"/>
                <w:szCs w:val="16"/>
              </w:rPr>
            </w:pPr>
          </w:p>
        </w:tc>
        <w:tc>
          <w:tcPr>
            <w:tcW w:w="2405" w:type="dxa"/>
            <w:vAlign w:val="center"/>
          </w:tcPr>
          <w:p w14:paraId="11430437"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Strengthen training of SLA Public Account Committee members through dissemination of training materials and conducting training of trainers. (UNDP)</w:t>
            </w:r>
          </w:p>
          <w:p w14:paraId="530576D7" w14:textId="77777777" w:rsidR="007F013C" w:rsidRPr="00E1574B" w:rsidRDefault="007F013C" w:rsidP="00762252">
            <w:pPr>
              <w:rPr>
                <w:rFonts w:ascii="Verdana" w:hAnsi="Verdana" w:cstheme="minorHAnsi"/>
                <w:color w:val="auto"/>
                <w:sz w:val="16"/>
                <w:szCs w:val="16"/>
              </w:rPr>
            </w:pPr>
          </w:p>
          <w:p w14:paraId="13ACED2D"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Dissemination and advocacy events at NLA using Budget Briefs /Analysis around the Draft Budgets (National and social sector Briefs) (UNICEF/UNDP)</w:t>
            </w:r>
          </w:p>
        </w:tc>
      </w:tr>
      <w:tr w:rsidR="004B0460" w:rsidRPr="00E1574B" w14:paraId="455D2544" w14:textId="77777777" w:rsidTr="00762252">
        <w:tc>
          <w:tcPr>
            <w:tcW w:w="1530" w:type="dxa"/>
            <w:vMerge w:val="restart"/>
            <w:vAlign w:val="center"/>
          </w:tcPr>
          <w:p w14:paraId="45234DED" w14:textId="77777777" w:rsidR="007F013C" w:rsidRPr="00E1574B" w:rsidRDefault="007F013C" w:rsidP="00762252">
            <w:pPr>
              <w:rPr>
                <w:rFonts w:ascii="Verdana" w:hAnsi="Verdana" w:cstheme="minorHAnsi"/>
                <w:b/>
                <w:bCs/>
                <w:color w:val="auto"/>
                <w:sz w:val="16"/>
                <w:szCs w:val="16"/>
              </w:rPr>
            </w:pPr>
            <w:r w:rsidRPr="00E1574B">
              <w:rPr>
                <w:rFonts w:ascii="Verdana" w:hAnsi="Verdana" w:cstheme="minorHAnsi"/>
                <w:b/>
                <w:bCs/>
                <w:color w:val="auto"/>
                <w:sz w:val="16"/>
                <w:szCs w:val="16"/>
              </w:rPr>
              <w:t>State-level revenue mobilization</w:t>
            </w:r>
          </w:p>
        </w:tc>
        <w:tc>
          <w:tcPr>
            <w:tcW w:w="3235" w:type="dxa"/>
            <w:vAlign w:val="center"/>
          </w:tcPr>
          <w:p w14:paraId="767163D2"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Establishment/operationalization of State Revenue Authorities (SRAs) in six states (Aweil, </w:t>
            </w:r>
            <w:proofErr w:type="spellStart"/>
            <w:r w:rsidRPr="00E1574B">
              <w:rPr>
                <w:rFonts w:ascii="Verdana" w:hAnsi="Verdana" w:cstheme="minorHAnsi"/>
                <w:color w:val="auto"/>
                <w:sz w:val="16"/>
                <w:szCs w:val="16"/>
              </w:rPr>
              <w:t>Gbudue</w:t>
            </w:r>
            <w:proofErr w:type="spellEnd"/>
            <w:r w:rsidRPr="00E1574B">
              <w:rPr>
                <w:rFonts w:ascii="Verdana" w:hAnsi="Verdana" w:cstheme="minorHAnsi"/>
                <w:color w:val="auto"/>
                <w:sz w:val="16"/>
                <w:szCs w:val="16"/>
              </w:rPr>
              <w:t xml:space="preserve">, </w:t>
            </w:r>
            <w:proofErr w:type="spellStart"/>
            <w:r w:rsidRPr="00E1574B">
              <w:rPr>
                <w:rFonts w:ascii="Verdana" w:hAnsi="Verdana" w:cstheme="minorHAnsi"/>
                <w:color w:val="auto"/>
                <w:sz w:val="16"/>
                <w:szCs w:val="16"/>
              </w:rPr>
              <w:t>Jubek</w:t>
            </w:r>
            <w:proofErr w:type="spellEnd"/>
            <w:r w:rsidRPr="00E1574B">
              <w:rPr>
                <w:rFonts w:ascii="Verdana" w:hAnsi="Verdana" w:cstheme="minorHAnsi"/>
                <w:color w:val="auto"/>
                <w:sz w:val="16"/>
                <w:szCs w:val="16"/>
              </w:rPr>
              <w:t xml:space="preserve">, Torit, </w:t>
            </w:r>
            <w:proofErr w:type="spellStart"/>
            <w:r w:rsidRPr="00E1574B">
              <w:rPr>
                <w:rFonts w:ascii="Verdana" w:hAnsi="Verdana" w:cstheme="minorHAnsi"/>
                <w:color w:val="auto"/>
                <w:sz w:val="16"/>
                <w:szCs w:val="16"/>
              </w:rPr>
              <w:t>Gogrial</w:t>
            </w:r>
            <w:proofErr w:type="spellEnd"/>
            <w:r w:rsidRPr="00E1574B">
              <w:rPr>
                <w:rFonts w:ascii="Verdana" w:hAnsi="Verdana" w:cstheme="minorHAnsi"/>
                <w:color w:val="auto"/>
                <w:sz w:val="16"/>
                <w:szCs w:val="16"/>
              </w:rPr>
              <w:t xml:space="preserve"> and Jonglei):</w:t>
            </w:r>
          </w:p>
          <w:p w14:paraId="770F709D" w14:textId="77777777" w:rsidR="007F013C" w:rsidRPr="00E1574B" w:rsidRDefault="007F013C" w:rsidP="00762252">
            <w:pPr>
              <w:rPr>
                <w:rFonts w:ascii="Verdana" w:hAnsi="Verdana" w:cstheme="minorHAnsi"/>
                <w:color w:val="auto"/>
                <w:sz w:val="16"/>
                <w:szCs w:val="16"/>
              </w:rPr>
            </w:pPr>
          </w:p>
          <w:p w14:paraId="266024A8"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Supported the enactment of SRAs in the six states;</w:t>
            </w:r>
          </w:p>
          <w:p w14:paraId="516B10FB" w14:textId="77777777" w:rsidR="007F013C" w:rsidRPr="00E1574B" w:rsidRDefault="007F013C" w:rsidP="00762252">
            <w:pPr>
              <w:rPr>
                <w:rFonts w:ascii="Verdana" w:hAnsi="Verdana" w:cstheme="minorHAnsi"/>
                <w:color w:val="auto"/>
                <w:sz w:val="16"/>
                <w:szCs w:val="16"/>
              </w:rPr>
            </w:pPr>
          </w:p>
          <w:p w14:paraId="13773FC2"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Supported the appointment and training of SRA Boards in the six states;</w:t>
            </w:r>
          </w:p>
          <w:p w14:paraId="60D5AF65" w14:textId="77777777" w:rsidR="007F013C" w:rsidRPr="00E1574B" w:rsidRDefault="007F013C" w:rsidP="00762252">
            <w:pPr>
              <w:rPr>
                <w:rFonts w:ascii="Verdana" w:hAnsi="Verdana" w:cstheme="minorHAnsi"/>
                <w:color w:val="auto"/>
                <w:sz w:val="16"/>
                <w:szCs w:val="16"/>
              </w:rPr>
            </w:pPr>
          </w:p>
          <w:p w14:paraId="00B69F32"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Trained tax officers in three states on public financial management;</w:t>
            </w:r>
          </w:p>
          <w:p w14:paraId="7905EB0C" w14:textId="77777777" w:rsidR="007F013C" w:rsidRPr="00E1574B" w:rsidRDefault="007F013C" w:rsidP="00762252">
            <w:pPr>
              <w:rPr>
                <w:rFonts w:ascii="Verdana" w:hAnsi="Verdana" w:cstheme="minorHAnsi"/>
                <w:color w:val="auto"/>
                <w:sz w:val="16"/>
                <w:szCs w:val="16"/>
              </w:rPr>
            </w:pPr>
          </w:p>
          <w:p w14:paraId="731719CD"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Provided office infrastructure and furniture for the six states;</w:t>
            </w:r>
          </w:p>
        </w:tc>
        <w:tc>
          <w:tcPr>
            <w:tcW w:w="2340" w:type="dxa"/>
            <w:vAlign w:val="center"/>
          </w:tcPr>
          <w:p w14:paraId="5845CF2C"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Increased revenue collection in states where SRAs were supported: monthly revenue collection in Aweil state increased by </w:t>
            </w:r>
            <w:r w:rsidRPr="00E1574B">
              <w:rPr>
                <w:rFonts w:ascii="Verdana" w:hAnsi="Verdana" w:cstheme="minorHAnsi"/>
                <w:color w:val="auto"/>
                <w:sz w:val="16"/>
                <w:szCs w:val="16"/>
                <w:shd w:val="clear" w:color="auto" w:fill="FFFFFF"/>
              </w:rPr>
              <w:t>~</w:t>
            </w:r>
            <w:r w:rsidRPr="00E1574B">
              <w:rPr>
                <w:rFonts w:ascii="Verdana" w:hAnsi="Verdana" w:cstheme="minorHAnsi"/>
                <w:color w:val="auto"/>
                <w:sz w:val="16"/>
                <w:szCs w:val="16"/>
              </w:rPr>
              <w:t>275 % from 2018 to 2019 (8 million SSP to 30 million SSP).</w:t>
            </w:r>
          </w:p>
          <w:p w14:paraId="0929B503" w14:textId="77777777" w:rsidR="007F013C" w:rsidRPr="00E1574B" w:rsidRDefault="007F013C" w:rsidP="00762252">
            <w:pPr>
              <w:rPr>
                <w:rFonts w:ascii="Verdana" w:hAnsi="Verdana" w:cstheme="minorHAnsi"/>
                <w:color w:val="auto"/>
                <w:sz w:val="16"/>
                <w:szCs w:val="16"/>
              </w:rPr>
            </w:pPr>
          </w:p>
          <w:p w14:paraId="2011E864"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Functioning institutions established: enabled the SRAs to perform in accordance to their mandate through supporting their legal enactment, providing physical infrastructure and increasing the human capacity of staff.</w:t>
            </w:r>
          </w:p>
          <w:p w14:paraId="6A0D15EC" w14:textId="77777777" w:rsidR="007F013C" w:rsidRPr="00E1574B" w:rsidRDefault="007F013C" w:rsidP="00762252">
            <w:pPr>
              <w:rPr>
                <w:rFonts w:ascii="Verdana" w:hAnsi="Verdana" w:cstheme="minorHAnsi"/>
                <w:color w:val="auto"/>
                <w:sz w:val="16"/>
                <w:szCs w:val="16"/>
              </w:rPr>
            </w:pPr>
          </w:p>
          <w:p w14:paraId="130EF786"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lastRenderedPageBreak/>
              <w:t xml:space="preserve">Evidence of increased service delivery to the people through increased revenue collection: In Torit State, using the locally raised and collected taxes, the government constructed a “Khor muss bridge” between </w:t>
            </w:r>
            <w:proofErr w:type="spellStart"/>
            <w:r w:rsidRPr="00E1574B">
              <w:rPr>
                <w:rFonts w:ascii="Verdana" w:hAnsi="Verdana" w:cstheme="minorHAnsi"/>
                <w:color w:val="auto"/>
                <w:sz w:val="16"/>
                <w:szCs w:val="16"/>
              </w:rPr>
              <w:t>Magwi</w:t>
            </w:r>
            <w:proofErr w:type="spellEnd"/>
            <w:r w:rsidRPr="00E1574B">
              <w:rPr>
                <w:rFonts w:ascii="Verdana" w:hAnsi="Verdana" w:cstheme="minorHAnsi"/>
                <w:color w:val="auto"/>
                <w:sz w:val="16"/>
                <w:szCs w:val="16"/>
              </w:rPr>
              <w:t xml:space="preserve"> and Torit town which links 12 counties of Torit State to Juba, Nimule, </w:t>
            </w:r>
            <w:proofErr w:type="spellStart"/>
            <w:r w:rsidRPr="00E1574B">
              <w:rPr>
                <w:rFonts w:ascii="Verdana" w:hAnsi="Verdana" w:cstheme="minorHAnsi"/>
                <w:color w:val="auto"/>
                <w:sz w:val="16"/>
                <w:szCs w:val="16"/>
              </w:rPr>
              <w:t>Magwi</w:t>
            </w:r>
            <w:proofErr w:type="spellEnd"/>
            <w:r w:rsidRPr="00E1574B">
              <w:rPr>
                <w:rFonts w:ascii="Verdana" w:hAnsi="Verdana" w:cstheme="minorHAnsi"/>
                <w:color w:val="auto"/>
                <w:sz w:val="16"/>
                <w:szCs w:val="16"/>
              </w:rPr>
              <w:t xml:space="preserve"> and Uganda.</w:t>
            </w:r>
          </w:p>
        </w:tc>
        <w:tc>
          <w:tcPr>
            <w:tcW w:w="2476" w:type="dxa"/>
            <w:vAlign w:val="center"/>
          </w:tcPr>
          <w:p w14:paraId="403A7BAA"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lastRenderedPageBreak/>
              <w:t>Lack of state’s ability to collect revenue throughout its territory (i.e. due to no transportation funding to tax collectors) placing adverse pressure on taxpayers in easy to reach areas;</w:t>
            </w:r>
          </w:p>
          <w:p w14:paraId="1EA6F423" w14:textId="77777777" w:rsidR="007F013C" w:rsidRPr="00E1574B" w:rsidRDefault="007F013C" w:rsidP="00762252">
            <w:pPr>
              <w:rPr>
                <w:rFonts w:ascii="Verdana" w:hAnsi="Verdana" w:cstheme="minorHAnsi"/>
                <w:color w:val="auto"/>
                <w:sz w:val="16"/>
                <w:szCs w:val="16"/>
              </w:rPr>
            </w:pPr>
          </w:p>
          <w:p w14:paraId="05F0B238"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Delay in disbursement of resources to SRA by the State MoFP: inconsistency across states on how the </w:t>
            </w:r>
            <w:proofErr w:type="spellStart"/>
            <w:r w:rsidRPr="00E1574B">
              <w:rPr>
                <w:rFonts w:ascii="Verdana" w:hAnsi="Verdana" w:cstheme="minorHAnsi"/>
                <w:color w:val="auto"/>
                <w:sz w:val="16"/>
                <w:szCs w:val="16"/>
              </w:rPr>
              <w:t>the</w:t>
            </w:r>
            <w:proofErr w:type="spellEnd"/>
            <w:r w:rsidRPr="00E1574B">
              <w:rPr>
                <w:rFonts w:ascii="Verdana" w:hAnsi="Verdana" w:cstheme="minorHAnsi"/>
                <w:color w:val="auto"/>
                <w:sz w:val="16"/>
                <w:szCs w:val="16"/>
              </w:rPr>
              <w:t xml:space="preserve"> 10 percent incentive to tax collectors is provided;</w:t>
            </w:r>
          </w:p>
          <w:p w14:paraId="7DF1B71A" w14:textId="77777777" w:rsidR="007F013C" w:rsidRPr="00E1574B" w:rsidRDefault="007F013C" w:rsidP="00762252">
            <w:pPr>
              <w:rPr>
                <w:rFonts w:ascii="Verdana" w:hAnsi="Verdana" w:cstheme="minorHAnsi"/>
                <w:color w:val="auto"/>
                <w:sz w:val="16"/>
                <w:szCs w:val="16"/>
              </w:rPr>
            </w:pPr>
          </w:p>
          <w:p w14:paraId="3D0A5974"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With some exceptions (</w:t>
            </w:r>
            <w:proofErr w:type="spellStart"/>
            <w:r w:rsidRPr="00E1574B">
              <w:rPr>
                <w:rFonts w:ascii="Verdana" w:hAnsi="Verdana" w:cstheme="minorHAnsi"/>
                <w:color w:val="auto"/>
                <w:sz w:val="16"/>
                <w:szCs w:val="16"/>
              </w:rPr>
              <w:t>Gbudue</w:t>
            </w:r>
            <w:proofErr w:type="spellEnd"/>
            <w:r w:rsidRPr="00E1574B">
              <w:rPr>
                <w:rFonts w:ascii="Verdana" w:hAnsi="Verdana" w:cstheme="minorHAnsi"/>
                <w:color w:val="auto"/>
                <w:sz w:val="16"/>
                <w:szCs w:val="16"/>
              </w:rPr>
              <w:t xml:space="preserve">, Aweil), reporting on revenues mobilized to relevant stakeholders in </w:t>
            </w:r>
            <w:r w:rsidRPr="00E1574B">
              <w:rPr>
                <w:rFonts w:ascii="Verdana" w:hAnsi="Verdana" w:cstheme="minorHAnsi"/>
                <w:color w:val="auto"/>
                <w:sz w:val="16"/>
                <w:szCs w:val="16"/>
              </w:rPr>
              <w:lastRenderedPageBreak/>
              <w:t>accordance with the SRA act is inconsistent.</w:t>
            </w:r>
          </w:p>
        </w:tc>
        <w:tc>
          <w:tcPr>
            <w:tcW w:w="2404" w:type="dxa"/>
            <w:vAlign w:val="center"/>
          </w:tcPr>
          <w:p w14:paraId="51169E77"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lastRenderedPageBreak/>
              <w:t>Continued support (trainings, tax awareness campaigns, tax collection reporting support) to the established SRAs;</w:t>
            </w:r>
          </w:p>
        </w:tc>
        <w:tc>
          <w:tcPr>
            <w:tcW w:w="2405" w:type="dxa"/>
            <w:vAlign w:val="center"/>
          </w:tcPr>
          <w:p w14:paraId="6BCA2793"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Support first-tier states (Aweil, </w:t>
            </w:r>
            <w:proofErr w:type="spellStart"/>
            <w:r w:rsidRPr="00E1574B">
              <w:rPr>
                <w:rFonts w:ascii="Verdana" w:hAnsi="Verdana" w:cstheme="minorHAnsi"/>
                <w:color w:val="auto"/>
                <w:sz w:val="16"/>
                <w:szCs w:val="16"/>
              </w:rPr>
              <w:t>Jubek</w:t>
            </w:r>
            <w:proofErr w:type="spellEnd"/>
            <w:r w:rsidRPr="00E1574B">
              <w:rPr>
                <w:rFonts w:ascii="Verdana" w:hAnsi="Verdana" w:cstheme="minorHAnsi"/>
                <w:color w:val="auto"/>
                <w:sz w:val="16"/>
                <w:szCs w:val="16"/>
              </w:rPr>
              <w:t xml:space="preserve"> and </w:t>
            </w:r>
            <w:proofErr w:type="spellStart"/>
            <w:r w:rsidRPr="00E1574B">
              <w:rPr>
                <w:rFonts w:ascii="Verdana" w:hAnsi="Verdana" w:cstheme="minorHAnsi"/>
                <w:color w:val="auto"/>
                <w:sz w:val="16"/>
                <w:szCs w:val="16"/>
              </w:rPr>
              <w:t>Gbudue</w:t>
            </w:r>
            <w:proofErr w:type="spellEnd"/>
            <w:r w:rsidRPr="00E1574B">
              <w:rPr>
                <w:rFonts w:ascii="Verdana" w:hAnsi="Verdana" w:cstheme="minorHAnsi"/>
                <w:color w:val="auto"/>
                <w:sz w:val="16"/>
                <w:szCs w:val="16"/>
              </w:rPr>
              <w:t>) in systematizing the revenue collection reporting to stakeholders. (UNDP)</w:t>
            </w:r>
          </w:p>
        </w:tc>
      </w:tr>
      <w:tr w:rsidR="004B0460" w:rsidRPr="00E1574B" w14:paraId="301DCB89" w14:textId="77777777" w:rsidTr="00762252">
        <w:tc>
          <w:tcPr>
            <w:tcW w:w="1530" w:type="dxa"/>
            <w:vMerge/>
            <w:vAlign w:val="center"/>
          </w:tcPr>
          <w:p w14:paraId="216B8D14" w14:textId="77777777" w:rsidR="007F013C" w:rsidRPr="00E1574B" w:rsidRDefault="007F013C" w:rsidP="00762252">
            <w:pPr>
              <w:rPr>
                <w:rFonts w:ascii="Verdana" w:hAnsi="Verdana" w:cstheme="minorHAnsi"/>
                <w:color w:val="auto"/>
                <w:sz w:val="16"/>
                <w:szCs w:val="16"/>
              </w:rPr>
            </w:pPr>
          </w:p>
        </w:tc>
        <w:tc>
          <w:tcPr>
            <w:tcW w:w="3235" w:type="dxa"/>
            <w:vAlign w:val="center"/>
          </w:tcPr>
          <w:p w14:paraId="360FF6E8"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Supported the process of creating a unified tax-payer database at the National and State level;</w:t>
            </w:r>
          </w:p>
        </w:tc>
        <w:tc>
          <w:tcPr>
            <w:tcW w:w="2340" w:type="dxa"/>
            <w:vAlign w:val="center"/>
          </w:tcPr>
          <w:p w14:paraId="1D7FF66E" w14:textId="77777777" w:rsidR="007F013C" w:rsidRPr="00E1574B" w:rsidRDefault="007F013C" w:rsidP="00762252">
            <w:pPr>
              <w:rPr>
                <w:rFonts w:ascii="Verdana" w:hAnsi="Verdana" w:cstheme="minorHAnsi"/>
                <w:color w:val="auto"/>
                <w:sz w:val="16"/>
                <w:szCs w:val="16"/>
              </w:rPr>
            </w:pPr>
          </w:p>
        </w:tc>
        <w:tc>
          <w:tcPr>
            <w:tcW w:w="2476" w:type="dxa"/>
            <w:vAlign w:val="center"/>
          </w:tcPr>
          <w:p w14:paraId="511D8CC3"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Lack of information sharing between SRAs and National Revenue Authority;</w:t>
            </w:r>
          </w:p>
          <w:p w14:paraId="75ADF485" w14:textId="77777777" w:rsidR="007F013C" w:rsidRPr="00E1574B" w:rsidRDefault="007F013C" w:rsidP="00762252">
            <w:pPr>
              <w:rPr>
                <w:rFonts w:ascii="Verdana" w:hAnsi="Verdana" w:cstheme="minorHAnsi"/>
                <w:color w:val="auto"/>
                <w:sz w:val="16"/>
                <w:szCs w:val="16"/>
              </w:rPr>
            </w:pPr>
          </w:p>
          <w:p w14:paraId="2D8A90CC"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Lack of coordination of taxation conducted by national customs authority and SRAs;</w:t>
            </w:r>
          </w:p>
        </w:tc>
        <w:tc>
          <w:tcPr>
            <w:tcW w:w="2404" w:type="dxa"/>
            <w:vAlign w:val="center"/>
          </w:tcPr>
          <w:p w14:paraId="37E1ACF7"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Conduct stakeholder’s workshop between SRAs and NRA</w:t>
            </w:r>
          </w:p>
        </w:tc>
        <w:tc>
          <w:tcPr>
            <w:tcW w:w="2405" w:type="dxa"/>
            <w:vAlign w:val="center"/>
          </w:tcPr>
          <w:p w14:paraId="67B544D0"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Facilitate policy dialogue between national and state level PFM actors. (UNDP)</w:t>
            </w:r>
          </w:p>
        </w:tc>
      </w:tr>
      <w:tr w:rsidR="004B0460" w:rsidRPr="00E1574B" w14:paraId="146CD180" w14:textId="77777777" w:rsidTr="00762252">
        <w:tc>
          <w:tcPr>
            <w:tcW w:w="1530" w:type="dxa"/>
            <w:vMerge/>
            <w:vAlign w:val="center"/>
          </w:tcPr>
          <w:p w14:paraId="021616CC" w14:textId="77777777" w:rsidR="007F013C" w:rsidRPr="00E1574B" w:rsidRDefault="007F013C" w:rsidP="00762252">
            <w:pPr>
              <w:rPr>
                <w:rFonts w:ascii="Verdana" w:hAnsi="Verdana" w:cstheme="minorHAnsi"/>
                <w:color w:val="auto"/>
                <w:sz w:val="16"/>
                <w:szCs w:val="16"/>
              </w:rPr>
            </w:pPr>
          </w:p>
        </w:tc>
        <w:tc>
          <w:tcPr>
            <w:tcW w:w="3235" w:type="dxa"/>
            <w:vAlign w:val="center"/>
          </w:tcPr>
          <w:p w14:paraId="2475434A"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Conducted tax awareness campaigns in the three first-tier states: radio information campaign and high-level launch of SRAs.</w:t>
            </w:r>
          </w:p>
        </w:tc>
        <w:tc>
          <w:tcPr>
            <w:tcW w:w="2340" w:type="dxa"/>
            <w:vAlign w:val="center"/>
          </w:tcPr>
          <w:p w14:paraId="41A323AF" w14:textId="77777777" w:rsidR="007F013C" w:rsidRPr="00E1574B" w:rsidRDefault="007F013C" w:rsidP="00762252">
            <w:pPr>
              <w:rPr>
                <w:rFonts w:ascii="Verdana" w:hAnsi="Verdana" w:cstheme="minorHAnsi"/>
                <w:color w:val="auto"/>
                <w:sz w:val="16"/>
                <w:szCs w:val="16"/>
              </w:rPr>
            </w:pPr>
          </w:p>
        </w:tc>
        <w:tc>
          <w:tcPr>
            <w:tcW w:w="2476" w:type="dxa"/>
            <w:vAlign w:val="center"/>
          </w:tcPr>
          <w:p w14:paraId="2A9CCB17"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Taxpayer awareness about paying tax is still low in general.</w:t>
            </w:r>
          </w:p>
        </w:tc>
        <w:tc>
          <w:tcPr>
            <w:tcW w:w="2404" w:type="dxa"/>
            <w:vAlign w:val="center"/>
          </w:tcPr>
          <w:p w14:paraId="5C27F504"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Conduct tax awareness campaigns in combination with citizen’s engagement intervention. (UNDP/UNICEF)</w:t>
            </w:r>
          </w:p>
        </w:tc>
        <w:tc>
          <w:tcPr>
            <w:tcW w:w="2405" w:type="dxa"/>
            <w:vAlign w:val="center"/>
          </w:tcPr>
          <w:p w14:paraId="03EF751F"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Conduct tax awareness campaigns in first-tier states in combination with citizen’s engagement intervention. (UNDP/UNICEF)</w:t>
            </w:r>
          </w:p>
        </w:tc>
      </w:tr>
      <w:tr w:rsidR="004B0460" w:rsidRPr="00E1574B" w14:paraId="114841FE" w14:textId="77777777" w:rsidTr="00762252">
        <w:trPr>
          <w:trHeight w:val="458"/>
        </w:trPr>
        <w:tc>
          <w:tcPr>
            <w:tcW w:w="1530" w:type="dxa"/>
            <w:vAlign w:val="center"/>
          </w:tcPr>
          <w:p w14:paraId="2DADC78F" w14:textId="77777777" w:rsidR="007F013C" w:rsidRPr="00E1574B" w:rsidRDefault="007F013C" w:rsidP="00762252">
            <w:pPr>
              <w:rPr>
                <w:rFonts w:ascii="Verdana" w:hAnsi="Verdana" w:cstheme="minorHAnsi"/>
                <w:b/>
                <w:bCs/>
                <w:color w:val="auto"/>
                <w:sz w:val="16"/>
                <w:szCs w:val="16"/>
              </w:rPr>
            </w:pPr>
            <w:r w:rsidRPr="00E1574B">
              <w:rPr>
                <w:rFonts w:ascii="Verdana" w:hAnsi="Verdana" w:cstheme="minorHAnsi"/>
                <w:b/>
                <w:bCs/>
                <w:color w:val="auto"/>
                <w:sz w:val="16"/>
                <w:szCs w:val="16"/>
              </w:rPr>
              <w:t>Transfers of funds from national to state level (including to line ministries)</w:t>
            </w:r>
          </w:p>
        </w:tc>
        <w:tc>
          <w:tcPr>
            <w:tcW w:w="3235" w:type="dxa"/>
            <w:vAlign w:val="center"/>
          </w:tcPr>
          <w:p w14:paraId="7ECD8B4B"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No current intervention undertaken</w:t>
            </w:r>
          </w:p>
          <w:p w14:paraId="2E65ADFD" w14:textId="77777777" w:rsidR="007F013C" w:rsidRPr="00E1574B" w:rsidRDefault="007F013C" w:rsidP="00762252">
            <w:pPr>
              <w:rPr>
                <w:rFonts w:ascii="Verdana" w:hAnsi="Verdana" w:cstheme="minorHAnsi"/>
                <w:color w:val="auto"/>
                <w:sz w:val="16"/>
                <w:szCs w:val="16"/>
              </w:rPr>
            </w:pPr>
          </w:p>
          <w:p w14:paraId="0DD09290"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b/>
                <w:color w:val="auto"/>
                <w:sz w:val="16"/>
                <w:szCs w:val="16"/>
                <w:u w:val="single"/>
              </w:rPr>
              <w:t>UNICEF planned under workplan</w:t>
            </w:r>
            <w:r w:rsidRPr="00E1574B">
              <w:rPr>
                <w:rFonts w:ascii="Verdana" w:hAnsi="Verdana" w:cstheme="minorHAnsi"/>
                <w:color w:val="auto"/>
                <w:sz w:val="16"/>
                <w:szCs w:val="16"/>
              </w:rPr>
              <w:t xml:space="preserve">: Facilitate establishment of national and state level committees to promote PFM compliance and transparency. E.g. MoFP PFM Committee, State Monitoring Committees, Transfer Monitoring Committees. (depending on funding availability will focus on select States for now) </w:t>
            </w:r>
          </w:p>
        </w:tc>
        <w:tc>
          <w:tcPr>
            <w:tcW w:w="2340" w:type="dxa"/>
            <w:vAlign w:val="center"/>
          </w:tcPr>
          <w:p w14:paraId="15935503"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N/A</w:t>
            </w:r>
          </w:p>
        </w:tc>
        <w:tc>
          <w:tcPr>
            <w:tcW w:w="2476" w:type="dxa"/>
            <w:vAlign w:val="center"/>
          </w:tcPr>
          <w:p w14:paraId="50311E7E"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No monitoring mechanism in place for controlling funds transfers to the state level from the national level (including to line ministries).</w:t>
            </w:r>
          </w:p>
        </w:tc>
        <w:tc>
          <w:tcPr>
            <w:tcW w:w="2404" w:type="dxa"/>
            <w:vAlign w:val="center"/>
          </w:tcPr>
          <w:p w14:paraId="076BAFC7" w14:textId="77777777" w:rsidR="007F013C" w:rsidRPr="00E1574B" w:rsidRDefault="007F013C" w:rsidP="00762252">
            <w:pPr>
              <w:rPr>
                <w:rFonts w:ascii="Verdana" w:hAnsi="Verdana" w:cstheme="minorHAnsi"/>
                <w:b/>
                <w:color w:val="auto"/>
                <w:sz w:val="16"/>
                <w:szCs w:val="16"/>
              </w:rPr>
            </w:pPr>
            <w:r w:rsidRPr="00E1574B">
              <w:rPr>
                <w:rFonts w:ascii="Verdana" w:hAnsi="Verdana" w:cstheme="minorHAnsi"/>
                <w:color w:val="auto"/>
                <w:sz w:val="16"/>
                <w:szCs w:val="16"/>
              </w:rPr>
              <w:t>Support the re-establishment of State and County Transfer Monitoring Committees.</w:t>
            </w:r>
          </w:p>
        </w:tc>
        <w:tc>
          <w:tcPr>
            <w:tcW w:w="2405" w:type="dxa"/>
            <w:vAlign w:val="center"/>
          </w:tcPr>
          <w:p w14:paraId="49431D44"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Pilot the re-establishment of national and state level transfer monitoring committees </w:t>
            </w:r>
          </w:p>
          <w:p w14:paraId="2EC6877B"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 (UNICEF)</w:t>
            </w:r>
          </w:p>
        </w:tc>
      </w:tr>
      <w:tr w:rsidR="004B0460" w:rsidRPr="00E1574B" w14:paraId="39E9F1CC" w14:textId="77777777" w:rsidTr="00762252">
        <w:trPr>
          <w:trHeight w:val="1250"/>
        </w:trPr>
        <w:tc>
          <w:tcPr>
            <w:tcW w:w="1530" w:type="dxa"/>
            <w:vMerge w:val="restart"/>
            <w:vAlign w:val="center"/>
          </w:tcPr>
          <w:p w14:paraId="1C186B9E" w14:textId="77777777" w:rsidR="007F013C" w:rsidRPr="00E1574B" w:rsidRDefault="007F013C" w:rsidP="00762252">
            <w:pPr>
              <w:rPr>
                <w:rFonts w:ascii="Verdana" w:hAnsi="Verdana" w:cstheme="minorHAnsi"/>
                <w:b/>
                <w:bCs/>
                <w:color w:val="auto"/>
                <w:sz w:val="16"/>
                <w:szCs w:val="16"/>
              </w:rPr>
            </w:pPr>
            <w:r w:rsidRPr="00E1574B">
              <w:rPr>
                <w:rFonts w:ascii="Verdana" w:hAnsi="Verdana" w:cstheme="minorHAnsi"/>
                <w:b/>
                <w:bCs/>
                <w:color w:val="auto"/>
                <w:sz w:val="16"/>
                <w:szCs w:val="16"/>
              </w:rPr>
              <w:lastRenderedPageBreak/>
              <w:t>Transfer of revenue collected at the state level to National Revenue Authority</w:t>
            </w:r>
          </w:p>
        </w:tc>
        <w:tc>
          <w:tcPr>
            <w:tcW w:w="3235" w:type="dxa"/>
            <w:vAlign w:val="center"/>
          </w:tcPr>
          <w:p w14:paraId="6FE544AB"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Supporting the process of selecting an ICT system for registering taxpayers and controlling revenue collection at the state and national level.</w:t>
            </w:r>
          </w:p>
        </w:tc>
        <w:tc>
          <w:tcPr>
            <w:tcW w:w="2340" w:type="dxa"/>
            <w:vAlign w:val="center"/>
          </w:tcPr>
          <w:p w14:paraId="49883DC5" w14:textId="77777777" w:rsidR="007F013C" w:rsidRPr="00E1574B" w:rsidRDefault="007F013C" w:rsidP="00762252">
            <w:pPr>
              <w:rPr>
                <w:rFonts w:ascii="Verdana" w:hAnsi="Verdana" w:cstheme="minorHAnsi"/>
                <w:color w:val="auto"/>
                <w:sz w:val="16"/>
                <w:szCs w:val="16"/>
              </w:rPr>
            </w:pPr>
          </w:p>
        </w:tc>
        <w:tc>
          <w:tcPr>
            <w:tcW w:w="2476" w:type="dxa"/>
            <w:vAlign w:val="center"/>
          </w:tcPr>
          <w:p w14:paraId="0AB68CE8"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ICT procurement at national level delayed, affecting procurement activities at state level;</w:t>
            </w:r>
          </w:p>
        </w:tc>
        <w:tc>
          <w:tcPr>
            <w:tcW w:w="2404" w:type="dxa"/>
            <w:vAlign w:val="center"/>
          </w:tcPr>
          <w:p w14:paraId="184847B2"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Strengthen dialogue between state and national level PFM actors to secure the roll-out of one single ICT system.</w:t>
            </w:r>
          </w:p>
        </w:tc>
        <w:tc>
          <w:tcPr>
            <w:tcW w:w="2405" w:type="dxa"/>
            <w:vAlign w:val="center"/>
          </w:tcPr>
          <w:p w14:paraId="27F33FF9"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Facilitate policy dialogue between national and state level PFM actors. (UNDP)</w:t>
            </w:r>
          </w:p>
        </w:tc>
      </w:tr>
      <w:tr w:rsidR="004B0460" w:rsidRPr="00E1574B" w14:paraId="034FEF86" w14:textId="77777777" w:rsidTr="00762252">
        <w:tc>
          <w:tcPr>
            <w:tcW w:w="1530" w:type="dxa"/>
            <w:vMerge/>
            <w:vAlign w:val="center"/>
          </w:tcPr>
          <w:p w14:paraId="5EEDFDBE" w14:textId="77777777" w:rsidR="007F013C" w:rsidRPr="00E1574B" w:rsidRDefault="007F013C" w:rsidP="00762252">
            <w:pPr>
              <w:rPr>
                <w:rFonts w:ascii="Verdana" w:hAnsi="Verdana" w:cstheme="minorHAnsi"/>
                <w:color w:val="auto"/>
                <w:sz w:val="16"/>
                <w:szCs w:val="16"/>
              </w:rPr>
            </w:pPr>
          </w:p>
        </w:tc>
        <w:tc>
          <w:tcPr>
            <w:tcW w:w="3235" w:type="dxa"/>
            <w:vAlign w:val="center"/>
          </w:tcPr>
          <w:p w14:paraId="6B2C4BAC" w14:textId="77777777" w:rsidR="007F013C" w:rsidRPr="00E1574B" w:rsidRDefault="007F013C" w:rsidP="00762252">
            <w:pPr>
              <w:rPr>
                <w:rFonts w:ascii="Verdana" w:hAnsi="Verdana" w:cstheme="minorHAnsi"/>
                <w:color w:val="auto"/>
                <w:sz w:val="16"/>
                <w:szCs w:val="16"/>
              </w:rPr>
            </w:pPr>
          </w:p>
        </w:tc>
        <w:tc>
          <w:tcPr>
            <w:tcW w:w="2340" w:type="dxa"/>
            <w:vAlign w:val="center"/>
          </w:tcPr>
          <w:p w14:paraId="1D5FE3AC" w14:textId="77777777" w:rsidR="007F013C" w:rsidRPr="00E1574B" w:rsidRDefault="007F013C" w:rsidP="00762252">
            <w:pPr>
              <w:rPr>
                <w:rFonts w:ascii="Verdana" w:hAnsi="Verdana" w:cstheme="minorHAnsi"/>
                <w:color w:val="auto"/>
                <w:sz w:val="16"/>
                <w:szCs w:val="16"/>
              </w:rPr>
            </w:pPr>
          </w:p>
        </w:tc>
        <w:tc>
          <w:tcPr>
            <w:tcW w:w="2476" w:type="dxa"/>
            <w:vAlign w:val="center"/>
          </w:tcPr>
          <w:p w14:paraId="02ADFD67"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Lack of coordination between SRAs and National Revenue Authority;</w:t>
            </w:r>
          </w:p>
          <w:p w14:paraId="67DF0992" w14:textId="77777777" w:rsidR="007F013C" w:rsidRPr="00E1574B" w:rsidRDefault="007F013C" w:rsidP="00762252">
            <w:pPr>
              <w:rPr>
                <w:rFonts w:ascii="Verdana" w:hAnsi="Verdana" w:cstheme="minorHAnsi"/>
                <w:color w:val="auto"/>
                <w:sz w:val="16"/>
                <w:szCs w:val="16"/>
              </w:rPr>
            </w:pPr>
          </w:p>
          <w:p w14:paraId="727F05DF"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Policy framework for transfers from state to national level lacks clarity, enforcement and coordination.</w:t>
            </w:r>
          </w:p>
        </w:tc>
        <w:tc>
          <w:tcPr>
            <w:tcW w:w="2404" w:type="dxa"/>
            <w:vAlign w:val="center"/>
          </w:tcPr>
          <w:p w14:paraId="0E113912"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Facilitate policy dialogue between national and state level PFM actors.</w:t>
            </w:r>
          </w:p>
        </w:tc>
        <w:tc>
          <w:tcPr>
            <w:tcW w:w="2405" w:type="dxa"/>
            <w:vAlign w:val="center"/>
          </w:tcPr>
          <w:p w14:paraId="45C72129"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Facilitate policy dialogue between national and state level PFM actors. (UNDP)</w:t>
            </w:r>
          </w:p>
        </w:tc>
      </w:tr>
      <w:tr w:rsidR="004B0460" w:rsidRPr="00E1574B" w14:paraId="60464562" w14:textId="77777777" w:rsidTr="00762252">
        <w:tc>
          <w:tcPr>
            <w:tcW w:w="1530" w:type="dxa"/>
            <w:vAlign w:val="center"/>
          </w:tcPr>
          <w:p w14:paraId="2CA4A20D" w14:textId="77777777" w:rsidR="007F013C" w:rsidRPr="00E1574B" w:rsidRDefault="007F013C" w:rsidP="00762252">
            <w:pPr>
              <w:rPr>
                <w:rFonts w:ascii="Verdana" w:hAnsi="Verdana" w:cstheme="minorHAnsi"/>
                <w:b/>
                <w:bCs/>
                <w:color w:val="auto"/>
                <w:sz w:val="16"/>
                <w:szCs w:val="16"/>
              </w:rPr>
            </w:pPr>
            <w:r w:rsidRPr="00E1574B">
              <w:rPr>
                <w:rFonts w:ascii="Verdana" w:hAnsi="Verdana" w:cstheme="minorHAnsi"/>
                <w:b/>
                <w:bCs/>
                <w:color w:val="auto"/>
                <w:sz w:val="16"/>
                <w:szCs w:val="16"/>
              </w:rPr>
              <w:t>Budget execution and reporting</w:t>
            </w:r>
          </w:p>
        </w:tc>
        <w:tc>
          <w:tcPr>
            <w:tcW w:w="3235" w:type="dxa"/>
            <w:vAlign w:val="center"/>
          </w:tcPr>
          <w:p w14:paraId="42E9934F"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No current intervention undertaken</w:t>
            </w:r>
          </w:p>
          <w:p w14:paraId="15C50C3A" w14:textId="77777777" w:rsidR="007F013C" w:rsidRPr="00E1574B" w:rsidRDefault="007F013C" w:rsidP="00762252">
            <w:pPr>
              <w:rPr>
                <w:rFonts w:ascii="Verdana" w:hAnsi="Verdana" w:cstheme="minorHAnsi"/>
                <w:color w:val="auto"/>
                <w:sz w:val="16"/>
                <w:szCs w:val="16"/>
              </w:rPr>
            </w:pPr>
          </w:p>
          <w:p w14:paraId="4372CE55"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b/>
                <w:color w:val="auto"/>
                <w:sz w:val="16"/>
                <w:szCs w:val="16"/>
                <w:u w:val="single"/>
              </w:rPr>
              <w:t>UNICEF:</w:t>
            </w:r>
            <w:r w:rsidRPr="00E1574B">
              <w:rPr>
                <w:rFonts w:ascii="Verdana" w:hAnsi="Verdana" w:cstheme="minorHAnsi"/>
                <w:color w:val="auto"/>
                <w:sz w:val="16"/>
                <w:szCs w:val="16"/>
              </w:rPr>
              <w:t xml:space="preserve">  Piloted regional State Workshops focused on the issues of budget execution and reporting in 2019.  </w:t>
            </w:r>
          </w:p>
        </w:tc>
        <w:tc>
          <w:tcPr>
            <w:tcW w:w="2340" w:type="dxa"/>
            <w:vAlign w:val="center"/>
          </w:tcPr>
          <w:p w14:paraId="266274BD"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N/A</w:t>
            </w:r>
          </w:p>
        </w:tc>
        <w:tc>
          <w:tcPr>
            <w:tcW w:w="2476" w:type="dxa"/>
            <w:vAlign w:val="center"/>
          </w:tcPr>
          <w:p w14:paraId="2A2532AE"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Even when budgets are approved, state spending happens on an ad-hoc basis to satisfy short-term needs, hindering budget execution.</w:t>
            </w:r>
          </w:p>
          <w:p w14:paraId="701603A4" w14:textId="77777777" w:rsidR="007F013C" w:rsidRPr="00E1574B" w:rsidRDefault="007F013C" w:rsidP="00762252">
            <w:pPr>
              <w:rPr>
                <w:rFonts w:ascii="Verdana" w:hAnsi="Verdana" w:cstheme="minorHAnsi"/>
                <w:color w:val="auto"/>
                <w:sz w:val="16"/>
                <w:szCs w:val="16"/>
              </w:rPr>
            </w:pPr>
          </w:p>
          <w:p w14:paraId="1796A0E5"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State government has no mechanism for monitoring budget execution.</w:t>
            </w:r>
          </w:p>
        </w:tc>
        <w:tc>
          <w:tcPr>
            <w:tcW w:w="2404" w:type="dxa"/>
            <w:vAlign w:val="center"/>
          </w:tcPr>
          <w:p w14:paraId="08A71D7A"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Provide technical expertise to support states and MDAs to spend in accordance with the budget, </w:t>
            </w:r>
            <w:proofErr w:type="spellStart"/>
            <w:r w:rsidRPr="00E1574B">
              <w:rPr>
                <w:rFonts w:ascii="Verdana" w:hAnsi="Verdana" w:cstheme="minorHAnsi"/>
                <w:color w:val="auto"/>
                <w:sz w:val="16"/>
                <w:szCs w:val="16"/>
              </w:rPr>
              <w:t>ie</w:t>
            </w:r>
            <w:proofErr w:type="spellEnd"/>
            <w:r w:rsidRPr="00E1574B">
              <w:rPr>
                <w:rFonts w:ascii="Verdana" w:hAnsi="Verdana" w:cstheme="minorHAnsi"/>
                <w:color w:val="auto"/>
                <w:sz w:val="16"/>
                <w:szCs w:val="16"/>
              </w:rPr>
              <w:t>. Mechanism for monitoring budget execution.</w:t>
            </w:r>
          </w:p>
          <w:p w14:paraId="0E229236" w14:textId="77777777" w:rsidR="007F013C" w:rsidRPr="00E1574B" w:rsidRDefault="007F013C" w:rsidP="00762252">
            <w:pPr>
              <w:rPr>
                <w:rFonts w:ascii="Verdana" w:hAnsi="Verdana" w:cstheme="minorHAnsi"/>
                <w:color w:val="auto"/>
                <w:sz w:val="16"/>
                <w:szCs w:val="16"/>
              </w:rPr>
            </w:pPr>
          </w:p>
          <w:p w14:paraId="5F4FE0A1"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Compile evidence of proper budget execution for transparent use of funds/encourage taxpayers to pay taxes.</w:t>
            </w:r>
          </w:p>
        </w:tc>
        <w:tc>
          <w:tcPr>
            <w:tcW w:w="2405" w:type="dxa"/>
            <w:vAlign w:val="center"/>
          </w:tcPr>
          <w:p w14:paraId="1669777A"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Provide technical expertise to support states and MDAs to spend in accordance with the budget. (UNICEF)</w:t>
            </w:r>
          </w:p>
          <w:p w14:paraId="671947E1" w14:textId="77777777" w:rsidR="007F013C" w:rsidRPr="00E1574B" w:rsidRDefault="007F013C" w:rsidP="00762252">
            <w:pPr>
              <w:rPr>
                <w:rFonts w:ascii="Verdana" w:hAnsi="Verdana" w:cstheme="minorHAnsi"/>
                <w:color w:val="auto"/>
                <w:sz w:val="16"/>
                <w:szCs w:val="16"/>
              </w:rPr>
            </w:pPr>
          </w:p>
          <w:p w14:paraId="4FE7644B"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Set up a National Budget Working Group (focused on budget preparation, execution and reporting) under MoFP to coordinate with State </w:t>
            </w:r>
            <w:proofErr w:type="spellStart"/>
            <w:r w:rsidRPr="00E1574B">
              <w:rPr>
                <w:rFonts w:ascii="Verdana" w:hAnsi="Verdana" w:cstheme="minorHAnsi"/>
                <w:color w:val="auto"/>
                <w:sz w:val="16"/>
                <w:szCs w:val="16"/>
              </w:rPr>
              <w:t>MoFPs</w:t>
            </w:r>
            <w:proofErr w:type="spellEnd"/>
            <w:r w:rsidRPr="00E1574B">
              <w:rPr>
                <w:rFonts w:ascii="Verdana" w:hAnsi="Verdana" w:cstheme="minorHAnsi"/>
                <w:color w:val="auto"/>
                <w:sz w:val="16"/>
                <w:szCs w:val="16"/>
              </w:rPr>
              <w:t xml:space="preserve"> and social sector Ministries. (UNICEF)</w:t>
            </w:r>
          </w:p>
          <w:p w14:paraId="7AFF7E1D" w14:textId="77777777" w:rsidR="007F013C" w:rsidRPr="00E1574B" w:rsidRDefault="007F013C" w:rsidP="00762252">
            <w:pPr>
              <w:rPr>
                <w:rFonts w:ascii="Verdana" w:hAnsi="Verdana" w:cstheme="minorHAnsi"/>
                <w:color w:val="auto"/>
                <w:sz w:val="16"/>
                <w:szCs w:val="16"/>
              </w:rPr>
            </w:pPr>
          </w:p>
          <w:p w14:paraId="36961BD1"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Continue development of Budget and Reporting Guidelines/ and existing MoFP tools adjustments (UNICEF) </w:t>
            </w:r>
          </w:p>
          <w:p w14:paraId="37B5EF60" w14:textId="77777777" w:rsidR="007F013C" w:rsidRPr="00E1574B" w:rsidRDefault="007F013C" w:rsidP="00762252">
            <w:pPr>
              <w:rPr>
                <w:rFonts w:ascii="Verdana" w:hAnsi="Verdana" w:cstheme="minorHAnsi"/>
                <w:color w:val="auto"/>
                <w:sz w:val="16"/>
                <w:szCs w:val="16"/>
              </w:rPr>
            </w:pPr>
          </w:p>
          <w:p w14:paraId="59AD1688"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Compile evidence of proper budget execution for transparent use of funds/encourage taxpayers to pay taxes. (UNDP)</w:t>
            </w:r>
          </w:p>
        </w:tc>
      </w:tr>
      <w:tr w:rsidR="004B0460" w:rsidRPr="00E1574B" w14:paraId="26C2B980" w14:textId="77777777" w:rsidTr="00762252">
        <w:trPr>
          <w:trHeight w:val="188"/>
        </w:trPr>
        <w:tc>
          <w:tcPr>
            <w:tcW w:w="1530" w:type="dxa"/>
            <w:vMerge w:val="restart"/>
            <w:vAlign w:val="center"/>
          </w:tcPr>
          <w:p w14:paraId="02E0A29D" w14:textId="77777777" w:rsidR="007F013C" w:rsidRPr="00E1574B" w:rsidRDefault="007F013C" w:rsidP="00762252">
            <w:pPr>
              <w:rPr>
                <w:rFonts w:ascii="Verdana" w:hAnsi="Verdana" w:cstheme="minorHAnsi"/>
                <w:b/>
                <w:bCs/>
                <w:color w:val="auto"/>
                <w:sz w:val="16"/>
                <w:szCs w:val="16"/>
              </w:rPr>
            </w:pPr>
            <w:r w:rsidRPr="00E1574B">
              <w:rPr>
                <w:rFonts w:ascii="Verdana" w:hAnsi="Verdana" w:cstheme="minorHAnsi"/>
                <w:b/>
                <w:bCs/>
                <w:color w:val="auto"/>
                <w:sz w:val="16"/>
                <w:szCs w:val="16"/>
              </w:rPr>
              <w:t>Accountability and oversight</w:t>
            </w:r>
          </w:p>
        </w:tc>
        <w:tc>
          <w:tcPr>
            <w:tcW w:w="3235" w:type="dxa"/>
            <w:vAlign w:val="center"/>
          </w:tcPr>
          <w:p w14:paraId="7ECB049F"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UNICEF ongoing/planned interventions: </w:t>
            </w:r>
          </w:p>
          <w:p w14:paraId="4D7D52AE" w14:textId="77777777" w:rsidR="007F013C" w:rsidRPr="00E1574B" w:rsidRDefault="007F013C" w:rsidP="00762252">
            <w:pPr>
              <w:rPr>
                <w:rFonts w:ascii="Verdana" w:hAnsi="Verdana" w:cstheme="minorHAnsi"/>
                <w:color w:val="auto"/>
                <w:sz w:val="16"/>
                <w:szCs w:val="16"/>
              </w:rPr>
            </w:pPr>
          </w:p>
          <w:p w14:paraId="5BD9C4FC"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Budget transparency initiatives through:</w:t>
            </w:r>
          </w:p>
          <w:p w14:paraId="4C66E757"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Supported MoFP on participation and review of the 2017 and 2019 Open Budget Surveys (OBS), with a National Budget Transparency Workshop in 2018. MoFP and local researcher for OBS participated in a ESAR regional International Budget Partnerships (IBP), UNICEF co-hosted workshop on OBS, and developed an action plan for budget transparency; south-south exchange among MoFP &amp; citizens’ groups from 18 COs on OBS. </w:t>
            </w:r>
          </w:p>
          <w:p w14:paraId="22C5CEBF" w14:textId="77777777" w:rsidR="007F013C" w:rsidRPr="00E1574B" w:rsidRDefault="007F013C" w:rsidP="00762252">
            <w:pPr>
              <w:rPr>
                <w:rFonts w:ascii="Verdana" w:hAnsi="Verdana" w:cstheme="minorHAnsi"/>
                <w:color w:val="auto"/>
                <w:sz w:val="16"/>
                <w:szCs w:val="16"/>
              </w:rPr>
            </w:pPr>
          </w:p>
          <w:p w14:paraId="19993C92"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Budget Directorate staff trained by IBP and GIFT (Global Initiative for Fiscal Transparency) on budget transparency in 2018. </w:t>
            </w:r>
          </w:p>
          <w:p w14:paraId="26B575F2"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Supported MoFP produce Citizen’s Budgets since 2018, </w:t>
            </w:r>
            <w:proofErr w:type="spellStart"/>
            <w:r w:rsidRPr="00E1574B">
              <w:rPr>
                <w:rFonts w:ascii="Verdana" w:hAnsi="Verdana" w:cstheme="minorHAnsi"/>
                <w:color w:val="auto"/>
                <w:sz w:val="16"/>
                <w:szCs w:val="16"/>
              </w:rPr>
              <w:t>MoFP</w:t>
            </w:r>
            <w:proofErr w:type="spellEnd"/>
            <w:r w:rsidRPr="00E1574B">
              <w:rPr>
                <w:rFonts w:ascii="Verdana" w:hAnsi="Verdana" w:cstheme="minorHAnsi"/>
                <w:color w:val="auto"/>
                <w:sz w:val="16"/>
                <w:szCs w:val="16"/>
              </w:rPr>
              <w:t xml:space="preserve"> and </w:t>
            </w:r>
            <w:proofErr w:type="spellStart"/>
            <w:r w:rsidRPr="00E1574B">
              <w:rPr>
                <w:rFonts w:ascii="Verdana" w:hAnsi="Verdana" w:cstheme="minorHAnsi"/>
                <w:color w:val="auto"/>
                <w:sz w:val="16"/>
                <w:szCs w:val="16"/>
              </w:rPr>
              <w:t>MoGEI</w:t>
            </w:r>
            <w:proofErr w:type="spellEnd"/>
            <w:r w:rsidRPr="00E1574B">
              <w:rPr>
                <w:rFonts w:ascii="Verdana" w:hAnsi="Verdana" w:cstheme="minorHAnsi"/>
                <w:color w:val="auto"/>
                <w:sz w:val="16"/>
                <w:szCs w:val="16"/>
              </w:rPr>
              <w:t xml:space="preserve"> jointly produced Budget Briefs (national and education) and launched in a National Budget Workshop in 2019. </w:t>
            </w:r>
          </w:p>
          <w:p w14:paraId="1A7A94A4" w14:textId="77777777" w:rsidR="007F013C" w:rsidRPr="00E1574B" w:rsidRDefault="007F013C" w:rsidP="00762252">
            <w:pPr>
              <w:rPr>
                <w:rFonts w:ascii="Verdana" w:hAnsi="Verdana" w:cstheme="minorHAnsi"/>
                <w:color w:val="auto"/>
                <w:sz w:val="16"/>
                <w:szCs w:val="16"/>
              </w:rPr>
            </w:pPr>
          </w:p>
          <w:p w14:paraId="6BA5153E"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Planned a Public Expenditure Review (PER) and Public Expenditure Tracking Survey in Education Sector with </w:t>
            </w:r>
            <w:proofErr w:type="spellStart"/>
            <w:r w:rsidRPr="00E1574B">
              <w:rPr>
                <w:rFonts w:ascii="Verdana" w:hAnsi="Verdana" w:cstheme="minorHAnsi"/>
                <w:color w:val="auto"/>
                <w:sz w:val="16"/>
                <w:szCs w:val="16"/>
              </w:rPr>
              <w:t>MoFP</w:t>
            </w:r>
            <w:proofErr w:type="spellEnd"/>
            <w:r w:rsidRPr="00E1574B">
              <w:rPr>
                <w:rFonts w:ascii="Verdana" w:hAnsi="Verdana" w:cstheme="minorHAnsi"/>
                <w:color w:val="auto"/>
                <w:sz w:val="16"/>
                <w:szCs w:val="16"/>
              </w:rPr>
              <w:t>/</w:t>
            </w:r>
            <w:proofErr w:type="spellStart"/>
            <w:r w:rsidRPr="00E1574B">
              <w:rPr>
                <w:rFonts w:ascii="Verdana" w:hAnsi="Verdana" w:cstheme="minorHAnsi"/>
                <w:color w:val="auto"/>
                <w:sz w:val="16"/>
                <w:szCs w:val="16"/>
              </w:rPr>
              <w:t>MoGEI</w:t>
            </w:r>
            <w:proofErr w:type="spellEnd"/>
            <w:r w:rsidRPr="00E1574B">
              <w:rPr>
                <w:rFonts w:ascii="Verdana" w:hAnsi="Verdana" w:cstheme="minorHAnsi"/>
                <w:color w:val="auto"/>
                <w:sz w:val="16"/>
                <w:szCs w:val="16"/>
              </w:rPr>
              <w:t xml:space="preserve"> to be initiated in 2020.</w:t>
            </w:r>
          </w:p>
          <w:p w14:paraId="372CD82C" w14:textId="77777777" w:rsidR="007F013C" w:rsidRPr="00E1574B" w:rsidRDefault="007F013C" w:rsidP="00762252">
            <w:pPr>
              <w:rPr>
                <w:rFonts w:ascii="Verdana" w:hAnsi="Verdana" w:cstheme="minorHAnsi"/>
                <w:color w:val="auto"/>
                <w:sz w:val="16"/>
                <w:szCs w:val="16"/>
              </w:rPr>
            </w:pPr>
          </w:p>
          <w:p w14:paraId="4E6DD225"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Citizens Budgets and citizen’s engagement to support </w:t>
            </w:r>
            <w:proofErr w:type="spellStart"/>
            <w:r w:rsidRPr="00E1574B">
              <w:rPr>
                <w:rFonts w:ascii="Verdana" w:hAnsi="Verdana" w:cstheme="minorHAnsi"/>
                <w:color w:val="auto"/>
                <w:sz w:val="16"/>
                <w:szCs w:val="16"/>
              </w:rPr>
              <w:t>MoP</w:t>
            </w:r>
            <w:proofErr w:type="spellEnd"/>
            <w:r w:rsidRPr="00E1574B">
              <w:rPr>
                <w:rFonts w:ascii="Verdana" w:hAnsi="Verdana" w:cstheme="minorHAnsi"/>
                <w:color w:val="auto"/>
                <w:sz w:val="16"/>
                <w:szCs w:val="16"/>
              </w:rPr>
              <w:t xml:space="preserve"> since 2018. </w:t>
            </w:r>
          </w:p>
          <w:p w14:paraId="6623BE30" w14:textId="77777777" w:rsidR="007F013C" w:rsidRPr="00E1574B" w:rsidRDefault="007F013C" w:rsidP="00762252">
            <w:pPr>
              <w:rPr>
                <w:rFonts w:ascii="Verdana" w:hAnsi="Verdana" w:cstheme="minorHAnsi"/>
                <w:color w:val="auto"/>
                <w:sz w:val="16"/>
                <w:szCs w:val="16"/>
              </w:rPr>
            </w:pPr>
          </w:p>
          <w:p w14:paraId="04443519"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WHO:</w:t>
            </w:r>
          </w:p>
          <w:p w14:paraId="47B5A4A6"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Conducted the first National Health Accounts for the FY2016/2017 and is planning to conduct another NHA for the FY2017/2018 &amp; FY2018/2019 in 2020. National Health Accounts </w:t>
            </w:r>
            <w:r w:rsidRPr="00E1574B">
              <w:rPr>
                <w:rFonts w:ascii="Verdana" w:hAnsi="Verdana" w:cstheme="minorHAnsi"/>
                <w:color w:val="auto"/>
                <w:sz w:val="16"/>
                <w:szCs w:val="16"/>
              </w:rPr>
              <w:lastRenderedPageBreak/>
              <w:t xml:space="preserve">monitor the extent to which financial resources are mobilized, allocated and used in the health sector. </w:t>
            </w:r>
          </w:p>
          <w:p w14:paraId="1E7A405C" w14:textId="77777777" w:rsidR="007F013C" w:rsidRPr="00E1574B" w:rsidRDefault="007F013C" w:rsidP="00762252">
            <w:pPr>
              <w:rPr>
                <w:rFonts w:ascii="Verdana" w:hAnsi="Verdana" w:cstheme="minorHAnsi"/>
                <w:color w:val="auto"/>
                <w:sz w:val="16"/>
                <w:szCs w:val="16"/>
              </w:rPr>
            </w:pPr>
          </w:p>
          <w:p w14:paraId="5303CAE9"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OHCHR</w:t>
            </w:r>
          </w:p>
          <w:p w14:paraId="538C1D0B"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Enhancing capacity of civil society organizations to monitor the government’s obligation to use the maximum of its available resources to fulfil economic and social rights; in particular on how the government generates, allocates, and spends resources in the health sector.</w:t>
            </w:r>
          </w:p>
          <w:p w14:paraId="41430504" w14:textId="77777777" w:rsidR="007F013C" w:rsidRPr="00E1574B" w:rsidRDefault="007F013C" w:rsidP="00762252">
            <w:pPr>
              <w:rPr>
                <w:rFonts w:ascii="Verdana" w:hAnsi="Verdana" w:cstheme="minorHAnsi"/>
                <w:color w:val="auto"/>
                <w:sz w:val="16"/>
                <w:szCs w:val="16"/>
              </w:rPr>
            </w:pPr>
          </w:p>
          <w:p w14:paraId="43243203"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Advice existing multi-donor funding mechanisms to support the Government to establish an inclusive, participatory and transparent follow-up and review mechanism to monitor track and evaluate progress of the SDG 3 at the national and sub-national levels.</w:t>
            </w:r>
          </w:p>
        </w:tc>
        <w:tc>
          <w:tcPr>
            <w:tcW w:w="2340" w:type="dxa"/>
            <w:vAlign w:val="center"/>
          </w:tcPr>
          <w:p w14:paraId="5E9F6279"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lastRenderedPageBreak/>
              <w:t xml:space="preserve">Members of Parliament’s capacity to scrutinize </w:t>
            </w:r>
            <w:r w:rsidRPr="00E1574B">
              <w:rPr>
                <w:rFonts w:ascii="Verdana" w:hAnsi="Verdana" w:cstheme="minorHAnsi"/>
                <w:color w:val="auto"/>
                <w:sz w:val="16"/>
                <w:szCs w:val="16"/>
              </w:rPr>
              <w:lastRenderedPageBreak/>
              <w:t>budgets and provide oversight function has been improved: MPs in Aweil protested lack of parliament involvement in the budget formulation process in March 2019</w:t>
            </w:r>
          </w:p>
          <w:p w14:paraId="23919D71" w14:textId="77777777" w:rsidR="007F013C" w:rsidRPr="00E1574B" w:rsidRDefault="007F013C" w:rsidP="00762252">
            <w:pPr>
              <w:rPr>
                <w:rFonts w:ascii="Verdana" w:hAnsi="Verdana" w:cstheme="minorHAnsi"/>
                <w:color w:val="auto"/>
                <w:sz w:val="16"/>
                <w:szCs w:val="16"/>
              </w:rPr>
            </w:pPr>
          </w:p>
          <w:p w14:paraId="2451B798" w14:textId="77777777" w:rsidR="007F013C" w:rsidRPr="00E1574B" w:rsidRDefault="007F013C" w:rsidP="00762252">
            <w:pPr>
              <w:rPr>
                <w:rFonts w:ascii="Verdana" w:hAnsi="Verdana" w:cstheme="minorHAnsi"/>
                <w:color w:val="auto"/>
                <w:sz w:val="16"/>
                <w:szCs w:val="16"/>
              </w:rPr>
            </w:pPr>
          </w:p>
          <w:p w14:paraId="6DFCF6E4" w14:textId="77777777" w:rsidR="007F013C" w:rsidRPr="00E1574B" w:rsidRDefault="007F013C" w:rsidP="00762252">
            <w:pPr>
              <w:rPr>
                <w:rFonts w:ascii="Verdana" w:hAnsi="Verdana" w:cstheme="minorHAnsi"/>
                <w:color w:val="auto"/>
                <w:sz w:val="16"/>
                <w:szCs w:val="16"/>
              </w:rPr>
            </w:pPr>
          </w:p>
          <w:p w14:paraId="1C987D45" w14:textId="77777777" w:rsidR="007F013C" w:rsidRPr="00E1574B" w:rsidRDefault="007F013C" w:rsidP="00762252">
            <w:pPr>
              <w:rPr>
                <w:rFonts w:ascii="Verdana" w:hAnsi="Verdana" w:cstheme="minorHAnsi"/>
                <w:color w:val="auto"/>
                <w:sz w:val="16"/>
                <w:szCs w:val="16"/>
              </w:rPr>
            </w:pPr>
          </w:p>
          <w:p w14:paraId="210A7E09" w14:textId="77777777" w:rsidR="007F013C" w:rsidRPr="00E1574B" w:rsidRDefault="007F013C" w:rsidP="00762252">
            <w:pPr>
              <w:rPr>
                <w:rFonts w:ascii="Verdana" w:hAnsi="Verdana" w:cstheme="minorHAnsi"/>
                <w:color w:val="auto"/>
                <w:sz w:val="16"/>
                <w:szCs w:val="16"/>
              </w:rPr>
            </w:pPr>
          </w:p>
          <w:p w14:paraId="2A91DB10" w14:textId="77777777" w:rsidR="007F013C" w:rsidRPr="00E1574B" w:rsidRDefault="007F013C" w:rsidP="00762252">
            <w:pPr>
              <w:rPr>
                <w:rFonts w:ascii="Verdana" w:hAnsi="Verdana" w:cstheme="minorHAnsi"/>
                <w:color w:val="auto"/>
                <w:sz w:val="16"/>
                <w:szCs w:val="16"/>
              </w:rPr>
            </w:pPr>
          </w:p>
          <w:p w14:paraId="388DCCB4" w14:textId="77777777" w:rsidR="007F013C" w:rsidRPr="00E1574B" w:rsidRDefault="007F013C" w:rsidP="00762252">
            <w:pPr>
              <w:rPr>
                <w:rFonts w:ascii="Verdana" w:hAnsi="Verdana" w:cstheme="minorHAnsi"/>
                <w:color w:val="auto"/>
                <w:sz w:val="16"/>
                <w:szCs w:val="16"/>
              </w:rPr>
            </w:pPr>
          </w:p>
          <w:p w14:paraId="32F2F1B4" w14:textId="77777777" w:rsidR="007F013C" w:rsidRPr="00E1574B" w:rsidRDefault="007F013C" w:rsidP="00762252">
            <w:pPr>
              <w:rPr>
                <w:rFonts w:ascii="Verdana" w:hAnsi="Verdana" w:cstheme="minorHAnsi"/>
                <w:color w:val="auto"/>
                <w:sz w:val="16"/>
                <w:szCs w:val="16"/>
              </w:rPr>
            </w:pPr>
          </w:p>
          <w:p w14:paraId="2D2F57D7" w14:textId="77777777" w:rsidR="007F013C" w:rsidRPr="00E1574B" w:rsidRDefault="007F013C" w:rsidP="00762252">
            <w:pPr>
              <w:rPr>
                <w:rFonts w:ascii="Verdana" w:hAnsi="Verdana" w:cstheme="minorHAnsi"/>
                <w:color w:val="auto"/>
                <w:sz w:val="16"/>
                <w:szCs w:val="16"/>
              </w:rPr>
            </w:pPr>
          </w:p>
          <w:p w14:paraId="0C499798" w14:textId="77777777" w:rsidR="007F013C" w:rsidRPr="00E1574B" w:rsidRDefault="007F013C" w:rsidP="00762252">
            <w:pPr>
              <w:rPr>
                <w:rFonts w:ascii="Verdana" w:hAnsi="Verdana" w:cstheme="minorHAnsi"/>
                <w:color w:val="auto"/>
                <w:sz w:val="16"/>
                <w:szCs w:val="16"/>
              </w:rPr>
            </w:pPr>
          </w:p>
          <w:p w14:paraId="7E495671" w14:textId="77777777" w:rsidR="007F013C" w:rsidRPr="00E1574B" w:rsidRDefault="007F013C" w:rsidP="00762252">
            <w:pPr>
              <w:rPr>
                <w:rFonts w:ascii="Verdana" w:hAnsi="Verdana" w:cstheme="minorHAnsi"/>
                <w:color w:val="auto"/>
                <w:sz w:val="16"/>
                <w:szCs w:val="16"/>
              </w:rPr>
            </w:pPr>
          </w:p>
          <w:p w14:paraId="5E861E0B" w14:textId="77777777" w:rsidR="007F013C" w:rsidRPr="00E1574B" w:rsidRDefault="007F013C" w:rsidP="00762252">
            <w:pPr>
              <w:rPr>
                <w:rFonts w:ascii="Verdana" w:hAnsi="Verdana" w:cstheme="minorHAnsi"/>
                <w:color w:val="auto"/>
                <w:sz w:val="16"/>
                <w:szCs w:val="16"/>
              </w:rPr>
            </w:pPr>
          </w:p>
          <w:p w14:paraId="5A3B6289" w14:textId="77777777" w:rsidR="007F013C" w:rsidRPr="00E1574B" w:rsidRDefault="007F013C" w:rsidP="00762252">
            <w:pPr>
              <w:rPr>
                <w:rFonts w:ascii="Verdana" w:hAnsi="Verdana" w:cstheme="minorHAnsi"/>
                <w:color w:val="auto"/>
                <w:sz w:val="16"/>
                <w:szCs w:val="16"/>
              </w:rPr>
            </w:pPr>
          </w:p>
          <w:p w14:paraId="33401A1B" w14:textId="77777777" w:rsidR="007F013C" w:rsidRPr="00E1574B" w:rsidRDefault="007F013C" w:rsidP="00762252">
            <w:pPr>
              <w:rPr>
                <w:rFonts w:ascii="Verdana" w:hAnsi="Verdana" w:cstheme="minorHAnsi"/>
                <w:color w:val="auto"/>
                <w:sz w:val="16"/>
                <w:szCs w:val="16"/>
              </w:rPr>
            </w:pPr>
          </w:p>
          <w:p w14:paraId="3D364CB5" w14:textId="77777777" w:rsidR="007F013C" w:rsidRPr="00E1574B" w:rsidRDefault="007F013C" w:rsidP="00762252">
            <w:pPr>
              <w:rPr>
                <w:rFonts w:ascii="Verdana" w:hAnsi="Verdana" w:cstheme="minorHAnsi"/>
                <w:color w:val="auto"/>
                <w:sz w:val="16"/>
                <w:szCs w:val="16"/>
              </w:rPr>
            </w:pPr>
          </w:p>
          <w:p w14:paraId="67299FDB" w14:textId="77777777" w:rsidR="007F013C" w:rsidRPr="00E1574B" w:rsidRDefault="007F013C" w:rsidP="00762252">
            <w:pPr>
              <w:rPr>
                <w:rFonts w:ascii="Verdana" w:hAnsi="Verdana" w:cstheme="minorHAnsi"/>
                <w:color w:val="auto"/>
                <w:sz w:val="16"/>
                <w:szCs w:val="16"/>
              </w:rPr>
            </w:pPr>
          </w:p>
          <w:p w14:paraId="42E6882C" w14:textId="77777777" w:rsidR="007F013C" w:rsidRPr="00E1574B" w:rsidRDefault="007F013C" w:rsidP="00762252">
            <w:pPr>
              <w:rPr>
                <w:rFonts w:ascii="Verdana" w:hAnsi="Verdana" w:cstheme="minorHAnsi"/>
                <w:color w:val="auto"/>
                <w:sz w:val="16"/>
                <w:szCs w:val="16"/>
              </w:rPr>
            </w:pPr>
          </w:p>
          <w:p w14:paraId="2102E43E" w14:textId="77777777" w:rsidR="007F013C" w:rsidRPr="00E1574B" w:rsidRDefault="007F013C" w:rsidP="00762252">
            <w:pPr>
              <w:rPr>
                <w:rFonts w:ascii="Verdana" w:hAnsi="Verdana" w:cstheme="minorHAnsi"/>
                <w:color w:val="auto"/>
                <w:sz w:val="16"/>
                <w:szCs w:val="16"/>
              </w:rPr>
            </w:pPr>
          </w:p>
          <w:p w14:paraId="06FAD35A" w14:textId="77777777" w:rsidR="007F013C" w:rsidRPr="00E1574B" w:rsidRDefault="007F013C" w:rsidP="00762252">
            <w:pPr>
              <w:rPr>
                <w:rFonts w:ascii="Verdana" w:hAnsi="Verdana" w:cstheme="minorHAnsi"/>
                <w:color w:val="auto"/>
                <w:sz w:val="16"/>
                <w:szCs w:val="16"/>
              </w:rPr>
            </w:pPr>
          </w:p>
          <w:p w14:paraId="5F8AD958" w14:textId="77777777" w:rsidR="007F013C" w:rsidRPr="00E1574B" w:rsidRDefault="007F013C" w:rsidP="00762252">
            <w:pPr>
              <w:rPr>
                <w:rFonts w:ascii="Verdana" w:hAnsi="Verdana" w:cstheme="minorHAnsi"/>
                <w:color w:val="auto"/>
                <w:sz w:val="16"/>
                <w:szCs w:val="16"/>
              </w:rPr>
            </w:pPr>
          </w:p>
          <w:p w14:paraId="6CC0E0E7" w14:textId="77777777" w:rsidR="007F013C" w:rsidRPr="00E1574B" w:rsidRDefault="007F013C" w:rsidP="00762252">
            <w:pPr>
              <w:rPr>
                <w:rFonts w:ascii="Verdana" w:hAnsi="Verdana" w:cstheme="minorHAnsi"/>
                <w:color w:val="auto"/>
                <w:sz w:val="16"/>
                <w:szCs w:val="16"/>
              </w:rPr>
            </w:pPr>
          </w:p>
          <w:p w14:paraId="3E80F940" w14:textId="77777777" w:rsidR="007F013C" w:rsidRPr="00E1574B" w:rsidRDefault="007F013C" w:rsidP="00762252">
            <w:pPr>
              <w:rPr>
                <w:rFonts w:ascii="Verdana" w:hAnsi="Verdana" w:cstheme="minorHAnsi"/>
                <w:color w:val="auto"/>
                <w:sz w:val="16"/>
                <w:szCs w:val="16"/>
              </w:rPr>
            </w:pPr>
          </w:p>
          <w:p w14:paraId="74E6E57D" w14:textId="77777777" w:rsidR="007F013C" w:rsidRPr="00E1574B" w:rsidRDefault="007F013C" w:rsidP="00762252">
            <w:pPr>
              <w:rPr>
                <w:rFonts w:ascii="Verdana" w:hAnsi="Verdana" w:cstheme="minorHAnsi"/>
                <w:color w:val="auto"/>
                <w:sz w:val="16"/>
                <w:szCs w:val="16"/>
              </w:rPr>
            </w:pPr>
          </w:p>
          <w:p w14:paraId="58FED310" w14:textId="77777777" w:rsidR="007F013C" w:rsidRPr="00E1574B" w:rsidRDefault="007F013C" w:rsidP="00762252">
            <w:pPr>
              <w:rPr>
                <w:rFonts w:ascii="Verdana" w:hAnsi="Verdana" w:cstheme="minorHAnsi"/>
                <w:color w:val="auto"/>
                <w:sz w:val="16"/>
                <w:szCs w:val="16"/>
              </w:rPr>
            </w:pPr>
          </w:p>
          <w:p w14:paraId="42F3E0F5" w14:textId="77777777" w:rsidR="007F013C" w:rsidRPr="00E1574B" w:rsidRDefault="007F013C" w:rsidP="00762252">
            <w:pPr>
              <w:rPr>
                <w:rFonts w:ascii="Verdana" w:hAnsi="Verdana" w:cstheme="minorHAnsi"/>
                <w:color w:val="auto"/>
                <w:sz w:val="16"/>
                <w:szCs w:val="16"/>
              </w:rPr>
            </w:pPr>
          </w:p>
          <w:p w14:paraId="2109F02C" w14:textId="77777777" w:rsidR="007F013C" w:rsidRPr="00E1574B" w:rsidRDefault="007F013C" w:rsidP="00762252">
            <w:pPr>
              <w:rPr>
                <w:rFonts w:ascii="Verdana" w:hAnsi="Verdana" w:cstheme="minorHAnsi"/>
                <w:color w:val="auto"/>
                <w:sz w:val="16"/>
                <w:szCs w:val="16"/>
              </w:rPr>
            </w:pPr>
          </w:p>
          <w:p w14:paraId="154F814F" w14:textId="77777777" w:rsidR="007F013C" w:rsidRPr="00E1574B" w:rsidRDefault="007F013C" w:rsidP="00762252">
            <w:pPr>
              <w:rPr>
                <w:rFonts w:ascii="Verdana" w:hAnsi="Verdana" w:cstheme="minorHAnsi"/>
                <w:color w:val="auto"/>
                <w:sz w:val="16"/>
                <w:szCs w:val="16"/>
              </w:rPr>
            </w:pPr>
          </w:p>
          <w:p w14:paraId="26206574" w14:textId="77777777" w:rsidR="007F013C" w:rsidRPr="00E1574B" w:rsidRDefault="007F013C" w:rsidP="00762252">
            <w:pPr>
              <w:rPr>
                <w:rFonts w:ascii="Verdana" w:hAnsi="Verdana" w:cstheme="minorHAnsi"/>
                <w:color w:val="auto"/>
                <w:sz w:val="16"/>
                <w:szCs w:val="16"/>
              </w:rPr>
            </w:pPr>
          </w:p>
          <w:p w14:paraId="43E0DDFE" w14:textId="77777777" w:rsidR="007F013C" w:rsidRPr="00E1574B" w:rsidRDefault="007F013C" w:rsidP="00762252">
            <w:pPr>
              <w:rPr>
                <w:rFonts w:ascii="Verdana" w:hAnsi="Verdana" w:cstheme="minorHAnsi"/>
                <w:color w:val="auto"/>
                <w:sz w:val="16"/>
                <w:szCs w:val="16"/>
              </w:rPr>
            </w:pPr>
          </w:p>
          <w:p w14:paraId="24B144B9" w14:textId="77777777" w:rsidR="007F013C" w:rsidRPr="00E1574B" w:rsidRDefault="007F013C" w:rsidP="00762252">
            <w:pPr>
              <w:rPr>
                <w:rFonts w:ascii="Verdana" w:hAnsi="Verdana" w:cstheme="minorHAnsi"/>
                <w:color w:val="auto"/>
                <w:sz w:val="16"/>
                <w:szCs w:val="16"/>
              </w:rPr>
            </w:pPr>
          </w:p>
          <w:p w14:paraId="3FA632D1" w14:textId="77777777" w:rsidR="007F013C" w:rsidRPr="00E1574B" w:rsidRDefault="007F013C" w:rsidP="00762252">
            <w:pPr>
              <w:rPr>
                <w:rFonts w:ascii="Verdana" w:hAnsi="Verdana" w:cstheme="minorHAnsi"/>
                <w:color w:val="auto"/>
                <w:sz w:val="16"/>
                <w:szCs w:val="16"/>
              </w:rPr>
            </w:pPr>
          </w:p>
          <w:p w14:paraId="65F84BF2" w14:textId="77777777" w:rsidR="007F013C" w:rsidRPr="00E1574B" w:rsidRDefault="007F013C" w:rsidP="00762252">
            <w:pPr>
              <w:rPr>
                <w:rFonts w:ascii="Verdana" w:hAnsi="Verdana" w:cstheme="minorHAnsi"/>
                <w:color w:val="auto"/>
                <w:sz w:val="16"/>
                <w:szCs w:val="16"/>
              </w:rPr>
            </w:pPr>
          </w:p>
          <w:p w14:paraId="018682D2" w14:textId="77777777" w:rsidR="007F013C" w:rsidRPr="00E1574B" w:rsidRDefault="007F013C" w:rsidP="00762252">
            <w:pPr>
              <w:rPr>
                <w:rFonts w:ascii="Verdana" w:hAnsi="Verdana" w:cstheme="minorHAnsi"/>
                <w:color w:val="auto"/>
                <w:sz w:val="16"/>
                <w:szCs w:val="16"/>
              </w:rPr>
            </w:pPr>
          </w:p>
          <w:p w14:paraId="20556817" w14:textId="77777777" w:rsidR="007F013C" w:rsidRPr="00E1574B" w:rsidRDefault="007F013C" w:rsidP="00762252">
            <w:pPr>
              <w:rPr>
                <w:rFonts w:ascii="Verdana" w:hAnsi="Verdana" w:cstheme="minorHAnsi"/>
                <w:color w:val="auto"/>
                <w:sz w:val="16"/>
                <w:szCs w:val="16"/>
              </w:rPr>
            </w:pPr>
          </w:p>
          <w:p w14:paraId="0786FDDF" w14:textId="77777777" w:rsidR="007F013C" w:rsidRPr="00E1574B" w:rsidRDefault="007F013C" w:rsidP="00762252">
            <w:pPr>
              <w:contextualSpacing/>
              <w:jc w:val="both"/>
              <w:rPr>
                <w:rFonts w:ascii="Verdana" w:hAnsi="Verdana" w:cstheme="minorHAnsi"/>
                <w:color w:val="auto"/>
                <w:sz w:val="16"/>
                <w:szCs w:val="16"/>
              </w:rPr>
            </w:pPr>
          </w:p>
          <w:p w14:paraId="60C605E0" w14:textId="77777777" w:rsidR="007F013C" w:rsidRPr="00E1574B" w:rsidRDefault="007F013C" w:rsidP="00762252">
            <w:pPr>
              <w:contextualSpacing/>
              <w:jc w:val="both"/>
              <w:rPr>
                <w:rFonts w:ascii="Verdana" w:hAnsi="Verdana" w:cstheme="minorHAnsi"/>
                <w:color w:val="auto"/>
                <w:sz w:val="16"/>
                <w:szCs w:val="16"/>
              </w:rPr>
            </w:pPr>
          </w:p>
          <w:p w14:paraId="27DC4ADD" w14:textId="77777777" w:rsidR="007F013C" w:rsidRPr="00E1574B" w:rsidRDefault="007F013C" w:rsidP="00762252">
            <w:pPr>
              <w:contextualSpacing/>
              <w:jc w:val="both"/>
              <w:rPr>
                <w:rFonts w:ascii="Verdana" w:hAnsi="Verdana" w:cstheme="minorHAnsi"/>
                <w:color w:val="auto"/>
                <w:sz w:val="16"/>
                <w:szCs w:val="16"/>
              </w:rPr>
            </w:pPr>
          </w:p>
          <w:p w14:paraId="4930D268" w14:textId="77777777" w:rsidR="007F013C" w:rsidRPr="00E1574B" w:rsidRDefault="007F013C" w:rsidP="00762252">
            <w:pPr>
              <w:contextualSpacing/>
              <w:jc w:val="both"/>
              <w:rPr>
                <w:rFonts w:ascii="Verdana" w:hAnsi="Verdana" w:cstheme="minorHAnsi"/>
                <w:color w:val="auto"/>
                <w:sz w:val="16"/>
                <w:szCs w:val="16"/>
              </w:rPr>
            </w:pPr>
          </w:p>
          <w:p w14:paraId="7104BC9D" w14:textId="77777777" w:rsidR="007F013C" w:rsidRPr="00E1574B" w:rsidRDefault="007F013C" w:rsidP="00762252">
            <w:pPr>
              <w:contextualSpacing/>
              <w:jc w:val="both"/>
              <w:rPr>
                <w:rFonts w:ascii="Verdana" w:hAnsi="Verdana" w:cstheme="minorHAnsi"/>
                <w:color w:val="auto"/>
                <w:sz w:val="16"/>
                <w:szCs w:val="16"/>
              </w:rPr>
            </w:pPr>
          </w:p>
          <w:p w14:paraId="6336397D" w14:textId="77777777" w:rsidR="007F013C" w:rsidRPr="00E1574B" w:rsidRDefault="007F013C" w:rsidP="00762252">
            <w:pPr>
              <w:contextualSpacing/>
              <w:jc w:val="both"/>
              <w:rPr>
                <w:rFonts w:ascii="Verdana" w:hAnsi="Verdana" w:cstheme="minorHAnsi"/>
                <w:color w:val="auto"/>
                <w:sz w:val="16"/>
                <w:szCs w:val="16"/>
              </w:rPr>
            </w:pPr>
          </w:p>
          <w:p w14:paraId="32485B8F" w14:textId="77777777" w:rsidR="007F013C" w:rsidRPr="00E1574B" w:rsidRDefault="007F013C" w:rsidP="00762252">
            <w:pPr>
              <w:contextualSpacing/>
              <w:jc w:val="both"/>
              <w:rPr>
                <w:rFonts w:ascii="Verdana" w:hAnsi="Verdana" w:cstheme="minorHAnsi"/>
                <w:color w:val="auto"/>
                <w:sz w:val="16"/>
                <w:szCs w:val="16"/>
              </w:rPr>
            </w:pPr>
          </w:p>
          <w:p w14:paraId="1CED4D0D" w14:textId="77777777" w:rsidR="007F013C" w:rsidRPr="00E1574B" w:rsidRDefault="007F013C" w:rsidP="00762252">
            <w:pPr>
              <w:contextualSpacing/>
              <w:jc w:val="both"/>
              <w:rPr>
                <w:rFonts w:ascii="Verdana" w:hAnsi="Verdana" w:cstheme="minorHAnsi"/>
                <w:color w:val="auto"/>
                <w:sz w:val="16"/>
                <w:szCs w:val="16"/>
              </w:rPr>
            </w:pPr>
          </w:p>
          <w:p w14:paraId="74356BEA" w14:textId="77777777" w:rsidR="007F013C" w:rsidRPr="00E1574B" w:rsidRDefault="007F013C" w:rsidP="00762252">
            <w:pPr>
              <w:contextualSpacing/>
              <w:jc w:val="both"/>
              <w:rPr>
                <w:rFonts w:ascii="Verdana" w:hAnsi="Verdana" w:cstheme="minorHAnsi"/>
                <w:color w:val="auto"/>
                <w:sz w:val="16"/>
                <w:szCs w:val="16"/>
              </w:rPr>
            </w:pPr>
            <w:r w:rsidRPr="00E1574B">
              <w:rPr>
                <w:rFonts w:ascii="Verdana" w:hAnsi="Verdana" w:cstheme="minorHAnsi"/>
                <w:color w:val="auto"/>
                <w:sz w:val="16"/>
                <w:szCs w:val="16"/>
              </w:rPr>
              <w:t xml:space="preserve">Government substantially increases budgetary allocations for the public health sector above the current 1.2 per cent – considering that in order to meet international targets, at least 15 per cent of the fiscal year budget should be allocated to the public health sector; and to augment resources to enhance the capacities of public health facilities and health workers. </w:t>
            </w:r>
          </w:p>
        </w:tc>
        <w:tc>
          <w:tcPr>
            <w:tcW w:w="2476" w:type="dxa"/>
            <w:vAlign w:val="center"/>
          </w:tcPr>
          <w:p w14:paraId="4079E1AD"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lastRenderedPageBreak/>
              <w:t xml:space="preserve">Still lack of knowledge about the PFM system </w:t>
            </w:r>
            <w:r w:rsidRPr="00E1574B">
              <w:rPr>
                <w:rFonts w:ascii="Verdana" w:hAnsi="Verdana" w:cstheme="minorHAnsi"/>
                <w:color w:val="auto"/>
                <w:sz w:val="16"/>
                <w:szCs w:val="16"/>
              </w:rPr>
              <w:lastRenderedPageBreak/>
              <w:t>among SLA Public Accounts Committee (PAC) members;</w:t>
            </w:r>
          </w:p>
          <w:p w14:paraId="1ED37275" w14:textId="77777777" w:rsidR="007F013C" w:rsidRPr="00E1574B" w:rsidRDefault="007F013C" w:rsidP="00762252">
            <w:pPr>
              <w:rPr>
                <w:rFonts w:ascii="Verdana" w:hAnsi="Verdana" w:cstheme="minorHAnsi"/>
                <w:color w:val="auto"/>
                <w:sz w:val="16"/>
                <w:szCs w:val="16"/>
              </w:rPr>
            </w:pPr>
          </w:p>
          <w:p w14:paraId="30DAA65B" w14:textId="77777777" w:rsidR="007F013C" w:rsidRPr="00E1574B" w:rsidRDefault="007F013C" w:rsidP="00762252">
            <w:pPr>
              <w:rPr>
                <w:rFonts w:ascii="Verdana" w:hAnsi="Verdana" w:cstheme="minorHAnsi"/>
                <w:color w:val="auto"/>
                <w:sz w:val="16"/>
                <w:szCs w:val="16"/>
              </w:rPr>
            </w:pPr>
          </w:p>
          <w:p w14:paraId="4F2CBF35" w14:textId="77777777" w:rsidR="007F013C" w:rsidRPr="00E1574B" w:rsidRDefault="007F013C" w:rsidP="00762252">
            <w:pPr>
              <w:rPr>
                <w:rFonts w:ascii="Verdana" w:hAnsi="Verdana" w:cstheme="minorHAnsi"/>
                <w:color w:val="auto"/>
                <w:sz w:val="16"/>
                <w:szCs w:val="16"/>
              </w:rPr>
            </w:pPr>
          </w:p>
          <w:p w14:paraId="02B03F68" w14:textId="77777777" w:rsidR="007F013C" w:rsidRPr="00E1574B" w:rsidRDefault="007F013C" w:rsidP="00762252">
            <w:pPr>
              <w:rPr>
                <w:rFonts w:ascii="Verdana" w:hAnsi="Verdana" w:cstheme="minorHAnsi"/>
                <w:color w:val="auto"/>
                <w:sz w:val="16"/>
                <w:szCs w:val="16"/>
              </w:rPr>
            </w:pPr>
          </w:p>
          <w:p w14:paraId="3E7D2284" w14:textId="77777777" w:rsidR="007F013C" w:rsidRPr="00E1574B" w:rsidRDefault="007F013C" w:rsidP="00762252">
            <w:pPr>
              <w:rPr>
                <w:rFonts w:ascii="Verdana" w:hAnsi="Verdana" w:cstheme="minorHAnsi"/>
                <w:color w:val="auto"/>
                <w:sz w:val="16"/>
                <w:szCs w:val="16"/>
              </w:rPr>
            </w:pPr>
          </w:p>
          <w:p w14:paraId="61A20276" w14:textId="77777777" w:rsidR="007F013C" w:rsidRPr="00E1574B" w:rsidRDefault="007F013C" w:rsidP="00762252">
            <w:pPr>
              <w:rPr>
                <w:rFonts w:ascii="Verdana" w:hAnsi="Verdana" w:cstheme="minorHAnsi"/>
                <w:color w:val="auto"/>
                <w:sz w:val="16"/>
                <w:szCs w:val="16"/>
              </w:rPr>
            </w:pPr>
          </w:p>
          <w:p w14:paraId="1F4557EA" w14:textId="77777777" w:rsidR="007F013C" w:rsidRPr="00E1574B" w:rsidRDefault="007F013C" w:rsidP="00762252">
            <w:pPr>
              <w:rPr>
                <w:rFonts w:ascii="Verdana" w:hAnsi="Verdana" w:cstheme="minorHAnsi"/>
                <w:color w:val="auto"/>
                <w:sz w:val="16"/>
                <w:szCs w:val="16"/>
              </w:rPr>
            </w:pPr>
          </w:p>
          <w:p w14:paraId="424A66D4"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Limited knowledge about the SLAs oversight role among other PFM actors such as the State MoFP.</w:t>
            </w:r>
          </w:p>
          <w:p w14:paraId="3B579D0C" w14:textId="77777777" w:rsidR="007F013C" w:rsidRPr="00E1574B" w:rsidRDefault="007F013C" w:rsidP="00762252">
            <w:pPr>
              <w:rPr>
                <w:rFonts w:ascii="Verdana" w:hAnsi="Verdana" w:cstheme="minorHAnsi"/>
                <w:color w:val="auto"/>
                <w:sz w:val="16"/>
                <w:szCs w:val="16"/>
              </w:rPr>
            </w:pPr>
          </w:p>
          <w:p w14:paraId="2B309A85" w14:textId="77777777" w:rsidR="007F013C" w:rsidRPr="00E1574B" w:rsidRDefault="007F013C" w:rsidP="00762252">
            <w:pPr>
              <w:rPr>
                <w:rFonts w:ascii="Verdana" w:hAnsi="Verdana" w:cstheme="minorHAnsi"/>
                <w:color w:val="auto"/>
                <w:sz w:val="16"/>
                <w:szCs w:val="16"/>
              </w:rPr>
            </w:pPr>
          </w:p>
          <w:p w14:paraId="02A4ACE6" w14:textId="77777777" w:rsidR="007F013C" w:rsidRPr="00E1574B" w:rsidRDefault="007F013C" w:rsidP="00762252">
            <w:pPr>
              <w:rPr>
                <w:rFonts w:ascii="Verdana" w:hAnsi="Verdana" w:cstheme="minorHAnsi"/>
                <w:color w:val="auto"/>
                <w:sz w:val="16"/>
                <w:szCs w:val="16"/>
              </w:rPr>
            </w:pPr>
          </w:p>
          <w:p w14:paraId="02899919" w14:textId="77777777" w:rsidR="007F013C" w:rsidRPr="00E1574B" w:rsidRDefault="007F013C" w:rsidP="00762252">
            <w:pPr>
              <w:rPr>
                <w:rFonts w:ascii="Verdana" w:hAnsi="Verdana" w:cstheme="minorHAnsi"/>
                <w:color w:val="auto"/>
                <w:sz w:val="16"/>
                <w:szCs w:val="16"/>
              </w:rPr>
            </w:pPr>
          </w:p>
          <w:p w14:paraId="73C307A2" w14:textId="77777777" w:rsidR="007F013C" w:rsidRPr="00E1574B" w:rsidRDefault="007F013C" w:rsidP="00762252">
            <w:pPr>
              <w:rPr>
                <w:rFonts w:ascii="Verdana" w:hAnsi="Verdana" w:cstheme="minorHAnsi"/>
                <w:color w:val="auto"/>
                <w:sz w:val="16"/>
                <w:szCs w:val="16"/>
              </w:rPr>
            </w:pPr>
          </w:p>
          <w:p w14:paraId="1C08C17E" w14:textId="77777777" w:rsidR="007F013C" w:rsidRPr="00E1574B" w:rsidRDefault="007F013C" w:rsidP="00762252">
            <w:pPr>
              <w:rPr>
                <w:rFonts w:ascii="Verdana" w:hAnsi="Verdana" w:cstheme="minorHAnsi"/>
                <w:color w:val="auto"/>
                <w:sz w:val="16"/>
                <w:szCs w:val="16"/>
              </w:rPr>
            </w:pPr>
          </w:p>
          <w:p w14:paraId="16F3C37C" w14:textId="77777777" w:rsidR="007F013C" w:rsidRPr="00E1574B" w:rsidRDefault="007F013C" w:rsidP="00762252">
            <w:pPr>
              <w:rPr>
                <w:rFonts w:ascii="Verdana" w:hAnsi="Verdana" w:cstheme="minorHAnsi"/>
                <w:color w:val="auto"/>
                <w:sz w:val="16"/>
                <w:szCs w:val="16"/>
              </w:rPr>
            </w:pPr>
          </w:p>
          <w:p w14:paraId="209F352E" w14:textId="77777777" w:rsidR="007F013C" w:rsidRPr="00E1574B" w:rsidRDefault="007F013C" w:rsidP="00762252">
            <w:pPr>
              <w:rPr>
                <w:rFonts w:ascii="Verdana" w:hAnsi="Verdana" w:cstheme="minorHAnsi"/>
                <w:color w:val="auto"/>
                <w:sz w:val="16"/>
                <w:szCs w:val="16"/>
              </w:rPr>
            </w:pPr>
          </w:p>
          <w:p w14:paraId="16C7E3FB" w14:textId="77777777" w:rsidR="007F013C" w:rsidRPr="00E1574B" w:rsidRDefault="007F013C" w:rsidP="00762252">
            <w:pPr>
              <w:rPr>
                <w:rFonts w:ascii="Verdana" w:hAnsi="Verdana" w:cstheme="minorHAnsi"/>
                <w:color w:val="auto"/>
                <w:sz w:val="16"/>
                <w:szCs w:val="16"/>
              </w:rPr>
            </w:pPr>
          </w:p>
          <w:p w14:paraId="0D81C57D" w14:textId="77777777" w:rsidR="007F013C" w:rsidRPr="00E1574B" w:rsidRDefault="007F013C" w:rsidP="00762252">
            <w:pPr>
              <w:rPr>
                <w:rFonts w:ascii="Verdana" w:hAnsi="Verdana" w:cstheme="minorHAnsi"/>
                <w:color w:val="auto"/>
                <w:sz w:val="16"/>
                <w:szCs w:val="16"/>
              </w:rPr>
            </w:pPr>
          </w:p>
          <w:p w14:paraId="468213D1" w14:textId="77777777" w:rsidR="007F013C" w:rsidRPr="00E1574B" w:rsidRDefault="007F013C" w:rsidP="00762252">
            <w:pPr>
              <w:rPr>
                <w:rFonts w:ascii="Verdana" w:hAnsi="Verdana" w:cstheme="minorHAnsi"/>
                <w:color w:val="auto"/>
                <w:sz w:val="16"/>
                <w:szCs w:val="16"/>
              </w:rPr>
            </w:pPr>
          </w:p>
          <w:p w14:paraId="073F16BD" w14:textId="77777777" w:rsidR="007F013C" w:rsidRPr="00E1574B" w:rsidRDefault="007F013C" w:rsidP="00762252">
            <w:pPr>
              <w:rPr>
                <w:rFonts w:ascii="Verdana" w:hAnsi="Verdana" w:cstheme="minorHAnsi"/>
                <w:color w:val="auto"/>
                <w:sz w:val="16"/>
                <w:szCs w:val="16"/>
              </w:rPr>
            </w:pPr>
          </w:p>
          <w:p w14:paraId="1A581406" w14:textId="77777777" w:rsidR="007F013C" w:rsidRPr="00E1574B" w:rsidRDefault="007F013C" w:rsidP="00762252">
            <w:pPr>
              <w:rPr>
                <w:rFonts w:ascii="Verdana" w:hAnsi="Verdana" w:cstheme="minorHAnsi"/>
                <w:color w:val="auto"/>
                <w:sz w:val="16"/>
                <w:szCs w:val="16"/>
              </w:rPr>
            </w:pPr>
          </w:p>
          <w:p w14:paraId="4004E8F8" w14:textId="77777777" w:rsidR="007F013C" w:rsidRPr="00E1574B" w:rsidRDefault="007F013C" w:rsidP="00762252">
            <w:pPr>
              <w:rPr>
                <w:rFonts w:ascii="Verdana" w:hAnsi="Verdana" w:cstheme="minorHAnsi"/>
                <w:color w:val="auto"/>
                <w:sz w:val="16"/>
                <w:szCs w:val="16"/>
              </w:rPr>
            </w:pPr>
          </w:p>
          <w:p w14:paraId="176A542D" w14:textId="77777777" w:rsidR="007F013C" w:rsidRPr="00E1574B" w:rsidRDefault="007F013C" w:rsidP="00762252">
            <w:pPr>
              <w:rPr>
                <w:rFonts w:ascii="Verdana" w:hAnsi="Verdana" w:cstheme="minorHAnsi"/>
                <w:color w:val="auto"/>
                <w:sz w:val="16"/>
                <w:szCs w:val="16"/>
              </w:rPr>
            </w:pPr>
          </w:p>
          <w:p w14:paraId="652C1345" w14:textId="77777777" w:rsidR="007F013C" w:rsidRPr="00E1574B" w:rsidRDefault="007F013C" w:rsidP="00762252">
            <w:pPr>
              <w:rPr>
                <w:rFonts w:ascii="Verdana" w:hAnsi="Verdana" w:cstheme="minorHAnsi"/>
                <w:color w:val="auto"/>
                <w:sz w:val="16"/>
                <w:szCs w:val="16"/>
              </w:rPr>
            </w:pPr>
          </w:p>
          <w:p w14:paraId="66EC1E7F" w14:textId="77777777" w:rsidR="007F013C" w:rsidRPr="00E1574B" w:rsidRDefault="007F013C" w:rsidP="00762252">
            <w:pPr>
              <w:rPr>
                <w:rFonts w:ascii="Verdana" w:hAnsi="Verdana" w:cstheme="minorHAnsi"/>
                <w:color w:val="auto"/>
                <w:sz w:val="16"/>
                <w:szCs w:val="16"/>
              </w:rPr>
            </w:pPr>
          </w:p>
          <w:p w14:paraId="0B5AE593" w14:textId="77777777" w:rsidR="007F013C" w:rsidRPr="00E1574B" w:rsidRDefault="007F013C" w:rsidP="00762252">
            <w:pPr>
              <w:rPr>
                <w:rFonts w:ascii="Verdana" w:hAnsi="Verdana" w:cstheme="minorHAnsi"/>
                <w:color w:val="auto"/>
                <w:sz w:val="16"/>
                <w:szCs w:val="16"/>
              </w:rPr>
            </w:pPr>
          </w:p>
          <w:p w14:paraId="39260069" w14:textId="77777777" w:rsidR="007F013C" w:rsidRPr="00E1574B" w:rsidRDefault="007F013C" w:rsidP="00762252">
            <w:pPr>
              <w:rPr>
                <w:rFonts w:ascii="Verdana" w:hAnsi="Verdana" w:cstheme="minorHAnsi"/>
                <w:color w:val="auto"/>
                <w:sz w:val="16"/>
                <w:szCs w:val="16"/>
              </w:rPr>
            </w:pPr>
          </w:p>
          <w:p w14:paraId="01EA84FB" w14:textId="77777777" w:rsidR="007F013C" w:rsidRPr="00E1574B" w:rsidRDefault="007F013C" w:rsidP="00762252">
            <w:pPr>
              <w:rPr>
                <w:rFonts w:ascii="Verdana" w:hAnsi="Verdana" w:cstheme="minorHAnsi"/>
                <w:color w:val="auto"/>
                <w:sz w:val="16"/>
                <w:szCs w:val="16"/>
              </w:rPr>
            </w:pPr>
          </w:p>
          <w:p w14:paraId="1CFC3394" w14:textId="77777777" w:rsidR="007F013C" w:rsidRPr="00E1574B" w:rsidRDefault="007F013C" w:rsidP="00762252">
            <w:pPr>
              <w:rPr>
                <w:rFonts w:ascii="Verdana" w:hAnsi="Verdana" w:cstheme="minorHAnsi"/>
                <w:color w:val="auto"/>
                <w:sz w:val="16"/>
                <w:szCs w:val="16"/>
              </w:rPr>
            </w:pPr>
          </w:p>
          <w:p w14:paraId="1253768F" w14:textId="77777777" w:rsidR="007F013C" w:rsidRPr="00E1574B" w:rsidRDefault="007F013C" w:rsidP="00762252">
            <w:pPr>
              <w:rPr>
                <w:rFonts w:ascii="Verdana" w:hAnsi="Verdana" w:cstheme="minorHAnsi"/>
                <w:color w:val="auto"/>
                <w:sz w:val="16"/>
                <w:szCs w:val="16"/>
              </w:rPr>
            </w:pPr>
          </w:p>
          <w:p w14:paraId="26F80280" w14:textId="77777777" w:rsidR="007F013C" w:rsidRPr="00E1574B" w:rsidRDefault="007F013C" w:rsidP="00762252">
            <w:pPr>
              <w:rPr>
                <w:rFonts w:ascii="Verdana" w:hAnsi="Verdana" w:cstheme="minorHAnsi"/>
                <w:color w:val="auto"/>
                <w:sz w:val="16"/>
                <w:szCs w:val="16"/>
              </w:rPr>
            </w:pPr>
          </w:p>
          <w:p w14:paraId="1384A4F8" w14:textId="77777777" w:rsidR="007F013C" w:rsidRPr="00E1574B" w:rsidRDefault="007F013C" w:rsidP="00762252">
            <w:pPr>
              <w:rPr>
                <w:rFonts w:ascii="Verdana" w:hAnsi="Verdana" w:cstheme="minorHAnsi"/>
                <w:color w:val="auto"/>
                <w:sz w:val="16"/>
                <w:szCs w:val="16"/>
              </w:rPr>
            </w:pPr>
          </w:p>
          <w:p w14:paraId="62B987F9" w14:textId="77777777" w:rsidR="007F013C" w:rsidRPr="00E1574B" w:rsidRDefault="007F013C" w:rsidP="00762252">
            <w:pPr>
              <w:rPr>
                <w:rFonts w:ascii="Verdana" w:hAnsi="Verdana" w:cstheme="minorHAnsi"/>
                <w:color w:val="auto"/>
                <w:sz w:val="16"/>
                <w:szCs w:val="16"/>
              </w:rPr>
            </w:pPr>
          </w:p>
          <w:p w14:paraId="02A2390C" w14:textId="77777777" w:rsidR="007F013C" w:rsidRPr="00E1574B" w:rsidRDefault="007F013C" w:rsidP="00762252">
            <w:pPr>
              <w:rPr>
                <w:rFonts w:ascii="Verdana" w:hAnsi="Verdana" w:cstheme="minorHAnsi"/>
                <w:color w:val="auto"/>
                <w:sz w:val="16"/>
                <w:szCs w:val="16"/>
              </w:rPr>
            </w:pPr>
          </w:p>
          <w:p w14:paraId="24732FD1" w14:textId="77777777" w:rsidR="007F013C" w:rsidRPr="00E1574B" w:rsidRDefault="007F013C" w:rsidP="00762252">
            <w:pPr>
              <w:rPr>
                <w:rFonts w:ascii="Verdana" w:hAnsi="Verdana" w:cstheme="minorHAnsi"/>
                <w:color w:val="auto"/>
                <w:sz w:val="16"/>
                <w:szCs w:val="16"/>
              </w:rPr>
            </w:pPr>
          </w:p>
          <w:p w14:paraId="71FE3014" w14:textId="77777777" w:rsidR="007F013C" w:rsidRPr="00E1574B" w:rsidRDefault="007F013C" w:rsidP="00762252">
            <w:pPr>
              <w:rPr>
                <w:rFonts w:ascii="Verdana" w:hAnsi="Verdana" w:cstheme="minorHAnsi"/>
                <w:color w:val="auto"/>
                <w:sz w:val="16"/>
                <w:szCs w:val="16"/>
              </w:rPr>
            </w:pPr>
          </w:p>
          <w:p w14:paraId="3F87673A" w14:textId="77777777" w:rsidR="007F013C" w:rsidRPr="00E1574B" w:rsidRDefault="007F013C" w:rsidP="00762252">
            <w:pPr>
              <w:rPr>
                <w:rFonts w:ascii="Verdana" w:hAnsi="Verdana" w:cstheme="minorHAnsi"/>
                <w:color w:val="auto"/>
                <w:sz w:val="16"/>
                <w:szCs w:val="16"/>
              </w:rPr>
            </w:pPr>
          </w:p>
          <w:p w14:paraId="488FEE91" w14:textId="77777777" w:rsidR="007F013C" w:rsidRPr="00E1574B" w:rsidRDefault="007F013C" w:rsidP="00762252">
            <w:pPr>
              <w:rPr>
                <w:rFonts w:ascii="Verdana" w:hAnsi="Verdana" w:cstheme="minorHAnsi"/>
                <w:color w:val="auto"/>
                <w:sz w:val="16"/>
                <w:szCs w:val="16"/>
              </w:rPr>
            </w:pPr>
          </w:p>
          <w:p w14:paraId="664C1C87" w14:textId="77777777" w:rsidR="007F013C" w:rsidRPr="00E1574B" w:rsidRDefault="007F013C" w:rsidP="00762252">
            <w:pPr>
              <w:rPr>
                <w:rFonts w:ascii="Verdana" w:hAnsi="Verdana" w:cstheme="minorHAnsi"/>
                <w:color w:val="auto"/>
                <w:sz w:val="16"/>
                <w:szCs w:val="16"/>
              </w:rPr>
            </w:pPr>
          </w:p>
          <w:p w14:paraId="10EF5D48" w14:textId="77777777" w:rsidR="007F013C" w:rsidRPr="00E1574B" w:rsidRDefault="007F013C" w:rsidP="00762252">
            <w:pPr>
              <w:rPr>
                <w:rFonts w:ascii="Verdana" w:hAnsi="Verdana" w:cstheme="minorHAnsi"/>
                <w:color w:val="auto"/>
                <w:sz w:val="16"/>
                <w:szCs w:val="16"/>
              </w:rPr>
            </w:pPr>
          </w:p>
          <w:p w14:paraId="49DA5EC2" w14:textId="77777777" w:rsidR="007F013C" w:rsidRPr="00E1574B" w:rsidRDefault="007F013C" w:rsidP="00762252">
            <w:pPr>
              <w:rPr>
                <w:rFonts w:ascii="Verdana" w:hAnsi="Verdana" w:cstheme="minorHAnsi"/>
                <w:color w:val="auto"/>
                <w:sz w:val="16"/>
                <w:szCs w:val="16"/>
              </w:rPr>
            </w:pPr>
          </w:p>
          <w:p w14:paraId="59721CE1" w14:textId="77777777" w:rsidR="007F013C" w:rsidRPr="00E1574B" w:rsidRDefault="007F013C" w:rsidP="00762252">
            <w:pPr>
              <w:rPr>
                <w:rFonts w:ascii="Verdana" w:hAnsi="Verdana" w:cstheme="minorHAnsi"/>
                <w:color w:val="auto"/>
                <w:sz w:val="16"/>
                <w:szCs w:val="16"/>
              </w:rPr>
            </w:pPr>
          </w:p>
          <w:p w14:paraId="09CACCDE" w14:textId="77777777" w:rsidR="007F013C" w:rsidRPr="00E1574B" w:rsidRDefault="007F013C" w:rsidP="00762252">
            <w:pPr>
              <w:rPr>
                <w:rFonts w:ascii="Verdana" w:hAnsi="Verdana" w:cstheme="minorHAnsi"/>
                <w:color w:val="auto"/>
                <w:sz w:val="16"/>
                <w:szCs w:val="16"/>
              </w:rPr>
            </w:pPr>
          </w:p>
          <w:p w14:paraId="1A1999D6"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Weak governance and low budget credibility </w:t>
            </w:r>
          </w:p>
          <w:p w14:paraId="632F6442" w14:textId="77777777" w:rsidR="007F013C" w:rsidRPr="00E1574B" w:rsidRDefault="007F013C" w:rsidP="00762252">
            <w:pPr>
              <w:rPr>
                <w:rFonts w:ascii="Verdana" w:hAnsi="Verdana" w:cstheme="minorHAnsi"/>
                <w:color w:val="auto"/>
                <w:sz w:val="16"/>
                <w:szCs w:val="16"/>
              </w:rPr>
            </w:pPr>
          </w:p>
          <w:p w14:paraId="2C2616B0" w14:textId="77777777" w:rsidR="007F013C" w:rsidRPr="00E1574B" w:rsidRDefault="007F013C" w:rsidP="00762252">
            <w:pPr>
              <w:rPr>
                <w:rFonts w:ascii="Verdana" w:hAnsi="Verdana" w:cstheme="minorHAnsi"/>
                <w:color w:val="auto"/>
                <w:sz w:val="16"/>
                <w:szCs w:val="16"/>
              </w:rPr>
            </w:pPr>
          </w:p>
          <w:p w14:paraId="4C412831" w14:textId="77777777" w:rsidR="007F013C" w:rsidRPr="00E1574B" w:rsidRDefault="007F013C" w:rsidP="00762252">
            <w:pPr>
              <w:rPr>
                <w:rFonts w:ascii="Verdana" w:hAnsi="Verdana" w:cstheme="minorHAnsi"/>
                <w:color w:val="auto"/>
                <w:sz w:val="16"/>
                <w:szCs w:val="16"/>
              </w:rPr>
            </w:pPr>
          </w:p>
          <w:p w14:paraId="7AAFB9DD" w14:textId="77777777" w:rsidR="007F013C" w:rsidRPr="00E1574B" w:rsidRDefault="007F013C" w:rsidP="00762252">
            <w:pPr>
              <w:rPr>
                <w:rFonts w:ascii="Verdana" w:hAnsi="Verdana" w:cstheme="minorHAnsi"/>
                <w:color w:val="auto"/>
                <w:sz w:val="16"/>
                <w:szCs w:val="16"/>
              </w:rPr>
            </w:pPr>
          </w:p>
          <w:p w14:paraId="427A39DD" w14:textId="77777777" w:rsidR="007F013C" w:rsidRPr="00E1574B" w:rsidRDefault="007F013C" w:rsidP="00762252">
            <w:pPr>
              <w:rPr>
                <w:rFonts w:ascii="Verdana" w:hAnsi="Verdana" w:cstheme="minorHAnsi"/>
                <w:color w:val="auto"/>
                <w:sz w:val="16"/>
                <w:szCs w:val="16"/>
              </w:rPr>
            </w:pPr>
          </w:p>
          <w:p w14:paraId="660AA062" w14:textId="77777777" w:rsidR="007F013C" w:rsidRPr="00E1574B" w:rsidRDefault="007F013C" w:rsidP="00762252">
            <w:pPr>
              <w:rPr>
                <w:rFonts w:ascii="Verdana" w:hAnsi="Verdana" w:cstheme="minorHAnsi"/>
                <w:color w:val="auto"/>
                <w:sz w:val="16"/>
                <w:szCs w:val="16"/>
              </w:rPr>
            </w:pPr>
          </w:p>
          <w:p w14:paraId="40B7CC48" w14:textId="77777777" w:rsidR="007F013C" w:rsidRPr="00E1574B" w:rsidRDefault="007F013C" w:rsidP="00762252">
            <w:pPr>
              <w:rPr>
                <w:rFonts w:ascii="Verdana" w:hAnsi="Verdana" w:cstheme="minorHAnsi"/>
                <w:color w:val="auto"/>
                <w:sz w:val="16"/>
                <w:szCs w:val="16"/>
              </w:rPr>
            </w:pPr>
          </w:p>
          <w:p w14:paraId="6624C996" w14:textId="77777777" w:rsidR="007F013C" w:rsidRPr="00E1574B" w:rsidRDefault="007F013C" w:rsidP="00762252">
            <w:pPr>
              <w:rPr>
                <w:rFonts w:ascii="Verdana" w:hAnsi="Verdana" w:cstheme="minorHAnsi"/>
                <w:color w:val="auto"/>
                <w:sz w:val="16"/>
                <w:szCs w:val="16"/>
              </w:rPr>
            </w:pPr>
          </w:p>
          <w:p w14:paraId="2C565AC2" w14:textId="77777777" w:rsidR="007F013C" w:rsidRPr="00E1574B" w:rsidRDefault="007F013C" w:rsidP="00762252">
            <w:pPr>
              <w:rPr>
                <w:rFonts w:ascii="Verdana" w:hAnsi="Verdana" w:cstheme="minorHAnsi"/>
                <w:color w:val="auto"/>
                <w:sz w:val="16"/>
                <w:szCs w:val="16"/>
              </w:rPr>
            </w:pPr>
          </w:p>
          <w:p w14:paraId="07E48119" w14:textId="77777777" w:rsidR="007F013C" w:rsidRPr="00E1574B" w:rsidRDefault="007F013C" w:rsidP="00762252">
            <w:pPr>
              <w:rPr>
                <w:rFonts w:ascii="Verdana" w:hAnsi="Verdana" w:cstheme="minorHAnsi"/>
                <w:color w:val="auto"/>
                <w:sz w:val="16"/>
                <w:szCs w:val="16"/>
              </w:rPr>
            </w:pPr>
          </w:p>
        </w:tc>
        <w:tc>
          <w:tcPr>
            <w:tcW w:w="2404" w:type="dxa"/>
            <w:vAlign w:val="center"/>
          </w:tcPr>
          <w:p w14:paraId="64394D88"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lastRenderedPageBreak/>
              <w:t xml:space="preserve">Train SLA members through dissemination of </w:t>
            </w:r>
            <w:r w:rsidRPr="00E1574B">
              <w:rPr>
                <w:rFonts w:ascii="Verdana" w:hAnsi="Verdana" w:cstheme="minorHAnsi"/>
                <w:color w:val="auto"/>
                <w:sz w:val="16"/>
                <w:szCs w:val="16"/>
              </w:rPr>
              <w:lastRenderedPageBreak/>
              <w:t>training materials and conducting training of trainers.</w:t>
            </w:r>
          </w:p>
          <w:p w14:paraId="0560561E" w14:textId="77777777" w:rsidR="007F013C" w:rsidRPr="00E1574B" w:rsidRDefault="007F013C" w:rsidP="00762252">
            <w:pPr>
              <w:rPr>
                <w:rFonts w:ascii="Verdana" w:hAnsi="Verdana" w:cstheme="minorHAnsi"/>
                <w:color w:val="auto"/>
                <w:sz w:val="16"/>
                <w:szCs w:val="16"/>
              </w:rPr>
            </w:pPr>
          </w:p>
          <w:p w14:paraId="5BD46C1A"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Raise awareness of the importance of the oversight role of PAC members in the PFM system among other PFM actors such as the State MoFP.</w:t>
            </w:r>
          </w:p>
          <w:p w14:paraId="7F440BEA" w14:textId="77777777" w:rsidR="007F013C" w:rsidRPr="00E1574B" w:rsidRDefault="007F013C" w:rsidP="00762252">
            <w:pPr>
              <w:rPr>
                <w:rFonts w:ascii="Verdana" w:hAnsi="Verdana" w:cstheme="minorHAnsi"/>
                <w:color w:val="auto"/>
                <w:sz w:val="16"/>
                <w:szCs w:val="16"/>
              </w:rPr>
            </w:pPr>
          </w:p>
          <w:p w14:paraId="708A147A"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Continue budget transparency initiatives using the entry point of the Open Budget Survey (OBS) with the International Budget Partnership. 2019 OBS results will be disseminated in 2020.</w:t>
            </w:r>
          </w:p>
          <w:p w14:paraId="7C4091EA" w14:textId="77777777" w:rsidR="007F013C" w:rsidRPr="00E1574B" w:rsidRDefault="007F013C" w:rsidP="00762252">
            <w:pPr>
              <w:rPr>
                <w:rFonts w:ascii="Verdana" w:hAnsi="Verdana" w:cstheme="minorHAnsi"/>
                <w:color w:val="auto"/>
                <w:sz w:val="16"/>
                <w:szCs w:val="16"/>
              </w:rPr>
            </w:pPr>
          </w:p>
          <w:p w14:paraId="542AB91D" w14:textId="77777777" w:rsidR="007F013C" w:rsidRPr="00E1574B" w:rsidRDefault="007F013C" w:rsidP="00762252">
            <w:pPr>
              <w:rPr>
                <w:rFonts w:ascii="Verdana" w:hAnsi="Verdana" w:cstheme="minorHAnsi"/>
                <w:color w:val="auto"/>
                <w:sz w:val="16"/>
                <w:szCs w:val="16"/>
              </w:rPr>
            </w:pPr>
          </w:p>
          <w:p w14:paraId="060C7829" w14:textId="77777777" w:rsidR="007F013C" w:rsidRPr="00E1574B" w:rsidRDefault="007F013C" w:rsidP="00762252">
            <w:pPr>
              <w:rPr>
                <w:rFonts w:ascii="Verdana" w:hAnsi="Verdana" w:cstheme="minorHAnsi"/>
                <w:color w:val="auto"/>
                <w:sz w:val="16"/>
                <w:szCs w:val="16"/>
              </w:rPr>
            </w:pPr>
          </w:p>
          <w:p w14:paraId="276A8294" w14:textId="77777777" w:rsidR="007F013C" w:rsidRPr="00E1574B" w:rsidRDefault="007F013C" w:rsidP="00762252">
            <w:pPr>
              <w:rPr>
                <w:rFonts w:ascii="Verdana" w:hAnsi="Verdana" w:cstheme="minorHAnsi"/>
                <w:color w:val="auto"/>
                <w:sz w:val="16"/>
                <w:szCs w:val="16"/>
              </w:rPr>
            </w:pPr>
          </w:p>
          <w:p w14:paraId="3C203EC2" w14:textId="77777777" w:rsidR="007F013C" w:rsidRPr="00E1574B" w:rsidRDefault="007F013C" w:rsidP="00762252">
            <w:pPr>
              <w:rPr>
                <w:rFonts w:ascii="Verdana" w:hAnsi="Verdana" w:cstheme="minorHAnsi"/>
                <w:color w:val="auto"/>
                <w:sz w:val="16"/>
                <w:szCs w:val="16"/>
              </w:rPr>
            </w:pPr>
          </w:p>
          <w:p w14:paraId="3C146DE5" w14:textId="77777777" w:rsidR="007F013C" w:rsidRPr="00E1574B" w:rsidRDefault="007F013C" w:rsidP="00762252">
            <w:pPr>
              <w:rPr>
                <w:rFonts w:ascii="Verdana" w:hAnsi="Verdana" w:cstheme="minorHAnsi"/>
                <w:color w:val="auto"/>
                <w:sz w:val="16"/>
                <w:szCs w:val="16"/>
              </w:rPr>
            </w:pPr>
          </w:p>
          <w:p w14:paraId="76C8C6BA" w14:textId="77777777" w:rsidR="007F013C" w:rsidRPr="00E1574B" w:rsidRDefault="007F013C" w:rsidP="00762252">
            <w:pPr>
              <w:rPr>
                <w:rFonts w:ascii="Verdana" w:hAnsi="Verdana" w:cstheme="minorHAnsi"/>
                <w:color w:val="auto"/>
                <w:sz w:val="16"/>
                <w:szCs w:val="16"/>
              </w:rPr>
            </w:pPr>
          </w:p>
          <w:p w14:paraId="0F7CB3ED" w14:textId="77777777" w:rsidR="007F013C" w:rsidRPr="00E1574B" w:rsidRDefault="007F013C" w:rsidP="00762252">
            <w:pPr>
              <w:rPr>
                <w:rFonts w:ascii="Verdana" w:hAnsi="Verdana" w:cstheme="minorHAnsi"/>
                <w:color w:val="auto"/>
                <w:sz w:val="16"/>
                <w:szCs w:val="16"/>
              </w:rPr>
            </w:pPr>
          </w:p>
          <w:p w14:paraId="3E0F435F" w14:textId="77777777" w:rsidR="007F013C" w:rsidRPr="00E1574B" w:rsidRDefault="007F013C" w:rsidP="00762252">
            <w:pPr>
              <w:rPr>
                <w:rFonts w:ascii="Verdana" w:hAnsi="Verdana" w:cstheme="minorHAnsi"/>
                <w:color w:val="auto"/>
                <w:sz w:val="16"/>
                <w:szCs w:val="16"/>
              </w:rPr>
            </w:pPr>
          </w:p>
          <w:p w14:paraId="6A9856CC" w14:textId="77777777" w:rsidR="007F013C" w:rsidRPr="00E1574B" w:rsidRDefault="007F013C" w:rsidP="00762252">
            <w:pPr>
              <w:rPr>
                <w:rFonts w:ascii="Verdana" w:hAnsi="Verdana" w:cstheme="minorHAnsi"/>
                <w:color w:val="auto"/>
                <w:sz w:val="16"/>
                <w:szCs w:val="16"/>
              </w:rPr>
            </w:pPr>
          </w:p>
          <w:p w14:paraId="7146AE4B" w14:textId="77777777" w:rsidR="007F013C" w:rsidRPr="00E1574B" w:rsidRDefault="007F013C" w:rsidP="00762252">
            <w:pPr>
              <w:rPr>
                <w:rFonts w:ascii="Verdana" w:hAnsi="Verdana" w:cstheme="minorHAnsi"/>
                <w:color w:val="auto"/>
                <w:sz w:val="16"/>
                <w:szCs w:val="16"/>
              </w:rPr>
            </w:pPr>
          </w:p>
          <w:p w14:paraId="3F995973" w14:textId="77777777" w:rsidR="007F013C" w:rsidRPr="00E1574B" w:rsidRDefault="007F013C" w:rsidP="00762252">
            <w:pPr>
              <w:rPr>
                <w:rFonts w:ascii="Verdana" w:hAnsi="Verdana" w:cstheme="minorHAnsi"/>
                <w:color w:val="auto"/>
                <w:sz w:val="16"/>
                <w:szCs w:val="16"/>
              </w:rPr>
            </w:pPr>
          </w:p>
          <w:p w14:paraId="79096152" w14:textId="77777777" w:rsidR="007F013C" w:rsidRPr="00E1574B" w:rsidRDefault="007F013C" w:rsidP="00762252">
            <w:pPr>
              <w:rPr>
                <w:rFonts w:ascii="Verdana" w:hAnsi="Verdana" w:cstheme="minorHAnsi"/>
                <w:color w:val="auto"/>
                <w:sz w:val="16"/>
                <w:szCs w:val="16"/>
              </w:rPr>
            </w:pPr>
          </w:p>
          <w:p w14:paraId="77E7911B" w14:textId="77777777" w:rsidR="007F013C" w:rsidRPr="00E1574B" w:rsidRDefault="007F013C" w:rsidP="00762252">
            <w:pPr>
              <w:rPr>
                <w:rFonts w:ascii="Verdana" w:hAnsi="Verdana" w:cstheme="minorHAnsi"/>
                <w:color w:val="auto"/>
                <w:sz w:val="16"/>
                <w:szCs w:val="16"/>
              </w:rPr>
            </w:pPr>
          </w:p>
          <w:p w14:paraId="09B69EA4" w14:textId="77777777" w:rsidR="007F013C" w:rsidRPr="00E1574B" w:rsidRDefault="007F013C" w:rsidP="00762252">
            <w:pPr>
              <w:rPr>
                <w:rFonts w:ascii="Verdana" w:hAnsi="Verdana" w:cstheme="minorHAnsi"/>
                <w:color w:val="auto"/>
                <w:sz w:val="16"/>
                <w:szCs w:val="16"/>
              </w:rPr>
            </w:pPr>
          </w:p>
          <w:p w14:paraId="3DF0A75C" w14:textId="77777777" w:rsidR="007F013C" w:rsidRPr="00E1574B" w:rsidRDefault="007F013C" w:rsidP="00762252">
            <w:pPr>
              <w:rPr>
                <w:rFonts w:ascii="Verdana" w:hAnsi="Verdana" w:cstheme="minorHAnsi"/>
                <w:color w:val="auto"/>
                <w:sz w:val="16"/>
                <w:szCs w:val="16"/>
              </w:rPr>
            </w:pPr>
          </w:p>
          <w:p w14:paraId="54514D96" w14:textId="77777777" w:rsidR="007F013C" w:rsidRPr="00E1574B" w:rsidRDefault="007F013C" w:rsidP="00762252">
            <w:pPr>
              <w:rPr>
                <w:rFonts w:ascii="Verdana" w:hAnsi="Verdana" w:cstheme="minorHAnsi"/>
                <w:color w:val="auto"/>
                <w:sz w:val="16"/>
                <w:szCs w:val="16"/>
              </w:rPr>
            </w:pPr>
          </w:p>
          <w:p w14:paraId="4E1A532D" w14:textId="77777777" w:rsidR="007F013C" w:rsidRPr="00E1574B" w:rsidRDefault="007F013C" w:rsidP="00762252">
            <w:pPr>
              <w:rPr>
                <w:rFonts w:ascii="Verdana" w:hAnsi="Verdana" w:cstheme="minorHAnsi"/>
                <w:color w:val="auto"/>
                <w:sz w:val="16"/>
                <w:szCs w:val="16"/>
              </w:rPr>
            </w:pPr>
          </w:p>
          <w:p w14:paraId="62F5BD76" w14:textId="77777777" w:rsidR="007F013C" w:rsidRPr="00E1574B" w:rsidRDefault="007F013C" w:rsidP="00762252">
            <w:pPr>
              <w:rPr>
                <w:rFonts w:ascii="Verdana" w:hAnsi="Verdana" w:cstheme="minorHAnsi"/>
                <w:color w:val="auto"/>
                <w:sz w:val="16"/>
                <w:szCs w:val="16"/>
              </w:rPr>
            </w:pPr>
          </w:p>
          <w:p w14:paraId="08724916" w14:textId="77777777" w:rsidR="007F013C" w:rsidRPr="00E1574B" w:rsidRDefault="007F013C" w:rsidP="00762252">
            <w:pPr>
              <w:rPr>
                <w:rFonts w:ascii="Verdana" w:hAnsi="Verdana" w:cstheme="minorHAnsi"/>
                <w:color w:val="auto"/>
                <w:sz w:val="16"/>
                <w:szCs w:val="16"/>
              </w:rPr>
            </w:pPr>
          </w:p>
          <w:p w14:paraId="236A9614" w14:textId="77777777" w:rsidR="007F013C" w:rsidRPr="00E1574B" w:rsidRDefault="007F013C" w:rsidP="00762252">
            <w:pPr>
              <w:rPr>
                <w:rFonts w:ascii="Verdana" w:hAnsi="Verdana" w:cstheme="minorHAnsi"/>
                <w:color w:val="auto"/>
                <w:sz w:val="16"/>
                <w:szCs w:val="16"/>
              </w:rPr>
            </w:pPr>
          </w:p>
          <w:p w14:paraId="4B0C42E0" w14:textId="77777777" w:rsidR="007F013C" w:rsidRPr="00E1574B" w:rsidRDefault="007F013C" w:rsidP="00762252">
            <w:pPr>
              <w:rPr>
                <w:rFonts w:ascii="Verdana" w:hAnsi="Verdana" w:cstheme="minorHAnsi"/>
                <w:color w:val="auto"/>
                <w:sz w:val="16"/>
                <w:szCs w:val="16"/>
              </w:rPr>
            </w:pPr>
          </w:p>
          <w:p w14:paraId="306E5B66" w14:textId="77777777" w:rsidR="007F013C" w:rsidRPr="00E1574B" w:rsidRDefault="007F013C" w:rsidP="00762252">
            <w:pPr>
              <w:rPr>
                <w:rFonts w:ascii="Verdana" w:hAnsi="Verdana" w:cstheme="minorHAnsi"/>
                <w:color w:val="auto"/>
                <w:sz w:val="16"/>
                <w:szCs w:val="16"/>
              </w:rPr>
            </w:pPr>
          </w:p>
          <w:p w14:paraId="14B53199" w14:textId="77777777" w:rsidR="007F013C" w:rsidRPr="00E1574B" w:rsidRDefault="007F013C" w:rsidP="00762252">
            <w:pPr>
              <w:rPr>
                <w:rFonts w:ascii="Verdana" w:hAnsi="Verdana" w:cstheme="minorHAnsi"/>
                <w:color w:val="auto"/>
                <w:sz w:val="16"/>
                <w:szCs w:val="16"/>
              </w:rPr>
            </w:pPr>
          </w:p>
          <w:p w14:paraId="063C7062" w14:textId="77777777" w:rsidR="007F013C" w:rsidRPr="00E1574B" w:rsidRDefault="007F013C" w:rsidP="00762252">
            <w:pPr>
              <w:rPr>
                <w:rFonts w:ascii="Verdana" w:hAnsi="Verdana" w:cstheme="minorHAnsi"/>
                <w:color w:val="auto"/>
                <w:sz w:val="16"/>
                <w:szCs w:val="16"/>
              </w:rPr>
            </w:pPr>
          </w:p>
          <w:p w14:paraId="57B0231C" w14:textId="77777777" w:rsidR="007F013C" w:rsidRPr="00E1574B" w:rsidRDefault="007F013C" w:rsidP="00762252">
            <w:pPr>
              <w:rPr>
                <w:rFonts w:ascii="Verdana" w:hAnsi="Verdana" w:cstheme="minorHAnsi"/>
                <w:color w:val="auto"/>
                <w:sz w:val="16"/>
                <w:szCs w:val="16"/>
              </w:rPr>
            </w:pPr>
          </w:p>
          <w:p w14:paraId="1B3FDC44" w14:textId="77777777" w:rsidR="007F013C" w:rsidRPr="00E1574B" w:rsidRDefault="007F013C" w:rsidP="00762252">
            <w:pPr>
              <w:rPr>
                <w:rFonts w:ascii="Verdana" w:hAnsi="Verdana" w:cstheme="minorHAnsi"/>
                <w:color w:val="auto"/>
                <w:sz w:val="16"/>
                <w:szCs w:val="16"/>
              </w:rPr>
            </w:pPr>
          </w:p>
          <w:p w14:paraId="7BF1D02D" w14:textId="77777777" w:rsidR="007F013C" w:rsidRPr="00E1574B" w:rsidRDefault="007F013C" w:rsidP="00762252">
            <w:pPr>
              <w:rPr>
                <w:rFonts w:ascii="Verdana" w:hAnsi="Verdana" w:cstheme="minorHAnsi"/>
                <w:color w:val="auto"/>
                <w:sz w:val="16"/>
                <w:szCs w:val="16"/>
              </w:rPr>
            </w:pPr>
          </w:p>
          <w:p w14:paraId="6A79FC3D"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Following a human rights-based approach conduct knowledge skill and knowledge transfer training for civil society organizations to monitor budget allocations and expenditures concerning health service deliveries</w:t>
            </w:r>
          </w:p>
          <w:p w14:paraId="64CE9A08" w14:textId="77777777" w:rsidR="007F013C" w:rsidRPr="00E1574B" w:rsidRDefault="007F013C" w:rsidP="00762252">
            <w:pPr>
              <w:rPr>
                <w:rFonts w:ascii="Verdana" w:hAnsi="Verdana" w:cstheme="minorHAnsi"/>
                <w:color w:val="auto"/>
                <w:sz w:val="16"/>
                <w:szCs w:val="16"/>
              </w:rPr>
            </w:pPr>
          </w:p>
          <w:p w14:paraId="64F817FF"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Deploy one Human rights expert to advice multi-donor funding mechanism </w:t>
            </w:r>
          </w:p>
        </w:tc>
        <w:tc>
          <w:tcPr>
            <w:tcW w:w="2405" w:type="dxa"/>
            <w:vAlign w:val="center"/>
          </w:tcPr>
          <w:p w14:paraId="1CBD6B7A"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lastRenderedPageBreak/>
              <w:t xml:space="preserve">Train SLA members through dissemination of </w:t>
            </w:r>
            <w:r w:rsidRPr="00E1574B">
              <w:rPr>
                <w:rFonts w:ascii="Verdana" w:hAnsi="Verdana" w:cstheme="minorHAnsi"/>
                <w:color w:val="auto"/>
                <w:sz w:val="16"/>
                <w:szCs w:val="16"/>
              </w:rPr>
              <w:lastRenderedPageBreak/>
              <w:t>training materials and conducting training of trainers. (UNDP)</w:t>
            </w:r>
          </w:p>
          <w:p w14:paraId="29D0F8FE" w14:textId="77777777" w:rsidR="007F013C" w:rsidRPr="00E1574B" w:rsidRDefault="007F013C" w:rsidP="00762252">
            <w:pPr>
              <w:rPr>
                <w:rFonts w:ascii="Verdana" w:hAnsi="Verdana" w:cstheme="minorHAnsi"/>
                <w:color w:val="auto"/>
                <w:sz w:val="16"/>
                <w:szCs w:val="16"/>
              </w:rPr>
            </w:pPr>
          </w:p>
          <w:p w14:paraId="50ED01AA"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State PFM Compliance dashboard to monitor and promote PFM compliance from states  (UNICEF).</w:t>
            </w:r>
          </w:p>
          <w:p w14:paraId="2F65A4FC" w14:textId="77777777" w:rsidR="007F013C" w:rsidRPr="00E1574B" w:rsidRDefault="007F013C" w:rsidP="00762252">
            <w:pPr>
              <w:rPr>
                <w:rFonts w:ascii="Verdana" w:hAnsi="Verdana" w:cstheme="minorHAnsi"/>
                <w:color w:val="auto"/>
                <w:sz w:val="16"/>
                <w:szCs w:val="16"/>
              </w:rPr>
            </w:pPr>
          </w:p>
          <w:p w14:paraId="6977234C"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Develop public financial management framework at state level. (UNDP)</w:t>
            </w:r>
          </w:p>
          <w:p w14:paraId="1A920CF4" w14:textId="77777777" w:rsidR="007F013C" w:rsidRPr="00E1574B" w:rsidRDefault="007F013C" w:rsidP="00762252">
            <w:pPr>
              <w:rPr>
                <w:rFonts w:ascii="Verdana" w:hAnsi="Verdana" w:cstheme="minorHAnsi"/>
                <w:color w:val="auto"/>
                <w:sz w:val="16"/>
                <w:szCs w:val="16"/>
              </w:rPr>
            </w:pPr>
          </w:p>
          <w:p w14:paraId="7007A728"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Capacity building /advocacy workshops of transparency and accountability at national and state legislatures and with budget and admin officers around the Open Budget Survey (UNICEF). </w:t>
            </w:r>
          </w:p>
          <w:p w14:paraId="70A4A469" w14:textId="77777777" w:rsidR="007F013C" w:rsidRPr="00E1574B" w:rsidRDefault="007F013C" w:rsidP="00762252">
            <w:pPr>
              <w:rPr>
                <w:rFonts w:ascii="Verdana" w:hAnsi="Verdana" w:cstheme="minorHAnsi"/>
                <w:color w:val="auto"/>
                <w:sz w:val="16"/>
                <w:szCs w:val="16"/>
              </w:rPr>
            </w:pPr>
          </w:p>
          <w:p w14:paraId="77444C26"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Publication of Citizen’s Budget, as well as Citizens’ Engagement e.g. advocacy and public engagement sessions, radio shows. (UNICEF) </w:t>
            </w:r>
          </w:p>
          <w:p w14:paraId="122A3F53" w14:textId="77777777" w:rsidR="007F013C" w:rsidRPr="00E1574B" w:rsidRDefault="007F013C" w:rsidP="00762252">
            <w:pPr>
              <w:rPr>
                <w:rFonts w:ascii="Verdana" w:hAnsi="Verdana" w:cstheme="minorHAnsi"/>
                <w:color w:val="auto"/>
                <w:sz w:val="16"/>
                <w:szCs w:val="16"/>
              </w:rPr>
            </w:pPr>
          </w:p>
          <w:p w14:paraId="79CC0DD1"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Conduct a Public Expenditure Review (PER) and Public Expenditure Tracking Survey (UNICEF) </w:t>
            </w:r>
          </w:p>
          <w:p w14:paraId="243B13BF" w14:textId="77777777" w:rsidR="007F013C" w:rsidRPr="00E1574B" w:rsidRDefault="007F013C" w:rsidP="00762252">
            <w:pPr>
              <w:rPr>
                <w:rFonts w:ascii="Verdana" w:hAnsi="Verdana" w:cstheme="minorHAnsi"/>
                <w:color w:val="auto"/>
                <w:sz w:val="16"/>
                <w:szCs w:val="16"/>
              </w:rPr>
            </w:pPr>
          </w:p>
          <w:p w14:paraId="097153F1"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Conduct Public Expenditure Tracking Survey on health in collaboration with UNICEF</w:t>
            </w:r>
          </w:p>
          <w:p w14:paraId="5BADF7F3" w14:textId="77777777" w:rsidR="007F013C" w:rsidRPr="00E1574B" w:rsidRDefault="007F013C" w:rsidP="00762252">
            <w:pPr>
              <w:rPr>
                <w:rFonts w:ascii="Verdana" w:hAnsi="Verdana" w:cstheme="minorHAnsi"/>
                <w:color w:val="auto"/>
                <w:sz w:val="16"/>
                <w:szCs w:val="16"/>
              </w:rPr>
            </w:pPr>
          </w:p>
          <w:p w14:paraId="3C0E1658" w14:textId="77777777" w:rsidR="007F013C" w:rsidRPr="00E1574B" w:rsidRDefault="007F013C" w:rsidP="00762252">
            <w:pPr>
              <w:rPr>
                <w:rFonts w:ascii="Verdana" w:hAnsi="Verdana" w:cstheme="minorHAnsi"/>
                <w:color w:val="auto"/>
                <w:sz w:val="16"/>
                <w:szCs w:val="16"/>
              </w:rPr>
            </w:pPr>
          </w:p>
          <w:p w14:paraId="037C0B7C" w14:textId="77777777" w:rsidR="007F013C" w:rsidRPr="00E1574B" w:rsidRDefault="007F013C" w:rsidP="00762252">
            <w:pPr>
              <w:rPr>
                <w:rFonts w:ascii="Verdana" w:hAnsi="Verdana" w:cstheme="minorHAnsi"/>
                <w:color w:val="auto"/>
                <w:sz w:val="16"/>
                <w:szCs w:val="16"/>
              </w:rPr>
            </w:pPr>
          </w:p>
          <w:p w14:paraId="48D13B89" w14:textId="77777777" w:rsidR="007F013C" w:rsidRPr="00E1574B" w:rsidRDefault="007F013C" w:rsidP="00762252">
            <w:pPr>
              <w:rPr>
                <w:rFonts w:ascii="Verdana" w:hAnsi="Verdana" w:cstheme="minorHAnsi"/>
                <w:color w:val="auto"/>
                <w:sz w:val="16"/>
                <w:szCs w:val="16"/>
              </w:rPr>
            </w:pPr>
          </w:p>
          <w:p w14:paraId="1DE5C60C" w14:textId="77777777" w:rsidR="007F013C" w:rsidRPr="00E1574B" w:rsidRDefault="007F013C" w:rsidP="00762252">
            <w:pPr>
              <w:rPr>
                <w:rFonts w:ascii="Verdana" w:hAnsi="Verdana" w:cstheme="minorHAnsi"/>
                <w:color w:val="auto"/>
                <w:sz w:val="16"/>
                <w:szCs w:val="16"/>
              </w:rPr>
            </w:pPr>
          </w:p>
          <w:p w14:paraId="12EB7495" w14:textId="77777777" w:rsidR="007F013C" w:rsidRPr="00E1574B" w:rsidRDefault="007F013C" w:rsidP="00762252">
            <w:pPr>
              <w:rPr>
                <w:rFonts w:ascii="Verdana" w:hAnsi="Verdana" w:cstheme="minorHAnsi"/>
                <w:color w:val="auto"/>
                <w:sz w:val="16"/>
                <w:szCs w:val="16"/>
              </w:rPr>
            </w:pPr>
          </w:p>
          <w:p w14:paraId="6DE430C6" w14:textId="77777777" w:rsidR="007F013C" w:rsidRPr="00E1574B" w:rsidRDefault="007F013C" w:rsidP="00762252">
            <w:pPr>
              <w:rPr>
                <w:rFonts w:ascii="Verdana" w:hAnsi="Verdana" w:cstheme="minorHAnsi"/>
                <w:color w:val="auto"/>
                <w:sz w:val="16"/>
                <w:szCs w:val="16"/>
              </w:rPr>
            </w:pPr>
          </w:p>
          <w:p w14:paraId="6630020E" w14:textId="77777777" w:rsidR="007F013C" w:rsidRPr="00E1574B" w:rsidRDefault="007F013C" w:rsidP="00762252">
            <w:pPr>
              <w:rPr>
                <w:rFonts w:ascii="Verdana" w:hAnsi="Verdana" w:cstheme="minorHAnsi"/>
                <w:color w:val="auto"/>
                <w:sz w:val="16"/>
                <w:szCs w:val="16"/>
              </w:rPr>
            </w:pPr>
          </w:p>
          <w:p w14:paraId="5ACBC31A" w14:textId="77777777" w:rsidR="007F013C" w:rsidRPr="00E1574B" w:rsidRDefault="007F013C" w:rsidP="00762252">
            <w:pPr>
              <w:rPr>
                <w:rFonts w:ascii="Verdana" w:hAnsi="Verdana" w:cstheme="minorHAnsi"/>
                <w:color w:val="auto"/>
                <w:sz w:val="16"/>
                <w:szCs w:val="16"/>
              </w:rPr>
            </w:pPr>
          </w:p>
          <w:p w14:paraId="5608AB7D" w14:textId="77777777" w:rsidR="007F013C" w:rsidRPr="00E1574B" w:rsidRDefault="007F013C" w:rsidP="00762252">
            <w:pPr>
              <w:rPr>
                <w:rFonts w:ascii="Verdana" w:hAnsi="Verdana" w:cstheme="minorHAnsi"/>
                <w:color w:val="auto"/>
                <w:sz w:val="16"/>
                <w:szCs w:val="16"/>
              </w:rPr>
            </w:pPr>
          </w:p>
          <w:p w14:paraId="25A7BB98" w14:textId="77777777" w:rsidR="007F013C" w:rsidRPr="00E1574B" w:rsidRDefault="007F013C" w:rsidP="00762252">
            <w:pPr>
              <w:rPr>
                <w:rFonts w:ascii="Verdana" w:hAnsi="Verdana" w:cstheme="minorHAnsi"/>
                <w:color w:val="auto"/>
                <w:sz w:val="16"/>
                <w:szCs w:val="16"/>
              </w:rPr>
            </w:pPr>
          </w:p>
          <w:p w14:paraId="2ED48040"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Support organization of civil society led trainings and workshops</w:t>
            </w:r>
          </w:p>
          <w:p w14:paraId="2948DC69" w14:textId="77777777" w:rsidR="007F013C" w:rsidRPr="00E1574B" w:rsidRDefault="007F013C" w:rsidP="00762252">
            <w:pPr>
              <w:rPr>
                <w:rFonts w:ascii="Verdana" w:hAnsi="Verdana" w:cstheme="minorHAnsi"/>
                <w:color w:val="auto"/>
                <w:sz w:val="16"/>
                <w:szCs w:val="16"/>
              </w:rPr>
            </w:pPr>
          </w:p>
          <w:p w14:paraId="6B3C74B8" w14:textId="77777777" w:rsidR="007F013C" w:rsidRPr="00E1574B" w:rsidRDefault="007F013C" w:rsidP="00762252">
            <w:pPr>
              <w:rPr>
                <w:rFonts w:ascii="Verdana" w:hAnsi="Verdana" w:cstheme="minorHAnsi"/>
                <w:color w:val="auto"/>
                <w:sz w:val="16"/>
                <w:szCs w:val="16"/>
              </w:rPr>
            </w:pPr>
          </w:p>
          <w:p w14:paraId="0956A91D" w14:textId="77777777" w:rsidR="007F013C" w:rsidRPr="00E1574B" w:rsidRDefault="007F013C" w:rsidP="00762252">
            <w:pPr>
              <w:rPr>
                <w:rFonts w:ascii="Verdana" w:hAnsi="Verdana" w:cstheme="minorHAnsi"/>
                <w:color w:val="auto"/>
                <w:sz w:val="16"/>
                <w:szCs w:val="16"/>
              </w:rPr>
            </w:pPr>
          </w:p>
          <w:p w14:paraId="5CA27129" w14:textId="77777777" w:rsidR="007F013C" w:rsidRPr="00E1574B" w:rsidRDefault="007F013C" w:rsidP="00762252">
            <w:pPr>
              <w:rPr>
                <w:rFonts w:ascii="Verdana" w:hAnsi="Verdana" w:cstheme="minorHAnsi"/>
                <w:color w:val="auto"/>
                <w:sz w:val="16"/>
                <w:szCs w:val="16"/>
              </w:rPr>
            </w:pPr>
          </w:p>
          <w:p w14:paraId="5EDC1180" w14:textId="77777777" w:rsidR="007F013C" w:rsidRPr="00E1574B" w:rsidRDefault="007F013C" w:rsidP="00762252">
            <w:pPr>
              <w:rPr>
                <w:rFonts w:ascii="Verdana" w:hAnsi="Verdana" w:cstheme="minorHAnsi"/>
                <w:color w:val="auto"/>
                <w:sz w:val="16"/>
                <w:szCs w:val="16"/>
              </w:rPr>
            </w:pPr>
          </w:p>
          <w:p w14:paraId="3B985303" w14:textId="77777777" w:rsidR="007F013C" w:rsidRPr="00E1574B" w:rsidRDefault="007F013C" w:rsidP="00762252">
            <w:pPr>
              <w:rPr>
                <w:rFonts w:ascii="Verdana" w:hAnsi="Verdana" w:cstheme="minorHAnsi"/>
                <w:color w:val="auto"/>
                <w:sz w:val="16"/>
                <w:szCs w:val="16"/>
              </w:rPr>
            </w:pPr>
          </w:p>
          <w:p w14:paraId="5DB56910" w14:textId="77777777" w:rsidR="007F013C" w:rsidRPr="00E1574B" w:rsidRDefault="007F013C" w:rsidP="00762252">
            <w:pPr>
              <w:rPr>
                <w:rFonts w:ascii="Verdana" w:hAnsi="Verdana" w:cstheme="minorHAnsi"/>
                <w:color w:val="auto"/>
                <w:sz w:val="16"/>
                <w:szCs w:val="16"/>
              </w:rPr>
            </w:pPr>
          </w:p>
          <w:p w14:paraId="443B01D9"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Support deployment of human rights expert</w:t>
            </w:r>
          </w:p>
        </w:tc>
      </w:tr>
      <w:tr w:rsidR="004B0460" w:rsidRPr="00E1574B" w14:paraId="108630C8" w14:textId="77777777" w:rsidTr="00762252">
        <w:tc>
          <w:tcPr>
            <w:tcW w:w="1530" w:type="dxa"/>
            <w:vMerge/>
            <w:vAlign w:val="center"/>
          </w:tcPr>
          <w:p w14:paraId="17532AE9" w14:textId="77777777" w:rsidR="007F013C" w:rsidRPr="00E1574B" w:rsidRDefault="007F013C" w:rsidP="00762252">
            <w:pPr>
              <w:rPr>
                <w:rFonts w:ascii="Verdana" w:hAnsi="Verdana" w:cstheme="minorHAnsi"/>
                <w:color w:val="auto"/>
                <w:sz w:val="16"/>
                <w:szCs w:val="16"/>
              </w:rPr>
            </w:pPr>
          </w:p>
        </w:tc>
        <w:tc>
          <w:tcPr>
            <w:tcW w:w="3235" w:type="dxa"/>
            <w:vAlign w:val="center"/>
          </w:tcPr>
          <w:p w14:paraId="6CA1E417" w14:textId="77777777" w:rsidR="007F013C" w:rsidRPr="00E1574B" w:rsidRDefault="007F013C" w:rsidP="00762252">
            <w:pPr>
              <w:rPr>
                <w:rFonts w:ascii="Verdana" w:hAnsi="Verdana" w:cstheme="minorHAnsi"/>
                <w:color w:val="auto"/>
                <w:sz w:val="16"/>
                <w:szCs w:val="16"/>
              </w:rPr>
            </w:pPr>
          </w:p>
        </w:tc>
        <w:tc>
          <w:tcPr>
            <w:tcW w:w="2340" w:type="dxa"/>
            <w:vAlign w:val="center"/>
          </w:tcPr>
          <w:p w14:paraId="19B83015" w14:textId="77777777" w:rsidR="007F013C" w:rsidRPr="00E1574B" w:rsidRDefault="007F013C" w:rsidP="00762252">
            <w:pPr>
              <w:rPr>
                <w:rFonts w:ascii="Verdana" w:hAnsi="Verdana" w:cstheme="minorHAnsi"/>
                <w:color w:val="auto"/>
                <w:sz w:val="16"/>
                <w:szCs w:val="16"/>
              </w:rPr>
            </w:pPr>
          </w:p>
        </w:tc>
        <w:tc>
          <w:tcPr>
            <w:tcW w:w="2476" w:type="dxa"/>
            <w:vAlign w:val="center"/>
          </w:tcPr>
          <w:p w14:paraId="4A19547E"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State ministry audit system weak.</w:t>
            </w:r>
          </w:p>
        </w:tc>
        <w:tc>
          <w:tcPr>
            <w:tcW w:w="2404" w:type="dxa"/>
            <w:vAlign w:val="center"/>
          </w:tcPr>
          <w:p w14:paraId="48CB4ED3"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Strengthen internal audit capacity at state level.</w:t>
            </w:r>
          </w:p>
        </w:tc>
        <w:tc>
          <w:tcPr>
            <w:tcW w:w="2405" w:type="dxa"/>
            <w:vAlign w:val="center"/>
          </w:tcPr>
          <w:p w14:paraId="04595FF4" w14:textId="7305D98E"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Strengthen internal audit capacity at state level. (UNDP)</w:t>
            </w:r>
          </w:p>
          <w:p w14:paraId="42781778" w14:textId="77777777" w:rsidR="006650CA" w:rsidRPr="00E1574B" w:rsidRDefault="006650CA" w:rsidP="00762252">
            <w:pPr>
              <w:rPr>
                <w:rFonts w:ascii="Verdana" w:hAnsi="Verdana" w:cstheme="minorHAnsi"/>
                <w:color w:val="auto"/>
                <w:sz w:val="16"/>
                <w:szCs w:val="16"/>
              </w:rPr>
            </w:pPr>
          </w:p>
          <w:p w14:paraId="73C2BAD3" w14:textId="77777777" w:rsidR="007F013C" w:rsidRPr="00E1574B" w:rsidRDefault="007F013C" w:rsidP="00762252">
            <w:pPr>
              <w:rPr>
                <w:rFonts w:ascii="Verdana" w:hAnsi="Verdana" w:cstheme="minorHAnsi"/>
                <w:color w:val="auto"/>
                <w:sz w:val="16"/>
                <w:szCs w:val="16"/>
              </w:rPr>
            </w:pPr>
            <w:r w:rsidRPr="00E1574B">
              <w:rPr>
                <w:rFonts w:ascii="Verdana" w:hAnsi="Verdana" w:cstheme="minorHAnsi"/>
                <w:color w:val="auto"/>
                <w:sz w:val="16"/>
                <w:szCs w:val="16"/>
              </w:rPr>
              <w:t xml:space="preserve">Capacity building to national audit chamber (via the work on HACT) (UNICEF) </w:t>
            </w:r>
          </w:p>
        </w:tc>
      </w:tr>
    </w:tbl>
    <w:p w14:paraId="37964241" w14:textId="639ED586" w:rsidR="007F013C" w:rsidRPr="00D66711" w:rsidRDefault="00762252" w:rsidP="00D66711">
      <w:r>
        <w:br w:type="textWrapping" w:clear="all"/>
      </w:r>
    </w:p>
    <w:p w14:paraId="77AF2DF7" w14:textId="09EF40A4" w:rsidR="00326558" w:rsidRPr="003E2544" w:rsidRDefault="00326558" w:rsidP="00245274">
      <w:pPr>
        <w:spacing w:line="240" w:lineRule="auto"/>
        <w:rPr>
          <w:rFonts w:ascii="Verdana" w:eastAsia="Times New Roman" w:hAnsi="Verdana" w:cs="Times New Roman"/>
          <w:b/>
          <w:color w:val="0070C0"/>
          <w:sz w:val="20"/>
          <w:szCs w:val="20"/>
          <w:u w:val="single"/>
          <w:lang w:eastAsia="en-GB"/>
        </w:rPr>
      </w:pPr>
    </w:p>
    <w:p w14:paraId="0D578B4D" w14:textId="23146ACD" w:rsidR="00707ED7" w:rsidRPr="003E2544" w:rsidRDefault="00707ED7" w:rsidP="00866655">
      <w:pPr>
        <w:spacing w:line="240" w:lineRule="auto"/>
        <w:rPr>
          <w:rFonts w:ascii="Verdana" w:hAnsi="Verdana"/>
        </w:rPr>
      </w:pPr>
    </w:p>
    <w:sectPr w:rsidR="00707ED7" w:rsidRPr="003E2544" w:rsidSect="004A10DD">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AC3E" w14:textId="77777777" w:rsidR="007D2ED2" w:rsidRDefault="007D2ED2" w:rsidP="00F553AC">
      <w:pPr>
        <w:spacing w:line="240" w:lineRule="auto"/>
      </w:pPr>
      <w:r>
        <w:separator/>
      </w:r>
    </w:p>
    <w:p w14:paraId="448E8444" w14:textId="77777777" w:rsidR="007D2ED2" w:rsidRDefault="007D2ED2"/>
  </w:endnote>
  <w:endnote w:type="continuationSeparator" w:id="0">
    <w:p w14:paraId="637301E5" w14:textId="77777777" w:rsidR="007D2ED2" w:rsidRDefault="007D2ED2" w:rsidP="00F553AC">
      <w:pPr>
        <w:spacing w:line="240" w:lineRule="auto"/>
      </w:pPr>
      <w:r>
        <w:continuationSeparator/>
      </w:r>
    </w:p>
    <w:p w14:paraId="4E1C8961" w14:textId="77777777" w:rsidR="007D2ED2" w:rsidRDefault="007D2ED2"/>
  </w:endnote>
  <w:endnote w:type="continuationNotice" w:id="1">
    <w:p w14:paraId="2194B530" w14:textId="77777777" w:rsidR="007D2ED2" w:rsidRDefault="007D2ED2">
      <w:pPr>
        <w:spacing w:line="240" w:lineRule="auto"/>
      </w:pPr>
    </w:p>
    <w:p w14:paraId="60F7C768" w14:textId="77777777" w:rsidR="007D2ED2" w:rsidRDefault="007D2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SegoeUI">
    <w:altName w:val="Segoe UI"/>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1437" w14:textId="7FE216E7" w:rsidR="005712F8" w:rsidRDefault="005712F8" w:rsidP="00761B42">
    <w:pPr>
      <w:pStyle w:val="Footer"/>
    </w:pPr>
    <w:r w:rsidRPr="00761B42">
      <w:rPr>
        <w:b/>
        <w:bCs/>
      </w:rPr>
      <w:fldChar w:fldCharType="begin"/>
    </w:r>
    <w:r w:rsidRPr="00761B42">
      <w:rPr>
        <w:b/>
        <w:bCs/>
      </w:rPr>
      <w:instrText xml:space="preserve"> PAGE   \* MERGEFORMAT </w:instrText>
    </w:r>
    <w:r w:rsidRPr="00761B42">
      <w:rPr>
        <w:b/>
        <w:bCs/>
      </w:rPr>
      <w:fldChar w:fldCharType="separate"/>
    </w:r>
    <w:r>
      <w:rPr>
        <w:b/>
        <w:bCs/>
        <w:noProof/>
      </w:rPr>
      <w:t>25</w:t>
    </w:r>
    <w:r w:rsidRPr="00761B42">
      <w:rPr>
        <w:b/>
        <w:bCs/>
        <w:noProof/>
      </w:rPr>
      <w:fldChar w:fldCharType="end"/>
    </w:r>
    <w:r>
      <w:rPr>
        <w:b/>
        <w:bCs/>
      </w:rPr>
      <w:t xml:space="preserve"> </w:t>
    </w:r>
    <w:r>
      <w:t>|</w:t>
    </w:r>
    <w:r>
      <w:rPr>
        <w:b/>
        <w:bCs/>
      </w:rPr>
      <w:t xml:space="preserve"> </w:t>
    </w:r>
    <w:r>
      <w:rPr>
        <w:color w:val="7F7F7F" w:themeColor="background1" w:themeShade="7F"/>
        <w:spacing w:val="60"/>
      </w:rPr>
      <w:t>Page</w:t>
    </w:r>
  </w:p>
  <w:p w14:paraId="7DCB23DA" w14:textId="1616B31D" w:rsidR="005712F8" w:rsidRDefault="00571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EF34" w14:textId="1B183C80" w:rsidR="005712F8" w:rsidRDefault="005712F8">
    <w:pPr>
      <w:pStyle w:val="Footer"/>
    </w:pPr>
    <w:r>
      <w:fldChar w:fldCharType="begin"/>
    </w:r>
    <w:r>
      <w:instrText xml:space="preserve"> PAGE   \* MERGEFORMAT </w:instrText>
    </w:r>
    <w:r>
      <w:fldChar w:fldCharType="separate"/>
    </w:r>
    <w:r w:rsidRPr="00F61466">
      <w:rPr>
        <w:b/>
        <w:bCs/>
        <w:noProof/>
      </w:rPr>
      <w:t>46</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8074670"/>
      <w:docPartObj>
        <w:docPartGallery w:val="Page Numbers (Bottom of Page)"/>
        <w:docPartUnique/>
      </w:docPartObj>
    </w:sdtPr>
    <w:sdtEndPr>
      <w:rPr>
        <w:rStyle w:val="PageNumber"/>
      </w:rPr>
    </w:sdtEndPr>
    <w:sdtContent>
      <w:p w14:paraId="749E1948" w14:textId="3DE9DE18" w:rsidR="005712F8" w:rsidRDefault="005712F8" w:rsidP="006F5D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005C6BBE" w14:textId="77777777" w:rsidR="005712F8" w:rsidRDefault="005712F8">
    <w:pPr>
      <w:pStyle w:val="Footer"/>
    </w:pPr>
  </w:p>
  <w:p w14:paraId="34E070F4" w14:textId="77777777" w:rsidR="005712F8" w:rsidRDefault="005712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E947" w14:textId="702A9018" w:rsidR="005712F8" w:rsidRDefault="005712F8">
    <w:pPr>
      <w:pStyle w:val="Footer"/>
    </w:pPr>
  </w:p>
  <w:p w14:paraId="268D3051" w14:textId="7450720F" w:rsidR="005712F8" w:rsidRDefault="005712F8">
    <w:r>
      <w:fldChar w:fldCharType="begin"/>
    </w:r>
    <w:r>
      <w:instrText xml:space="preserve"> PAGE   \* MERGEFORMAT </w:instrText>
    </w:r>
    <w:r>
      <w:fldChar w:fldCharType="separate"/>
    </w:r>
    <w:r w:rsidRPr="00F61466">
      <w:rPr>
        <w:b/>
        <w:bCs/>
        <w:noProof/>
      </w:rPr>
      <w:t>47</w:t>
    </w:r>
    <w:r>
      <w:rPr>
        <w:b/>
        <w:bCs/>
        <w:noProof/>
      </w:rPr>
      <w:fldChar w:fldCharType="end"/>
    </w:r>
    <w:r>
      <w:rPr>
        <w:b/>
        <w:bCs/>
      </w:rPr>
      <w:t xml:space="preserve"> </w:t>
    </w:r>
    <w:r>
      <w:t>|</w:t>
    </w:r>
    <w:r>
      <w:rPr>
        <w:b/>
        <w:bCs/>
      </w:rPr>
      <w:t xml:space="preserve"> </w:t>
    </w:r>
    <w:r>
      <w:rPr>
        <w:color w:val="7F7F7F" w:themeColor="background1" w:themeShade="7F"/>
        <w:spacing w:val="60"/>
      </w:rPr>
      <w:t>Page</w:t>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83E2" w14:textId="77777777" w:rsidR="007D2ED2" w:rsidRDefault="007D2ED2" w:rsidP="00150196">
      <w:pPr>
        <w:spacing w:line="120" w:lineRule="auto"/>
      </w:pPr>
      <w:r>
        <w:separator/>
      </w:r>
    </w:p>
  </w:footnote>
  <w:footnote w:type="continuationSeparator" w:id="0">
    <w:p w14:paraId="078AAD1F" w14:textId="77777777" w:rsidR="007D2ED2" w:rsidRDefault="007D2ED2" w:rsidP="00F553AC">
      <w:pPr>
        <w:spacing w:line="240" w:lineRule="auto"/>
      </w:pPr>
      <w:r>
        <w:continuationSeparator/>
      </w:r>
    </w:p>
    <w:p w14:paraId="6E202346" w14:textId="77777777" w:rsidR="007D2ED2" w:rsidRDefault="007D2ED2"/>
  </w:footnote>
  <w:footnote w:type="continuationNotice" w:id="1">
    <w:p w14:paraId="3BC14E72" w14:textId="77777777" w:rsidR="007D2ED2" w:rsidRDefault="007D2ED2">
      <w:pPr>
        <w:spacing w:line="240" w:lineRule="auto"/>
      </w:pPr>
    </w:p>
    <w:p w14:paraId="01EB4508" w14:textId="77777777" w:rsidR="007D2ED2" w:rsidRDefault="007D2ED2"/>
  </w:footnote>
  <w:footnote w:id="2">
    <w:p w14:paraId="35171F9D" w14:textId="51B30955" w:rsidR="005712F8" w:rsidRPr="00CA15F7" w:rsidRDefault="005712F8" w:rsidP="00CA15F7">
      <w:pPr>
        <w:rPr>
          <w:rFonts w:ascii="Verdana" w:hAnsi="Verdana"/>
          <w:sz w:val="16"/>
          <w:szCs w:val="16"/>
        </w:rPr>
      </w:pPr>
      <w:r w:rsidRPr="00CA15F7">
        <w:rPr>
          <w:rFonts w:ascii="Verdana" w:hAnsi="Verdana"/>
          <w:sz w:val="16"/>
          <w:szCs w:val="16"/>
          <w:vertAlign w:val="superscript"/>
        </w:rPr>
        <w:footnoteRef/>
      </w:r>
      <w:r w:rsidRPr="00CA15F7">
        <w:rPr>
          <w:rFonts w:ascii="Verdana" w:hAnsi="Verdana"/>
          <w:sz w:val="16"/>
          <w:szCs w:val="16"/>
          <w:vertAlign w:val="superscript"/>
        </w:rPr>
        <w:t xml:space="preserve"> </w:t>
      </w:r>
      <w:r w:rsidRPr="00CA15F7">
        <w:rPr>
          <w:rFonts w:ascii="Verdana" w:hAnsi="Verdana"/>
          <w:sz w:val="16"/>
          <w:szCs w:val="16"/>
        </w:rPr>
        <w:t>On 21 February 2020, the Government of South Sudan announced the return to the former 10 states (from 32) plus three administrative areas.</w:t>
      </w:r>
    </w:p>
  </w:footnote>
  <w:footnote w:id="3">
    <w:p w14:paraId="5053108C" w14:textId="77777777" w:rsidR="005712F8" w:rsidRPr="00CA15F7" w:rsidRDefault="005712F8" w:rsidP="00CA15F7">
      <w:pPr>
        <w:rPr>
          <w:rFonts w:ascii="Verdana" w:hAnsi="Verdana"/>
          <w:sz w:val="16"/>
          <w:szCs w:val="16"/>
        </w:rPr>
      </w:pPr>
      <w:r w:rsidRPr="00CA15F7">
        <w:rPr>
          <w:rStyle w:val="FootnoteReference"/>
          <w:rFonts w:ascii="Verdana" w:hAnsi="Verdana"/>
          <w:sz w:val="16"/>
          <w:szCs w:val="16"/>
        </w:rPr>
        <w:footnoteRef/>
      </w:r>
      <w:r w:rsidRPr="00CA15F7">
        <w:rPr>
          <w:rFonts w:ascii="Verdana" w:hAnsi="Verdana"/>
          <w:sz w:val="16"/>
          <w:szCs w:val="16"/>
        </w:rPr>
        <w:t xml:space="preserve"> September 2018.</w:t>
      </w:r>
    </w:p>
  </w:footnote>
  <w:footnote w:id="4">
    <w:p w14:paraId="27AFF9AE" w14:textId="77777777" w:rsidR="005712F8" w:rsidRPr="00E646B3" w:rsidRDefault="005712F8" w:rsidP="00CA15F7">
      <w:pPr>
        <w:rPr>
          <w:rFonts w:ascii="Verdana" w:hAnsi="Verdana"/>
          <w:sz w:val="16"/>
          <w:szCs w:val="16"/>
        </w:rPr>
      </w:pPr>
      <w:r w:rsidRPr="00E646B3">
        <w:rPr>
          <w:rStyle w:val="FootnoteReference"/>
          <w:rFonts w:ascii="Verdana" w:hAnsi="Verdana"/>
          <w:sz w:val="16"/>
          <w:szCs w:val="16"/>
        </w:rPr>
        <w:footnoteRef/>
      </w:r>
      <w:r w:rsidRPr="00E646B3">
        <w:rPr>
          <w:rFonts w:ascii="Verdana" w:hAnsi="Verdana"/>
          <w:sz w:val="16"/>
          <w:szCs w:val="16"/>
        </w:rPr>
        <w:t xml:space="preserve"> </w:t>
      </w:r>
      <w:r w:rsidRPr="00E646B3">
        <w:rPr>
          <w:rFonts w:ascii="Verdana" w:eastAsia="MS Mincho" w:hAnsi="Verdana" w:cs="SegoeUI"/>
          <w:sz w:val="16"/>
          <w:szCs w:val="16"/>
        </w:rPr>
        <w:t>UNHCR “South Sudan Operational Update No 05–1–15 March 2019”</w:t>
      </w:r>
    </w:p>
  </w:footnote>
  <w:footnote w:id="5">
    <w:p w14:paraId="250A631A" w14:textId="77777777" w:rsidR="005712F8" w:rsidRPr="00E646B3" w:rsidRDefault="005712F8" w:rsidP="00CA15F7">
      <w:pPr>
        <w:rPr>
          <w:rFonts w:ascii="Verdana" w:hAnsi="Verdana"/>
          <w:sz w:val="16"/>
          <w:szCs w:val="16"/>
          <w:lang w:val="es-ES"/>
        </w:rPr>
      </w:pPr>
      <w:r w:rsidRPr="00E646B3">
        <w:rPr>
          <w:rStyle w:val="FootnoteReference"/>
          <w:rFonts w:ascii="Verdana" w:hAnsi="Verdana"/>
          <w:sz w:val="16"/>
          <w:szCs w:val="16"/>
        </w:rPr>
        <w:footnoteRef/>
      </w:r>
      <w:r w:rsidRPr="00E646B3">
        <w:rPr>
          <w:rFonts w:ascii="Verdana" w:hAnsi="Verdana"/>
          <w:sz w:val="16"/>
          <w:szCs w:val="16"/>
          <w:lang w:val="es-ES"/>
        </w:rPr>
        <w:t xml:space="preserve"> </w:t>
      </w:r>
      <w:r w:rsidRPr="00E646B3">
        <w:rPr>
          <w:rFonts w:ascii="Verdana" w:eastAsia="MS Mincho" w:hAnsi="Verdana" w:cs="SegoeUI"/>
          <w:sz w:val="16"/>
          <w:szCs w:val="16"/>
          <w:lang w:val="es-ES"/>
        </w:rPr>
        <w:t xml:space="preserve">UNOCHA “South Sudan </w:t>
      </w:r>
      <w:proofErr w:type="spellStart"/>
      <w:r w:rsidRPr="00E646B3">
        <w:rPr>
          <w:rFonts w:ascii="Verdana" w:eastAsia="MS Mincho" w:hAnsi="Verdana" w:cs="SegoeUI"/>
          <w:sz w:val="16"/>
          <w:szCs w:val="16"/>
          <w:lang w:val="es-ES"/>
        </w:rPr>
        <w:t>Humanitarian</w:t>
      </w:r>
      <w:proofErr w:type="spellEnd"/>
      <w:r w:rsidRPr="00E646B3">
        <w:rPr>
          <w:rFonts w:ascii="Verdana" w:eastAsia="MS Mincho" w:hAnsi="Verdana" w:cs="SegoeUI"/>
          <w:sz w:val="16"/>
          <w:szCs w:val="16"/>
          <w:lang w:val="es-ES"/>
        </w:rPr>
        <w:t xml:space="preserve"> Response Plan 2019”</w:t>
      </w:r>
    </w:p>
  </w:footnote>
  <w:footnote w:id="6">
    <w:p w14:paraId="329DDE28" w14:textId="658A7C90" w:rsidR="005712F8" w:rsidRPr="00E646B3" w:rsidRDefault="005712F8" w:rsidP="00CA15F7">
      <w:pPr>
        <w:rPr>
          <w:rFonts w:ascii="Verdana" w:hAnsi="Verdana"/>
          <w:sz w:val="16"/>
          <w:szCs w:val="16"/>
        </w:rPr>
      </w:pPr>
      <w:r w:rsidRPr="00E646B3">
        <w:rPr>
          <w:rFonts w:ascii="Verdana" w:hAnsi="Verdana"/>
          <w:sz w:val="16"/>
          <w:szCs w:val="16"/>
          <w:vertAlign w:val="superscript"/>
        </w:rPr>
        <w:footnoteRef/>
      </w:r>
      <w:r w:rsidRPr="00E646B3">
        <w:rPr>
          <w:rFonts w:ascii="Verdana" w:hAnsi="Verdana"/>
          <w:sz w:val="16"/>
          <w:szCs w:val="16"/>
        </w:rPr>
        <w:t xml:space="preserve"> IMF Country Report No. 19/153 South Sudan: 2019 Article IV Consultation - Press Release; Staff Report; and Statement by the Executive Director for the Republic of South Sudan</w:t>
      </w:r>
    </w:p>
  </w:footnote>
  <w:footnote w:id="7">
    <w:p w14:paraId="112DC60B" w14:textId="270E06CE" w:rsidR="005712F8" w:rsidRPr="00E646B3" w:rsidRDefault="005712F8" w:rsidP="00CA15F7">
      <w:pPr>
        <w:rPr>
          <w:rFonts w:ascii="Verdana" w:hAnsi="Verdana"/>
          <w:sz w:val="16"/>
          <w:szCs w:val="16"/>
        </w:rPr>
      </w:pPr>
      <w:r w:rsidRPr="00E646B3">
        <w:rPr>
          <w:rStyle w:val="FootnoteReference"/>
          <w:rFonts w:ascii="Verdana" w:hAnsi="Verdana"/>
          <w:sz w:val="16"/>
          <w:szCs w:val="16"/>
        </w:rPr>
        <w:footnoteRef/>
      </w:r>
      <w:r w:rsidRPr="00E646B3">
        <w:rPr>
          <w:rFonts w:ascii="Verdana" w:hAnsi="Verdana"/>
          <w:sz w:val="16"/>
          <w:szCs w:val="16"/>
        </w:rPr>
        <w:t xml:space="preserve"> Open Budget Survey (2017)</w:t>
      </w:r>
    </w:p>
  </w:footnote>
  <w:footnote w:id="8">
    <w:p w14:paraId="12A990AB" w14:textId="0EF00539" w:rsidR="005712F8" w:rsidRPr="00CA15F7" w:rsidRDefault="005712F8" w:rsidP="00CA15F7">
      <w:pPr>
        <w:rPr>
          <w:rFonts w:ascii="Verdana" w:hAnsi="Verdana"/>
          <w:sz w:val="16"/>
          <w:szCs w:val="16"/>
        </w:rPr>
      </w:pPr>
      <w:r w:rsidRPr="00E646B3">
        <w:rPr>
          <w:rStyle w:val="FootnoteReference"/>
          <w:rFonts w:ascii="Verdana" w:hAnsi="Verdana"/>
          <w:sz w:val="16"/>
          <w:szCs w:val="16"/>
        </w:rPr>
        <w:footnoteRef/>
      </w:r>
      <w:r w:rsidRPr="00E646B3">
        <w:rPr>
          <w:rFonts w:ascii="Verdana" w:hAnsi="Verdana" w:cstheme="minorHAnsi"/>
          <w:bCs/>
          <w:sz w:val="16"/>
          <w:szCs w:val="16"/>
        </w:rPr>
        <w:t xml:space="preserve"> </w:t>
      </w:r>
      <w:r w:rsidRPr="00E646B3">
        <w:rPr>
          <w:rFonts w:ascii="Verdana" w:hAnsi="Verdana"/>
          <w:sz w:val="16"/>
          <w:szCs w:val="16"/>
        </w:rPr>
        <w:t>Public Financial Management and Accountability Act, 2011</w:t>
      </w:r>
    </w:p>
  </w:footnote>
  <w:footnote w:id="9">
    <w:p w14:paraId="73F064E7" w14:textId="6F645668" w:rsidR="005712F8" w:rsidRPr="00E646B3" w:rsidRDefault="005712F8" w:rsidP="00CA15F7">
      <w:pPr>
        <w:rPr>
          <w:rFonts w:ascii="Verdana" w:hAnsi="Verdana"/>
          <w:sz w:val="16"/>
          <w:szCs w:val="16"/>
        </w:rPr>
      </w:pPr>
      <w:r w:rsidRPr="00E646B3">
        <w:rPr>
          <w:rStyle w:val="FootnoteReference"/>
          <w:rFonts w:ascii="Verdana" w:hAnsi="Verdana"/>
          <w:sz w:val="16"/>
          <w:szCs w:val="16"/>
        </w:rPr>
        <w:footnoteRef/>
      </w:r>
      <w:r w:rsidRPr="00E646B3">
        <w:rPr>
          <w:rStyle w:val="FootnoteReference"/>
          <w:rFonts w:ascii="Verdana" w:hAnsi="Verdana"/>
          <w:sz w:val="16"/>
          <w:szCs w:val="16"/>
        </w:rPr>
        <w:t xml:space="preserve"> </w:t>
      </w:r>
      <w:r w:rsidRPr="00E646B3">
        <w:rPr>
          <w:rFonts w:ascii="Verdana" w:hAnsi="Verdana"/>
          <w:sz w:val="16"/>
          <w:szCs w:val="16"/>
        </w:rPr>
        <w:t>State spending happens on an ad-hoc basis to satisfy short-term needs, hindering budget execution, even when budget is approved by Legislative Assembly.</w:t>
      </w:r>
    </w:p>
  </w:footnote>
  <w:footnote w:id="10">
    <w:p w14:paraId="798E33DF" w14:textId="77777777" w:rsidR="005712F8" w:rsidRPr="00E646B3" w:rsidRDefault="005712F8" w:rsidP="00CA15F7">
      <w:pPr>
        <w:rPr>
          <w:rFonts w:ascii="Verdana" w:hAnsi="Verdana"/>
          <w:sz w:val="16"/>
          <w:szCs w:val="16"/>
        </w:rPr>
      </w:pPr>
      <w:r w:rsidRPr="00E646B3">
        <w:rPr>
          <w:rStyle w:val="FootnoteReference"/>
          <w:rFonts w:ascii="Verdana" w:hAnsi="Verdana"/>
          <w:sz w:val="16"/>
          <w:szCs w:val="16"/>
        </w:rPr>
        <w:footnoteRef/>
      </w:r>
      <w:r w:rsidRPr="00E646B3">
        <w:rPr>
          <w:rFonts w:ascii="Verdana" w:hAnsi="Verdana"/>
          <w:sz w:val="16"/>
          <w:szCs w:val="16"/>
        </w:rPr>
        <w:t xml:space="preserve"> Even when SDS and Sector Plans were formulated, they were often developed in isolation without proper consultation with key stakeholders including donors, the private sector and CSOs as there are weak coordination mechanisms to capture donor contributions at national and sub-national levels.</w:t>
      </w:r>
    </w:p>
  </w:footnote>
  <w:footnote w:id="11">
    <w:p w14:paraId="54059A60" w14:textId="7C83F654" w:rsidR="005712F8" w:rsidRPr="00E646B3" w:rsidRDefault="005712F8" w:rsidP="00CA15F7">
      <w:pPr>
        <w:rPr>
          <w:rFonts w:ascii="Verdana" w:hAnsi="Verdana"/>
          <w:sz w:val="16"/>
          <w:szCs w:val="16"/>
        </w:rPr>
      </w:pPr>
      <w:r w:rsidRPr="00E646B3">
        <w:rPr>
          <w:rStyle w:val="FootnoteReference"/>
          <w:rFonts w:ascii="Verdana" w:hAnsi="Verdana"/>
          <w:sz w:val="16"/>
          <w:szCs w:val="16"/>
        </w:rPr>
        <w:footnoteRef/>
      </w:r>
      <w:r w:rsidRPr="00E646B3">
        <w:rPr>
          <w:rFonts w:ascii="Verdana" w:hAnsi="Verdana"/>
          <w:sz w:val="16"/>
          <w:szCs w:val="16"/>
        </w:rPr>
        <w:t xml:space="preserve"> </w:t>
      </w:r>
      <w:r w:rsidRPr="00E646B3">
        <w:rPr>
          <w:rFonts w:ascii="Verdana" w:hAnsi="Verdana"/>
          <w:sz w:val="16"/>
          <w:szCs w:val="16"/>
          <w:lang w:val="en-GB"/>
        </w:rPr>
        <w:t xml:space="preserve">DFID and UN Women, Working Paper, </w:t>
      </w:r>
      <w:r w:rsidRPr="00E646B3">
        <w:rPr>
          <w:rFonts w:ascii="Verdana" w:hAnsi="Verdana"/>
          <w:sz w:val="16"/>
          <w:szCs w:val="16"/>
        </w:rPr>
        <w:t xml:space="preserve">How can PFM Reforms Contribute to Gender Equality Outcomes? Undated. </w:t>
      </w:r>
    </w:p>
  </w:footnote>
  <w:footnote w:id="12">
    <w:p w14:paraId="057C7D76" w14:textId="77777777" w:rsidR="005712F8" w:rsidRPr="00E646B3" w:rsidRDefault="005712F8" w:rsidP="00CA15F7">
      <w:pPr>
        <w:rPr>
          <w:rFonts w:ascii="Verdana" w:hAnsi="Verdana"/>
          <w:sz w:val="16"/>
          <w:szCs w:val="16"/>
        </w:rPr>
      </w:pPr>
      <w:r w:rsidRPr="00E646B3">
        <w:rPr>
          <w:rStyle w:val="FootnoteReference"/>
          <w:rFonts w:ascii="Verdana" w:hAnsi="Verdana"/>
          <w:sz w:val="16"/>
          <w:szCs w:val="16"/>
        </w:rPr>
        <w:footnoteRef/>
      </w:r>
      <w:r w:rsidRPr="00E646B3">
        <w:rPr>
          <w:rFonts w:ascii="Verdana" w:hAnsi="Verdana"/>
          <w:sz w:val="16"/>
          <w:szCs w:val="16"/>
        </w:rPr>
        <w:t xml:space="preserve"> The World Bank </w:t>
      </w:r>
      <w:hyperlink r:id="rId1" w:history="1">
        <w:r w:rsidRPr="00E646B3">
          <w:rPr>
            <w:rStyle w:val="Hyperlink"/>
            <w:rFonts w:ascii="Verdana" w:hAnsi="Verdana"/>
            <w:color w:val="auto"/>
            <w:sz w:val="16"/>
            <w:szCs w:val="16"/>
          </w:rPr>
          <w:t>https://www.worldbank.org/en/country/southsudan/overview</w:t>
        </w:r>
      </w:hyperlink>
    </w:p>
  </w:footnote>
  <w:footnote w:id="13">
    <w:p w14:paraId="13E5C4AD" w14:textId="77777777" w:rsidR="005712F8" w:rsidRPr="00E646B3" w:rsidRDefault="005712F8" w:rsidP="00CA15F7">
      <w:pPr>
        <w:rPr>
          <w:rFonts w:ascii="Verdana" w:hAnsi="Verdana"/>
          <w:sz w:val="16"/>
          <w:szCs w:val="16"/>
        </w:rPr>
      </w:pPr>
      <w:r w:rsidRPr="00E646B3">
        <w:rPr>
          <w:rStyle w:val="FootnoteReference"/>
          <w:rFonts w:ascii="Verdana" w:hAnsi="Verdana"/>
          <w:sz w:val="16"/>
          <w:szCs w:val="16"/>
        </w:rPr>
        <w:footnoteRef/>
      </w:r>
      <w:r w:rsidRPr="00E646B3">
        <w:rPr>
          <w:rFonts w:ascii="Verdana" w:hAnsi="Verdana"/>
          <w:sz w:val="16"/>
          <w:szCs w:val="16"/>
        </w:rPr>
        <w:t xml:space="preserve"> The World Bank </w:t>
      </w:r>
      <w:hyperlink r:id="rId2" w:history="1">
        <w:r w:rsidRPr="00E646B3">
          <w:rPr>
            <w:rStyle w:val="Hyperlink"/>
            <w:rFonts w:ascii="Verdana" w:hAnsi="Verdana"/>
            <w:color w:val="auto"/>
            <w:sz w:val="16"/>
            <w:szCs w:val="16"/>
          </w:rPr>
          <w:t>https://data.worldbank.org/indicator/DT.ODA.ALLD.CD?locations=SS</w:t>
        </w:r>
      </w:hyperlink>
    </w:p>
  </w:footnote>
  <w:footnote w:id="14">
    <w:p w14:paraId="79AD20F1" w14:textId="488F3418" w:rsidR="005712F8" w:rsidRPr="00E646B3" w:rsidRDefault="005712F8" w:rsidP="00CA15F7">
      <w:pPr>
        <w:rPr>
          <w:rFonts w:ascii="Verdana" w:hAnsi="Verdana"/>
          <w:sz w:val="16"/>
          <w:szCs w:val="16"/>
          <w:u w:val="single"/>
        </w:rPr>
      </w:pPr>
      <w:r w:rsidRPr="00E646B3">
        <w:rPr>
          <w:rStyle w:val="FootnoteReference"/>
          <w:rFonts w:ascii="Verdana" w:hAnsi="Verdana"/>
          <w:sz w:val="16"/>
          <w:szCs w:val="16"/>
        </w:rPr>
        <w:footnoteRef/>
      </w:r>
      <w:r w:rsidRPr="00E646B3">
        <w:rPr>
          <w:rFonts w:ascii="Verdana" w:hAnsi="Verdana"/>
          <w:sz w:val="16"/>
          <w:szCs w:val="16"/>
        </w:rPr>
        <w:t xml:space="preserve"> Ministry of Finance and Planning – Budget speech FY 2019/2020</w:t>
      </w:r>
      <w:r w:rsidRPr="00E646B3">
        <w:rPr>
          <w:rFonts w:ascii="Verdana" w:hAnsi="Verdana"/>
          <w:sz w:val="16"/>
          <w:szCs w:val="16"/>
          <w:u w:val="single"/>
        </w:rPr>
        <w:t xml:space="preserve"> </w:t>
      </w:r>
    </w:p>
  </w:footnote>
  <w:footnote w:id="15">
    <w:p w14:paraId="5A8F0E73" w14:textId="7BB262D0" w:rsidR="005712F8" w:rsidRPr="00E646B3" w:rsidRDefault="005712F8" w:rsidP="00CA15F7">
      <w:pPr>
        <w:rPr>
          <w:rFonts w:ascii="Verdana" w:hAnsi="Verdana"/>
          <w:sz w:val="16"/>
          <w:szCs w:val="16"/>
          <w:lang w:val="en-GB"/>
        </w:rPr>
      </w:pPr>
      <w:r w:rsidRPr="00E646B3">
        <w:rPr>
          <w:rStyle w:val="FootnoteReference"/>
          <w:rFonts w:ascii="Verdana" w:hAnsi="Verdana"/>
          <w:sz w:val="16"/>
          <w:szCs w:val="16"/>
        </w:rPr>
        <w:footnoteRef/>
      </w:r>
      <w:r w:rsidRPr="00E646B3">
        <w:rPr>
          <w:rFonts w:ascii="Verdana" w:hAnsi="Verdana"/>
          <w:sz w:val="16"/>
          <w:szCs w:val="16"/>
        </w:rPr>
        <w:t xml:space="preserve"> </w:t>
      </w:r>
      <w:r w:rsidRPr="00E646B3">
        <w:rPr>
          <w:rFonts w:ascii="Verdana" w:hAnsi="Verdana"/>
          <w:sz w:val="16"/>
          <w:szCs w:val="16"/>
          <w:lang w:val="es-ES"/>
        </w:rPr>
        <w:t xml:space="preserve">OECD </w:t>
      </w:r>
      <w:hyperlink r:id="rId3" w:history="1">
        <w:r w:rsidRPr="00E646B3">
          <w:rPr>
            <w:rStyle w:val="Hyperlink"/>
            <w:rFonts w:ascii="Verdana" w:hAnsi="Verdana"/>
            <w:color w:val="auto"/>
            <w:sz w:val="10"/>
            <w:szCs w:val="10"/>
            <w:lang w:val="es-ES"/>
          </w:rPr>
          <w:t>https://public.tableau.com/views/OECDDACAidataglancebyrecipient_new/Recipients?:embed=y&amp;:display_count=yes&amp;:showTabs=y&amp;:toolbar=no?&amp;:showVizHome=no</w:t>
        </w:r>
      </w:hyperlink>
    </w:p>
  </w:footnote>
  <w:footnote w:id="16">
    <w:p w14:paraId="48A52755" w14:textId="7220AC88" w:rsidR="005712F8" w:rsidRPr="00CA15F7" w:rsidRDefault="005712F8" w:rsidP="00CA15F7">
      <w:pPr>
        <w:rPr>
          <w:rFonts w:ascii="Verdana" w:hAnsi="Verdana"/>
          <w:sz w:val="16"/>
          <w:szCs w:val="16"/>
        </w:rPr>
      </w:pPr>
      <w:r w:rsidRPr="00E646B3">
        <w:rPr>
          <w:rStyle w:val="FootnoteReference"/>
          <w:rFonts w:ascii="Verdana" w:hAnsi="Verdana"/>
          <w:sz w:val="16"/>
          <w:szCs w:val="16"/>
        </w:rPr>
        <w:footnoteRef/>
      </w:r>
      <w:r w:rsidRPr="00E646B3">
        <w:rPr>
          <w:rFonts w:ascii="Verdana" w:hAnsi="Verdana"/>
          <w:sz w:val="16"/>
          <w:szCs w:val="16"/>
        </w:rPr>
        <w:t xml:space="preserve"> The World Bank (2015) </w:t>
      </w:r>
    </w:p>
  </w:footnote>
  <w:footnote w:id="17">
    <w:p w14:paraId="649C1BDF" w14:textId="77777777" w:rsidR="005712F8" w:rsidRPr="00CA15F7" w:rsidRDefault="005712F8" w:rsidP="00CA15F7">
      <w:pPr>
        <w:rPr>
          <w:rFonts w:ascii="Verdana" w:hAnsi="Verdana"/>
          <w:sz w:val="16"/>
          <w:szCs w:val="16"/>
        </w:rPr>
      </w:pPr>
      <w:r w:rsidRPr="00CA15F7">
        <w:rPr>
          <w:rStyle w:val="FootnoteReference"/>
          <w:rFonts w:ascii="Verdana" w:hAnsi="Verdana"/>
          <w:sz w:val="16"/>
          <w:szCs w:val="16"/>
        </w:rPr>
        <w:footnoteRef/>
      </w:r>
      <w:r w:rsidRPr="00CA15F7">
        <w:rPr>
          <w:rFonts w:ascii="Verdana" w:hAnsi="Verdana"/>
          <w:sz w:val="16"/>
          <w:szCs w:val="16"/>
        </w:rPr>
        <w:t xml:space="preserve"> (FY 2014/2015 to FY2017/2018) Aggregate -30%; Education: -13%; Health: -53%; Social and Humanitarian Affairs: +42% (under-spent overspent average).</w:t>
      </w:r>
    </w:p>
  </w:footnote>
  <w:footnote w:id="18">
    <w:p w14:paraId="53E6217D" w14:textId="77777777" w:rsidR="005712F8" w:rsidRPr="00CA15F7" w:rsidRDefault="005712F8" w:rsidP="00CA15F7">
      <w:pPr>
        <w:rPr>
          <w:rFonts w:ascii="Verdana" w:eastAsia="Yu Mincho" w:hAnsi="Verdana"/>
          <w:sz w:val="16"/>
          <w:szCs w:val="16"/>
          <w:lang w:eastAsia="ja-JP"/>
        </w:rPr>
      </w:pPr>
      <w:r w:rsidRPr="00CA15F7">
        <w:rPr>
          <w:rStyle w:val="FootnoteReference"/>
          <w:rFonts w:ascii="Verdana" w:hAnsi="Verdana"/>
          <w:sz w:val="16"/>
          <w:szCs w:val="16"/>
        </w:rPr>
        <w:footnoteRef/>
      </w:r>
      <w:r w:rsidRPr="00CA15F7">
        <w:rPr>
          <w:rFonts w:ascii="Verdana" w:hAnsi="Verdana"/>
          <w:sz w:val="16"/>
          <w:szCs w:val="16"/>
        </w:rPr>
        <w:t xml:space="preserve"> </w:t>
      </w:r>
      <w:r w:rsidRPr="00CA15F7">
        <w:rPr>
          <w:rFonts w:ascii="Verdana" w:eastAsia="Times New Roman" w:hAnsi="Verdana" w:cs="Calibri"/>
          <w:color w:val="000000" w:themeColor="text1"/>
          <w:sz w:val="16"/>
          <w:szCs w:val="16"/>
          <w:lang w:eastAsia="ja-JP"/>
        </w:rPr>
        <w:t>To be reviewed with the MoFP at inception phase.</w:t>
      </w:r>
    </w:p>
  </w:footnote>
  <w:footnote w:id="19">
    <w:p w14:paraId="45D932E2" w14:textId="3801F62B" w:rsidR="005712F8" w:rsidRPr="00CA15F7" w:rsidRDefault="005712F8" w:rsidP="00CA15F7">
      <w:pPr>
        <w:rPr>
          <w:rFonts w:ascii="Verdana" w:eastAsia="Yu Mincho" w:hAnsi="Verdana"/>
          <w:sz w:val="16"/>
          <w:szCs w:val="16"/>
          <w:lang w:eastAsia="ja-JP"/>
        </w:rPr>
      </w:pPr>
      <w:r w:rsidRPr="00CA15F7">
        <w:rPr>
          <w:rStyle w:val="FootnoteReference"/>
          <w:rFonts w:ascii="Verdana" w:hAnsi="Verdana"/>
          <w:sz w:val="16"/>
          <w:szCs w:val="16"/>
        </w:rPr>
        <w:footnoteRef/>
      </w:r>
      <w:r w:rsidRPr="00CA15F7">
        <w:rPr>
          <w:rFonts w:ascii="Verdana" w:hAnsi="Verdana"/>
          <w:sz w:val="16"/>
          <w:szCs w:val="16"/>
        </w:rPr>
        <w:t xml:space="preserve"> </w:t>
      </w:r>
      <w:r w:rsidRPr="00CA15F7">
        <w:rPr>
          <w:rFonts w:ascii="Verdana" w:eastAsia="Yu Mincho" w:hAnsi="Verdana"/>
          <w:sz w:val="16"/>
          <w:szCs w:val="16"/>
          <w:lang w:eastAsia="ja-JP"/>
        </w:rPr>
        <w:t>The JP will engage with the Budget Directorate; and the following units: Aid Coordination; Inter-Governmental Fiscal Transfer, Budget Policy, Sectoral Planning, Macroeconomic, Debt Management and Audit Chamber</w:t>
      </w:r>
    </w:p>
  </w:footnote>
  <w:footnote w:id="20">
    <w:p w14:paraId="77E5330D" w14:textId="7D0E8ADA" w:rsidR="005712F8" w:rsidRPr="00CA15F7" w:rsidRDefault="005712F8" w:rsidP="00CA15F7">
      <w:pPr>
        <w:rPr>
          <w:rFonts w:ascii="Verdana" w:hAnsi="Verdana"/>
          <w:sz w:val="16"/>
          <w:szCs w:val="16"/>
          <w:u w:val="single"/>
        </w:rPr>
      </w:pPr>
      <w:r w:rsidRPr="00CA15F7">
        <w:rPr>
          <w:rStyle w:val="FootnoteReference"/>
          <w:rFonts w:ascii="Verdana" w:hAnsi="Verdana"/>
          <w:sz w:val="16"/>
          <w:szCs w:val="16"/>
        </w:rPr>
        <w:footnoteRef/>
      </w:r>
      <w:r w:rsidRPr="00CA15F7">
        <w:rPr>
          <w:rFonts w:ascii="Verdana" w:hAnsi="Verdana"/>
          <w:sz w:val="16"/>
          <w:szCs w:val="16"/>
        </w:rPr>
        <w:t xml:space="preserve"> United Nations, “The Highest Aspiration: A Call to Action for Human Rights 2020” (24 Feb. 2020), </w:t>
      </w:r>
      <w:r w:rsidRPr="00CA15F7">
        <w:rPr>
          <w:rFonts w:ascii="Verdana" w:hAnsi="Verdana"/>
          <w:i/>
          <w:iCs/>
          <w:sz w:val="16"/>
          <w:szCs w:val="16"/>
        </w:rPr>
        <w:t>available at:</w:t>
      </w:r>
      <w:r w:rsidRPr="00CA15F7">
        <w:rPr>
          <w:rFonts w:ascii="Verdana" w:hAnsi="Verdana"/>
          <w:sz w:val="16"/>
          <w:szCs w:val="16"/>
        </w:rPr>
        <w:t xml:space="preserve"> </w:t>
      </w:r>
      <w:hyperlink r:id="rId4" w:history="1">
        <w:r w:rsidRPr="00CA15F7">
          <w:rPr>
            <w:rStyle w:val="Hyperlink"/>
            <w:rFonts w:ascii="Verdana" w:hAnsi="Verdana"/>
            <w:color w:val="auto"/>
            <w:sz w:val="16"/>
            <w:szCs w:val="16"/>
          </w:rPr>
          <w:t>https://www.un.org/sg/sites/www.un.org.sg/files/atoms/files/The_Highest_Asperation_A_Call_To_Action_For_Human_Right_English.pdf</w:t>
        </w:r>
      </w:hyperlink>
    </w:p>
  </w:footnote>
  <w:footnote w:id="21">
    <w:p w14:paraId="167D22E0" w14:textId="77777777" w:rsidR="005712F8" w:rsidRPr="00CA15F7" w:rsidRDefault="005712F8" w:rsidP="00CA15F7">
      <w:pPr>
        <w:rPr>
          <w:rFonts w:ascii="Verdana" w:hAnsi="Verdana"/>
          <w:sz w:val="16"/>
          <w:szCs w:val="16"/>
        </w:rPr>
      </w:pPr>
      <w:r w:rsidRPr="00CA15F7">
        <w:rPr>
          <w:rStyle w:val="FootnoteReference"/>
          <w:rFonts w:ascii="Verdana" w:hAnsi="Verdana"/>
          <w:sz w:val="16"/>
          <w:szCs w:val="16"/>
        </w:rPr>
        <w:footnoteRef/>
      </w:r>
      <w:r w:rsidRPr="00CA15F7">
        <w:rPr>
          <w:rFonts w:ascii="Verdana" w:hAnsi="Verdana"/>
          <w:sz w:val="16"/>
          <w:szCs w:val="16"/>
        </w:rPr>
        <w:t xml:space="preserve"> </w:t>
      </w:r>
      <w:r w:rsidRPr="00CA15F7">
        <w:rPr>
          <w:rStyle w:val="normaltextrun"/>
          <w:rFonts w:ascii="Verdana" w:hAnsi="Verdana"/>
          <w:sz w:val="16"/>
          <w:szCs w:val="16"/>
        </w:rPr>
        <w:t>To complement the efforts under the JP, UNDP in partnership with the Government of Norway will be positioning technical assistance support in key Ministries such as MoFP Aid Coordination, NRA and NLA towards focused capacity building through the Governance and Economic Management Support project.</w:t>
      </w:r>
    </w:p>
  </w:footnote>
  <w:footnote w:id="22">
    <w:p w14:paraId="3633A694" w14:textId="03EE19E7" w:rsidR="005712F8" w:rsidRPr="00CA15F7" w:rsidRDefault="005712F8" w:rsidP="00CA15F7">
      <w:pPr>
        <w:rPr>
          <w:rFonts w:ascii="Verdana" w:hAnsi="Verdana"/>
          <w:sz w:val="16"/>
          <w:szCs w:val="16"/>
        </w:rPr>
      </w:pPr>
      <w:r w:rsidRPr="00CA15F7">
        <w:rPr>
          <w:rStyle w:val="FootnoteReference"/>
          <w:rFonts w:ascii="Verdana" w:hAnsi="Verdana"/>
          <w:sz w:val="16"/>
          <w:szCs w:val="16"/>
        </w:rPr>
        <w:footnoteRef/>
      </w:r>
      <w:r w:rsidRPr="00CA15F7">
        <w:rPr>
          <w:rFonts w:ascii="Verdana" w:hAnsi="Verdana"/>
          <w:sz w:val="16"/>
          <w:szCs w:val="16"/>
        </w:rPr>
        <w:t xml:space="preserve"> NDS and INFF 2022–2024 at national level and SDSs and Sector Plans at subnational level </w:t>
      </w:r>
    </w:p>
  </w:footnote>
  <w:footnote w:id="23">
    <w:p w14:paraId="768A5920" w14:textId="77777777" w:rsidR="005712F8" w:rsidRPr="00CA15F7" w:rsidRDefault="005712F8" w:rsidP="00CA15F7">
      <w:pPr>
        <w:rPr>
          <w:rFonts w:ascii="Verdana" w:eastAsia="Verdana" w:hAnsi="Verdana" w:cs="Verdana"/>
          <w:sz w:val="16"/>
          <w:szCs w:val="16"/>
        </w:rPr>
      </w:pPr>
      <w:r w:rsidRPr="00CA15F7">
        <w:rPr>
          <w:rStyle w:val="FootnoteReference"/>
          <w:rFonts w:ascii="Verdana" w:hAnsi="Verdana"/>
          <w:sz w:val="16"/>
          <w:szCs w:val="16"/>
        </w:rPr>
        <w:footnoteRef/>
      </w:r>
      <w:r w:rsidRPr="00CA15F7">
        <w:rPr>
          <w:rStyle w:val="FootnoteReference"/>
          <w:rFonts w:ascii="Verdana" w:hAnsi="Verdana"/>
          <w:sz w:val="16"/>
          <w:szCs w:val="16"/>
        </w:rPr>
        <w:t xml:space="preserve"> </w:t>
      </w:r>
      <w:r w:rsidRPr="00CA15F7">
        <w:rPr>
          <w:rFonts w:ascii="Verdana" w:eastAsia="Verdana" w:hAnsi="Verdana" w:cs="Verdana"/>
          <w:sz w:val="16"/>
          <w:szCs w:val="16"/>
        </w:rPr>
        <w:t>Increase in revenue collection from 0.5 million SSP to 3.6 million SSP after the SRA was established in November 2018.</w:t>
      </w:r>
    </w:p>
  </w:footnote>
  <w:footnote w:id="24">
    <w:p w14:paraId="72389E1F" w14:textId="3AC792AD" w:rsidR="005712F8" w:rsidRPr="00CA15F7" w:rsidRDefault="005712F8" w:rsidP="00CA15F7">
      <w:pPr>
        <w:rPr>
          <w:rFonts w:ascii="Verdana" w:hAnsi="Verdana"/>
          <w:sz w:val="16"/>
          <w:szCs w:val="16"/>
          <w:lang w:val="en-GB"/>
        </w:rPr>
      </w:pPr>
      <w:r w:rsidRPr="00CA15F7">
        <w:rPr>
          <w:rStyle w:val="FootnoteReference"/>
          <w:rFonts w:ascii="Verdana" w:hAnsi="Verdana"/>
          <w:sz w:val="16"/>
          <w:szCs w:val="16"/>
        </w:rPr>
        <w:footnoteRef/>
      </w:r>
      <w:r w:rsidRPr="00CA15F7">
        <w:rPr>
          <w:rFonts w:ascii="Verdana" w:hAnsi="Verdana"/>
          <w:sz w:val="16"/>
          <w:szCs w:val="16"/>
        </w:rPr>
        <w:t xml:space="preserve"> This will be the basis for release of funding for the second year of implementation.</w:t>
      </w:r>
    </w:p>
  </w:footnote>
  <w:footnote w:id="25">
    <w:p w14:paraId="778AA99C" w14:textId="37D792B8" w:rsidR="005712F8" w:rsidRPr="00CA15F7" w:rsidRDefault="005712F8" w:rsidP="00CA15F7">
      <w:pPr>
        <w:rPr>
          <w:rFonts w:ascii="Verdana" w:hAnsi="Verdana"/>
          <w:sz w:val="16"/>
          <w:szCs w:val="16"/>
        </w:rPr>
      </w:pPr>
      <w:r w:rsidRPr="00CA15F7">
        <w:rPr>
          <w:rStyle w:val="FootnoteReference"/>
          <w:rFonts w:ascii="Verdana" w:hAnsi="Verdana"/>
          <w:sz w:val="16"/>
          <w:szCs w:val="16"/>
        </w:rPr>
        <w:footnoteRef/>
      </w:r>
      <w:r w:rsidRPr="00CA15F7">
        <w:rPr>
          <w:rFonts w:ascii="Verdana" w:hAnsi="Verdana"/>
          <w:sz w:val="16"/>
          <w:szCs w:val="16"/>
        </w:rPr>
        <w:t xml:space="preserve"> </w:t>
      </w:r>
      <w:hyperlink r:id="rId5" w:history="1">
        <w:r w:rsidRPr="00CA15F7">
          <w:rPr>
            <w:rStyle w:val="Hyperlink"/>
            <w:rFonts w:ascii="Verdana" w:hAnsi="Verdana"/>
            <w:color w:val="auto"/>
            <w:sz w:val="16"/>
            <w:szCs w:val="16"/>
          </w:rPr>
          <w:t>How to manage a gender responsive evaluation, Evaluation handbook</w:t>
        </w:r>
      </w:hyperlink>
      <w:r w:rsidRPr="00CA15F7">
        <w:rPr>
          <w:rFonts w:ascii="Verdana" w:hAnsi="Verdana"/>
          <w:sz w:val="16"/>
          <w:szCs w:val="16"/>
        </w:rPr>
        <w:t>, UN Women, 2015</w:t>
      </w:r>
    </w:p>
  </w:footnote>
  <w:footnote w:id="26">
    <w:p w14:paraId="1D99AA87" w14:textId="273CEB4F" w:rsidR="005712F8" w:rsidRPr="004425EC" w:rsidRDefault="005712F8" w:rsidP="00CA15F7">
      <w:pPr>
        <w:rPr>
          <w:rFonts w:ascii="Verdana" w:hAnsi="Verdana" w:cstheme="minorHAnsi"/>
          <w:sz w:val="16"/>
          <w:szCs w:val="16"/>
        </w:rPr>
      </w:pPr>
      <w:r w:rsidRPr="00EB609B">
        <w:footnoteRef/>
      </w:r>
      <w:r w:rsidRPr="004425EC">
        <w:rPr>
          <w:rFonts w:ascii="Verdana" w:hAnsi="Verdana" w:cstheme="minorHAnsi"/>
          <w:sz w:val="16"/>
          <w:szCs w:val="16"/>
          <w:vertAlign w:val="superscript"/>
        </w:rPr>
        <w:t xml:space="preserve"> </w:t>
      </w:r>
      <w:r w:rsidRPr="004425EC">
        <w:rPr>
          <w:rFonts w:ascii="Verdana" w:hAnsi="Verdana" w:cstheme="minorHAnsi"/>
          <w:sz w:val="16"/>
          <w:szCs w:val="16"/>
        </w:rPr>
        <w:t>Additional resources mobilized for other/ additional sector/s or through new sources/means</w:t>
      </w:r>
    </w:p>
  </w:footnote>
  <w:footnote w:id="27">
    <w:p w14:paraId="4EC0FDA9" w14:textId="09D00556" w:rsidR="005712F8" w:rsidRPr="00EB609B" w:rsidRDefault="005712F8">
      <w:pPr>
        <w:pStyle w:val="FootnoteText"/>
        <w:rPr>
          <w:rFonts w:ascii="Verdana" w:hAnsi="Verdana" w:cstheme="minorHAnsi"/>
          <w:sz w:val="16"/>
          <w:szCs w:val="16"/>
        </w:rPr>
      </w:pPr>
      <w:r w:rsidRPr="00EB609B">
        <w:rPr>
          <w:rFonts w:ascii="Verdana" w:hAnsi="Verdana" w:cstheme="minorHAnsi"/>
          <w:sz w:val="16"/>
          <w:szCs w:val="16"/>
        </w:rPr>
        <w:footnoteRef/>
      </w:r>
      <w:r w:rsidRPr="00EB609B">
        <w:rPr>
          <w:rFonts w:ascii="Verdana" w:hAnsi="Verdana" w:cstheme="minorHAnsi"/>
          <w:sz w:val="16"/>
          <w:szCs w:val="16"/>
          <w:vertAlign w:val="superscript"/>
        </w:rPr>
        <w:t xml:space="preserve"> </w:t>
      </w:r>
      <w:r w:rsidRPr="00EB609B">
        <w:rPr>
          <w:rFonts w:ascii="Verdana" w:hAnsi="Verdana" w:cstheme="minorHAnsi"/>
          <w:sz w:val="16"/>
          <w:szCs w:val="16"/>
        </w:rPr>
        <w:t>These two</w:t>
      </w:r>
      <w:r w:rsidRPr="004425EC">
        <w:rPr>
          <w:rFonts w:ascii="Verdana" w:hAnsi="Verdana" w:cstheme="minorHAnsi"/>
          <w:sz w:val="16"/>
          <w:szCs w:val="16"/>
        </w:rPr>
        <w:t xml:space="preserve"> solutions</w:t>
      </w:r>
      <w:r w:rsidRPr="00EB609B">
        <w:rPr>
          <w:rFonts w:ascii="Verdana" w:hAnsi="Verdana" w:cstheme="minorHAnsi"/>
          <w:sz w:val="16"/>
          <w:szCs w:val="16"/>
        </w:rPr>
        <w:t xml:space="preserve"> represent</w:t>
      </w:r>
      <w:r w:rsidRPr="004425EC">
        <w:rPr>
          <w:rFonts w:ascii="Verdana" w:hAnsi="Verdana" w:cstheme="minorHAnsi"/>
          <w:sz w:val="16"/>
          <w:szCs w:val="16"/>
        </w:rPr>
        <w:t xml:space="preserve"> ODA and government own resources</w:t>
      </w:r>
      <w:r w:rsidRPr="00EB609B">
        <w:rPr>
          <w:rFonts w:ascii="Verdana" w:hAnsi="Verdana" w:cstheme="minorHAnsi"/>
          <w:sz w:val="16"/>
          <w:szCs w:val="16"/>
        </w:rPr>
        <w:t>.</w:t>
      </w:r>
    </w:p>
  </w:footnote>
  <w:footnote w:id="28">
    <w:p w14:paraId="3636CA5E" w14:textId="3BC4690C" w:rsidR="005712F8" w:rsidRPr="00EB609B" w:rsidRDefault="005712F8">
      <w:pPr>
        <w:pStyle w:val="FootnoteText"/>
        <w:rPr>
          <w:rFonts w:ascii="Verdana" w:hAnsi="Verdana" w:cstheme="minorHAnsi"/>
          <w:sz w:val="16"/>
          <w:szCs w:val="16"/>
          <w:vertAlign w:val="superscript"/>
        </w:rPr>
      </w:pPr>
      <w:r w:rsidRPr="00EB609B">
        <w:rPr>
          <w:rFonts w:ascii="Verdana" w:hAnsi="Verdana" w:cstheme="minorHAnsi"/>
          <w:sz w:val="16"/>
          <w:szCs w:val="16"/>
        </w:rPr>
        <w:footnoteRef/>
      </w:r>
      <w:r w:rsidRPr="00EB609B">
        <w:rPr>
          <w:rFonts w:ascii="Verdana" w:hAnsi="Verdana" w:cstheme="minorHAnsi"/>
          <w:sz w:val="16"/>
          <w:szCs w:val="16"/>
          <w:vertAlign w:val="superscript"/>
        </w:rPr>
        <w:t xml:space="preserve"> </w:t>
      </w:r>
      <w:r w:rsidRPr="004425EC">
        <w:rPr>
          <w:rFonts w:ascii="Verdana" w:hAnsi="Verdana" w:cstheme="minorHAnsi"/>
          <w:sz w:val="16"/>
          <w:szCs w:val="16"/>
          <w:vertAlign w:val="superscript"/>
        </w:rPr>
        <w:t xml:space="preserve"> </w:t>
      </w:r>
      <w:r w:rsidRPr="004425EC">
        <w:rPr>
          <w:rFonts w:ascii="Verdana" w:hAnsi="Verdana" w:cstheme="minorHAnsi"/>
          <w:sz w:val="16"/>
          <w:szCs w:val="16"/>
        </w:rPr>
        <w:t>These three solutions represent ODA, government own resources, and private sector funding.</w:t>
      </w:r>
    </w:p>
  </w:footnote>
  <w:footnote w:id="29">
    <w:p w14:paraId="2B2FC367" w14:textId="3553F7D0" w:rsidR="005712F8" w:rsidRPr="004425EC" w:rsidRDefault="005712F8" w:rsidP="00CA15F7">
      <w:pPr>
        <w:rPr>
          <w:rFonts w:ascii="Verdana" w:hAnsi="Verdana" w:cstheme="minorHAnsi"/>
          <w:sz w:val="16"/>
          <w:szCs w:val="16"/>
        </w:rPr>
      </w:pPr>
      <w:r w:rsidRPr="00EB609B">
        <w:footnoteRef/>
      </w:r>
      <w:r w:rsidRPr="00087534">
        <w:rPr>
          <w:rFonts w:ascii="Verdana" w:hAnsi="Verdana" w:cstheme="minorHAnsi"/>
          <w:sz w:val="16"/>
          <w:szCs w:val="16"/>
          <w:vertAlign w:val="superscript"/>
        </w:rPr>
        <w:t xml:space="preserve"> </w:t>
      </w:r>
      <w:r w:rsidRPr="004425EC">
        <w:rPr>
          <w:rFonts w:ascii="Verdana" w:hAnsi="Verdana" w:cstheme="minorHAnsi"/>
          <w:sz w:val="16"/>
          <w:szCs w:val="16"/>
        </w:rPr>
        <w:t>Additional resources mobilized for the same multi-sectoral solution.</w:t>
      </w:r>
    </w:p>
  </w:footnote>
  <w:footnote w:id="30">
    <w:p w14:paraId="5F3B5781" w14:textId="55B7FAC2" w:rsidR="005712F8" w:rsidRPr="00EB609B" w:rsidRDefault="005712F8">
      <w:pPr>
        <w:pStyle w:val="FootnoteText"/>
        <w:rPr>
          <w:rFonts w:ascii="Verdana" w:hAnsi="Verdana" w:cstheme="minorHAnsi"/>
          <w:sz w:val="16"/>
          <w:szCs w:val="16"/>
        </w:rPr>
      </w:pPr>
      <w:r w:rsidRPr="00EB609B">
        <w:rPr>
          <w:rFonts w:ascii="Verdana" w:hAnsi="Verdana" w:cstheme="minorHAnsi"/>
          <w:sz w:val="16"/>
          <w:szCs w:val="16"/>
        </w:rPr>
        <w:footnoteRef/>
      </w:r>
      <w:r w:rsidRPr="00EB609B">
        <w:rPr>
          <w:rFonts w:ascii="Verdana" w:hAnsi="Verdana" w:cstheme="minorHAnsi"/>
          <w:sz w:val="16"/>
          <w:szCs w:val="16"/>
          <w:vertAlign w:val="superscript"/>
        </w:rPr>
        <w:t xml:space="preserve"> </w:t>
      </w:r>
      <w:r w:rsidRPr="004425EC">
        <w:rPr>
          <w:rFonts w:ascii="Verdana" w:hAnsi="Verdana" w:cstheme="minorHAnsi"/>
          <w:sz w:val="16"/>
          <w:szCs w:val="16"/>
        </w:rPr>
        <w:t xml:space="preserve">77% represents ODA and 33% represents government expenditure. </w:t>
      </w:r>
      <w:r w:rsidRPr="00EB609B">
        <w:rPr>
          <w:rFonts w:ascii="Verdana" w:hAnsi="Verdana" w:cstheme="minorHAnsi"/>
          <w:sz w:val="16"/>
          <w:szCs w:val="16"/>
        </w:rPr>
        <w:t>This was set based on 2018 data – The total ODA in 2018 was USD 1.577 billion compared to the government expenditure of USD 775 million.</w:t>
      </w:r>
    </w:p>
  </w:footnote>
  <w:footnote w:id="31">
    <w:p w14:paraId="7DA5E15B" w14:textId="28BB64CD" w:rsidR="005712F8" w:rsidRPr="004425EC" w:rsidRDefault="005712F8">
      <w:pPr>
        <w:pStyle w:val="FootnoteText"/>
        <w:rPr>
          <w:rFonts w:ascii="Verdana" w:hAnsi="Verdana"/>
          <w:sz w:val="16"/>
          <w:szCs w:val="16"/>
        </w:rPr>
      </w:pPr>
      <w:r w:rsidRPr="00EB609B">
        <w:rPr>
          <w:rFonts w:ascii="Verdana" w:hAnsi="Verdana" w:cstheme="minorHAnsi"/>
          <w:sz w:val="16"/>
          <w:szCs w:val="16"/>
        </w:rPr>
        <w:footnoteRef/>
      </w:r>
      <w:r w:rsidRPr="00EB609B">
        <w:rPr>
          <w:rFonts w:ascii="Verdana" w:hAnsi="Verdana" w:cstheme="minorHAnsi"/>
          <w:sz w:val="16"/>
          <w:szCs w:val="16"/>
          <w:vertAlign w:val="superscript"/>
        </w:rPr>
        <w:t xml:space="preserve"> </w:t>
      </w:r>
      <w:r w:rsidRPr="00EB609B">
        <w:rPr>
          <w:rFonts w:ascii="Verdana" w:hAnsi="Verdana" w:cstheme="minorHAnsi"/>
          <w:sz w:val="16"/>
          <w:szCs w:val="16"/>
        </w:rPr>
        <w:t>This can be measured only when the data is available.</w:t>
      </w:r>
      <w:r w:rsidRPr="004425EC">
        <w:rPr>
          <w:rFonts w:ascii="Verdana" w:hAnsi="Verdana"/>
          <w:sz w:val="16"/>
          <w:szCs w:val="16"/>
        </w:rPr>
        <w:t xml:space="preserve">  </w:t>
      </w:r>
    </w:p>
  </w:footnote>
  <w:footnote w:id="32">
    <w:p w14:paraId="74FDC35C" w14:textId="5CEDA5D9" w:rsidR="005712F8" w:rsidRPr="004425EC" w:rsidRDefault="005712F8" w:rsidP="00CA15F7">
      <w:pPr>
        <w:rPr>
          <w:rFonts w:ascii="Verdana" w:hAnsi="Verdana" w:cstheme="minorHAnsi"/>
          <w:sz w:val="16"/>
          <w:szCs w:val="16"/>
        </w:rPr>
      </w:pPr>
      <w:r w:rsidRPr="004425EC">
        <w:rPr>
          <w:rStyle w:val="FootnoteReference"/>
          <w:rFonts w:ascii="Verdana" w:hAnsi="Verdana" w:cstheme="minorHAnsi"/>
          <w:sz w:val="16"/>
          <w:szCs w:val="16"/>
        </w:rPr>
        <w:footnoteRef/>
      </w:r>
      <w:r w:rsidRPr="004425EC">
        <w:rPr>
          <w:rFonts w:ascii="Verdana" w:hAnsi="Verdana" w:cstheme="minorHAnsi"/>
          <w:sz w:val="16"/>
          <w:szCs w:val="16"/>
        </w:rPr>
        <w:t xml:space="preserve"> This will be disaggregated by (1) government/public partners (2) civil society partners and (3) private sector partners.</w:t>
      </w:r>
    </w:p>
  </w:footnote>
  <w:footnote w:id="33">
    <w:p w14:paraId="4D2392BF" w14:textId="77777777" w:rsidR="005712F8" w:rsidRPr="00CA15F7" w:rsidRDefault="005712F8" w:rsidP="00CA15F7">
      <w:pPr>
        <w:rPr>
          <w:rFonts w:ascii="Verdana" w:hAnsi="Verdana" w:cstheme="minorHAnsi"/>
          <w:sz w:val="16"/>
          <w:szCs w:val="16"/>
        </w:rPr>
      </w:pPr>
      <w:r w:rsidRPr="004425EC">
        <w:rPr>
          <w:rStyle w:val="FootnoteReference"/>
          <w:rFonts w:ascii="Verdana" w:hAnsi="Verdana" w:cstheme="minorHAnsi"/>
          <w:sz w:val="16"/>
          <w:szCs w:val="16"/>
        </w:rPr>
        <w:footnoteRef/>
      </w:r>
      <w:r w:rsidRPr="004425EC">
        <w:rPr>
          <w:rFonts w:ascii="Verdana" w:hAnsi="Verdana" w:cstheme="minorHAnsi"/>
          <w:sz w:val="16"/>
          <w:szCs w:val="16"/>
        </w:rPr>
        <w:t xml:space="preserve"> Annual survey will provide qualitative information towards this indicator.</w:t>
      </w:r>
    </w:p>
  </w:footnote>
  <w:footnote w:id="34">
    <w:p w14:paraId="6DA49861" w14:textId="4CB6E67D" w:rsidR="005712F8" w:rsidRPr="00CA15F7" w:rsidRDefault="005712F8" w:rsidP="00CA15F7">
      <w:pPr>
        <w:rPr>
          <w:rFonts w:ascii="Verdana" w:hAnsi="Verdana"/>
          <w:sz w:val="16"/>
          <w:szCs w:val="16"/>
        </w:rPr>
      </w:pPr>
      <w:r w:rsidRPr="00CA15F7">
        <w:rPr>
          <w:rFonts w:ascii="Verdana" w:hAnsi="Verdana"/>
          <w:sz w:val="16"/>
          <w:szCs w:val="16"/>
          <w:vertAlign w:val="superscript"/>
        </w:rPr>
        <w:footnoteRef/>
      </w:r>
      <w:r w:rsidRPr="00CA15F7">
        <w:rPr>
          <w:rFonts w:ascii="Verdana" w:hAnsi="Verdana"/>
          <w:sz w:val="16"/>
          <w:szCs w:val="16"/>
        </w:rPr>
        <w:t xml:space="preserve"> Average monthly revenue collection in 2019 in the former </w:t>
      </w:r>
      <w:proofErr w:type="spellStart"/>
      <w:r w:rsidRPr="00CA15F7">
        <w:rPr>
          <w:rFonts w:ascii="Verdana" w:hAnsi="Verdana"/>
          <w:sz w:val="16"/>
          <w:szCs w:val="16"/>
        </w:rPr>
        <w:t>Jubek</w:t>
      </w:r>
      <w:proofErr w:type="spellEnd"/>
      <w:r w:rsidRPr="00CA15F7">
        <w:rPr>
          <w:rFonts w:ascii="Verdana" w:hAnsi="Verdana"/>
          <w:sz w:val="16"/>
          <w:szCs w:val="16"/>
        </w:rPr>
        <w:t xml:space="preserve">, Aweil and </w:t>
      </w:r>
      <w:proofErr w:type="spellStart"/>
      <w:r w:rsidRPr="00CA15F7">
        <w:rPr>
          <w:rFonts w:ascii="Verdana" w:hAnsi="Verdana"/>
          <w:sz w:val="16"/>
          <w:szCs w:val="16"/>
        </w:rPr>
        <w:t>Gbudue</w:t>
      </w:r>
      <w:proofErr w:type="spellEnd"/>
      <w:r w:rsidRPr="00CA15F7">
        <w:rPr>
          <w:rFonts w:ascii="Verdana" w:hAnsi="Verdana"/>
          <w:sz w:val="16"/>
          <w:szCs w:val="16"/>
        </w:rPr>
        <w:t xml:space="preserve"> states: </w:t>
      </w:r>
      <w:proofErr w:type="spellStart"/>
      <w:r w:rsidRPr="00CA15F7">
        <w:rPr>
          <w:rFonts w:ascii="Verdana" w:hAnsi="Verdana"/>
          <w:sz w:val="16"/>
          <w:szCs w:val="16"/>
        </w:rPr>
        <w:t>Jubek</w:t>
      </w:r>
      <w:proofErr w:type="spellEnd"/>
      <w:r w:rsidRPr="00CA15F7">
        <w:rPr>
          <w:rFonts w:ascii="Verdana" w:hAnsi="Verdana"/>
          <w:sz w:val="16"/>
          <w:szCs w:val="16"/>
        </w:rPr>
        <w:t xml:space="preserve">: 60 million SSP, Aweil: 30 million SSP, </w:t>
      </w:r>
      <w:proofErr w:type="spellStart"/>
      <w:r w:rsidRPr="00CA15F7">
        <w:rPr>
          <w:rFonts w:ascii="Verdana" w:hAnsi="Verdana"/>
          <w:sz w:val="16"/>
          <w:szCs w:val="16"/>
        </w:rPr>
        <w:t>Gbudue</w:t>
      </w:r>
      <w:proofErr w:type="spellEnd"/>
      <w:r w:rsidRPr="00CA15F7">
        <w:rPr>
          <w:rFonts w:ascii="Verdana" w:hAnsi="Verdana"/>
          <w:sz w:val="16"/>
          <w:szCs w:val="16"/>
        </w:rPr>
        <w:t>: 8 million SSP. New baselines will be set once the new SRAs for the larger states of Central Equatoria, Western Equatoria and Northern Bahr el Ghazal are established.</w:t>
      </w:r>
    </w:p>
  </w:footnote>
  <w:footnote w:id="35">
    <w:p w14:paraId="065856E4" w14:textId="4D2302E5" w:rsidR="005712F8" w:rsidRPr="00CA15F7" w:rsidRDefault="005712F8" w:rsidP="00CA15F7">
      <w:pPr>
        <w:rPr>
          <w:rFonts w:ascii="Verdana" w:hAnsi="Verdana"/>
          <w:sz w:val="16"/>
          <w:szCs w:val="16"/>
        </w:rPr>
      </w:pPr>
      <w:r w:rsidRPr="00CA15F7">
        <w:rPr>
          <w:rFonts w:ascii="Verdana" w:hAnsi="Verdana"/>
          <w:sz w:val="16"/>
          <w:szCs w:val="16"/>
          <w:vertAlign w:val="superscript"/>
        </w:rPr>
        <w:footnoteRef/>
      </w:r>
      <w:r w:rsidRPr="00CA15F7">
        <w:rPr>
          <w:rFonts w:ascii="Verdana" w:hAnsi="Verdana"/>
          <w:sz w:val="16"/>
          <w:szCs w:val="16"/>
        </w:rPr>
        <w:t xml:space="preserve"> 2020 target: Training of trainers on the national level, targeting Ministry of Finance and Planning, Ministry of Health, Ministry of Education, Audit Chamber, National Revenue Authority, Fiscal, Financial allocation and Monitoring Commission, National Legislative Assembly.</w:t>
      </w:r>
    </w:p>
  </w:footnote>
  <w:footnote w:id="36">
    <w:p w14:paraId="1F70484F" w14:textId="13932981" w:rsidR="005712F8" w:rsidRPr="00CA15F7" w:rsidRDefault="005712F8" w:rsidP="00CA15F7">
      <w:pPr>
        <w:rPr>
          <w:rFonts w:ascii="Verdana" w:hAnsi="Verdana"/>
          <w:sz w:val="16"/>
          <w:szCs w:val="16"/>
        </w:rPr>
      </w:pPr>
      <w:r w:rsidRPr="00CA15F7">
        <w:rPr>
          <w:rFonts w:ascii="Verdana" w:hAnsi="Verdana"/>
          <w:sz w:val="16"/>
          <w:szCs w:val="16"/>
          <w:vertAlign w:val="superscript"/>
        </w:rPr>
        <w:footnoteRef/>
      </w:r>
      <w:r w:rsidRPr="00CA15F7">
        <w:rPr>
          <w:rFonts w:ascii="Verdana" w:hAnsi="Verdana"/>
          <w:sz w:val="16"/>
          <w:szCs w:val="16"/>
          <w:vertAlign w:val="superscript"/>
        </w:rPr>
        <w:t xml:space="preserve"> </w:t>
      </w:r>
      <w:r w:rsidRPr="00CA15F7">
        <w:rPr>
          <w:rFonts w:ascii="Verdana" w:hAnsi="Verdana"/>
          <w:sz w:val="16"/>
          <w:szCs w:val="16"/>
        </w:rPr>
        <w:t>2022 target: targeting subnational government institutions in three states: State Revenue Authority, Ministry of Finance and Planning, Ministry of Health, Ministry of Education, State Legislative Assembly.</w:t>
      </w:r>
    </w:p>
  </w:footnote>
  <w:footnote w:id="37">
    <w:p w14:paraId="6B889921" w14:textId="77777777" w:rsidR="005712F8" w:rsidRPr="00CA15F7" w:rsidRDefault="005712F8" w:rsidP="00CA15F7">
      <w:pPr>
        <w:rPr>
          <w:rFonts w:ascii="Verdana" w:hAnsi="Verdana"/>
          <w:sz w:val="16"/>
          <w:szCs w:val="16"/>
        </w:rPr>
      </w:pPr>
      <w:r w:rsidRPr="00CA15F7">
        <w:rPr>
          <w:rStyle w:val="FootnoteReference"/>
          <w:rFonts w:ascii="Verdana" w:hAnsi="Verdana"/>
          <w:sz w:val="16"/>
          <w:szCs w:val="16"/>
        </w:rPr>
        <w:footnoteRef/>
      </w:r>
      <w:r w:rsidRPr="00CA15F7">
        <w:rPr>
          <w:rFonts w:ascii="Verdana" w:hAnsi="Verdana"/>
          <w:sz w:val="16"/>
          <w:szCs w:val="16"/>
        </w:rPr>
        <w:t xml:space="preserve"> The project team may also coordinate with UN agencies such as IOM who works on the issues of remittance, as a potential source of future finance development assistance for SDGs. IOM is currently funding a study on the scale of remittances inflows and outflows of South Sudan and how these are being used by families back home whether for consumption (household needs) or production (investment) purposes. An evidence based regulatory framework is the main outcome of this project with the intention of driving the use of remittances into SDG-related investments. Currently, South Sudan’s remittance cost is 9.66% the highest in Eastern Horn of Africa region. </w:t>
      </w:r>
    </w:p>
  </w:footnote>
  <w:footnote w:id="38">
    <w:p w14:paraId="60B8CB74" w14:textId="0D4924DD" w:rsidR="005712F8" w:rsidRPr="00CA15F7" w:rsidRDefault="005712F8" w:rsidP="00CA15F7">
      <w:pPr>
        <w:rPr>
          <w:rFonts w:ascii="Verdana" w:hAnsi="Verdana"/>
          <w:sz w:val="16"/>
          <w:szCs w:val="16"/>
        </w:rPr>
      </w:pPr>
      <w:r w:rsidRPr="00CA15F7">
        <w:rPr>
          <w:rStyle w:val="FootnoteReference"/>
          <w:rFonts w:ascii="Verdana" w:hAnsi="Verdana"/>
          <w:sz w:val="16"/>
          <w:szCs w:val="16"/>
        </w:rPr>
        <w:footnoteRef/>
      </w:r>
      <w:r w:rsidRPr="00CA15F7">
        <w:rPr>
          <w:rFonts w:ascii="Verdana" w:hAnsi="Verdana"/>
          <w:sz w:val="16"/>
          <w:szCs w:val="16"/>
        </w:rPr>
        <w:t xml:space="preserve"> UNDP Governance &amp; Economic Management Support project in partnership with Norway also a contribution in this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894B" w14:textId="46650B83" w:rsidR="005712F8" w:rsidRPr="00004618" w:rsidRDefault="005712F8" w:rsidP="006F5D97">
    <w:pPr>
      <w:spacing w:line="240" w:lineRule="auto"/>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ED2DCA"/>
    <w:multiLevelType w:val="hybridMultilevel"/>
    <w:tmpl w:val="FC9A87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50BA7"/>
    <w:multiLevelType w:val="hybridMultilevel"/>
    <w:tmpl w:val="7FA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4F1E"/>
    <w:multiLevelType w:val="hybridMultilevel"/>
    <w:tmpl w:val="036CB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BF7CA7"/>
    <w:multiLevelType w:val="hybridMultilevel"/>
    <w:tmpl w:val="8BAA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77307"/>
    <w:multiLevelType w:val="hybridMultilevel"/>
    <w:tmpl w:val="5830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A47BA"/>
    <w:multiLevelType w:val="hybridMultilevel"/>
    <w:tmpl w:val="FD3CAA84"/>
    <w:lvl w:ilvl="0" w:tplc="08D6681C">
      <w:start w:val="1"/>
      <w:numFmt w:val="bullet"/>
      <w:lvlText w:val="-"/>
      <w:lvlJc w:val="left"/>
      <w:pPr>
        <w:ind w:left="1800" w:hanging="360"/>
      </w:pPr>
      <w:rPr>
        <w:rFonts w:ascii="Verdana" w:eastAsia="Verdana" w:hAnsi="Verdana" w:cs="Verdana"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6ED62E2"/>
    <w:multiLevelType w:val="hybridMultilevel"/>
    <w:tmpl w:val="A6826BF2"/>
    <w:lvl w:ilvl="0" w:tplc="0144E0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526E2"/>
    <w:multiLevelType w:val="hybridMultilevel"/>
    <w:tmpl w:val="B6F8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C3FC7"/>
    <w:multiLevelType w:val="multilevel"/>
    <w:tmpl w:val="C9F2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0863C9"/>
    <w:multiLevelType w:val="hybridMultilevel"/>
    <w:tmpl w:val="BE1E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C5F07"/>
    <w:multiLevelType w:val="hybridMultilevel"/>
    <w:tmpl w:val="D3E20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14593B"/>
    <w:multiLevelType w:val="hybridMultilevel"/>
    <w:tmpl w:val="D13E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3711E5"/>
    <w:multiLevelType w:val="hybridMultilevel"/>
    <w:tmpl w:val="26BE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745D6"/>
    <w:multiLevelType w:val="hybridMultilevel"/>
    <w:tmpl w:val="AAD4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E22893"/>
    <w:multiLevelType w:val="multilevel"/>
    <w:tmpl w:val="954C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D05DA6"/>
    <w:multiLevelType w:val="multilevel"/>
    <w:tmpl w:val="F81870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EC6E3A"/>
    <w:multiLevelType w:val="hybridMultilevel"/>
    <w:tmpl w:val="E69A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25036"/>
    <w:multiLevelType w:val="hybridMultilevel"/>
    <w:tmpl w:val="E05A783E"/>
    <w:lvl w:ilvl="0" w:tplc="0144E0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977611"/>
    <w:multiLevelType w:val="multilevel"/>
    <w:tmpl w:val="80409F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8A405DF"/>
    <w:multiLevelType w:val="multilevel"/>
    <w:tmpl w:val="C81EE410"/>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692" w:hanging="61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0145CE"/>
    <w:multiLevelType w:val="hybridMultilevel"/>
    <w:tmpl w:val="65EC8158"/>
    <w:lvl w:ilvl="0" w:tplc="8766D640">
      <w:start w:val="1"/>
      <w:numFmt w:val="bullet"/>
      <w:lvlText w:val=""/>
      <w:lvlJc w:val="left"/>
      <w:pPr>
        <w:tabs>
          <w:tab w:val="num" w:pos="360"/>
        </w:tabs>
        <w:ind w:left="360" w:hanging="360"/>
      </w:pPr>
      <w:rPr>
        <w:rFonts w:ascii="Wingdings" w:hAnsi="Wingdings" w:hint="default"/>
      </w:rPr>
    </w:lvl>
    <w:lvl w:ilvl="1" w:tplc="0F6054BE">
      <w:start w:val="1"/>
      <w:numFmt w:val="bullet"/>
      <w:lvlText w:val=""/>
      <w:lvlJc w:val="left"/>
      <w:pPr>
        <w:tabs>
          <w:tab w:val="num" w:pos="1080"/>
        </w:tabs>
        <w:ind w:left="1080" w:hanging="360"/>
      </w:pPr>
      <w:rPr>
        <w:rFonts w:ascii="Wingdings" w:hAnsi="Wingdings" w:hint="default"/>
      </w:rPr>
    </w:lvl>
    <w:lvl w:ilvl="2" w:tplc="59FEDA22" w:tentative="1">
      <w:start w:val="1"/>
      <w:numFmt w:val="bullet"/>
      <w:lvlText w:val=""/>
      <w:lvlJc w:val="left"/>
      <w:pPr>
        <w:tabs>
          <w:tab w:val="num" w:pos="1800"/>
        </w:tabs>
        <w:ind w:left="1800" w:hanging="360"/>
      </w:pPr>
      <w:rPr>
        <w:rFonts w:ascii="Wingdings" w:hAnsi="Wingdings" w:hint="default"/>
      </w:rPr>
    </w:lvl>
    <w:lvl w:ilvl="3" w:tplc="CD1C6512" w:tentative="1">
      <w:start w:val="1"/>
      <w:numFmt w:val="bullet"/>
      <w:lvlText w:val=""/>
      <w:lvlJc w:val="left"/>
      <w:pPr>
        <w:tabs>
          <w:tab w:val="num" w:pos="2520"/>
        </w:tabs>
        <w:ind w:left="2520" w:hanging="360"/>
      </w:pPr>
      <w:rPr>
        <w:rFonts w:ascii="Wingdings" w:hAnsi="Wingdings" w:hint="default"/>
      </w:rPr>
    </w:lvl>
    <w:lvl w:ilvl="4" w:tplc="C45CAF18" w:tentative="1">
      <w:start w:val="1"/>
      <w:numFmt w:val="bullet"/>
      <w:lvlText w:val=""/>
      <w:lvlJc w:val="left"/>
      <w:pPr>
        <w:tabs>
          <w:tab w:val="num" w:pos="3240"/>
        </w:tabs>
        <w:ind w:left="3240" w:hanging="360"/>
      </w:pPr>
      <w:rPr>
        <w:rFonts w:ascii="Wingdings" w:hAnsi="Wingdings" w:hint="default"/>
      </w:rPr>
    </w:lvl>
    <w:lvl w:ilvl="5" w:tplc="BF12CDD6" w:tentative="1">
      <w:start w:val="1"/>
      <w:numFmt w:val="bullet"/>
      <w:lvlText w:val=""/>
      <w:lvlJc w:val="left"/>
      <w:pPr>
        <w:tabs>
          <w:tab w:val="num" w:pos="3960"/>
        </w:tabs>
        <w:ind w:left="3960" w:hanging="360"/>
      </w:pPr>
      <w:rPr>
        <w:rFonts w:ascii="Wingdings" w:hAnsi="Wingdings" w:hint="default"/>
      </w:rPr>
    </w:lvl>
    <w:lvl w:ilvl="6" w:tplc="139CCD7A" w:tentative="1">
      <w:start w:val="1"/>
      <w:numFmt w:val="bullet"/>
      <w:lvlText w:val=""/>
      <w:lvlJc w:val="left"/>
      <w:pPr>
        <w:tabs>
          <w:tab w:val="num" w:pos="4680"/>
        </w:tabs>
        <w:ind w:left="4680" w:hanging="360"/>
      </w:pPr>
      <w:rPr>
        <w:rFonts w:ascii="Wingdings" w:hAnsi="Wingdings" w:hint="default"/>
      </w:rPr>
    </w:lvl>
    <w:lvl w:ilvl="7" w:tplc="575A7BDE" w:tentative="1">
      <w:start w:val="1"/>
      <w:numFmt w:val="bullet"/>
      <w:lvlText w:val=""/>
      <w:lvlJc w:val="left"/>
      <w:pPr>
        <w:tabs>
          <w:tab w:val="num" w:pos="5400"/>
        </w:tabs>
        <w:ind w:left="5400" w:hanging="360"/>
      </w:pPr>
      <w:rPr>
        <w:rFonts w:ascii="Wingdings" w:hAnsi="Wingdings" w:hint="default"/>
      </w:rPr>
    </w:lvl>
    <w:lvl w:ilvl="8" w:tplc="995C008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A474FEB"/>
    <w:multiLevelType w:val="hybridMultilevel"/>
    <w:tmpl w:val="56CEA830"/>
    <w:lvl w:ilvl="0" w:tplc="B9C42128">
      <w:start w:val="1"/>
      <w:numFmt w:val="bullet"/>
      <w:lvlText w:val="•"/>
      <w:lvlJc w:val="left"/>
      <w:pPr>
        <w:tabs>
          <w:tab w:val="num" w:pos="720"/>
        </w:tabs>
        <w:ind w:left="720" w:hanging="360"/>
      </w:pPr>
      <w:rPr>
        <w:rFonts w:ascii="Arial" w:hAnsi="Arial" w:hint="default"/>
      </w:rPr>
    </w:lvl>
    <w:lvl w:ilvl="1" w:tplc="73089008" w:tentative="1">
      <w:start w:val="1"/>
      <w:numFmt w:val="bullet"/>
      <w:lvlText w:val="•"/>
      <w:lvlJc w:val="left"/>
      <w:pPr>
        <w:tabs>
          <w:tab w:val="num" w:pos="1440"/>
        </w:tabs>
        <w:ind w:left="1440" w:hanging="360"/>
      </w:pPr>
      <w:rPr>
        <w:rFonts w:ascii="Arial" w:hAnsi="Arial" w:hint="default"/>
      </w:rPr>
    </w:lvl>
    <w:lvl w:ilvl="2" w:tplc="F424CB1C" w:tentative="1">
      <w:start w:val="1"/>
      <w:numFmt w:val="bullet"/>
      <w:lvlText w:val="•"/>
      <w:lvlJc w:val="left"/>
      <w:pPr>
        <w:tabs>
          <w:tab w:val="num" w:pos="2160"/>
        </w:tabs>
        <w:ind w:left="2160" w:hanging="360"/>
      </w:pPr>
      <w:rPr>
        <w:rFonts w:ascii="Arial" w:hAnsi="Arial" w:hint="default"/>
      </w:rPr>
    </w:lvl>
    <w:lvl w:ilvl="3" w:tplc="AFF0F8CC" w:tentative="1">
      <w:start w:val="1"/>
      <w:numFmt w:val="bullet"/>
      <w:lvlText w:val="•"/>
      <w:lvlJc w:val="left"/>
      <w:pPr>
        <w:tabs>
          <w:tab w:val="num" w:pos="2880"/>
        </w:tabs>
        <w:ind w:left="2880" w:hanging="360"/>
      </w:pPr>
      <w:rPr>
        <w:rFonts w:ascii="Arial" w:hAnsi="Arial" w:hint="default"/>
      </w:rPr>
    </w:lvl>
    <w:lvl w:ilvl="4" w:tplc="53B6CAC2" w:tentative="1">
      <w:start w:val="1"/>
      <w:numFmt w:val="bullet"/>
      <w:lvlText w:val="•"/>
      <w:lvlJc w:val="left"/>
      <w:pPr>
        <w:tabs>
          <w:tab w:val="num" w:pos="3600"/>
        </w:tabs>
        <w:ind w:left="3600" w:hanging="360"/>
      </w:pPr>
      <w:rPr>
        <w:rFonts w:ascii="Arial" w:hAnsi="Arial" w:hint="default"/>
      </w:rPr>
    </w:lvl>
    <w:lvl w:ilvl="5" w:tplc="12D498B4" w:tentative="1">
      <w:start w:val="1"/>
      <w:numFmt w:val="bullet"/>
      <w:lvlText w:val="•"/>
      <w:lvlJc w:val="left"/>
      <w:pPr>
        <w:tabs>
          <w:tab w:val="num" w:pos="4320"/>
        </w:tabs>
        <w:ind w:left="4320" w:hanging="360"/>
      </w:pPr>
      <w:rPr>
        <w:rFonts w:ascii="Arial" w:hAnsi="Arial" w:hint="default"/>
      </w:rPr>
    </w:lvl>
    <w:lvl w:ilvl="6" w:tplc="D042050C" w:tentative="1">
      <w:start w:val="1"/>
      <w:numFmt w:val="bullet"/>
      <w:lvlText w:val="•"/>
      <w:lvlJc w:val="left"/>
      <w:pPr>
        <w:tabs>
          <w:tab w:val="num" w:pos="5040"/>
        </w:tabs>
        <w:ind w:left="5040" w:hanging="360"/>
      </w:pPr>
      <w:rPr>
        <w:rFonts w:ascii="Arial" w:hAnsi="Arial" w:hint="default"/>
      </w:rPr>
    </w:lvl>
    <w:lvl w:ilvl="7" w:tplc="010CA080" w:tentative="1">
      <w:start w:val="1"/>
      <w:numFmt w:val="bullet"/>
      <w:lvlText w:val="•"/>
      <w:lvlJc w:val="left"/>
      <w:pPr>
        <w:tabs>
          <w:tab w:val="num" w:pos="5760"/>
        </w:tabs>
        <w:ind w:left="5760" w:hanging="360"/>
      </w:pPr>
      <w:rPr>
        <w:rFonts w:ascii="Arial" w:hAnsi="Arial" w:hint="default"/>
      </w:rPr>
    </w:lvl>
    <w:lvl w:ilvl="8" w:tplc="EB8E27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B4268CF"/>
    <w:multiLevelType w:val="hybridMultilevel"/>
    <w:tmpl w:val="2F64798A"/>
    <w:lvl w:ilvl="0" w:tplc="393E5754">
      <w:start w:val="1"/>
      <w:numFmt w:val="bullet"/>
      <w:lvlText w:val=""/>
      <w:lvlJc w:val="left"/>
      <w:pPr>
        <w:ind w:left="720" w:hanging="360"/>
      </w:pPr>
      <w:rPr>
        <w:rFonts w:ascii="Symbol" w:hAnsi="Symbol" w:hint="default"/>
      </w:rPr>
    </w:lvl>
    <w:lvl w:ilvl="1" w:tplc="95820CC4">
      <w:start w:val="1"/>
      <w:numFmt w:val="bullet"/>
      <w:lvlText w:val="o"/>
      <w:lvlJc w:val="left"/>
      <w:pPr>
        <w:ind w:left="1440" w:hanging="360"/>
      </w:pPr>
      <w:rPr>
        <w:rFonts w:ascii="Courier New" w:hAnsi="Courier New" w:hint="default"/>
      </w:rPr>
    </w:lvl>
    <w:lvl w:ilvl="2" w:tplc="F544FDAE">
      <w:start w:val="1"/>
      <w:numFmt w:val="bullet"/>
      <w:lvlText w:val=""/>
      <w:lvlJc w:val="left"/>
      <w:pPr>
        <w:ind w:left="2160" w:hanging="360"/>
      </w:pPr>
      <w:rPr>
        <w:rFonts w:ascii="Wingdings" w:hAnsi="Wingdings" w:hint="default"/>
      </w:rPr>
    </w:lvl>
    <w:lvl w:ilvl="3" w:tplc="8B6E69CA">
      <w:start w:val="1"/>
      <w:numFmt w:val="bullet"/>
      <w:lvlText w:val=""/>
      <w:lvlJc w:val="left"/>
      <w:pPr>
        <w:ind w:left="2880" w:hanging="360"/>
      </w:pPr>
      <w:rPr>
        <w:rFonts w:ascii="Symbol" w:hAnsi="Symbol" w:hint="default"/>
      </w:rPr>
    </w:lvl>
    <w:lvl w:ilvl="4" w:tplc="0C882B88">
      <w:start w:val="1"/>
      <w:numFmt w:val="bullet"/>
      <w:lvlText w:val="o"/>
      <w:lvlJc w:val="left"/>
      <w:pPr>
        <w:ind w:left="3600" w:hanging="360"/>
      </w:pPr>
      <w:rPr>
        <w:rFonts w:ascii="Courier New" w:hAnsi="Courier New" w:hint="default"/>
      </w:rPr>
    </w:lvl>
    <w:lvl w:ilvl="5" w:tplc="59FA24A4">
      <w:start w:val="1"/>
      <w:numFmt w:val="bullet"/>
      <w:lvlText w:val=""/>
      <w:lvlJc w:val="left"/>
      <w:pPr>
        <w:ind w:left="4320" w:hanging="360"/>
      </w:pPr>
      <w:rPr>
        <w:rFonts w:ascii="Wingdings" w:hAnsi="Wingdings" w:hint="default"/>
      </w:rPr>
    </w:lvl>
    <w:lvl w:ilvl="6" w:tplc="EC1A47F2">
      <w:start w:val="1"/>
      <w:numFmt w:val="bullet"/>
      <w:lvlText w:val=""/>
      <w:lvlJc w:val="left"/>
      <w:pPr>
        <w:ind w:left="5040" w:hanging="360"/>
      </w:pPr>
      <w:rPr>
        <w:rFonts w:ascii="Symbol" w:hAnsi="Symbol" w:hint="default"/>
      </w:rPr>
    </w:lvl>
    <w:lvl w:ilvl="7" w:tplc="936ADC0A">
      <w:start w:val="1"/>
      <w:numFmt w:val="bullet"/>
      <w:lvlText w:val="o"/>
      <w:lvlJc w:val="left"/>
      <w:pPr>
        <w:ind w:left="5760" w:hanging="360"/>
      </w:pPr>
      <w:rPr>
        <w:rFonts w:ascii="Courier New" w:hAnsi="Courier New" w:hint="default"/>
      </w:rPr>
    </w:lvl>
    <w:lvl w:ilvl="8" w:tplc="E85A52EA">
      <w:start w:val="1"/>
      <w:numFmt w:val="bullet"/>
      <w:lvlText w:val=""/>
      <w:lvlJc w:val="left"/>
      <w:pPr>
        <w:ind w:left="6480" w:hanging="360"/>
      </w:pPr>
      <w:rPr>
        <w:rFonts w:ascii="Wingdings" w:hAnsi="Wingdings" w:hint="default"/>
      </w:rPr>
    </w:lvl>
  </w:abstractNum>
  <w:abstractNum w:abstractNumId="23" w15:restartNumberingAfterBreak="0">
    <w:nsid w:val="1CF04852"/>
    <w:multiLevelType w:val="multilevel"/>
    <w:tmpl w:val="5888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862718"/>
    <w:multiLevelType w:val="hybridMultilevel"/>
    <w:tmpl w:val="84D8D30A"/>
    <w:lvl w:ilvl="0" w:tplc="0409000F">
      <w:start w:val="1"/>
      <w:numFmt w:val="decimal"/>
      <w:lvlText w:val="%1."/>
      <w:lvlJc w:val="left"/>
      <w:pPr>
        <w:ind w:left="72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A7444C8A">
      <w:start w:val="1"/>
      <w:numFmt w:val="lowerLetter"/>
      <w:lvlText w:val="%3)"/>
      <w:lvlJc w:val="left"/>
      <w:pPr>
        <w:ind w:left="630" w:hanging="360"/>
      </w:pPr>
      <w:rPr>
        <w:rFont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5" w15:restartNumberingAfterBreak="0">
    <w:nsid w:val="1FF65E50"/>
    <w:multiLevelType w:val="hybridMultilevel"/>
    <w:tmpl w:val="959A9D1A"/>
    <w:lvl w:ilvl="0" w:tplc="08090001">
      <w:start w:val="1"/>
      <w:numFmt w:val="bullet"/>
      <w:lvlText w:val=""/>
      <w:lvlJc w:val="left"/>
      <w:pPr>
        <w:ind w:left="63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06E62B4"/>
    <w:multiLevelType w:val="hybridMultilevel"/>
    <w:tmpl w:val="A076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B32860"/>
    <w:multiLevelType w:val="hybridMultilevel"/>
    <w:tmpl w:val="C4AEF930"/>
    <w:lvl w:ilvl="0" w:tplc="AF98061C">
      <w:start w:val="1"/>
      <w:numFmt w:val="bullet"/>
      <w:lvlText w:val=""/>
      <w:lvlJc w:val="left"/>
      <w:pPr>
        <w:ind w:left="720" w:hanging="360"/>
      </w:pPr>
      <w:rPr>
        <w:rFonts w:ascii="Symbol" w:hAnsi="Symbol" w:hint="default"/>
        <w:color w:val="5090CE"/>
      </w:rPr>
    </w:lvl>
    <w:lvl w:ilvl="1" w:tplc="04090003">
      <w:start w:val="1"/>
      <w:numFmt w:val="bullet"/>
      <w:lvlText w:val="o"/>
      <w:lvlJc w:val="left"/>
      <w:pPr>
        <w:ind w:left="1440" w:hanging="360"/>
      </w:pPr>
      <w:rPr>
        <w:rFonts w:ascii="Courier New" w:hAnsi="Courier New" w:cs="Courier New" w:hint="default"/>
      </w:rPr>
    </w:lvl>
    <w:lvl w:ilvl="2" w:tplc="28D6E426">
      <w:start w:val="1"/>
      <w:numFmt w:val="bullet"/>
      <w:lvlText w:val=""/>
      <w:lvlJc w:val="left"/>
      <w:pPr>
        <w:ind w:left="2160" w:hanging="360"/>
      </w:pPr>
      <w:rPr>
        <w:rFonts w:ascii="Wingdings" w:hAnsi="Wingdings" w:hint="default"/>
        <w:color w:val="5090C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7D7D84"/>
    <w:multiLevelType w:val="hybridMultilevel"/>
    <w:tmpl w:val="1078385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637343"/>
    <w:multiLevelType w:val="hybridMultilevel"/>
    <w:tmpl w:val="5F6A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9431B4"/>
    <w:multiLevelType w:val="hybridMultilevel"/>
    <w:tmpl w:val="9306D1C8"/>
    <w:lvl w:ilvl="0" w:tplc="295E8512">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A00B0A"/>
    <w:multiLevelType w:val="multilevel"/>
    <w:tmpl w:val="3D2AC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2E570F1"/>
    <w:multiLevelType w:val="hybridMultilevel"/>
    <w:tmpl w:val="3CAE6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33555ED"/>
    <w:multiLevelType w:val="hybridMultilevel"/>
    <w:tmpl w:val="4EFA34A6"/>
    <w:lvl w:ilvl="0" w:tplc="33967076">
      <w:start w:val="1"/>
      <w:numFmt w:val="bullet"/>
      <w:lvlText w:val=""/>
      <w:lvlJc w:val="left"/>
      <w:pPr>
        <w:ind w:left="720" w:hanging="360"/>
      </w:pPr>
      <w:rPr>
        <w:rFonts w:ascii="Symbol" w:hAnsi="Symbol" w:hint="default"/>
      </w:rPr>
    </w:lvl>
    <w:lvl w:ilvl="1" w:tplc="F6B04244">
      <w:start w:val="1"/>
      <w:numFmt w:val="bullet"/>
      <w:lvlText w:val="o"/>
      <w:lvlJc w:val="left"/>
      <w:pPr>
        <w:ind w:left="1440" w:hanging="360"/>
      </w:pPr>
      <w:rPr>
        <w:rFonts w:ascii="Courier New" w:hAnsi="Courier New" w:hint="default"/>
      </w:rPr>
    </w:lvl>
    <w:lvl w:ilvl="2" w:tplc="7BF0019A">
      <w:start w:val="1"/>
      <w:numFmt w:val="bullet"/>
      <w:lvlText w:val=""/>
      <w:lvlJc w:val="left"/>
      <w:pPr>
        <w:ind w:left="2160" w:hanging="360"/>
      </w:pPr>
      <w:rPr>
        <w:rFonts w:ascii="Wingdings" w:hAnsi="Wingdings" w:hint="default"/>
      </w:rPr>
    </w:lvl>
    <w:lvl w:ilvl="3" w:tplc="C518BC82">
      <w:start w:val="1"/>
      <w:numFmt w:val="bullet"/>
      <w:lvlText w:val=""/>
      <w:lvlJc w:val="left"/>
      <w:pPr>
        <w:ind w:left="2880" w:hanging="360"/>
      </w:pPr>
      <w:rPr>
        <w:rFonts w:ascii="Symbol" w:hAnsi="Symbol" w:hint="default"/>
      </w:rPr>
    </w:lvl>
    <w:lvl w:ilvl="4" w:tplc="51B296D2">
      <w:start w:val="1"/>
      <w:numFmt w:val="bullet"/>
      <w:lvlText w:val="o"/>
      <w:lvlJc w:val="left"/>
      <w:pPr>
        <w:ind w:left="3600" w:hanging="360"/>
      </w:pPr>
      <w:rPr>
        <w:rFonts w:ascii="Courier New" w:hAnsi="Courier New" w:hint="default"/>
      </w:rPr>
    </w:lvl>
    <w:lvl w:ilvl="5" w:tplc="952E7B58">
      <w:start w:val="1"/>
      <w:numFmt w:val="bullet"/>
      <w:lvlText w:val=""/>
      <w:lvlJc w:val="left"/>
      <w:pPr>
        <w:ind w:left="4320" w:hanging="360"/>
      </w:pPr>
      <w:rPr>
        <w:rFonts w:ascii="Wingdings" w:hAnsi="Wingdings" w:hint="default"/>
      </w:rPr>
    </w:lvl>
    <w:lvl w:ilvl="6" w:tplc="3DFEC776">
      <w:start w:val="1"/>
      <w:numFmt w:val="bullet"/>
      <w:lvlText w:val=""/>
      <w:lvlJc w:val="left"/>
      <w:pPr>
        <w:ind w:left="5040" w:hanging="360"/>
      </w:pPr>
      <w:rPr>
        <w:rFonts w:ascii="Symbol" w:hAnsi="Symbol" w:hint="default"/>
      </w:rPr>
    </w:lvl>
    <w:lvl w:ilvl="7" w:tplc="B5AABE30">
      <w:start w:val="1"/>
      <w:numFmt w:val="bullet"/>
      <w:lvlText w:val="o"/>
      <w:lvlJc w:val="left"/>
      <w:pPr>
        <w:ind w:left="5760" w:hanging="360"/>
      </w:pPr>
      <w:rPr>
        <w:rFonts w:ascii="Courier New" w:hAnsi="Courier New" w:hint="default"/>
      </w:rPr>
    </w:lvl>
    <w:lvl w:ilvl="8" w:tplc="E3B430D0">
      <w:start w:val="1"/>
      <w:numFmt w:val="bullet"/>
      <w:lvlText w:val=""/>
      <w:lvlJc w:val="left"/>
      <w:pPr>
        <w:ind w:left="6480" w:hanging="360"/>
      </w:pPr>
      <w:rPr>
        <w:rFonts w:ascii="Wingdings" w:hAnsi="Wingdings" w:hint="default"/>
      </w:rPr>
    </w:lvl>
  </w:abstractNum>
  <w:abstractNum w:abstractNumId="34" w15:restartNumberingAfterBreak="0">
    <w:nsid w:val="250E402F"/>
    <w:multiLevelType w:val="hybridMultilevel"/>
    <w:tmpl w:val="324A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D34198"/>
    <w:multiLevelType w:val="hybridMultilevel"/>
    <w:tmpl w:val="6C9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734464"/>
    <w:multiLevelType w:val="multilevel"/>
    <w:tmpl w:val="EFF06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814C80"/>
    <w:multiLevelType w:val="hybridMultilevel"/>
    <w:tmpl w:val="8B32A2A2"/>
    <w:lvl w:ilvl="0" w:tplc="08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B39549F"/>
    <w:multiLevelType w:val="hybridMultilevel"/>
    <w:tmpl w:val="5AC4A42E"/>
    <w:lvl w:ilvl="0" w:tplc="0144E09E">
      <w:start w:val="1"/>
      <w:numFmt w:val="bullet"/>
      <w:lvlText w:val=""/>
      <w:lvlJc w:val="left"/>
      <w:pPr>
        <w:tabs>
          <w:tab w:val="num" w:pos="360"/>
        </w:tabs>
        <w:ind w:left="360" w:hanging="360"/>
      </w:pPr>
      <w:rPr>
        <w:rFonts w:ascii="Wingdings" w:hAnsi="Wingdings" w:hint="default"/>
      </w:rPr>
    </w:lvl>
    <w:lvl w:ilvl="1" w:tplc="C4C427FC">
      <w:start w:val="1"/>
      <w:numFmt w:val="bullet"/>
      <w:lvlText w:val=""/>
      <w:lvlJc w:val="left"/>
      <w:pPr>
        <w:tabs>
          <w:tab w:val="num" w:pos="1080"/>
        </w:tabs>
        <w:ind w:left="1080" w:hanging="360"/>
      </w:pPr>
      <w:rPr>
        <w:rFonts w:ascii="Wingdings" w:hAnsi="Wingdings" w:hint="default"/>
      </w:rPr>
    </w:lvl>
    <w:lvl w:ilvl="2" w:tplc="64AA6A50" w:tentative="1">
      <w:start w:val="1"/>
      <w:numFmt w:val="bullet"/>
      <w:lvlText w:val=""/>
      <w:lvlJc w:val="left"/>
      <w:pPr>
        <w:tabs>
          <w:tab w:val="num" w:pos="1800"/>
        </w:tabs>
        <w:ind w:left="1800" w:hanging="360"/>
      </w:pPr>
      <w:rPr>
        <w:rFonts w:ascii="Wingdings" w:hAnsi="Wingdings" w:hint="default"/>
      </w:rPr>
    </w:lvl>
    <w:lvl w:ilvl="3" w:tplc="E54C1D5E" w:tentative="1">
      <w:start w:val="1"/>
      <w:numFmt w:val="bullet"/>
      <w:lvlText w:val=""/>
      <w:lvlJc w:val="left"/>
      <w:pPr>
        <w:tabs>
          <w:tab w:val="num" w:pos="2520"/>
        </w:tabs>
        <w:ind w:left="2520" w:hanging="360"/>
      </w:pPr>
      <w:rPr>
        <w:rFonts w:ascii="Wingdings" w:hAnsi="Wingdings" w:hint="default"/>
      </w:rPr>
    </w:lvl>
    <w:lvl w:ilvl="4" w:tplc="106C48A2" w:tentative="1">
      <w:start w:val="1"/>
      <w:numFmt w:val="bullet"/>
      <w:lvlText w:val=""/>
      <w:lvlJc w:val="left"/>
      <w:pPr>
        <w:tabs>
          <w:tab w:val="num" w:pos="3240"/>
        </w:tabs>
        <w:ind w:left="3240" w:hanging="360"/>
      </w:pPr>
      <w:rPr>
        <w:rFonts w:ascii="Wingdings" w:hAnsi="Wingdings" w:hint="default"/>
      </w:rPr>
    </w:lvl>
    <w:lvl w:ilvl="5" w:tplc="F0E8B60E" w:tentative="1">
      <w:start w:val="1"/>
      <w:numFmt w:val="bullet"/>
      <w:lvlText w:val=""/>
      <w:lvlJc w:val="left"/>
      <w:pPr>
        <w:tabs>
          <w:tab w:val="num" w:pos="3960"/>
        </w:tabs>
        <w:ind w:left="3960" w:hanging="360"/>
      </w:pPr>
      <w:rPr>
        <w:rFonts w:ascii="Wingdings" w:hAnsi="Wingdings" w:hint="default"/>
      </w:rPr>
    </w:lvl>
    <w:lvl w:ilvl="6" w:tplc="E77E6DAE" w:tentative="1">
      <w:start w:val="1"/>
      <w:numFmt w:val="bullet"/>
      <w:lvlText w:val=""/>
      <w:lvlJc w:val="left"/>
      <w:pPr>
        <w:tabs>
          <w:tab w:val="num" w:pos="4680"/>
        </w:tabs>
        <w:ind w:left="4680" w:hanging="360"/>
      </w:pPr>
      <w:rPr>
        <w:rFonts w:ascii="Wingdings" w:hAnsi="Wingdings" w:hint="default"/>
      </w:rPr>
    </w:lvl>
    <w:lvl w:ilvl="7" w:tplc="1C1E22AC" w:tentative="1">
      <w:start w:val="1"/>
      <w:numFmt w:val="bullet"/>
      <w:lvlText w:val=""/>
      <w:lvlJc w:val="left"/>
      <w:pPr>
        <w:tabs>
          <w:tab w:val="num" w:pos="5400"/>
        </w:tabs>
        <w:ind w:left="5400" w:hanging="360"/>
      </w:pPr>
      <w:rPr>
        <w:rFonts w:ascii="Wingdings" w:hAnsi="Wingdings" w:hint="default"/>
      </w:rPr>
    </w:lvl>
    <w:lvl w:ilvl="8" w:tplc="A300D0FE"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2C4C2B4E"/>
    <w:multiLevelType w:val="hybridMultilevel"/>
    <w:tmpl w:val="1F6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E200D3"/>
    <w:multiLevelType w:val="multilevel"/>
    <w:tmpl w:val="ABD455B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2F254B36"/>
    <w:multiLevelType w:val="hybridMultilevel"/>
    <w:tmpl w:val="6ADE5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D0E6E"/>
    <w:multiLevelType w:val="hybridMultilevel"/>
    <w:tmpl w:val="679A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AD5925"/>
    <w:multiLevelType w:val="multilevel"/>
    <w:tmpl w:val="657CE0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3591EBC"/>
    <w:multiLevelType w:val="hybridMultilevel"/>
    <w:tmpl w:val="517C9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5960920"/>
    <w:multiLevelType w:val="hybridMultilevel"/>
    <w:tmpl w:val="EFF059D8"/>
    <w:lvl w:ilvl="0" w:tplc="0144E0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4E769D"/>
    <w:multiLevelType w:val="hybridMultilevel"/>
    <w:tmpl w:val="873807AC"/>
    <w:lvl w:ilvl="0" w:tplc="98B4A3FE">
      <w:start w:val="1"/>
      <w:numFmt w:val="bullet"/>
      <w:lvlText w:val=""/>
      <w:lvlJc w:val="left"/>
      <w:pPr>
        <w:ind w:left="720" w:hanging="360"/>
      </w:pPr>
      <w:rPr>
        <w:rFonts w:ascii="Symbol" w:hAnsi="Symbol" w:hint="default"/>
      </w:rPr>
    </w:lvl>
    <w:lvl w:ilvl="1" w:tplc="B4B06DF0">
      <w:start w:val="1"/>
      <w:numFmt w:val="bullet"/>
      <w:lvlText w:val="o"/>
      <w:lvlJc w:val="left"/>
      <w:pPr>
        <w:ind w:left="1440" w:hanging="360"/>
      </w:pPr>
      <w:rPr>
        <w:rFonts w:ascii="Courier New" w:hAnsi="Courier New" w:hint="default"/>
      </w:rPr>
    </w:lvl>
    <w:lvl w:ilvl="2" w:tplc="06424AA2">
      <w:start w:val="1"/>
      <w:numFmt w:val="bullet"/>
      <w:lvlText w:val=""/>
      <w:lvlJc w:val="left"/>
      <w:pPr>
        <w:ind w:left="2160" w:hanging="360"/>
      </w:pPr>
      <w:rPr>
        <w:rFonts w:ascii="Wingdings" w:hAnsi="Wingdings" w:hint="default"/>
      </w:rPr>
    </w:lvl>
    <w:lvl w:ilvl="3" w:tplc="970293A2">
      <w:start w:val="1"/>
      <w:numFmt w:val="bullet"/>
      <w:lvlText w:val=""/>
      <w:lvlJc w:val="left"/>
      <w:pPr>
        <w:ind w:left="2880" w:hanging="360"/>
      </w:pPr>
      <w:rPr>
        <w:rFonts w:ascii="Symbol" w:hAnsi="Symbol" w:hint="default"/>
      </w:rPr>
    </w:lvl>
    <w:lvl w:ilvl="4" w:tplc="253CBEF2">
      <w:start w:val="1"/>
      <w:numFmt w:val="bullet"/>
      <w:lvlText w:val="o"/>
      <w:lvlJc w:val="left"/>
      <w:pPr>
        <w:ind w:left="3600" w:hanging="360"/>
      </w:pPr>
      <w:rPr>
        <w:rFonts w:ascii="Courier New" w:hAnsi="Courier New" w:hint="default"/>
      </w:rPr>
    </w:lvl>
    <w:lvl w:ilvl="5" w:tplc="C1FC8C70">
      <w:start w:val="1"/>
      <w:numFmt w:val="bullet"/>
      <w:lvlText w:val=""/>
      <w:lvlJc w:val="left"/>
      <w:pPr>
        <w:ind w:left="4320" w:hanging="360"/>
      </w:pPr>
      <w:rPr>
        <w:rFonts w:ascii="Wingdings" w:hAnsi="Wingdings" w:hint="default"/>
      </w:rPr>
    </w:lvl>
    <w:lvl w:ilvl="6" w:tplc="0D524D94">
      <w:start w:val="1"/>
      <w:numFmt w:val="bullet"/>
      <w:lvlText w:val=""/>
      <w:lvlJc w:val="left"/>
      <w:pPr>
        <w:ind w:left="5040" w:hanging="360"/>
      </w:pPr>
      <w:rPr>
        <w:rFonts w:ascii="Symbol" w:hAnsi="Symbol" w:hint="default"/>
      </w:rPr>
    </w:lvl>
    <w:lvl w:ilvl="7" w:tplc="B5D4331A">
      <w:start w:val="1"/>
      <w:numFmt w:val="bullet"/>
      <w:lvlText w:val="o"/>
      <w:lvlJc w:val="left"/>
      <w:pPr>
        <w:ind w:left="5760" w:hanging="360"/>
      </w:pPr>
      <w:rPr>
        <w:rFonts w:ascii="Courier New" w:hAnsi="Courier New" w:hint="default"/>
      </w:rPr>
    </w:lvl>
    <w:lvl w:ilvl="8" w:tplc="CB04D508">
      <w:start w:val="1"/>
      <w:numFmt w:val="bullet"/>
      <w:lvlText w:val=""/>
      <w:lvlJc w:val="left"/>
      <w:pPr>
        <w:ind w:left="6480" w:hanging="360"/>
      </w:pPr>
      <w:rPr>
        <w:rFonts w:ascii="Wingdings" w:hAnsi="Wingdings" w:hint="default"/>
      </w:rPr>
    </w:lvl>
  </w:abstractNum>
  <w:abstractNum w:abstractNumId="47" w15:restartNumberingAfterBreak="0">
    <w:nsid w:val="37CC589E"/>
    <w:multiLevelType w:val="hybridMultilevel"/>
    <w:tmpl w:val="BBC2896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8320782"/>
    <w:multiLevelType w:val="hybridMultilevel"/>
    <w:tmpl w:val="926A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512EDE"/>
    <w:multiLevelType w:val="hybridMultilevel"/>
    <w:tmpl w:val="6E88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727892"/>
    <w:multiLevelType w:val="hybridMultilevel"/>
    <w:tmpl w:val="9E90AB14"/>
    <w:lvl w:ilvl="0" w:tplc="B2109E56">
      <w:start w:val="1"/>
      <w:numFmt w:val="bullet"/>
      <w:lvlText w:val=""/>
      <w:lvlJc w:val="left"/>
      <w:pPr>
        <w:tabs>
          <w:tab w:val="num" w:pos="720"/>
        </w:tabs>
        <w:ind w:left="720" w:hanging="360"/>
      </w:pPr>
      <w:rPr>
        <w:rFonts w:ascii="Wingdings" w:hAnsi="Wingdings" w:hint="default"/>
      </w:rPr>
    </w:lvl>
    <w:lvl w:ilvl="1" w:tplc="C360E462">
      <w:start w:val="1"/>
      <w:numFmt w:val="bullet"/>
      <w:lvlText w:val=""/>
      <w:lvlJc w:val="left"/>
      <w:pPr>
        <w:tabs>
          <w:tab w:val="num" w:pos="1440"/>
        </w:tabs>
        <w:ind w:left="1440" w:hanging="360"/>
      </w:pPr>
      <w:rPr>
        <w:rFonts w:ascii="Wingdings" w:hAnsi="Wingdings" w:hint="default"/>
      </w:rPr>
    </w:lvl>
    <w:lvl w:ilvl="2" w:tplc="FEE42B5A">
      <w:numFmt w:val="bullet"/>
      <w:lvlText w:val=""/>
      <w:lvlJc w:val="left"/>
      <w:pPr>
        <w:tabs>
          <w:tab w:val="num" w:pos="2160"/>
        </w:tabs>
        <w:ind w:left="2160" w:hanging="360"/>
      </w:pPr>
      <w:rPr>
        <w:rFonts w:ascii="Wingdings" w:hAnsi="Wingdings" w:hint="default"/>
      </w:rPr>
    </w:lvl>
    <w:lvl w:ilvl="3" w:tplc="929E3CDA" w:tentative="1">
      <w:start w:val="1"/>
      <w:numFmt w:val="bullet"/>
      <w:lvlText w:val=""/>
      <w:lvlJc w:val="left"/>
      <w:pPr>
        <w:tabs>
          <w:tab w:val="num" w:pos="2880"/>
        </w:tabs>
        <w:ind w:left="2880" w:hanging="360"/>
      </w:pPr>
      <w:rPr>
        <w:rFonts w:ascii="Wingdings" w:hAnsi="Wingdings" w:hint="default"/>
      </w:rPr>
    </w:lvl>
    <w:lvl w:ilvl="4" w:tplc="C0109F84" w:tentative="1">
      <w:start w:val="1"/>
      <w:numFmt w:val="bullet"/>
      <w:lvlText w:val=""/>
      <w:lvlJc w:val="left"/>
      <w:pPr>
        <w:tabs>
          <w:tab w:val="num" w:pos="3600"/>
        </w:tabs>
        <w:ind w:left="3600" w:hanging="360"/>
      </w:pPr>
      <w:rPr>
        <w:rFonts w:ascii="Wingdings" w:hAnsi="Wingdings" w:hint="default"/>
      </w:rPr>
    </w:lvl>
    <w:lvl w:ilvl="5" w:tplc="0DE09186" w:tentative="1">
      <w:start w:val="1"/>
      <w:numFmt w:val="bullet"/>
      <w:lvlText w:val=""/>
      <w:lvlJc w:val="left"/>
      <w:pPr>
        <w:tabs>
          <w:tab w:val="num" w:pos="4320"/>
        </w:tabs>
        <w:ind w:left="4320" w:hanging="360"/>
      </w:pPr>
      <w:rPr>
        <w:rFonts w:ascii="Wingdings" w:hAnsi="Wingdings" w:hint="default"/>
      </w:rPr>
    </w:lvl>
    <w:lvl w:ilvl="6" w:tplc="45D44E1E" w:tentative="1">
      <w:start w:val="1"/>
      <w:numFmt w:val="bullet"/>
      <w:lvlText w:val=""/>
      <w:lvlJc w:val="left"/>
      <w:pPr>
        <w:tabs>
          <w:tab w:val="num" w:pos="5040"/>
        </w:tabs>
        <w:ind w:left="5040" w:hanging="360"/>
      </w:pPr>
      <w:rPr>
        <w:rFonts w:ascii="Wingdings" w:hAnsi="Wingdings" w:hint="default"/>
      </w:rPr>
    </w:lvl>
    <w:lvl w:ilvl="7" w:tplc="3F8A1B6E" w:tentative="1">
      <w:start w:val="1"/>
      <w:numFmt w:val="bullet"/>
      <w:lvlText w:val=""/>
      <w:lvlJc w:val="left"/>
      <w:pPr>
        <w:tabs>
          <w:tab w:val="num" w:pos="5760"/>
        </w:tabs>
        <w:ind w:left="5760" w:hanging="360"/>
      </w:pPr>
      <w:rPr>
        <w:rFonts w:ascii="Wingdings" w:hAnsi="Wingdings" w:hint="default"/>
      </w:rPr>
    </w:lvl>
    <w:lvl w:ilvl="8" w:tplc="9FC4CB0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F7C42B3"/>
    <w:multiLevelType w:val="hybridMultilevel"/>
    <w:tmpl w:val="9582099C"/>
    <w:lvl w:ilvl="0" w:tplc="08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0B81901"/>
    <w:multiLevelType w:val="hybridMultilevel"/>
    <w:tmpl w:val="983CA96E"/>
    <w:lvl w:ilvl="0" w:tplc="ED72ECB6">
      <w:start w:val="9"/>
      <w:numFmt w:val="bullet"/>
      <w:lvlText w:val="-"/>
      <w:lvlJc w:val="left"/>
      <w:pPr>
        <w:ind w:left="630" w:hanging="360"/>
      </w:pPr>
      <w:rPr>
        <w:rFonts w:ascii="Verdana" w:eastAsia="Calibri" w:hAnsi="Verdana"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32D4AF2"/>
    <w:multiLevelType w:val="hybridMultilevel"/>
    <w:tmpl w:val="DABA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F84FFA"/>
    <w:multiLevelType w:val="multilevel"/>
    <w:tmpl w:val="000E8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6892D0E"/>
    <w:multiLevelType w:val="multilevel"/>
    <w:tmpl w:val="6DC49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7A715E4"/>
    <w:multiLevelType w:val="hybridMultilevel"/>
    <w:tmpl w:val="DEB434B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92F54C5"/>
    <w:multiLevelType w:val="hybridMultilevel"/>
    <w:tmpl w:val="A69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B15105"/>
    <w:multiLevelType w:val="hybridMultilevel"/>
    <w:tmpl w:val="D5AC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011FF8"/>
    <w:multiLevelType w:val="hybridMultilevel"/>
    <w:tmpl w:val="705C0D36"/>
    <w:lvl w:ilvl="0" w:tplc="34EA5FE0">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0D75F6"/>
    <w:multiLevelType w:val="hybridMultilevel"/>
    <w:tmpl w:val="7A4C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0B0CF1"/>
    <w:multiLevelType w:val="hybridMultilevel"/>
    <w:tmpl w:val="7AE2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000079"/>
    <w:multiLevelType w:val="hybridMultilevel"/>
    <w:tmpl w:val="A6C455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B86129"/>
    <w:multiLevelType w:val="hybridMultilevel"/>
    <w:tmpl w:val="AE964224"/>
    <w:lvl w:ilvl="0" w:tplc="08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4DA7ECE"/>
    <w:multiLevelType w:val="hybridMultilevel"/>
    <w:tmpl w:val="42F65F5C"/>
    <w:lvl w:ilvl="0" w:tplc="C7D6E30E">
      <w:start w:val="1"/>
      <w:numFmt w:val="bullet"/>
      <w:lvlText w:val=""/>
      <w:lvlJc w:val="left"/>
      <w:pPr>
        <w:ind w:left="720" w:hanging="360"/>
      </w:pPr>
      <w:rPr>
        <w:rFonts w:ascii="Symbol" w:hAnsi="Symbol" w:hint="default"/>
        <w:color w:val="5090C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EA6F7B"/>
    <w:multiLevelType w:val="hybridMultilevel"/>
    <w:tmpl w:val="2424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9C81581"/>
    <w:multiLevelType w:val="hybridMultilevel"/>
    <w:tmpl w:val="CED2EFA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221F30"/>
    <w:multiLevelType w:val="hybridMultilevel"/>
    <w:tmpl w:val="510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442057"/>
    <w:multiLevelType w:val="hybridMultilevel"/>
    <w:tmpl w:val="DEF4FA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0A2613"/>
    <w:multiLevelType w:val="hybridMultilevel"/>
    <w:tmpl w:val="BF3CF16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0" w15:restartNumberingAfterBreak="0">
    <w:nsid w:val="5D181B86"/>
    <w:multiLevelType w:val="hybridMultilevel"/>
    <w:tmpl w:val="3F1448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1" w15:restartNumberingAfterBreak="0">
    <w:nsid w:val="5D747B8A"/>
    <w:multiLevelType w:val="hybridMultilevel"/>
    <w:tmpl w:val="5C76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A707D3"/>
    <w:multiLevelType w:val="hybridMultilevel"/>
    <w:tmpl w:val="D744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B63383"/>
    <w:multiLevelType w:val="hybridMultilevel"/>
    <w:tmpl w:val="46E2A0F4"/>
    <w:lvl w:ilvl="0" w:tplc="08090001">
      <w:start w:val="1"/>
      <w:numFmt w:val="bullet"/>
      <w:lvlText w:val=""/>
      <w:lvlJc w:val="left"/>
      <w:pPr>
        <w:ind w:left="63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2854FAD"/>
    <w:multiLevelType w:val="hybridMultilevel"/>
    <w:tmpl w:val="7A5202DE"/>
    <w:lvl w:ilvl="0" w:tplc="3BBAE00C">
      <w:start w:val="1"/>
      <w:numFmt w:val="lowerLetter"/>
      <w:lvlText w:val="%1."/>
      <w:lvlJc w:val="left"/>
      <w:pPr>
        <w:ind w:left="360" w:hanging="360"/>
      </w:pPr>
      <w:rPr>
        <w:rFonts w:hint="default"/>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2B21BFD"/>
    <w:multiLevelType w:val="hybridMultilevel"/>
    <w:tmpl w:val="C40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3F2382"/>
    <w:multiLevelType w:val="hybridMultilevel"/>
    <w:tmpl w:val="BBB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B70372"/>
    <w:multiLevelType w:val="hybridMultilevel"/>
    <w:tmpl w:val="D5E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51057"/>
    <w:multiLevelType w:val="hybridMultilevel"/>
    <w:tmpl w:val="B3D8EC74"/>
    <w:lvl w:ilvl="0" w:tplc="0409000F">
      <w:start w:val="1"/>
      <w:numFmt w:val="decimal"/>
      <w:lvlText w:val="%1."/>
      <w:lvlJc w:val="left"/>
      <w:pPr>
        <w:ind w:left="72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A7444C8A">
      <w:start w:val="1"/>
      <w:numFmt w:val="lowerLetter"/>
      <w:lvlText w:val="%3)"/>
      <w:lvlJc w:val="left"/>
      <w:pPr>
        <w:ind w:left="3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7951293"/>
    <w:multiLevelType w:val="multilevel"/>
    <w:tmpl w:val="9CDC4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7CB118C"/>
    <w:multiLevelType w:val="hybridMultilevel"/>
    <w:tmpl w:val="DAB2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20403A"/>
    <w:multiLevelType w:val="hybridMultilevel"/>
    <w:tmpl w:val="6D04AA32"/>
    <w:lvl w:ilvl="0" w:tplc="C1E8587C">
      <w:start w:val="1"/>
      <w:numFmt w:val="bullet"/>
      <w:lvlText w:val=""/>
      <w:lvlJc w:val="left"/>
      <w:pPr>
        <w:ind w:left="720" w:hanging="360"/>
      </w:pPr>
      <w:rPr>
        <w:rFonts w:ascii="Symbol" w:hAnsi="Symbol" w:hint="default"/>
      </w:rPr>
    </w:lvl>
    <w:lvl w:ilvl="1" w:tplc="E4A41B86">
      <w:start w:val="1"/>
      <w:numFmt w:val="bullet"/>
      <w:lvlText w:val="o"/>
      <w:lvlJc w:val="left"/>
      <w:pPr>
        <w:ind w:left="1440" w:hanging="360"/>
      </w:pPr>
      <w:rPr>
        <w:rFonts w:ascii="Courier New" w:hAnsi="Courier New" w:hint="default"/>
      </w:rPr>
    </w:lvl>
    <w:lvl w:ilvl="2" w:tplc="45203D58">
      <w:start w:val="1"/>
      <w:numFmt w:val="bullet"/>
      <w:lvlText w:val=""/>
      <w:lvlJc w:val="left"/>
      <w:pPr>
        <w:ind w:left="2160" w:hanging="360"/>
      </w:pPr>
      <w:rPr>
        <w:rFonts w:ascii="Wingdings" w:hAnsi="Wingdings" w:hint="default"/>
      </w:rPr>
    </w:lvl>
    <w:lvl w:ilvl="3" w:tplc="BBB838BE">
      <w:start w:val="1"/>
      <w:numFmt w:val="bullet"/>
      <w:lvlText w:val=""/>
      <w:lvlJc w:val="left"/>
      <w:pPr>
        <w:ind w:left="2880" w:hanging="360"/>
      </w:pPr>
      <w:rPr>
        <w:rFonts w:ascii="Symbol" w:hAnsi="Symbol" w:hint="default"/>
      </w:rPr>
    </w:lvl>
    <w:lvl w:ilvl="4" w:tplc="5F84CD0C">
      <w:start w:val="1"/>
      <w:numFmt w:val="bullet"/>
      <w:lvlText w:val="o"/>
      <w:lvlJc w:val="left"/>
      <w:pPr>
        <w:ind w:left="3600" w:hanging="360"/>
      </w:pPr>
      <w:rPr>
        <w:rFonts w:ascii="Courier New" w:hAnsi="Courier New" w:hint="default"/>
      </w:rPr>
    </w:lvl>
    <w:lvl w:ilvl="5" w:tplc="DAC2F45E">
      <w:start w:val="1"/>
      <w:numFmt w:val="bullet"/>
      <w:lvlText w:val=""/>
      <w:lvlJc w:val="left"/>
      <w:pPr>
        <w:ind w:left="4320" w:hanging="360"/>
      </w:pPr>
      <w:rPr>
        <w:rFonts w:ascii="Wingdings" w:hAnsi="Wingdings" w:hint="default"/>
      </w:rPr>
    </w:lvl>
    <w:lvl w:ilvl="6" w:tplc="4AF28E6E">
      <w:start w:val="1"/>
      <w:numFmt w:val="bullet"/>
      <w:lvlText w:val=""/>
      <w:lvlJc w:val="left"/>
      <w:pPr>
        <w:ind w:left="5040" w:hanging="360"/>
      </w:pPr>
      <w:rPr>
        <w:rFonts w:ascii="Symbol" w:hAnsi="Symbol" w:hint="default"/>
      </w:rPr>
    </w:lvl>
    <w:lvl w:ilvl="7" w:tplc="8D0EE53C">
      <w:start w:val="1"/>
      <w:numFmt w:val="bullet"/>
      <w:lvlText w:val="o"/>
      <w:lvlJc w:val="left"/>
      <w:pPr>
        <w:ind w:left="5760" w:hanging="360"/>
      </w:pPr>
      <w:rPr>
        <w:rFonts w:ascii="Courier New" w:hAnsi="Courier New" w:hint="default"/>
      </w:rPr>
    </w:lvl>
    <w:lvl w:ilvl="8" w:tplc="F51E2A2C">
      <w:start w:val="1"/>
      <w:numFmt w:val="bullet"/>
      <w:lvlText w:val=""/>
      <w:lvlJc w:val="left"/>
      <w:pPr>
        <w:ind w:left="6480" w:hanging="360"/>
      </w:pPr>
      <w:rPr>
        <w:rFonts w:ascii="Wingdings" w:hAnsi="Wingdings" w:hint="default"/>
      </w:rPr>
    </w:lvl>
  </w:abstractNum>
  <w:abstractNum w:abstractNumId="82" w15:restartNumberingAfterBreak="0">
    <w:nsid w:val="69830E3A"/>
    <w:multiLevelType w:val="hybridMultilevel"/>
    <w:tmpl w:val="DEF0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F0E4929"/>
    <w:multiLevelType w:val="hybridMultilevel"/>
    <w:tmpl w:val="CEF2D916"/>
    <w:lvl w:ilvl="0" w:tplc="C6D8D9B8">
      <w:start w:val="1"/>
      <w:numFmt w:val="bullet"/>
      <w:lvlText w:val=""/>
      <w:lvlJc w:val="left"/>
      <w:pPr>
        <w:tabs>
          <w:tab w:val="num" w:pos="720"/>
        </w:tabs>
        <w:ind w:left="720" w:hanging="360"/>
      </w:pPr>
      <w:rPr>
        <w:rFonts w:ascii="Wingdings" w:hAnsi="Wingdings" w:hint="default"/>
      </w:rPr>
    </w:lvl>
    <w:lvl w:ilvl="1" w:tplc="25660A16">
      <w:start w:val="1"/>
      <w:numFmt w:val="bullet"/>
      <w:lvlText w:val=""/>
      <w:lvlJc w:val="left"/>
      <w:pPr>
        <w:tabs>
          <w:tab w:val="num" w:pos="1440"/>
        </w:tabs>
        <w:ind w:left="1440" w:hanging="360"/>
      </w:pPr>
      <w:rPr>
        <w:rFonts w:ascii="Wingdings" w:hAnsi="Wingdings" w:hint="default"/>
      </w:rPr>
    </w:lvl>
    <w:lvl w:ilvl="2" w:tplc="51F233F4" w:tentative="1">
      <w:start w:val="1"/>
      <w:numFmt w:val="bullet"/>
      <w:lvlText w:val=""/>
      <w:lvlJc w:val="left"/>
      <w:pPr>
        <w:tabs>
          <w:tab w:val="num" w:pos="2160"/>
        </w:tabs>
        <w:ind w:left="2160" w:hanging="360"/>
      </w:pPr>
      <w:rPr>
        <w:rFonts w:ascii="Wingdings" w:hAnsi="Wingdings" w:hint="default"/>
      </w:rPr>
    </w:lvl>
    <w:lvl w:ilvl="3" w:tplc="7EE20C7E" w:tentative="1">
      <w:start w:val="1"/>
      <w:numFmt w:val="bullet"/>
      <w:lvlText w:val=""/>
      <w:lvlJc w:val="left"/>
      <w:pPr>
        <w:tabs>
          <w:tab w:val="num" w:pos="2880"/>
        </w:tabs>
        <w:ind w:left="2880" w:hanging="360"/>
      </w:pPr>
      <w:rPr>
        <w:rFonts w:ascii="Wingdings" w:hAnsi="Wingdings" w:hint="default"/>
      </w:rPr>
    </w:lvl>
    <w:lvl w:ilvl="4" w:tplc="8E6A111C" w:tentative="1">
      <w:start w:val="1"/>
      <w:numFmt w:val="bullet"/>
      <w:lvlText w:val=""/>
      <w:lvlJc w:val="left"/>
      <w:pPr>
        <w:tabs>
          <w:tab w:val="num" w:pos="3600"/>
        </w:tabs>
        <w:ind w:left="3600" w:hanging="360"/>
      </w:pPr>
      <w:rPr>
        <w:rFonts w:ascii="Wingdings" w:hAnsi="Wingdings" w:hint="default"/>
      </w:rPr>
    </w:lvl>
    <w:lvl w:ilvl="5" w:tplc="AD82D4A2" w:tentative="1">
      <w:start w:val="1"/>
      <w:numFmt w:val="bullet"/>
      <w:lvlText w:val=""/>
      <w:lvlJc w:val="left"/>
      <w:pPr>
        <w:tabs>
          <w:tab w:val="num" w:pos="4320"/>
        </w:tabs>
        <w:ind w:left="4320" w:hanging="360"/>
      </w:pPr>
      <w:rPr>
        <w:rFonts w:ascii="Wingdings" w:hAnsi="Wingdings" w:hint="default"/>
      </w:rPr>
    </w:lvl>
    <w:lvl w:ilvl="6" w:tplc="096A8BC2" w:tentative="1">
      <w:start w:val="1"/>
      <w:numFmt w:val="bullet"/>
      <w:lvlText w:val=""/>
      <w:lvlJc w:val="left"/>
      <w:pPr>
        <w:tabs>
          <w:tab w:val="num" w:pos="5040"/>
        </w:tabs>
        <w:ind w:left="5040" w:hanging="360"/>
      </w:pPr>
      <w:rPr>
        <w:rFonts w:ascii="Wingdings" w:hAnsi="Wingdings" w:hint="default"/>
      </w:rPr>
    </w:lvl>
    <w:lvl w:ilvl="7" w:tplc="26AAB8E2" w:tentative="1">
      <w:start w:val="1"/>
      <w:numFmt w:val="bullet"/>
      <w:lvlText w:val=""/>
      <w:lvlJc w:val="left"/>
      <w:pPr>
        <w:tabs>
          <w:tab w:val="num" w:pos="5760"/>
        </w:tabs>
        <w:ind w:left="5760" w:hanging="360"/>
      </w:pPr>
      <w:rPr>
        <w:rFonts w:ascii="Wingdings" w:hAnsi="Wingdings" w:hint="default"/>
      </w:rPr>
    </w:lvl>
    <w:lvl w:ilvl="8" w:tplc="64BA9090"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26E3EB6"/>
    <w:multiLevelType w:val="multilevel"/>
    <w:tmpl w:val="0766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2EF070E"/>
    <w:multiLevelType w:val="hybridMultilevel"/>
    <w:tmpl w:val="EBEA200C"/>
    <w:lvl w:ilvl="0" w:tplc="B1E4FEF6">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2A3D64"/>
    <w:multiLevelType w:val="hybridMultilevel"/>
    <w:tmpl w:val="BE58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5940AED"/>
    <w:multiLevelType w:val="multilevel"/>
    <w:tmpl w:val="D1567534"/>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59B0966"/>
    <w:multiLevelType w:val="multilevel"/>
    <w:tmpl w:val="8EA6E7B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5BC0C77"/>
    <w:multiLevelType w:val="hybridMultilevel"/>
    <w:tmpl w:val="CBEE0364"/>
    <w:lvl w:ilvl="0" w:tplc="0144E09E">
      <w:start w:val="1"/>
      <w:numFmt w:val="bullet"/>
      <w:lvlText w:val=""/>
      <w:lvlJc w:val="left"/>
      <w:pPr>
        <w:tabs>
          <w:tab w:val="num" w:pos="720"/>
        </w:tabs>
        <w:ind w:left="720" w:hanging="360"/>
      </w:pPr>
      <w:rPr>
        <w:rFonts w:ascii="Wingdings" w:hAnsi="Wingdings" w:hint="default"/>
      </w:rPr>
    </w:lvl>
    <w:lvl w:ilvl="1" w:tplc="E5069F04">
      <w:start w:val="1"/>
      <w:numFmt w:val="bullet"/>
      <w:lvlText w:val="•"/>
      <w:lvlJc w:val="left"/>
      <w:pPr>
        <w:tabs>
          <w:tab w:val="num" w:pos="1440"/>
        </w:tabs>
        <w:ind w:left="1440" w:hanging="360"/>
      </w:pPr>
      <w:rPr>
        <w:rFonts w:ascii="Arial" w:hAnsi="Arial" w:hint="default"/>
      </w:rPr>
    </w:lvl>
    <w:lvl w:ilvl="2" w:tplc="C9B24866">
      <w:start w:val="1"/>
      <w:numFmt w:val="bullet"/>
      <w:lvlText w:val="•"/>
      <w:lvlJc w:val="left"/>
      <w:pPr>
        <w:tabs>
          <w:tab w:val="num" w:pos="2160"/>
        </w:tabs>
        <w:ind w:left="2160" w:hanging="360"/>
      </w:pPr>
      <w:rPr>
        <w:rFonts w:ascii="Arial" w:hAnsi="Arial" w:hint="default"/>
      </w:rPr>
    </w:lvl>
    <w:lvl w:ilvl="3" w:tplc="FC9ECDCC" w:tentative="1">
      <w:start w:val="1"/>
      <w:numFmt w:val="bullet"/>
      <w:lvlText w:val="•"/>
      <w:lvlJc w:val="left"/>
      <w:pPr>
        <w:tabs>
          <w:tab w:val="num" w:pos="2880"/>
        </w:tabs>
        <w:ind w:left="2880" w:hanging="360"/>
      </w:pPr>
      <w:rPr>
        <w:rFonts w:ascii="Arial" w:hAnsi="Arial" w:hint="default"/>
      </w:rPr>
    </w:lvl>
    <w:lvl w:ilvl="4" w:tplc="A726C734" w:tentative="1">
      <w:start w:val="1"/>
      <w:numFmt w:val="bullet"/>
      <w:lvlText w:val="•"/>
      <w:lvlJc w:val="left"/>
      <w:pPr>
        <w:tabs>
          <w:tab w:val="num" w:pos="3600"/>
        </w:tabs>
        <w:ind w:left="3600" w:hanging="360"/>
      </w:pPr>
      <w:rPr>
        <w:rFonts w:ascii="Arial" w:hAnsi="Arial" w:hint="default"/>
      </w:rPr>
    </w:lvl>
    <w:lvl w:ilvl="5" w:tplc="CA8625E6" w:tentative="1">
      <w:start w:val="1"/>
      <w:numFmt w:val="bullet"/>
      <w:lvlText w:val="•"/>
      <w:lvlJc w:val="left"/>
      <w:pPr>
        <w:tabs>
          <w:tab w:val="num" w:pos="4320"/>
        </w:tabs>
        <w:ind w:left="4320" w:hanging="360"/>
      </w:pPr>
      <w:rPr>
        <w:rFonts w:ascii="Arial" w:hAnsi="Arial" w:hint="default"/>
      </w:rPr>
    </w:lvl>
    <w:lvl w:ilvl="6" w:tplc="3EBAF4BA" w:tentative="1">
      <w:start w:val="1"/>
      <w:numFmt w:val="bullet"/>
      <w:lvlText w:val="•"/>
      <w:lvlJc w:val="left"/>
      <w:pPr>
        <w:tabs>
          <w:tab w:val="num" w:pos="5040"/>
        </w:tabs>
        <w:ind w:left="5040" w:hanging="360"/>
      </w:pPr>
      <w:rPr>
        <w:rFonts w:ascii="Arial" w:hAnsi="Arial" w:hint="default"/>
      </w:rPr>
    </w:lvl>
    <w:lvl w:ilvl="7" w:tplc="4B544C1A" w:tentative="1">
      <w:start w:val="1"/>
      <w:numFmt w:val="bullet"/>
      <w:lvlText w:val="•"/>
      <w:lvlJc w:val="left"/>
      <w:pPr>
        <w:tabs>
          <w:tab w:val="num" w:pos="5760"/>
        </w:tabs>
        <w:ind w:left="5760" w:hanging="360"/>
      </w:pPr>
      <w:rPr>
        <w:rFonts w:ascii="Arial" w:hAnsi="Arial" w:hint="default"/>
      </w:rPr>
    </w:lvl>
    <w:lvl w:ilvl="8" w:tplc="00E0E22A"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6211387"/>
    <w:multiLevelType w:val="hybridMultilevel"/>
    <w:tmpl w:val="8A7C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7485A4B"/>
    <w:multiLevelType w:val="hybridMultilevel"/>
    <w:tmpl w:val="7ED2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311B47"/>
    <w:multiLevelType w:val="hybridMultilevel"/>
    <w:tmpl w:val="EDE885A4"/>
    <w:lvl w:ilvl="0" w:tplc="08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E05CC1"/>
    <w:multiLevelType w:val="hybridMultilevel"/>
    <w:tmpl w:val="2E445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DE91F8C"/>
    <w:multiLevelType w:val="hybridMultilevel"/>
    <w:tmpl w:val="C24A0D32"/>
    <w:lvl w:ilvl="0" w:tplc="AD94826A">
      <w:start w:val="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265A54"/>
    <w:multiLevelType w:val="hybridMultilevel"/>
    <w:tmpl w:val="78BEAD80"/>
    <w:lvl w:ilvl="0" w:tplc="B4407E26">
      <w:start w:val="1"/>
      <w:numFmt w:val="bullet"/>
      <w:lvlText w:val=""/>
      <w:lvlJc w:val="left"/>
      <w:pPr>
        <w:ind w:left="1080" w:hanging="72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22"/>
  </w:num>
  <w:num w:numId="3">
    <w:abstractNumId w:val="27"/>
  </w:num>
  <w:num w:numId="4">
    <w:abstractNumId w:val="85"/>
  </w:num>
  <w:num w:numId="5">
    <w:abstractNumId w:val="59"/>
  </w:num>
  <w:num w:numId="6">
    <w:abstractNumId w:val="70"/>
  </w:num>
  <w:num w:numId="7">
    <w:abstractNumId w:val="64"/>
  </w:num>
  <w:num w:numId="8">
    <w:abstractNumId w:val="95"/>
  </w:num>
  <w:num w:numId="9">
    <w:abstractNumId w:val="5"/>
  </w:num>
  <w:num w:numId="10">
    <w:abstractNumId w:val="94"/>
  </w:num>
  <w:num w:numId="11">
    <w:abstractNumId w:val="52"/>
  </w:num>
  <w:num w:numId="12">
    <w:abstractNumId w:val="30"/>
  </w:num>
  <w:num w:numId="13">
    <w:abstractNumId w:val="40"/>
  </w:num>
  <w:num w:numId="1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num>
  <w:num w:numId="16">
    <w:abstractNumId w:val="72"/>
  </w:num>
  <w:num w:numId="17">
    <w:abstractNumId w:val="38"/>
  </w:num>
  <w:num w:numId="18">
    <w:abstractNumId w:val="20"/>
  </w:num>
  <w:num w:numId="19">
    <w:abstractNumId w:val="50"/>
  </w:num>
  <w:num w:numId="20">
    <w:abstractNumId w:val="83"/>
  </w:num>
  <w:num w:numId="21">
    <w:abstractNumId w:val="78"/>
  </w:num>
  <w:num w:numId="22">
    <w:abstractNumId w:val="24"/>
  </w:num>
  <w:num w:numId="23">
    <w:abstractNumId w:val="45"/>
  </w:num>
  <w:num w:numId="24">
    <w:abstractNumId w:val="89"/>
  </w:num>
  <w:num w:numId="25">
    <w:abstractNumId w:val="6"/>
  </w:num>
  <w:num w:numId="26">
    <w:abstractNumId w:val="17"/>
  </w:num>
  <w:num w:numId="27">
    <w:abstractNumId w:val="61"/>
  </w:num>
  <w:num w:numId="28">
    <w:abstractNumId w:val="16"/>
  </w:num>
  <w:num w:numId="29">
    <w:abstractNumId w:val="39"/>
  </w:num>
  <w:num w:numId="30">
    <w:abstractNumId w:val="7"/>
  </w:num>
  <w:num w:numId="31">
    <w:abstractNumId w:val="60"/>
  </w:num>
  <w:num w:numId="32">
    <w:abstractNumId w:val="67"/>
  </w:num>
  <w:num w:numId="33">
    <w:abstractNumId w:val="4"/>
  </w:num>
  <w:num w:numId="34">
    <w:abstractNumId w:val="35"/>
  </w:num>
  <w:num w:numId="35">
    <w:abstractNumId w:val="75"/>
  </w:num>
  <w:num w:numId="36">
    <w:abstractNumId w:val="29"/>
  </w:num>
  <w:num w:numId="37">
    <w:abstractNumId w:val="9"/>
  </w:num>
  <w:num w:numId="38">
    <w:abstractNumId w:val="1"/>
  </w:num>
  <w:num w:numId="39">
    <w:abstractNumId w:val="91"/>
  </w:num>
  <w:num w:numId="40">
    <w:abstractNumId w:val="58"/>
  </w:num>
  <w:num w:numId="41">
    <w:abstractNumId w:val="34"/>
  </w:num>
  <w:num w:numId="42">
    <w:abstractNumId w:val="77"/>
  </w:num>
  <w:num w:numId="43">
    <w:abstractNumId w:val="11"/>
  </w:num>
  <w:num w:numId="44">
    <w:abstractNumId w:val="12"/>
  </w:num>
  <w:num w:numId="45">
    <w:abstractNumId w:val="48"/>
  </w:num>
  <w:num w:numId="46">
    <w:abstractNumId w:val="76"/>
  </w:num>
  <w:num w:numId="47">
    <w:abstractNumId w:val="57"/>
  </w:num>
  <w:num w:numId="48">
    <w:abstractNumId w:val="10"/>
  </w:num>
  <w:num w:numId="49">
    <w:abstractNumId w:val="41"/>
  </w:num>
  <w:num w:numId="50">
    <w:abstractNumId w:val="62"/>
  </w:num>
  <w:num w:numId="51">
    <w:abstractNumId w:val="68"/>
  </w:num>
  <w:num w:numId="52">
    <w:abstractNumId w:val="53"/>
  </w:num>
  <w:num w:numId="53">
    <w:abstractNumId w:val="56"/>
  </w:num>
  <w:num w:numId="54">
    <w:abstractNumId w:val="2"/>
  </w:num>
  <w:num w:numId="55">
    <w:abstractNumId w:val="47"/>
  </w:num>
  <w:num w:numId="56">
    <w:abstractNumId w:val="66"/>
  </w:num>
  <w:num w:numId="57">
    <w:abstractNumId w:val="8"/>
  </w:num>
  <w:num w:numId="58">
    <w:abstractNumId w:val="36"/>
  </w:num>
  <w:num w:numId="59">
    <w:abstractNumId w:val="74"/>
  </w:num>
  <w:num w:numId="60">
    <w:abstractNumId w:val="84"/>
  </w:num>
  <w:num w:numId="61">
    <w:abstractNumId w:val="19"/>
  </w:num>
  <w:num w:numId="62">
    <w:abstractNumId w:val="28"/>
  </w:num>
  <w:num w:numId="63">
    <w:abstractNumId w:val="23"/>
  </w:num>
  <w:num w:numId="64">
    <w:abstractNumId w:val="46"/>
  </w:num>
  <w:num w:numId="65">
    <w:abstractNumId w:val="33"/>
  </w:num>
  <w:num w:numId="66">
    <w:abstractNumId w:val="71"/>
  </w:num>
  <w:num w:numId="67">
    <w:abstractNumId w:val="37"/>
  </w:num>
  <w:num w:numId="68">
    <w:abstractNumId w:val="80"/>
  </w:num>
  <w:num w:numId="69">
    <w:abstractNumId w:val="51"/>
  </w:num>
  <w:num w:numId="70">
    <w:abstractNumId w:val="92"/>
  </w:num>
  <w:num w:numId="71">
    <w:abstractNumId w:val="63"/>
  </w:num>
  <w:num w:numId="72">
    <w:abstractNumId w:val="14"/>
  </w:num>
  <w:num w:numId="73">
    <w:abstractNumId w:val="15"/>
  </w:num>
  <w:num w:numId="74">
    <w:abstractNumId w:val="31"/>
  </w:num>
  <w:num w:numId="75">
    <w:abstractNumId w:val="54"/>
  </w:num>
  <w:num w:numId="76">
    <w:abstractNumId w:val="79"/>
  </w:num>
  <w:num w:numId="77">
    <w:abstractNumId w:val="55"/>
  </w:num>
  <w:num w:numId="78">
    <w:abstractNumId w:val="42"/>
  </w:num>
  <w:num w:numId="79">
    <w:abstractNumId w:val="25"/>
  </w:num>
  <w:num w:numId="80">
    <w:abstractNumId w:val="73"/>
  </w:num>
  <w:num w:numId="81">
    <w:abstractNumId w:val="82"/>
  </w:num>
  <w:num w:numId="82">
    <w:abstractNumId w:val="65"/>
  </w:num>
  <w:num w:numId="83">
    <w:abstractNumId w:val="69"/>
  </w:num>
  <w:num w:numId="84">
    <w:abstractNumId w:val="44"/>
  </w:num>
  <w:num w:numId="85">
    <w:abstractNumId w:val="93"/>
  </w:num>
  <w:num w:numId="86">
    <w:abstractNumId w:val="32"/>
  </w:num>
  <w:num w:numId="87">
    <w:abstractNumId w:val="18"/>
  </w:num>
  <w:num w:numId="88">
    <w:abstractNumId w:val="43"/>
  </w:num>
  <w:num w:numId="89">
    <w:abstractNumId w:val="26"/>
  </w:num>
  <w:num w:numId="90">
    <w:abstractNumId w:val="49"/>
  </w:num>
  <w:num w:numId="91">
    <w:abstractNumId w:val="86"/>
  </w:num>
  <w:num w:numId="92">
    <w:abstractNumId w:val="90"/>
  </w:num>
  <w:num w:numId="93">
    <w:abstractNumId w:val="3"/>
  </w:num>
  <w:num w:numId="94">
    <w:abstractNumId w:val="13"/>
  </w:num>
  <w:num w:numId="95">
    <w:abstractNumId w:val="21"/>
  </w:num>
  <w:num w:numId="96">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AC"/>
    <w:rsid w:val="00000945"/>
    <w:rsid w:val="000019FF"/>
    <w:rsid w:val="00001B43"/>
    <w:rsid w:val="000020FF"/>
    <w:rsid w:val="0000234C"/>
    <w:rsid w:val="000024B4"/>
    <w:rsid w:val="00004B48"/>
    <w:rsid w:val="000051B1"/>
    <w:rsid w:val="000054B8"/>
    <w:rsid w:val="000066BF"/>
    <w:rsid w:val="000069BF"/>
    <w:rsid w:val="00006CF9"/>
    <w:rsid w:val="00010C6B"/>
    <w:rsid w:val="000124F4"/>
    <w:rsid w:val="000125A8"/>
    <w:rsid w:val="00012BF7"/>
    <w:rsid w:val="000140D0"/>
    <w:rsid w:val="00014592"/>
    <w:rsid w:val="00014E2E"/>
    <w:rsid w:val="00016AA2"/>
    <w:rsid w:val="00016CA2"/>
    <w:rsid w:val="000179EB"/>
    <w:rsid w:val="000179F0"/>
    <w:rsid w:val="000201FB"/>
    <w:rsid w:val="00021970"/>
    <w:rsid w:val="000219B3"/>
    <w:rsid w:val="00021AB5"/>
    <w:rsid w:val="00021C91"/>
    <w:rsid w:val="000224AF"/>
    <w:rsid w:val="00023901"/>
    <w:rsid w:val="000264B3"/>
    <w:rsid w:val="000277C4"/>
    <w:rsid w:val="00027914"/>
    <w:rsid w:val="00027FFC"/>
    <w:rsid w:val="000309B4"/>
    <w:rsid w:val="00033E62"/>
    <w:rsid w:val="00034062"/>
    <w:rsid w:val="000346BA"/>
    <w:rsid w:val="00034A64"/>
    <w:rsid w:val="00034D75"/>
    <w:rsid w:val="000359D7"/>
    <w:rsid w:val="0003657D"/>
    <w:rsid w:val="00037490"/>
    <w:rsid w:val="000404F2"/>
    <w:rsid w:val="00042453"/>
    <w:rsid w:val="00043880"/>
    <w:rsid w:val="00044545"/>
    <w:rsid w:val="00045956"/>
    <w:rsid w:val="000460DF"/>
    <w:rsid w:val="000470AB"/>
    <w:rsid w:val="000477AF"/>
    <w:rsid w:val="00047C70"/>
    <w:rsid w:val="000514CC"/>
    <w:rsid w:val="00051661"/>
    <w:rsid w:val="00053B62"/>
    <w:rsid w:val="00054065"/>
    <w:rsid w:val="00054786"/>
    <w:rsid w:val="0005773D"/>
    <w:rsid w:val="000605C6"/>
    <w:rsid w:val="00062613"/>
    <w:rsid w:val="00062C58"/>
    <w:rsid w:val="00063075"/>
    <w:rsid w:val="00063487"/>
    <w:rsid w:val="0006382D"/>
    <w:rsid w:val="00064330"/>
    <w:rsid w:val="00064F4A"/>
    <w:rsid w:val="00066220"/>
    <w:rsid w:val="000671C3"/>
    <w:rsid w:val="000673C4"/>
    <w:rsid w:val="00067F9F"/>
    <w:rsid w:val="00070B04"/>
    <w:rsid w:val="000715BD"/>
    <w:rsid w:val="0007162C"/>
    <w:rsid w:val="000716F9"/>
    <w:rsid w:val="00072FCC"/>
    <w:rsid w:val="0007520B"/>
    <w:rsid w:val="00075AD5"/>
    <w:rsid w:val="00076109"/>
    <w:rsid w:val="00076274"/>
    <w:rsid w:val="0007693F"/>
    <w:rsid w:val="00076A3F"/>
    <w:rsid w:val="000775B3"/>
    <w:rsid w:val="000815BA"/>
    <w:rsid w:val="0008181C"/>
    <w:rsid w:val="000842D3"/>
    <w:rsid w:val="00085B49"/>
    <w:rsid w:val="00086534"/>
    <w:rsid w:val="000871BD"/>
    <w:rsid w:val="00087534"/>
    <w:rsid w:val="00090153"/>
    <w:rsid w:val="00090FBD"/>
    <w:rsid w:val="000913E9"/>
    <w:rsid w:val="00091785"/>
    <w:rsid w:val="00091DC5"/>
    <w:rsid w:val="00094CAC"/>
    <w:rsid w:val="00095A04"/>
    <w:rsid w:val="000965A8"/>
    <w:rsid w:val="000969BD"/>
    <w:rsid w:val="00096BA3"/>
    <w:rsid w:val="00096E38"/>
    <w:rsid w:val="00096EA6"/>
    <w:rsid w:val="000972A7"/>
    <w:rsid w:val="000A0593"/>
    <w:rsid w:val="000A0F6E"/>
    <w:rsid w:val="000A1124"/>
    <w:rsid w:val="000A1663"/>
    <w:rsid w:val="000A1BA0"/>
    <w:rsid w:val="000A23CD"/>
    <w:rsid w:val="000A2804"/>
    <w:rsid w:val="000A31BB"/>
    <w:rsid w:val="000A397F"/>
    <w:rsid w:val="000A4313"/>
    <w:rsid w:val="000A4534"/>
    <w:rsid w:val="000A49CC"/>
    <w:rsid w:val="000A6C31"/>
    <w:rsid w:val="000A74D2"/>
    <w:rsid w:val="000A7910"/>
    <w:rsid w:val="000B0D7D"/>
    <w:rsid w:val="000B12DB"/>
    <w:rsid w:val="000B19B8"/>
    <w:rsid w:val="000B1FDC"/>
    <w:rsid w:val="000B21E3"/>
    <w:rsid w:val="000B22FD"/>
    <w:rsid w:val="000B2620"/>
    <w:rsid w:val="000B29EC"/>
    <w:rsid w:val="000B4CAE"/>
    <w:rsid w:val="000B4F28"/>
    <w:rsid w:val="000B5AEF"/>
    <w:rsid w:val="000B5D77"/>
    <w:rsid w:val="000C06D7"/>
    <w:rsid w:val="000C0730"/>
    <w:rsid w:val="000C0989"/>
    <w:rsid w:val="000C0F5E"/>
    <w:rsid w:val="000C1918"/>
    <w:rsid w:val="000C1E0D"/>
    <w:rsid w:val="000C1EFB"/>
    <w:rsid w:val="000C2763"/>
    <w:rsid w:val="000C2A63"/>
    <w:rsid w:val="000C2E32"/>
    <w:rsid w:val="000C3093"/>
    <w:rsid w:val="000C4BF7"/>
    <w:rsid w:val="000C617B"/>
    <w:rsid w:val="000C6268"/>
    <w:rsid w:val="000C70EF"/>
    <w:rsid w:val="000D00AA"/>
    <w:rsid w:val="000D01D2"/>
    <w:rsid w:val="000D07BA"/>
    <w:rsid w:val="000D09A8"/>
    <w:rsid w:val="000D0BAB"/>
    <w:rsid w:val="000D0D08"/>
    <w:rsid w:val="000D15EA"/>
    <w:rsid w:val="000D244B"/>
    <w:rsid w:val="000D3011"/>
    <w:rsid w:val="000D4765"/>
    <w:rsid w:val="000D4962"/>
    <w:rsid w:val="000D5ACA"/>
    <w:rsid w:val="000D78A0"/>
    <w:rsid w:val="000E0A4F"/>
    <w:rsid w:val="000E0B1A"/>
    <w:rsid w:val="000E1DAB"/>
    <w:rsid w:val="000E32B3"/>
    <w:rsid w:val="000E43A0"/>
    <w:rsid w:val="000E46BB"/>
    <w:rsid w:val="000E483C"/>
    <w:rsid w:val="000E56C4"/>
    <w:rsid w:val="000E5F37"/>
    <w:rsid w:val="000E6D10"/>
    <w:rsid w:val="000F0367"/>
    <w:rsid w:val="000F0DAB"/>
    <w:rsid w:val="000F181C"/>
    <w:rsid w:val="000F2429"/>
    <w:rsid w:val="000F2724"/>
    <w:rsid w:val="000F2E74"/>
    <w:rsid w:val="000F30D0"/>
    <w:rsid w:val="000F38AC"/>
    <w:rsid w:val="000F3C90"/>
    <w:rsid w:val="000F3EAE"/>
    <w:rsid w:val="000F408C"/>
    <w:rsid w:val="000F4270"/>
    <w:rsid w:val="000F4D2D"/>
    <w:rsid w:val="000F528F"/>
    <w:rsid w:val="000F5C53"/>
    <w:rsid w:val="000F632D"/>
    <w:rsid w:val="000F67C0"/>
    <w:rsid w:val="000F71FD"/>
    <w:rsid w:val="00100D75"/>
    <w:rsid w:val="001019EA"/>
    <w:rsid w:val="0010225B"/>
    <w:rsid w:val="00102C00"/>
    <w:rsid w:val="00103A12"/>
    <w:rsid w:val="0010446F"/>
    <w:rsid w:val="00104BC8"/>
    <w:rsid w:val="00104D13"/>
    <w:rsid w:val="00104DD7"/>
    <w:rsid w:val="001068E8"/>
    <w:rsid w:val="00110CD1"/>
    <w:rsid w:val="00110CE5"/>
    <w:rsid w:val="00110E13"/>
    <w:rsid w:val="00111225"/>
    <w:rsid w:val="00113423"/>
    <w:rsid w:val="00114357"/>
    <w:rsid w:val="00114416"/>
    <w:rsid w:val="00114AF5"/>
    <w:rsid w:val="00115069"/>
    <w:rsid w:val="001156A1"/>
    <w:rsid w:val="00116A9C"/>
    <w:rsid w:val="00117C20"/>
    <w:rsid w:val="00120834"/>
    <w:rsid w:val="001209EB"/>
    <w:rsid w:val="001214D3"/>
    <w:rsid w:val="00121B2E"/>
    <w:rsid w:val="001229D9"/>
    <w:rsid w:val="00122B23"/>
    <w:rsid w:val="00123BA9"/>
    <w:rsid w:val="001240A7"/>
    <w:rsid w:val="001254EE"/>
    <w:rsid w:val="00125773"/>
    <w:rsid w:val="00126181"/>
    <w:rsid w:val="0012631E"/>
    <w:rsid w:val="0012677B"/>
    <w:rsid w:val="00126967"/>
    <w:rsid w:val="00126A4C"/>
    <w:rsid w:val="00131DA9"/>
    <w:rsid w:val="001347FC"/>
    <w:rsid w:val="00134B02"/>
    <w:rsid w:val="00134BEA"/>
    <w:rsid w:val="001357AD"/>
    <w:rsid w:val="00135FA6"/>
    <w:rsid w:val="001366BA"/>
    <w:rsid w:val="00137DDD"/>
    <w:rsid w:val="001403D5"/>
    <w:rsid w:val="0014043F"/>
    <w:rsid w:val="00141066"/>
    <w:rsid w:val="00141D19"/>
    <w:rsid w:val="00142C7B"/>
    <w:rsid w:val="00144608"/>
    <w:rsid w:val="00144BDE"/>
    <w:rsid w:val="00145EB9"/>
    <w:rsid w:val="00146BC5"/>
    <w:rsid w:val="00150196"/>
    <w:rsid w:val="001502CC"/>
    <w:rsid w:val="001514DA"/>
    <w:rsid w:val="0015281F"/>
    <w:rsid w:val="00152D26"/>
    <w:rsid w:val="00155F24"/>
    <w:rsid w:val="00155F8D"/>
    <w:rsid w:val="001565B9"/>
    <w:rsid w:val="00156E1F"/>
    <w:rsid w:val="00157105"/>
    <w:rsid w:val="00160EE4"/>
    <w:rsid w:val="00160F1C"/>
    <w:rsid w:val="001618A7"/>
    <w:rsid w:val="00162D38"/>
    <w:rsid w:val="00163832"/>
    <w:rsid w:val="0016386D"/>
    <w:rsid w:val="001644A3"/>
    <w:rsid w:val="0016798B"/>
    <w:rsid w:val="00170556"/>
    <w:rsid w:val="00170AE8"/>
    <w:rsid w:val="0017176E"/>
    <w:rsid w:val="00171928"/>
    <w:rsid w:val="0017228B"/>
    <w:rsid w:val="00173230"/>
    <w:rsid w:val="0017335A"/>
    <w:rsid w:val="00173C73"/>
    <w:rsid w:val="00173F41"/>
    <w:rsid w:val="00175445"/>
    <w:rsid w:val="0017580A"/>
    <w:rsid w:val="00175DF8"/>
    <w:rsid w:val="00176AC5"/>
    <w:rsid w:val="00177DC7"/>
    <w:rsid w:val="00182712"/>
    <w:rsid w:val="001829E0"/>
    <w:rsid w:val="001831B8"/>
    <w:rsid w:val="0018332F"/>
    <w:rsid w:val="00183805"/>
    <w:rsid w:val="00183A44"/>
    <w:rsid w:val="00184D09"/>
    <w:rsid w:val="0018500C"/>
    <w:rsid w:val="00185606"/>
    <w:rsid w:val="00185871"/>
    <w:rsid w:val="00185C5D"/>
    <w:rsid w:val="00186074"/>
    <w:rsid w:val="001864F0"/>
    <w:rsid w:val="0018756C"/>
    <w:rsid w:val="00187953"/>
    <w:rsid w:val="00191D1E"/>
    <w:rsid w:val="001924E0"/>
    <w:rsid w:val="001929B4"/>
    <w:rsid w:val="00194585"/>
    <w:rsid w:val="00195A1C"/>
    <w:rsid w:val="00195D0F"/>
    <w:rsid w:val="001966BD"/>
    <w:rsid w:val="001A0D2B"/>
    <w:rsid w:val="001A230A"/>
    <w:rsid w:val="001A2E3C"/>
    <w:rsid w:val="001A2F8E"/>
    <w:rsid w:val="001A44D3"/>
    <w:rsid w:val="001A48F1"/>
    <w:rsid w:val="001A4AB1"/>
    <w:rsid w:val="001A590D"/>
    <w:rsid w:val="001A5C9C"/>
    <w:rsid w:val="001A5D3E"/>
    <w:rsid w:val="001A5EE6"/>
    <w:rsid w:val="001A5F68"/>
    <w:rsid w:val="001A62CD"/>
    <w:rsid w:val="001A741F"/>
    <w:rsid w:val="001A7A7D"/>
    <w:rsid w:val="001B093C"/>
    <w:rsid w:val="001B0C3C"/>
    <w:rsid w:val="001B14DA"/>
    <w:rsid w:val="001B37B5"/>
    <w:rsid w:val="001B38F0"/>
    <w:rsid w:val="001B4181"/>
    <w:rsid w:val="001B474E"/>
    <w:rsid w:val="001B615D"/>
    <w:rsid w:val="001B734F"/>
    <w:rsid w:val="001B738B"/>
    <w:rsid w:val="001B7406"/>
    <w:rsid w:val="001B7812"/>
    <w:rsid w:val="001B7F57"/>
    <w:rsid w:val="001C00B5"/>
    <w:rsid w:val="001C06CE"/>
    <w:rsid w:val="001C0B63"/>
    <w:rsid w:val="001C13F8"/>
    <w:rsid w:val="001C191F"/>
    <w:rsid w:val="001C1C08"/>
    <w:rsid w:val="001C587B"/>
    <w:rsid w:val="001C58D7"/>
    <w:rsid w:val="001C59B9"/>
    <w:rsid w:val="001C6E97"/>
    <w:rsid w:val="001C7599"/>
    <w:rsid w:val="001D007E"/>
    <w:rsid w:val="001D123A"/>
    <w:rsid w:val="001D1966"/>
    <w:rsid w:val="001D1A27"/>
    <w:rsid w:val="001D1EBD"/>
    <w:rsid w:val="001D2308"/>
    <w:rsid w:val="001D2489"/>
    <w:rsid w:val="001D26ED"/>
    <w:rsid w:val="001D2FFB"/>
    <w:rsid w:val="001D4D08"/>
    <w:rsid w:val="001D4FCD"/>
    <w:rsid w:val="001D53A4"/>
    <w:rsid w:val="001D6FDF"/>
    <w:rsid w:val="001D7BC7"/>
    <w:rsid w:val="001D7E91"/>
    <w:rsid w:val="001E0932"/>
    <w:rsid w:val="001E0B6B"/>
    <w:rsid w:val="001E0F2A"/>
    <w:rsid w:val="001E33C0"/>
    <w:rsid w:val="001E434B"/>
    <w:rsid w:val="001E4707"/>
    <w:rsid w:val="001E5059"/>
    <w:rsid w:val="001E5AFD"/>
    <w:rsid w:val="001E7017"/>
    <w:rsid w:val="001E73E8"/>
    <w:rsid w:val="001E7B9F"/>
    <w:rsid w:val="001F0E85"/>
    <w:rsid w:val="001F17E8"/>
    <w:rsid w:val="001F20D8"/>
    <w:rsid w:val="001F2C1A"/>
    <w:rsid w:val="001F2D2A"/>
    <w:rsid w:val="001F40C3"/>
    <w:rsid w:val="001F4823"/>
    <w:rsid w:val="001F5365"/>
    <w:rsid w:val="001F5F19"/>
    <w:rsid w:val="001F6138"/>
    <w:rsid w:val="001F71DB"/>
    <w:rsid w:val="001F77BD"/>
    <w:rsid w:val="001F7945"/>
    <w:rsid w:val="00201E8B"/>
    <w:rsid w:val="0020229D"/>
    <w:rsid w:val="00202D36"/>
    <w:rsid w:val="0020391F"/>
    <w:rsid w:val="0020413E"/>
    <w:rsid w:val="00204515"/>
    <w:rsid w:val="00210161"/>
    <w:rsid w:val="0021023D"/>
    <w:rsid w:val="00212953"/>
    <w:rsid w:val="0021327E"/>
    <w:rsid w:val="00213837"/>
    <w:rsid w:val="00213F0C"/>
    <w:rsid w:val="00214252"/>
    <w:rsid w:val="00214D45"/>
    <w:rsid w:val="002154E1"/>
    <w:rsid w:val="00215BBA"/>
    <w:rsid w:val="00216551"/>
    <w:rsid w:val="00216AA6"/>
    <w:rsid w:val="00216E98"/>
    <w:rsid w:val="002173C0"/>
    <w:rsid w:val="00217467"/>
    <w:rsid w:val="00217FAA"/>
    <w:rsid w:val="00220353"/>
    <w:rsid w:val="00221165"/>
    <w:rsid w:val="00221944"/>
    <w:rsid w:val="00221B25"/>
    <w:rsid w:val="00221CA6"/>
    <w:rsid w:val="00222460"/>
    <w:rsid w:val="00222AB1"/>
    <w:rsid w:val="002243F5"/>
    <w:rsid w:val="00224D67"/>
    <w:rsid w:val="00225E94"/>
    <w:rsid w:val="00226754"/>
    <w:rsid w:val="00226BF1"/>
    <w:rsid w:val="00227D5B"/>
    <w:rsid w:val="0023077F"/>
    <w:rsid w:val="00230CE5"/>
    <w:rsid w:val="00233438"/>
    <w:rsid w:val="00233908"/>
    <w:rsid w:val="00234EB7"/>
    <w:rsid w:val="00234FF2"/>
    <w:rsid w:val="00235B69"/>
    <w:rsid w:val="00236E08"/>
    <w:rsid w:val="00237347"/>
    <w:rsid w:val="00237420"/>
    <w:rsid w:val="002377D1"/>
    <w:rsid w:val="0024183B"/>
    <w:rsid w:val="00241A3C"/>
    <w:rsid w:val="00242604"/>
    <w:rsid w:val="00242EB3"/>
    <w:rsid w:val="00243269"/>
    <w:rsid w:val="00245274"/>
    <w:rsid w:val="002452B7"/>
    <w:rsid w:val="0024644D"/>
    <w:rsid w:val="00246B5D"/>
    <w:rsid w:val="00247738"/>
    <w:rsid w:val="00247ECC"/>
    <w:rsid w:val="00250862"/>
    <w:rsid w:val="00252983"/>
    <w:rsid w:val="00255A95"/>
    <w:rsid w:val="002565DB"/>
    <w:rsid w:val="00256D64"/>
    <w:rsid w:val="00257F06"/>
    <w:rsid w:val="002602E2"/>
    <w:rsid w:val="00260D26"/>
    <w:rsid w:val="002614E8"/>
    <w:rsid w:val="0026180C"/>
    <w:rsid w:val="00261B28"/>
    <w:rsid w:val="00261E3F"/>
    <w:rsid w:val="00261F5F"/>
    <w:rsid w:val="00267ADE"/>
    <w:rsid w:val="0027062D"/>
    <w:rsid w:val="002709B6"/>
    <w:rsid w:val="00270B44"/>
    <w:rsid w:val="00271EF2"/>
    <w:rsid w:val="00272BF8"/>
    <w:rsid w:val="00273122"/>
    <w:rsid w:val="002735D8"/>
    <w:rsid w:val="00273C27"/>
    <w:rsid w:val="00273CBF"/>
    <w:rsid w:val="00274235"/>
    <w:rsid w:val="00276580"/>
    <w:rsid w:val="0027711F"/>
    <w:rsid w:val="002771CA"/>
    <w:rsid w:val="002777D8"/>
    <w:rsid w:val="002801DD"/>
    <w:rsid w:val="002811CE"/>
    <w:rsid w:val="002813B3"/>
    <w:rsid w:val="00282494"/>
    <w:rsid w:val="00282D69"/>
    <w:rsid w:val="00282F8F"/>
    <w:rsid w:val="00283F71"/>
    <w:rsid w:val="002850CE"/>
    <w:rsid w:val="00285175"/>
    <w:rsid w:val="00290511"/>
    <w:rsid w:val="002913A9"/>
    <w:rsid w:val="00291B8C"/>
    <w:rsid w:val="0029231D"/>
    <w:rsid w:val="00292875"/>
    <w:rsid w:val="00293077"/>
    <w:rsid w:val="00293352"/>
    <w:rsid w:val="00294041"/>
    <w:rsid w:val="00294540"/>
    <w:rsid w:val="002948C4"/>
    <w:rsid w:val="00294C07"/>
    <w:rsid w:val="002A1228"/>
    <w:rsid w:val="002A1976"/>
    <w:rsid w:val="002A1EF8"/>
    <w:rsid w:val="002A364D"/>
    <w:rsid w:val="002A388C"/>
    <w:rsid w:val="002A45FC"/>
    <w:rsid w:val="002A4B98"/>
    <w:rsid w:val="002A763E"/>
    <w:rsid w:val="002A7A29"/>
    <w:rsid w:val="002B13ED"/>
    <w:rsid w:val="002B2ADC"/>
    <w:rsid w:val="002B2E3B"/>
    <w:rsid w:val="002B35EE"/>
    <w:rsid w:val="002B3C08"/>
    <w:rsid w:val="002B3F26"/>
    <w:rsid w:val="002B70BD"/>
    <w:rsid w:val="002B7A61"/>
    <w:rsid w:val="002C0D8B"/>
    <w:rsid w:val="002C0E55"/>
    <w:rsid w:val="002C0F1A"/>
    <w:rsid w:val="002C1087"/>
    <w:rsid w:val="002C1102"/>
    <w:rsid w:val="002C1AC4"/>
    <w:rsid w:val="002C1F9F"/>
    <w:rsid w:val="002C200A"/>
    <w:rsid w:val="002C327E"/>
    <w:rsid w:val="002C42B0"/>
    <w:rsid w:val="002C4C6A"/>
    <w:rsid w:val="002C5AF0"/>
    <w:rsid w:val="002C5DEB"/>
    <w:rsid w:val="002C651A"/>
    <w:rsid w:val="002C6E82"/>
    <w:rsid w:val="002C7C13"/>
    <w:rsid w:val="002D0C0E"/>
    <w:rsid w:val="002D2C4E"/>
    <w:rsid w:val="002D3EE6"/>
    <w:rsid w:val="002D5841"/>
    <w:rsid w:val="002D59E5"/>
    <w:rsid w:val="002D5B42"/>
    <w:rsid w:val="002D5D20"/>
    <w:rsid w:val="002D5D97"/>
    <w:rsid w:val="002D6969"/>
    <w:rsid w:val="002E0044"/>
    <w:rsid w:val="002E06B5"/>
    <w:rsid w:val="002E1A7F"/>
    <w:rsid w:val="002E1A9A"/>
    <w:rsid w:val="002E1EA1"/>
    <w:rsid w:val="002E2C3D"/>
    <w:rsid w:val="002E4548"/>
    <w:rsid w:val="002E462C"/>
    <w:rsid w:val="002E4EAB"/>
    <w:rsid w:val="002E5228"/>
    <w:rsid w:val="002E5809"/>
    <w:rsid w:val="002E5B99"/>
    <w:rsid w:val="002E60A3"/>
    <w:rsid w:val="002E61C5"/>
    <w:rsid w:val="002E644F"/>
    <w:rsid w:val="002E7DED"/>
    <w:rsid w:val="002EA288"/>
    <w:rsid w:val="002F058C"/>
    <w:rsid w:val="002F07CA"/>
    <w:rsid w:val="002F19CB"/>
    <w:rsid w:val="002F21F1"/>
    <w:rsid w:val="002F2936"/>
    <w:rsid w:val="002F3411"/>
    <w:rsid w:val="002F487C"/>
    <w:rsid w:val="002F5E4C"/>
    <w:rsid w:val="002F61BE"/>
    <w:rsid w:val="002F6530"/>
    <w:rsid w:val="002F69BC"/>
    <w:rsid w:val="002F6DB4"/>
    <w:rsid w:val="002F7454"/>
    <w:rsid w:val="002F7892"/>
    <w:rsid w:val="00301DA2"/>
    <w:rsid w:val="00301FCF"/>
    <w:rsid w:val="00302154"/>
    <w:rsid w:val="00302544"/>
    <w:rsid w:val="00303526"/>
    <w:rsid w:val="00303804"/>
    <w:rsid w:val="00303B48"/>
    <w:rsid w:val="003048F3"/>
    <w:rsid w:val="00305A0A"/>
    <w:rsid w:val="003061B2"/>
    <w:rsid w:val="00307558"/>
    <w:rsid w:val="00307A1D"/>
    <w:rsid w:val="00310EB6"/>
    <w:rsid w:val="00311752"/>
    <w:rsid w:val="00311C09"/>
    <w:rsid w:val="00311EEC"/>
    <w:rsid w:val="003128B5"/>
    <w:rsid w:val="00314F9B"/>
    <w:rsid w:val="00315464"/>
    <w:rsid w:val="003154FE"/>
    <w:rsid w:val="0031664D"/>
    <w:rsid w:val="003167AA"/>
    <w:rsid w:val="003171C1"/>
    <w:rsid w:val="003171DE"/>
    <w:rsid w:val="00317632"/>
    <w:rsid w:val="0031783D"/>
    <w:rsid w:val="00320E25"/>
    <w:rsid w:val="00321606"/>
    <w:rsid w:val="003236E0"/>
    <w:rsid w:val="00323742"/>
    <w:rsid w:val="003237E7"/>
    <w:rsid w:val="00323BB8"/>
    <w:rsid w:val="00324183"/>
    <w:rsid w:val="003244CF"/>
    <w:rsid w:val="00325314"/>
    <w:rsid w:val="003253F3"/>
    <w:rsid w:val="00325651"/>
    <w:rsid w:val="0032628F"/>
    <w:rsid w:val="00326558"/>
    <w:rsid w:val="00327842"/>
    <w:rsid w:val="0033097E"/>
    <w:rsid w:val="0033326D"/>
    <w:rsid w:val="0033345E"/>
    <w:rsid w:val="003335CC"/>
    <w:rsid w:val="0033373E"/>
    <w:rsid w:val="00334A27"/>
    <w:rsid w:val="0033532E"/>
    <w:rsid w:val="00336D7B"/>
    <w:rsid w:val="0033728B"/>
    <w:rsid w:val="00337B98"/>
    <w:rsid w:val="00340502"/>
    <w:rsid w:val="00340AEC"/>
    <w:rsid w:val="0034199F"/>
    <w:rsid w:val="00341DA1"/>
    <w:rsid w:val="00341DB7"/>
    <w:rsid w:val="00341E5C"/>
    <w:rsid w:val="0034258E"/>
    <w:rsid w:val="00342651"/>
    <w:rsid w:val="0034315D"/>
    <w:rsid w:val="0034581A"/>
    <w:rsid w:val="00345877"/>
    <w:rsid w:val="00345BE7"/>
    <w:rsid w:val="00346505"/>
    <w:rsid w:val="00347580"/>
    <w:rsid w:val="00347944"/>
    <w:rsid w:val="00347C08"/>
    <w:rsid w:val="00351594"/>
    <w:rsid w:val="00351B38"/>
    <w:rsid w:val="0035213E"/>
    <w:rsid w:val="003543F2"/>
    <w:rsid w:val="00355360"/>
    <w:rsid w:val="00355A59"/>
    <w:rsid w:val="003560D9"/>
    <w:rsid w:val="00356469"/>
    <w:rsid w:val="003572BB"/>
    <w:rsid w:val="003575E0"/>
    <w:rsid w:val="003611C1"/>
    <w:rsid w:val="00361BD1"/>
    <w:rsid w:val="003620C5"/>
    <w:rsid w:val="00362A0D"/>
    <w:rsid w:val="00362AE4"/>
    <w:rsid w:val="00362D09"/>
    <w:rsid w:val="00363A5F"/>
    <w:rsid w:val="0036436B"/>
    <w:rsid w:val="00364681"/>
    <w:rsid w:val="00364A15"/>
    <w:rsid w:val="00365619"/>
    <w:rsid w:val="00366568"/>
    <w:rsid w:val="00366C7A"/>
    <w:rsid w:val="00366CBB"/>
    <w:rsid w:val="003671E6"/>
    <w:rsid w:val="00370525"/>
    <w:rsid w:val="00371438"/>
    <w:rsid w:val="00372584"/>
    <w:rsid w:val="00372854"/>
    <w:rsid w:val="00373263"/>
    <w:rsid w:val="00374143"/>
    <w:rsid w:val="0037427F"/>
    <w:rsid w:val="003746EC"/>
    <w:rsid w:val="003753B4"/>
    <w:rsid w:val="003756F9"/>
    <w:rsid w:val="00375739"/>
    <w:rsid w:val="00375954"/>
    <w:rsid w:val="00376F43"/>
    <w:rsid w:val="003770FD"/>
    <w:rsid w:val="003771B7"/>
    <w:rsid w:val="0038035C"/>
    <w:rsid w:val="0038075F"/>
    <w:rsid w:val="00380DAC"/>
    <w:rsid w:val="00380FE9"/>
    <w:rsid w:val="003827ED"/>
    <w:rsid w:val="00382CFA"/>
    <w:rsid w:val="00384267"/>
    <w:rsid w:val="003847F2"/>
    <w:rsid w:val="003848CE"/>
    <w:rsid w:val="00385319"/>
    <w:rsid w:val="00385A48"/>
    <w:rsid w:val="0038789B"/>
    <w:rsid w:val="00391801"/>
    <w:rsid w:val="00392A16"/>
    <w:rsid w:val="003930CD"/>
    <w:rsid w:val="00393AD4"/>
    <w:rsid w:val="00393AE1"/>
    <w:rsid w:val="00393FA7"/>
    <w:rsid w:val="003949E4"/>
    <w:rsid w:val="00395C6F"/>
    <w:rsid w:val="00396182"/>
    <w:rsid w:val="003963C5"/>
    <w:rsid w:val="003A07A2"/>
    <w:rsid w:val="003A08CF"/>
    <w:rsid w:val="003A2908"/>
    <w:rsid w:val="003A2FF6"/>
    <w:rsid w:val="003A463D"/>
    <w:rsid w:val="003A548D"/>
    <w:rsid w:val="003A6780"/>
    <w:rsid w:val="003A68B3"/>
    <w:rsid w:val="003A7AEF"/>
    <w:rsid w:val="003A7B2E"/>
    <w:rsid w:val="003A7E4C"/>
    <w:rsid w:val="003B0E77"/>
    <w:rsid w:val="003B1C02"/>
    <w:rsid w:val="003B2F56"/>
    <w:rsid w:val="003B4245"/>
    <w:rsid w:val="003B4637"/>
    <w:rsid w:val="003B49BC"/>
    <w:rsid w:val="003B4C97"/>
    <w:rsid w:val="003B64E0"/>
    <w:rsid w:val="003B711A"/>
    <w:rsid w:val="003B783F"/>
    <w:rsid w:val="003C04D9"/>
    <w:rsid w:val="003C06F4"/>
    <w:rsid w:val="003C0799"/>
    <w:rsid w:val="003C122A"/>
    <w:rsid w:val="003C24A9"/>
    <w:rsid w:val="003C2D7F"/>
    <w:rsid w:val="003C33D6"/>
    <w:rsid w:val="003C3D7C"/>
    <w:rsid w:val="003C4054"/>
    <w:rsid w:val="003C4065"/>
    <w:rsid w:val="003C4EEE"/>
    <w:rsid w:val="003C4FFA"/>
    <w:rsid w:val="003C5603"/>
    <w:rsid w:val="003C5CEC"/>
    <w:rsid w:val="003C6021"/>
    <w:rsid w:val="003C7A80"/>
    <w:rsid w:val="003D035D"/>
    <w:rsid w:val="003D1082"/>
    <w:rsid w:val="003D1716"/>
    <w:rsid w:val="003D188A"/>
    <w:rsid w:val="003D1C7E"/>
    <w:rsid w:val="003D2015"/>
    <w:rsid w:val="003D263B"/>
    <w:rsid w:val="003D281D"/>
    <w:rsid w:val="003D33A4"/>
    <w:rsid w:val="003D356A"/>
    <w:rsid w:val="003D394B"/>
    <w:rsid w:val="003D439A"/>
    <w:rsid w:val="003D51F0"/>
    <w:rsid w:val="003D5FCF"/>
    <w:rsid w:val="003D62E4"/>
    <w:rsid w:val="003D641D"/>
    <w:rsid w:val="003D70C5"/>
    <w:rsid w:val="003D7D9F"/>
    <w:rsid w:val="003D7F97"/>
    <w:rsid w:val="003E01E9"/>
    <w:rsid w:val="003E2544"/>
    <w:rsid w:val="003E25BD"/>
    <w:rsid w:val="003E5785"/>
    <w:rsid w:val="003E7D2E"/>
    <w:rsid w:val="003F0389"/>
    <w:rsid w:val="003F0E67"/>
    <w:rsid w:val="003F0EB7"/>
    <w:rsid w:val="003F100E"/>
    <w:rsid w:val="003F2433"/>
    <w:rsid w:val="003F2B40"/>
    <w:rsid w:val="003F30C8"/>
    <w:rsid w:val="003F4897"/>
    <w:rsid w:val="003F48D8"/>
    <w:rsid w:val="003F4CF3"/>
    <w:rsid w:val="004032A6"/>
    <w:rsid w:val="00404E55"/>
    <w:rsid w:val="00404F91"/>
    <w:rsid w:val="004056E5"/>
    <w:rsid w:val="00405DED"/>
    <w:rsid w:val="00406216"/>
    <w:rsid w:val="00406B5D"/>
    <w:rsid w:val="004073EC"/>
    <w:rsid w:val="004078B1"/>
    <w:rsid w:val="00411073"/>
    <w:rsid w:val="004129EE"/>
    <w:rsid w:val="00413914"/>
    <w:rsid w:val="00413AC6"/>
    <w:rsid w:val="004147E7"/>
    <w:rsid w:val="00414F3E"/>
    <w:rsid w:val="0041532F"/>
    <w:rsid w:val="00415B60"/>
    <w:rsid w:val="00415D58"/>
    <w:rsid w:val="004165D3"/>
    <w:rsid w:val="0041669C"/>
    <w:rsid w:val="00416B8D"/>
    <w:rsid w:val="00416C3C"/>
    <w:rsid w:val="0041743E"/>
    <w:rsid w:val="00417E9E"/>
    <w:rsid w:val="00417FE3"/>
    <w:rsid w:val="00420758"/>
    <w:rsid w:val="00420FE7"/>
    <w:rsid w:val="00422199"/>
    <w:rsid w:val="004223F6"/>
    <w:rsid w:val="00424240"/>
    <w:rsid w:val="0042707F"/>
    <w:rsid w:val="00427944"/>
    <w:rsid w:val="00430453"/>
    <w:rsid w:val="0043178A"/>
    <w:rsid w:val="004317CC"/>
    <w:rsid w:val="004325AF"/>
    <w:rsid w:val="004328C0"/>
    <w:rsid w:val="00432D7A"/>
    <w:rsid w:val="00433FF1"/>
    <w:rsid w:val="004340F7"/>
    <w:rsid w:val="0043650F"/>
    <w:rsid w:val="00437F81"/>
    <w:rsid w:val="004408E3"/>
    <w:rsid w:val="004411EE"/>
    <w:rsid w:val="004416DC"/>
    <w:rsid w:val="004423DE"/>
    <w:rsid w:val="004425EC"/>
    <w:rsid w:val="00444DC9"/>
    <w:rsid w:val="00445857"/>
    <w:rsid w:val="00445D55"/>
    <w:rsid w:val="00446282"/>
    <w:rsid w:val="00446EBE"/>
    <w:rsid w:val="004503AD"/>
    <w:rsid w:val="00451073"/>
    <w:rsid w:val="00451828"/>
    <w:rsid w:val="00451D13"/>
    <w:rsid w:val="00451DF5"/>
    <w:rsid w:val="00453344"/>
    <w:rsid w:val="00453A41"/>
    <w:rsid w:val="004540C4"/>
    <w:rsid w:val="0045763C"/>
    <w:rsid w:val="0046040C"/>
    <w:rsid w:val="00462ADF"/>
    <w:rsid w:val="00464619"/>
    <w:rsid w:val="00465A94"/>
    <w:rsid w:val="00466368"/>
    <w:rsid w:val="00466B9B"/>
    <w:rsid w:val="00467001"/>
    <w:rsid w:val="00467284"/>
    <w:rsid w:val="0047071A"/>
    <w:rsid w:val="00472D66"/>
    <w:rsid w:val="004734A0"/>
    <w:rsid w:val="00473516"/>
    <w:rsid w:val="00474B23"/>
    <w:rsid w:val="004752EF"/>
    <w:rsid w:val="0047537D"/>
    <w:rsid w:val="0047543F"/>
    <w:rsid w:val="0047650F"/>
    <w:rsid w:val="00477781"/>
    <w:rsid w:val="00480042"/>
    <w:rsid w:val="00480390"/>
    <w:rsid w:val="00480CE0"/>
    <w:rsid w:val="00480D60"/>
    <w:rsid w:val="00480E5D"/>
    <w:rsid w:val="004826AE"/>
    <w:rsid w:val="00482FF7"/>
    <w:rsid w:val="004840EB"/>
    <w:rsid w:val="00484A2B"/>
    <w:rsid w:val="00484D5F"/>
    <w:rsid w:val="00485B2C"/>
    <w:rsid w:val="00485DD2"/>
    <w:rsid w:val="00486E0D"/>
    <w:rsid w:val="004872B3"/>
    <w:rsid w:val="00491063"/>
    <w:rsid w:val="00491A78"/>
    <w:rsid w:val="00491C4E"/>
    <w:rsid w:val="00491F3F"/>
    <w:rsid w:val="004920CC"/>
    <w:rsid w:val="00492FDC"/>
    <w:rsid w:val="00493283"/>
    <w:rsid w:val="004937DC"/>
    <w:rsid w:val="0049467E"/>
    <w:rsid w:val="00494835"/>
    <w:rsid w:val="00494F5F"/>
    <w:rsid w:val="004962BA"/>
    <w:rsid w:val="0049640E"/>
    <w:rsid w:val="0049691B"/>
    <w:rsid w:val="00496AB1"/>
    <w:rsid w:val="00497011"/>
    <w:rsid w:val="0049790C"/>
    <w:rsid w:val="00497981"/>
    <w:rsid w:val="00497CC9"/>
    <w:rsid w:val="004A10DD"/>
    <w:rsid w:val="004A1936"/>
    <w:rsid w:val="004A1A0D"/>
    <w:rsid w:val="004A2CDC"/>
    <w:rsid w:val="004A4BC2"/>
    <w:rsid w:val="004A5C65"/>
    <w:rsid w:val="004A67BE"/>
    <w:rsid w:val="004A67D2"/>
    <w:rsid w:val="004A691A"/>
    <w:rsid w:val="004A6D39"/>
    <w:rsid w:val="004A7D3F"/>
    <w:rsid w:val="004B0460"/>
    <w:rsid w:val="004B0545"/>
    <w:rsid w:val="004B0D0A"/>
    <w:rsid w:val="004B2D51"/>
    <w:rsid w:val="004B329B"/>
    <w:rsid w:val="004B3AC9"/>
    <w:rsid w:val="004B3E39"/>
    <w:rsid w:val="004B3FE9"/>
    <w:rsid w:val="004B45C4"/>
    <w:rsid w:val="004B5852"/>
    <w:rsid w:val="004C0819"/>
    <w:rsid w:val="004C16DB"/>
    <w:rsid w:val="004C1E9C"/>
    <w:rsid w:val="004C2088"/>
    <w:rsid w:val="004C3A59"/>
    <w:rsid w:val="004C4451"/>
    <w:rsid w:val="004C4EAD"/>
    <w:rsid w:val="004C5483"/>
    <w:rsid w:val="004C573A"/>
    <w:rsid w:val="004C5C12"/>
    <w:rsid w:val="004C64C2"/>
    <w:rsid w:val="004D0BBD"/>
    <w:rsid w:val="004D188B"/>
    <w:rsid w:val="004D3E0B"/>
    <w:rsid w:val="004D44C5"/>
    <w:rsid w:val="004D489D"/>
    <w:rsid w:val="004D5C6F"/>
    <w:rsid w:val="004D63DF"/>
    <w:rsid w:val="004D6855"/>
    <w:rsid w:val="004E04E6"/>
    <w:rsid w:val="004E1664"/>
    <w:rsid w:val="004E1A08"/>
    <w:rsid w:val="004E1A18"/>
    <w:rsid w:val="004E1FD0"/>
    <w:rsid w:val="004E2850"/>
    <w:rsid w:val="004E38F5"/>
    <w:rsid w:val="004E4282"/>
    <w:rsid w:val="004E4955"/>
    <w:rsid w:val="004E4D76"/>
    <w:rsid w:val="004E501C"/>
    <w:rsid w:val="004E5369"/>
    <w:rsid w:val="004E716E"/>
    <w:rsid w:val="004E7EFF"/>
    <w:rsid w:val="004F1757"/>
    <w:rsid w:val="004F1AF4"/>
    <w:rsid w:val="004F3C86"/>
    <w:rsid w:val="004F4441"/>
    <w:rsid w:val="004F4E35"/>
    <w:rsid w:val="004F4F7D"/>
    <w:rsid w:val="004F707A"/>
    <w:rsid w:val="004F7492"/>
    <w:rsid w:val="004F76A9"/>
    <w:rsid w:val="00500DCA"/>
    <w:rsid w:val="00502553"/>
    <w:rsid w:val="005025EC"/>
    <w:rsid w:val="00502605"/>
    <w:rsid w:val="005038ED"/>
    <w:rsid w:val="0050498A"/>
    <w:rsid w:val="005068C2"/>
    <w:rsid w:val="00506C13"/>
    <w:rsid w:val="00506E3B"/>
    <w:rsid w:val="00506F24"/>
    <w:rsid w:val="00510EF9"/>
    <w:rsid w:val="0051145F"/>
    <w:rsid w:val="00511A07"/>
    <w:rsid w:val="00511CE5"/>
    <w:rsid w:val="00512770"/>
    <w:rsid w:val="00513B6C"/>
    <w:rsid w:val="00515B28"/>
    <w:rsid w:val="00515DA5"/>
    <w:rsid w:val="00516C31"/>
    <w:rsid w:val="00516EEE"/>
    <w:rsid w:val="005170C3"/>
    <w:rsid w:val="00517D5C"/>
    <w:rsid w:val="00520882"/>
    <w:rsid w:val="00521265"/>
    <w:rsid w:val="00521C49"/>
    <w:rsid w:val="00521D02"/>
    <w:rsid w:val="005231C9"/>
    <w:rsid w:val="005243FC"/>
    <w:rsid w:val="00524BC5"/>
    <w:rsid w:val="00525375"/>
    <w:rsid w:val="005261AB"/>
    <w:rsid w:val="005271E2"/>
    <w:rsid w:val="00527C6A"/>
    <w:rsid w:val="00530696"/>
    <w:rsid w:val="00531245"/>
    <w:rsid w:val="005331E2"/>
    <w:rsid w:val="005335CA"/>
    <w:rsid w:val="005335F6"/>
    <w:rsid w:val="0053377E"/>
    <w:rsid w:val="00533893"/>
    <w:rsid w:val="005346B1"/>
    <w:rsid w:val="00537322"/>
    <w:rsid w:val="00541331"/>
    <w:rsid w:val="005416B7"/>
    <w:rsid w:val="00542FFC"/>
    <w:rsid w:val="005430D2"/>
    <w:rsid w:val="00543F42"/>
    <w:rsid w:val="00544645"/>
    <w:rsid w:val="005450E1"/>
    <w:rsid w:val="00546AC6"/>
    <w:rsid w:val="00546F01"/>
    <w:rsid w:val="005514E8"/>
    <w:rsid w:val="005515AF"/>
    <w:rsid w:val="00551F52"/>
    <w:rsid w:val="00552A64"/>
    <w:rsid w:val="0055310F"/>
    <w:rsid w:val="0055483A"/>
    <w:rsid w:val="005554BB"/>
    <w:rsid w:val="005560B3"/>
    <w:rsid w:val="005561E0"/>
    <w:rsid w:val="00556394"/>
    <w:rsid w:val="00556499"/>
    <w:rsid w:val="00556688"/>
    <w:rsid w:val="00556771"/>
    <w:rsid w:val="00556FDD"/>
    <w:rsid w:val="00557698"/>
    <w:rsid w:val="00557968"/>
    <w:rsid w:val="0056007D"/>
    <w:rsid w:val="00560D09"/>
    <w:rsid w:val="00562478"/>
    <w:rsid w:val="0056280B"/>
    <w:rsid w:val="00563563"/>
    <w:rsid w:val="0056363C"/>
    <w:rsid w:val="00564A49"/>
    <w:rsid w:val="00566730"/>
    <w:rsid w:val="0056683B"/>
    <w:rsid w:val="0057102E"/>
    <w:rsid w:val="005712F8"/>
    <w:rsid w:val="00571422"/>
    <w:rsid w:val="0057164A"/>
    <w:rsid w:val="00571C87"/>
    <w:rsid w:val="00571F3C"/>
    <w:rsid w:val="00572523"/>
    <w:rsid w:val="00572840"/>
    <w:rsid w:val="005744D4"/>
    <w:rsid w:val="005754A4"/>
    <w:rsid w:val="00575D9B"/>
    <w:rsid w:val="005775B5"/>
    <w:rsid w:val="0057781F"/>
    <w:rsid w:val="00580266"/>
    <w:rsid w:val="005803F8"/>
    <w:rsid w:val="00580A3F"/>
    <w:rsid w:val="00580E84"/>
    <w:rsid w:val="00581956"/>
    <w:rsid w:val="00581CDB"/>
    <w:rsid w:val="005821D7"/>
    <w:rsid w:val="00582D1F"/>
    <w:rsid w:val="00582E32"/>
    <w:rsid w:val="005836D1"/>
    <w:rsid w:val="0058431C"/>
    <w:rsid w:val="0058499E"/>
    <w:rsid w:val="00586D93"/>
    <w:rsid w:val="0059232D"/>
    <w:rsid w:val="005923BA"/>
    <w:rsid w:val="00592935"/>
    <w:rsid w:val="00592FF7"/>
    <w:rsid w:val="00593F55"/>
    <w:rsid w:val="00594CDF"/>
    <w:rsid w:val="00596405"/>
    <w:rsid w:val="005967E2"/>
    <w:rsid w:val="00596C85"/>
    <w:rsid w:val="00596D66"/>
    <w:rsid w:val="00597291"/>
    <w:rsid w:val="00597301"/>
    <w:rsid w:val="005975EC"/>
    <w:rsid w:val="005A047D"/>
    <w:rsid w:val="005A06F9"/>
    <w:rsid w:val="005A0990"/>
    <w:rsid w:val="005A0ADB"/>
    <w:rsid w:val="005A29DE"/>
    <w:rsid w:val="005A2E81"/>
    <w:rsid w:val="005A3541"/>
    <w:rsid w:val="005A50C0"/>
    <w:rsid w:val="005A5B41"/>
    <w:rsid w:val="005B0085"/>
    <w:rsid w:val="005B0E38"/>
    <w:rsid w:val="005B2CB9"/>
    <w:rsid w:val="005B2E13"/>
    <w:rsid w:val="005B441A"/>
    <w:rsid w:val="005B468C"/>
    <w:rsid w:val="005B48C1"/>
    <w:rsid w:val="005B48E9"/>
    <w:rsid w:val="005B4C0A"/>
    <w:rsid w:val="005B506F"/>
    <w:rsid w:val="005B6269"/>
    <w:rsid w:val="005B674C"/>
    <w:rsid w:val="005B6EE8"/>
    <w:rsid w:val="005B7AEB"/>
    <w:rsid w:val="005C00A9"/>
    <w:rsid w:val="005C17F3"/>
    <w:rsid w:val="005C276C"/>
    <w:rsid w:val="005C2B14"/>
    <w:rsid w:val="005C3A75"/>
    <w:rsid w:val="005C418F"/>
    <w:rsid w:val="005C569A"/>
    <w:rsid w:val="005C56FC"/>
    <w:rsid w:val="005C5ED3"/>
    <w:rsid w:val="005C7242"/>
    <w:rsid w:val="005C7993"/>
    <w:rsid w:val="005C7B8A"/>
    <w:rsid w:val="005C7C01"/>
    <w:rsid w:val="005C7D35"/>
    <w:rsid w:val="005D05B4"/>
    <w:rsid w:val="005D0944"/>
    <w:rsid w:val="005D0DD7"/>
    <w:rsid w:val="005D2D38"/>
    <w:rsid w:val="005D2DD3"/>
    <w:rsid w:val="005D32D0"/>
    <w:rsid w:val="005D3EE7"/>
    <w:rsid w:val="005D45FE"/>
    <w:rsid w:val="005D4D03"/>
    <w:rsid w:val="005D61EA"/>
    <w:rsid w:val="005D66FB"/>
    <w:rsid w:val="005E0AC4"/>
    <w:rsid w:val="005E133B"/>
    <w:rsid w:val="005E2240"/>
    <w:rsid w:val="005E3459"/>
    <w:rsid w:val="005E3A01"/>
    <w:rsid w:val="005E41FD"/>
    <w:rsid w:val="005E46FC"/>
    <w:rsid w:val="005E4962"/>
    <w:rsid w:val="005E4BB9"/>
    <w:rsid w:val="005E5259"/>
    <w:rsid w:val="005E66CD"/>
    <w:rsid w:val="005E7EF3"/>
    <w:rsid w:val="005E7F1D"/>
    <w:rsid w:val="005F07F8"/>
    <w:rsid w:val="005F168A"/>
    <w:rsid w:val="005F2F8D"/>
    <w:rsid w:val="005F30AA"/>
    <w:rsid w:val="005F35EF"/>
    <w:rsid w:val="005F40FB"/>
    <w:rsid w:val="005F42BF"/>
    <w:rsid w:val="005F4831"/>
    <w:rsid w:val="005F4892"/>
    <w:rsid w:val="005F53BD"/>
    <w:rsid w:val="005F608A"/>
    <w:rsid w:val="005F690D"/>
    <w:rsid w:val="005F7322"/>
    <w:rsid w:val="005F7364"/>
    <w:rsid w:val="00600DBD"/>
    <w:rsid w:val="006013DC"/>
    <w:rsid w:val="00603CC4"/>
    <w:rsid w:val="00604FBC"/>
    <w:rsid w:val="00605013"/>
    <w:rsid w:val="00606315"/>
    <w:rsid w:val="00610763"/>
    <w:rsid w:val="00610884"/>
    <w:rsid w:val="006114E0"/>
    <w:rsid w:val="00611DC3"/>
    <w:rsid w:val="00612004"/>
    <w:rsid w:val="006132F8"/>
    <w:rsid w:val="0061347D"/>
    <w:rsid w:val="006136DF"/>
    <w:rsid w:val="006137C1"/>
    <w:rsid w:val="006138B6"/>
    <w:rsid w:val="00613C4E"/>
    <w:rsid w:val="0061448D"/>
    <w:rsid w:val="0061465C"/>
    <w:rsid w:val="006146F9"/>
    <w:rsid w:val="0061516C"/>
    <w:rsid w:val="006154FC"/>
    <w:rsid w:val="00615A38"/>
    <w:rsid w:val="006162FE"/>
    <w:rsid w:val="006175FE"/>
    <w:rsid w:val="00620835"/>
    <w:rsid w:val="00622F11"/>
    <w:rsid w:val="00623523"/>
    <w:rsid w:val="00623955"/>
    <w:rsid w:val="00625065"/>
    <w:rsid w:val="0062525B"/>
    <w:rsid w:val="006260BE"/>
    <w:rsid w:val="0062681E"/>
    <w:rsid w:val="00626F60"/>
    <w:rsid w:val="00627D6D"/>
    <w:rsid w:val="006309A9"/>
    <w:rsid w:val="006315D2"/>
    <w:rsid w:val="006315DE"/>
    <w:rsid w:val="00631A1F"/>
    <w:rsid w:val="00631A8C"/>
    <w:rsid w:val="00631DB2"/>
    <w:rsid w:val="006323BF"/>
    <w:rsid w:val="0063245C"/>
    <w:rsid w:val="00632557"/>
    <w:rsid w:val="006326FD"/>
    <w:rsid w:val="006343DD"/>
    <w:rsid w:val="00634E33"/>
    <w:rsid w:val="0063540E"/>
    <w:rsid w:val="00636D0E"/>
    <w:rsid w:val="006377AC"/>
    <w:rsid w:val="006378CC"/>
    <w:rsid w:val="00637AB4"/>
    <w:rsid w:val="006404AC"/>
    <w:rsid w:val="00640F05"/>
    <w:rsid w:val="00641020"/>
    <w:rsid w:val="0064198D"/>
    <w:rsid w:val="00641DCD"/>
    <w:rsid w:val="00642844"/>
    <w:rsid w:val="00644A06"/>
    <w:rsid w:val="00644F7C"/>
    <w:rsid w:val="00644FE1"/>
    <w:rsid w:val="006459E2"/>
    <w:rsid w:val="006460AD"/>
    <w:rsid w:val="00646955"/>
    <w:rsid w:val="00647550"/>
    <w:rsid w:val="00647A17"/>
    <w:rsid w:val="00647EC0"/>
    <w:rsid w:val="006500F7"/>
    <w:rsid w:val="00650FEA"/>
    <w:rsid w:val="006518F1"/>
    <w:rsid w:val="00651B42"/>
    <w:rsid w:val="00651B8B"/>
    <w:rsid w:val="00652EC9"/>
    <w:rsid w:val="00652FAE"/>
    <w:rsid w:val="0065369B"/>
    <w:rsid w:val="00654659"/>
    <w:rsid w:val="006549FD"/>
    <w:rsid w:val="00654A80"/>
    <w:rsid w:val="006569F8"/>
    <w:rsid w:val="00660394"/>
    <w:rsid w:val="006612F7"/>
    <w:rsid w:val="00661A4E"/>
    <w:rsid w:val="00663C1A"/>
    <w:rsid w:val="00663E32"/>
    <w:rsid w:val="006641E0"/>
    <w:rsid w:val="006647EF"/>
    <w:rsid w:val="006650CA"/>
    <w:rsid w:val="0066522C"/>
    <w:rsid w:val="0066581F"/>
    <w:rsid w:val="00666EE8"/>
    <w:rsid w:val="0067005A"/>
    <w:rsid w:val="0067010F"/>
    <w:rsid w:val="0067051D"/>
    <w:rsid w:val="006705C0"/>
    <w:rsid w:val="00670881"/>
    <w:rsid w:val="00670BB7"/>
    <w:rsid w:val="0067152B"/>
    <w:rsid w:val="006715CD"/>
    <w:rsid w:val="00673412"/>
    <w:rsid w:val="006746F9"/>
    <w:rsid w:val="00674BB6"/>
    <w:rsid w:val="00674F17"/>
    <w:rsid w:val="0067541E"/>
    <w:rsid w:val="00675B0D"/>
    <w:rsid w:val="00676677"/>
    <w:rsid w:val="00676751"/>
    <w:rsid w:val="00676F55"/>
    <w:rsid w:val="00677360"/>
    <w:rsid w:val="00677560"/>
    <w:rsid w:val="006776DF"/>
    <w:rsid w:val="00680F68"/>
    <w:rsid w:val="006817EE"/>
    <w:rsid w:val="0068259E"/>
    <w:rsid w:val="00682BA2"/>
    <w:rsid w:val="00682ECA"/>
    <w:rsid w:val="00683688"/>
    <w:rsid w:val="0068387F"/>
    <w:rsid w:val="006839BF"/>
    <w:rsid w:val="00683AF6"/>
    <w:rsid w:val="0068516C"/>
    <w:rsid w:val="0068522E"/>
    <w:rsid w:val="00686494"/>
    <w:rsid w:val="006866B2"/>
    <w:rsid w:val="00687012"/>
    <w:rsid w:val="00687189"/>
    <w:rsid w:val="00687579"/>
    <w:rsid w:val="00687769"/>
    <w:rsid w:val="006905DE"/>
    <w:rsid w:val="00691E38"/>
    <w:rsid w:val="00693463"/>
    <w:rsid w:val="00693DB0"/>
    <w:rsid w:val="00693FDA"/>
    <w:rsid w:val="00694BFD"/>
    <w:rsid w:val="00694E17"/>
    <w:rsid w:val="00697F42"/>
    <w:rsid w:val="006A06B2"/>
    <w:rsid w:val="006A1581"/>
    <w:rsid w:val="006A2C0E"/>
    <w:rsid w:val="006A2F2D"/>
    <w:rsid w:val="006A3627"/>
    <w:rsid w:val="006A375F"/>
    <w:rsid w:val="006A473B"/>
    <w:rsid w:val="006A5135"/>
    <w:rsid w:val="006A5547"/>
    <w:rsid w:val="006A64B4"/>
    <w:rsid w:val="006A70FC"/>
    <w:rsid w:val="006A7A95"/>
    <w:rsid w:val="006B0513"/>
    <w:rsid w:val="006B08B7"/>
    <w:rsid w:val="006B169E"/>
    <w:rsid w:val="006B2634"/>
    <w:rsid w:val="006B277E"/>
    <w:rsid w:val="006B2ECE"/>
    <w:rsid w:val="006B4F71"/>
    <w:rsid w:val="006B5398"/>
    <w:rsid w:val="006B61DB"/>
    <w:rsid w:val="006B620D"/>
    <w:rsid w:val="006B62AF"/>
    <w:rsid w:val="006B62EF"/>
    <w:rsid w:val="006B63E1"/>
    <w:rsid w:val="006B6824"/>
    <w:rsid w:val="006B69A4"/>
    <w:rsid w:val="006B6B93"/>
    <w:rsid w:val="006B6BA7"/>
    <w:rsid w:val="006B7191"/>
    <w:rsid w:val="006B77F5"/>
    <w:rsid w:val="006B7F78"/>
    <w:rsid w:val="006C0613"/>
    <w:rsid w:val="006C0A83"/>
    <w:rsid w:val="006C0ADE"/>
    <w:rsid w:val="006C1534"/>
    <w:rsid w:val="006C2CA3"/>
    <w:rsid w:val="006C2E30"/>
    <w:rsid w:val="006C3DE3"/>
    <w:rsid w:val="006C3F81"/>
    <w:rsid w:val="006C4424"/>
    <w:rsid w:val="006C45F0"/>
    <w:rsid w:val="006C629F"/>
    <w:rsid w:val="006C7B05"/>
    <w:rsid w:val="006D053E"/>
    <w:rsid w:val="006D091F"/>
    <w:rsid w:val="006D19A4"/>
    <w:rsid w:val="006D1CE1"/>
    <w:rsid w:val="006D277C"/>
    <w:rsid w:val="006D3C13"/>
    <w:rsid w:val="006D3EBE"/>
    <w:rsid w:val="006D4E8E"/>
    <w:rsid w:val="006D501A"/>
    <w:rsid w:val="006D5946"/>
    <w:rsid w:val="006E1765"/>
    <w:rsid w:val="006E3055"/>
    <w:rsid w:val="006E32EE"/>
    <w:rsid w:val="006E520A"/>
    <w:rsid w:val="006E5D63"/>
    <w:rsid w:val="006E6D5F"/>
    <w:rsid w:val="006E7119"/>
    <w:rsid w:val="006E7628"/>
    <w:rsid w:val="006F1000"/>
    <w:rsid w:val="006F1B20"/>
    <w:rsid w:val="006F23E1"/>
    <w:rsid w:val="006F27A9"/>
    <w:rsid w:val="006F29D1"/>
    <w:rsid w:val="006F5D97"/>
    <w:rsid w:val="006F66A5"/>
    <w:rsid w:val="007010A4"/>
    <w:rsid w:val="00702FA3"/>
    <w:rsid w:val="00703F32"/>
    <w:rsid w:val="007048D3"/>
    <w:rsid w:val="00707550"/>
    <w:rsid w:val="0070772E"/>
    <w:rsid w:val="00707BCC"/>
    <w:rsid w:val="00707ED7"/>
    <w:rsid w:val="00710228"/>
    <w:rsid w:val="00710709"/>
    <w:rsid w:val="00710B66"/>
    <w:rsid w:val="00710C77"/>
    <w:rsid w:val="007114B7"/>
    <w:rsid w:val="00711568"/>
    <w:rsid w:val="00711822"/>
    <w:rsid w:val="0071287B"/>
    <w:rsid w:val="00712D37"/>
    <w:rsid w:val="00713B4F"/>
    <w:rsid w:val="00714659"/>
    <w:rsid w:val="00715812"/>
    <w:rsid w:val="00715831"/>
    <w:rsid w:val="00716B2C"/>
    <w:rsid w:val="00717150"/>
    <w:rsid w:val="0071767D"/>
    <w:rsid w:val="0072022D"/>
    <w:rsid w:val="007203CA"/>
    <w:rsid w:val="00720FC9"/>
    <w:rsid w:val="00721222"/>
    <w:rsid w:val="007222DE"/>
    <w:rsid w:val="0072269C"/>
    <w:rsid w:val="00722A49"/>
    <w:rsid w:val="00722C1C"/>
    <w:rsid w:val="00723134"/>
    <w:rsid w:val="007238D9"/>
    <w:rsid w:val="0072496F"/>
    <w:rsid w:val="00724ADF"/>
    <w:rsid w:val="00725465"/>
    <w:rsid w:val="00726777"/>
    <w:rsid w:val="0072744E"/>
    <w:rsid w:val="00730628"/>
    <w:rsid w:val="00730B5B"/>
    <w:rsid w:val="007312C6"/>
    <w:rsid w:val="00732A81"/>
    <w:rsid w:val="00732AEB"/>
    <w:rsid w:val="00733A82"/>
    <w:rsid w:val="00733FDD"/>
    <w:rsid w:val="00734251"/>
    <w:rsid w:val="00736A33"/>
    <w:rsid w:val="00736AC0"/>
    <w:rsid w:val="00736BAA"/>
    <w:rsid w:val="0073785F"/>
    <w:rsid w:val="00740657"/>
    <w:rsid w:val="00740D7A"/>
    <w:rsid w:val="007425B2"/>
    <w:rsid w:val="00742D4F"/>
    <w:rsid w:val="00743654"/>
    <w:rsid w:val="0074422A"/>
    <w:rsid w:val="00744467"/>
    <w:rsid w:val="007452D2"/>
    <w:rsid w:val="007460F7"/>
    <w:rsid w:val="00746E1F"/>
    <w:rsid w:val="007470DB"/>
    <w:rsid w:val="00747E1A"/>
    <w:rsid w:val="0074FC56"/>
    <w:rsid w:val="007520DE"/>
    <w:rsid w:val="007524C6"/>
    <w:rsid w:val="00753486"/>
    <w:rsid w:val="00753BC6"/>
    <w:rsid w:val="00753DE5"/>
    <w:rsid w:val="00755220"/>
    <w:rsid w:val="0075523A"/>
    <w:rsid w:val="00755BB1"/>
    <w:rsid w:val="00756B07"/>
    <w:rsid w:val="00756F6F"/>
    <w:rsid w:val="0075768E"/>
    <w:rsid w:val="00760533"/>
    <w:rsid w:val="00760D64"/>
    <w:rsid w:val="00761043"/>
    <w:rsid w:val="00761B42"/>
    <w:rsid w:val="00762252"/>
    <w:rsid w:val="00762452"/>
    <w:rsid w:val="00763D44"/>
    <w:rsid w:val="00764BE2"/>
    <w:rsid w:val="00764DB0"/>
    <w:rsid w:val="00764E27"/>
    <w:rsid w:val="0076503B"/>
    <w:rsid w:val="00765493"/>
    <w:rsid w:val="00765CDB"/>
    <w:rsid w:val="00766398"/>
    <w:rsid w:val="007668F7"/>
    <w:rsid w:val="0076749D"/>
    <w:rsid w:val="00767598"/>
    <w:rsid w:val="0076760E"/>
    <w:rsid w:val="0077067C"/>
    <w:rsid w:val="00770ACE"/>
    <w:rsid w:val="00770D4F"/>
    <w:rsid w:val="00771F65"/>
    <w:rsid w:val="00772396"/>
    <w:rsid w:val="00772D14"/>
    <w:rsid w:val="00773D59"/>
    <w:rsid w:val="007746F2"/>
    <w:rsid w:val="00774877"/>
    <w:rsid w:val="00774BA4"/>
    <w:rsid w:val="00775900"/>
    <w:rsid w:val="00775B66"/>
    <w:rsid w:val="00776204"/>
    <w:rsid w:val="0077680F"/>
    <w:rsid w:val="0077769F"/>
    <w:rsid w:val="0077784A"/>
    <w:rsid w:val="00781617"/>
    <w:rsid w:val="00781BD9"/>
    <w:rsid w:val="007842B9"/>
    <w:rsid w:val="00786653"/>
    <w:rsid w:val="0078699D"/>
    <w:rsid w:val="00787127"/>
    <w:rsid w:val="00787D05"/>
    <w:rsid w:val="00790F9A"/>
    <w:rsid w:val="007916F5"/>
    <w:rsid w:val="00791831"/>
    <w:rsid w:val="00791D46"/>
    <w:rsid w:val="00792881"/>
    <w:rsid w:val="00792F53"/>
    <w:rsid w:val="007933C1"/>
    <w:rsid w:val="007939E9"/>
    <w:rsid w:val="007944BD"/>
    <w:rsid w:val="00794C76"/>
    <w:rsid w:val="00796234"/>
    <w:rsid w:val="0079643F"/>
    <w:rsid w:val="00796831"/>
    <w:rsid w:val="007978F8"/>
    <w:rsid w:val="00797CB3"/>
    <w:rsid w:val="007A0E91"/>
    <w:rsid w:val="007A158F"/>
    <w:rsid w:val="007A199D"/>
    <w:rsid w:val="007A2A00"/>
    <w:rsid w:val="007A2FCA"/>
    <w:rsid w:val="007A364E"/>
    <w:rsid w:val="007A3E8F"/>
    <w:rsid w:val="007A4915"/>
    <w:rsid w:val="007A53E1"/>
    <w:rsid w:val="007A6D39"/>
    <w:rsid w:val="007A6D55"/>
    <w:rsid w:val="007A6EAE"/>
    <w:rsid w:val="007A714C"/>
    <w:rsid w:val="007A7614"/>
    <w:rsid w:val="007A7A0C"/>
    <w:rsid w:val="007B05AB"/>
    <w:rsid w:val="007B096E"/>
    <w:rsid w:val="007B143E"/>
    <w:rsid w:val="007B1B52"/>
    <w:rsid w:val="007B2310"/>
    <w:rsid w:val="007B24DB"/>
    <w:rsid w:val="007B2787"/>
    <w:rsid w:val="007B35D6"/>
    <w:rsid w:val="007B3777"/>
    <w:rsid w:val="007B45FF"/>
    <w:rsid w:val="007B7AD6"/>
    <w:rsid w:val="007B7B2D"/>
    <w:rsid w:val="007C10DD"/>
    <w:rsid w:val="007C1194"/>
    <w:rsid w:val="007C1967"/>
    <w:rsid w:val="007C1DCC"/>
    <w:rsid w:val="007C2982"/>
    <w:rsid w:val="007C38F6"/>
    <w:rsid w:val="007C3ED9"/>
    <w:rsid w:val="007C4919"/>
    <w:rsid w:val="007C4B89"/>
    <w:rsid w:val="007C4C45"/>
    <w:rsid w:val="007C5E48"/>
    <w:rsid w:val="007C7BE3"/>
    <w:rsid w:val="007C7E68"/>
    <w:rsid w:val="007D0165"/>
    <w:rsid w:val="007D016F"/>
    <w:rsid w:val="007D0B10"/>
    <w:rsid w:val="007D20BD"/>
    <w:rsid w:val="007D28C8"/>
    <w:rsid w:val="007D2ED2"/>
    <w:rsid w:val="007D3185"/>
    <w:rsid w:val="007D3229"/>
    <w:rsid w:val="007D34BC"/>
    <w:rsid w:val="007D4912"/>
    <w:rsid w:val="007D4F9B"/>
    <w:rsid w:val="007D5623"/>
    <w:rsid w:val="007D5D5F"/>
    <w:rsid w:val="007D670F"/>
    <w:rsid w:val="007D6CFB"/>
    <w:rsid w:val="007D6DCF"/>
    <w:rsid w:val="007D7864"/>
    <w:rsid w:val="007D7FA7"/>
    <w:rsid w:val="007E0CCB"/>
    <w:rsid w:val="007E26C0"/>
    <w:rsid w:val="007E30D2"/>
    <w:rsid w:val="007E378D"/>
    <w:rsid w:val="007E3AAF"/>
    <w:rsid w:val="007E48D4"/>
    <w:rsid w:val="007E4CCD"/>
    <w:rsid w:val="007E52A2"/>
    <w:rsid w:val="007E5F0F"/>
    <w:rsid w:val="007E6A75"/>
    <w:rsid w:val="007E6B55"/>
    <w:rsid w:val="007F005D"/>
    <w:rsid w:val="007F013C"/>
    <w:rsid w:val="007F05A4"/>
    <w:rsid w:val="007F2163"/>
    <w:rsid w:val="007F2EF2"/>
    <w:rsid w:val="007F35D5"/>
    <w:rsid w:val="007F4320"/>
    <w:rsid w:val="007F4C84"/>
    <w:rsid w:val="007F5596"/>
    <w:rsid w:val="007F57C3"/>
    <w:rsid w:val="007F604E"/>
    <w:rsid w:val="007F693A"/>
    <w:rsid w:val="007F6FBD"/>
    <w:rsid w:val="007F76E4"/>
    <w:rsid w:val="00800BC5"/>
    <w:rsid w:val="00801233"/>
    <w:rsid w:val="00801E4A"/>
    <w:rsid w:val="00803593"/>
    <w:rsid w:val="00803CF6"/>
    <w:rsid w:val="00805604"/>
    <w:rsid w:val="008060E9"/>
    <w:rsid w:val="00806A81"/>
    <w:rsid w:val="00810295"/>
    <w:rsid w:val="008107BD"/>
    <w:rsid w:val="00811D6F"/>
    <w:rsid w:val="00813470"/>
    <w:rsid w:val="00814576"/>
    <w:rsid w:val="00814FF4"/>
    <w:rsid w:val="00814FFF"/>
    <w:rsid w:val="00815921"/>
    <w:rsid w:val="0081649F"/>
    <w:rsid w:val="008169D9"/>
    <w:rsid w:val="0081711B"/>
    <w:rsid w:val="0081738D"/>
    <w:rsid w:val="00817837"/>
    <w:rsid w:val="0082112B"/>
    <w:rsid w:val="008244F5"/>
    <w:rsid w:val="00824515"/>
    <w:rsid w:val="00825039"/>
    <w:rsid w:val="00825A91"/>
    <w:rsid w:val="00825DA6"/>
    <w:rsid w:val="00825F1B"/>
    <w:rsid w:val="0082764F"/>
    <w:rsid w:val="008304EC"/>
    <w:rsid w:val="00830DB5"/>
    <w:rsid w:val="00831078"/>
    <w:rsid w:val="00831462"/>
    <w:rsid w:val="00832C3A"/>
    <w:rsid w:val="008337D4"/>
    <w:rsid w:val="00833C50"/>
    <w:rsid w:val="00833E96"/>
    <w:rsid w:val="008341E9"/>
    <w:rsid w:val="0083491E"/>
    <w:rsid w:val="00834D35"/>
    <w:rsid w:val="00834E69"/>
    <w:rsid w:val="00835185"/>
    <w:rsid w:val="008372D6"/>
    <w:rsid w:val="008375FF"/>
    <w:rsid w:val="00837B3A"/>
    <w:rsid w:val="00840927"/>
    <w:rsid w:val="00843464"/>
    <w:rsid w:val="00843A8D"/>
    <w:rsid w:val="00845ADD"/>
    <w:rsid w:val="00846241"/>
    <w:rsid w:val="008464FA"/>
    <w:rsid w:val="00847CF0"/>
    <w:rsid w:val="00847D5A"/>
    <w:rsid w:val="00852A5B"/>
    <w:rsid w:val="0085345B"/>
    <w:rsid w:val="00853881"/>
    <w:rsid w:val="0085487A"/>
    <w:rsid w:val="00855286"/>
    <w:rsid w:val="00855381"/>
    <w:rsid w:val="008560D8"/>
    <w:rsid w:val="0085631A"/>
    <w:rsid w:val="008566CB"/>
    <w:rsid w:val="00856FDA"/>
    <w:rsid w:val="00857943"/>
    <w:rsid w:val="00860217"/>
    <w:rsid w:val="008604BC"/>
    <w:rsid w:val="00861591"/>
    <w:rsid w:val="008615E3"/>
    <w:rsid w:val="008618F5"/>
    <w:rsid w:val="00861A0C"/>
    <w:rsid w:val="00861F4F"/>
    <w:rsid w:val="00862448"/>
    <w:rsid w:val="008629A3"/>
    <w:rsid w:val="00864AEF"/>
    <w:rsid w:val="00865727"/>
    <w:rsid w:val="00865D25"/>
    <w:rsid w:val="008665C6"/>
    <w:rsid w:val="00866655"/>
    <w:rsid w:val="00866FD8"/>
    <w:rsid w:val="00867520"/>
    <w:rsid w:val="00867755"/>
    <w:rsid w:val="008709AB"/>
    <w:rsid w:val="00870C41"/>
    <w:rsid w:val="00870CA3"/>
    <w:rsid w:val="00871CDB"/>
    <w:rsid w:val="008723F1"/>
    <w:rsid w:val="00872826"/>
    <w:rsid w:val="0087391B"/>
    <w:rsid w:val="00873C5A"/>
    <w:rsid w:val="008741F7"/>
    <w:rsid w:val="00875AFA"/>
    <w:rsid w:val="00876180"/>
    <w:rsid w:val="008765C9"/>
    <w:rsid w:val="008777F4"/>
    <w:rsid w:val="00877E62"/>
    <w:rsid w:val="00880710"/>
    <w:rsid w:val="00880B5D"/>
    <w:rsid w:val="00881A30"/>
    <w:rsid w:val="0088257B"/>
    <w:rsid w:val="008833CF"/>
    <w:rsid w:val="00884E53"/>
    <w:rsid w:val="008852B5"/>
    <w:rsid w:val="00885408"/>
    <w:rsid w:val="0088655A"/>
    <w:rsid w:val="00886A2A"/>
    <w:rsid w:val="008870B1"/>
    <w:rsid w:val="00887647"/>
    <w:rsid w:val="00892810"/>
    <w:rsid w:val="0089284C"/>
    <w:rsid w:val="0089287F"/>
    <w:rsid w:val="00892909"/>
    <w:rsid w:val="00892947"/>
    <w:rsid w:val="008934BC"/>
    <w:rsid w:val="00893DD3"/>
    <w:rsid w:val="00894449"/>
    <w:rsid w:val="0089688B"/>
    <w:rsid w:val="00896FEB"/>
    <w:rsid w:val="0089700A"/>
    <w:rsid w:val="008973F8"/>
    <w:rsid w:val="00897582"/>
    <w:rsid w:val="00897B09"/>
    <w:rsid w:val="008A14C4"/>
    <w:rsid w:val="008A170C"/>
    <w:rsid w:val="008A18C1"/>
    <w:rsid w:val="008A2190"/>
    <w:rsid w:val="008A294E"/>
    <w:rsid w:val="008A2A26"/>
    <w:rsid w:val="008A2B57"/>
    <w:rsid w:val="008A3D02"/>
    <w:rsid w:val="008A4552"/>
    <w:rsid w:val="008A5867"/>
    <w:rsid w:val="008A6E6F"/>
    <w:rsid w:val="008A737A"/>
    <w:rsid w:val="008B055F"/>
    <w:rsid w:val="008B22D4"/>
    <w:rsid w:val="008B235F"/>
    <w:rsid w:val="008B2995"/>
    <w:rsid w:val="008B3B26"/>
    <w:rsid w:val="008B40DC"/>
    <w:rsid w:val="008B451B"/>
    <w:rsid w:val="008B49EC"/>
    <w:rsid w:val="008B4E71"/>
    <w:rsid w:val="008B4FF4"/>
    <w:rsid w:val="008B5897"/>
    <w:rsid w:val="008B67D4"/>
    <w:rsid w:val="008B6ACC"/>
    <w:rsid w:val="008B713B"/>
    <w:rsid w:val="008BABEC"/>
    <w:rsid w:val="008C0089"/>
    <w:rsid w:val="008C0154"/>
    <w:rsid w:val="008C0CB3"/>
    <w:rsid w:val="008C120E"/>
    <w:rsid w:val="008C39D1"/>
    <w:rsid w:val="008C4626"/>
    <w:rsid w:val="008C4C36"/>
    <w:rsid w:val="008C4D0C"/>
    <w:rsid w:val="008C4DCF"/>
    <w:rsid w:val="008C5504"/>
    <w:rsid w:val="008C570D"/>
    <w:rsid w:val="008C5901"/>
    <w:rsid w:val="008C7B9E"/>
    <w:rsid w:val="008D0E5E"/>
    <w:rsid w:val="008D117B"/>
    <w:rsid w:val="008D166E"/>
    <w:rsid w:val="008D2768"/>
    <w:rsid w:val="008D2A20"/>
    <w:rsid w:val="008D40EA"/>
    <w:rsid w:val="008D4C64"/>
    <w:rsid w:val="008D553D"/>
    <w:rsid w:val="008D756F"/>
    <w:rsid w:val="008D7B3C"/>
    <w:rsid w:val="008E06D8"/>
    <w:rsid w:val="008E31F1"/>
    <w:rsid w:val="008E356A"/>
    <w:rsid w:val="008E4A66"/>
    <w:rsid w:val="008E5AAF"/>
    <w:rsid w:val="008E5F70"/>
    <w:rsid w:val="008E77EE"/>
    <w:rsid w:val="008F04D4"/>
    <w:rsid w:val="008F06E9"/>
    <w:rsid w:val="008F0AB6"/>
    <w:rsid w:val="008F180A"/>
    <w:rsid w:val="008F20C9"/>
    <w:rsid w:val="008F2200"/>
    <w:rsid w:val="008F2858"/>
    <w:rsid w:val="008F30EA"/>
    <w:rsid w:val="008F33F6"/>
    <w:rsid w:val="008F34FC"/>
    <w:rsid w:val="008F4E75"/>
    <w:rsid w:val="008F50B9"/>
    <w:rsid w:val="008F5833"/>
    <w:rsid w:val="008F5FED"/>
    <w:rsid w:val="008F60EB"/>
    <w:rsid w:val="008F6BEE"/>
    <w:rsid w:val="008F6EBD"/>
    <w:rsid w:val="008F7FF2"/>
    <w:rsid w:val="00900522"/>
    <w:rsid w:val="00901E52"/>
    <w:rsid w:val="00902884"/>
    <w:rsid w:val="00902EB2"/>
    <w:rsid w:val="00903414"/>
    <w:rsid w:val="009041C8"/>
    <w:rsid w:val="00905110"/>
    <w:rsid w:val="00905698"/>
    <w:rsid w:val="00905ABB"/>
    <w:rsid w:val="009063C1"/>
    <w:rsid w:val="00907D61"/>
    <w:rsid w:val="00907D6D"/>
    <w:rsid w:val="009105CA"/>
    <w:rsid w:val="0091109A"/>
    <w:rsid w:val="00912BFB"/>
    <w:rsid w:val="009135B0"/>
    <w:rsid w:val="0091584B"/>
    <w:rsid w:val="00915DD3"/>
    <w:rsid w:val="00916654"/>
    <w:rsid w:val="009166DA"/>
    <w:rsid w:val="00916703"/>
    <w:rsid w:val="00916DD6"/>
    <w:rsid w:val="009203DE"/>
    <w:rsid w:val="00920FAD"/>
    <w:rsid w:val="00921377"/>
    <w:rsid w:val="009215DD"/>
    <w:rsid w:val="00921FC1"/>
    <w:rsid w:val="009226CF"/>
    <w:rsid w:val="00922C08"/>
    <w:rsid w:val="00924125"/>
    <w:rsid w:val="00924B4B"/>
    <w:rsid w:val="00924C26"/>
    <w:rsid w:val="009251DC"/>
    <w:rsid w:val="009251F1"/>
    <w:rsid w:val="0092540E"/>
    <w:rsid w:val="0092545C"/>
    <w:rsid w:val="00925D6A"/>
    <w:rsid w:val="00926481"/>
    <w:rsid w:val="00927A88"/>
    <w:rsid w:val="00927AC3"/>
    <w:rsid w:val="00927F41"/>
    <w:rsid w:val="0093021E"/>
    <w:rsid w:val="00930670"/>
    <w:rsid w:val="00930E78"/>
    <w:rsid w:val="009310D7"/>
    <w:rsid w:val="009312BD"/>
    <w:rsid w:val="0093185F"/>
    <w:rsid w:val="009318F1"/>
    <w:rsid w:val="00932605"/>
    <w:rsid w:val="00932F66"/>
    <w:rsid w:val="00933D0C"/>
    <w:rsid w:val="00934002"/>
    <w:rsid w:val="009347DB"/>
    <w:rsid w:val="00934AB4"/>
    <w:rsid w:val="00934E87"/>
    <w:rsid w:val="00934FBA"/>
    <w:rsid w:val="009350A1"/>
    <w:rsid w:val="0093637F"/>
    <w:rsid w:val="00936F12"/>
    <w:rsid w:val="00937415"/>
    <w:rsid w:val="00940DC5"/>
    <w:rsid w:val="009418CC"/>
    <w:rsid w:val="00941E5E"/>
    <w:rsid w:val="00942886"/>
    <w:rsid w:val="009430CF"/>
    <w:rsid w:val="00943C31"/>
    <w:rsid w:val="00943D94"/>
    <w:rsid w:val="00945460"/>
    <w:rsid w:val="00945ABE"/>
    <w:rsid w:val="00946C16"/>
    <w:rsid w:val="00946FB4"/>
    <w:rsid w:val="00950083"/>
    <w:rsid w:val="0095065B"/>
    <w:rsid w:val="00952830"/>
    <w:rsid w:val="00952A34"/>
    <w:rsid w:val="00954EDF"/>
    <w:rsid w:val="009550A8"/>
    <w:rsid w:val="00955440"/>
    <w:rsid w:val="00955DD6"/>
    <w:rsid w:val="00956707"/>
    <w:rsid w:val="00956FE9"/>
    <w:rsid w:val="00957E8A"/>
    <w:rsid w:val="00960627"/>
    <w:rsid w:val="00960D73"/>
    <w:rsid w:val="009619DD"/>
    <w:rsid w:val="0096309F"/>
    <w:rsid w:val="00963B6D"/>
    <w:rsid w:val="00964D9E"/>
    <w:rsid w:val="00965179"/>
    <w:rsid w:val="009655F1"/>
    <w:rsid w:val="009672E5"/>
    <w:rsid w:val="00967339"/>
    <w:rsid w:val="009701E1"/>
    <w:rsid w:val="00971127"/>
    <w:rsid w:val="00971941"/>
    <w:rsid w:val="009720A7"/>
    <w:rsid w:val="00974334"/>
    <w:rsid w:val="009749F9"/>
    <w:rsid w:val="00974F4C"/>
    <w:rsid w:val="009750E4"/>
    <w:rsid w:val="00975396"/>
    <w:rsid w:val="00975F80"/>
    <w:rsid w:val="009764A5"/>
    <w:rsid w:val="00976E89"/>
    <w:rsid w:val="00977609"/>
    <w:rsid w:val="0097767A"/>
    <w:rsid w:val="009806C5"/>
    <w:rsid w:val="00980B0C"/>
    <w:rsid w:val="00983A6A"/>
    <w:rsid w:val="00984080"/>
    <w:rsid w:val="009858F4"/>
    <w:rsid w:val="0098599B"/>
    <w:rsid w:val="0098657E"/>
    <w:rsid w:val="00986628"/>
    <w:rsid w:val="00986756"/>
    <w:rsid w:val="009869AA"/>
    <w:rsid w:val="00986B54"/>
    <w:rsid w:val="00986EA8"/>
    <w:rsid w:val="009901E7"/>
    <w:rsid w:val="00990A47"/>
    <w:rsid w:val="00990A5D"/>
    <w:rsid w:val="00990BA0"/>
    <w:rsid w:val="00990E3C"/>
    <w:rsid w:val="00991823"/>
    <w:rsid w:val="00991977"/>
    <w:rsid w:val="00992421"/>
    <w:rsid w:val="00992B8C"/>
    <w:rsid w:val="00992C66"/>
    <w:rsid w:val="009938C6"/>
    <w:rsid w:val="00994004"/>
    <w:rsid w:val="00995113"/>
    <w:rsid w:val="009A0D0A"/>
    <w:rsid w:val="009A102D"/>
    <w:rsid w:val="009A1864"/>
    <w:rsid w:val="009A1F52"/>
    <w:rsid w:val="009A27D5"/>
    <w:rsid w:val="009A2A26"/>
    <w:rsid w:val="009A3276"/>
    <w:rsid w:val="009A43C3"/>
    <w:rsid w:val="009A4633"/>
    <w:rsid w:val="009A47A1"/>
    <w:rsid w:val="009A6480"/>
    <w:rsid w:val="009A6713"/>
    <w:rsid w:val="009A7333"/>
    <w:rsid w:val="009B0002"/>
    <w:rsid w:val="009B019F"/>
    <w:rsid w:val="009B1DCE"/>
    <w:rsid w:val="009B25C3"/>
    <w:rsid w:val="009B262A"/>
    <w:rsid w:val="009B3AA4"/>
    <w:rsid w:val="009B517A"/>
    <w:rsid w:val="009B51AA"/>
    <w:rsid w:val="009B5B47"/>
    <w:rsid w:val="009B5CBF"/>
    <w:rsid w:val="009B7C83"/>
    <w:rsid w:val="009C097B"/>
    <w:rsid w:val="009C0AC5"/>
    <w:rsid w:val="009C1268"/>
    <w:rsid w:val="009C130D"/>
    <w:rsid w:val="009C2B12"/>
    <w:rsid w:val="009C4374"/>
    <w:rsid w:val="009C4465"/>
    <w:rsid w:val="009C4513"/>
    <w:rsid w:val="009C4C15"/>
    <w:rsid w:val="009C4E6C"/>
    <w:rsid w:val="009C61DD"/>
    <w:rsid w:val="009C6289"/>
    <w:rsid w:val="009C7369"/>
    <w:rsid w:val="009C7647"/>
    <w:rsid w:val="009D04D7"/>
    <w:rsid w:val="009D05AB"/>
    <w:rsid w:val="009D0A7A"/>
    <w:rsid w:val="009D11C9"/>
    <w:rsid w:val="009D1202"/>
    <w:rsid w:val="009D183E"/>
    <w:rsid w:val="009D218C"/>
    <w:rsid w:val="009D2586"/>
    <w:rsid w:val="009D3197"/>
    <w:rsid w:val="009D34E2"/>
    <w:rsid w:val="009D475C"/>
    <w:rsid w:val="009D50BA"/>
    <w:rsid w:val="009D5D5B"/>
    <w:rsid w:val="009D69A4"/>
    <w:rsid w:val="009D748D"/>
    <w:rsid w:val="009E006E"/>
    <w:rsid w:val="009E00C1"/>
    <w:rsid w:val="009E0490"/>
    <w:rsid w:val="009E108A"/>
    <w:rsid w:val="009E21E6"/>
    <w:rsid w:val="009E22B2"/>
    <w:rsid w:val="009E258C"/>
    <w:rsid w:val="009E4C49"/>
    <w:rsid w:val="009E4F22"/>
    <w:rsid w:val="009E5A1F"/>
    <w:rsid w:val="009E5C17"/>
    <w:rsid w:val="009E5F8E"/>
    <w:rsid w:val="009E63F6"/>
    <w:rsid w:val="009F0607"/>
    <w:rsid w:val="009F0D9A"/>
    <w:rsid w:val="009F31E7"/>
    <w:rsid w:val="009F3E41"/>
    <w:rsid w:val="009F4893"/>
    <w:rsid w:val="009F509C"/>
    <w:rsid w:val="009F5270"/>
    <w:rsid w:val="009F52A0"/>
    <w:rsid w:val="009F680A"/>
    <w:rsid w:val="009F71FE"/>
    <w:rsid w:val="009F7EE8"/>
    <w:rsid w:val="00A00577"/>
    <w:rsid w:val="00A007EB"/>
    <w:rsid w:val="00A01888"/>
    <w:rsid w:val="00A01D41"/>
    <w:rsid w:val="00A01E20"/>
    <w:rsid w:val="00A02550"/>
    <w:rsid w:val="00A02748"/>
    <w:rsid w:val="00A037E6"/>
    <w:rsid w:val="00A040A4"/>
    <w:rsid w:val="00A04148"/>
    <w:rsid w:val="00A04F79"/>
    <w:rsid w:val="00A050FF"/>
    <w:rsid w:val="00A05252"/>
    <w:rsid w:val="00A0563C"/>
    <w:rsid w:val="00A05B8E"/>
    <w:rsid w:val="00A06D83"/>
    <w:rsid w:val="00A07166"/>
    <w:rsid w:val="00A07E26"/>
    <w:rsid w:val="00A10246"/>
    <w:rsid w:val="00A10DFD"/>
    <w:rsid w:val="00A12883"/>
    <w:rsid w:val="00A15A6C"/>
    <w:rsid w:val="00A15E83"/>
    <w:rsid w:val="00A15F32"/>
    <w:rsid w:val="00A206DD"/>
    <w:rsid w:val="00A20EFF"/>
    <w:rsid w:val="00A21EA2"/>
    <w:rsid w:val="00A21FBA"/>
    <w:rsid w:val="00A22234"/>
    <w:rsid w:val="00A22846"/>
    <w:rsid w:val="00A241FE"/>
    <w:rsid w:val="00A24CF3"/>
    <w:rsid w:val="00A24FF7"/>
    <w:rsid w:val="00A25309"/>
    <w:rsid w:val="00A255A3"/>
    <w:rsid w:val="00A25B38"/>
    <w:rsid w:val="00A25F0B"/>
    <w:rsid w:val="00A261E8"/>
    <w:rsid w:val="00A276C4"/>
    <w:rsid w:val="00A27D76"/>
    <w:rsid w:val="00A308E0"/>
    <w:rsid w:val="00A30B2F"/>
    <w:rsid w:val="00A30BA6"/>
    <w:rsid w:val="00A30C99"/>
    <w:rsid w:val="00A31666"/>
    <w:rsid w:val="00A31D76"/>
    <w:rsid w:val="00A3332A"/>
    <w:rsid w:val="00A33CD9"/>
    <w:rsid w:val="00A3546F"/>
    <w:rsid w:val="00A35C2E"/>
    <w:rsid w:val="00A36AE7"/>
    <w:rsid w:val="00A36C65"/>
    <w:rsid w:val="00A37057"/>
    <w:rsid w:val="00A37C69"/>
    <w:rsid w:val="00A37CDF"/>
    <w:rsid w:val="00A412B7"/>
    <w:rsid w:val="00A4166D"/>
    <w:rsid w:val="00A433C9"/>
    <w:rsid w:val="00A44FD7"/>
    <w:rsid w:val="00A47CF3"/>
    <w:rsid w:val="00A50516"/>
    <w:rsid w:val="00A5110E"/>
    <w:rsid w:val="00A513E2"/>
    <w:rsid w:val="00A51F15"/>
    <w:rsid w:val="00A52696"/>
    <w:rsid w:val="00A529EF"/>
    <w:rsid w:val="00A52E65"/>
    <w:rsid w:val="00A5371F"/>
    <w:rsid w:val="00A537AA"/>
    <w:rsid w:val="00A53D9B"/>
    <w:rsid w:val="00A54B37"/>
    <w:rsid w:val="00A54E13"/>
    <w:rsid w:val="00A54F23"/>
    <w:rsid w:val="00A55928"/>
    <w:rsid w:val="00A60095"/>
    <w:rsid w:val="00A60595"/>
    <w:rsid w:val="00A60C87"/>
    <w:rsid w:val="00A6336E"/>
    <w:rsid w:val="00A64EFD"/>
    <w:rsid w:val="00A654A7"/>
    <w:rsid w:val="00A65740"/>
    <w:rsid w:val="00A65B3F"/>
    <w:rsid w:val="00A66E22"/>
    <w:rsid w:val="00A67973"/>
    <w:rsid w:val="00A70768"/>
    <w:rsid w:val="00A70A76"/>
    <w:rsid w:val="00A72CA5"/>
    <w:rsid w:val="00A72EAD"/>
    <w:rsid w:val="00A72EB8"/>
    <w:rsid w:val="00A73437"/>
    <w:rsid w:val="00A73544"/>
    <w:rsid w:val="00A73D08"/>
    <w:rsid w:val="00A74DBA"/>
    <w:rsid w:val="00A76100"/>
    <w:rsid w:val="00A76136"/>
    <w:rsid w:val="00A76402"/>
    <w:rsid w:val="00A76B49"/>
    <w:rsid w:val="00A772EF"/>
    <w:rsid w:val="00A77517"/>
    <w:rsid w:val="00A8048A"/>
    <w:rsid w:val="00A815C7"/>
    <w:rsid w:val="00A82C51"/>
    <w:rsid w:val="00A83DB6"/>
    <w:rsid w:val="00A844E4"/>
    <w:rsid w:val="00A84BB0"/>
    <w:rsid w:val="00A84FB9"/>
    <w:rsid w:val="00A85241"/>
    <w:rsid w:val="00A865A2"/>
    <w:rsid w:val="00A8667B"/>
    <w:rsid w:val="00A86EC7"/>
    <w:rsid w:val="00A879B7"/>
    <w:rsid w:val="00A900E7"/>
    <w:rsid w:val="00A900FE"/>
    <w:rsid w:val="00A90B30"/>
    <w:rsid w:val="00A910AE"/>
    <w:rsid w:val="00A913B0"/>
    <w:rsid w:val="00A91E93"/>
    <w:rsid w:val="00A92296"/>
    <w:rsid w:val="00A92418"/>
    <w:rsid w:val="00A92EFF"/>
    <w:rsid w:val="00A941C0"/>
    <w:rsid w:val="00A94314"/>
    <w:rsid w:val="00A94369"/>
    <w:rsid w:val="00A9529D"/>
    <w:rsid w:val="00A95995"/>
    <w:rsid w:val="00A95BDF"/>
    <w:rsid w:val="00A95F7C"/>
    <w:rsid w:val="00A966A7"/>
    <w:rsid w:val="00A97FDE"/>
    <w:rsid w:val="00AA135F"/>
    <w:rsid w:val="00AA13B9"/>
    <w:rsid w:val="00AA1850"/>
    <w:rsid w:val="00AA1BF3"/>
    <w:rsid w:val="00AA29C0"/>
    <w:rsid w:val="00AA51C6"/>
    <w:rsid w:val="00AA5570"/>
    <w:rsid w:val="00AA57E9"/>
    <w:rsid w:val="00AA5870"/>
    <w:rsid w:val="00AB0294"/>
    <w:rsid w:val="00AB03DD"/>
    <w:rsid w:val="00AB160B"/>
    <w:rsid w:val="00AB1741"/>
    <w:rsid w:val="00AB2832"/>
    <w:rsid w:val="00AB423F"/>
    <w:rsid w:val="00AB5B5B"/>
    <w:rsid w:val="00AB5C11"/>
    <w:rsid w:val="00AB7332"/>
    <w:rsid w:val="00AC002F"/>
    <w:rsid w:val="00AC0322"/>
    <w:rsid w:val="00AC07E1"/>
    <w:rsid w:val="00AC1718"/>
    <w:rsid w:val="00AC27EB"/>
    <w:rsid w:val="00AC29A8"/>
    <w:rsid w:val="00AC2A8E"/>
    <w:rsid w:val="00AC3161"/>
    <w:rsid w:val="00AC3572"/>
    <w:rsid w:val="00AC4FC7"/>
    <w:rsid w:val="00AC5126"/>
    <w:rsid w:val="00AC5745"/>
    <w:rsid w:val="00AC6B60"/>
    <w:rsid w:val="00AD02EB"/>
    <w:rsid w:val="00AD0E48"/>
    <w:rsid w:val="00AD1BA5"/>
    <w:rsid w:val="00AD1C10"/>
    <w:rsid w:val="00AD3520"/>
    <w:rsid w:val="00AD3602"/>
    <w:rsid w:val="00AD488F"/>
    <w:rsid w:val="00AE0792"/>
    <w:rsid w:val="00AE0993"/>
    <w:rsid w:val="00AE20B8"/>
    <w:rsid w:val="00AE3213"/>
    <w:rsid w:val="00AE3653"/>
    <w:rsid w:val="00AE3B2F"/>
    <w:rsid w:val="00AE508A"/>
    <w:rsid w:val="00AE56A5"/>
    <w:rsid w:val="00AE67E8"/>
    <w:rsid w:val="00AE696C"/>
    <w:rsid w:val="00AE6A3F"/>
    <w:rsid w:val="00AE6B52"/>
    <w:rsid w:val="00AE782D"/>
    <w:rsid w:val="00AF0558"/>
    <w:rsid w:val="00AF0B9E"/>
    <w:rsid w:val="00AF0CE0"/>
    <w:rsid w:val="00AF16A9"/>
    <w:rsid w:val="00AF26A0"/>
    <w:rsid w:val="00AF31EA"/>
    <w:rsid w:val="00AF36CC"/>
    <w:rsid w:val="00AF4781"/>
    <w:rsid w:val="00AF47BD"/>
    <w:rsid w:val="00AF4F41"/>
    <w:rsid w:val="00AF611B"/>
    <w:rsid w:val="00AF67D2"/>
    <w:rsid w:val="00AF7E5D"/>
    <w:rsid w:val="00AF7EB9"/>
    <w:rsid w:val="00B01559"/>
    <w:rsid w:val="00B01BA4"/>
    <w:rsid w:val="00B026C9"/>
    <w:rsid w:val="00B02C49"/>
    <w:rsid w:val="00B02E62"/>
    <w:rsid w:val="00B030C7"/>
    <w:rsid w:val="00B04EB8"/>
    <w:rsid w:val="00B062A8"/>
    <w:rsid w:val="00B06504"/>
    <w:rsid w:val="00B06CD3"/>
    <w:rsid w:val="00B077C0"/>
    <w:rsid w:val="00B07C1E"/>
    <w:rsid w:val="00B11E1D"/>
    <w:rsid w:val="00B131FE"/>
    <w:rsid w:val="00B139DD"/>
    <w:rsid w:val="00B1526A"/>
    <w:rsid w:val="00B152DE"/>
    <w:rsid w:val="00B1534C"/>
    <w:rsid w:val="00B153CF"/>
    <w:rsid w:val="00B158AC"/>
    <w:rsid w:val="00B20661"/>
    <w:rsid w:val="00B216F7"/>
    <w:rsid w:val="00B2291B"/>
    <w:rsid w:val="00B22F78"/>
    <w:rsid w:val="00B23D26"/>
    <w:rsid w:val="00B2476C"/>
    <w:rsid w:val="00B254C9"/>
    <w:rsid w:val="00B26027"/>
    <w:rsid w:val="00B265F5"/>
    <w:rsid w:val="00B26B61"/>
    <w:rsid w:val="00B3013C"/>
    <w:rsid w:val="00B30B63"/>
    <w:rsid w:val="00B33CF3"/>
    <w:rsid w:val="00B35218"/>
    <w:rsid w:val="00B3533A"/>
    <w:rsid w:val="00B35D3E"/>
    <w:rsid w:val="00B3621E"/>
    <w:rsid w:val="00B362FB"/>
    <w:rsid w:val="00B373A3"/>
    <w:rsid w:val="00B37D25"/>
    <w:rsid w:val="00B37EB2"/>
    <w:rsid w:val="00B40D9E"/>
    <w:rsid w:val="00B413F6"/>
    <w:rsid w:val="00B429EA"/>
    <w:rsid w:val="00B42A26"/>
    <w:rsid w:val="00B42F98"/>
    <w:rsid w:val="00B437D8"/>
    <w:rsid w:val="00B43A89"/>
    <w:rsid w:val="00B44DB5"/>
    <w:rsid w:val="00B45418"/>
    <w:rsid w:val="00B470E5"/>
    <w:rsid w:val="00B47E2F"/>
    <w:rsid w:val="00B50124"/>
    <w:rsid w:val="00B50161"/>
    <w:rsid w:val="00B504DF"/>
    <w:rsid w:val="00B50AF1"/>
    <w:rsid w:val="00B5290D"/>
    <w:rsid w:val="00B529C7"/>
    <w:rsid w:val="00B52CBF"/>
    <w:rsid w:val="00B52EB7"/>
    <w:rsid w:val="00B52F2A"/>
    <w:rsid w:val="00B53AB0"/>
    <w:rsid w:val="00B53B9C"/>
    <w:rsid w:val="00B53F26"/>
    <w:rsid w:val="00B556C5"/>
    <w:rsid w:val="00B55BD8"/>
    <w:rsid w:val="00B561AC"/>
    <w:rsid w:val="00B5757C"/>
    <w:rsid w:val="00B57A63"/>
    <w:rsid w:val="00B602FF"/>
    <w:rsid w:val="00B615B8"/>
    <w:rsid w:val="00B61DC8"/>
    <w:rsid w:val="00B626A5"/>
    <w:rsid w:val="00B626F4"/>
    <w:rsid w:val="00B628F1"/>
    <w:rsid w:val="00B62EC3"/>
    <w:rsid w:val="00B63B00"/>
    <w:rsid w:val="00B63B5B"/>
    <w:rsid w:val="00B64F2E"/>
    <w:rsid w:val="00B65266"/>
    <w:rsid w:val="00B65F01"/>
    <w:rsid w:val="00B666DE"/>
    <w:rsid w:val="00B66B76"/>
    <w:rsid w:val="00B67DAE"/>
    <w:rsid w:val="00B70BC7"/>
    <w:rsid w:val="00B71225"/>
    <w:rsid w:val="00B72A96"/>
    <w:rsid w:val="00B7463F"/>
    <w:rsid w:val="00B74A51"/>
    <w:rsid w:val="00B74C51"/>
    <w:rsid w:val="00B752DD"/>
    <w:rsid w:val="00B758FB"/>
    <w:rsid w:val="00B75A5E"/>
    <w:rsid w:val="00B75DD6"/>
    <w:rsid w:val="00B75E39"/>
    <w:rsid w:val="00B766F5"/>
    <w:rsid w:val="00B77055"/>
    <w:rsid w:val="00B77705"/>
    <w:rsid w:val="00B80133"/>
    <w:rsid w:val="00B806E2"/>
    <w:rsid w:val="00B8193A"/>
    <w:rsid w:val="00B834C5"/>
    <w:rsid w:val="00B835B5"/>
    <w:rsid w:val="00B838F5"/>
    <w:rsid w:val="00B8457D"/>
    <w:rsid w:val="00B84DED"/>
    <w:rsid w:val="00B859B7"/>
    <w:rsid w:val="00B85C59"/>
    <w:rsid w:val="00B86FD2"/>
    <w:rsid w:val="00B8735D"/>
    <w:rsid w:val="00B876B6"/>
    <w:rsid w:val="00B8774D"/>
    <w:rsid w:val="00B87F81"/>
    <w:rsid w:val="00B900E2"/>
    <w:rsid w:val="00B9117C"/>
    <w:rsid w:val="00B92026"/>
    <w:rsid w:val="00B92B5C"/>
    <w:rsid w:val="00B930B4"/>
    <w:rsid w:val="00B93330"/>
    <w:rsid w:val="00B94C54"/>
    <w:rsid w:val="00B95236"/>
    <w:rsid w:val="00B95C72"/>
    <w:rsid w:val="00B97634"/>
    <w:rsid w:val="00B978E5"/>
    <w:rsid w:val="00BA05CE"/>
    <w:rsid w:val="00BA0E02"/>
    <w:rsid w:val="00BA291C"/>
    <w:rsid w:val="00BA3018"/>
    <w:rsid w:val="00BA4B28"/>
    <w:rsid w:val="00BB06AD"/>
    <w:rsid w:val="00BB221E"/>
    <w:rsid w:val="00BB2409"/>
    <w:rsid w:val="00BB2685"/>
    <w:rsid w:val="00BB2C5F"/>
    <w:rsid w:val="00BB3A07"/>
    <w:rsid w:val="00BB5122"/>
    <w:rsid w:val="00BB5476"/>
    <w:rsid w:val="00BB5F88"/>
    <w:rsid w:val="00BB7BE1"/>
    <w:rsid w:val="00BC0159"/>
    <w:rsid w:val="00BC0174"/>
    <w:rsid w:val="00BC3F07"/>
    <w:rsid w:val="00BC4631"/>
    <w:rsid w:val="00BC6AB3"/>
    <w:rsid w:val="00BC72A9"/>
    <w:rsid w:val="00BC7363"/>
    <w:rsid w:val="00BD07FD"/>
    <w:rsid w:val="00BD2D06"/>
    <w:rsid w:val="00BD2EB4"/>
    <w:rsid w:val="00BD3926"/>
    <w:rsid w:val="00BD4BB0"/>
    <w:rsid w:val="00BD5A79"/>
    <w:rsid w:val="00BD7EA8"/>
    <w:rsid w:val="00BE030E"/>
    <w:rsid w:val="00BE09EA"/>
    <w:rsid w:val="00BE168D"/>
    <w:rsid w:val="00BE1F89"/>
    <w:rsid w:val="00BE2753"/>
    <w:rsid w:val="00BE2868"/>
    <w:rsid w:val="00BE2874"/>
    <w:rsid w:val="00BE36FA"/>
    <w:rsid w:val="00BE4018"/>
    <w:rsid w:val="00BE4A34"/>
    <w:rsid w:val="00BE5BA8"/>
    <w:rsid w:val="00BE6361"/>
    <w:rsid w:val="00BE6437"/>
    <w:rsid w:val="00BE65CD"/>
    <w:rsid w:val="00BE769D"/>
    <w:rsid w:val="00BE7B8B"/>
    <w:rsid w:val="00BF03C6"/>
    <w:rsid w:val="00BF069A"/>
    <w:rsid w:val="00BF0D25"/>
    <w:rsid w:val="00BF18E9"/>
    <w:rsid w:val="00BF36B6"/>
    <w:rsid w:val="00BF36F7"/>
    <w:rsid w:val="00BF3D9B"/>
    <w:rsid w:val="00BF58BB"/>
    <w:rsid w:val="00BF64EB"/>
    <w:rsid w:val="00BF673D"/>
    <w:rsid w:val="00BF67FD"/>
    <w:rsid w:val="00C00323"/>
    <w:rsid w:val="00C01CE1"/>
    <w:rsid w:val="00C026FF"/>
    <w:rsid w:val="00C03004"/>
    <w:rsid w:val="00C03223"/>
    <w:rsid w:val="00C0377E"/>
    <w:rsid w:val="00C04D3B"/>
    <w:rsid w:val="00C06783"/>
    <w:rsid w:val="00C06A59"/>
    <w:rsid w:val="00C117D4"/>
    <w:rsid w:val="00C119F0"/>
    <w:rsid w:val="00C11BC3"/>
    <w:rsid w:val="00C11E95"/>
    <w:rsid w:val="00C12265"/>
    <w:rsid w:val="00C125E8"/>
    <w:rsid w:val="00C12B0A"/>
    <w:rsid w:val="00C13D43"/>
    <w:rsid w:val="00C14A08"/>
    <w:rsid w:val="00C14FF9"/>
    <w:rsid w:val="00C16381"/>
    <w:rsid w:val="00C17017"/>
    <w:rsid w:val="00C20459"/>
    <w:rsid w:val="00C21220"/>
    <w:rsid w:val="00C214B4"/>
    <w:rsid w:val="00C216AB"/>
    <w:rsid w:val="00C21764"/>
    <w:rsid w:val="00C223EC"/>
    <w:rsid w:val="00C23514"/>
    <w:rsid w:val="00C23EBD"/>
    <w:rsid w:val="00C24761"/>
    <w:rsid w:val="00C25311"/>
    <w:rsid w:val="00C25F91"/>
    <w:rsid w:val="00C2707E"/>
    <w:rsid w:val="00C27269"/>
    <w:rsid w:val="00C30007"/>
    <w:rsid w:val="00C30154"/>
    <w:rsid w:val="00C30748"/>
    <w:rsid w:val="00C31225"/>
    <w:rsid w:val="00C31422"/>
    <w:rsid w:val="00C31A70"/>
    <w:rsid w:val="00C31BEE"/>
    <w:rsid w:val="00C31FA4"/>
    <w:rsid w:val="00C332D1"/>
    <w:rsid w:val="00C33B94"/>
    <w:rsid w:val="00C33E82"/>
    <w:rsid w:val="00C354C6"/>
    <w:rsid w:val="00C35503"/>
    <w:rsid w:val="00C3596D"/>
    <w:rsid w:val="00C363CB"/>
    <w:rsid w:val="00C374AB"/>
    <w:rsid w:val="00C4051A"/>
    <w:rsid w:val="00C41A58"/>
    <w:rsid w:val="00C4224E"/>
    <w:rsid w:val="00C42C0F"/>
    <w:rsid w:val="00C42E8E"/>
    <w:rsid w:val="00C46E35"/>
    <w:rsid w:val="00C4705A"/>
    <w:rsid w:val="00C47883"/>
    <w:rsid w:val="00C47C7E"/>
    <w:rsid w:val="00C509E2"/>
    <w:rsid w:val="00C52979"/>
    <w:rsid w:val="00C5380F"/>
    <w:rsid w:val="00C53C81"/>
    <w:rsid w:val="00C548EC"/>
    <w:rsid w:val="00C552F9"/>
    <w:rsid w:val="00C556CA"/>
    <w:rsid w:val="00C55C05"/>
    <w:rsid w:val="00C55E0C"/>
    <w:rsid w:val="00C565F5"/>
    <w:rsid w:val="00C5705B"/>
    <w:rsid w:val="00C570FE"/>
    <w:rsid w:val="00C57E5E"/>
    <w:rsid w:val="00C605FD"/>
    <w:rsid w:val="00C62FE1"/>
    <w:rsid w:val="00C641B1"/>
    <w:rsid w:val="00C64680"/>
    <w:rsid w:val="00C64B72"/>
    <w:rsid w:val="00C64E4F"/>
    <w:rsid w:val="00C658FA"/>
    <w:rsid w:val="00C660F0"/>
    <w:rsid w:val="00C66C83"/>
    <w:rsid w:val="00C70531"/>
    <w:rsid w:val="00C70B7D"/>
    <w:rsid w:val="00C7117F"/>
    <w:rsid w:val="00C7172B"/>
    <w:rsid w:val="00C71F94"/>
    <w:rsid w:val="00C7272F"/>
    <w:rsid w:val="00C73125"/>
    <w:rsid w:val="00C744BE"/>
    <w:rsid w:val="00C7487E"/>
    <w:rsid w:val="00C74D5F"/>
    <w:rsid w:val="00C75FF3"/>
    <w:rsid w:val="00C762B2"/>
    <w:rsid w:val="00C7635F"/>
    <w:rsid w:val="00C7679D"/>
    <w:rsid w:val="00C76EA1"/>
    <w:rsid w:val="00C800D5"/>
    <w:rsid w:val="00C806E9"/>
    <w:rsid w:val="00C80E69"/>
    <w:rsid w:val="00C81564"/>
    <w:rsid w:val="00C81AE3"/>
    <w:rsid w:val="00C81D01"/>
    <w:rsid w:val="00C8224B"/>
    <w:rsid w:val="00C822CB"/>
    <w:rsid w:val="00C83651"/>
    <w:rsid w:val="00C83735"/>
    <w:rsid w:val="00C84076"/>
    <w:rsid w:val="00C841D0"/>
    <w:rsid w:val="00C84B69"/>
    <w:rsid w:val="00C85367"/>
    <w:rsid w:val="00C857AA"/>
    <w:rsid w:val="00C86013"/>
    <w:rsid w:val="00C90402"/>
    <w:rsid w:val="00C90979"/>
    <w:rsid w:val="00C915C4"/>
    <w:rsid w:val="00C91EA1"/>
    <w:rsid w:val="00C93F4D"/>
    <w:rsid w:val="00C96516"/>
    <w:rsid w:val="00C978F7"/>
    <w:rsid w:val="00C97A92"/>
    <w:rsid w:val="00CA15F7"/>
    <w:rsid w:val="00CA1F60"/>
    <w:rsid w:val="00CA29A0"/>
    <w:rsid w:val="00CA3431"/>
    <w:rsid w:val="00CA5CFE"/>
    <w:rsid w:val="00CA71EB"/>
    <w:rsid w:val="00CB01D6"/>
    <w:rsid w:val="00CB0252"/>
    <w:rsid w:val="00CB09E5"/>
    <w:rsid w:val="00CB0AFB"/>
    <w:rsid w:val="00CB0C38"/>
    <w:rsid w:val="00CB0CC1"/>
    <w:rsid w:val="00CB0F01"/>
    <w:rsid w:val="00CB13A8"/>
    <w:rsid w:val="00CB2EA6"/>
    <w:rsid w:val="00CB30BA"/>
    <w:rsid w:val="00CB3356"/>
    <w:rsid w:val="00CB4221"/>
    <w:rsid w:val="00CB4FF2"/>
    <w:rsid w:val="00CB543B"/>
    <w:rsid w:val="00CB5C85"/>
    <w:rsid w:val="00CB6422"/>
    <w:rsid w:val="00CB64FE"/>
    <w:rsid w:val="00CB686E"/>
    <w:rsid w:val="00CC0C66"/>
    <w:rsid w:val="00CC24D2"/>
    <w:rsid w:val="00CC35BC"/>
    <w:rsid w:val="00CC36C8"/>
    <w:rsid w:val="00CC417D"/>
    <w:rsid w:val="00CC5451"/>
    <w:rsid w:val="00CC6E07"/>
    <w:rsid w:val="00CC7F86"/>
    <w:rsid w:val="00CC7F89"/>
    <w:rsid w:val="00CD097C"/>
    <w:rsid w:val="00CD1028"/>
    <w:rsid w:val="00CD38BC"/>
    <w:rsid w:val="00CD4952"/>
    <w:rsid w:val="00CD58D3"/>
    <w:rsid w:val="00CD5F43"/>
    <w:rsid w:val="00CD68F0"/>
    <w:rsid w:val="00CD6ADD"/>
    <w:rsid w:val="00CD6B23"/>
    <w:rsid w:val="00CD775C"/>
    <w:rsid w:val="00CE01F2"/>
    <w:rsid w:val="00CE13AC"/>
    <w:rsid w:val="00CE13CD"/>
    <w:rsid w:val="00CE30AD"/>
    <w:rsid w:val="00CE3C7A"/>
    <w:rsid w:val="00CE3FED"/>
    <w:rsid w:val="00CE4CB7"/>
    <w:rsid w:val="00CE4FCF"/>
    <w:rsid w:val="00CE6DC1"/>
    <w:rsid w:val="00CE7504"/>
    <w:rsid w:val="00CF024D"/>
    <w:rsid w:val="00CF0B22"/>
    <w:rsid w:val="00CF1230"/>
    <w:rsid w:val="00CF2323"/>
    <w:rsid w:val="00CF2A8D"/>
    <w:rsid w:val="00CF45D8"/>
    <w:rsid w:val="00CF485A"/>
    <w:rsid w:val="00CF5E2D"/>
    <w:rsid w:val="00CF66AA"/>
    <w:rsid w:val="00CF67C9"/>
    <w:rsid w:val="00CF727B"/>
    <w:rsid w:val="00CF79E8"/>
    <w:rsid w:val="00D00A4C"/>
    <w:rsid w:val="00D02018"/>
    <w:rsid w:val="00D0343F"/>
    <w:rsid w:val="00D03510"/>
    <w:rsid w:val="00D04201"/>
    <w:rsid w:val="00D045DB"/>
    <w:rsid w:val="00D04655"/>
    <w:rsid w:val="00D0513D"/>
    <w:rsid w:val="00D05DD4"/>
    <w:rsid w:val="00D06990"/>
    <w:rsid w:val="00D11193"/>
    <w:rsid w:val="00D11A3C"/>
    <w:rsid w:val="00D12CF3"/>
    <w:rsid w:val="00D133B2"/>
    <w:rsid w:val="00D149BA"/>
    <w:rsid w:val="00D14A45"/>
    <w:rsid w:val="00D159B7"/>
    <w:rsid w:val="00D16A02"/>
    <w:rsid w:val="00D2107D"/>
    <w:rsid w:val="00D21F0F"/>
    <w:rsid w:val="00D220DE"/>
    <w:rsid w:val="00D22339"/>
    <w:rsid w:val="00D229A0"/>
    <w:rsid w:val="00D22A36"/>
    <w:rsid w:val="00D22D8F"/>
    <w:rsid w:val="00D2344B"/>
    <w:rsid w:val="00D23BCF"/>
    <w:rsid w:val="00D2496C"/>
    <w:rsid w:val="00D24A2A"/>
    <w:rsid w:val="00D2576C"/>
    <w:rsid w:val="00D261DF"/>
    <w:rsid w:val="00D2690D"/>
    <w:rsid w:val="00D273B9"/>
    <w:rsid w:val="00D30285"/>
    <w:rsid w:val="00D308B1"/>
    <w:rsid w:val="00D31305"/>
    <w:rsid w:val="00D31758"/>
    <w:rsid w:val="00D325B2"/>
    <w:rsid w:val="00D32821"/>
    <w:rsid w:val="00D32F6B"/>
    <w:rsid w:val="00D33A66"/>
    <w:rsid w:val="00D33BA4"/>
    <w:rsid w:val="00D3587A"/>
    <w:rsid w:val="00D40055"/>
    <w:rsid w:val="00D40655"/>
    <w:rsid w:val="00D41195"/>
    <w:rsid w:val="00D421F5"/>
    <w:rsid w:val="00D42273"/>
    <w:rsid w:val="00D42E3A"/>
    <w:rsid w:val="00D43AD3"/>
    <w:rsid w:val="00D45386"/>
    <w:rsid w:val="00D457FD"/>
    <w:rsid w:val="00D4585A"/>
    <w:rsid w:val="00D45B67"/>
    <w:rsid w:val="00D45D75"/>
    <w:rsid w:val="00D45E01"/>
    <w:rsid w:val="00D465D7"/>
    <w:rsid w:val="00D46839"/>
    <w:rsid w:val="00D46BA0"/>
    <w:rsid w:val="00D471E7"/>
    <w:rsid w:val="00D474F2"/>
    <w:rsid w:val="00D47FDE"/>
    <w:rsid w:val="00D509CF"/>
    <w:rsid w:val="00D50C40"/>
    <w:rsid w:val="00D51F4D"/>
    <w:rsid w:val="00D524A5"/>
    <w:rsid w:val="00D56FAC"/>
    <w:rsid w:val="00D5796A"/>
    <w:rsid w:val="00D604C1"/>
    <w:rsid w:val="00D60B26"/>
    <w:rsid w:val="00D6155F"/>
    <w:rsid w:val="00D61ACB"/>
    <w:rsid w:val="00D61EBC"/>
    <w:rsid w:val="00D63408"/>
    <w:rsid w:val="00D635D3"/>
    <w:rsid w:val="00D638A9"/>
    <w:rsid w:val="00D65868"/>
    <w:rsid w:val="00D66711"/>
    <w:rsid w:val="00D66D79"/>
    <w:rsid w:val="00D70735"/>
    <w:rsid w:val="00D70C71"/>
    <w:rsid w:val="00D70D18"/>
    <w:rsid w:val="00D70F6A"/>
    <w:rsid w:val="00D711BA"/>
    <w:rsid w:val="00D713E5"/>
    <w:rsid w:val="00D71A87"/>
    <w:rsid w:val="00D739C1"/>
    <w:rsid w:val="00D73AC1"/>
    <w:rsid w:val="00D756F8"/>
    <w:rsid w:val="00D765C4"/>
    <w:rsid w:val="00D77659"/>
    <w:rsid w:val="00D77DA0"/>
    <w:rsid w:val="00D8148D"/>
    <w:rsid w:val="00D81AE2"/>
    <w:rsid w:val="00D81CB7"/>
    <w:rsid w:val="00D82926"/>
    <w:rsid w:val="00D82AC0"/>
    <w:rsid w:val="00D82AF9"/>
    <w:rsid w:val="00D85493"/>
    <w:rsid w:val="00D85563"/>
    <w:rsid w:val="00D85EED"/>
    <w:rsid w:val="00D86462"/>
    <w:rsid w:val="00D878E9"/>
    <w:rsid w:val="00D87B01"/>
    <w:rsid w:val="00D90B0F"/>
    <w:rsid w:val="00D913B5"/>
    <w:rsid w:val="00D92785"/>
    <w:rsid w:val="00D935E7"/>
    <w:rsid w:val="00D9421F"/>
    <w:rsid w:val="00D949ED"/>
    <w:rsid w:val="00D95B1E"/>
    <w:rsid w:val="00D96AB6"/>
    <w:rsid w:val="00D96D3B"/>
    <w:rsid w:val="00D97561"/>
    <w:rsid w:val="00DA02FA"/>
    <w:rsid w:val="00DA04BF"/>
    <w:rsid w:val="00DA08C8"/>
    <w:rsid w:val="00DA0B31"/>
    <w:rsid w:val="00DA1B25"/>
    <w:rsid w:val="00DA23E0"/>
    <w:rsid w:val="00DA258D"/>
    <w:rsid w:val="00DA3374"/>
    <w:rsid w:val="00DA3CF9"/>
    <w:rsid w:val="00DA580B"/>
    <w:rsid w:val="00DA6A56"/>
    <w:rsid w:val="00DA6EF9"/>
    <w:rsid w:val="00DA7751"/>
    <w:rsid w:val="00DA82CC"/>
    <w:rsid w:val="00DB0647"/>
    <w:rsid w:val="00DB1197"/>
    <w:rsid w:val="00DB294E"/>
    <w:rsid w:val="00DB2EA4"/>
    <w:rsid w:val="00DB3028"/>
    <w:rsid w:val="00DB37C2"/>
    <w:rsid w:val="00DB4753"/>
    <w:rsid w:val="00DB4E13"/>
    <w:rsid w:val="00DB50FC"/>
    <w:rsid w:val="00DB7BAB"/>
    <w:rsid w:val="00DC0A31"/>
    <w:rsid w:val="00DC2891"/>
    <w:rsid w:val="00DC2E5F"/>
    <w:rsid w:val="00DC409E"/>
    <w:rsid w:val="00DC447A"/>
    <w:rsid w:val="00DC54AD"/>
    <w:rsid w:val="00DC5F78"/>
    <w:rsid w:val="00DC6CFC"/>
    <w:rsid w:val="00DD0936"/>
    <w:rsid w:val="00DD122E"/>
    <w:rsid w:val="00DD1820"/>
    <w:rsid w:val="00DD1C1B"/>
    <w:rsid w:val="00DD4269"/>
    <w:rsid w:val="00DD5721"/>
    <w:rsid w:val="00DD5A9B"/>
    <w:rsid w:val="00DD6208"/>
    <w:rsid w:val="00DD627E"/>
    <w:rsid w:val="00DE0A8E"/>
    <w:rsid w:val="00DE0F8C"/>
    <w:rsid w:val="00DE18C4"/>
    <w:rsid w:val="00DE18F6"/>
    <w:rsid w:val="00DE1DD3"/>
    <w:rsid w:val="00DE2DB3"/>
    <w:rsid w:val="00DE41BF"/>
    <w:rsid w:val="00DE4CF4"/>
    <w:rsid w:val="00DE4E3E"/>
    <w:rsid w:val="00DE7E9E"/>
    <w:rsid w:val="00DF1013"/>
    <w:rsid w:val="00DF120A"/>
    <w:rsid w:val="00DF149E"/>
    <w:rsid w:val="00DF18D4"/>
    <w:rsid w:val="00DF4478"/>
    <w:rsid w:val="00DF4FC8"/>
    <w:rsid w:val="00DF5F8C"/>
    <w:rsid w:val="00DF6E6A"/>
    <w:rsid w:val="00E0043E"/>
    <w:rsid w:val="00E00D20"/>
    <w:rsid w:val="00E0135E"/>
    <w:rsid w:val="00E0238A"/>
    <w:rsid w:val="00E029BA"/>
    <w:rsid w:val="00E02A4D"/>
    <w:rsid w:val="00E03F2A"/>
    <w:rsid w:val="00E04A64"/>
    <w:rsid w:val="00E057A0"/>
    <w:rsid w:val="00E05872"/>
    <w:rsid w:val="00E0614B"/>
    <w:rsid w:val="00E0621C"/>
    <w:rsid w:val="00E06781"/>
    <w:rsid w:val="00E07BC1"/>
    <w:rsid w:val="00E106B5"/>
    <w:rsid w:val="00E11021"/>
    <w:rsid w:val="00E127A9"/>
    <w:rsid w:val="00E139E1"/>
    <w:rsid w:val="00E13A26"/>
    <w:rsid w:val="00E13CB3"/>
    <w:rsid w:val="00E140D4"/>
    <w:rsid w:val="00E1560C"/>
    <w:rsid w:val="00E1574B"/>
    <w:rsid w:val="00E16185"/>
    <w:rsid w:val="00E162A6"/>
    <w:rsid w:val="00E1676D"/>
    <w:rsid w:val="00E17955"/>
    <w:rsid w:val="00E2000B"/>
    <w:rsid w:val="00E2080C"/>
    <w:rsid w:val="00E20B83"/>
    <w:rsid w:val="00E20C21"/>
    <w:rsid w:val="00E22E1A"/>
    <w:rsid w:val="00E23CAA"/>
    <w:rsid w:val="00E245E4"/>
    <w:rsid w:val="00E25B5F"/>
    <w:rsid w:val="00E25EE9"/>
    <w:rsid w:val="00E2637E"/>
    <w:rsid w:val="00E263D3"/>
    <w:rsid w:val="00E26C31"/>
    <w:rsid w:val="00E27B00"/>
    <w:rsid w:val="00E27B2E"/>
    <w:rsid w:val="00E30065"/>
    <w:rsid w:val="00E3054E"/>
    <w:rsid w:val="00E30B61"/>
    <w:rsid w:val="00E30EB2"/>
    <w:rsid w:val="00E30F80"/>
    <w:rsid w:val="00E31F3C"/>
    <w:rsid w:val="00E33372"/>
    <w:rsid w:val="00E3487F"/>
    <w:rsid w:val="00E34E84"/>
    <w:rsid w:val="00E35201"/>
    <w:rsid w:val="00E35497"/>
    <w:rsid w:val="00E361A3"/>
    <w:rsid w:val="00E3690A"/>
    <w:rsid w:val="00E36D37"/>
    <w:rsid w:val="00E373D6"/>
    <w:rsid w:val="00E376CC"/>
    <w:rsid w:val="00E37BB8"/>
    <w:rsid w:val="00E4020B"/>
    <w:rsid w:val="00E40BD7"/>
    <w:rsid w:val="00E41A8E"/>
    <w:rsid w:val="00E43984"/>
    <w:rsid w:val="00E4522F"/>
    <w:rsid w:val="00E454B1"/>
    <w:rsid w:val="00E45C5C"/>
    <w:rsid w:val="00E45F88"/>
    <w:rsid w:val="00E46CB2"/>
    <w:rsid w:val="00E46DB0"/>
    <w:rsid w:val="00E46E2B"/>
    <w:rsid w:val="00E47951"/>
    <w:rsid w:val="00E47C40"/>
    <w:rsid w:val="00E47D7B"/>
    <w:rsid w:val="00E50AC4"/>
    <w:rsid w:val="00E51718"/>
    <w:rsid w:val="00E51CD0"/>
    <w:rsid w:val="00E52189"/>
    <w:rsid w:val="00E522FF"/>
    <w:rsid w:val="00E523DE"/>
    <w:rsid w:val="00E52C80"/>
    <w:rsid w:val="00E54816"/>
    <w:rsid w:val="00E54B0D"/>
    <w:rsid w:val="00E556FF"/>
    <w:rsid w:val="00E56D5F"/>
    <w:rsid w:val="00E57956"/>
    <w:rsid w:val="00E6008E"/>
    <w:rsid w:val="00E601A3"/>
    <w:rsid w:val="00E62004"/>
    <w:rsid w:val="00E62600"/>
    <w:rsid w:val="00E62CD5"/>
    <w:rsid w:val="00E636F5"/>
    <w:rsid w:val="00E646B3"/>
    <w:rsid w:val="00E64D9E"/>
    <w:rsid w:val="00E651DA"/>
    <w:rsid w:val="00E6527D"/>
    <w:rsid w:val="00E65455"/>
    <w:rsid w:val="00E65F51"/>
    <w:rsid w:val="00E66BD0"/>
    <w:rsid w:val="00E67741"/>
    <w:rsid w:val="00E7236D"/>
    <w:rsid w:val="00E75695"/>
    <w:rsid w:val="00E75F6B"/>
    <w:rsid w:val="00E762C0"/>
    <w:rsid w:val="00E80274"/>
    <w:rsid w:val="00E805C7"/>
    <w:rsid w:val="00E80960"/>
    <w:rsid w:val="00E81479"/>
    <w:rsid w:val="00E81DB7"/>
    <w:rsid w:val="00E82261"/>
    <w:rsid w:val="00E83F1A"/>
    <w:rsid w:val="00E84876"/>
    <w:rsid w:val="00E85448"/>
    <w:rsid w:val="00E863E5"/>
    <w:rsid w:val="00E86AF3"/>
    <w:rsid w:val="00E87E72"/>
    <w:rsid w:val="00E9082E"/>
    <w:rsid w:val="00E90D6C"/>
    <w:rsid w:val="00E91337"/>
    <w:rsid w:val="00E913A3"/>
    <w:rsid w:val="00E913B1"/>
    <w:rsid w:val="00E92270"/>
    <w:rsid w:val="00E92547"/>
    <w:rsid w:val="00E932B0"/>
    <w:rsid w:val="00E9477D"/>
    <w:rsid w:val="00E94A4E"/>
    <w:rsid w:val="00E94CCF"/>
    <w:rsid w:val="00E94DC7"/>
    <w:rsid w:val="00E94DFF"/>
    <w:rsid w:val="00E9547A"/>
    <w:rsid w:val="00E958C3"/>
    <w:rsid w:val="00E95911"/>
    <w:rsid w:val="00E959EE"/>
    <w:rsid w:val="00E95D8A"/>
    <w:rsid w:val="00E96752"/>
    <w:rsid w:val="00E967CC"/>
    <w:rsid w:val="00E96AA2"/>
    <w:rsid w:val="00E96AC7"/>
    <w:rsid w:val="00E96B13"/>
    <w:rsid w:val="00E96F16"/>
    <w:rsid w:val="00E96F9B"/>
    <w:rsid w:val="00E97A85"/>
    <w:rsid w:val="00EA0AC4"/>
    <w:rsid w:val="00EA26BF"/>
    <w:rsid w:val="00EA2E76"/>
    <w:rsid w:val="00EA3374"/>
    <w:rsid w:val="00EA3740"/>
    <w:rsid w:val="00EA3DA7"/>
    <w:rsid w:val="00EA45D8"/>
    <w:rsid w:val="00EA4684"/>
    <w:rsid w:val="00EA46A6"/>
    <w:rsid w:val="00EA549D"/>
    <w:rsid w:val="00EA5549"/>
    <w:rsid w:val="00EA6706"/>
    <w:rsid w:val="00EA6A60"/>
    <w:rsid w:val="00EA7D99"/>
    <w:rsid w:val="00EB0B6E"/>
    <w:rsid w:val="00EB42F2"/>
    <w:rsid w:val="00EB46B8"/>
    <w:rsid w:val="00EB49B9"/>
    <w:rsid w:val="00EB609B"/>
    <w:rsid w:val="00EB6267"/>
    <w:rsid w:val="00EB7571"/>
    <w:rsid w:val="00EB7967"/>
    <w:rsid w:val="00EC0227"/>
    <w:rsid w:val="00EC0D08"/>
    <w:rsid w:val="00EC15FE"/>
    <w:rsid w:val="00EC2860"/>
    <w:rsid w:val="00EC2B40"/>
    <w:rsid w:val="00EC2EDB"/>
    <w:rsid w:val="00EC4061"/>
    <w:rsid w:val="00EC5236"/>
    <w:rsid w:val="00EC58E5"/>
    <w:rsid w:val="00EC6FFA"/>
    <w:rsid w:val="00ED0872"/>
    <w:rsid w:val="00ED1765"/>
    <w:rsid w:val="00ED1F34"/>
    <w:rsid w:val="00ED2043"/>
    <w:rsid w:val="00ED2383"/>
    <w:rsid w:val="00ED2A94"/>
    <w:rsid w:val="00ED398D"/>
    <w:rsid w:val="00ED68CE"/>
    <w:rsid w:val="00ED780E"/>
    <w:rsid w:val="00ED7F08"/>
    <w:rsid w:val="00EE06A7"/>
    <w:rsid w:val="00EE0D84"/>
    <w:rsid w:val="00EE1838"/>
    <w:rsid w:val="00EE34E2"/>
    <w:rsid w:val="00EE5B88"/>
    <w:rsid w:val="00EE6627"/>
    <w:rsid w:val="00EE6DBF"/>
    <w:rsid w:val="00EE78E9"/>
    <w:rsid w:val="00EE7F8A"/>
    <w:rsid w:val="00EEC5C4"/>
    <w:rsid w:val="00EF073C"/>
    <w:rsid w:val="00EF16C1"/>
    <w:rsid w:val="00EF1C48"/>
    <w:rsid w:val="00EF1C66"/>
    <w:rsid w:val="00EF35CE"/>
    <w:rsid w:val="00EF4E0D"/>
    <w:rsid w:val="00EF50C1"/>
    <w:rsid w:val="00EF50EC"/>
    <w:rsid w:val="00EF580B"/>
    <w:rsid w:val="00EF6E64"/>
    <w:rsid w:val="00EF760F"/>
    <w:rsid w:val="00EF7A85"/>
    <w:rsid w:val="00EF7CB9"/>
    <w:rsid w:val="00F01C05"/>
    <w:rsid w:val="00F01EB6"/>
    <w:rsid w:val="00F022D0"/>
    <w:rsid w:val="00F03A0C"/>
    <w:rsid w:val="00F03FAF"/>
    <w:rsid w:val="00F04252"/>
    <w:rsid w:val="00F043DA"/>
    <w:rsid w:val="00F04BD2"/>
    <w:rsid w:val="00F051C3"/>
    <w:rsid w:val="00F07701"/>
    <w:rsid w:val="00F10BCB"/>
    <w:rsid w:val="00F12FF5"/>
    <w:rsid w:val="00F1322E"/>
    <w:rsid w:val="00F1368D"/>
    <w:rsid w:val="00F14F2F"/>
    <w:rsid w:val="00F15276"/>
    <w:rsid w:val="00F15951"/>
    <w:rsid w:val="00F20405"/>
    <w:rsid w:val="00F21042"/>
    <w:rsid w:val="00F21411"/>
    <w:rsid w:val="00F214FF"/>
    <w:rsid w:val="00F22736"/>
    <w:rsid w:val="00F23A4B"/>
    <w:rsid w:val="00F24298"/>
    <w:rsid w:val="00F24FBF"/>
    <w:rsid w:val="00F25CCB"/>
    <w:rsid w:val="00F25E54"/>
    <w:rsid w:val="00F27C32"/>
    <w:rsid w:val="00F30EDC"/>
    <w:rsid w:val="00F3120E"/>
    <w:rsid w:val="00F312D2"/>
    <w:rsid w:val="00F31C28"/>
    <w:rsid w:val="00F325E0"/>
    <w:rsid w:val="00F32882"/>
    <w:rsid w:val="00F32ADC"/>
    <w:rsid w:val="00F33431"/>
    <w:rsid w:val="00F3476E"/>
    <w:rsid w:val="00F34BD8"/>
    <w:rsid w:val="00F377B3"/>
    <w:rsid w:val="00F37A6A"/>
    <w:rsid w:val="00F400A9"/>
    <w:rsid w:val="00F4079E"/>
    <w:rsid w:val="00F421E6"/>
    <w:rsid w:val="00F42910"/>
    <w:rsid w:val="00F42F5C"/>
    <w:rsid w:val="00F44C22"/>
    <w:rsid w:val="00F44EFF"/>
    <w:rsid w:val="00F45398"/>
    <w:rsid w:val="00F4612D"/>
    <w:rsid w:val="00F470B7"/>
    <w:rsid w:val="00F4727B"/>
    <w:rsid w:val="00F475B3"/>
    <w:rsid w:val="00F47929"/>
    <w:rsid w:val="00F47D4C"/>
    <w:rsid w:val="00F47E96"/>
    <w:rsid w:val="00F501D8"/>
    <w:rsid w:val="00F50291"/>
    <w:rsid w:val="00F525C1"/>
    <w:rsid w:val="00F5279B"/>
    <w:rsid w:val="00F54005"/>
    <w:rsid w:val="00F54075"/>
    <w:rsid w:val="00F54120"/>
    <w:rsid w:val="00F553AC"/>
    <w:rsid w:val="00F55B4A"/>
    <w:rsid w:val="00F57BBD"/>
    <w:rsid w:val="00F603B0"/>
    <w:rsid w:val="00F60828"/>
    <w:rsid w:val="00F61466"/>
    <w:rsid w:val="00F61B2E"/>
    <w:rsid w:val="00F63C16"/>
    <w:rsid w:val="00F63D94"/>
    <w:rsid w:val="00F649B6"/>
    <w:rsid w:val="00F64E72"/>
    <w:rsid w:val="00F6547B"/>
    <w:rsid w:val="00F669F3"/>
    <w:rsid w:val="00F67840"/>
    <w:rsid w:val="00F716F3"/>
    <w:rsid w:val="00F7198C"/>
    <w:rsid w:val="00F71B12"/>
    <w:rsid w:val="00F73CD2"/>
    <w:rsid w:val="00F74A6D"/>
    <w:rsid w:val="00F74E0C"/>
    <w:rsid w:val="00F76FF0"/>
    <w:rsid w:val="00F777D5"/>
    <w:rsid w:val="00F80655"/>
    <w:rsid w:val="00F80F06"/>
    <w:rsid w:val="00F81A74"/>
    <w:rsid w:val="00F8252F"/>
    <w:rsid w:val="00F83350"/>
    <w:rsid w:val="00F83C33"/>
    <w:rsid w:val="00F83E3E"/>
    <w:rsid w:val="00F84B1C"/>
    <w:rsid w:val="00F84B71"/>
    <w:rsid w:val="00F85211"/>
    <w:rsid w:val="00F85613"/>
    <w:rsid w:val="00F85BC8"/>
    <w:rsid w:val="00F87D69"/>
    <w:rsid w:val="00F87FBF"/>
    <w:rsid w:val="00F90D68"/>
    <w:rsid w:val="00F90E24"/>
    <w:rsid w:val="00F91EB5"/>
    <w:rsid w:val="00F921E5"/>
    <w:rsid w:val="00F924D2"/>
    <w:rsid w:val="00F92ABF"/>
    <w:rsid w:val="00F93A10"/>
    <w:rsid w:val="00F94435"/>
    <w:rsid w:val="00F944BF"/>
    <w:rsid w:val="00F959B4"/>
    <w:rsid w:val="00F96514"/>
    <w:rsid w:val="00F96755"/>
    <w:rsid w:val="00F9690A"/>
    <w:rsid w:val="00FA031D"/>
    <w:rsid w:val="00FA0DCF"/>
    <w:rsid w:val="00FA104F"/>
    <w:rsid w:val="00FA119A"/>
    <w:rsid w:val="00FA180B"/>
    <w:rsid w:val="00FA2C03"/>
    <w:rsid w:val="00FA3784"/>
    <w:rsid w:val="00FA4CBD"/>
    <w:rsid w:val="00FA4F30"/>
    <w:rsid w:val="00FA6085"/>
    <w:rsid w:val="00FB026E"/>
    <w:rsid w:val="00FB176A"/>
    <w:rsid w:val="00FB5351"/>
    <w:rsid w:val="00FB6A29"/>
    <w:rsid w:val="00FB6E6A"/>
    <w:rsid w:val="00FB70CB"/>
    <w:rsid w:val="00FB7896"/>
    <w:rsid w:val="00FC1AA5"/>
    <w:rsid w:val="00FC1BC3"/>
    <w:rsid w:val="00FC2849"/>
    <w:rsid w:val="00FC2EFA"/>
    <w:rsid w:val="00FC3391"/>
    <w:rsid w:val="00FC3E32"/>
    <w:rsid w:val="00FC42EC"/>
    <w:rsid w:val="00FC44F2"/>
    <w:rsid w:val="00FC6CD1"/>
    <w:rsid w:val="00FC7D07"/>
    <w:rsid w:val="00FD00CF"/>
    <w:rsid w:val="00FD04A4"/>
    <w:rsid w:val="00FD08F8"/>
    <w:rsid w:val="00FD0CD5"/>
    <w:rsid w:val="00FD1A3C"/>
    <w:rsid w:val="00FD233B"/>
    <w:rsid w:val="00FD2451"/>
    <w:rsid w:val="00FD2461"/>
    <w:rsid w:val="00FD3842"/>
    <w:rsid w:val="00FD3C9E"/>
    <w:rsid w:val="00FD42A1"/>
    <w:rsid w:val="00FD45BC"/>
    <w:rsid w:val="00FD4978"/>
    <w:rsid w:val="00FD4F59"/>
    <w:rsid w:val="00FD5314"/>
    <w:rsid w:val="00FD77E2"/>
    <w:rsid w:val="00FD7E63"/>
    <w:rsid w:val="00FE0F36"/>
    <w:rsid w:val="00FE16D4"/>
    <w:rsid w:val="00FE2768"/>
    <w:rsid w:val="00FE77E8"/>
    <w:rsid w:val="00FF0B9D"/>
    <w:rsid w:val="00FF1250"/>
    <w:rsid w:val="00FF1CDD"/>
    <w:rsid w:val="00FF1FE6"/>
    <w:rsid w:val="00FF33A0"/>
    <w:rsid w:val="00FF3AC0"/>
    <w:rsid w:val="00FF44AD"/>
    <w:rsid w:val="00FF44C0"/>
    <w:rsid w:val="00FF456C"/>
    <w:rsid w:val="00FF5A01"/>
    <w:rsid w:val="00FF6ED3"/>
    <w:rsid w:val="00FF710C"/>
    <w:rsid w:val="00FF7F0C"/>
    <w:rsid w:val="0124D12C"/>
    <w:rsid w:val="0132B22F"/>
    <w:rsid w:val="01439668"/>
    <w:rsid w:val="014B2234"/>
    <w:rsid w:val="014C9754"/>
    <w:rsid w:val="015D5FC8"/>
    <w:rsid w:val="0190567E"/>
    <w:rsid w:val="01A08CA0"/>
    <w:rsid w:val="01BBB8B5"/>
    <w:rsid w:val="01C1FAFE"/>
    <w:rsid w:val="01C55A04"/>
    <w:rsid w:val="01C58E8E"/>
    <w:rsid w:val="01D13326"/>
    <w:rsid w:val="01DE55A1"/>
    <w:rsid w:val="01DEA518"/>
    <w:rsid w:val="01ECA8B9"/>
    <w:rsid w:val="0208322D"/>
    <w:rsid w:val="02170B1F"/>
    <w:rsid w:val="02347E08"/>
    <w:rsid w:val="0237A579"/>
    <w:rsid w:val="023E7833"/>
    <w:rsid w:val="023F838F"/>
    <w:rsid w:val="025AED32"/>
    <w:rsid w:val="02A1D282"/>
    <w:rsid w:val="02AB894F"/>
    <w:rsid w:val="02BF28C4"/>
    <w:rsid w:val="02D8A976"/>
    <w:rsid w:val="02DE71FA"/>
    <w:rsid w:val="02F30099"/>
    <w:rsid w:val="030191D5"/>
    <w:rsid w:val="0306DD22"/>
    <w:rsid w:val="033572F7"/>
    <w:rsid w:val="033D6913"/>
    <w:rsid w:val="034545AB"/>
    <w:rsid w:val="035A6499"/>
    <w:rsid w:val="036CC700"/>
    <w:rsid w:val="038CEE51"/>
    <w:rsid w:val="039D51A0"/>
    <w:rsid w:val="03B2F809"/>
    <w:rsid w:val="03CBF4AA"/>
    <w:rsid w:val="03DC9813"/>
    <w:rsid w:val="041FE84F"/>
    <w:rsid w:val="043A985B"/>
    <w:rsid w:val="0440AE9D"/>
    <w:rsid w:val="044E703A"/>
    <w:rsid w:val="049094AF"/>
    <w:rsid w:val="04AB35FF"/>
    <w:rsid w:val="04B5663B"/>
    <w:rsid w:val="04BE8316"/>
    <w:rsid w:val="04F5322B"/>
    <w:rsid w:val="051F7CB8"/>
    <w:rsid w:val="0534C194"/>
    <w:rsid w:val="0549354B"/>
    <w:rsid w:val="0575B3F8"/>
    <w:rsid w:val="0585AF80"/>
    <w:rsid w:val="05A2984A"/>
    <w:rsid w:val="05B2F491"/>
    <w:rsid w:val="05DF6CE8"/>
    <w:rsid w:val="05EE5C8B"/>
    <w:rsid w:val="05F20A61"/>
    <w:rsid w:val="0600D9E7"/>
    <w:rsid w:val="060810CD"/>
    <w:rsid w:val="0625CCB1"/>
    <w:rsid w:val="06445E5A"/>
    <w:rsid w:val="064A2D55"/>
    <w:rsid w:val="06583D33"/>
    <w:rsid w:val="065ED7F0"/>
    <w:rsid w:val="065FEE70"/>
    <w:rsid w:val="068C2089"/>
    <w:rsid w:val="06A9AC76"/>
    <w:rsid w:val="06AEEFED"/>
    <w:rsid w:val="06C87F40"/>
    <w:rsid w:val="06D6AFF4"/>
    <w:rsid w:val="06DAD546"/>
    <w:rsid w:val="06F5872F"/>
    <w:rsid w:val="06FEE5A5"/>
    <w:rsid w:val="06FF1100"/>
    <w:rsid w:val="0726C810"/>
    <w:rsid w:val="072AF8BA"/>
    <w:rsid w:val="073055A6"/>
    <w:rsid w:val="07350953"/>
    <w:rsid w:val="07483496"/>
    <w:rsid w:val="07B5BB45"/>
    <w:rsid w:val="07CA6BB7"/>
    <w:rsid w:val="07CF7DF3"/>
    <w:rsid w:val="07E37B48"/>
    <w:rsid w:val="07EED9E3"/>
    <w:rsid w:val="083304A3"/>
    <w:rsid w:val="08558E27"/>
    <w:rsid w:val="08590764"/>
    <w:rsid w:val="086F3C6B"/>
    <w:rsid w:val="08855E22"/>
    <w:rsid w:val="08962DA1"/>
    <w:rsid w:val="08C2DDD7"/>
    <w:rsid w:val="08DAED8D"/>
    <w:rsid w:val="08FE63FD"/>
    <w:rsid w:val="09089558"/>
    <w:rsid w:val="090AFAD9"/>
    <w:rsid w:val="091DAD51"/>
    <w:rsid w:val="09219775"/>
    <w:rsid w:val="09233153"/>
    <w:rsid w:val="0927DBB3"/>
    <w:rsid w:val="093FB02C"/>
    <w:rsid w:val="096D2B21"/>
    <w:rsid w:val="09810003"/>
    <w:rsid w:val="098F046A"/>
    <w:rsid w:val="09A4B1BD"/>
    <w:rsid w:val="09A9D49F"/>
    <w:rsid w:val="09AABF0C"/>
    <w:rsid w:val="0A0163EA"/>
    <w:rsid w:val="0A09170A"/>
    <w:rsid w:val="0A10EFAA"/>
    <w:rsid w:val="0A34FB13"/>
    <w:rsid w:val="0A4C3A7D"/>
    <w:rsid w:val="0AB7FCDC"/>
    <w:rsid w:val="0ABA9DBE"/>
    <w:rsid w:val="0ABEB458"/>
    <w:rsid w:val="0AE44EEF"/>
    <w:rsid w:val="0B0C712C"/>
    <w:rsid w:val="0B120C09"/>
    <w:rsid w:val="0B28D1CA"/>
    <w:rsid w:val="0B43C133"/>
    <w:rsid w:val="0B5C49FE"/>
    <w:rsid w:val="0B744FC2"/>
    <w:rsid w:val="0B7EBF50"/>
    <w:rsid w:val="0B910C71"/>
    <w:rsid w:val="0BBF516C"/>
    <w:rsid w:val="0BDD91EA"/>
    <w:rsid w:val="0BEE77E2"/>
    <w:rsid w:val="0C459D8D"/>
    <w:rsid w:val="0C63B71B"/>
    <w:rsid w:val="0C68D7A7"/>
    <w:rsid w:val="0C799D03"/>
    <w:rsid w:val="0C88DCBB"/>
    <w:rsid w:val="0C8994DA"/>
    <w:rsid w:val="0C94EAE9"/>
    <w:rsid w:val="0CA1442B"/>
    <w:rsid w:val="0CAFEA77"/>
    <w:rsid w:val="0CC31135"/>
    <w:rsid w:val="0CC727F9"/>
    <w:rsid w:val="0CCAB15D"/>
    <w:rsid w:val="0CD08747"/>
    <w:rsid w:val="0CD3680E"/>
    <w:rsid w:val="0D07AE17"/>
    <w:rsid w:val="0D129832"/>
    <w:rsid w:val="0D1F9290"/>
    <w:rsid w:val="0D27EA86"/>
    <w:rsid w:val="0D298EA9"/>
    <w:rsid w:val="0D2F4025"/>
    <w:rsid w:val="0D4D65DD"/>
    <w:rsid w:val="0D533903"/>
    <w:rsid w:val="0D5F6C9B"/>
    <w:rsid w:val="0D65ADBE"/>
    <w:rsid w:val="0DA8FFC6"/>
    <w:rsid w:val="0DAAC589"/>
    <w:rsid w:val="0DB54C62"/>
    <w:rsid w:val="0DB7459B"/>
    <w:rsid w:val="0DBEBC10"/>
    <w:rsid w:val="0DCA2E94"/>
    <w:rsid w:val="0DDB5ED3"/>
    <w:rsid w:val="0E1041BE"/>
    <w:rsid w:val="0E18CC32"/>
    <w:rsid w:val="0E44643D"/>
    <w:rsid w:val="0E754AE6"/>
    <w:rsid w:val="0E8C55CD"/>
    <w:rsid w:val="0E8FBF70"/>
    <w:rsid w:val="0EAA785E"/>
    <w:rsid w:val="0EAC15C0"/>
    <w:rsid w:val="0EAD8DD6"/>
    <w:rsid w:val="0EBCA0EF"/>
    <w:rsid w:val="0EF0AEEC"/>
    <w:rsid w:val="0EFE8180"/>
    <w:rsid w:val="0F06B9DB"/>
    <w:rsid w:val="0F08A07A"/>
    <w:rsid w:val="0F08A7EB"/>
    <w:rsid w:val="0F1AF2F6"/>
    <w:rsid w:val="0F452EE8"/>
    <w:rsid w:val="0F4E0359"/>
    <w:rsid w:val="0F75E0B6"/>
    <w:rsid w:val="0F87E958"/>
    <w:rsid w:val="0F939893"/>
    <w:rsid w:val="0F990AE1"/>
    <w:rsid w:val="0F9ADDE8"/>
    <w:rsid w:val="0FA31F6B"/>
    <w:rsid w:val="0FA675CE"/>
    <w:rsid w:val="0FB1EF64"/>
    <w:rsid w:val="0FC74A54"/>
    <w:rsid w:val="0FD4938B"/>
    <w:rsid w:val="0FDB4AAB"/>
    <w:rsid w:val="0FF6B721"/>
    <w:rsid w:val="0FF7C9AE"/>
    <w:rsid w:val="0FF8E7CE"/>
    <w:rsid w:val="0FFD4E79"/>
    <w:rsid w:val="100EAC58"/>
    <w:rsid w:val="103EFD77"/>
    <w:rsid w:val="1046130C"/>
    <w:rsid w:val="104DC942"/>
    <w:rsid w:val="10914308"/>
    <w:rsid w:val="109D9230"/>
    <w:rsid w:val="10A1908E"/>
    <w:rsid w:val="10A9D8D7"/>
    <w:rsid w:val="10ABC5D8"/>
    <w:rsid w:val="10B4CF9B"/>
    <w:rsid w:val="10CB05CA"/>
    <w:rsid w:val="10CF650C"/>
    <w:rsid w:val="10CFC38F"/>
    <w:rsid w:val="10F577D3"/>
    <w:rsid w:val="1124EB38"/>
    <w:rsid w:val="11571236"/>
    <w:rsid w:val="11746E1E"/>
    <w:rsid w:val="11A1C641"/>
    <w:rsid w:val="11DAE39A"/>
    <w:rsid w:val="11E57055"/>
    <w:rsid w:val="11EF596E"/>
    <w:rsid w:val="11F984E0"/>
    <w:rsid w:val="11F9B2DC"/>
    <w:rsid w:val="1204B92D"/>
    <w:rsid w:val="120F6CBD"/>
    <w:rsid w:val="12192B54"/>
    <w:rsid w:val="123209BA"/>
    <w:rsid w:val="123E2044"/>
    <w:rsid w:val="12620A01"/>
    <w:rsid w:val="12636FDA"/>
    <w:rsid w:val="12996A9F"/>
    <w:rsid w:val="130243F1"/>
    <w:rsid w:val="130264B4"/>
    <w:rsid w:val="130309C4"/>
    <w:rsid w:val="1325BCFA"/>
    <w:rsid w:val="135A8242"/>
    <w:rsid w:val="13693E92"/>
    <w:rsid w:val="136D286F"/>
    <w:rsid w:val="137A3949"/>
    <w:rsid w:val="1380467B"/>
    <w:rsid w:val="138664B5"/>
    <w:rsid w:val="139F9DD9"/>
    <w:rsid w:val="13A161E2"/>
    <w:rsid w:val="13A3EE54"/>
    <w:rsid w:val="13A9738C"/>
    <w:rsid w:val="13AEBA92"/>
    <w:rsid w:val="13DCEF9A"/>
    <w:rsid w:val="13EECDBF"/>
    <w:rsid w:val="14034443"/>
    <w:rsid w:val="140EC67C"/>
    <w:rsid w:val="14109CA1"/>
    <w:rsid w:val="14219989"/>
    <w:rsid w:val="1454893D"/>
    <w:rsid w:val="146AB825"/>
    <w:rsid w:val="14915202"/>
    <w:rsid w:val="14B40DE0"/>
    <w:rsid w:val="14B64832"/>
    <w:rsid w:val="14B744A6"/>
    <w:rsid w:val="14BBE2EF"/>
    <w:rsid w:val="1561CA66"/>
    <w:rsid w:val="156275AB"/>
    <w:rsid w:val="1568FFA5"/>
    <w:rsid w:val="156F9DB3"/>
    <w:rsid w:val="157CBE81"/>
    <w:rsid w:val="159C9B78"/>
    <w:rsid w:val="159CB410"/>
    <w:rsid w:val="15A736E5"/>
    <w:rsid w:val="15B4191F"/>
    <w:rsid w:val="15E1138C"/>
    <w:rsid w:val="15E26A93"/>
    <w:rsid w:val="15FF9EF1"/>
    <w:rsid w:val="1601A48E"/>
    <w:rsid w:val="16301278"/>
    <w:rsid w:val="163095C8"/>
    <w:rsid w:val="1633F4C6"/>
    <w:rsid w:val="16553F1B"/>
    <w:rsid w:val="16983DCC"/>
    <w:rsid w:val="16CE4FCE"/>
    <w:rsid w:val="16D252BC"/>
    <w:rsid w:val="16EDD6E1"/>
    <w:rsid w:val="16F17266"/>
    <w:rsid w:val="17010C6D"/>
    <w:rsid w:val="170F5436"/>
    <w:rsid w:val="17189FA2"/>
    <w:rsid w:val="1738B286"/>
    <w:rsid w:val="173E0F18"/>
    <w:rsid w:val="174047B3"/>
    <w:rsid w:val="17707070"/>
    <w:rsid w:val="178B567F"/>
    <w:rsid w:val="17B06830"/>
    <w:rsid w:val="17B42163"/>
    <w:rsid w:val="17DAEA4F"/>
    <w:rsid w:val="17F4E8F0"/>
    <w:rsid w:val="17FF9A79"/>
    <w:rsid w:val="1846E756"/>
    <w:rsid w:val="184E764C"/>
    <w:rsid w:val="184EFBD2"/>
    <w:rsid w:val="1877FB18"/>
    <w:rsid w:val="1883E6FF"/>
    <w:rsid w:val="189C826A"/>
    <w:rsid w:val="18B01963"/>
    <w:rsid w:val="18B63CDD"/>
    <w:rsid w:val="18B9301A"/>
    <w:rsid w:val="18CB7E0F"/>
    <w:rsid w:val="18D7B5EF"/>
    <w:rsid w:val="18E9C9DD"/>
    <w:rsid w:val="18F3455E"/>
    <w:rsid w:val="1918FC1A"/>
    <w:rsid w:val="1920E439"/>
    <w:rsid w:val="19483843"/>
    <w:rsid w:val="1951E4DD"/>
    <w:rsid w:val="19527E14"/>
    <w:rsid w:val="19612776"/>
    <w:rsid w:val="196EB331"/>
    <w:rsid w:val="199B2739"/>
    <w:rsid w:val="19C65C51"/>
    <w:rsid w:val="19C78B84"/>
    <w:rsid w:val="19CFC5D7"/>
    <w:rsid w:val="1A013B8D"/>
    <w:rsid w:val="1A090E3A"/>
    <w:rsid w:val="1A2FE6EE"/>
    <w:rsid w:val="1A3CF0E3"/>
    <w:rsid w:val="1A44DDEE"/>
    <w:rsid w:val="1A49FEEB"/>
    <w:rsid w:val="1A4BC90F"/>
    <w:rsid w:val="1A8FD586"/>
    <w:rsid w:val="1AB322E9"/>
    <w:rsid w:val="1AC64D41"/>
    <w:rsid w:val="1ACF9277"/>
    <w:rsid w:val="1B06967E"/>
    <w:rsid w:val="1B3109AC"/>
    <w:rsid w:val="1B386B5F"/>
    <w:rsid w:val="1B41BA79"/>
    <w:rsid w:val="1B5E0FE0"/>
    <w:rsid w:val="1B755F28"/>
    <w:rsid w:val="1B939ADD"/>
    <w:rsid w:val="1B95D8D7"/>
    <w:rsid w:val="1B9A3ECF"/>
    <w:rsid w:val="1BBC8049"/>
    <w:rsid w:val="1BBDCB65"/>
    <w:rsid w:val="1BC302D9"/>
    <w:rsid w:val="1BC3950F"/>
    <w:rsid w:val="1BC732D7"/>
    <w:rsid w:val="1BCC8F4E"/>
    <w:rsid w:val="1BE128BA"/>
    <w:rsid w:val="1C1D8985"/>
    <w:rsid w:val="1C1DBC93"/>
    <w:rsid w:val="1C2BC315"/>
    <w:rsid w:val="1C469F8A"/>
    <w:rsid w:val="1C6A62BD"/>
    <w:rsid w:val="1CBBCAC6"/>
    <w:rsid w:val="1CCD3F0D"/>
    <w:rsid w:val="1CDB87F4"/>
    <w:rsid w:val="1D07D6BE"/>
    <w:rsid w:val="1D0E54E5"/>
    <w:rsid w:val="1D2D8E68"/>
    <w:rsid w:val="1D5A1780"/>
    <w:rsid w:val="1D64BE5F"/>
    <w:rsid w:val="1D7A9800"/>
    <w:rsid w:val="1D7F56FB"/>
    <w:rsid w:val="1D88189B"/>
    <w:rsid w:val="1D91667B"/>
    <w:rsid w:val="1DA4B66E"/>
    <w:rsid w:val="1DA74E8E"/>
    <w:rsid w:val="1DBBECEF"/>
    <w:rsid w:val="1DDEA787"/>
    <w:rsid w:val="1E02B819"/>
    <w:rsid w:val="1E0AC288"/>
    <w:rsid w:val="1E0C11F8"/>
    <w:rsid w:val="1E1273C4"/>
    <w:rsid w:val="1E145F93"/>
    <w:rsid w:val="1E15F081"/>
    <w:rsid w:val="1E178ADE"/>
    <w:rsid w:val="1E1A787D"/>
    <w:rsid w:val="1E1DB817"/>
    <w:rsid w:val="1E48DAC9"/>
    <w:rsid w:val="1E5B3B0C"/>
    <w:rsid w:val="1E90C0F1"/>
    <w:rsid w:val="1EC89E11"/>
    <w:rsid w:val="1EC9F822"/>
    <w:rsid w:val="1EEC583B"/>
    <w:rsid w:val="1EF51D52"/>
    <w:rsid w:val="1F1735E5"/>
    <w:rsid w:val="1F2453EA"/>
    <w:rsid w:val="1F34FCA9"/>
    <w:rsid w:val="1F3EDB7D"/>
    <w:rsid w:val="1F55F3A6"/>
    <w:rsid w:val="1F566B58"/>
    <w:rsid w:val="1F855680"/>
    <w:rsid w:val="1F892F55"/>
    <w:rsid w:val="1FA1886A"/>
    <w:rsid w:val="1FA4BE6E"/>
    <w:rsid w:val="1FAB30C5"/>
    <w:rsid w:val="1FB0D1D2"/>
    <w:rsid w:val="1FF0757D"/>
    <w:rsid w:val="1FF2867A"/>
    <w:rsid w:val="1FF41B70"/>
    <w:rsid w:val="202ED061"/>
    <w:rsid w:val="2047E002"/>
    <w:rsid w:val="205C0C72"/>
    <w:rsid w:val="2071BD2D"/>
    <w:rsid w:val="2076BB93"/>
    <w:rsid w:val="209CC543"/>
    <w:rsid w:val="20A22603"/>
    <w:rsid w:val="20A60865"/>
    <w:rsid w:val="20A9E7EF"/>
    <w:rsid w:val="20B13EBC"/>
    <w:rsid w:val="20E62212"/>
    <w:rsid w:val="20F92447"/>
    <w:rsid w:val="212C558D"/>
    <w:rsid w:val="213F5449"/>
    <w:rsid w:val="21406C6F"/>
    <w:rsid w:val="214594CD"/>
    <w:rsid w:val="216B2F6A"/>
    <w:rsid w:val="217C9BB2"/>
    <w:rsid w:val="218BCD03"/>
    <w:rsid w:val="21ABB23D"/>
    <w:rsid w:val="21BF8EF1"/>
    <w:rsid w:val="21EB32C0"/>
    <w:rsid w:val="21FD8D14"/>
    <w:rsid w:val="2200ACF2"/>
    <w:rsid w:val="22361055"/>
    <w:rsid w:val="22374362"/>
    <w:rsid w:val="223BAA0D"/>
    <w:rsid w:val="2240C7A1"/>
    <w:rsid w:val="224AFA50"/>
    <w:rsid w:val="225824A6"/>
    <w:rsid w:val="22589974"/>
    <w:rsid w:val="2260DAAF"/>
    <w:rsid w:val="22842CD1"/>
    <w:rsid w:val="2288F98B"/>
    <w:rsid w:val="229CE07B"/>
    <w:rsid w:val="229E78B5"/>
    <w:rsid w:val="22C52A95"/>
    <w:rsid w:val="22D0287F"/>
    <w:rsid w:val="22EAD424"/>
    <w:rsid w:val="23052592"/>
    <w:rsid w:val="23171808"/>
    <w:rsid w:val="23520453"/>
    <w:rsid w:val="23730B8D"/>
    <w:rsid w:val="237740F6"/>
    <w:rsid w:val="237EDE2F"/>
    <w:rsid w:val="23825B78"/>
    <w:rsid w:val="2386A36D"/>
    <w:rsid w:val="238FC399"/>
    <w:rsid w:val="23916A73"/>
    <w:rsid w:val="239A08A2"/>
    <w:rsid w:val="23AF77FE"/>
    <w:rsid w:val="23D9F429"/>
    <w:rsid w:val="23F0E178"/>
    <w:rsid w:val="23F8537E"/>
    <w:rsid w:val="240A2859"/>
    <w:rsid w:val="2415F0B9"/>
    <w:rsid w:val="24186340"/>
    <w:rsid w:val="241EFCDD"/>
    <w:rsid w:val="24227326"/>
    <w:rsid w:val="24380554"/>
    <w:rsid w:val="24459393"/>
    <w:rsid w:val="245A9B2B"/>
    <w:rsid w:val="24843D7C"/>
    <w:rsid w:val="248D25C4"/>
    <w:rsid w:val="24B0FAA5"/>
    <w:rsid w:val="24C97AC6"/>
    <w:rsid w:val="24D69506"/>
    <w:rsid w:val="24F845BE"/>
    <w:rsid w:val="2521F491"/>
    <w:rsid w:val="253356A3"/>
    <w:rsid w:val="253BAB18"/>
    <w:rsid w:val="253EBC72"/>
    <w:rsid w:val="25416A83"/>
    <w:rsid w:val="254AF604"/>
    <w:rsid w:val="25900EA0"/>
    <w:rsid w:val="2596CE91"/>
    <w:rsid w:val="25A27299"/>
    <w:rsid w:val="25A92A80"/>
    <w:rsid w:val="25AC10D2"/>
    <w:rsid w:val="25CA0F49"/>
    <w:rsid w:val="25CED74F"/>
    <w:rsid w:val="25D39DA7"/>
    <w:rsid w:val="25D7E19E"/>
    <w:rsid w:val="25E981F4"/>
    <w:rsid w:val="25ED4067"/>
    <w:rsid w:val="25F7D448"/>
    <w:rsid w:val="2609D982"/>
    <w:rsid w:val="2616AAB1"/>
    <w:rsid w:val="26317CC4"/>
    <w:rsid w:val="263C6F0F"/>
    <w:rsid w:val="26787B25"/>
    <w:rsid w:val="2697F7BF"/>
    <w:rsid w:val="26BBFE8A"/>
    <w:rsid w:val="26E835E9"/>
    <w:rsid w:val="271F5D6C"/>
    <w:rsid w:val="2722F150"/>
    <w:rsid w:val="272AFE15"/>
    <w:rsid w:val="273A578C"/>
    <w:rsid w:val="27461377"/>
    <w:rsid w:val="275990DC"/>
    <w:rsid w:val="27810F63"/>
    <w:rsid w:val="2790C315"/>
    <w:rsid w:val="279218CC"/>
    <w:rsid w:val="279E73BB"/>
    <w:rsid w:val="27A963C6"/>
    <w:rsid w:val="27AC945A"/>
    <w:rsid w:val="27AE25AC"/>
    <w:rsid w:val="27B268E0"/>
    <w:rsid w:val="27F1C40F"/>
    <w:rsid w:val="28234EC7"/>
    <w:rsid w:val="28257A79"/>
    <w:rsid w:val="282F8C2E"/>
    <w:rsid w:val="28636E92"/>
    <w:rsid w:val="287B998E"/>
    <w:rsid w:val="28866220"/>
    <w:rsid w:val="288784C1"/>
    <w:rsid w:val="28893499"/>
    <w:rsid w:val="28992230"/>
    <w:rsid w:val="289E0F55"/>
    <w:rsid w:val="28CC9AA9"/>
    <w:rsid w:val="2904464F"/>
    <w:rsid w:val="29106D69"/>
    <w:rsid w:val="292AB6EF"/>
    <w:rsid w:val="292DED63"/>
    <w:rsid w:val="2937B1EC"/>
    <w:rsid w:val="293BEEE1"/>
    <w:rsid w:val="293CE436"/>
    <w:rsid w:val="29606892"/>
    <w:rsid w:val="296698B7"/>
    <w:rsid w:val="2966DD0A"/>
    <w:rsid w:val="29838351"/>
    <w:rsid w:val="29926BDB"/>
    <w:rsid w:val="29BB0D07"/>
    <w:rsid w:val="29C00B07"/>
    <w:rsid w:val="29C8ED6A"/>
    <w:rsid w:val="29D4EF45"/>
    <w:rsid w:val="29E3CE9F"/>
    <w:rsid w:val="29E847F2"/>
    <w:rsid w:val="2A12392D"/>
    <w:rsid w:val="2A29C67D"/>
    <w:rsid w:val="2A2AE85D"/>
    <w:rsid w:val="2A35DF2D"/>
    <w:rsid w:val="2A383194"/>
    <w:rsid w:val="2A3C3977"/>
    <w:rsid w:val="2A4B2C82"/>
    <w:rsid w:val="2A4D5292"/>
    <w:rsid w:val="2A5737DC"/>
    <w:rsid w:val="2A8F3F98"/>
    <w:rsid w:val="2A97BB34"/>
    <w:rsid w:val="2AA9A5EC"/>
    <w:rsid w:val="2AB3F168"/>
    <w:rsid w:val="2AB4ADD9"/>
    <w:rsid w:val="2AB7B229"/>
    <w:rsid w:val="2B0C47C6"/>
    <w:rsid w:val="2B0C94D1"/>
    <w:rsid w:val="2B16F5C1"/>
    <w:rsid w:val="2B231CC5"/>
    <w:rsid w:val="2B37AA50"/>
    <w:rsid w:val="2B5C42A6"/>
    <w:rsid w:val="2B63A964"/>
    <w:rsid w:val="2B6CE3D4"/>
    <w:rsid w:val="2B7E80D5"/>
    <w:rsid w:val="2B8E758A"/>
    <w:rsid w:val="2BBBDAB6"/>
    <w:rsid w:val="2BCEAB2F"/>
    <w:rsid w:val="2BDA2B15"/>
    <w:rsid w:val="2C010F6A"/>
    <w:rsid w:val="2C089969"/>
    <w:rsid w:val="2C0B878E"/>
    <w:rsid w:val="2C176792"/>
    <w:rsid w:val="2C215522"/>
    <w:rsid w:val="2C276722"/>
    <w:rsid w:val="2C2E2532"/>
    <w:rsid w:val="2C33D88C"/>
    <w:rsid w:val="2C363D16"/>
    <w:rsid w:val="2C3FDDBF"/>
    <w:rsid w:val="2C55C1EC"/>
    <w:rsid w:val="2C587FA7"/>
    <w:rsid w:val="2C63FCC7"/>
    <w:rsid w:val="2C6B3321"/>
    <w:rsid w:val="2C96CCA6"/>
    <w:rsid w:val="2CA2E666"/>
    <w:rsid w:val="2CA6BAB0"/>
    <w:rsid w:val="2CADC511"/>
    <w:rsid w:val="2CAF7E60"/>
    <w:rsid w:val="2CAFE3EB"/>
    <w:rsid w:val="2CC2C209"/>
    <w:rsid w:val="2CC9587F"/>
    <w:rsid w:val="2CDCE663"/>
    <w:rsid w:val="2CE4D98B"/>
    <w:rsid w:val="2CF5A2C1"/>
    <w:rsid w:val="2D12E755"/>
    <w:rsid w:val="2D226321"/>
    <w:rsid w:val="2D31D766"/>
    <w:rsid w:val="2D60535F"/>
    <w:rsid w:val="2D6B3F55"/>
    <w:rsid w:val="2D8B38C5"/>
    <w:rsid w:val="2DA9AC43"/>
    <w:rsid w:val="2DBA0311"/>
    <w:rsid w:val="2DCE3598"/>
    <w:rsid w:val="2DD44D1E"/>
    <w:rsid w:val="2DDD56CA"/>
    <w:rsid w:val="2DE16FE7"/>
    <w:rsid w:val="2DEA86C6"/>
    <w:rsid w:val="2DF71EB3"/>
    <w:rsid w:val="2DFFB584"/>
    <w:rsid w:val="2E125A9C"/>
    <w:rsid w:val="2E230964"/>
    <w:rsid w:val="2E38EA14"/>
    <w:rsid w:val="2E43D102"/>
    <w:rsid w:val="2E4A1CAF"/>
    <w:rsid w:val="2E684140"/>
    <w:rsid w:val="2E70F6C4"/>
    <w:rsid w:val="2E726114"/>
    <w:rsid w:val="2E93432E"/>
    <w:rsid w:val="2E9D1E75"/>
    <w:rsid w:val="2EA747C8"/>
    <w:rsid w:val="2EAC1AAE"/>
    <w:rsid w:val="2EBE0328"/>
    <w:rsid w:val="2F11D76A"/>
    <w:rsid w:val="2F1D6B2B"/>
    <w:rsid w:val="2F321474"/>
    <w:rsid w:val="2F393007"/>
    <w:rsid w:val="2F44AE95"/>
    <w:rsid w:val="2F4C486F"/>
    <w:rsid w:val="2F8F2516"/>
    <w:rsid w:val="2F9777EA"/>
    <w:rsid w:val="2FACEC24"/>
    <w:rsid w:val="2FAD8A82"/>
    <w:rsid w:val="2FE2FCB9"/>
    <w:rsid w:val="2FF483C7"/>
    <w:rsid w:val="301D2A0B"/>
    <w:rsid w:val="304AC79B"/>
    <w:rsid w:val="304E57E9"/>
    <w:rsid w:val="3064ABDB"/>
    <w:rsid w:val="307F9A1D"/>
    <w:rsid w:val="30974428"/>
    <w:rsid w:val="30FBCCDC"/>
    <w:rsid w:val="30FDBB5D"/>
    <w:rsid w:val="310EE4F7"/>
    <w:rsid w:val="3123A130"/>
    <w:rsid w:val="316AB32F"/>
    <w:rsid w:val="317311E3"/>
    <w:rsid w:val="3179DF43"/>
    <w:rsid w:val="317E1D75"/>
    <w:rsid w:val="31817636"/>
    <w:rsid w:val="31E93A16"/>
    <w:rsid w:val="32204F37"/>
    <w:rsid w:val="324C7506"/>
    <w:rsid w:val="325F42C7"/>
    <w:rsid w:val="32607F24"/>
    <w:rsid w:val="3260D357"/>
    <w:rsid w:val="3262D34A"/>
    <w:rsid w:val="326C5BB6"/>
    <w:rsid w:val="32712E09"/>
    <w:rsid w:val="327B9993"/>
    <w:rsid w:val="32AD487D"/>
    <w:rsid w:val="32AD5860"/>
    <w:rsid w:val="32DE8635"/>
    <w:rsid w:val="32FFDC81"/>
    <w:rsid w:val="3306CB91"/>
    <w:rsid w:val="332ECA2C"/>
    <w:rsid w:val="334CA1F9"/>
    <w:rsid w:val="334F3E01"/>
    <w:rsid w:val="33506B37"/>
    <w:rsid w:val="33627B32"/>
    <w:rsid w:val="3362D1F3"/>
    <w:rsid w:val="337B197E"/>
    <w:rsid w:val="33A471EE"/>
    <w:rsid w:val="33B09013"/>
    <w:rsid w:val="33EFEA28"/>
    <w:rsid w:val="33FA2E24"/>
    <w:rsid w:val="344B0A22"/>
    <w:rsid w:val="345D8AFE"/>
    <w:rsid w:val="348082FD"/>
    <w:rsid w:val="3492272E"/>
    <w:rsid w:val="349BA277"/>
    <w:rsid w:val="34B5202B"/>
    <w:rsid w:val="34B59F4C"/>
    <w:rsid w:val="34C5BF2A"/>
    <w:rsid w:val="34CED5CB"/>
    <w:rsid w:val="34E7E684"/>
    <w:rsid w:val="3516F5D8"/>
    <w:rsid w:val="3518BD0F"/>
    <w:rsid w:val="351A671F"/>
    <w:rsid w:val="351B9363"/>
    <w:rsid w:val="35214DDE"/>
    <w:rsid w:val="3521D688"/>
    <w:rsid w:val="3561B536"/>
    <w:rsid w:val="357A1AED"/>
    <w:rsid w:val="358E9562"/>
    <w:rsid w:val="35B76043"/>
    <w:rsid w:val="35D356CA"/>
    <w:rsid w:val="35D5341C"/>
    <w:rsid w:val="35FBFEF3"/>
    <w:rsid w:val="3633E505"/>
    <w:rsid w:val="3636FC7C"/>
    <w:rsid w:val="363B4985"/>
    <w:rsid w:val="36600529"/>
    <w:rsid w:val="366E345A"/>
    <w:rsid w:val="366FBA6D"/>
    <w:rsid w:val="3672AEB7"/>
    <w:rsid w:val="36D6C7E9"/>
    <w:rsid w:val="36E0D908"/>
    <w:rsid w:val="36E35F05"/>
    <w:rsid w:val="371230EF"/>
    <w:rsid w:val="371E3900"/>
    <w:rsid w:val="3722D007"/>
    <w:rsid w:val="3729C0F9"/>
    <w:rsid w:val="3734E89D"/>
    <w:rsid w:val="373D5D16"/>
    <w:rsid w:val="373EF6A5"/>
    <w:rsid w:val="374AFD7B"/>
    <w:rsid w:val="377CF28C"/>
    <w:rsid w:val="3791D6D9"/>
    <w:rsid w:val="37B179EE"/>
    <w:rsid w:val="37B72064"/>
    <w:rsid w:val="37D3B96C"/>
    <w:rsid w:val="37D6BD79"/>
    <w:rsid w:val="37E482BF"/>
    <w:rsid w:val="37F03842"/>
    <w:rsid w:val="37F8B438"/>
    <w:rsid w:val="37F8C848"/>
    <w:rsid w:val="37F9D5D6"/>
    <w:rsid w:val="3806F47A"/>
    <w:rsid w:val="380A3AA6"/>
    <w:rsid w:val="381AF3B0"/>
    <w:rsid w:val="3820C62B"/>
    <w:rsid w:val="384E7F3C"/>
    <w:rsid w:val="385B2AC7"/>
    <w:rsid w:val="386547ED"/>
    <w:rsid w:val="38F47EB1"/>
    <w:rsid w:val="38F9DABF"/>
    <w:rsid w:val="3936B86E"/>
    <w:rsid w:val="3941457A"/>
    <w:rsid w:val="394DBF94"/>
    <w:rsid w:val="39889C42"/>
    <w:rsid w:val="39C3C570"/>
    <w:rsid w:val="39C83988"/>
    <w:rsid w:val="39C8C6B2"/>
    <w:rsid w:val="39F8ABE6"/>
    <w:rsid w:val="3A00157E"/>
    <w:rsid w:val="3A1FEB83"/>
    <w:rsid w:val="3A6FDA80"/>
    <w:rsid w:val="3A84DD24"/>
    <w:rsid w:val="3A8B10D1"/>
    <w:rsid w:val="3AA1EBF0"/>
    <w:rsid w:val="3AC21B40"/>
    <w:rsid w:val="3ADC4609"/>
    <w:rsid w:val="3AEA9778"/>
    <w:rsid w:val="3B20A53D"/>
    <w:rsid w:val="3B2596F0"/>
    <w:rsid w:val="3B4778BC"/>
    <w:rsid w:val="3B592953"/>
    <w:rsid w:val="3B903580"/>
    <w:rsid w:val="3BAD5589"/>
    <w:rsid w:val="3BAD94E6"/>
    <w:rsid w:val="3BC5DF11"/>
    <w:rsid w:val="3BF48AB5"/>
    <w:rsid w:val="3C01FA8B"/>
    <w:rsid w:val="3C16C7B6"/>
    <w:rsid w:val="3C3C117F"/>
    <w:rsid w:val="3C53A03A"/>
    <w:rsid w:val="3C64AE05"/>
    <w:rsid w:val="3C78103F"/>
    <w:rsid w:val="3C890AA3"/>
    <w:rsid w:val="3C8F8C2C"/>
    <w:rsid w:val="3CAB067A"/>
    <w:rsid w:val="3CEC403F"/>
    <w:rsid w:val="3CFAC9C5"/>
    <w:rsid w:val="3D02DAA5"/>
    <w:rsid w:val="3D27B936"/>
    <w:rsid w:val="3D52493D"/>
    <w:rsid w:val="3D6EDD6A"/>
    <w:rsid w:val="3D7CE580"/>
    <w:rsid w:val="3D8EE885"/>
    <w:rsid w:val="3DDC88E4"/>
    <w:rsid w:val="3DFC075B"/>
    <w:rsid w:val="3E1D3D9F"/>
    <w:rsid w:val="3E78D0A8"/>
    <w:rsid w:val="3E8953D0"/>
    <w:rsid w:val="3E9851E0"/>
    <w:rsid w:val="3EA39EE3"/>
    <w:rsid w:val="3EA4C85E"/>
    <w:rsid w:val="3EA8E962"/>
    <w:rsid w:val="3EC4A161"/>
    <w:rsid w:val="3ED00833"/>
    <w:rsid w:val="3EF9B058"/>
    <w:rsid w:val="3EFB9214"/>
    <w:rsid w:val="3F47582E"/>
    <w:rsid w:val="3F6AAAD5"/>
    <w:rsid w:val="3F91E19F"/>
    <w:rsid w:val="3FAA2945"/>
    <w:rsid w:val="3FB7C936"/>
    <w:rsid w:val="3FC2EA41"/>
    <w:rsid w:val="3FCA8A52"/>
    <w:rsid w:val="3FE1E73E"/>
    <w:rsid w:val="4001A48F"/>
    <w:rsid w:val="4008C6EE"/>
    <w:rsid w:val="400D0B11"/>
    <w:rsid w:val="40271678"/>
    <w:rsid w:val="40376AA7"/>
    <w:rsid w:val="405FB9FE"/>
    <w:rsid w:val="407DAA2F"/>
    <w:rsid w:val="40AF391D"/>
    <w:rsid w:val="40B4863B"/>
    <w:rsid w:val="40B4BFF2"/>
    <w:rsid w:val="40B6277B"/>
    <w:rsid w:val="40B7DF8E"/>
    <w:rsid w:val="40BCABD6"/>
    <w:rsid w:val="40C11AC0"/>
    <w:rsid w:val="40DE5447"/>
    <w:rsid w:val="40E6DABD"/>
    <w:rsid w:val="41123511"/>
    <w:rsid w:val="413A8F03"/>
    <w:rsid w:val="41422C8D"/>
    <w:rsid w:val="41469A3A"/>
    <w:rsid w:val="416D2FF6"/>
    <w:rsid w:val="41A90170"/>
    <w:rsid w:val="41BB0A94"/>
    <w:rsid w:val="41C5666E"/>
    <w:rsid w:val="41DD1050"/>
    <w:rsid w:val="41ED4AFF"/>
    <w:rsid w:val="420E6DA1"/>
    <w:rsid w:val="422833AF"/>
    <w:rsid w:val="423ECAAF"/>
    <w:rsid w:val="424F2AD1"/>
    <w:rsid w:val="426E728D"/>
    <w:rsid w:val="4285D020"/>
    <w:rsid w:val="428C8A5D"/>
    <w:rsid w:val="429A1C24"/>
    <w:rsid w:val="42CFABF7"/>
    <w:rsid w:val="42DCC109"/>
    <w:rsid w:val="42E1CC22"/>
    <w:rsid w:val="42F9F3CE"/>
    <w:rsid w:val="42FED42B"/>
    <w:rsid w:val="433085F7"/>
    <w:rsid w:val="434858FA"/>
    <w:rsid w:val="43587C3A"/>
    <w:rsid w:val="43800041"/>
    <w:rsid w:val="4383EF41"/>
    <w:rsid w:val="43C8E5C1"/>
    <w:rsid w:val="43DE4B2B"/>
    <w:rsid w:val="43E309CA"/>
    <w:rsid w:val="43EE8B1C"/>
    <w:rsid w:val="4419AD3B"/>
    <w:rsid w:val="4426A95E"/>
    <w:rsid w:val="444EF3B3"/>
    <w:rsid w:val="4453CB2E"/>
    <w:rsid w:val="4481B0EB"/>
    <w:rsid w:val="44866A08"/>
    <w:rsid w:val="448E7BCF"/>
    <w:rsid w:val="4491E48B"/>
    <w:rsid w:val="44DBA678"/>
    <w:rsid w:val="44F194F1"/>
    <w:rsid w:val="44F91456"/>
    <w:rsid w:val="44FEA739"/>
    <w:rsid w:val="451153C2"/>
    <w:rsid w:val="452B6558"/>
    <w:rsid w:val="4534D7E3"/>
    <w:rsid w:val="453DC004"/>
    <w:rsid w:val="453E6D4B"/>
    <w:rsid w:val="455222EB"/>
    <w:rsid w:val="455FB59F"/>
    <w:rsid w:val="45647012"/>
    <w:rsid w:val="45801193"/>
    <w:rsid w:val="45CC7E76"/>
    <w:rsid w:val="45D6292F"/>
    <w:rsid w:val="45D727AA"/>
    <w:rsid w:val="45EC23EF"/>
    <w:rsid w:val="460A0619"/>
    <w:rsid w:val="460AA194"/>
    <w:rsid w:val="464242FC"/>
    <w:rsid w:val="464B8B97"/>
    <w:rsid w:val="464E8AA4"/>
    <w:rsid w:val="46517667"/>
    <w:rsid w:val="465EC87A"/>
    <w:rsid w:val="46631E98"/>
    <w:rsid w:val="466689AA"/>
    <w:rsid w:val="4677FF57"/>
    <w:rsid w:val="468642D6"/>
    <w:rsid w:val="468BC2C1"/>
    <w:rsid w:val="46AE789D"/>
    <w:rsid w:val="46C4ADB3"/>
    <w:rsid w:val="46D655F0"/>
    <w:rsid w:val="46D86EB8"/>
    <w:rsid w:val="46DF0C81"/>
    <w:rsid w:val="46FB7596"/>
    <w:rsid w:val="470226E2"/>
    <w:rsid w:val="47114EA2"/>
    <w:rsid w:val="471FA5C2"/>
    <w:rsid w:val="472B4BD0"/>
    <w:rsid w:val="47464D24"/>
    <w:rsid w:val="4749633F"/>
    <w:rsid w:val="47496B09"/>
    <w:rsid w:val="47720AD1"/>
    <w:rsid w:val="47A891BF"/>
    <w:rsid w:val="47AA4731"/>
    <w:rsid w:val="47B019A3"/>
    <w:rsid w:val="47B38111"/>
    <w:rsid w:val="47DD7C26"/>
    <w:rsid w:val="47F39DD7"/>
    <w:rsid w:val="4803B2C9"/>
    <w:rsid w:val="48070A62"/>
    <w:rsid w:val="481032BF"/>
    <w:rsid w:val="4818114F"/>
    <w:rsid w:val="481CF566"/>
    <w:rsid w:val="481F103F"/>
    <w:rsid w:val="4833448B"/>
    <w:rsid w:val="483765D6"/>
    <w:rsid w:val="4871E5F5"/>
    <w:rsid w:val="4876566A"/>
    <w:rsid w:val="48CED06B"/>
    <w:rsid w:val="48EFF76C"/>
    <w:rsid w:val="48F23D7C"/>
    <w:rsid w:val="48F3FC87"/>
    <w:rsid w:val="4905A5C0"/>
    <w:rsid w:val="49109FA6"/>
    <w:rsid w:val="49209ABD"/>
    <w:rsid w:val="49262F06"/>
    <w:rsid w:val="4928C0D7"/>
    <w:rsid w:val="4931192F"/>
    <w:rsid w:val="4931F19B"/>
    <w:rsid w:val="4952FED6"/>
    <w:rsid w:val="4973C85D"/>
    <w:rsid w:val="4984B217"/>
    <w:rsid w:val="4989447E"/>
    <w:rsid w:val="4994D687"/>
    <w:rsid w:val="49AB76C9"/>
    <w:rsid w:val="49BAAECA"/>
    <w:rsid w:val="49C8AFEB"/>
    <w:rsid w:val="49F5D323"/>
    <w:rsid w:val="4A0012F6"/>
    <w:rsid w:val="4A103968"/>
    <w:rsid w:val="4A2A33EC"/>
    <w:rsid w:val="4A5DF047"/>
    <w:rsid w:val="4AAB4C35"/>
    <w:rsid w:val="4AABF3C2"/>
    <w:rsid w:val="4AD952D8"/>
    <w:rsid w:val="4ADD676D"/>
    <w:rsid w:val="4AE4BEAB"/>
    <w:rsid w:val="4B256BCB"/>
    <w:rsid w:val="4B60010C"/>
    <w:rsid w:val="4B732192"/>
    <w:rsid w:val="4BA767B2"/>
    <w:rsid w:val="4BADF76F"/>
    <w:rsid w:val="4BB2FF4D"/>
    <w:rsid w:val="4BBE59A4"/>
    <w:rsid w:val="4BC54C55"/>
    <w:rsid w:val="4BD0153B"/>
    <w:rsid w:val="4BD2F537"/>
    <w:rsid w:val="4BE24EC0"/>
    <w:rsid w:val="4BE88FE6"/>
    <w:rsid w:val="4C1538B1"/>
    <w:rsid w:val="4C352309"/>
    <w:rsid w:val="4C3FCD78"/>
    <w:rsid w:val="4C5FDCC5"/>
    <w:rsid w:val="4C612CC0"/>
    <w:rsid w:val="4C669A44"/>
    <w:rsid w:val="4C8A88ED"/>
    <w:rsid w:val="4CAA1FEB"/>
    <w:rsid w:val="4CAF94BF"/>
    <w:rsid w:val="4CECE090"/>
    <w:rsid w:val="4CF45E7B"/>
    <w:rsid w:val="4D06EAD7"/>
    <w:rsid w:val="4D0A0218"/>
    <w:rsid w:val="4D41F7A8"/>
    <w:rsid w:val="4D4BD58C"/>
    <w:rsid w:val="4D4DCFC8"/>
    <w:rsid w:val="4D4E9FA9"/>
    <w:rsid w:val="4D4F818C"/>
    <w:rsid w:val="4D519F6E"/>
    <w:rsid w:val="4D75CBA7"/>
    <w:rsid w:val="4D788DFF"/>
    <w:rsid w:val="4D795805"/>
    <w:rsid w:val="4D8BE83D"/>
    <w:rsid w:val="4D9EEE66"/>
    <w:rsid w:val="4DAAF7DC"/>
    <w:rsid w:val="4DAB6638"/>
    <w:rsid w:val="4DB9B8B3"/>
    <w:rsid w:val="4DBAA161"/>
    <w:rsid w:val="4DBB12AA"/>
    <w:rsid w:val="4DBB4510"/>
    <w:rsid w:val="4DC21617"/>
    <w:rsid w:val="4DCA29B3"/>
    <w:rsid w:val="4DCB11D8"/>
    <w:rsid w:val="4DCD137B"/>
    <w:rsid w:val="4DD65DD4"/>
    <w:rsid w:val="4DDD0A75"/>
    <w:rsid w:val="4DFF504F"/>
    <w:rsid w:val="4E079F3E"/>
    <w:rsid w:val="4E355E58"/>
    <w:rsid w:val="4E5AB46C"/>
    <w:rsid w:val="4E5C4D5E"/>
    <w:rsid w:val="4E6D1A59"/>
    <w:rsid w:val="4E7C83D4"/>
    <w:rsid w:val="4E87B31B"/>
    <w:rsid w:val="4E8AE4AF"/>
    <w:rsid w:val="4E914936"/>
    <w:rsid w:val="4EAF3C5C"/>
    <w:rsid w:val="4EBB19FF"/>
    <w:rsid w:val="4EDDCE84"/>
    <w:rsid w:val="4F060ECA"/>
    <w:rsid w:val="4F07076B"/>
    <w:rsid w:val="4F0D17E4"/>
    <w:rsid w:val="4F3CC371"/>
    <w:rsid w:val="4F472031"/>
    <w:rsid w:val="4F523CBF"/>
    <w:rsid w:val="4F5D50BF"/>
    <w:rsid w:val="4F87B78A"/>
    <w:rsid w:val="4FAB7911"/>
    <w:rsid w:val="4FB13094"/>
    <w:rsid w:val="4FF9B156"/>
    <w:rsid w:val="4FFC0012"/>
    <w:rsid w:val="500A970A"/>
    <w:rsid w:val="5023B645"/>
    <w:rsid w:val="50420A65"/>
    <w:rsid w:val="50501535"/>
    <w:rsid w:val="5094DC0D"/>
    <w:rsid w:val="5096F82D"/>
    <w:rsid w:val="50A53AE9"/>
    <w:rsid w:val="50B9DD97"/>
    <w:rsid w:val="50BDBCBD"/>
    <w:rsid w:val="50F17E69"/>
    <w:rsid w:val="50FB901E"/>
    <w:rsid w:val="50FEBE22"/>
    <w:rsid w:val="51184AD9"/>
    <w:rsid w:val="512E4D28"/>
    <w:rsid w:val="516314CB"/>
    <w:rsid w:val="5167813F"/>
    <w:rsid w:val="51678AA2"/>
    <w:rsid w:val="518BF7C1"/>
    <w:rsid w:val="51C07403"/>
    <w:rsid w:val="51C673EA"/>
    <w:rsid w:val="51FE2E14"/>
    <w:rsid w:val="52111928"/>
    <w:rsid w:val="5213E1CE"/>
    <w:rsid w:val="5214B5CE"/>
    <w:rsid w:val="521ED566"/>
    <w:rsid w:val="524FB1A9"/>
    <w:rsid w:val="52505686"/>
    <w:rsid w:val="527F669C"/>
    <w:rsid w:val="52AA6A62"/>
    <w:rsid w:val="52ACB056"/>
    <w:rsid w:val="52B6B7A3"/>
    <w:rsid w:val="52D5FE71"/>
    <w:rsid w:val="52D90EA6"/>
    <w:rsid w:val="52F98A69"/>
    <w:rsid w:val="53027CBF"/>
    <w:rsid w:val="534309CB"/>
    <w:rsid w:val="534ECAAA"/>
    <w:rsid w:val="53527305"/>
    <w:rsid w:val="53731C47"/>
    <w:rsid w:val="53766AEA"/>
    <w:rsid w:val="538994BF"/>
    <w:rsid w:val="53931F15"/>
    <w:rsid w:val="53A4BA1C"/>
    <w:rsid w:val="53BD0CFC"/>
    <w:rsid w:val="53C0B4AE"/>
    <w:rsid w:val="53CB826F"/>
    <w:rsid w:val="53E6CC07"/>
    <w:rsid w:val="53F4ECA2"/>
    <w:rsid w:val="53FD4078"/>
    <w:rsid w:val="540080E8"/>
    <w:rsid w:val="5408A0E4"/>
    <w:rsid w:val="540A91C7"/>
    <w:rsid w:val="541FAEA5"/>
    <w:rsid w:val="543CD914"/>
    <w:rsid w:val="5480D3AE"/>
    <w:rsid w:val="54AD5E64"/>
    <w:rsid w:val="54AED435"/>
    <w:rsid w:val="54B63946"/>
    <w:rsid w:val="54FA57B0"/>
    <w:rsid w:val="54FFC355"/>
    <w:rsid w:val="550A8D4E"/>
    <w:rsid w:val="552D07DF"/>
    <w:rsid w:val="552D4065"/>
    <w:rsid w:val="5541203B"/>
    <w:rsid w:val="5543C1BC"/>
    <w:rsid w:val="555AA40B"/>
    <w:rsid w:val="557B643E"/>
    <w:rsid w:val="559C6108"/>
    <w:rsid w:val="55AE6D2D"/>
    <w:rsid w:val="55AFBB65"/>
    <w:rsid w:val="55BAABD7"/>
    <w:rsid w:val="55E23CFA"/>
    <w:rsid w:val="55EFB3D7"/>
    <w:rsid w:val="55F33C18"/>
    <w:rsid w:val="55FA4DE6"/>
    <w:rsid w:val="55FF23FD"/>
    <w:rsid w:val="5606FBBD"/>
    <w:rsid w:val="5609D88E"/>
    <w:rsid w:val="560FAA52"/>
    <w:rsid w:val="5622D333"/>
    <w:rsid w:val="568141FE"/>
    <w:rsid w:val="56C3AF35"/>
    <w:rsid w:val="56DDEFB8"/>
    <w:rsid w:val="57319387"/>
    <w:rsid w:val="57554053"/>
    <w:rsid w:val="575A02B9"/>
    <w:rsid w:val="57A55A74"/>
    <w:rsid w:val="57B3EFC3"/>
    <w:rsid w:val="57CE843C"/>
    <w:rsid w:val="57EFCBC0"/>
    <w:rsid w:val="57F0DD28"/>
    <w:rsid w:val="57F1D887"/>
    <w:rsid w:val="580CB71C"/>
    <w:rsid w:val="58127CC5"/>
    <w:rsid w:val="5816605B"/>
    <w:rsid w:val="581E7841"/>
    <w:rsid w:val="582288BC"/>
    <w:rsid w:val="582ECB65"/>
    <w:rsid w:val="582F4410"/>
    <w:rsid w:val="584A6373"/>
    <w:rsid w:val="5854BC39"/>
    <w:rsid w:val="5880FB46"/>
    <w:rsid w:val="58A1D390"/>
    <w:rsid w:val="58A7732C"/>
    <w:rsid w:val="58D241E7"/>
    <w:rsid w:val="58D82317"/>
    <w:rsid w:val="58E6AE84"/>
    <w:rsid w:val="5907AB2F"/>
    <w:rsid w:val="59289DB5"/>
    <w:rsid w:val="5930BA2E"/>
    <w:rsid w:val="59358903"/>
    <w:rsid w:val="593FF13D"/>
    <w:rsid w:val="5957C3A6"/>
    <w:rsid w:val="595A3054"/>
    <w:rsid w:val="595CD6BC"/>
    <w:rsid w:val="596FFBF8"/>
    <w:rsid w:val="597A239E"/>
    <w:rsid w:val="599FA2EB"/>
    <w:rsid w:val="59DA4C3B"/>
    <w:rsid w:val="59E2431B"/>
    <w:rsid w:val="59E48C2C"/>
    <w:rsid w:val="5A159497"/>
    <w:rsid w:val="5A1D3138"/>
    <w:rsid w:val="5A26EC70"/>
    <w:rsid w:val="5A3000B0"/>
    <w:rsid w:val="5A4DC109"/>
    <w:rsid w:val="5A6B9FF7"/>
    <w:rsid w:val="5A8F79C9"/>
    <w:rsid w:val="5A92BE21"/>
    <w:rsid w:val="5AA80751"/>
    <w:rsid w:val="5AB6AB9C"/>
    <w:rsid w:val="5ABBE027"/>
    <w:rsid w:val="5ABC37C7"/>
    <w:rsid w:val="5AE4732C"/>
    <w:rsid w:val="5AE7556B"/>
    <w:rsid w:val="5B085696"/>
    <w:rsid w:val="5B18CF66"/>
    <w:rsid w:val="5B3BD2BD"/>
    <w:rsid w:val="5B421E4A"/>
    <w:rsid w:val="5B6D63C6"/>
    <w:rsid w:val="5B90EDC0"/>
    <w:rsid w:val="5BA68371"/>
    <w:rsid w:val="5BA8BB5D"/>
    <w:rsid w:val="5BAC9F44"/>
    <w:rsid w:val="5BB007F3"/>
    <w:rsid w:val="5BC619F2"/>
    <w:rsid w:val="5BE6B408"/>
    <w:rsid w:val="5BE6C7D5"/>
    <w:rsid w:val="5C167F61"/>
    <w:rsid w:val="5C2239CD"/>
    <w:rsid w:val="5C379EE1"/>
    <w:rsid w:val="5C3E84C8"/>
    <w:rsid w:val="5C53331B"/>
    <w:rsid w:val="5C54CF92"/>
    <w:rsid w:val="5C686885"/>
    <w:rsid w:val="5C70DD90"/>
    <w:rsid w:val="5C881956"/>
    <w:rsid w:val="5C8CFDC8"/>
    <w:rsid w:val="5CBF6812"/>
    <w:rsid w:val="5CC99A2B"/>
    <w:rsid w:val="5CD25C9E"/>
    <w:rsid w:val="5CD2F96C"/>
    <w:rsid w:val="5CEB29F1"/>
    <w:rsid w:val="5CF3F075"/>
    <w:rsid w:val="5D04C02A"/>
    <w:rsid w:val="5D069FDF"/>
    <w:rsid w:val="5D15FB99"/>
    <w:rsid w:val="5D3F21D1"/>
    <w:rsid w:val="5D438D7C"/>
    <w:rsid w:val="5D46CE74"/>
    <w:rsid w:val="5D4A2374"/>
    <w:rsid w:val="5D56616F"/>
    <w:rsid w:val="5D659E1E"/>
    <w:rsid w:val="5D78EBBE"/>
    <w:rsid w:val="5D9C9316"/>
    <w:rsid w:val="5DBE5C03"/>
    <w:rsid w:val="5DD6D7F0"/>
    <w:rsid w:val="5DD8ADA1"/>
    <w:rsid w:val="5DE45B28"/>
    <w:rsid w:val="5E41AC04"/>
    <w:rsid w:val="5E439009"/>
    <w:rsid w:val="5E54E7FC"/>
    <w:rsid w:val="5E5C7081"/>
    <w:rsid w:val="5E65F735"/>
    <w:rsid w:val="5E679EDE"/>
    <w:rsid w:val="5E8A798F"/>
    <w:rsid w:val="5E8F149F"/>
    <w:rsid w:val="5E9D7F33"/>
    <w:rsid w:val="5E9E4FA1"/>
    <w:rsid w:val="5E9F5B7F"/>
    <w:rsid w:val="5EA75894"/>
    <w:rsid w:val="5ED0A0C9"/>
    <w:rsid w:val="5ED82FCD"/>
    <w:rsid w:val="5EF285C2"/>
    <w:rsid w:val="5EF9FA92"/>
    <w:rsid w:val="5F029D6F"/>
    <w:rsid w:val="5F3CE116"/>
    <w:rsid w:val="5F5DEC93"/>
    <w:rsid w:val="5F69B040"/>
    <w:rsid w:val="5F7B953A"/>
    <w:rsid w:val="5F867AB7"/>
    <w:rsid w:val="5F932F82"/>
    <w:rsid w:val="5FA9E335"/>
    <w:rsid w:val="5FB2EAFC"/>
    <w:rsid w:val="5FE481C1"/>
    <w:rsid w:val="600728F1"/>
    <w:rsid w:val="6012DF2A"/>
    <w:rsid w:val="6047BAA4"/>
    <w:rsid w:val="6081CFC9"/>
    <w:rsid w:val="608A709C"/>
    <w:rsid w:val="60944686"/>
    <w:rsid w:val="60CC3F70"/>
    <w:rsid w:val="60EA3F9F"/>
    <w:rsid w:val="60ED8EE3"/>
    <w:rsid w:val="60F51EC8"/>
    <w:rsid w:val="61115937"/>
    <w:rsid w:val="6143098C"/>
    <w:rsid w:val="61446202"/>
    <w:rsid w:val="614DDC6A"/>
    <w:rsid w:val="6150253F"/>
    <w:rsid w:val="6154EDE6"/>
    <w:rsid w:val="615EE3EA"/>
    <w:rsid w:val="616B88FA"/>
    <w:rsid w:val="6174E2A2"/>
    <w:rsid w:val="61A2DB0A"/>
    <w:rsid w:val="61A76BF0"/>
    <w:rsid w:val="61A9B5C0"/>
    <w:rsid w:val="61B642C8"/>
    <w:rsid w:val="61ED1001"/>
    <w:rsid w:val="61F5A56E"/>
    <w:rsid w:val="61FA9FE1"/>
    <w:rsid w:val="61FCC396"/>
    <w:rsid w:val="620CAB87"/>
    <w:rsid w:val="622C5708"/>
    <w:rsid w:val="6246E99E"/>
    <w:rsid w:val="624B3524"/>
    <w:rsid w:val="62A24663"/>
    <w:rsid w:val="62CC4C0A"/>
    <w:rsid w:val="62D8384C"/>
    <w:rsid w:val="62DCF7D1"/>
    <w:rsid w:val="63059440"/>
    <w:rsid w:val="631B22F4"/>
    <w:rsid w:val="63346AA7"/>
    <w:rsid w:val="63486CA6"/>
    <w:rsid w:val="63911CE5"/>
    <w:rsid w:val="63A9E1EE"/>
    <w:rsid w:val="63ABF50E"/>
    <w:rsid w:val="63D6CD8B"/>
    <w:rsid w:val="63E566E1"/>
    <w:rsid w:val="63EB3B79"/>
    <w:rsid w:val="63F271F4"/>
    <w:rsid w:val="63FF5FA6"/>
    <w:rsid w:val="6415377B"/>
    <w:rsid w:val="641755D3"/>
    <w:rsid w:val="6418BDCC"/>
    <w:rsid w:val="6444184A"/>
    <w:rsid w:val="6464F068"/>
    <w:rsid w:val="6482C79B"/>
    <w:rsid w:val="6499D34A"/>
    <w:rsid w:val="64E81F11"/>
    <w:rsid w:val="64F1E171"/>
    <w:rsid w:val="65100ABC"/>
    <w:rsid w:val="6520CD1F"/>
    <w:rsid w:val="65413539"/>
    <w:rsid w:val="65445491"/>
    <w:rsid w:val="654F3FE9"/>
    <w:rsid w:val="6567FA11"/>
    <w:rsid w:val="656E14C9"/>
    <w:rsid w:val="656FC3BE"/>
    <w:rsid w:val="65728C21"/>
    <w:rsid w:val="65767EA2"/>
    <w:rsid w:val="65876BB2"/>
    <w:rsid w:val="658B6B3F"/>
    <w:rsid w:val="65C183A1"/>
    <w:rsid w:val="65C431BF"/>
    <w:rsid w:val="65C4C795"/>
    <w:rsid w:val="65C5828C"/>
    <w:rsid w:val="65CE9CEE"/>
    <w:rsid w:val="65E095AF"/>
    <w:rsid w:val="65EE9D01"/>
    <w:rsid w:val="65F1001E"/>
    <w:rsid w:val="6646B0DA"/>
    <w:rsid w:val="666DC9BF"/>
    <w:rsid w:val="666F133A"/>
    <w:rsid w:val="6691F010"/>
    <w:rsid w:val="6699BF0A"/>
    <w:rsid w:val="66DACA1F"/>
    <w:rsid w:val="66E5A85E"/>
    <w:rsid w:val="66F1534A"/>
    <w:rsid w:val="6713D85B"/>
    <w:rsid w:val="671E901C"/>
    <w:rsid w:val="671FD5F0"/>
    <w:rsid w:val="6723C22E"/>
    <w:rsid w:val="673BE6A1"/>
    <w:rsid w:val="673D9AB8"/>
    <w:rsid w:val="675177D9"/>
    <w:rsid w:val="676819C4"/>
    <w:rsid w:val="678C7038"/>
    <w:rsid w:val="67A341E8"/>
    <w:rsid w:val="67EDBF72"/>
    <w:rsid w:val="6802A49C"/>
    <w:rsid w:val="6809FA5A"/>
    <w:rsid w:val="681E7AA6"/>
    <w:rsid w:val="682291C7"/>
    <w:rsid w:val="683184A3"/>
    <w:rsid w:val="6852AB70"/>
    <w:rsid w:val="6867F7F5"/>
    <w:rsid w:val="68707601"/>
    <w:rsid w:val="68A9415D"/>
    <w:rsid w:val="68BDD5A6"/>
    <w:rsid w:val="68C7FDDB"/>
    <w:rsid w:val="68C9AE34"/>
    <w:rsid w:val="68FB720E"/>
    <w:rsid w:val="69007DC6"/>
    <w:rsid w:val="6902F9B9"/>
    <w:rsid w:val="690C10F4"/>
    <w:rsid w:val="691879DE"/>
    <w:rsid w:val="691FE004"/>
    <w:rsid w:val="69228946"/>
    <w:rsid w:val="69288682"/>
    <w:rsid w:val="692F8A42"/>
    <w:rsid w:val="693607E1"/>
    <w:rsid w:val="695FA649"/>
    <w:rsid w:val="698C327D"/>
    <w:rsid w:val="699573AD"/>
    <w:rsid w:val="699E5887"/>
    <w:rsid w:val="69DB6578"/>
    <w:rsid w:val="69F96AE6"/>
    <w:rsid w:val="69FC7C80"/>
    <w:rsid w:val="6A2AB733"/>
    <w:rsid w:val="6A2C4902"/>
    <w:rsid w:val="6A3A8EF6"/>
    <w:rsid w:val="6A52B83A"/>
    <w:rsid w:val="6A5ABE4C"/>
    <w:rsid w:val="6A6B67C7"/>
    <w:rsid w:val="6A8668A7"/>
    <w:rsid w:val="6AC864D5"/>
    <w:rsid w:val="6AD0DD20"/>
    <w:rsid w:val="6AFEFFFF"/>
    <w:rsid w:val="6B0191D0"/>
    <w:rsid w:val="6B0999DB"/>
    <w:rsid w:val="6B343984"/>
    <w:rsid w:val="6B410A2C"/>
    <w:rsid w:val="6B6BC17A"/>
    <w:rsid w:val="6B6C7567"/>
    <w:rsid w:val="6B738CBC"/>
    <w:rsid w:val="6B79EF0F"/>
    <w:rsid w:val="6B93F8A4"/>
    <w:rsid w:val="6B9A95F1"/>
    <w:rsid w:val="6BB47EED"/>
    <w:rsid w:val="6BB5C326"/>
    <w:rsid w:val="6BBB1395"/>
    <w:rsid w:val="6BC1A667"/>
    <w:rsid w:val="6BCF3C1A"/>
    <w:rsid w:val="6BFD137C"/>
    <w:rsid w:val="6C14AE6C"/>
    <w:rsid w:val="6C65FC8B"/>
    <w:rsid w:val="6CCA9727"/>
    <w:rsid w:val="6CD51F12"/>
    <w:rsid w:val="6CE3EEFC"/>
    <w:rsid w:val="6D02982A"/>
    <w:rsid w:val="6D06D62F"/>
    <w:rsid w:val="6D449F8E"/>
    <w:rsid w:val="6D45F7FF"/>
    <w:rsid w:val="6D539556"/>
    <w:rsid w:val="6D545178"/>
    <w:rsid w:val="6D6267B5"/>
    <w:rsid w:val="6D7020A5"/>
    <w:rsid w:val="6DA9570C"/>
    <w:rsid w:val="6DB29320"/>
    <w:rsid w:val="6DB7177D"/>
    <w:rsid w:val="6DBC3DC0"/>
    <w:rsid w:val="6DBE5BD9"/>
    <w:rsid w:val="6DD6C26A"/>
    <w:rsid w:val="6DEE225D"/>
    <w:rsid w:val="6E039E19"/>
    <w:rsid w:val="6E051EE8"/>
    <w:rsid w:val="6E1A9BD8"/>
    <w:rsid w:val="6E1CA5EB"/>
    <w:rsid w:val="6E2D59E9"/>
    <w:rsid w:val="6E465B2F"/>
    <w:rsid w:val="6E490DAC"/>
    <w:rsid w:val="6F27716D"/>
    <w:rsid w:val="6F3F824D"/>
    <w:rsid w:val="6F51D79E"/>
    <w:rsid w:val="6F6C6532"/>
    <w:rsid w:val="6F9E0767"/>
    <w:rsid w:val="6FC96F8C"/>
    <w:rsid w:val="6FD9C059"/>
    <w:rsid w:val="6FED517A"/>
    <w:rsid w:val="6FF5CF43"/>
    <w:rsid w:val="700CE8BA"/>
    <w:rsid w:val="7011EA77"/>
    <w:rsid w:val="701E91C9"/>
    <w:rsid w:val="7020BC7C"/>
    <w:rsid w:val="70260206"/>
    <w:rsid w:val="704D410F"/>
    <w:rsid w:val="70507071"/>
    <w:rsid w:val="7053AC50"/>
    <w:rsid w:val="707D05C9"/>
    <w:rsid w:val="70951C04"/>
    <w:rsid w:val="709870C9"/>
    <w:rsid w:val="70A6F395"/>
    <w:rsid w:val="70B1F026"/>
    <w:rsid w:val="70B5002C"/>
    <w:rsid w:val="70D3EEFF"/>
    <w:rsid w:val="70E50322"/>
    <w:rsid w:val="710EF227"/>
    <w:rsid w:val="712292F2"/>
    <w:rsid w:val="71338B87"/>
    <w:rsid w:val="714C03C1"/>
    <w:rsid w:val="71501EDD"/>
    <w:rsid w:val="7176C2CE"/>
    <w:rsid w:val="719773EF"/>
    <w:rsid w:val="719DB013"/>
    <w:rsid w:val="71A5B746"/>
    <w:rsid w:val="71A8AE34"/>
    <w:rsid w:val="71C0E933"/>
    <w:rsid w:val="71C93E0A"/>
    <w:rsid w:val="71D5673F"/>
    <w:rsid w:val="71D6AEB9"/>
    <w:rsid w:val="71E40838"/>
    <w:rsid w:val="71E71E6F"/>
    <w:rsid w:val="720F95C0"/>
    <w:rsid w:val="721271A3"/>
    <w:rsid w:val="7241A61C"/>
    <w:rsid w:val="724DD139"/>
    <w:rsid w:val="7265E974"/>
    <w:rsid w:val="726C3618"/>
    <w:rsid w:val="727B3BCB"/>
    <w:rsid w:val="7293BE63"/>
    <w:rsid w:val="729B003B"/>
    <w:rsid w:val="72A21544"/>
    <w:rsid w:val="72A79ECA"/>
    <w:rsid w:val="72B94450"/>
    <w:rsid w:val="72C0CE1B"/>
    <w:rsid w:val="72C4F984"/>
    <w:rsid w:val="72DA3333"/>
    <w:rsid w:val="730A1846"/>
    <w:rsid w:val="730D626B"/>
    <w:rsid w:val="7325339F"/>
    <w:rsid w:val="733CADA8"/>
    <w:rsid w:val="734477F6"/>
    <w:rsid w:val="7351032C"/>
    <w:rsid w:val="73573108"/>
    <w:rsid w:val="7377AC6E"/>
    <w:rsid w:val="737CD839"/>
    <w:rsid w:val="738B2A2F"/>
    <w:rsid w:val="7391C0E6"/>
    <w:rsid w:val="73A9CDC4"/>
    <w:rsid w:val="73ADDDE3"/>
    <w:rsid w:val="73BEBE0C"/>
    <w:rsid w:val="73DFB4C2"/>
    <w:rsid w:val="741A5758"/>
    <w:rsid w:val="741E0BA9"/>
    <w:rsid w:val="7426EDD8"/>
    <w:rsid w:val="744C5921"/>
    <w:rsid w:val="74527832"/>
    <w:rsid w:val="746CBFE0"/>
    <w:rsid w:val="746E655F"/>
    <w:rsid w:val="748A102D"/>
    <w:rsid w:val="749455F5"/>
    <w:rsid w:val="74AADA77"/>
    <w:rsid w:val="74B6D831"/>
    <w:rsid w:val="74E614F7"/>
    <w:rsid w:val="75223234"/>
    <w:rsid w:val="753FD0AE"/>
    <w:rsid w:val="7543FFDD"/>
    <w:rsid w:val="7548BC7A"/>
    <w:rsid w:val="7549F5BF"/>
    <w:rsid w:val="754FACCB"/>
    <w:rsid w:val="7571186F"/>
    <w:rsid w:val="7574DA40"/>
    <w:rsid w:val="75843AF5"/>
    <w:rsid w:val="758AD66E"/>
    <w:rsid w:val="759004FA"/>
    <w:rsid w:val="75A4BA87"/>
    <w:rsid w:val="75BE153F"/>
    <w:rsid w:val="75BEC0C7"/>
    <w:rsid w:val="75E64B55"/>
    <w:rsid w:val="76154367"/>
    <w:rsid w:val="761854C6"/>
    <w:rsid w:val="76259375"/>
    <w:rsid w:val="7628D1CC"/>
    <w:rsid w:val="765AAF03"/>
    <w:rsid w:val="765ABFE0"/>
    <w:rsid w:val="766B0794"/>
    <w:rsid w:val="768F61A0"/>
    <w:rsid w:val="76D3B668"/>
    <w:rsid w:val="76D695D8"/>
    <w:rsid w:val="76E9CB4B"/>
    <w:rsid w:val="76F873CB"/>
    <w:rsid w:val="770CA385"/>
    <w:rsid w:val="771B4AE5"/>
    <w:rsid w:val="771FC1F3"/>
    <w:rsid w:val="77230D80"/>
    <w:rsid w:val="77276C81"/>
    <w:rsid w:val="773D4522"/>
    <w:rsid w:val="7740F19F"/>
    <w:rsid w:val="77599629"/>
    <w:rsid w:val="777739AE"/>
    <w:rsid w:val="7792C35F"/>
    <w:rsid w:val="77AAF325"/>
    <w:rsid w:val="77D12472"/>
    <w:rsid w:val="77D738A8"/>
    <w:rsid w:val="77E75446"/>
    <w:rsid w:val="77FC5EAF"/>
    <w:rsid w:val="780DB969"/>
    <w:rsid w:val="78175CC5"/>
    <w:rsid w:val="78406F8E"/>
    <w:rsid w:val="785BCD92"/>
    <w:rsid w:val="786674B2"/>
    <w:rsid w:val="788519F0"/>
    <w:rsid w:val="78A37DD3"/>
    <w:rsid w:val="78B1AE22"/>
    <w:rsid w:val="78D6DBC3"/>
    <w:rsid w:val="78DF2973"/>
    <w:rsid w:val="78F21BD3"/>
    <w:rsid w:val="79041DB6"/>
    <w:rsid w:val="7906AFF8"/>
    <w:rsid w:val="79097CF7"/>
    <w:rsid w:val="790AD65D"/>
    <w:rsid w:val="79131B9C"/>
    <w:rsid w:val="79202F2B"/>
    <w:rsid w:val="7924BDB6"/>
    <w:rsid w:val="79556279"/>
    <w:rsid w:val="79564FBF"/>
    <w:rsid w:val="795B8DBC"/>
    <w:rsid w:val="79653FFD"/>
    <w:rsid w:val="796A7658"/>
    <w:rsid w:val="79913FC6"/>
    <w:rsid w:val="799EEFE0"/>
    <w:rsid w:val="79CA51B2"/>
    <w:rsid w:val="79CC8D3C"/>
    <w:rsid w:val="79D0ABAD"/>
    <w:rsid w:val="79D36850"/>
    <w:rsid w:val="79DFFEB3"/>
    <w:rsid w:val="79E2A433"/>
    <w:rsid w:val="7A07E35A"/>
    <w:rsid w:val="7A097330"/>
    <w:rsid w:val="7A0D4BD1"/>
    <w:rsid w:val="7A2226A6"/>
    <w:rsid w:val="7A2404D3"/>
    <w:rsid w:val="7A4998FB"/>
    <w:rsid w:val="7A54066E"/>
    <w:rsid w:val="7A5EAC21"/>
    <w:rsid w:val="7A93E687"/>
    <w:rsid w:val="7A9BD0CD"/>
    <w:rsid w:val="7AB1F3AE"/>
    <w:rsid w:val="7ADD99EF"/>
    <w:rsid w:val="7AE777BD"/>
    <w:rsid w:val="7AFDB89F"/>
    <w:rsid w:val="7B05FD71"/>
    <w:rsid w:val="7B191A85"/>
    <w:rsid w:val="7B233FAC"/>
    <w:rsid w:val="7B3789C7"/>
    <w:rsid w:val="7B56F32E"/>
    <w:rsid w:val="7B5B443D"/>
    <w:rsid w:val="7B64A25D"/>
    <w:rsid w:val="7B9257CB"/>
    <w:rsid w:val="7B973F4B"/>
    <w:rsid w:val="7BA3C37A"/>
    <w:rsid w:val="7BE4A7A9"/>
    <w:rsid w:val="7BF45D60"/>
    <w:rsid w:val="7BF7CE67"/>
    <w:rsid w:val="7C048E40"/>
    <w:rsid w:val="7C18C273"/>
    <w:rsid w:val="7C213146"/>
    <w:rsid w:val="7C3D43FF"/>
    <w:rsid w:val="7C4EF790"/>
    <w:rsid w:val="7C678E58"/>
    <w:rsid w:val="7C6A7D71"/>
    <w:rsid w:val="7C6DE773"/>
    <w:rsid w:val="7C87D088"/>
    <w:rsid w:val="7CAFE640"/>
    <w:rsid w:val="7CB0D986"/>
    <w:rsid w:val="7CC53351"/>
    <w:rsid w:val="7CD00541"/>
    <w:rsid w:val="7CF74F56"/>
    <w:rsid w:val="7D102D5B"/>
    <w:rsid w:val="7D356744"/>
    <w:rsid w:val="7D3A1FC6"/>
    <w:rsid w:val="7D3C7299"/>
    <w:rsid w:val="7D42AFEB"/>
    <w:rsid w:val="7D5CC6A0"/>
    <w:rsid w:val="7D60F6B9"/>
    <w:rsid w:val="7D631E31"/>
    <w:rsid w:val="7D690F9A"/>
    <w:rsid w:val="7D797CE7"/>
    <w:rsid w:val="7D7C0612"/>
    <w:rsid w:val="7D7FA229"/>
    <w:rsid w:val="7D862E16"/>
    <w:rsid w:val="7D8CFD70"/>
    <w:rsid w:val="7DD1DE25"/>
    <w:rsid w:val="7DD4786B"/>
    <w:rsid w:val="7DD4E9C7"/>
    <w:rsid w:val="7DE915E3"/>
    <w:rsid w:val="7DED1A3E"/>
    <w:rsid w:val="7DF28706"/>
    <w:rsid w:val="7E515792"/>
    <w:rsid w:val="7E54DA6F"/>
    <w:rsid w:val="7E6AA119"/>
    <w:rsid w:val="7E8FC4E2"/>
    <w:rsid w:val="7E90EFAD"/>
    <w:rsid w:val="7EB60617"/>
    <w:rsid w:val="7ECBED13"/>
    <w:rsid w:val="7EE81DDC"/>
    <w:rsid w:val="7EEE7A25"/>
    <w:rsid w:val="7F01980A"/>
    <w:rsid w:val="7F28433D"/>
    <w:rsid w:val="7F3DFD48"/>
    <w:rsid w:val="7F4EF2BF"/>
    <w:rsid w:val="7F51D368"/>
    <w:rsid w:val="7F6FBFA4"/>
    <w:rsid w:val="7F80D53A"/>
    <w:rsid w:val="7F921FEE"/>
    <w:rsid w:val="7FBBBA0A"/>
    <w:rsid w:val="7FCF776B"/>
    <w:rsid w:val="7FEAEC79"/>
    <w:rsid w:val="7FF050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4CF0"/>
  <w15:chartTrackingRefBased/>
  <w15:docId w15:val="{89BD288B-9703-4D7D-AAF6-0217E8A6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AC"/>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F553AC"/>
    <w:pPr>
      <w:keepNext/>
      <w:keepLines/>
      <w:spacing w:before="400" w:after="120"/>
      <w:outlineLvl w:val="0"/>
    </w:pPr>
    <w:rPr>
      <w:b/>
      <w:sz w:val="40"/>
      <w:szCs w:val="40"/>
    </w:rPr>
  </w:style>
  <w:style w:type="paragraph" w:styleId="Heading2">
    <w:name w:val="heading 2"/>
    <w:basedOn w:val="Normal"/>
    <w:next w:val="Normal"/>
    <w:link w:val="Heading2Char"/>
    <w:uiPriority w:val="9"/>
    <w:unhideWhenUsed/>
    <w:qFormat/>
    <w:rsid w:val="008A5867"/>
    <w:pPr>
      <w:keepNext/>
      <w:keepLines/>
      <w:spacing w:before="40"/>
      <w:outlineLvl w:val="1"/>
    </w:pPr>
    <w:rPr>
      <w:rFonts w:ascii="Verdana" w:eastAsiaTheme="majorEastAsia" w:hAnsi="Verdana" w:cstheme="majorBidi"/>
      <w:b/>
      <w:color w:val="0070C0"/>
      <w:sz w:val="24"/>
      <w:szCs w:val="26"/>
    </w:rPr>
  </w:style>
  <w:style w:type="paragraph" w:styleId="Heading3">
    <w:name w:val="heading 3"/>
    <w:basedOn w:val="Normal"/>
    <w:next w:val="Normal"/>
    <w:link w:val="Heading3Char"/>
    <w:uiPriority w:val="9"/>
    <w:unhideWhenUsed/>
    <w:qFormat/>
    <w:rsid w:val="008F6BEE"/>
    <w:pPr>
      <w:keepNext/>
      <w:keepLines/>
      <w:spacing w:before="40"/>
      <w:outlineLvl w:val="2"/>
    </w:pPr>
    <w:rPr>
      <w:rFonts w:ascii="Verdana" w:eastAsiaTheme="majorEastAsia" w:hAnsi="Verdana" w:cstheme="majorBidi"/>
      <w:b/>
      <w:color w:val="000000" w:themeColor="text1"/>
      <w:sz w:val="20"/>
      <w:szCs w:val="24"/>
    </w:rPr>
  </w:style>
  <w:style w:type="paragraph" w:styleId="Heading4">
    <w:name w:val="heading 4"/>
    <w:basedOn w:val="Normal"/>
    <w:next w:val="Normal"/>
    <w:link w:val="Heading4Char"/>
    <w:uiPriority w:val="9"/>
    <w:unhideWhenUsed/>
    <w:qFormat/>
    <w:rsid w:val="00272BF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6798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AC"/>
    <w:rPr>
      <w:rFonts w:ascii="Arial" w:eastAsia="Arial" w:hAnsi="Arial" w:cs="Arial"/>
      <w:b/>
      <w:sz w:val="40"/>
      <w:szCs w:val="40"/>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F553AC"/>
    <w:pPr>
      <w:spacing w:line="240" w:lineRule="auto"/>
    </w:pPr>
    <w:rPr>
      <w:sz w:val="20"/>
      <w:szCs w:val="20"/>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link w:val="FootnoteText"/>
    <w:uiPriority w:val="99"/>
    <w:rsid w:val="00F553AC"/>
    <w:rPr>
      <w:rFonts w:ascii="Arial" w:eastAsia="Arial" w:hAnsi="Arial" w:cs="Arial"/>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iPriority w:val="99"/>
    <w:unhideWhenUsed/>
    <w:qFormat/>
    <w:rsid w:val="00F553AC"/>
    <w:rPr>
      <w:vertAlign w:val="superscript"/>
    </w:rPr>
  </w:style>
  <w:style w:type="paragraph" w:customStyle="1" w:styleId="Char2">
    <w:name w:val="Char2"/>
    <w:basedOn w:val="Normal"/>
    <w:link w:val="FootnoteReference"/>
    <w:uiPriority w:val="99"/>
    <w:rsid w:val="00F553AC"/>
    <w:pPr>
      <w:spacing w:after="160" w:line="240" w:lineRule="exact"/>
      <w:jc w:val="both"/>
    </w:pPr>
    <w:rPr>
      <w:rFonts w:asciiTheme="minorHAnsi" w:eastAsiaTheme="minorHAnsi" w:hAnsiTheme="minorHAnsi" w:cstheme="minorBidi"/>
      <w:sz w:val="24"/>
      <w:szCs w:val="24"/>
      <w:vertAlign w:val="superscript"/>
    </w:rPr>
  </w:style>
  <w:style w:type="character" w:styleId="Hyperlink">
    <w:name w:val="Hyperlink"/>
    <w:basedOn w:val="DefaultParagraphFont"/>
    <w:uiPriority w:val="99"/>
    <w:unhideWhenUsed/>
    <w:rsid w:val="00F553AC"/>
    <w:rPr>
      <w:color w:val="0563C1" w:themeColor="hyperlink"/>
      <w:u w:val="single"/>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List Paragraph1,3"/>
    <w:basedOn w:val="Normal"/>
    <w:link w:val="ListParagraphChar"/>
    <w:uiPriority w:val="34"/>
    <w:qFormat/>
    <w:rsid w:val="00F553AC"/>
    <w:pPr>
      <w:ind w:left="720"/>
      <w:contextualSpacing/>
      <w:jc w:val="both"/>
    </w:pPr>
    <w:rPr>
      <w:lang w:val="en"/>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F553AC"/>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7176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67D"/>
    <w:rPr>
      <w:rFonts w:ascii="Times New Roman" w:eastAsia="Arial" w:hAnsi="Times New Roman" w:cs="Times New Roman"/>
      <w:sz w:val="18"/>
      <w:szCs w:val="18"/>
    </w:rPr>
  </w:style>
  <w:style w:type="paragraph" w:styleId="Header">
    <w:name w:val="header"/>
    <w:basedOn w:val="Normal"/>
    <w:link w:val="HeaderChar"/>
    <w:uiPriority w:val="99"/>
    <w:unhideWhenUsed/>
    <w:rsid w:val="00531245"/>
    <w:pPr>
      <w:tabs>
        <w:tab w:val="center" w:pos="4680"/>
        <w:tab w:val="right" w:pos="9360"/>
      </w:tabs>
      <w:spacing w:line="240" w:lineRule="auto"/>
    </w:pPr>
  </w:style>
  <w:style w:type="character" w:customStyle="1" w:styleId="HeaderChar">
    <w:name w:val="Header Char"/>
    <w:basedOn w:val="DefaultParagraphFont"/>
    <w:link w:val="Header"/>
    <w:uiPriority w:val="99"/>
    <w:rsid w:val="00531245"/>
    <w:rPr>
      <w:rFonts w:ascii="Arial" w:eastAsia="Arial" w:hAnsi="Arial" w:cs="Arial"/>
      <w:sz w:val="22"/>
      <w:szCs w:val="22"/>
    </w:rPr>
  </w:style>
  <w:style w:type="paragraph" w:styleId="Footer">
    <w:name w:val="footer"/>
    <w:basedOn w:val="Normal"/>
    <w:link w:val="FooterChar"/>
    <w:uiPriority w:val="99"/>
    <w:unhideWhenUsed/>
    <w:rsid w:val="00531245"/>
    <w:pPr>
      <w:tabs>
        <w:tab w:val="center" w:pos="4680"/>
        <w:tab w:val="right" w:pos="9360"/>
      </w:tabs>
      <w:spacing w:line="240" w:lineRule="auto"/>
    </w:pPr>
  </w:style>
  <w:style w:type="character" w:customStyle="1" w:styleId="FooterChar">
    <w:name w:val="Footer Char"/>
    <w:basedOn w:val="DefaultParagraphFont"/>
    <w:link w:val="Footer"/>
    <w:uiPriority w:val="99"/>
    <w:rsid w:val="00531245"/>
    <w:rPr>
      <w:rFonts w:ascii="Arial" w:eastAsia="Arial" w:hAnsi="Arial" w:cs="Arial"/>
      <w:sz w:val="22"/>
      <w:szCs w:val="22"/>
    </w:rPr>
  </w:style>
  <w:style w:type="character" w:styleId="PageNumber">
    <w:name w:val="page number"/>
    <w:basedOn w:val="DefaultParagraphFont"/>
    <w:uiPriority w:val="99"/>
    <w:semiHidden/>
    <w:unhideWhenUsed/>
    <w:rsid w:val="00531245"/>
  </w:style>
  <w:style w:type="paragraph" w:styleId="NoSpacing">
    <w:name w:val="No Spacing"/>
    <w:link w:val="NoSpacingChar"/>
    <w:uiPriority w:val="1"/>
    <w:qFormat/>
    <w:rsid w:val="002E4548"/>
    <w:rPr>
      <w:rFonts w:eastAsiaTheme="minorEastAsia"/>
      <w:sz w:val="22"/>
      <w:szCs w:val="22"/>
      <w:lang w:eastAsia="zh-CN"/>
    </w:rPr>
  </w:style>
  <w:style w:type="character" w:customStyle="1" w:styleId="NoSpacingChar">
    <w:name w:val="No Spacing Char"/>
    <w:basedOn w:val="DefaultParagraphFont"/>
    <w:link w:val="NoSpacing"/>
    <w:uiPriority w:val="1"/>
    <w:rsid w:val="002E4548"/>
    <w:rPr>
      <w:rFonts w:eastAsiaTheme="minorEastAsia"/>
      <w:sz w:val="22"/>
      <w:szCs w:val="22"/>
      <w:lang w:eastAsia="zh-CN"/>
    </w:rPr>
  </w:style>
  <w:style w:type="paragraph" w:customStyle="1" w:styleId="xmsonormal">
    <w:name w:val="x_msonormal"/>
    <w:basedOn w:val="Normal"/>
    <w:rsid w:val="00272BF8"/>
    <w:pPr>
      <w:spacing w:line="240" w:lineRule="auto"/>
    </w:pPr>
    <w:rPr>
      <w:rFonts w:ascii="Calibri" w:eastAsiaTheme="minorHAnsi" w:hAnsi="Calibri" w:cs="Calibri"/>
    </w:rPr>
  </w:style>
  <w:style w:type="paragraph" w:customStyle="1" w:styleId="xmsolistparagraph">
    <w:name w:val="x_msolistparagraph"/>
    <w:basedOn w:val="Normal"/>
    <w:rsid w:val="00272BF8"/>
    <w:pPr>
      <w:ind w:left="720"/>
      <w:jc w:val="both"/>
    </w:pPr>
    <w:rPr>
      <w:rFonts w:eastAsiaTheme="minorHAnsi"/>
    </w:rPr>
  </w:style>
  <w:style w:type="character" w:customStyle="1" w:styleId="xmsofootnotereference">
    <w:name w:val="x_msofootnotereference"/>
    <w:basedOn w:val="DefaultParagraphFont"/>
    <w:rsid w:val="00272BF8"/>
    <w:rPr>
      <w:vertAlign w:val="superscript"/>
    </w:rPr>
  </w:style>
  <w:style w:type="character" w:customStyle="1" w:styleId="Heading4Char">
    <w:name w:val="Heading 4 Char"/>
    <w:basedOn w:val="DefaultParagraphFont"/>
    <w:link w:val="Heading4"/>
    <w:uiPriority w:val="9"/>
    <w:rsid w:val="00272BF8"/>
    <w:rPr>
      <w:rFonts w:asciiTheme="majorHAnsi" w:eastAsiaTheme="majorEastAsia" w:hAnsiTheme="majorHAnsi" w:cstheme="majorBidi"/>
      <w:i/>
      <w:iCs/>
      <w:color w:val="2F5496" w:themeColor="accent1" w:themeShade="BF"/>
      <w:sz w:val="22"/>
      <w:szCs w:val="22"/>
    </w:rPr>
  </w:style>
  <w:style w:type="numbering" w:customStyle="1" w:styleId="NoList1">
    <w:name w:val="No List1"/>
    <w:next w:val="NoList"/>
    <w:uiPriority w:val="99"/>
    <w:semiHidden/>
    <w:unhideWhenUsed/>
    <w:rsid w:val="00272BF8"/>
  </w:style>
  <w:style w:type="character" w:styleId="CommentReference">
    <w:name w:val="annotation reference"/>
    <w:uiPriority w:val="99"/>
    <w:semiHidden/>
    <w:unhideWhenUsed/>
    <w:rsid w:val="00272BF8"/>
    <w:rPr>
      <w:sz w:val="16"/>
      <w:szCs w:val="16"/>
    </w:rPr>
  </w:style>
  <w:style w:type="paragraph" w:styleId="CommentText">
    <w:name w:val="annotation text"/>
    <w:basedOn w:val="Normal"/>
    <w:link w:val="CommentTextChar"/>
    <w:uiPriority w:val="99"/>
    <w:unhideWhenUsed/>
    <w:rsid w:val="00272BF8"/>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72BF8"/>
    <w:rPr>
      <w:rFonts w:ascii="Calibri" w:eastAsia="Calibri" w:hAnsi="Calibri" w:cs="Times New Roman"/>
      <w:sz w:val="20"/>
      <w:szCs w:val="20"/>
    </w:rPr>
  </w:style>
  <w:style w:type="table" w:styleId="TableGrid">
    <w:name w:val="Table Grid"/>
    <w:basedOn w:val="TableNormal"/>
    <w:uiPriority w:val="39"/>
    <w:rsid w:val="00272BF8"/>
    <w:rPr>
      <w:rFonts w:ascii="Verdana" w:hAnsi="Verdana"/>
      <w:color w:val="1F497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2BF8"/>
    <w:pPr>
      <w:spacing w:line="240" w:lineRule="auto"/>
    </w:pPr>
    <w:rPr>
      <w:b/>
      <w:bCs/>
    </w:rPr>
  </w:style>
  <w:style w:type="character" w:customStyle="1" w:styleId="CommentSubjectChar">
    <w:name w:val="Comment Subject Char"/>
    <w:basedOn w:val="CommentTextChar"/>
    <w:link w:val="CommentSubject"/>
    <w:uiPriority w:val="99"/>
    <w:semiHidden/>
    <w:rsid w:val="00272BF8"/>
    <w:rPr>
      <w:rFonts w:ascii="Calibri" w:eastAsia="Calibri" w:hAnsi="Calibri" w:cs="Times New Roman"/>
      <w:b/>
      <w:bCs/>
      <w:sz w:val="20"/>
      <w:szCs w:val="20"/>
    </w:rPr>
  </w:style>
  <w:style w:type="character" w:customStyle="1" w:styleId="Corpsdutexte">
    <w:name w:val="Corps du texte_"/>
    <w:link w:val="Corpsdutexte1"/>
    <w:uiPriority w:val="99"/>
    <w:locked/>
    <w:rsid w:val="00272BF8"/>
    <w:rPr>
      <w:sz w:val="23"/>
      <w:szCs w:val="23"/>
      <w:shd w:val="clear" w:color="auto" w:fill="FFFFFF"/>
    </w:rPr>
  </w:style>
  <w:style w:type="paragraph" w:customStyle="1" w:styleId="Corpsdutexte1">
    <w:name w:val="Corps du texte1"/>
    <w:basedOn w:val="Normal"/>
    <w:link w:val="Corpsdutexte"/>
    <w:uiPriority w:val="99"/>
    <w:rsid w:val="00272BF8"/>
    <w:pPr>
      <w:widowControl w:val="0"/>
      <w:shd w:val="clear" w:color="auto" w:fill="FFFFFF"/>
      <w:spacing w:before="180" w:after="300" w:line="240" w:lineRule="atLeast"/>
      <w:ind w:hanging="360"/>
      <w:jc w:val="center"/>
    </w:pPr>
    <w:rPr>
      <w:rFonts w:asciiTheme="minorHAnsi" w:eastAsiaTheme="minorHAnsi" w:hAnsiTheme="minorHAnsi" w:cstheme="minorBidi"/>
      <w:sz w:val="23"/>
      <w:szCs w:val="23"/>
    </w:rPr>
  </w:style>
  <w:style w:type="character" w:customStyle="1" w:styleId="En-tte5">
    <w:name w:val="En-tête #5_"/>
    <w:link w:val="En-tte50"/>
    <w:uiPriority w:val="99"/>
    <w:locked/>
    <w:rsid w:val="00272BF8"/>
    <w:rPr>
      <w:b/>
      <w:bCs/>
      <w:sz w:val="22"/>
      <w:szCs w:val="22"/>
      <w:shd w:val="clear" w:color="auto" w:fill="FFFFFF"/>
    </w:rPr>
  </w:style>
  <w:style w:type="paragraph" w:customStyle="1" w:styleId="En-tte50">
    <w:name w:val="En-tête #5"/>
    <w:basedOn w:val="Normal"/>
    <w:link w:val="En-tte5"/>
    <w:uiPriority w:val="99"/>
    <w:rsid w:val="00272BF8"/>
    <w:pPr>
      <w:widowControl w:val="0"/>
      <w:shd w:val="clear" w:color="auto" w:fill="FFFFFF"/>
      <w:spacing w:before="480" w:after="180" w:line="240" w:lineRule="atLeast"/>
      <w:jc w:val="both"/>
      <w:outlineLvl w:val="4"/>
    </w:pPr>
    <w:rPr>
      <w:rFonts w:asciiTheme="minorHAnsi" w:eastAsiaTheme="minorHAnsi" w:hAnsiTheme="minorHAnsi" w:cstheme="minorBidi"/>
      <w:b/>
      <w:bCs/>
    </w:rPr>
  </w:style>
  <w:style w:type="character" w:customStyle="1" w:styleId="Corpsdutexte5">
    <w:name w:val="Corps du texte (5)_"/>
    <w:link w:val="Corpsdutexte51"/>
    <w:uiPriority w:val="99"/>
    <w:locked/>
    <w:rsid w:val="00272BF8"/>
    <w:rPr>
      <w:i/>
      <w:iCs/>
      <w:sz w:val="23"/>
      <w:szCs w:val="23"/>
      <w:shd w:val="clear" w:color="auto" w:fill="FFFFFF"/>
    </w:rPr>
  </w:style>
  <w:style w:type="paragraph" w:customStyle="1" w:styleId="Corpsdutexte51">
    <w:name w:val="Corps du texte (5)1"/>
    <w:basedOn w:val="Normal"/>
    <w:link w:val="Corpsdutexte5"/>
    <w:uiPriority w:val="99"/>
    <w:rsid w:val="00272BF8"/>
    <w:pPr>
      <w:widowControl w:val="0"/>
      <w:shd w:val="clear" w:color="auto" w:fill="FFFFFF"/>
      <w:spacing w:before="240" w:after="360" w:line="240" w:lineRule="atLeast"/>
      <w:ind w:hanging="360"/>
      <w:jc w:val="both"/>
    </w:pPr>
    <w:rPr>
      <w:rFonts w:asciiTheme="minorHAnsi" w:eastAsiaTheme="minorHAnsi" w:hAnsiTheme="minorHAnsi" w:cstheme="minorBidi"/>
      <w:i/>
      <w:iCs/>
      <w:sz w:val="23"/>
      <w:szCs w:val="23"/>
    </w:rPr>
  </w:style>
  <w:style w:type="character" w:customStyle="1" w:styleId="Corpsdutexte9">
    <w:name w:val="Corps du texte (9)_"/>
    <w:link w:val="Corpsdutexte90"/>
    <w:uiPriority w:val="99"/>
    <w:locked/>
    <w:rsid w:val="00272BF8"/>
    <w:rPr>
      <w:b/>
      <w:bCs/>
      <w:sz w:val="22"/>
      <w:szCs w:val="22"/>
      <w:shd w:val="clear" w:color="auto" w:fill="FFFFFF"/>
    </w:rPr>
  </w:style>
  <w:style w:type="paragraph" w:customStyle="1" w:styleId="Corpsdutexte90">
    <w:name w:val="Corps du texte (9)"/>
    <w:basedOn w:val="Normal"/>
    <w:link w:val="Corpsdutexte9"/>
    <w:uiPriority w:val="99"/>
    <w:rsid w:val="00272BF8"/>
    <w:pPr>
      <w:widowControl w:val="0"/>
      <w:shd w:val="clear" w:color="auto" w:fill="FFFFFF"/>
      <w:spacing w:line="240" w:lineRule="atLeast"/>
    </w:pPr>
    <w:rPr>
      <w:rFonts w:asciiTheme="minorHAnsi" w:eastAsiaTheme="minorHAnsi" w:hAnsiTheme="minorHAnsi" w:cstheme="minorBidi"/>
      <w:b/>
      <w:bCs/>
    </w:rPr>
  </w:style>
  <w:style w:type="character" w:customStyle="1" w:styleId="Corpsdutexte5NonItalique">
    <w:name w:val="Corps du texte (5) + Non Italique"/>
    <w:uiPriority w:val="99"/>
    <w:rsid w:val="00272BF8"/>
    <w:rPr>
      <w:i w:val="0"/>
      <w:iCs w:val="0"/>
      <w:sz w:val="23"/>
      <w:szCs w:val="23"/>
      <w:shd w:val="clear" w:color="auto" w:fill="FFFFFF"/>
    </w:rPr>
  </w:style>
  <w:style w:type="character" w:customStyle="1" w:styleId="Corpsdutexte5NonItalique4">
    <w:name w:val="Corps du texte (5) + Non Italique4"/>
    <w:uiPriority w:val="99"/>
    <w:rsid w:val="00272BF8"/>
    <w:rPr>
      <w:i w:val="0"/>
      <w:iCs w:val="0"/>
      <w:sz w:val="23"/>
      <w:szCs w:val="23"/>
      <w:shd w:val="clear" w:color="auto" w:fill="FFFFFF"/>
    </w:rPr>
  </w:style>
  <w:style w:type="character" w:customStyle="1" w:styleId="Corpsdutexte5NonItalique3">
    <w:name w:val="Corps du texte (5) + Non Italique3"/>
    <w:uiPriority w:val="99"/>
    <w:rsid w:val="00272BF8"/>
    <w:rPr>
      <w:i w:val="0"/>
      <w:iCs w:val="0"/>
      <w:sz w:val="23"/>
      <w:szCs w:val="23"/>
      <w:shd w:val="clear" w:color="auto" w:fill="FFFFFF"/>
    </w:rPr>
  </w:style>
  <w:style w:type="paragraph" w:styleId="PlainText">
    <w:name w:val="Plain Text"/>
    <w:basedOn w:val="Normal"/>
    <w:link w:val="PlainTextChar"/>
    <w:uiPriority w:val="99"/>
    <w:semiHidden/>
    <w:unhideWhenUsed/>
    <w:rsid w:val="00272BF8"/>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72BF8"/>
    <w:rPr>
      <w:rFonts w:ascii="Calibri" w:hAnsi="Calibri"/>
      <w:sz w:val="22"/>
      <w:szCs w:val="21"/>
    </w:rPr>
  </w:style>
  <w:style w:type="character" w:customStyle="1" w:styleId="UnresolvedMention1">
    <w:name w:val="Unresolved Mention1"/>
    <w:basedOn w:val="DefaultParagraphFont"/>
    <w:uiPriority w:val="99"/>
    <w:semiHidden/>
    <w:unhideWhenUsed/>
    <w:rsid w:val="00272BF8"/>
    <w:rPr>
      <w:color w:val="605E5C"/>
      <w:shd w:val="clear" w:color="auto" w:fill="E1DFDD"/>
    </w:rPr>
  </w:style>
  <w:style w:type="paragraph" w:customStyle="1" w:styleId="Pa12">
    <w:name w:val="Pa12"/>
    <w:basedOn w:val="Normal"/>
    <w:next w:val="Normal"/>
    <w:uiPriority w:val="99"/>
    <w:rsid w:val="00272BF8"/>
    <w:pPr>
      <w:autoSpaceDE w:val="0"/>
      <w:autoSpaceDN w:val="0"/>
      <w:adjustRightInd w:val="0"/>
      <w:spacing w:line="191" w:lineRule="atLeast"/>
    </w:pPr>
    <w:rPr>
      <w:rFonts w:ascii="Myriad Pro" w:eastAsiaTheme="minorHAnsi" w:hAnsi="Myriad Pro" w:cstheme="minorBidi"/>
      <w:color w:val="1F497D"/>
      <w:sz w:val="24"/>
      <w:szCs w:val="24"/>
    </w:rPr>
  </w:style>
  <w:style w:type="character" w:customStyle="1" w:styleId="A17">
    <w:name w:val="A17"/>
    <w:uiPriority w:val="99"/>
    <w:rsid w:val="00272BF8"/>
    <w:rPr>
      <w:rFonts w:cs="Myriad Pro"/>
      <w:color w:val="000000"/>
      <w:sz w:val="11"/>
      <w:szCs w:val="11"/>
    </w:rPr>
  </w:style>
  <w:style w:type="paragraph" w:styleId="IntenseQuote">
    <w:name w:val="Intense Quote"/>
    <w:basedOn w:val="Normal"/>
    <w:next w:val="Normal"/>
    <w:link w:val="IntenseQuoteChar"/>
    <w:uiPriority w:val="30"/>
    <w:qFormat/>
    <w:rsid w:val="00272B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72BF8"/>
    <w:rPr>
      <w:rFonts w:ascii="Arial" w:eastAsia="Arial" w:hAnsi="Arial" w:cs="Arial"/>
      <w:i/>
      <w:iCs/>
      <w:color w:val="4472C4" w:themeColor="accent1"/>
      <w:sz w:val="22"/>
      <w:szCs w:val="22"/>
    </w:rPr>
  </w:style>
  <w:style w:type="character" w:customStyle="1" w:styleId="Heading2Char">
    <w:name w:val="Heading 2 Char"/>
    <w:basedOn w:val="DefaultParagraphFont"/>
    <w:link w:val="Heading2"/>
    <w:uiPriority w:val="9"/>
    <w:rsid w:val="008A5867"/>
    <w:rPr>
      <w:rFonts w:ascii="Verdana" w:eastAsiaTheme="majorEastAsia" w:hAnsi="Verdana" w:cstheme="majorBidi"/>
      <w:b/>
      <w:color w:val="0070C0"/>
      <w:szCs w:val="26"/>
    </w:rPr>
  </w:style>
  <w:style w:type="character" w:styleId="FollowedHyperlink">
    <w:name w:val="FollowedHyperlink"/>
    <w:basedOn w:val="DefaultParagraphFont"/>
    <w:uiPriority w:val="99"/>
    <w:semiHidden/>
    <w:unhideWhenUsed/>
    <w:rsid w:val="00DE4E3E"/>
    <w:rPr>
      <w:color w:val="954F72" w:themeColor="followedHyperlink"/>
      <w:u w:val="single"/>
    </w:rPr>
  </w:style>
  <w:style w:type="paragraph" w:styleId="Revision">
    <w:name w:val="Revision"/>
    <w:hidden/>
    <w:uiPriority w:val="99"/>
    <w:semiHidden/>
    <w:rsid w:val="00FF3AC0"/>
    <w:rPr>
      <w:rFonts w:ascii="Arial" w:eastAsia="Arial" w:hAnsi="Arial" w:cs="Arial"/>
      <w:sz w:val="22"/>
      <w:szCs w:val="22"/>
    </w:rPr>
  </w:style>
  <w:style w:type="table" w:styleId="GridTable2-Accent5">
    <w:name w:val="Grid Table 2 Accent 5"/>
    <w:basedOn w:val="TableNormal"/>
    <w:uiPriority w:val="47"/>
    <w:rsid w:val="003A463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0E5F3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Default">
    <w:name w:val="Default"/>
    <w:rsid w:val="000E5F37"/>
    <w:pPr>
      <w:autoSpaceDE w:val="0"/>
      <w:autoSpaceDN w:val="0"/>
      <w:adjustRightInd w:val="0"/>
    </w:pPr>
    <w:rPr>
      <w:rFonts w:ascii="Times New Roman" w:hAnsi="Times New Roman" w:cs="Times New Roman"/>
      <w:color w:val="000000"/>
    </w:rPr>
  </w:style>
  <w:style w:type="paragraph" w:styleId="EndnoteText">
    <w:name w:val="endnote text"/>
    <w:basedOn w:val="Normal"/>
    <w:link w:val="EndnoteTextChar"/>
    <w:uiPriority w:val="99"/>
    <w:semiHidden/>
    <w:unhideWhenUsed/>
    <w:rsid w:val="00FB7896"/>
    <w:pPr>
      <w:spacing w:line="240" w:lineRule="auto"/>
    </w:pPr>
    <w:rPr>
      <w:sz w:val="20"/>
      <w:szCs w:val="20"/>
    </w:rPr>
  </w:style>
  <w:style w:type="character" w:customStyle="1" w:styleId="EndnoteTextChar">
    <w:name w:val="Endnote Text Char"/>
    <w:basedOn w:val="DefaultParagraphFont"/>
    <w:link w:val="EndnoteText"/>
    <w:uiPriority w:val="99"/>
    <w:semiHidden/>
    <w:rsid w:val="00FB7896"/>
    <w:rPr>
      <w:rFonts w:ascii="Arial" w:eastAsia="Arial" w:hAnsi="Arial" w:cs="Arial"/>
      <w:sz w:val="20"/>
      <w:szCs w:val="20"/>
    </w:rPr>
  </w:style>
  <w:style w:type="character" w:styleId="EndnoteReference">
    <w:name w:val="endnote reference"/>
    <w:basedOn w:val="DefaultParagraphFont"/>
    <w:uiPriority w:val="99"/>
    <w:semiHidden/>
    <w:unhideWhenUsed/>
    <w:rsid w:val="00FB7896"/>
    <w:rPr>
      <w:vertAlign w:val="superscript"/>
    </w:rPr>
  </w:style>
  <w:style w:type="paragraph" w:customStyle="1" w:styleId="paragraph">
    <w:name w:val="paragraph"/>
    <w:basedOn w:val="Normal"/>
    <w:rsid w:val="00EF3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35CE"/>
  </w:style>
  <w:style w:type="paragraph" w:customStyle="1" w:styleId="speakable">
    <w:name w:val="speakable"/>
    <w:basedOn w:val="Normal"/>
    <w:rsid w:val="000D09A8"/>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odyText">
    <w:name w:val="Body Text"/>
    <w:basedOn w:val="Normal"/>
    <w:link w:val="BodyTextChar"/>
    <w:qFormat/>
    <w:rsid w:val="00D32F6B"/>
    <w:pPr>
      <w:spacing w:after="200" w:line="240" w:lineRule="auto"/>
    </w:pPr>
    <w:rPr>
      <w:rFonts w:eastAsiaTheme="minorHAnsi"/>
      <w:lang w:val="en-GB" w:eastAsia="en-GB"/>
    </w:rPr>
  </w:style>
  <w:style w:type="character" w:customStyle="1" w:styleId="BodyTextChar">
    <w:name w:val="Body Text Char"/>
    <w:basedOn w:val="DefaultParagraphFont"/>
    <w:link w:val="BodyText"/>
    <w:rsid w:val="00D32F6B"/>
    <w:rPr>
      <w:rFonts w:ascii="Arial" w:eastAsiaTheme="minorHAnsi" w:hAnsi="Arial" w:cs="Arial"/>
      <w:sz w:val="22"/>
      <w:szCs w:val="22"/>
      <w:lang w:val="en-GB" w:eastAsia="en-GB"/>
    </w:rPr>
  </w:style>
  <w:style w:type="paragraph" w:customStyle="1" w:styleId="msonormal0">
    <w:name w:val="msonormal"/>
    <w:basedOn w:val="Normal"/>
    <w:rsid w:val="00187953"/>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font5">
    <w:name w:val="font5"/>
    <w:basedOn w:val="Normal"/>
    <w:rsid w:val="00187953"/>
    <w:pPr>
      <w:spacing w:before="100" w:beforeAutospacing="1" w:after="100" w:afterAutospacing="1" w:line="240" w:lineRule="auto"/>
    </w:pPr>
    <w:rPr>
      <w:rFonts w:ascii="Verdana" w:eastAsia="Times New Roman" w:hAnsi="Verdana" w:cs="Times New Roman"/>
      <w:color w:val="000000"/>
      <w:sz w:val="18"/>
      <w:szCs w:val="18"/>
      <w:lang w:eastAsia="ja-JP"/>
    </w:rPr>
  </w:style>
  <w:style w:type="paragraph" w:customStyle="1" w:styleId="font6">
    <w:name w:val="font6"/>
    <w:basedOn w:val="Normal"/>
    <w:rsid w:val="00187953"/>
    <w:pPr>
      <w:spacing w:before="100" w:beforeAutospacing="1" w:after="100" w:afterAutospacing="1" w:line="240" w:lineRule="auto"/>
    </w:pPr>
    <w:rPr>
      <w:rFonts w:ascii="Verdana" w:eastAsia="Times New Roman" w:hAnsi="Verdana" w:cs="Times New Roman"/>
      <w:sz w:val="20"/>
      <w:szCs w:val="20"/>
      <w:lang w:eastAsia="ja-JP"/>
    </w:rPr>
  </w:style>
  <w:style w:type="paragraph" w:customStyle="1" w:styleId="font7">
    <w:name w:val="font7"/>
    <w:basedOn w:val="Normal"/>
    <w:rsid w:val="00187953"/>
    <w:pPr>
      <w:spacing w:before="100" w:beforeAutospacing="1" w:after="100" w:afterAutospacing="1" w:line="240" w:lineRule="auto"/>
    </w:pPr>
    <w:rPr>
      <w:rFonts w:ascii="Verdana" w:eastAsia="Times New Roman" w:hAnsi="Verdana" w:cs="Times New Roman"/>
      <w:b/>
      <w:bCs/>
      <w:sz w:val="20"/>
      <w:szCs w:val="20"/>
      <w:lang w:eastAsia="ja-JP"/>
    </w:rPr>
  </w:style>
  <w:style w:type="paragraph" w:customStyle="1" w:styleId="font8">
    <w:name w:val="font8"/>
    <w:basedOn w:val="Normal"/>
    <w:rsid w:val="00187953"/>
    <w:pPr>
      <w:spacing w:before="100" w:beforeAutospacing="1" w:after="100" w:afterAutospacing="1" w:line="240" w:lineRule="auto"/>
    </w:pPr>
    <w:rPr>
      <w:rFonts w:ascii="Verdana" w:eastAsia="Times New Roman" w:hAnsi="Verdana" w:cs="Times New Roman"/>
      <w:color w:val="FF0000"/>
      <w:sz w:val="18"/>
      <w:szCs w:val="18"/>
      <w:lang w:eastAsia="ja-JP"/>
    </w:rPr>
  </w:style>
  <w:style w:type="paragraph" w:customStyle="1" w:styleId="xl68">
    <w:name w:val="xl68"/>
    <w:basedOn w:val="Normal"/>
    <w:rsid w:val="00187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lang w:eastAsia="ja-JP"/>
    </w:rPr>
  </w:style>
  <w:style w:type="paragraph" w:customStyle="1" w:styleId="xl69">
    <w:name w:val="xl69"/>
    <w:basedOn w:val="Normal"/>
    <w:rsid w:val="00187953"/>
    <w:pPr>
      <w:spacing w:before="100" w:beforeAutospacing="1" w:after="100" w:afterAutospacing="1" w:line="240" w:lineRule="auto"/>
    </w:pPr>
    <w:rPr>
      <w:rFonts w:eastAsia="Times New Roman"/>
      <w:color w:val="000000"/>
      <w:sz w:val="20"/>
      <w:szCs w:val="20"/>
      <w:lang w:eastAsia="ja-JP"/>
    </w:rPr>
  </w:style>
  <w:style w:type="paragraph" w:customStyle="1" w:styleId="xl70">
    <w:name w:val="xl70"/>
    <w:basedOn w:val="Normal"/>
    <w:rsid w:val="00187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71">
    <w:name w:val="xl71"/>
    <w:basedOn w:val="Normal"/>
    <w:rsid w:val="0018795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72">
    <w:name w:val="xl72"/>
    <w:basedOn w:val="Normal"/>
    <w:rsid w:val="00187953"/>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73">
    <w:name w:val="xl73"/>
    <w:basedOn w:val="Normal"/>
    <w:rsid w:val="00187953"/>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74">
    <w:name w:val="xl74"/>
    <w:basedOn w:val="Normal"/>
    <w:rsid w:val="001879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75">
    <w:name w:val="xl75"/>
    <w:basedOn w:val="Normal"/>
    <w:rsid w:val="00187953"/>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76">
    <w:name w:val="xl76"/>
    <w:basedOn w:val="Normal"/>
    <w:rsid w:val="001879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77">
    <w:name w:val="xl77"/>
    <w:basedOn w:val="Normal"/>
    <w:rsid w:val="0018795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78">
    <w:name w:val="xl78"/>
    <w:basedOn w:val="Normal"/>
    <w:rsid w:val="00187953"/>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79">
    <w:name w:val="xl79"/>
    <w:basedOn w:val="Normal"/>
    <w:rsid w:val="00187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80">
    <w:name w:val="xl80"/>
    <w:basedOn w:val="Normal"/>
    <w:rsid w:val="0018795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81">
    <w:name w:val="xl81"/>
    <w:basedOn w:val="Normal"/>
    <w:rsid w:val="001879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82">
    <w:name w:val="xl82"/>
    <w:basedOn w:val="Normal"/>
    <w:rsid w:val="00187953"/>
    <w:pPr>
      <w:pBdr>
        <w:top w:val="single" w:sz="4" w:space="0" w:color="auto"/>
        <w:left w:val="single" w:sz="4" w:space="0" w:color="auto"/>
        <w:bottom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83">
    <w:name w:val="xl83"/>
    <w:basedOn w:val="Normal"/>
    <w:rsid w:val="001879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84">
    <w:name w:val="xl84"/>
    <w:basedOn w:val="Normal"/>
    <w:rsid w:val="00187953"/>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85">
    <w:name w:val="xl85"/>
    <w:basedOn w:val="Normal"/>
    <w:rsid w:val="00187953"/>
    <w:pPr>
      <w:pBdr>
        <w:top w:val="single" w:sz="12"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86">
    <w:name w:val="xl86"/>
    <w:basedOn w:val="Normal"/>
    <w:rsid w:val="00187953"/>
    <w:pPr>
      <w:pBdr>
        <w:top w:val="single" w:sz="12"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ja-JP"/>
    </w:rPr>
  </w:style>
  <w:style w:type="paragraph" w:customStyle="1" w:styleId="xl87">
    <w:name w:val="xl87"/>
    <w:basedOn w:val="Normal"/>
    <w:rsid w:val="00187953"/>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ja-JP"/>
    </w:rPr>
  </w:style>
  <w:style w:type="paragraph" w:customStyle="1" w:styleId="xl88">
    <w:name w:val="xl88"/>
    <w:basedOn w:val="Normal"/>
    <w:rsid w:val="00187953"/>
    <w:pPr>
      <w:pBdr>
        <w:top w:val="single" w:sz="4" w:space="0" w:color="auto"/>
        <w:left w:val="single" w:sz="12" w:space="0" w:color="auto"/>
        <w:right w:val="single" w:sz="4"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89">
    <w:name w:val="xl89"/>
    <w:basedOn w:val="Normal"/>
    <w:rsid w:val="00187953"/>
    <w:pPr>
      <w:pBdr>
        <w:top w:val="single" w:sz="4" w:space="0" w:color="auto"/>
        <w:left w:val="single" w:sz="4" w:space="0" w:color="auto"/>
        <w:bottom w:val="single" w:sz="12" w:space="0" w:color="auto"/>
        <w:right w:val="single" w:sz="4"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18"/>
      <w:szCs w:val="18"/>
      <w:lang w:eastAsia="ja-JP"/>
    </w:rPr>
  </w:style>
  <w:style w:type="paragraph" w:customStyle="1" w:styleId="xl90">
    <w:name w:val="xl90"/>
    <w:basedOn w:val="Normal"/>
    <w:rsid w:val="00187953"/>
    <w:pPr>
      <w:pBdr>
        <w:top w:val="single" w:sz="4" w:space="0" w:color="auto"/>
        <w:left w:val="single" w:sz="4" w:space="0" w:color="auto"/>
        <w:bottom w:val="single" w:sz="12" w:space="0" w:color="auto"/>
        <w:right w:val="single" w:sz="4"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20"/>
      <w:szCs w:val="20"/>
      <w:lang w:eastAsia="ja-JP"/>
    </w:rPr>
  </w:style>
  <w:style w:type="paragraph" w:customStyle="1" w:styleId="xl91">
    <w:name w:val="xl91"/>
    <w:basedOn w:val="Normal"/>
    <w:rsid w:val="00187953"/>
    <w:pPr>
      <w:pBdr>
        <w:top w:val="single" w:sz="4" w:space="0" w:color="auto"/>
        <w:left w:val="single" w:sz="4" w:space="0" w:color="auto"/>
        <w:bottom w:val="single" w:sz="12" w:space="0" w:color="auto"/>
        <w:right w:val="single" w:sz="4"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18"/>
      <w:szCs w:val="18"/>
      <w:lang w:eastAsia="ja-JP"/>
    </w:rPr>
  </w:style>
  <w:style w:type="paragraph" w:customStyle="1" w:styleId="xl92">
    <w:name w:val="xl92"/>
    <w:basedOn w:val="Normal"/>
    <w:rsid w:val="00187953"/>
    <w:pPr>
      <w:pBdr>
        <w:top w:val="single" w:sz="12" w:space="0" w:color="auto"/>
        <w:left w:val="single" w:sz="12"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93">
    <w:name w:val="xl93"/>
    <w:basedOn w:val="Normal"/>
    <w:rsid w:val="00187953"/>
    <w:pPr>
      <w:pBdr>
        <w:top w:val="single" w:sz="4" w:space="0" w:color="auto"/>
        <w:left w:val="single" w:sz="4" w:space="0" w:color="auto"/>
        <w:bottom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94">
    <w:name w:val="xl94"/>
    <w:basedOn w:val="Normal"/>
    <w:rsid w:val="00187953"/>
    <w:pPr>
      <w:pBdr>
        <w:top w:val="single" w:sz="4" w:space="0" w:color="auto"/>
        <w:left w:val="single" w:sz="12"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95">
    <w:name w:val="xl95"/>
    <w:basedOn w:val="Normal"/>
    <w:rsid w:val="00187953"/>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96">
    <w:name w:val="xl96"/>
    <w:basedOn w:val="Normal"/>
    <w:rsid w:val="00187953"/>
    <w:pPr>
      <w:pBdr>
        <w:top w:val="single" w:sz="4" w:space="0" w:color="auto"/>
        <w:left w:val="single" w:sz="12" w:space="0" w:color="auto"/>
        <w:right w:val="single" w:sz="12" w:space="0" w:color="auto"/>
      </w:pBdr>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97">
    <w:name w:val="xl97"/>
    <w:basedOn w:val="Normal"/>
    <w:rsid w:val="00187953"/>
    <w:pPr>
      <w:pBdr>
        <w:top w:val="single" w:sz="12" w:space="0" w:color="auto"/>
        <w:left w:val="single" w:sz="12" w:space="0" w:color="auto"/>
        <w:bottom w:val="single" w:sz="12" w:space="0" w:color="auto"/>
      </w:pBdr>
      <w:shd w:val="clear" w:color="000000" w:fill="AEAAAA"/>
      <w:spacing w:before="100" w:beforeAutospacing="1" w:after="100" w:afterAutospacing="1" w:line="240" w:lineRule="auto"/>
      <w:textAlignment w:val="center"/>
    </w:pPr>
    <w:rPr>
      <w:rFonts w:ascii="Verdana" w:eastAsia="Times New Roman" w:hAnsi="Verdana" w:cs="Times New Roman"/>
      <w:b/>
      <w:bCs/>
      <w:sz w:val="24"/>
      <w:szCs w:val="24"/>
      <w:lang w:eastAsia="ja-JP"/>
    </w:rPr>
  </w:style>
  <w:style w:type="paragraph" w:customStyle="1" w:styleId="xl98">
    <w:name w:val="xl98"/>
    <w:basedOn w:val="Normal"/>
    <w:rsid w:val="00187953"/>
    <w:pPr>
      <w:pBdr>
        <w:top w:val="single" w:sz="12" w:space="0" w:color="auto"/>
        <w:bottom w:val="single" w:sz="12"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99">
    <w:name w:val="xl99"/>
    <w:basedOn w:val="Normal"/>
    <w:rsid w:val="00187953"/>
    <w:pPr>
      <w:pBdr>
        <w:top w:val="single" w:sz="12" w:space="0" w:color="auto"/>
        <w:bottom w:val="single" w:sz="12" w:space="0" w:color="auto"/>
      </w:pBdr>
      <w:shd w:val="clear" w:color="000000" w:fill="AEAAAA"/>
      <w:spacing w:before="100" w:beforeAutospacing="1" w:after="100" w:afterAutospacing="1" w:line="240" w:lineRule="auto"/>
      <w:textAlignment w:val="center"/>
    </w:pPr>
    <w:rPr>
      <w:rFonts w:ascii="Verdana" w:eastAsia="Times New Roman" w:hAnsi="Verdana" w:cs="Times New Roman"/>
      <w:b/>
      <w:bCs/>
      <w:sz w:val="20"/>
      <w:szCs w:val="20"/>
      <w:lang w:eastAsia="ja-JP"/>
    </w:rPr>
  </w:style>
  <w:style w:type="paragraph" w:customStyle="1" w:styleId="xl100">
    <w:name w:val="xl100"/>
    <w:basedOn w:val="Normal"/>
    <w:rsid w:val="00187953"/>
    <w:pPr>
      <w:pBdr>
        <w:top w:val="single" w:sz="12" w:space="0" w:color="auto"/>
        <w:bottom w:val="single" w:sz="12" w:space="0" w:color="auto"/>
      </w:pBdr>
      <w:shd w:val="clear" w:color="000000" w:fill="AEAAAA"/>
      <w:spacing w:before="100" w:beforeAutospacing="1" w:after="100" w:afterAutospacing="1" w:line="240" w:lineRule="auto"/>
      <w:jc w:val="center"/>
      <w:textAlignment w:val="center"/>
    </w:pPr>
    <w:rPr>
      <w:rFonts w:ascii="Verdana" w:eastAsia="Times New Roman" w:hAnsi="Verdana" w:cs="Times New Roman"/>
      <w:b/>
      <w:bCs/>
      <w:sz w:val="20"/>
      <w:szCs w:val="20"/>
      <w:lang w:eastAsia="ja-JP"/>
    </w:rPr>
  </w:style>
  <w:style w:type="paragraph" w:customStyle="1" w:styleId="xl101">
    <w:name w:val="xl101"/>
    <w:basedOn w:val="Normal"/>
    <w:rsid w:val="00187953"/>
    <w:pPr>
      <w:pBdr>
        <w:top w:val="single" w:sz="12" w:space="0" w:color="auto"/>
        <w:bottom w:val="single" w:sz="12"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lang w:eastAsia="ja-JP"/>
    </w:rPr>
  </w:style>
  <w:style w:type="paragraph" w:customStyle="1" w:styleId="xl102">
    <w:name w:val="xl102"/>
    <w:basedOn w:val="Normal"/>
    <w:rsid w:val="00187953"/>
    <w:pPr>
      <w:pBdr>
        <w:top w:val="single" w:sz="12" w:space="0" w:color="auto"/>
        <w:bottom w:val="single" w:sz="12" w:space="0" w:color="auto"/>
        <w:right w:val="single" w:sz="12"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lang w:eastAsia="ja-JP"/>
    </w:rPr>
  </w:style>
  <w:style w:type="paragraph" w:customStyle="1" w:styleId="xl103">
    <w:name w:val="xl103"/>
    <w:basedOn w:val="Normal"/>
    <w:rsid w:val="00187953"/>
    <w:pPr>
      <w:pBdr>
        <w:top w:val="single" w:sz="12" w:space="0" w:color="auto"/>
        <w:left w:val="single" w:sz="12" w:space="0" w:color="auto"/>
        <w:bottom w:val="single" w:sz="12" w:space="0" w:color="auto"/>
      </w:pBdr>
      <w:shd w:val="clear" w:color="000000" w:fill="757171"/>
      <w:spacing w:before="100" w:beforeAutospacing="1" w:after="100" w:afterAutospacing="1" w:line="240" w:lineRule="auto"/>
      <w:textAlignment w:val="center"/>
    </w:pPr>
    <w:rPr>
      <w:rFonts w:ascii="Verdana" w:eastAsia="Times New Roman" w:hAnsi="Verdana" w:cs="Times New Roman"/>
      <w:b/>
      <w:bCs/>
      <w:color w:val="FFFFFF"/>
      <w:sz w:val="28"/>
      <w:szCs w:val="28"/>
      <w:lang w:eastAsia="ja-JP"/>
    </w:rPr>
  </w:style>
  <w:style w:type="paragraph" w:customStyle="1" w:styleId="xl104">
    <w:name w:val="xl104"/>
    <w:basedOn w:val="Normal"/>
    <w:rsid w:val="00187953"/>
    <w:pPr>
      <w:pBdr>
        <w:top w:val="single" w:sz="12" w:space="0" w:color="auto"/>
        <w:bottom w:val="single" w:sz="12" w:space="0" w:color="auto"/>
      </w:pBdr>
      <w:shd w:val="clear" w:color="000000" w:fill="757171"/>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ja-JP"/>
    </w:rPr>
  </w:style>
  <w:style w:type="paragraph" w:customStyle="1" w:styleId="xl105">
    <w:name w:val="xl105"/>
    <w:basedOn w:val="Normal"/>
    <w:rsid w:val="00187953"/>
    <w:pPr>
      <w:pBdr>
        <w:top w:val="single" w:sz="12" w:space="0" w:color="auto"/>
        <w:bottom w:val="single" w:sz="12" w:space="0" w:color="auto"/>
      </w:pBdr>
      <w:shd w:val="clear" w:color="000000" w:fill="757171"/>
      <w:spacing w:before="100" w:beforeAutospacing="1" w:after="100" w:afterAutospacing="1" w:line="240" w:lineRule="auto"/>
      <w:textAlignment w:val="center"/>
    </w:pPr>
    <w:rPr>
      <w:rFonts w:ascii="Verdana" w:eastAsia="Times New Roman" w:hAnsi="Verdana" w:cs="Times New Roman"/>
      <w:b/>
      <w:bCs/>
      <w:color w:val="FFFFFF"/>
      <w:sz w:val="28"/>
      <w:szCs w:val="28"/>
      <w:lang w:eastAsia="ja-JP"/>
    </w:rPr>
  </w:style>
  <w:style w:type="paragraph" w:customStyle="1" w:styleId="xl106">
    <w:name w:val="xl106"/>
    <w:basedOn w:val="Normal"/>
    <w:rsid w:val="00187953"/>
    <w:pPr>
      <w:pBdr>
        <w:top w:val="single" w:sz="12" w:space="0" w:color="auto"/>
        <w:bottom w:val="single" w:sz="12" w:space="0" w:color="auto"/>
      </w:pBdr>
      <w:shd w:val="clear" w:color="000000" w:fill="757171"/>
      <w:spacing w:before="100" w:beforeAutospacing="1" w:after="100" w:afterAutospacing="1" w:line="240" w:lineRule="auto"/>
      <w:jc w:val="center"/>
      <w:textAlignment w:val="center"/>
    </w:pPr>
    <w:rPr>
      <w:rFonts w:ascii="Verdana" w:eastAsia="Times New Roman" w:hAnsi="Verdana" w:cs="Times New Roman"/>
      <w:b/>
      <w:bCs/>
      <w:color w:val="FFFFFF"/>
      <w:sz w:val="28"/>
      <w:szCs w:val="28"/>
      <w:lang w:eastAsia="ja-JP"/>
    </w:rPr>
  </w:style>
  <w:style w:type="paragraph" w:customStyle="1" w:styleId="xl107">
    <w:name w:val="xl107"/>
    <w:basedOn w:val="Normal"/>
    <w:rsid w:val="00187953"/>
    <w:pPr>
      <w:pBdr>
        <w:top w:val="single" w:sz="12" w:space="0" w:color="auto"/>
        <w:bottom w:val="single" w:sz="12" w:space="0" w:color="auto"/>
      </w:pBdr>
      <w:shd w:val="clear" w:color="000000" w:fill="757171"/>
      <w:spacing w:before="100" w:beforeAutospacing="1" w:after="100" w:afterAutospacing="1" w:line="240" w:lineRule="auto"/>
      <w:textAlignment w:val="center"/>
    </w:pPr>
    <w:rPr>
      <w:rFonts w:ascii="Times New Roman" w:eastAsia="Times New Roman" w:hAnsi="Times New Roman" w:cs="Times New Roman"/>
      <w:b/>
      <w:bCs/>
      <w:color w:val="FFFFFF"/>
      <w:sz w:val="28"/>
      <w:szCs w:val="28"/>
      <w:lang w:eastAsia="ja-JP"/>
    </w:rPr>
  </w:style>
  <w:style w:type="paragraph" w:customStyle="1" w:styleId="xl108">
    <w:name w:val="xl108"/>
    <w:basedOn w:val="Normal"/>
    <w:rsid w:val="00187953"/>
    <w:pPr>
      <w:pBdr>
        <w:top w:val="single" w:sz="12" w:space="0" w:color="auto"/>
        <w:bottom w:val="single" w:sz="12" w:space="0" w:color="auto"/>
        <w:right w:val="single" w:sz="12" w:space="0" w:color="auto"/>
      </w:pBdr>
      <w:shd w:val="clear" w:color="000000" w:fill="757171"/>
      <w:spacing w:before="100" w:beforeAutospacing="1" w:after="100" w:afterAutospacing="1" w:line="240" w:lineRule="auto"/>
      <w:textAlignment w:val="center"/>
    </w:pPr>
    <w:rPr>
      <w:rFonts w:ascii="Times New Roman" w:eastAsia="Times New Roman" w:hAnsi="Times New Roman" w:cs="Times New Roman"/>
      <w:b/>
      <w:bCs/>
      <w:color w:val="FFFFFF"/>
      <w:sz w:val="28"/>
      <w:szCs w:val="28"/>
      <w:lang w:eastAsia="ja-JP"/>
    </w:rPr>
  </w:style>
  <w:style w:type="paragraph" w:customStyle="1" w:styleId="xl109">
    <w:name w:val="xl109"/>
    <w:basedOn w:val="Normal"/>
    <w:rsid w:val="00187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110">
    <w:name w:val="xl110"/>
    <w:basedOn w:val="Normal"/>
    <w:rsid w:val="00187953"/>
    <w:pPr>
      <w:pBdr>
        <w:left w:val="single" w:sz="12" w:space="0" w:color="auto"/>
        <w:bottom w:val="single" w:sz="12" w:space="0" w:color="auto"/>
        <w:right w:val="single" w:sz="4"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11">
    <w:name w:val="xl111"/>
    <w:basedOn w:val="Normal"/>
    <w:rsid w:val="00187953"/>
    <w:pPr>
      <w:pBdr>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12">
    <w:name w:val="xl112"/>
    <w:basedOn w:val="Normal"/>
    <w:rsid w:val="00187953"/>
    <w:pPr>
      <w:pBdr>
        <w:left w:val="single" w:sz="4"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13">
    <w:name w:val="xl113"/>
    <w:basedOn w:val="Normal"/>
    <w:rsid w:val="00187953"/>
    <w:pPr>
      <w:pBdr>
        <w:left w:val="single" w:sz="4" w:space="0" w:color="auto"/>
        <w:bottom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14">
    <w:name w:val="xl114"/>
    <w:basedOn w:val="Normal"/>
    <w:rsid w:val="00187953"/>
    <w:pPr>
      <w:pBdr>
        <w:top w:val="single" w:sz="4" w:space="0" w:color="auto"/>
        <w:left w:val="single" w:sz="4" w:space="0" w:color="auto"/>
        <w:bottom w:val="single" w:sz="12" w:space="0" w:color="auto"/>
        <w:right w:val="single" w:sz="4"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18"/>
      <w:szCs w:val="18"/>
      <w:lang w:eastAsia="ja-JP"/>
    </w:rPr>
  </w:style>
  <w:style w:type="paragraph" w:customStyle="1" w:styleId="xl115">
    <w:name w:val="xl115"/>
    <w:basedOn w:val="Normal"/>
    <w:rsid w:val="00187953"/>
    <w:pPr>
      <w:pBdr>
        <w:top w:val="single" w:sz="12"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16">
    <w:name w:val="xl116"/>
    <w:basedOn w:val="Normal"/>
    <w:rsid w:val="00187953"/>
    <w:pPr>
      <w:pBdr>
        <w:top w:val="single" w:sz="12" w:space="0" w:color="auto"/>
        <w:left w:val="single" w:sz="12" w:space="0" w:color="auto"/>
        <w:bottom w:val="single" w:sz="4" w:space="0" w:color="auto"/>
        <w:right w:val="single" w:sz="12" w:space="0" w:color="auto"/>
      </w:pBdr>
      <w:spacing w:before="100" w:beforeAutospacing="1" w:after="100" w:afterAutospacing="1" w:line="240" w:lineRule="auto"/>
      <w:jc w:val="both"/>
      <w:textAlignment w:val="center"/>
    </w:pPr>
    <w:rPr>
      <w:rFonts w:ascii="Verdana" w:eastAsia="Times New Roman" w:hAnsi="Verdana" w:cs="Times New Roman"/>
      <w:sz w:val="20"/>
      <w:szCs w:val="20"/>
      <w:lang w:eastAsia="ja-JP"/>
    </w:rPr>
  </w:style>
  <w:style w:type="paragraph" w:customStyle="1" w:styleId="xl117">
    <w:name w:val="xl117"/>
    <w:basedOn w:val="Normal"/>
    <w:rsid w:val="00187953"/>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18">
    <w:name w:val="xl118"/>
    <w:basedOn w:val="Normal"/>
    <w:rsid w:val="00187953"/>
    <w:pPr>
      <w:pBdr>
        <w:top w:val="single" w:sz="4" w:space="0" w:color="auto"/>
        <w:left w:val="single" w:sz="12" w:space="0" w:color="auto"/>
        <w:bottom w:val="single" w:sz="4" w:space="0" w:color="auto"/>
        <w:right w:val="single" w:sz="12" w:space="0" w:color="auto"/>
      </w:pBdr>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119">
    <w:name w:val="xl119"/>
    <w:basedOn w:val="Normal"/>
    <w:rsid w:val="00187953"/>
    <w:pPr>
      <w:pBdr>
        <w:top w:val="single" w:sz="12" w:space="0" w:color="auto"/>
        <w:bottom w:val="single" w:sz="12"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lang w:eastAsia="ja-JP"/>
    </w:rPr>
  </w:style>
  <w:style w:type="paragraph" w:customStyle="1" w:styleId="xl120">
    <w:name w:val="xl120"/>
    <w:basedOn w:val="Normal"/>
    <w:rsid w:val="001879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ja-JP"/>
    </w:rPr>
  </w:style>
  <w:style w:type="paragraph" w:customStyle="1" w:styleId="xl121">
    <w:name w:val="xl121"/>
    <w:basedOn w:val="Normal"/>
    <w:rsid w:val="00187953"/>
    <w:pPr>
      <w:pBdr>
        <w:top w:val="single" w:sz="12" w:space="0" w:color="auto"/>
        <w:bottom w:val="single" w:sz="12" w:space="0" w:color="auto"/>
      </w:pBdr>
      <w:shd w:val="clear" w:color="000000" w:fill="757171"/>
      <w:spacing w:before="100" w:beforeAutospacing="1" w:after="100" w:afterAutospacing="1" w:line="240" w:lineRule="auto"/>
      <w:textAlignment w:val="center"/>
    </w:pPr>
    <w:rPr>
      <w:rFonts w:ascii="Times New Roman" w:eastAsia="Times New Roman" w:hAnsi="Times New Roman" w:cs="Times New Roman"/>
      <w:b/>
      <w:bCs/>
      <w:color w:val="FFFFFF"/>
      <w:sz w:val="28"/>
      <w:szCs w:val="28"/>
      <w:lang w:eastAsia="ja-JP"/>
    </w:rPr>
  </w:style>
  <w:style w:type="paragraph" w:customStyle="1" w:styleId="xl122">
    <w:name w:val="xl122"/>
    <w:basedOn w:val="Normal"/>
    <w:rsid w:val="00187953"/>
    <w:pPr>
      <w:pBdr>
        <w:top w:val="single" w:sz="4" w:space="0" w:color="auto"/>
        <w:left w:val="single" w:sz="4" w:space="0" w:color="auto"/>
        <w:bottom w:val="single" w:sz="12" w:space="0" w:color="auto"/>
        <w:right w:val="single" w:sz="12"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18"/>
      <w:szCs w:val="18"/>
      <w:lang w:eastAsia="ja-JP"/>
    </w:rPr>
  </w:style>
  <w:style w:type="paragraph" w:customStyle="1" w:styleId="xl123">
    <w:name w:val="xl123"/>
    <w:basedOn w:val="Normal"/>
    <w:rsid w:val="00187953"/>
    <w:pPr>
      <w:pBdr>
        <w:top w:val="single" w:sz="12" w:space="0" w:color="auto"/>
        <w:left w:val="single" w:sz="12"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lang w:eastAsia="ja-JP"/>
    </w:rPr>
  </w:style>
  <w:style w:type="paragraph" w:customStyle="1" w:styleId="xl124">
    <w:name w:val="xl124"/>
    <w:basedOn w:val="Normal"/>
    <w:rsid w:val="00187953"/>
    <w:pPr>
      <w:pBdr>
        <w:top w:val="single" w:sz="12" w:space="0" w:color="auto"/>
        <w:left w:val="single" w:sz="4" w:space="0" w:color="auto"/>
        <w:bottom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25">
    <w:name w:val="xl125"/>
    <w:basedOn w:val="Normal"/>
    <w:rsid w:val="00187953"/>
    <w:pPr>
      <w:pBdr>
        <w:top w:val="single" w:sz="4" w:space="0" w:color="auto"/>
        <w:left w:val="single" w:sz="12" w:space="0" w:color="auto"/>
        <w:bottom w:val="single" w:sz="4" w:space="0" w:color="auto"/>
        <w:right w:val="single" w:sz="12" w:space="0" w:color="auto"/>
      </w:pBdr>
      <w:shd w:val="clear" w:color="000000" w:fill="FFFF00"/>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126">
    <w:name w:val="xl126"/>
    <w:basedOn w:val="Normal"/>
    <w:rsid w:val="00187953"/>
    <w:pPr>
      <w:pBdr>
        <w:top w:val="single" w:sz="12" w:space="0" w:color="auto"/>
        <w:left w:val="single" w:sz="12" w:space="0" w:color="auto"/>
        <w:bottom w:val="single" w:sz="4" w:space="0" w:color="auto"/>
        <w:right w:val="single" w:sz="12" w:space="0" w:color="auto"/>
      </w:pBdr>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127">
    <w:name w:val="xl127"/>
    <w:basedOn w:val="Normal"/>
    <w:rsid w:val="00187953"/>
    <w:pPr>
      <w:pBdr>
        <w:top w:val="single" w:sz="12"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28">
    <w:name w:val="xl128"/>
    <w:basedOn w:val="Normal"/>
    <w:rsid w:val="00187953"/>
    <w:pPr>
      <w:pBdr>
        <w:top w:val="single" w:sz="4" w:space="0" w:color="auto"/>
        <w:left w:val="single" w:sz="12"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ja-JP"/>
    </w:rPr>
  </w:style>
  <w:style w:type="paragraph" w:customStyle="1" w:styleId="xl129">
    <w:name w:val="xl129"/>
    <w:basedOn w:val="Normal"/>
    <w:rsid w:val="00187953"/>
    <w:pPr>
      <w:pBdr>
        <w:top w:val="single" w:sz="4" w:space="0" w:color="auto"/>
        <w:left w:val="single" w:sz="12" w:space="0" w:color="auto"/>
        <w:bottom w:val="single" w:sz="12"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ja-JP"/>
    </w:rPr>
  </w:style>
  <w:style w:type="paragraph" w:customStyle="1" w:styleId="xl130">
    <w:name w:val="xl130"/>
    <w:basedOn w:val="Normal"/>
    <w:rsid w:val="00187953"/>
    <w:pPr>
      <w:pBdr>
        <w:top w:val="single" w:sz="12" w:space="0" w:color="auto"/>
        <w:bottom w:val="single" w:sz="12" w:space="0" w:color="auto"/>
      </w:pBdr>
      <w:shd w:val="clear" w:color="000000" w:fill="AEAAAA"/>
      <w:spacing w:before="100" w:beforeAutospacing="1" w:after="100" w:afterAutospacing="1" w:line="240" w:lineRule="auto"/>
      <w:textAlignment w:val="center"/>
    </w:pPr>
    <w:rPr>
      <w:rFonts w:ascii="Verdana" w:eastAsia="Times New Roman" w:hAnsi="Verdana" w:cs="Times New Roman"/>
      <w:b/>
      <w:bCs/>
      <w:sz w:val="16"/>
      <w:szCs w:val="16"/>
      <w:lang w:eastAsia="ja-JP"/>
    </w:rPr>
  </w:style>
  <w:style w:type="paragraph" w:customStyle="1" w:styleId="xl131">
    <w:name w:val="xl131"/>
    <w:basedOn w:val="Normal"/>
    <w:rsid w:val="00187953"/>
    <w:pPr>
      <w:pBdr>
        <w:top w:val="single" w:sz="12" w:space="0" w:color="auto"/>
        <w:left w:val="single" w:sz="12"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Verdana" w:eastAsia="Times New Roman" w:hAnsi="Verdana" w:cs="Times New Roman"/>
      <w:sz w:val="16"/>
      <w:szCs w:val="16"/>
      <w:lang w:eastAsia="ja-JP"/>
    </w:rPr>
  </w:style>
  <w:style w:type="paragraph" w:customStyle="1" w:styleId="xl132">
    <w:name w:val="xl132"/>
    <w:basedOn w:val="Normal"/>
    <w:rsid w:val="00187953"/>
    <w:pPr>
      <w:pBdr>
        <w:top w:val="single" w:sz="12" w:space="0" w:color="auto"/>
        <w:left w:val="single" w:sz="12"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ja-JP"/>
    </w:rPr>
  </w:style>
  <w:style w:type="paragraph" w:customStyle="1" w:styleId="xl133">
    <w:name w:val="xl133"/>
    <w:basedOn w:val="Normal"/>
    <w:rsid w:val="00187953"/>
    <w:pPr>
      <w:pBdr>
        <w:top w:val="single" w:sz="4" w:space="0" w:color="auto"/>
        <w:left w:val="single" w:sz="12" w:space="0" w:color="auto"/>
        <w:bottom w:val="single" w:sz="12"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lang w:eastAsia="ja-JP"/>
    </w:rPr>
  </w:style>
  <w:style w:type="paragraph" w:customStyle="1" w:styleId="xl134">
    <w:name w:val="xl134"/>
    <w:basedOn w:val="Normal"/>
    <w:rsid w:val="00187953"/>
    <w:pPr>
      <w:pBdr>
        <w:top w:val="single" w:sz="12"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ja-JP"/>
    </w:rPr>
  </w:style>
  <w:style w:type="paragraph" w:customStyle="1" w:styleId="xl135">
    <w:name w:val="xl135"/>
    <w:basedOn w:val="Normal"/>
    <w:rsid w:val="00187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ja-JP"/>
    </w:rPr>
  </w:style>
  <w:style w:type="paragraph" w:customStyle="1" w:styleId="xl136">
    <w:name w:val="xl136"/>
    <w:basedOn w:val="Normal"/>
    <w:rsid w:val="001879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ja-JP"/>
    </w:rPr>
  </w:style>
  <w:style w:type="paragraph" w:customStyle="1" w:styleId="xl137">
    <w:name w:val="xl137"/>
    <w:basedOn w:val="Normal"/>
    <w:rsid w:val="00187953"/>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ja-JP"/>
    </w:rPr>
  </w:style>
  <w:style w:type="paragraph" w:customStyle="1" w:styleId="xl138">
    <w:name w:val="xl138"/>
    <w:basedOn w:val="Normal"/>
    <w:rsid w:val="00187953"/>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139">
    <w:name w:val="xl139"/>
    <w:basedOn w:val="Normal"/>
    <w:rsid w:val="00187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ja-JP"/>
    </w:rPr>
  </w:style>
  <w:style w:type="paragraph" w:customStyle="1" w:styleId="xl140">
    <w:name w:val="xl140"/>
    <w:basedOn w:val="Normal"/>
    <w:rsid w:val="00187953"/>
    <w:pPr>
      <w:pBdr>
        <w:top w:val="single" w:sz="12"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ja-JP"/>
    </w:rPr>
  </w:style>
  <w:style w:type="paragraph" w:customStyle="1" w:styleId="xl141">
    <w:name w:val="xl141"/>
    <w:basedOn w:val="Normal"/>
    <w:rsid w:val="001879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ja-JP"/>
    </w:rPr>
  </w:style>
  <w:style w:type="paragraph" w:customStyle="1" w:styleId="xl142">
    <w:name w:val="xl142"/>
    <w:basedOn w:val="Normal"/>
    <w:rsid w:val="00187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ja-JP"/>
    </w:rPr>
  </w:style>
  <w:style w:type="paragraph" w:customStyle="1" w:styleId="xl143">
    <w:name w:val="xl143"/>
    <w:basedOn w:val="Normal"/>
    <w:rsid w:val="00187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ja-JP"/>
    </w:rPr>
  </w:style>
  <w:style w:type="paragraph" w:customStyle="1" w:styleId="xl144">
    <w:name w:val="xl144"/>
    <w:basedOn w:val="Normal"/>
    <w:rsid w:val="00187953"/>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ja-JP"/>
    </w:rPr>
  </w:style>
  <w:style w:type="paragraph" w:customStyle="1" w:styleId="xl145">
    <w:name w:val="xl145"/>
    <w:basedOn w:val="Normal"/>
    <w:rsid w:val="00187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ja-JP"/>
    </w:rPr>
  </w:style>
  <w:style w:type="paragraph" w:customStyle="1" w:styleId="xl146">
    <w:name w:val="xl146"/>
    <w:basedOn w:val="Normal"/>
    <w:rsid w:val="00187953"/>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ja-JP"/>
    </w:rPr>
  </w:style>
  <w:style w:type="paragraph" w:customStyle="1" w:styleId="xl147">
    <w:name w:val="xl147"/>
    <w:basedOn w:val="Normal"/>
    <w:rsid w:val="00187953"/>
    <w:pPr>
      <w:pBdr>
        <w:top w:val="single" w:sz="12"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ja-JP"/>
    </w:rPr>
  </w:style>
  <w:style w:type="paragraph" w:customStyle="1" w:styleId="xl148">
    <w:name w:val="xl148"/>
    <w:basedOn w:val="Normal"/>
    <w:rsid w:val="00187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ja-JP"/>
    </w:rPr>
  </w:style>
  <w:style w:type="paragraph" w:customStyle="1" w:styleId="xl149">
    <w:name w:val="xl149"/>
    <w:basedOn w:val="Normal"/>
    <w:rsid w:val="00187953"/>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ja-JP"/>
    </w:rPr>
  </w:style>
  <w:style w:type="paragraph" w:customStyle="1" w:styleId="xl150">
    <w:name w:val="xl150"/>
    <w:basedOn w:val="Normal"/>
    <w:rsid w:val="00187953"/>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ja-JP"/>
    </w:rPr>
  </w:style>
  <w:style w:type="paragraph" w:customStyle="1" w:styleId="xl151">
    <w:name w:val="xl151"/>
    <w:basedOn w:val="Normal"/>
    <w:rsid w:val="00187953"/>
    <w:pPr>
      <w:pBdr>
        <w:top w:val="single" w:sz="12"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ja-JP"/>
    </w:rPr>
  </w:style>
  <w:style w:type="paragraph" w:customStyle="1" w:styleId="xl152">
    <w:name w:val="xl152"/>
    <w:basedOn w:val="Normal"/>
    <w:rsid w:val="00187953"/>
    <w:pPr>
      <w:pBdr>
        <w:top w:val="single" w:sz="12"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53">
    <w:name w:val="xl153"/>
    <w:basedOn w:val="Normal"/>
    <w:rsid w:val="00187953"/>
    <w:pPr>
      <w:pBdr>
        <w:top w:val="single" w:sz="12"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54">
    <w:name w:val="xl154"/>
    <w:basedOn w:val="Normal"/>
    <w:rsid w:val="00187953"/>
    <w:pPr>
      <w:pBdr>
        <w:top w:val="single" w:sz="12" w:space="0" w:color="auto"/>
        <w:left w:val="single" w:sz="4" w:space="0" w:color="auto"/>
        <w:bottom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55">
    <w:name w:val="xl155"/>
    <w:basedOn w:val="Normal"/>
    <w:rsid w:val="0018795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156">
    <w:name w:val="xl156"/>
    <w:basedOn w:val="Normal"/>
    <w:rsid w:val="00187953"/>
    <w:pPr>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Verdana" w:eastAsia="Times New Roman" w:hAnsi="Verdana" w:cs="Times New Roman"/>
      <w:color w:val="000000"/>
      <w:sz w:val="16"/>
      <w:szCs w:val="16"/>
      <w:lang w:eastAsia="ja-JP"/>
    </w:rPr>
  </w:style>
  <w:style w:type="paragraph" w:customStyle="1" w:styleId="xl157">
    <w:name w:val="xl157"/>
    <w:basedOn w:val="Normal"/>
    <w:rsid w:val="00187953"/>
    <w:pPr>
      <w:pBdr>
        <w:top w:val="single" w:sz="4" w:space="0" w:color="auto"/>
        <w:bottom w:val="single" w:sz="4" w:space="0" w:color="auto"/>
        <w:right w:val="single" w:sz="12" w:space="0" w:color="auto"/>
      </w:pBdr>
      <w:spacing w:before="100" w:beforeAutospacing="1" w:after="100" w:afterAutospacing="1" w:line="240" w:lineRule="auto"/>
    </w:pPr>
    <w:rPr>
      <w:rFonts w:eastAsia="Times New Roman"/>
      <w:color w:val="000000"/>
      <w:sz w:val="20"/>
      <w:szCs w:val="20"/>
      <w:lang w:eastAsia="ja-JP"/>
    </w:rPr>
  </w:style>
  <w:style w:type="paragraph" w:customStyle="1" w:styleId="xl158">
    <w:name w:val="xl158"/>
    <w:basedOn w:val="Normal"/>
    <w:rsid w:val="00187953"/>
    <w:pPr>
      <w:pBdr>
        <w:top w:val="single" w:sz="4" w:space="0" w:color="auto"/>
        <w:left w:val="single" w:sz="12" w:space="0" w:color="auto"/>
        <w:bottom w:val="single" w:sz="12" w:space="0" w:color="auto"/>
        <w:right w:val="single" w:sz="4" w:space="0" w:color="auto"/>
      </w:pBdr>
      <w:shd w:val="clear" w:color="000000" w:fill="FFFF00"/>
      <w:spacing w:before="100" w:beforeAutospacing="1" w:after="100" w:afterAutospacing="1" w:line="240" w:lineRule="auto"/>
      <w:textAlignment w:val="center"/>
    </w:pPr>
    <w:rPr>
      <w:rFonts w:ascii="Verdana" w:eastAsia="Times New Roman" w:hAnsi="Verdana" w:cs="Times New Roman"/>
      <w:color w:val="000000"/>
      <w:sz w:val="16"/>
      <w:szCs w:val="16"/>
      <w:lang w:eastAsia="ja-JP"/>
    </w:rPr>
  </w:style>
  <w:style w:type="paragraph" w:customStyle="1" w:styleId="xl159">
    <w:name w:val="xl159"/>
    <w:basedOn w:val="Normal"/>
    <w:rsid w:val="00187953"/>
    <w:pPr>
      <w:pBdr>
        <w:top w:val="single" w:sz="4" w:space="0" w:color="auto"/>
        <w:left w:val="single" w:sz="4" w:space="0" w:color="auto"/>
        <w:bottom w:val="single" w:sz="12"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ja-JP"/>
    </w:rPr>
  </w:style>
  <w:style w:type="paragraph" w:customStyle="1" w:styleId="xl160">
    <w:name w:val="xl160"/>
    <w:basedOn w:val="Normal"/>
    <w:rsid w:val="00187953"/>
    <w:pPr>
      <w:pBdr>
        <w:top w:val="single" w:sz="4" w:space="0" w:color="auto"/>
        <w:left w:val="single" w:sz="4" w:space="0" w:color="auto"/>
        <w:bottom w:val="single" w:sz="12"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ja-JP"/>
    </w:rPr>
  </w:style>
  <w:style w:type="paragraph" w:customStyle="1" w:styleId="xl161">
    <w:name w:val="xl161"/>
    <w:basedOn w:val="Normal"/>
    <w:rsid w:val="00187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162">
    <w:name w:val="xl162"/>
    <w:basedOn w:val="Normal"/>
    <w:rsid w:val="00187953"/>
    <w:pPr>
      <w:pBdr>
        <w:top w:val="single" w:sz="4" w:space="0" w:color="auto"/>
        <w:left w:val="single" w:sz="4" w:space="0" w:color="auto"/>
        <w:bottom w:val="single" w:sz="12"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163">
    <w:name w:val="xl163"/>
    <w:basedOn w:val="Normal"/>
    <w:rsid w:val="00187953"/>
    <w:pPr>
      <w:pBdr>
        <w:top w:val="single" w:sz="4" w:space="0" w:color="auto"/>
        <w:left w:val="single" w:sz="12" w:space="0" w:color="auto"/>
        <w:bottom w:val="single" w:sz="4" w:space="0" w:color="auto"/>
        <w:right w:val="single" w:sz="12" w:space="0" w:color="auto"/>
      </w:pBdr>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164">
    <w:name w:val="xl164"/>
    <w:basedOn w:val="Normal"/>
    <w:rsid w:val="00187953"/>
    <w:pPr>
      <w:pBdr>
        <w:top w:val="single" w:sz="4" w:space="0" w:color="auto"/>
        <w:left w:val="single" w:sz="4"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165">
    <w:name w:val="xl165"/>
    <w:basedOn w:val="Normal"/>
    <w:rsid w:val="00187953"/>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166">
    <w:name w:val="xl166"/>
    <w:basedOn w:val="Normal"/>
    <w:rsid w:val="00187953"/>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eastAsia="ja-JP"/>
    </w:rPr>
  </w:style>
  <w:style w:type="paragraph" w:customStyle="1" w:styleId="xl167">
    <w:name w:val="xl167"/>
    <w:basedOn w:val="Normal"/>
    <w:rsid w:val="00187953"/>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eastAsia="ja-JP"/>
    </w:rPr>
  </w:style>
  <w:style w:type="paragraph" w:customStyle="1" w:styleId="xl168">
    <w:name w:val="xl168"/>
    <w:basedOn w:val="Normal"/>
    <w:rsid w:val="00187953"/>
    <w:pPr>
      <w:pBdr>
        <w:top w:val="single" w:sz="12"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169">
    <w:name w:val="xl169"/>
    <w:basedOn w:val="Normal"/>
    <w:rsid w:val="00187953"/>
    <w:pPr>
      <w:pBdr>
        <w:top w:val="single" w:sz="12" w:space="0" w:color="auto"/>
        <w:left w:val="single" w:sz="12" w:space="0" w:color="auto"/>
        <w:bottom w:val="single" w:sz="4" w:space="0" w:color="auto"/>
        <w:right w:val="single" w:sz="12" w:space="0" w:color="auto"/>
      </w:pBdr>
      <w:spacing w:before="100" w:beforeAutospacing="1" w:after="100" w:afterAutospacing="1" w:line="240" w:lineRule="auto"/>
      <w:jc w:val="both"/>
      <w:textAlignment w:val="center"/>
    </w:pPr>
    <w:rPr>
      <w:rFonts w:ascii="Verdana" w:eastAsia="Times New Roman" w:hAnsi="Verdana" w:cs="Times New Roman"/>
      <w:sz w:val="20"/>
      <w:szCs w:val="20"/>
      <w:lang w:eastAsia="ja-JP"/>
    </w:rPr>
  </w:style>
  <w:style w:type="paragraph" w:customStyle="1" w:styleId="xl170">
    <w:name w:val="xl170"/>
    <w:basedOn w:val="Normal"/>
    <w:rsid w:val="00187953"/>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ja-JP"/>
    </w:rPr>
  </w:style>
  <w:style w:type="paragraph" w:customStyle="1" w:styleId="xl171">
    <w:name w:val="xl171"/>
    <w:basedOn w:val="Normal"/>
    <w:rsid w:val="00187953"/>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4"/>
      <w:szCs w:val="24"/>
      <w:lang w:eastAsia="ja-JP"/>
    </w:rPr>
  </w:style>
  <w:style w:type="paragraph" w:customStyle="1" w:styleId="xl172">
    <w:name w:val="xl172"/>
    <w:basedOn w:val="Normal"/>
    <w:rsid w:val="00187953"/>
    <w:pPr>
      <w:pBdr>
        <w:top w:val="single" w:sz="12"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ja-JP"/>
    </w:rPr>
  </w:style>
  <w:style w:type="paragraph" w:customStyle="1" w:styleId="xl173">
    <w:name w:val="xl173"/>
    <w:basedOn w:val="Normal"/>
    <w:rsid w:val="00187953"/>
    <w:pPr>
      <w:pBdr>
        <w:top w:val="single" w:sz="12"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ja-JP"/>
    </w:rPr>
  </w:style>
  <w:style w:type="paragraph" w:customStyle="1" w:styleId="xl174">
    <w:name w:val="xl174"/>
    <w:basedOn w:val="Normal"/>
    <w:rsid w:val="0018795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ja-JP"/>
    </w:rPr>
  </w:style>
  <w:style w:type="paragraph" w:customStyle="1" w:styleId="xl175">
    <w:name w:val="xl175"/>
    <w:basedOn w:val="Normal"/>
    <w:rsid w:val="0018795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eastAsia="ja-JP"/>
    </w:rPr>
  </w:style>
  <w:style w:type="paragraph" w:customStyle="1" w:styleId="xl176">
    <w:name w:val="xl176"/>
    <w:basedOn w:val="Normal"/>
    <w:rsid w:val="0018795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77">
    <w:name w:val="xl177"/>
    <w:basedOn w:val="Normal"/>
    <w:rsid w:val="00187953"/>
    <w:pPr>
      <w:pBdr>
        <w:left w:val="single" w:sz="4" w:space="0" w:color="auto"/>
        <w:bottom w:val="single" w:sz="12"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78">
    <w:name w:val="xl178"/>
    <w:basedOn w:val="Normal"/>
    <w:rsid w:val="001879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79">
    <w:name w:val="xl179"/>
    <w:basedOn w:val="Normal"/>
    <w:rsid w:val="00187953"/>
    <w:pPr>
      <w:pBdr>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80">
    <w:name w:val="xl180"/>
    <w:basedOn w:val="Normal"/>
    <w:rsid w:val="00187953"/>
    <w:pPr>
      <w:pBdr>
        <w:top w:val="single" w:sz="4" w:space="0" w:color="auto"/>
        <w:left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81">
    <w:name w:val="xl181"/>
    <w:basedOn w:val="Normal"/>
    <w:rsid w:val="00187953"/>
    <w:pPr>
      <w:pBdr>
        <w:left w:val="single" w:sz="4" w:space="0" w:color="auto"/>
        <w:bottom w:val="single" w:sz="12"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82">
    <w:name w:val="xl182"/>
    <w:basedOn w:val="Normal"/>
    <w:rsid w:val="00187953"/>
    <w:pPr>
      <w:pBdr>
        <w:top w:val="single" w:sz="4" w:space="0" w:color="auto"/>
        <w:left w:val="single" w:sz="12"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83">
    <w:name w:val="xl183"/>
    <w:basedOn w:val="Normal"/>
    <w:rsid w:val="00187953"/>
    <w:pPr>
      <w:pBdr>
        <w:left w:val="single" w:sz="12" w:space="0" w:color="auto"/>
        <w:bottom w:val="single" w:sz="12"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84">
    <w:name w:val="xl184"/>
    <w:basedOn w:val="Normal"/>
    <w:rsid w:val="00187953"/>
    <w:pPr>
      <w:pBdr>
        <w:left w:val="single" w:sz="12"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85">
    <w:name w:val="xl185"/>
    <w:basedOn w:val="Normal"/>
    <w:rsid w:val="0018795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86">
    <w:name w:val="xl186"/>
    <w:basedOn w:val="Normal"/>
    <w:rsid w:val="00187953"/>
    <w:pPr>
      <w:pBdr>
        <w:left w:val="single" w:sz="4" w:space="0" w:color="auto"/>
        <w:bottom w:val="single" w:sz="12" w:space="0" w:color="auto"/>
        <w:right w:val="single" w:sz="4"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87">
    <w:name w:val="xl187"/>
    <w:basedOn w:val="Normal"/>
    <w:rsid w:val="00187953"/>
    <w:pPr>
      <w:pBdr>
        <w:top w:val="single" w:sz="12" w:space="0" w:color="auto"/>
        <w:left w:val="single" w:sz="12" w:space="0" w:color="auto"/>
        <w:right w:val="single" w:sz="4"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88">
    <w:name w:val="xl188"/>
    <w:basedOn w:val="Normal"/>
    <w:rsid w:val="00187953"/>
    <w:pPr>
      <w:pBdr>
        <w:left w:val="single" w:sz="12"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89">
    <w:name w:val="xl189"/>
    <w:basedOn w:val="Normal"/>
    <w:rsid w:val="00187953"/>
    <w:pPr>
      <w:pBdr>
        <w:top w:val="single" w:sz="12"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90">
    <w:name w:val="xl190"/>
    <w:basedOn w:val="Normal"/>
    <w:rsid w:val="0018795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91">
    <w:name w:val="xl191"/>
    <w:basedOn w:val="Normal"/>
    <w:rsid w:val="00187953"/>
    <w:pPr>
      <w:pBdr>
        <w:top w:val="single" w:sz="12" w:space="0" w:color="auto"/>
        <w:left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92">
    <w:name w:val="xl192"/>
    <w:basedOn w:val="Normal"/>
    <w:rsid w:val="00187953"/>
    <w:pPr>
      <w:pBdr>
        <w:left w:val="single" w:sz="4" w:space="0" w:color="auto"/>
        <w:bottom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93">
    <w:name w:val="xl193"/>
    <w:basedOn w:val="Normal"/>
    <w:rsid w:val="001879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94">
    <w:name w:val="xl194"/>
    <w:basedOn w:val="Normal"/>
    <w:rsid w:val="00187953"/>
    <w:pPr>
      <w:pBdr>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95">
    <w:name w:val="xl195"/>
    <w:basedOn w:val="Normal"/>
    <w:rsid w:val="001879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96">
    <w:name w:val="xl196"/>
    <w:basedOn w:val="Normal"/>
    <w:rsid w:val="001879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97">
    <w:name w:val="xl197"/>
    <w:basedOn w:val="Normal"/>
    <w:rsid w:val="00187953"/>
    <w:pPr>
      <w:pBdr>
        <w:left w:val="single" w:sz="4" w:space="0" w:color="auto"/>
        <w:bottom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198">
    <w:name w:val="xl198"/>
    <w:basedOn w:val="Normal"/>
    <w:rsid w:val="00187953"/>
    <w:pPr>
      <w:pBdr>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199">
    <w:name w:val="xl199"/>
    <w:basedOn w:val="Normal"/>
    <w:rsid w:val="00187953"/>
    <w:pPr>
      <w:pBdr>
        <w:top w:val="single" w:sz="4"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200">
    <w:name w:val="xl200"/>
    <w:basedOn w:val="Normal"/>
    <w:rsid w:val="00187953"/>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201">
    <w:name w:val="xl201"/>
    <w:basedOn w:val="Normal"/>
    <w:rsid w:val="00187953"/>
    <w:pPr>
      <w:pBdr>
        <w:left w:val="single" w:sz="12"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202">
    <w:name w:val="xl202"/>
    <w:basedOn w:val="Normal"/>
    <w:rsid w:val="00187953"/>
    <w:pPr>
      <w:pBdr>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203">
    <w:name w:val="xl203"/>
    <w:basedOn w:val="Normal"/>
    <w:rsid w:val="00187953"/>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204">
    <w:name w:val="xl204"/>
    <w:basedOn w:val="Normal"/>
    <w:rsid w:val="0018795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205">
    <w:name w:val="xl205"/>
    <w:basedOn w:val="Normal"/>
    <w:rsid w:val="0018795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206">
    <w:name w:val="xl206"/>
    <w:basedOn w:val="Normal"/>
    <w:rsid w:val="00187953"/>
    <w:pPr>
      <w:pBdr>
        <w:left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207">
    <w:name w:val="xl207"/>
    <w:basedOn w:val="Normal"/>
    <w:rsid w:val="00187953"/>
    <w:pPr>
      <w:pBdr>
        <w:top w:val="single" w:sz="4"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208">
    <w:name w:val="xl208"/>
    <w:basedOn w:val="Normal"/>
    <w:rsid w:val="00187953"/>
    <w:pPr>
      <w:pBdr>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209">
    <w:name w:val="xl209"/>
    <w:basedOn w:val="Normal"/>
    <w:rsid w:val="00187953"/>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210">
    <w:name w:val="xl210"/>
    <w:basedOn w:val="Normal"/>
    <w:rsid w:val="00187953"/>
    <w:pPr>
      <w:pBdr>
        <w:left w:val="single" w:sz="12"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ja-JP"/>
    </w:rPr>
  </w:style>
  <w:style w:type="paragraph" w:customStyle="1" w:styleId="xl211">
    <w:name w:val="xl211"/>
    <w:basedOn w:val="Normal"/>
    <w:rsid w:val="00187953"/>
    <w:pPr>
      <w:pBdr>
        <w:top w:val="single" w:sz="12" w:space="0" w:color="auto"/>
        <w:left w:val="single" w:sz="12"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24"/>
      <w:szCs w:val="24"/>
      <w:lang w:eastAsia="ja-JP"/>
    </w:rPr>
  </w:style>
  <w:style w:type="paragraph" w:customStyle="1" w:styleId="xl212">
    <w:name w:val="xl212"/>
    <w:basedOn w:val="Normal"/>
    <w:rsid w:val="00187953"/>
    <w:pPr>
      <w:pBdr>
        <w:top w:val="single" w:sz="4" w:space="0" w:color="auto"/>
        <w:left w:val="single" w:sz="12" w:space="0" w:color="auto"/>
        <w:bottom w:val="single" w:sz="12" w:space="0" w:color="auto"/>
        <w:right w:val="single" w:sz="4"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24"/>
      <w:szCs w:val="24"/>
      <w:lang w:eastAsia="ja-JP"/>
    </w:rPr>
  </w:style>
  <w:style w:type="paragraph" w:customStyle="1" w:styleId="xl213">
    <w:name w:val="xl213"/>
    <w:basedOn w:val="Normal"/>
    <w:rsid w:val="00187953"/>
    <w:pPr>
      <w:pBdr>
        <w:top w:val="single" w:sz="12"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20"/>
      <w:szCs w:val="20"/>
      <w:lang w:eastAsia="ja-JP"/>
    </w:rPr>
  </w:style>
  <w:style w:type="paragraph" w:customStyle="1" w:styleId="xl214">
    <w:name w:val="xl214"/>
    <w:basedOn w:val="Normal"/>
    <w:rsid w:val="00187953"/>
    <w:pPr>
      <w:pBdr>
        <w:top w:val="single" w:sz="12" w:space="0" w:color="auto"/>
        <w:left w:val="single" w:sz="12" w:space="0" w:color="auto"/>
        <w:right w:val="single" w:sz="12" w:space="0" w:color="auto"/>
      </w:pBdr>
      <w:shd w:val="clear" w:color="000000" w:fill="FFFFFF"/>
      <w:spacing w:before="100" w:beforeAutospacing="1" w:after="100" w:afterAutospacing="1" w:line="240" w:lineRule="auto"/>
      <w:textAlignment w:val="center"/>
    </w:pPr>
    <w:rPr>
      <w:rFonts w:ascii="Verdana" w:eastAsia="Times New Roman" w:hAnsi="Verdana" w:cs="Times New Roman"/>
      <w:b/>
      <w:bCs/>
      <w:sz w:val="24"/>
      <w:szCs w:val="24"/>
      <w:lang w:eastAsia="ja-JP"/>
    </w:rPr>
  </w:style>
  <w:style w:type="paragraph" w:customStyle="1" w:styleId="xl215">
    <w:name w:val="xl215"/>
    <w:basedOn w:val="Normal"/>
    <w:rsid w:val="00187953"/>
    <w:pPr>
      <w:pBdr>
        <w:left w:val="single" w:sz="12" w:space="0" w:color="auto"/>
        <w:right w:val="single" w:sz="12" w:space="0" w:color="auto"/>
      </w:pBdr>
      <w:shd w:val="clear" w:color="000000" w:fill="FFFFFF"/>
      <w:spacing w:before="100" w:beforeAutospacing="1" w:after="100" w:afterAutospacing="1" w:line="240" w:lineRule="auto"/>
      <w:textAlignment w:val="center"/>
    </w:pPr>
    <w:rPr>
      <w:rFonts w:ascii="Verdana" w:eastAsia="Times New Roman" w:hAnsi="Verdana" w:cs="Times New Roman"/>
      <w:b/>
      <w:bCs/>
      <w:sz w:val="24"/>
      <w:szCs w:val="24"/>
      <w:lang w:eastAsia="ja-JP"/>
    </w:rPr>
  </w:style>
  <w:style w:type="paragraph" w:customStyle="1" w:styleId="xl216">
    <w:name w:val="xl216"/>
    <w:basedOn w:val="Normal"/>
    <w:rsid w:val="00187953"/>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217">
    <w:name w:val="xl217"/>
    <w:basedOn w:val="Normal"/>
    <w:rsid w:val="00187953"/>
    <w:pPr>
      <w:pBdr>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218">
    <w:name w:val="xl218"/>
    <w:basedOn w:val="Normal"/>
    <w:rsid w:val="00187953"/>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219">
    <w:name w:val="xl219"/>
    <w:basedOn w:val="Normal"/>
    <w:rsid w:val="0018795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220">
    <w:name w:val="xl220"/>
    <w:basedOn w:val="Normal"/>
    <w:rsid w:val="0018795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221">
    <w:name w:val="xl221"/>
    <w:basedOn w:val="Normal"/>
    <w:rsid w:val="00187953"/>
    <w:pPr>
      <w:pBdr>
        <w:left w:val="single" w:sz="4"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eastAsia="ja-JP"/>
    </w:rPr>
  </w:style>
  <w:style w:type="paragraph" w:customStyle="1" w:styleId="xl222">
    <w:name w:val="xl222"/>
    <w:basedOn w:val="Normal"/>
    <w:rsid w:val="00187953"/>
    <w:pPr>
      <w:pBdr>
        <w:top w:val="single" w:sz="4" w:space="0" w:color="auto"/>
        <w:left w:val="single" w:sz="12" w:space="0" w:color="auto"/>
        <w:bottom w:val="single" w:sz="12" w:space="0" w:color="auto"/>
        <w:right w:val="single" w:sz="12" w:space="0" w:color="auto"/>
      </w:pBdr>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223">
    <w:name w:val="xl223"/>
    <w:basedOn w:val="Normal"/>
    <w:rsid w:val="00187953"/>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224">
    <w:name w:val="xl224"/>
    <w:basedOn w:val="Normal"/>
    <w:rsid w:val="00187953"/>
    <w:pPr>
      <w:pBdr>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225">
    <w:name w:val="xl225"/>
    <w:basedOn w:val="Normal"/>
    <w:rsid w:val="00187953"/>
    <w:pPr>
      <w:pBdr>
        <w:top w:val="single" w:sz="12" w:space="0" w:color="auto"/>
        <w:left w:val="single" w:sz="4" w:space="0" w:color="auto"/>
        <w:right w:val="single" w:sz="12"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20"/>
      <w:szCs w:val="20"/>
      <w:lang w:eastAsia="ja-JP"/>
    </w:rPr>
  </w:style>
  <w:style w:type="paragraph" w:customStyle="1" w:styleId="xl226">
    <w:name w:val="xl226"/>
    <w:basedOn w:val="Normal"/>
    <w:rsid w:val="00187953"/>
    <w:pPr>
      <w:pBdr>
        <w:left w:val="single" w:sz="4" w:space="0" w:color="auto"/>
        <w:bottom w:val="single" w:sz="12" w:space="0" w:color="auto"/>
        <w:right w:val="single" w:sz="12"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20"/>
      <w:szCs w:val="20"/>
      <w:lang w:eastAsia="ja-JP"/>
    </w:rPr>
  </w:style>
  <w:style w:type="paragraph" w:customStyle="1" w:styleId="xl227">
    <w:name w:val="xl227"/>
    <w:basedOn w:val="Normal"/>
    <w:rsid w:val="00187953"/>
    <w:pPr>
      <w:pBdr>
        <w:top w:val="single" w:sz="4" w:space="0" w:color="auto"/>
        <w:left w:val="single" w:sz="4" w:space="0" w:color="auto"/>
        <w:bottom w:val="single" w:sz="12" w:space="0" w:color="auto"/>
        <w:right w:val="single" w:sz="4"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20"/>
      <w:szCs w:val="20"/>
      <w:lang w:eastAsia="ja-JP"/>
    </w:rPr>
  </w:style>
  <w:style w:type="paragraph" w:customStyle="1" w:styleId="xl228">
    <w:name w:val="xl228"/>
    <w:basedOn w:val="Normal"/>
    <w:rsid w:val="00187953"/>
    <w:pPr>
      <w:pBdr>
        <w:top w:val="single" w:sz="12" w:space="0" w:color="auto"/>
        <w:left w:val="single" w:sz="4" w:space="0" w:color="auto"/>
        <w:bottom w:val="single" w:sz="4"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20"/>
      <w:szCs w:val="20"/>
      <w:lang w:eastAsia="ja-JP"/>
    </w:rPr>
  </w:style>
  <w:style w:type="paragraph" w:customStyle="1" w:styleId="xl229">
    <w:name w:val="xl229"/>
    <w:basedOn w:val="Normal"/>
    <w:rsid w:val="00187953"/>
    <w:pPr>
      <w:pBdr>
        <w:top w:val="single" w:sz="12" w:space="0" w:color="auto"/>
        <w:bottom w:val="single" w:sz="4"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20"/>
      <w:szCs w:val="20"/>
      <w:lang w:eastAsia="ja-JP"/>
    </w:rPr>
  </w:style>
  <w:style w:type="paragraph" w:customStyle="1" w:styleId="xl230">
    <w:name w:val="xl230"/>
    <w:basedOn w:val="Normal"/>
    <w:rsid w:val="00187953"/>
    <w:pPr>
      <w:pBdr>
        <w:top w:val="single" w:sz="12"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20"/>
      <w:szCs w:val="20"/>
      <w:lang w:eastAsia="ja-JP"/>
    </w:rPr>
  </w:style>
  <w:style w:type="paragraph" w:customStyle="1" w:styleId="xl231">
    <w:name w:val="xl231"/>
    <w:basedOn w:val="Normal"/>
    <w:rsid w:val="00187953"/>
    <w:pPr>
      <w:pBdr>
        <w:top w:val="single" w:sz="12"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20"/>
      <w:szCs w:val="20"/>
      <w:lang w:eastAsia="ja-JP"/>
    </w:rPr>
  </w:style>
  <w:style w:type="paragraph" w:customStyle="1" w:styleId="xl232">
    <w:name w:val="xl232"/>
    <w:basedOn w:val="Normal"/>
    <w:rsid w:val="00187953"/>
    <w:pPr>
      <w:pBdr>
        <w:left w:val="single" w:sz="4" w:space="0" w:color="auto"/>
        <w:bottom w:val="single" w:sz="12" w:space="0" w:color="auto"/>
        <w:right w:val="single" w:sz="4" w:space="0" w:color="auto"/>
      </w:pBdr>
      <w:shd w:val="clear" w:color="000000" w:fill="0070C0"/>
      <w:spacing w:before="100" w:beforeAutospacing="1" w:after="100" w:afterAutospacing="1" w:line="240" w:lineRule="auto"/>
      <w:jc w:val="center"/>
      <w:textAlignment w:val="center"/>
    </w:pPr>
    <w:rPr>
      <w:rFonts w:ascii="Verdana" w:eastAsia="Times New Roman" w:hAnsi="Verdana" w:cs="Times New Roman"/>
      <w:b/>
      <w:bCs/>
      <w:color w:val="FFFFFF"/>
      <w:sz w:val="20"/>
      <w:szCs w:val="20"/>
      <w:lang w:eastAsia="ja-JP"/>
    </w:rPr>
  </w:style>
  <w:style w:type="paragraph" w:customStyle="1" w:styleId="xl233">
    <w:name w:val="xl233"/>
    <w:basedOn w:val="Normal"/>
    <w:rsid w:val="00187953"/>
    <w:pPr>
      <w:pBdr>
        <w:left w:val="single" w:sz="12" w:space="0" w:color="auto"/>
        <w:right w:val="single" w:sz="12" w:space="0" w:color="auto"/>
      </w:pBdr>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234">
    <w:name w:val="xl234"/>
    <w:basedOn w:val="Normal"/>
    <w:rsid w:val="00187953"/>
    <w:pPr>
      <w:pBdr>
        <w:top w:val="single" w:sz="4" w:space="0" w:color="auto"/>
        <w:left w:val="single" w:sz="12" w:space="0" w:color="auto"/>
        <w:right w:val="single" w:sz="12" w:space="0" w:color="auto"/>
      </w:pBdr>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235">
    <w:name w:val="xl235"/>
    <w:basedOn w:val="Normal"/>
    <w:rsid w:val="00187953"/>
    <w:pPr>
      <w:pBdr>
        <w:left w:val="single" w:sz="12" w:space="0" w:color="auto"/>
        <w:bottom w:val="single" w:sz="4" w:space="0" w:color="auto"/>
        <w:right w:val="single" w:sz="12" w:space="0" w:color="auto"/>
      </w:pBdr>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236">
    <w:name w:val="xl236"/>
    <w:basedOn w:val="Normal"/>
    <w:rsid w:val="00187953"/>
    <w:pPr>
      <w:pBdr>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eastAsia="ja-JP"/>
    </w:rPr>
  </w:style>
  <w:style w:type="paragraph" w:customStyle="1" w:styleId="xl237">
    <w:name w:val="xl237"/>
    <w:basedOn w:val="Normal"/>
    <w:rsid w:val="00187953"/>
    <w:pPr>
      <w:pBdr>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lang w:eastAsia="ja-JP"/>
    </w:rPr>
  </w:style>
  <w:style w:type="paragraph" w:customStyle="1" w:styleId="xl238">
    <w:name w:val="xl238"/>
    <w:basedOn w:val="Normal"/>
    <w:rsid w:val="00187953"/>
    <w:pPr>
      <w:pBdr>
        <w:left w:val="single" w:sz="4"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ja-JP"/>
    </w:rPr>
  </w:style>
  <w:style w:type="paragraph" w:customStyle="1" w:styleId="xl239">
    <w:name w:val="xl239"/>
    <w:basedOn w:val="Normal"/>
    <w:rsid w:val="00187953"/>
    <w:pPr>
      <w:pBdr>
        <w:top w:val="single" w:sz="4" w:space="0" w:color="auto"/>
        <w:left w:val="single" w:sz="4" w:space="0" w:color="auto"/>
        <w:right w:val="single" w:sz="12" w:space="0" w:color="auto"/>
      </w:pBdr>
      <w:shd w:val="clear" w:color="000000" w:fill="92D050"/>
      <w:spacing w:before="100" w:beforeAutospacing="1" w:after="100" w:afterAutospacing="1" w:line="240" w:lineRule="auto"/>
      <w:jc w:val="center"/>
      <w:textAlignment w:val="center"/>
    </w:pPr>
    <w:rPr>
      <w:rFonts w:ascii="Verdana" w:eastAsia="Times New Roman" w:hAnsi="Verdana" w:cs="Times New Roman"/>
      <w:sz w:val="20"/>
      <w:szCs w:val="20"/>
      <w:lang w:eastAsia="ja-JP"/>
    </w:rPr>
  </w:style>
  <w:style w:type="paragraph" w:customStyle="1" w:styleId="xl240">
    <w:name w:val="xl240"/>
    <w:basedOn w:val="Normal"/>
    <w:rsid w:val="00187953"/>
    <w:pPr>
      <w:pBdr>
        <w:top w:val="single" w:sz="12" w:space="0" w:color="auto"/>
        <w:left w:val="single" w:sz="12"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241">
    <w:name w:val="xl241"/>
    <w:basedOn w:val="Normal"/>
    <w:rsid w:val="00187953"/>
    <w:pPr>
      <w:pBdr>
        <w:top w:val="single" w:sz="12" w:space="0" w:color="auto"/>
        <w:right w:val="single" w:sz="12"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242">
    <w:name w:val="xl242"/>
    <w:basedOn w:val="Normal"/>
    <w:rsid w:val="00187953"/>
    <w:pPr>
      <w:pBdr>
        <w:left w:val="single" w:sz="12"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243">
    <w:name w:val="xl243"/>
    <w:basedOn w:val="Normal"/>
    <w:rsid w:val="00187953"/>
    <w:pPr>
      <w:pBdr>
        <w:right w:val="single" w:sz="12"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244">
    <w:name w:val="xl244"/>
    <w:basedOn w:val="Normal"/>
    <w:rsid w:val="00187953"/>
    <w:pPr>
      <w:pBdr>
        <w:left w:val="single" w:sz="12" w:space="0" w:color="auto"/>
        <w:bottom w:val="single" w:sz="12"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245">
    <w:name w:val="xl245"/>
    <w:basedOn w:val="Normal"/>
    <w:rsid w:val="00187953"/>
    <w:pPr>
      <w:pBdr>
        <w:bottom w:val="single" w:sz="12" w:space="0" w:color="auto"/>
        <w:right w:val="single" w:sz="12"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246">
    <w:name w:val="xl246"/>
    <w:basedOn w:val="Normal"/>
    <w:rsid w:val="00187953"/>
    <w:pPr>
      <w:pBdr>
        <w:top w:val="single" w:sz="12" w:space="0" w:color="auto"/>
        <w:left w:val="single" w:sz="12" w:space="0" w:color="auto"/>
        <w:right w:val="single" w:sz="12" w:space="0" w:color="auto"/>
      </w:pBdr>
      <w:spacing w:before="100" w:beforeAutospacing="1" w:after="100" w:afterAutospacing="1" w:line="240" w:lineRule="auto"/>
      <w:textAlignment w:val="center"/>
    </w:pPr>
    <w:rPr>
      <w:rFonts w:ascii="Verdana" w:eastAsia="Times New Roman" w:hAnsi="Verdana" w:cs="Times New Roman"/>
      <w:b/>
      <w:bCs/>
      <w:sz w:val="24"/>
      <w:szCs w:val="24"/>
      <w:lang w:eastAsia="ja-JP"/>
    </w:rPr>
  </w:style>
  <w:style w:type="paragraph" w:customStyle="1" w:styleId="xl247">
    <w:name w:val="xl247"/>
    <w:basedOn w:val="Normal"/>
    <w:rsid w:val="00187953"/>
    <w:pPr>
      <w:pBdr>
        <w:left w:val="single" w:sz="12" w:space="0" w:color="auto"/>
        <w:right w:val="single" w:sz="12" w:space="0" w:color="auto"/>
      </w:pBdr>
      <w:spacing w:before="100" w:beforeAutospacing="1" w:after="100" w:afterAutospacing="1" w:line="240" w:lineRule="auto"/>
      <w:textAlignment w:val="center"/>
    </w:pPr>
    <w:rPr>
      <w:rFonts w:ascii="Verdana" w:eastAsia="Times New Roman" w:hAnsi="Verdana" w:cs="Times New Roman"/>
      <w:b/>
      <w:bCs/>
      <w:sz w:val="24"/>
      <w:szCs w:val="24"/>
      <w:lang w:eastAsia="ja-JP"/>
    </w:rPr>
  </w:style>
  <w:style w:type="paragraph" w:customStyle="1" w:styleId="xl248">
    <w:name w:val="xl248"/>
    <w:basedOn w:val="Normal"/>
    <w:rsid w:val="00187953"/>
    <w:pPr>
      <w:pBdr>
        <w:left w:val="single" w:sz="12" w:space="0" w:color="auto"/>
        <w:bottom w:val="single" w:sz="12" w:space="0" w:color="auto"/>
        <w:right w:val="single" w:sz="12" w:space="0" w:color="auto"/>
      </w:pBdr>
      <w:spacing w:before="100" w:beforeAutospacing="1" w:after="100" w:afterAutospacing="1" w:line="240" w:lineRule="auto"/>
      <w:textAlignment w:val="center"/>
    </w:pPr>
    <w:rPr>
      <w:rFonts w:ascii="Verdana" w:eastAsia="Times New Roman" w:hAnsi="Verdana" w:cs="Times New Roman"/>
      <w:b/>
      <w:bCs/>
      <w:sz w:val="24"/>
      <w:szCs w:val="24"/>
      <w:lang w:eastAsia="ja-JP"/>
    </w:rPr>
  </w:style>
  <w:style w:type="paragraph" w:customStyle="1" w:styleId="xl249">
    <w:name w:val="xl249"/>
    <w:basedOn w:val="Normal"/>
    <w:rsid w:val="00187953"/>
    <w:pPr>
      <w:pBdr>
        <w:top w:val="single" w:sz="4" w:space="0" w:color="auto"/>
        <w:left w:val="single" w:sz="12" w:space="0" w:color="auto"/>
        <w:right w:val="single" w:sz="12" w:space="0" w:color="auto"/>
      </w:pBdr>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250">
    <w:name w:val="xl250"/>
    <w:basedOn w:val="Normal"/>
    <w:rsid w:val="00187953"/>
    <w:pPr>
      <w:pBdr>
        <w:left w:val="single" w:sz="12" w:space="0" w:color="auto"/>
        <w:right w:val="single" w:sz="12" w:space="0" w:color="auto"/>
      </w:pBdr>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251">
    <w:name w:val="xl251"/>
    <w:basedOn w:val="Normal"/>
    <w:rsid w:val="00187953"/>
    <w:pPr>
      <w:pBdr>
        <w:left w:val="single" w:sz="12" w:space="0" w:color="auto"/>
        <w:bottom w:val="single" w:sz="4" w:space="0" w:color="auto"/>
        <w:right w:val="single" w:sz="12" w:space="0" w:color="auto"/>
      </w:pBdr>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252">
    <w:name w:val="xl252"/>
    <w:basedOn w:val="Normal"/>
    <w:rsid w:val="00187953"/>
    <w:pPr>
      <w:pBdr>
        <w:left w:val="single" w:sz="12" w:space="0" w:color="auto"/>
        <w:bottom w:val="single" w:sz="12" w:space="0" w:color="auto"/>
        <w:right w:val="single" w:sz="12" w:space="0" w:color="auto"/>
      </w:pBdr>
      <w:shd w:val="clear" w:color="000000" w:fill="FFFFFF"/>
      <w:spacing w:before="100" w:beforeAutospacing="1" w:after="100" w:afterAutospacing="1" w:line="240" w:lineRule="auto"/>
      <w:textAlignment w:val="center"/>
    </w:pPr>
    <w:rPr>
      <w:rFonts w:ascii="Verdana" w:eastAsia="Times New Roman" w:hAnsi="Verdana" w:cs="Times New Roman"/>
      <w:b/>
      <w:bCs/>
      <w:sz w:val="24"/>
      <w:szCs w:val="24"/>
      <w:lang w:eastAsia="ja-JP"/>
    </w:rPr>
  </w:style>
  <w:style w:type="paragraph" w:customStyle="1" w:styleId="xl253">
    <w:name w:val="xl253"/>
    <w:basedOn w:val="Normal"/>
    <w:rsid w:val="00187953"/>
    <w:pPr>
      <w:pBdr>
        <w:top w:val="single" w:sz="12" w:space="0" w:color="auto"/>
        <w:left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16"/>
      <w:szCs w:val="16"/>
      <w:lang w:eastAsia="ja-JP"/>
    </w:rPr>
  </w:style>
  <w:style w:type="paragraph" w:customStyle="1" w:styleId="xl254">
    <w:name w:val="xl254"/>
    <w:basedOn w:val="Normal"/>
    <w:rsid w:val="00187953"/>
    <w:pPr>
      <w:pBdr>
        <w:left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16"/>
      <w:szCs w:val="16"/>
      <w:lang w:eastAsia="ja-JP"/>
    </w:rPr>
  </w:style>
  <w:style w:type="paragraph" w:customStyle="1" w:styleId="xl255">
    <w:name w:val="xl255"/>
    <w:basedOn w:val="Normal"/>
    <w:rsid w:val="00187953"/>
    <w:pPr>
      <w:pBdr>
        <w:left w:val="single" w:sz="12"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16"/>
      <w:szCs w:val="16"/>
      <w:lang w:eastAsia="ja-JP"/>
    </w:rPr>
  </w:style>
  <w:style w:type="paragraph" w:customStyle="1" w:styleId="xl256">
    <w:name w:val="xl256"/>
    <w:basedOn w:val="Normal"/>
    <w:rsid w:val="00187953"/>
    <w:pPr>
      <w:pBdr>
        <w:top w:val="single" w:sz="12" w:space="0" w:color="auto"/>
        <w:left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24"/>
      <w:szCs w:val="24"/>
      <w:lang w:eastAsia="ja-JP"/>
    </w:rPr>
  </w:style>
  <w:style w:type="paragraph" w:customStyle="1" w:styleId="xl257">
    <w:name w:val="xl257"/>
    <w:basedOn w:val="Normal"/>
    <w:rsid w:val="00187953"/>
    <w:pPr>
      <w:pBdr>
        <w:left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24"/>
      <w:szCs w:val="24"/>
      <w:lang w:eastAsia="ja-JP"/>
    </w:rPr>
  </w:style>
  <w:style w:type="paragraph" w:customStyle="1" w:styleId="xl258">
    <w:name w:val="xl258"/>
    <w:basedOn w:val="Normal"/>
    <w:rsid w:val="00187953"/>
    <w:pPr>
      <w:pBdr>
        <w:left w:val="single" w:sz="12"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24"/>
      <w:szCs w:val="24"/>
      <w:lang w:eastAsia="ja-JP"/>
    </w:rPr>
  </w:style>
  <w:style w:type="paragraph" w:customStyle="1" w:styleId="xl259">
    <w:name w:val="xl259"/>
    <w:basedOn w:val="Normal"/>
    <w:rsid w:val="00187953"/>
    <w:pPr>
      <w:pBdr>
        <w:top w:val="single" w:sz="12" w:space="0" w:color="auto"/>
        <w:right w:val="single" w:sz="12" w:space="0" w:color="auto"/>
      </w:pBdr>
      <w:shd w:val="clear" w:color="000000" w:fill="FFFFFF"/>
      <w:spacing w:before="100" w:beforeAutospacing="1" w:after="100" w:afterAutospacing="1" w:line="240" w:lineRule="auto"/>
      <w:textAlignment w:val="center"/>
    </w:pPr>
    <w:rPr>
      <w:rFonts w:ascii="Verdana" w:eastAsia="Times New Roman" w:hAnsi="Verdana" w:cs="Times New Roman"/>
      <w:b/>
      <w:bCs/>
      <w:sz w:val="24"/>
      <w:szCs w:val="24"/>
      <w:lang w:eastAsia="ja-JP"/>
    </w:rPr>
  </w:style>
  <w:style w:type="paragraph" w:customStyle="1" w:styleId="xl260">
    <w:name w:val="xl260"/>
    <w:basedOn w:val="Normal"/>
    <w:rsid w:val="00187953"/>
    <w:pPr>
      <w:pBdr>
        <w:right w:val="single" w:sz="12" w:space="0" w:color="auto"/>
      </w:pBdr>
      <w:shd w:val="clear" w:color="000000" w:fill="FFFFFF"/>
      <w:spacing w:before="100" w:beforeAutospacing="1" w:after="100" w:afterAutospacing="1" w:line="240" w:lineRule="auto"/>
      <w:textAlignment w:val="center"/>
    </w:pPr>
    <w:rPr>
      <w:rFonts w:ascii="Verdana" w:eastAsia="Times New Roman" w:hAnsi="Verdana" w:cs="Times New Roman"/>
      <w:b/>
      <w:bCs/>
      <w:sz w:val="24"/>
      <w:szCs w:val="24"/>
      <w:lang w:eastAsia="ja-JP"/>
    </w:rPr>
  </w:style>
  <w:style w:type="paragraph" w:customStyle="1" w:styleId="xl261">
    <w:name w:val="xl261"/>
    <w:basedOn w:val="Normal"/>
    <w:rsid w:val="00187953"/>
    <w:pPr>
      <w:pBdr>
        <w:bottom w:val="single" w:sz="12" w:space="0" w:color="auto"/>
        <w:right w:val="single" w:sz="12" w:space="0" w:color="auto"/>
      </w:pBdr>
      <w:shd w:val="clear" w:color="000000" w:fill="FFFFFF"/>
      <w:spacing w:before="100" w:beforeAutospacing="1" w:after="100" w:afterAutospacing="1" w:line="240" w:lineRule="auto"/>
      <w:textAlignment w:val="center"/>
    </w:pPr>
    <w:rPr>
      <w:rFonts w:ascii="Verdana" w:eastAsia="Times New Roman" w:hAnsi="Verdana" w:cs="Times New Roman"/>
      <w:b/>
      <w:bCs/>
      <w:sz w:val="24"/>
      <w:szCs w:val="24"/>
      <w:lang w:eastAsia="ja-JP"/>
    </w:rPr>
  </w:style>
  <w:style w:type="paragraph" w:customStyle="1" w:styleId="xl262">
    <w:name w:val="xl262"/>
    <w:basedOn w:val="Normal"/>
    <w:rsid w:val="00187953"/>
    <w:pPr>
      <w:pBdr>
        <w:top w:val="single" w:sz="4" w:space="0" w:color="auto"/>
        <w:left w:val="single" w:sz="12" w:space="0" w:color="auto"/>
        <w:right w:val="single" w:sz="12" w:space="0" w:color="auto"/>
      </w:pBdr>
      <w:shd w:val="clear" w:color="000000" w:fill="FFFF00"/>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263">
    <w:name w:val="xl263"/>
    <w:basedOn w:val="Normal"/>
    <w:rsid w:val="00187953"/>
    <w:pPr>
      <w:pBdr>
        <w:left w:val="single" w:sz="12" w:space="0" w:color="auto"/>
        <w:bottom w:val="single" w:sz="4" w:space="0" w:color="auto"/>
        <w:right w:val="single" w:sz="12" w:space="0" w:color="auto"/>
      </w:pBdr>
      <w:shd w:val="clear" w:color="000000" w:fill="FFFF00"/>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264">
    <w:name w:val="xl264"/>
    <w:basedOn w:val="Normal"/>
    <w:rsid w:val="00187953"/>
    <w:pPr>
      <w:pBdr>
        <w:left w:val="single" w:sz="12" w:space="0" w:color="auto"/>
        <w:bottom w:val="single" w:sz="12" w:space="0" w:color="auto"/>
        <w:right w:val="single" w:sz="12" w:space="0" w:color="auto"/>
      </w:pBdr>
      <w:spacing w:before="100" w:beforeAutospacing="1" w:after="100" w:afterAutospacing="1" w:line="240" w:lineRule="auto"/>
      <w:textAlignment w:val="center"/>
    </w:pPr>
    <w:rPr>
      <w:rFonts w:ascii="Verdana" w:eastAsia="Times New Roman" w:hAnsi="Verdana" w:cs="Times New Roman"/>
      <w:sz w:val="20"/>
      <w:szCs w:val="20"/>
      <w:lang w:eastAsia="ja-JP"/>
    </w:rPr>
  </w:style>
  <w:style w:type="paragraph" w:customStyle="1" w:styleId="xl265">
    <w:name w:val="xl265"/>
    <w:basedOn w:val="Normal"/>
    <w:rsid w:val="00187953"/>
    <w:pPr>
      <w:pBdr>
        <w:top w:val="single" w:sz="12" w:space="0" w:color="auto"/>
        <w:left w:val="single" w:sz="12" w:space="0" w:color="auto"/>
        <w:right w:val="single" w:sz="12" w:space="0" w:color="auto"/>
      </w:pBdr>
      <w:spacing w:before="100" w:beforeAutospacing="1" w:after="100" w:afterAutospacing="1" w:line="240" w:lineRule="auto"/>
      <w:textAlignment w:val="center"/>
    </w:pPr>
    <w:rPr>
      <w:rFonts w:ascii="Verdana" w:eastAsia="Times New Roman" w:hAnsi="Verdana" w:cs="Times New Roman"/>
      <w:sz w:val="20"/>
      <w:szCs w:val="20"/>
      <w:lang w:eastAsia="ja-JP"/>
    </w:rPr>
  </w:style>
  <w:style w:type="character" w:customStyle="1" w:styleId="Heading5Char">
    <w:name w:val="Heading 5 Char"/>
    <w:basedOn w:val="DefaultParagraphFont"/>
    <w:link w:val="Heading5"/>
    <w:uiPriority w:val="9"/>
    <w:rsid w:val="0016798B"/>
    <w:rPr>
      <w:rFonts w:asciiTheme="majorHAnsi" w:eastAsiaTheme="majorEastAsia" w:hAnsiTheme="majorHAnsi" w:cstheme="majorBidi"/>
      <w:color w:val="2F5496" w:themeColor="accent1" w:themeShade="BF"/>
      <w:sz w:val="22"/>
      <w:szCs w:val="22"/>
    </w:rPr>
  </w:style>
  <w:style w:type="paragraph" w:customStyle="1" w:styleId="m8286451769521492816msolistparagraph">
    <w:name w:val="m_8286451769521492816msolistparagraph"/>
    <w:basedOn w:val="Normal"/>
    <w:rsid w:val="00EA3D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8F6BEE"/>
    <w:rPr>
      <w:rFonts w:ascii="Verdana" w:eastAsiaTheme="majorEastAsia" w:hAnsi="Verdana" w:cstheme="majorBidi"/>
      <w:b/>
      <w:color w:val="000000" w:themeColor="text1"/>
      <w:sz w:val="20"/>
    </w:rPr>
  </w:style>
  <w:style w:type="character" w:styleId="Emphasis">
    <w:name w:val="Emphasis"/>
    <w:basedOn w:val="DefaultParagraphFont"/>
    <w:uiPriority w:val="20"/>
    <w:qFormat/>
    <w:rsid w:val="00B50161"/>
    <w:rPr>
      <w:i/>
      <w:iCs/>
    </w:rPr>
  </w:style>
  <w:style w:type="numbering" w:customStyle="1" w:styleId="NoList11">
    <w:name w:val="No List11"/>
    <w:next w:val="NoList"/>
    <w:uiPriority w:val="99"/>
    <w:semiHidden/>
    <w:unhideWhenUsed/>
    <w:rsid w:val="00A04148"/>
  </w:style>
  <w:style w:type="table" w:customStyle="1" w:styleId="TableGrid0">
    <w:name w:val="TableGrid"/>
    <w:rsid w:val="00F9690A"/>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7808">
      <w:bodyDiv w:val="1"/>
      <w:marLeft w:val="0"/>
      <w:marRight w:val="0"/>
      <w:marTop w:val="0"/>
      <w:marBottom w:val="0"/>
      <w:divBdr>
        <w:top w:val="none" w:sz="0" w:space="0" w:color="auto"/>
        <w:left w:val="none" w:sz="0" w:space="0" w:color="auto"/>
        <w:bottom w:val="none" w:sz="0" w:space="0" w:color="auto"/>
        <w:right w:val="none" w:sz="0" w:space="0" w:color="auto"/>
      </w:divBdr>
    </w:div>
    <w:div w:id="28340229">
      <w:bodyDiv w:val="1"/>
      <w:marLeft w:val="0"/>
      <w:marRight w:val="0"/>
      <w:marTop w:val="0"/>
      <w:marBottom w:val="0"/>
      <w:divBdr>
        <w:top w:val="none" w:sz="0" w:space="0" w:color="auto"/>
        <w:left w:val="none" w:sz="0" w:space="0" w:color="auto"/>
        <w:bottom w:val="none" w:sz="0" w:space="0" w:color="auto"/>
        <w:right w:val="none" w:sz="0" w:space="0" w:color="auto"/>
      </w:divBdr>
      <w:divsChild>
        <w:div w:id="609167770">
          <w:marLeft w:val="1080"/>
          <w:marRight w:val="0"/>
          <w:marTop w:val="100"/>
          <w:marBottom w:val="0"/>
          <w:divBdr>
            <w:top w:val="none" w:sz="0" w:space="0" w:color="auto"/>
            <w:left w:val="none" w:sz="0" w:space="0" w:color="auto"/>
            <w:bottom w:val="none" w:sz="0" w:space="0" w:color="auto"/>
            <w:right w:val="none" w:sz="0" w:space="0" w:color="auto"/>
          </w:divBdr>
        </w:div>
        <w:div w:id="726417532">
          <w:marLeft w:val="1080"/>
          <w:marRight w:val="0"/>
          <w:marTop w:val="100"/>
          <w:marBottom w:val="0"/>
          <w:divBdr>
            <w:top w:val="none" w:sz="0" w:space="0" w:color="auto"/>
            <w:left w:val="none" w:sz="0" w:space="0" w:color="auto"/>
            <w:bottom w:val="none" w:sz="0" w:space="0" w:color="auto"/>
            <w:right w:val="none" w:sz="0" w:space="0" w:color="auto"/>
          </w:divBdr>
        </w:div>
        <w:div w:id="950434455">
          <w:marLeft w:val="1080"/>
          <w:marRight w:val="0"/>
          <w:marTop w:val="100"/>
          <w:marBottom w:val="0"/>
          <w:divBdr>
            <w:top w:val="none" w:sz="0" w:space="0" w:color="auto"/>
            <w:left w:val="none" w:sz="0" w:space="0" w:color="auto"/>
            <w:bottom w:val="none" w:sz="0" w:space="0" w:color="auto"/>
            <w:right w:val="none" w:sz="0" w:space="0" w:color="auto"/>
          </w:divBdr>
        </w:div>
        <w:div w:id="1129931276">
          <w:marLeft w:val="1080"/>
          <w:marRight w:val="0"/>
          <w:marTop w:val="100"/>
          <w:marBottom w:val="0"/>
          <w:divBdr>
            <w:top w:val="none" w:sz="0" w:space="0" w:color="auto"/>
            <w:left w:val="none" w:sz="0" w:space="0" w:color="auto"/>
            <w:bottom w:val="none" w:sz="0" w:space="0" w:color="auto"/>
            <w:right w:val="none" w:sz="0" w:space="0" w:color="auto"/>
          </w:divBdr>
        </w:div>
        <w:div w:id="1166095108">
          <w:marLeft w:val="1080"/>
          <w:marRight w:val="0"/>
          <w:marTop w:val="100"/>
          <w:marBottom w:val="0"/>
          <w:divBdr>
            <w:top w:val="none" w:sz="0" w:space="0" w:color="auto"/>
            <w:left w:val="none" w:sz="0" w:space="0" w:color="auto"/>
            <w:bottom w:val="none" w:sz="0" w:space="0" w:color="auto"/>
            <w:right w:val="none" w:sz="0" w:space="0" w:color="auto"/>
          </w:divBdr>
        </w:div>
        <w:div w:id="1635407193">
          <w:marLeft w:val="1080"/>
          <w:marRight w:val="0"/>
          <w:marTop w:val="100"/>
          <w:marBottom w:val="0"/>
          <w:divBdr>
            <w:top w:val="none" w:sz="0" w:space="0" w:color="auto"/>
            <w:left w:val="none" w:sz="0" w:space="0" w:color="auto"/>
            <w:bottom w:val="none" w:sz="0" w:space="0" w:color="auto"/>
            <w:right w:val="none" w:sz="0" w:space="0" w:color="auto"/>
          </w:divBdr>
        </w:div>
        <w:div w:id="1670792424">
          <w:marLeft w:val="1080"/>
          <w:marRight w:val="0"/>
          <w:marTop w:val="100"/>
          <w:marBottom w:val="0"/>
          <w:divBdr>
            <w:top w:val="none" w:sz="0" w:space="0" w:color="auto"/>
            <w:left w:val="none" w:sz="0" w:space="0" w:color="auto"/>
            <w:bottom w:val="none" w:sz="0" w:space="0" w:color="auto"/>
            <w:right w:val="none" w:sz="0" w:space="0" w:color="auto"/>
          </w:divBdr>
        </w:div>
        <w:div w:id="2109109963">
          <w:marLeft w:val="1080"/>
          <w:marRight w:val="0"/>
          <w:marTop w:val="100"/>
          <w:marBottom w:val="0"/>
          <w:divBdr>
            <w:top w:val="none" w:sz="0" w:space="0" w:color="auto"/>
            <w:left w:val="none" w:sz="0" w:space="0" w:color="auto"/>
            <w:bottom w:val="none" w:sz="0" w:space="0" w:color="auto"/>
            <w:right w:val="none" w:sz="0" w:space="0" w:color="auto"/>
          </w:divBdr>
        </w:div>
      </w:divsChild>
    </w:div>
    <w:div w:id="47068736">
      <w:bodyDiv w:val="1"/>
      <w:marLeft w:val="0"/>
      <w:marRight w:val="0"/>
      <w:marTop w:val="0"/>
      <w:marBottom w:val="0"/>
      <w:divBdr>
        <w:top w:val="none" w:sz="0" w:space="0" w:color="auto"/>
        <w:left w:val="none" w:sz="0" w:space="0" w:color="auto"/>
        <w:bottom w:val="none" w:sz="0" w:space="0" w:color="auto"/>
        <w:right w:val="none" w:sz="0" w:space="0" w:color="auto"/>
      </w:divBdr>
    </w:div>
    <w:div w:id="58673558">
      <w:bodyDiv w:val="1"/>
      <w:marLeft w:val="0"/>
      <w:marRight w:val="0"/>
      <w:marTop w:val="0"/>
      <w:marBottom w:val="0"/>
      <w:divBdr>
        <w:top w:val="none" w:sz="0" w:space="0" w:color="auto"/>
        <w:left w:val="none" w:sz="0" w:space="0" w:color="auto"/>
        <w:bottom w:val="none" w:sz="0" w:space="0" w:color="auto"/>
        <w:right w:val="none" w:sz="0" w:space="0" w:color="auto"/>
      </w:divBdr>
    </w:div>
    <w:div w:id="85349550">
      <w:bodyDiv w:val="1"/>
      <w:marLeft w:val="0"/>
      <w:marRight w:val="0"/>
      <w:marTop w:val="0"/>
      <w:marBottom w:val="0"/>
      <w:divBdr>
        <w:top w:val="none" w:sz="0" w:space="0" w:color="auto"/>
        <w:left w:val="none" w:sz="0" w:space="0" w:color="auto"/>
        <w:bottom w:val="none" w:sz="0" w:space="0" w:color="auto"/>
        <w:right w:val="none" w:sz="0" w:space="0" w:color="auto"/>
      </w:divBdr>
      <w:divsChild>
        <w:div w:id="396900296">
          <w:marLeft w:val="1080"/>
          <w:marRight w:val="0"/>
          <w:marTop w:val="100"/>
          <w:marBottom w:val="0"/>
          <w:divBdr>
            <w:top w:val="none" w:sz="0" w:space="0" w:color="auto"/>
            <w:left w:val="none" w:sz="0" w:space="0" w:color="auto"/>
            <w:bottom w:val="none" w:sz="0" w:space="0" w:color="auto"/>
            <w:right w:val="none" w:sz="0" w:space="0" w:color="auto"/>
          </w:divBdr>
        </w:div>
        <w:div w:id="1344674327">
          <w:marLeft w:val="1080"/>
          <w:marRight w:val="0"/>
          <w:marTop w:val="100"/>
          <w:marBottom w:val="0"/>
          <w:divBdr>
            <w:top w:val="none" w:sz="0" w:space="0" w:color="auto"/>
            <w:left w:val="none" w:sz="0" w:space="0" w:color="auto"/>
            <w:bottom w:val="none" w:sz="0" w:space="0" w:color="auto"/>
            <w:right w:val="none" w:sz="0" w:space="0" w:color="auto"/>
          </w:divBdr>
        </w:div>
      </w:divsChild>
    </w:div>
    <w:div w:id="103040711">
      <w:bodyDiv w:val="1"/>
      <w:marLeft w:val="0"/>
      <w:marRight w:val="0"/>
      <w:marTop w:val="0"/>
      <w:marBottom w:val="0"/>
      <w:divBdr>
        <w:top w:val="none" w:sz="0" w:space="0" w:color="auto"/>
        <w:left w:val="none" w:sz="0" w:space="0" w:color="auto"/>
        <w:bottom w:val="none" w:sz="0" w:space="0" w:color="auto"/>
        <w:right w:val="none" w:sz="0" w:space="0" w:color="auto"/>
      </w:divBdr>
    </w:div>
    <w:div w:id="105004417">
      <w:bodyDiv w:val="1"/>
      <w:marLeft w:val="0"/>
      <w:marRight w:val="0"/>
      <w:marTop w:val="0"/>
      <w:marBottom w:val="0"/>
      <w:divBdr>
        <w:top w:val="none" w:sz="0" w:space="0" w:color="auto"/>
        <w:left w:val="none" w:sz="0" w:space="0" w:color="auto"/>
        <w:bottom w:val="none" w:sz="0" w:space="0" w:color="auto"/>
        <w:right w:val="none" w:sz="0" w:space="0" w:color="auto"/>
      </w:divBdr>
    </w:div>
    <w:div w:id="114301744">
      <w:bodyDiv w:val="1"/>
      <w:marLeft w:val="0"/>
      <w:marRight w:val="0"/>
      <w:marTop w:val="0"/>
      <w:marBottom w:val="0"/>
      <w:divBdr>
        <w:top w:val="none" w:sz="0" w:space="0" w:color="auto"/>
        <w:left w:val="none" w:sz="0" w:space="0" w:color="auto"/>
        <w:bottom w:val="none" w:sz="0" w:space="0" w:color="auto"/>
        <w:right w:val="none" w:sz="0" w:space="0" w:color="auto"/>
      </w:divBdr>
    </w:div>
    <w:div w:id="133642004">
      <w:bodyDiv w:val="1"/>
      <w:marLeft w:val="0"/>
      <w:marRight w:val="0"/>
      <w:marTop w:val="0"/>
      <w:marBottom w:val="0"/>
      <w:divBdr>
        <w:top w:val="none" w:sz="0" w:space="0" w:color="auto"/>
        <w:left w:val="none" w:sz="0" w:space="0" w:color="auto"/>
        <w:bottom w:val="none" w:sz="0" w:space="0" w:color="auto"/>
        <w:right w:val="none" w:sz="0" w:space="0" w:color="auto"/>
      </w:divBdr>
    </w:div>
    <w:div w:id="136462581">
      <w:bodyDiv w:val="1"/>
      <w:marLeft w:val="0"/>
      <w:marRight w:val="0"/>
      <w:marTop w:val="0"/>
      <w:marBottom w:val="0"/>
      <w:divBdr>
        <w:top w:val="none" w:sz="0" w:space="0" w:color="auto"/>
        <w:left w:val="none" w:sz="0" w:space="0" w:color="auto"/>
        <w:bottom w:val="none" w:sz="0" w:space="0" w:color="auto"/>
        <w:right w:val="none" w:sz="0" w:space="0" w:color="auto"/>
      </w:divBdr>
    </w:div>
    <w:div w:id="147747303">
      <w:bodyDiv w:val="1"/>
      <w:marLeft w:val="0"/>
      <w:marRight w:val="0"/>
      <w:marTop w:val="0"/>
      <w:marBottom w:val="0"/>
      <w:divBdr>
        <w:top w:val="none" w:sz="0" w:space="0" w:color="auto"/>
        <w:left w:val="none" w:sz="0" w:space="0" w:color="auto"/>
        <w:bottom w:val="none" w:sz="0" w:space="0" w:color="auto"/>
        <w:right w:val="none" w:sz="0" w:space="0" w:color="auto"/>
      </w:divBdr>
    </w:div>
    <w:div w:id="180557537">
      <w:bodyDiv w:val="1"/>
      <w:marLeft w:val="0"/>
      <w:marRight w:val="0"/>
      <w:marTop w:val="0"/>
      <w:marBottom w:val="0"/>
      <w:divBdr>
        <w:top w:val="none" w:sz="0" w:space="0" w:color="auto"/>
        <w:left w:val="none" w:sz="0" w:space="0" w:color="auto"/>
        <w:bottom w:val="none" w:sz="0" w:space="0" w:color="auto"/>
        <w:right w:val="none" w:sz="0" w:space="0" w:color="auto"/>
      </w:divBdr>
    </w:div>
    <w:div w:id="189076795">
      <w:bodyDiv w:val="1"/>
      <w:marLeft w:val="0"/>
      <w:marRight w:val="0"/>
      <w:marTop w:val="0"/>
      <w:marBottom w:val="0"/>
      <w:divBdr>
        <w:top w:val="none" w:sz="0" w:space="0" w:color="auto"/>
        <w:left w:val="none" w:sz="0" w:space="0" w:color="auto"/>
        <w:bottom w:val="none" w:sz="0" w:space="0" w:color="auto"/>
        <w:right w:val="none" w:sz="0" w:space="0" w:color="auto"/>
      </w:divBdr>
    </w:div>
    <w:div w:id="202404566">
      <w:bodyDiv w:val="1"/>
      <w:marLeft w:val="0"/>
      <w:marRight w:val="0"/>
      <w:marTop w:val="0"/>
      <w:marBottom w:val="0"/>
      <w:divBdr>
        <w:top w:val="none" w:sz="0" w:space="0" w:color="auto"/>
        <w:left w:val="none" w:sz="0" w:space="0" w:color="auto"/>
        <w:bottom w:val="none" w:sz="0" w:space="0" w:color="auto"/>
        <w:right w:val="none" w:sz="0" w:space="0" w:color="auto"/>
      </w:divBdr>
    </w:div>
    <w:div w:id="207954762">
      <w:bodyDiv w:val="1"/>
      <w:marLeft w:val="0"/>
      <w:marRight w:val="0"/>
      <w:marTop w:val="0"/>
      <w:marBottom w:val="0"/>
      <w:divBdr>
        <w:top w:val="none" w:sz="0" w:space="0" w:color="auto"/>
        <w:left w:val="none" w:sz="0" w:space="0" w:color="auto"/>
        <w:bottom w:val="none" w:sz="0" w:space="0" w:color="auto"/>
        <w:right w:val="none" w:sz="0" w:space="0" w:color="auto"/>
      </w:divBdr>
    </w:div>
    <w:div w:id="209658733">
      <w:bodyDiv w:val="1"/>
      <w:marLeft w:val="0"/>
      <w:marRight w:val="0"/>
      <w:marTop w:val="0"/>
      <w:marBottom w:val="0"/>
      <w:divBdr>
        <w:top w:val="none" w:sz="0" w:space="0" w:color="auto"/>
        <w:left w:val="none" w:sz="0" w:space="0" w:color="auto"/>
        <w:bottom w:val="none" w:sz="0" w:space="0" w:color="auto"/>
        <w:right w:val="none" w:sz="0" w:space="0" w:color="auto"/>
      </w:divBdr>
    </w:div>
    <w:div w:id="241375382">
      <w:bodyDiv w:val="1"/>
      <w:marLeft w:val="0"/>
      <w:marRight w:val="0"/>
      <w:marTop w:val="0"/>
      <w:marBottom w:val="0"/>
      <w:divBdr>
        <w:top w:val="none" w:sz="0" w:space="0" w:color="auto"/>
        <w:left w:val="none" w:sz="0" w:space="0" w:color="auto"/>
        <w:bottom w:val="none" w:sz="0" w:space="0" w:color="auto"/>
        <w:right w:val="none" w:sz="0" w:space="0" w:color="auto"/>
      </w:divBdr>
    </w:div>
    <w:div w:id="265044075">
      <w:bodyDiv w:val="1"/>
      <w:marLeft w:val="0"/>
      <w:marRight w:val="0"/>
      <w:marTop w:val="0"/>
      <w:marBottom w:val="0"/>
      <w:divBdr>
        <w:top w:val="none" w:sz="0" w:space="0" w:color="auto"/>
        <w:left w:val="none" w:sz="0" w:space="0" w:color="auto"/>
        <w:bottom w:val="none" w:sz="0" w:space="0" w:color="auto"/>
        <w:right w:val="none" w:sz="0" w:space="0" w:color="auto"/>
      </w:divBdr>
    </w:div>
    <w:div w:id="265968783">
      <w:bodyDiv w:val="1"/>
      <w:marLeft w:val="0"/>
      <w:marRight w:val="0"/>
      <w:marTop w:val="0"/>
      <w:marBottom w:val="0"/>
      <w:divBdr>
        <w:top w:val="none" w:sz="0" w:space="0" w:color="auto"/>
        <w:left w:val="none" w:sz="0" w:space="0" w:color="auto"/>
        <w:bottom w:val="none" w:sz="0" w:space="0" w:color="auto"/>
        <w:right w:val="none" w:sz="0" w:space="0" w:color="auto"/>
      </w:divBdr>
    </w:div>
    <w:div w:id="321323698">
      <w:bodyDiv w:val="1"/>
      <w:marLeft w:val="0"/>
      <w:marRight w:val="0"/>
      <w:marTop w:val="0"/>
      <w:marBottom w:val="0"/>
      <w:divBdr>
        <w:top w:val="none" w:sz="0" w:space="0" w:color="auto"/>
        <w:left w:val="none" w:sz="0" w:space="0" w:color="auto"/>
        <w:bottom w:val="none" w:sz="0" w:space="0" w:color="auto"/>
        <w:right w:val="none" w:sz="0" w:space="0" w:color="auto"/>
      </w:divBdr>
    </w:div>
    <w:div w:id="445807381">
      <w:bodyDiv w:val="1"/>
      <w:marLeft w:val="0"/>
      <w:marRight w:val="0"/>
      <w:marTop w:val="0"/>
      <w:marBottom w:val="0"/>
      <w:divBdr>
        <w:top w:val="none" w:sz="0" w:space="0" w:color="auto"/>
        <w:left w:val="none" w:sz="0" w:space="0" w:color="auto"/>
        <w:bottom w:val="none" w:sz="0" w:space="0" w:color="auto"/>
        <w:right w:val="none" w:sz="0" w:space="0" w:color="auto"/>
      </w:divBdr>
    </w:div>
    <w:div w:id="483199752">
      <w:bodyDiv w:val="1"/>
      <w:marLeft w:val="0"/>
      <w:marRight w:val="0"/>
      <w:marTop w:val="0"/>
      <w:marBottom w:val="0"/>
      <w:divBdr>
        <w:top w:val="none" w:sz="0" w:space="0" w:color="auto"/>
        <w:left w:val="none" w:sz="0" w:space="0" w:color="auto"/>
        <w:bottom w:val="none" w:sz="0" w:space="0" w:color="auto"/>
        <w:right w:val="none" w:sz="0" w:space="0" w:color="auto"/>
      </w:divBdr>
      <w:divsChild>
        <w:div w:id="231355702">
          <w:marLeft w:val="1080"/>
          <w:marRight w:val="0"/>
          <w:marTop w:val="100"/>
          <w:marBottom w:val="0"/>
          <w:divBdr>
            <w:top w:val="none" w:sz="0" w:space="0" w:color="auto"/>
            <w:left w:val="none" w:sz="0" w:space="0" w:color="auto"/>
            <w:bottom w:val="none" w:sz="0" w:space="0" w:color="auto"/>
            <w:right w:val="none" w:sz="0" w:space="0" w:color="auto"/>
          </w:divBdr>
        </w:div>
        <w:div w:id="1874801843">
          <w:marLeft w:val="1080"/>
          <w:marRight w:val="0"/>
          <w:marTop w:val="100"/>
          <w:marBottom w:val="0"/>
          <w:divBdr>
            <w:top w:val="none" w:sz="0" w:space="0" w:color="auto"/>
            <w:left w:val="none" w:sz="0" w:space="0" w:color="auto"/>
            <w:bottom w:val="none" w:sz="0" w:space="0" w:color="auto"/>
            <w:right w:val="none" w:sz="0" w:space="0" w:color="auto"/>
          </w:divBdr>
        </w:div>
        <w:div w:id="1884637753">
          <w:marLeft w:val="1080"/>
          <w:marRight w:val="0"/>
          <w:marTop w:val="100"/>
          <w:marBottom w:val="0"/>
          <w:divBdr>
            <w:top w:val="none" w:sz="0" w:space="0" w:color="auto"/>
            <w:left w:val="none" w:sz="0" w:space="0" w:color="auto"/>
            <w:bottom w:val="none" w:sz="0" w:space="0" w:color="auto"/>
            <w:right w:val="none" w:sz="0" w:space="0" w:color="auto"/>
          </w:divBdr>
        </w:div>
        <w:div w:id="2139296880">
          <w:marLeft w:val="1080"/>
          <w:marRight w:val="0"/>
          <w:marTop w:val="100"/>
          <w:marBottom w:val="0"/>
          <w:divBdr>
            <w:top w:val="none" w:sz="0" w:space="0" w:color="auto"/>
            <w:left w:val="none" w:sz="0" w:space="0" w:color="auto"/>
            <w:bottom w:val="none" w:sz="0" w:space="0" w:color="auto"/>
            <w:right w:val="none" w:sz="0" w:space="0" w:color="auto"/>
          </w:divBdr>
        </w:div>
      </w:divsChild>
    </w:div>
    <w:div w:id="492993590">
      <w:bodyDiv w:val="1"/>
      <w:marLeft w:val="0"/>
      <w:marRight w:val="0"/>
      <w:marTop w:val="0"/>
      <w:marBottom w:val="0"/>
      <w:divBdr>
        <w:top w:val="none" w:sz="0" w:space="0" w:color="auto"/>
        <w:left w:val="none" w:sz="0" w:space="0" w:color="auto"/>
        <w:bottom w:val="none" w:sz="0" w:space="0" w:color="auto"/>
        <w:right w:val="none" w:sz="0" w:space="0" w:color="auto"/>
      </w:divBdr>
      <w:divsChild>
        <w:div w:id="1396509294">
          <w:marLeft w:val="274"/>
          <w:marRight w:val="0"/>
          <w:marTop w:val="0"/>
          <w:marBottom w:val="0"/>
          <w:divBdr>
            <w:top w:val="none" w:sz="0" w:space="0" w:color="auto"/>
            <w:left w:val="none" w:sz="0" w:space="0" w:color="auto"/>
            <w:bottom w:val="none" w:sz="0" w:space="0" w:color="auto"/>
            <w:right w:val="none" w:sz="0" w:space="0" w:color="auto"/>
          </w:divBdr>
        </w:div>
        <w:div w:id="2103718833">
          <w:marLeft w:val="274"/>
          <w:marRight w:val="0"/>
          <w:marTop w:val="0"/>
          <w:marBottom w:val="0"/>
          <w:divBdr>
            <w:top w:val="none" w:sz="0" w:space="0" w:color="auto"/>
            <w:left w:val="none" w:sz="0" w:space="0" w:color="auto"/>
            <w:bottom w:val="none" w:sz="0" w:space="0" w:color="auto"/>
            <w:right w:val="none" w:sz="0" w:space="0" w:color="auto"/>
          </w:divBdr>
        </w:div>
      </w:divsChild>
    </w:div>
    <w:div w:id="495195418">
      <w:bodyDiv w:val="1"/>
      <w:marLeft w:val="0"/>
      <w:marRight w:val="0"/>
      <w:marTop w:val="0"/>
      <w:marBottom w:val="0"/>
      <w:divBdr>
        <w:top w:val="none" w:sz="0" w:space="0" w:color="auto"/>
        <w:left w:val="none" w:sz="0" w:space="0" w:color="auto"/>
        <w:bottom w:val="none" w:sz="0" w:space="0" w:color="auto"/>
        <w:right w:val="none" w:sz="0" w:space="0" w:color="auto"/>
      </w:divBdr>
    </w:div>
    <w:div w:id="502401563">
      <w:bodyDiv w:val="1"/>
      <w:marLeft w:val="0"/>
      <w:marRight w:val="0"/>
      <w:marTop w:val="0"/>
      <w:marBottom w:val="0"/>
      <w:divBdr>
        <w:top w:val="none" w:sz="0" w:space="0" w:color="auto"/>
        <w:left w:val="none" w:sz="0" w:space="0" w:color="auto"/>
        <w:bottom w:val="none" w:sz="0" w:space="0" w:color="auto"/>
        <w:right w:val="none" w:sz="0" w:space="0" w:color="auto"/>
      </w:divBdr>
    </w:div>
    <w:div w:id="504127101">
      <w:bodyDiv w:val="1"/>
      <w:marLeft w:val="0"/>
      <w:marRight w:val="0"/>
      <w:marTop w:val="0"/>
      <w:marBottom w:val="0"/>
      <w:divBdr>
        <w:top w:val="none" w:sz="0" w:space="0" w:color="auto"/>
        <w:left w:val="none" w:sz="0" w:space="0" w:color="auto"/>
        <w:bottom w:val="none" w:sz="0" w:space="0" w:color="auto"/>
        <w:right w:val="none" w:sz="0" w:space="0" w:color="auto"/>
      </w:divBdr>
    </w:div>
    <w:div w:id="511575278">
      <w:bodyDiv w:val="1"/>
      <w:marLeft w:val="0"/>
      <w:marRight w:val="0"/>
      <w:marTop w:val="0"/>
      <w:marBottom w:val="0"/>
      <w:divBdr>
        <w:top w:val="none" w:sz="0" w:space="0" w:color="auto"/>
        <w:left w:val="none" w:sz="0" w:space="0" w:color="auto"/>
        <w:bottom w:val="none" w:sz="0" w:space="0" w:color="auto"/>
        <w:right w:val="none" w:sz="0" w:space="0" w:color="auto"/>
      </w:divBdr>
    </w:div>
    <w:div w:id="530339186">
      <w:bodyDiv w:val="1"/>
      <w:marLeft w:val="0"/>
      <w:marRight w:val="0"/>
      <w:marTop w:val="0"/>
      <w:marBottom w:val="0"/>
      <w:divBdr>
        <w:top w:val="none" w:sz="0" w:space="0" w:color="auto"/>
        <w:left w:val="none" w:sz="0" w:space="0" w:color="auto"/>
        <w:bottom w:val="none" w:sz="0" w:space="0" w:color="auto"/>
        <w:right w:val="none" w:sz="0" w:space="0" w:color="auto"/>
      </w:divBdr>
    </w:div>
    <w:div w:id="585501238">
      <w:bodyDiv w:val="1"/>
      <w:marLeft w:val="0"/>
      <w:marRight w:val="0"/>
      <w:marTop w:val="0"/>
      <w:marBottom w:val="0"/>
      <w:divBdr>
        <w:top w:val="none" w:sz="0" w:space="0" w:color="auto"/>
        <w:left w:val="none" w:sz="0" w:space="0" w:color="auto"/>
        <w:bottom w:val="none" w:sz="0" w:space="0" w:color="auto"/>
        <w:right w:val="none" w:sz="0" w:space="0" w:color="auto"/>
      </w:divBdr>
      <w:divsChild>
        <w:div w:id="10379669">
          <w:marLeft w:val="1800"/>
          <w:marRight w:val="0"/>
          <w:marTop w:val="100"/>
          <w:marBottom w:val="0"/>
          <w:divBdr>
            <w:top w:val="none" w:sz="0" w:space="0" w:color="auto"/>
            <w:left w:val="none" w:sz="0" w:space="0" w:color="auto"/>
            <w:bottom w:val="none" w:sz="0" w:space="0" w:color="auto"/>
            <w:right w:val="none" w:sz="0" w:space="0" w:color="auto"/>
          </w:divBdr>
        </w:div>
        <w:div w:id="237055316">
          <w:marLeft w:val="1080"/>
          <w:marRight w:val="0"/>
          <w:marTop w:val="100"/>
          <w:marBottom w:val="0"/>
          <w:divBdr>
            <w:top w:val="none" w:sz="0" w:space="0" w:color="auto"/>
            <w:left w:val="none" w:sz="0" w:space="0" w:color="auto"/>
            <w:bottom w:val="none" w:sz="0" w:space="0" w:color="auto"/>
            <w:right w:val="none" w:sz="0" w:space="0" w:color="auto"/>
          </w:divBdr>
        </w:div>
        <w:div w:id="249848552">
          <w:marLeft w:val="1800"/>
          <w:marRight w:val="0"/>
          <w:marTop w:val="100"/>
          <w:marBottom w:val="0"/>
          <w:divBdr>
            <w:top w:val="none" w:sz="0" w:space="0" w:color="auto"/>
            <w:left w:val="none" w:sz="0" w:space="0" w:color="auto"/>
            <w:bottom w:val="none" w:sz="0" w:space="0" w:color="auto"/>
            <w:right w:val="none" w:sz="0" w:space="0" w:color="auto"/>
          </w:divBdr>
        </w:div>
        <w:div w:id="839806701">
          <w:marLeft w:val="1800"/>
          <w:marRight w:val="0"/>
          <w:marTop w:val="100"/>
          <w:marBottom w:val="0"/>
          <w:divBdr>
            <w:top w:val="none" w:sz="0" w:space="0" w:color="auto"/>
            <w:left w:val="none" w:sz="0" w:space="0" w:color="auto"/>
            <w:bottom w:val="none" w:sz="0" w:space="0" w:color="auto"/>
            <w:right w:val="none" w:sz="0" w:space="0" w:color="auto"/>
          </w:divBdr>
        </w:div>
        <w:div w:id="951397523">
          <w:marLeft w:val="1800"/>
          <w:marRight w:val="0"/>
          <w:marTop w:val="100"/>
          <w:marBottom w:val="0"/>
          <w:divBdr>
            <w:top w:val="none" w:sz="0" w:space="0" w:color="auto"/>
            <w:left w:val="none" w:sz="0" w:space="0" w:color="auto"/>
            <w:bottom w:val="none" w:sz="0" w:space="0" w:color="auto"/>
            <w:right w:val="none" w:sz="0" w:space="0" w:color="auto"/>
          </w:divBdr>
        </w:div>
        <w:div w:id="1175220701">
          <w:marLeft w:val="1080"/>
          <w:marRight w:val="0"/>
          <w:marTop w:val="100"/>
          <w:marBottom w:val="0"/>
          <w:divBdr>
            <w:top w:val="none" w:sz="0" w:space="0" w:color="auto"/>
            <w:left w:val="none" w:sz="0" w:space="0" w:color="auto"/>
            <w:bottom w:val="none" w:sz="0" w:space="0" w:color="auto"/>
            <w:right w:val="none" w:sz="0" w:space="0" w:color="auto"/>
          </w:divBdr>
        </w:div>
        <w:div w:id="1743137039">
          <w:marLeft w:val="1800"/>
          <w:marRight w:val="0"/>
          <w:marTop w:val="100"/>
          <w:marBottom w:val="0"/>
          <w:divBdr>
            <w:top w:val="none" w:sz="0" w:space="0" w:color="auto"/>
            <w:left w:val="none" w:sz="0" w:space="0" w:color="auto"/>
            <w:bottom w:val="none" w:sz="0" w:space="0" w:color="auto"/>
            <w:right w:val="none" w:sz="0" w:space="0" w:color="auto"/>
          </w:divBdr>
        </w:div>
      </w:divsChild>
    </w:div>
    <w:div w:id="613833093">
      <w:bodyDiv w:val="1"/>
      <w:marLeft w:val="0"/>
      <w:marRight w:val="0"/>
      <w:marTop w:val="0"/>
      <w:marBottom w:val="0"/>
      <w:divBdr>
        <w:top w:val="none" w:sz="0" w:space="0" w:color="auto"/>
        <w:left w:val="none" w:sz="0" w:space="0" w:color="auto"/>
        <w:bottom w:val="none" w:sz="0" w:space="0" w:color="auto"/>
        <w:right w:val="none" w:sz="0" w:space="0" w:color="auto"/>
      </w:divBdr>
    </w:div>
    <w:div w:id="632441563">
      <w:bodyDiv w:val="1"/>
      <w:marLeft w:val="0"/>
      <w:marRight w:val="0"/>
      <w:marTop w:val="0"/>
      <w:marBottom w:val="0"/>
      <w:divBdr>
        <w:top w:val="none" w:sz="0" w:space="0" w:color="auto"/>
        <w:left w:val="none" w:sz="0" w:space="0" w:color="auto"/>
        <w:bottom w:val="none" w:sz="0" w:space="0" w:color="auto"/>
        <w:right w:val="none" w:sz="0" w:space="0" w:color="auto"/>
      </w:divBdr>
      <w:divsChild>
        <w:div w:id="600643418">
          <w:marLeft w:val="274"/>
          <w:marRight w:val="0"/>
          <w:marTop w:val="0"/>
          <w:marBottom w:val="0"/>
          <w:divBdr>
            <w:top w:val="none" w:sz="0" w:space="0" w:color="auto"/>
            <w:left w:val="none" w:sz="0" w:space="0" w:color="auto"/>
            <w:bottom w:val="none" w:sz="0" w:space="0" w:color="auto"/>
            <w:right w:val="none" w:sz="0" w:space="0" w:color="auto"/>
          </w:divBdr>
        </w:div>
        <w:div w:id="687374189">
          <w:marLeft w:val="274"/>
          <w:marRight w:val="0"/>
          <w:marTop w:val="0"/>
          <w:marBottom w:val="0"/>
          <w:divBdr>
            <w:top w:val="none" w:sz="0" w:space="0" w:color="auto"/>
            <w:left w:val="none" w:sz="0" w:space="0" w:color="auto"/>
            <w:bottom w:val="none" w:sz="0" w:space="0" w:color="auto"/>
            <w:right w:val="none" w:sz="0" w:space="0" w:color="auto"/>
          </w:divBdr>
        </w:div>
        <w:div w:id="1117993184">
          <w:marLeft w:val="274"/>
          <w:marRight w:val="0"/>
          <w:marTop w:val="0"/>
          <w:marBottom w:val="0"/>
          <w:divBdr>
            <w:top w:val="none" w:sz="0" w:space="0" w:color="auto"/>
            <w:left w:val="none" w:sz="0" w:space="0" w:color="auto"/>
            <w:bottom w:val="none" w:sz="0" w:space="0" w:color="auto"/>
            <w:right w:val="none" w:sz="0" w:space="0" w:color="auto"/>
          </w:divBdr>
        </w:div>
        <w:div w:id="1645885926">
          <w:marLeft w:val="274"/>
          <w:marRight w:val="0"/>
          <w:marTop w:val="0"/>
          <w:marBottom w:val="0"/>
          <w:divBdr>
            <w:top w:val="none" w:sz="0" w:space="0" w:color="auto"/>
            <w:left w:val="none" w:sz="0" w:space="0" w:color="auto"/>
            <w:bottom w:val="none" w:sz="0" w:space="0" w:color="auto"/>
            <w:right w:val="none" w:sz="0" w:space="0" w:color="auto"/>
          </w:divBdr>
        </w:div>
        <w:div w:id="2097242970">
          <w:marLeft w:val="274"/>
          <w:marRight w:val="0"/>
          <w:marTop w:val="0"/>
          <w:marBottom w:val="0"/>
          <w:divBdr>
            <w:top w:val="none" w:sz="0" w:space="0" w:color="auto"/>
            <w:left w:val="none" w:sz="0" w:space="0" w:color="auto"/>
            <w:bottom w:val="none" w:sz="0" w:space="0" w:color="auto"/>
            <w:right w:val="none" w:sz="0" w:space="0" w:color="auto"/>
          </w:divBdr>
        </w:div>
      </w:divsChild>
    </w:div>
    <w:div w:id="647898499">
      <w:bodyDiv w:val="1"/>
      <w:marLeft w:val="0"/>
      <w:marRight w:val="0"/>
      <w:marTop w:val="0"/>
      <w:marBottom w:val="0"/>
      <w:divBdr>
        <w:top w:val="none" w:sz="0" w:space="0" w:color="auto"/>
        <w:left w:val="none" w:sz="0" w:space="0" w:color="auto"/>
        <w:bottom w:val="none" w:sz="0" w:space="0" w:color="auto"/>
        <w:right w:val="none" w:sz="0" w:space="0" w:color="auto"/>
      </w:divBdr>
    </w:div>
    <w:div w:id="664749218">
      <w:bodyDiv w:val="1"/>
      <w:marLeft w:val="0"/>
      <w:marRight w:val="0"/>
      <w:marTop w:val="0"/>
      <w:marBottom w:val="0"/>
      <w:divBdr>
        <w:top w:val="none" w:sz="0" w:space="0" w:color="auto"/>
        <w:left w:val="none" w:sz="0" w:space="0" w:color="auto"/>
        <w:bottom w:val="none" w:sz="0" w:space="0" w:color="auto"/>
        <w:right w:val="none" w:sz="0" w:space="0" w:color="auto"/>
      </w:divBdr>
      <w:divsChild>
        <w:div w:id="1061097454">
          <w:marLeft w:val="0"/>
          <w:marRight w:val="0"/>
          <w:marTop w:val="0"/>
          <w:marBottom w:val="0"/>
          <w:divBdr>
            <w:top w:val="none" w:sz="0" w:space="0" w:color="auto"/>
            <w:left w:val="none" w:sz="0" w:space="0" w:color="auto"/>
            <w:bottom w:val="dotted" w:sz="6" w:space="2" w:color="CCCCCC"/>
            <w:right w:val="none" w:sz="0" w:space="0" w:color="auto"/>
          </w:divBdr>
          <w:divsChild>
            <w:div w:id="212691798">
              <w:marLeft w:val="0"/>
              <w:marRight w:val="150"/>
              <w:marTop w:val="0"/>
              <w:marBottom w:val="0"/>
              <w:divBdr>
                <w:top w:val="none" w:sz="0" w:space="0" w:color="auto"/>
                <w:left w:val="none" w:sz="0" w:space="0" w:color="auto"/>
                <w:bottom w:val="none" w:sz="0" w:space="0" w:color="auto"/>
                <w:right w:val="none" w:sz="0" w:space="0" w:color="auto"/>
              </w:divBdr>
              <w:divsChild>
                <w:div w:id="419908323">
                  <w:marLeft w:val="0"/>
                  <w:marRight w:val="0"/>
                  <w:marTop w:val="0"/>
                  <w:marBottom w:val="75"/>
                  <w:divBdr>
                    <w:top w:val="none" w:sz="0" w:space="0" w:color="auto"/>
                    <w:left w:val="none" w:sz="0" w:space="0" w:color="auto"/>
                    <w:bottom w:val="none" w:sz="0" w:space="0" w:color="auto"/>
                    <w:right w:val="none" w:sz="0" w:space="0" w:color="auto"/>
                  </w:divBdr>
                </w:div>
              </w:divsChild>
            </w:div>
            <w:div w:id="1716153483">
              <w:marLeft w:val="0"/>
              <w:marRight w:val="0"/>
              <w:marTop w:val="0"/>
              <w:marBottom w:val="0"/>
              <w:divBdr>
                <w:top w:val="none" w:sz="0" w:space="0" w:color="auto"/>
                <w:left w:val="none" w:sz="0" w:space="0" w:color="auto"/>
                <w:bottom w:val="none" w:sz="0" w:space="0" w:color="auto"/>
                <w:right w:val="none" w:sz="0" w:space="0" w:color="auto"/>
              </w:divBdr>
            </w:div>
          </w:divsChild>
        </w:div>
        <w:div w:id="1394113208">
          <w:marLeft w:val="0"/>
          <w:marRight w:val="0"/>
          <w:marTop w:val="0"/>
          <w:marBottom w:val="0"/>
          <w:divBdr>
            <w:top w:val="none" w:sz="0" w:space="0" w:color="auto"/>
            <w:left w:val="none" w:sz="0" w:space="0" w:color="auto"/>
            <w:bottom w:val="dotted" w:sz="6" w:space="2" w:color="CCCCCC"/>
            <w:right w:val="none" w:sz="0" w:space="0" w:color="auto"/>
          </w:divBdr>
          <w:divsChild>
            <w:div w:id="876741358">
              <w:marLeft w:val="0"/>
              <w:marRight w:val="150"/>
              <w:marTop w:val="0"/>
              <w:marBottom w:val="0"/>
              <w:divBdr>
                <w:top w:val="none" w:sz="0" w:space="0" w:color="auto"/>
                <w:left w:val="none" w:sz="0" w:space="0" w:color="auto"/>
                <w:bottom w:val="none" w:sz="0" w:space="0" w:color="auto"/>
                <w:right w:val="none" w:sz="0" w:space="0" w:color="auto"/>
              </w:divBdr>
              <w:divsChild>
                <w:div w:id="1997495527">
                  <w:marLeft w:val="0"/>
                  <w:marRight w:val="0"/>
                  <w:marTop w:val="0"/>
                  <w:marBottom w:val="75"/>
                  <w:divBdr>
                    <w:top w:val="none" w:sz="0" w:space="0" w:color="auto"/>
                    <w:left w:val="none" w:sz="0" w:space="0" w:color="auto"/>
                    <w:bottom w:val="none" w:sz="0" w:space="0" w:color="auto"/>
                    <w:right w:val="none" w:sz="0" w:space="0" w:color="auto"/>
                  </w:divBdr>
                </w:div>
              </w:divsChild>
            </w:div>
            <w:div w:id="15805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107">
      <w:bodyDiv w:val="1"/>
      <w:marLeft w:val="0"/>
      <w:marRight w:val="0"/>
      <w:marTop w:val="0"/>
      <w:marBottom w:val="0"/>
      <w:divBdr>
        <w:top w:val="none" w:sz="0" w:space="0" w:color="auto"/>
        <w:left w:val="none" w:sz="0" w:space="0" w:color="auto"/>
        <w:bottom w:val="none" w:sz="0" w:space="0" w:color="auto"/>
        <w:right w:val="none" w:sz="0" w:space="0" w:color="auto"/>
      </w:divBdr>
    </w:div>
    <w:div w:id="692271069">
      <w:bodyDiv w:val="1"/>
      <w:marLeft w:val="0"/>
      <w:marRight w:val="0"/>
      <w:marTop w:val="0"/>
      <w:marBottom w:val="0"/>
      <w:divBdr>
        <w:top w:val="none" w:sz="0" w:space="0" w:color="auto"/>
        <w:left w:val="none" w:sz="0" w:space="0" w:color="auto"/>
        <w:bottom w:val="none" w:sz="0" w:space="0" w:color="auto"/>
        <w:right w:val="none" w:sz="0" w:space="0" w:color="auto"/>
      </w:divBdr>
    </w:div>
    <w:div w:id="698631623">
      <w:bodyDiv w:val="1"/>
      <w:marLeft w:val="0"/>
      <w:marRight w:val="0"/>
      <w:marTop w:val="0"/>
      <w:marBottom w:val="0"/>
      <w:divBdr>
        <w:top w:val="none" w:sz="0" w:space="0" w:color="auto"/>
        <w:left w:val="none" w:sz="0" w:space="0" w:color="auto"/>
        <w:bottom w:val="none" w:sz="0" w:space="0" w:color="auto"/>
        <w:right w:val="none" w:sz="0" w:space="0" w:color="auto"/>
      </w:divBdr>
    </w:div>
    <w:div w:id="709455372">
      <w:bodyDiv w:val="1"/>
      <w:marLeft w:val="0"/>
      <w:marRight w:val="0"/>
      <w:marTop w:val="0"/>
      <w:marBottom w:val="0"/>
      <w:divBdr>
        <w:top w:val="none" w:sz="0" w:space="0" w:color="auto"/>
        <w:left w:val="none" w:sz="0" w:space="0" w:color="auto"/>
        <w:bottom w:val="none" w:sz="0" w:space="0" w:color="auto"/>
        <w:right w:val="none" w:sz="0" w:space="0" w:color="auto"/>
      </w:divBdr>
    </w:div>
    <w:div w:id="753210815">
      <w:bodyDiv w:val="1"/>
      <w:marLeft w:val="0"/>
      <w:marRight w:val="0"/>
      <w:marTop w:val="0"/>
      <w:marBottom w:val="0"/>
      <w:divBdr>
        <w:top w:val="none" w:sz="0" w:space="0" w:color="auto"/>
        <w:left w:val="none" w:sz="0" w:space="0" w:color="auto"/>
        <w:bottom w:val="none" w:sz="0" w:space="0" w:color="auto"/>
        <w:right w:val="none" w:sz="0" w:space="0" w:color="auto"/>
      </w:divBdr>
    </w:div>
    <w:div w:id="800153308">
      <w:bodyDiv w:val="1"/>
      <w:marLeft w:val="0"/>
      <w:marRight w:val="0"/>
      <w:marTop w:val="0"/>
      <w:marBottom w:val="0"/>
      <w:divBdr>
        <w:top w:val="none" w:sz="0" w:space="0" w:color="auto"/>
        <w:left w:val="none" w:sz="0" w:space="0" w:color="auto"/>
        <w:bottom w:val="none" w:sz="0" w:space="0" w:color="auto"/>
        <w:right w:val="none" w:sz="0" w:space="0" w:color="auto"/>
      </w:divBdr>
    </w:div>
    <w:div w:id="82447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38881">
          <w:marLeft w:val="1080"/>
          <w:marRight w:val="0"/>
          <w:marTop w:val="100"/>
          <w:marBottom w:val="0"/>
          <w:divBdr>
            <w:top w:val="none" w:sz="0" w:space="0" w:color="auto"/>
            <w:left w:val="none" w:sz="0" w:space="0" w:color="auto"/>
            <w:bottom w:val="none" w:sz="0" w:space="0" w:color="auto"/>
            <w:right w:val="none" w:sz="0" w:space="0" w:color="auto"/>
          </w:divBdr>
        </w:div>
      </w:divsChild>
    </w:div>
    <w:div w:id="848178143">
      <w:bodyDiv w:val="1"/>
      <w:marLeft w:val="0"/>
      <w:marRight w:val="0"/>
      <w:marTop w:val="0"/>
      <w:marBottom w:val="0"/>
      <w:divBdr>
        <w:top w:val="none" w:sz="0" w:space="0" w:color="auto"/>
        <w:left w:val="none" w:sz="0" w:space="0" w:color="auto"/>
        <w:bottom w:val="none" w:sz="0" w:space="0" w:color="auto"/>
        <w:right w:val="none" w:sz="0" w:space="0" w:color="auto"/>
      </w:divBdr>
    </w:div>
    <w:div w:id="865141248">
      <w:bodyDiv w:val="1"/>
      <w:marLeft w:val="0"/>
      <w:marRight w:val="0"/>
      <w:marTop w:val="0"/>
      <w:marBottom w:val="0"/>
      <w:divBdr>
        <w:top w:val="none" w:sz="0" w:space="0" w:color="auto"/>
        <w:left w:val="none" w:sz="0" w:space="0" w:color="auto"/>
        <w:bottom w:val="none" w:sz="0" w:space="0" w:color="auto"/>
        <w:right w:val="none" w:sz="0" w:space="0" w:color="auto"/>
      </w:divBdr>
    </w:div>
    <w:div w:id="886575437">
      <w:bodyDiv w:val="1"/>
      <w:marLeft w:val="0"/>
      <w:marRight w:val="0"/>
      <w:marTop w:val="0"/>
      <w:marBottom w:val="0"/>
      <w:divBdr>
        <w:top w:val="none" w:sz="0" w:space="0" w:color="auto"/>
        <w:left w:val="none" w:sz="0" w:space="0" w:color="auto"/>
        <w:bottom w:val="none" w:sz="0" w:space="0" w:color="auto"/>
        <w:right w:val="none" w:sz="0" w:space="0" w:color="auto"/>
      </w:divBdr>
    </w:div>
    <w:div w:id="891382057">
      <w:bodyDiv w:val="1"/>
      <w:marLeft w:val="0"/>
      <w:marRight w:val="0"/>
      <w:marTop w:val="0"/>
      <w:marBottom w:val="0"/>
      <w:divBdr>
        <w:top w:val="none" w:sz="0" w:space="0" w:color="auto"/>
        <w:left w:val="none" w:sz="0" w:space="0" w:color="auto"/>
        <w:bottom w:val="none" w:sz="0" w:space="0" w:color="auto"/>
        <w:right w:val="none" w:sz="0" w:space="0" w:color="auto"/>
      </w:divBdr>
      <w:divsChild>
        <w:div w:id="339966222">
          <w:marLeft w:val="1080"/>
          <w:marRight w:val="0"/>
          <w:marTop w:val="100"/>
          <w:marBottom w:val="0"/>
          <w:divBdr>
            <w:top w:val="none" w:sz="0" w:space="0" w:color="auto"/>
            <w:left w:val="none" w:sz="0" w:space="0" w:color="auto"/>
            <w:bottom w:val="none" w:sz="0" w:space="0" w:color="auto"/>
            <w:right w:val="none" w:sz="0" w:space="0" w:color="auto"/>
          </w:divBdr>
        </w:div>
        <w:div w:id="1019815351">
          <w:marLeft w:val="1080"/>
          <w:marRight w:val="0"/>
          <w:marTop w:val="100"/>
          <w:marBottom w:val="0"/>
          <w:divBdr>
            <w:top w:val="none" w:sz="0" w:space="0" w:color="auto"/>
            <w:left w:val="none" w:sz="0" w:space="0" w:color="auto"/>
            <w:bottom w:val="none" w:sz="0" w:space="0" w:color="auto"/>
            <w:right w:val="none" w:sz="0" w:space="0" w:color="auto"/>
          </w:divBdr>
        </w:div>
        <w:div w:id="1129664980">
          <w:marLeft w:val="1080"/>
          <w:marRight w:val="0"/>
          <w:marTop w:val="100"/>
          <w:marBottom w:val="0"/>
          <w:divBdr>
            <w:top w:val="none" w:sz="0" w:space="0" w:color="auto"/>
            <w:left w:val="none" w:sz="0" w:space="0" w:color="auto"/>
            <w:bottom w:val="none" w:sz="0" w:space="0" w:color="auto"/>
            <w:right w:val="none" w:sz="0" w:space="0" w:color="auto"/>
          </w:divBdr>
        </w:div>
        <w:div w:id="2043556735">
          <w:marLeft w:val="1080"/>
          <w:marRight w:val="0"/>
          <w:marTop w:val="100"/>
          <w:marBottom w:val="0"/>
          <w:divBdr>
            <w:top w:val="none" w:sz="0" w:space="0" w:color="auto"/>
            <w:left w:val="none" w:sz="0" w:space="0" w:color="auto"/>
            <w:bottom w:val="none" w:sz="0" w:space="0" w:color="auto"/>
            <w:right w:val="none" w:sz="0" w:space="0" w:color="auto"/>
          </w:divBdr>
        </w:div>
        <w:div w:id="2128575132">
          <w:marLeft w:val="1080"/>
          <w:marRight w:val="0"/>
          <w:marTop w:val="100"/>
          <w:marBottom w:val="0"/>
          <w:divBdr>
            <w:top w:val="none" w:sz="0" w:space="0" w:color="auto"/>
            <w:left w:val="none" w:sz="0" w:space="0" w:color="auto"/>
            <w:bottom w:val="none" w:sz="0" w:space="0" w:color="auto"/>
            <w:right w:val="none" w:sz="0" w:space="0" w:color="auto"/>
          </w:divBdr>
        </w:div>
      </w:divsChild>
    </w:div>
    <w:div w:id="893465449">
      <w:bodyDiv w:val="1"/>
      <w:marLeft w:val="0"/>
      <w:marRight w:val="0"/>
      <w:marTop w:val="0"/>
      <w:marBottom w:val="0"/>
      <w:divBdr>
        <w:top w:val="none" w:sz="0" w:space="0" w:color="auto"/>
        <w:left w:val="none" w:sz="0" w:space="0" w:color="auto"/>
        <w:bottom w:val="none" w:sz="0" w:space="0" w:color="auto"/>
        <w:right w:val="none" w:sz="0" w:space="0" w:color="auto"/>
      </w:divBdr>
      <w:divsChild>
        <w:div w:id="73017391">
          <w:marLeft w:val="1080"/>
          <w:marRight w:val="0"/>
          <w:marTop w:val="100"/>
          <w:marBottom w:val="0"/>
          <w:divBdr>
            <w:top w:val="none" w:sz="0" w:space="0" w:color="auto"/>
            <w:left w:val="none" w:sz="0" w:space="0" w:color="auto"/>
            <w:bottom w:val="none" w:sz="0" w:space="0" w:color="auto"/>
            <w:right w:val="none" w:sz="0" w:space="0" w:color="auto"/>
          </w:divBdr>
        </w:div>
        <w:div w:id="1218933459">
          <w:marLeft w:val="1080"/>
          <w:marRight w:val="0"/>
          <w:marTop w:val="100"/>
          <w:marBottom w:val="0"/>
          <w:divBdr>
            <w:top w:val="none" w:sz="0" w:space="0" w:color="auto"/>
            <w:left w:val="none" w:sz="0" w:space="0" w:color="auto"/>
            <w:bottom w:val="none" w:sz="0" w:space="0" w:color="auto"/>
            <w:right w:val="none" w:sz="0" w:space="0" w:color="auto"/>
          </w:divBdr>
        </w:div>
        <w:div w:id="1646427602">
          <w:marLeft w:val="1080"/>
          <w:marRight w:val="0"/>
          <w:marTop w:val="100"/>
          <w:marBottom w:val="0"/>
          <w:divBdr>
            <w:top w:val="none" w:sz="0" w:space="0" w:color="auto"/>
            <w:left w:val="none" w:sz="0" w:space="0" w:color="auto"/>
            <w:bottom w:val="none" w:sz="0" w:space="0" w:color="auto"/>
            <w:right w:val="none" w:sz="0" w:space="0" w:color="auto"/>
          </w:divBdr>
        </w:div>
      </w:divsChild>
    </w:div>
    <w:div w:id="975989825">
      <w:bodyDiv w:val="1"/>
      <w:marLeft w:val="0"/>
      <w:marRight w:val="0"/>
      <w:marTop w:val="0"/>
      <w:marBottom w:val="0"/>
      <w:divBdr>
        <w:top w:val="none" w:sz="0" w:space="0" w:color="auto"/>
        <w:left w:val="none" w:sz="0" w:space="0" w:color="auto"/>
        <w:bottom w:val="none" w:sz="0" w:space="0" w:color="auto"/>
        <w:right w:val="none" w:sz="0" w:space="0" w:color="auto"/>
      </w:divBdr>
    </w:div>
    <w:div w:id="996034135">
      <w:bodyDiv w:val="1"/>
      <w:marLeft w:val="0"/>
      <w:marRight w:val="0"/>
      <w:marTop w:val="0"/>
      <w:marBottom w:val="0"/>
      <w:divBdr>
        <w:top w:val="none" w:sz="0" w:space="0" w:color="auto"/>
        <w:left w:val="none" w:sz="0" w:space="0" w:color="auto"/>
        <w:bottom w:val="none" w:sz="0" w:space="0" w:color="auto"/>
        <w:right w:val="none" w:sz="0" w:space="0" w:color="auto"/>
      </w:divBdr>
    </w:div>
    <w:div w:id="1022197227">
      <w:bodyDiv w:val="1"/>
      <w:marLeft w:val="0"/>
      <w:marRight w:val="0"/>
      <w:marTop w:val="0"/>
      <w:marBottom w:val="0"/>
      <w:divBdr>
        <w:top w:val="none" w:sz="0" w:space="0" w:color="auto"/>
        <w:left w:val="none" w:sz="0" w:space="0" w:color="auto"/>
        <w:bottom w:val="none" w:sz="0" w:space="0" w:color="auto"/>
        <w:right w:val="none" w:sz="0" w:space="0" w:color="auto"/>
      </w:divBdr>
    </w:div>
    <w:div w:id="1071654579">
      <w:bodyDiv w:val="1"/>
      <w:marLeft w:val="0"/>
      <w:marRight w:val="0"/>
      <w:marTop w:val="0"/>
      <w:marBottom w:val="0"/>
      <w:divBdr>
        <w:top w:val="none" w:sz="0" w:space="0" w:color="auto"/>
        <w:left w:val="none" w:sz="0" w:space="0" w:color="auto"/>
        <w:bottom w:val="none" w:sz="0" w:space="0" w:color="auto"/>
        <w:right w:val="none" w:sz="0" w:space="0" w:color="auto"/>
      </w:divBdr>
    </w:div>
    <w:div w:id="1113210521">
      <w:bodyDiv w:val="1"/>
      <w:marLeft w:val="0"/>
      <w:marRight w:val="0"/>
      <w:marTop w:val="0"/>
      <w:marBottom w:val="0"/>
      <w:divBdr>
        <w:top w:val="none" w:sz="0" w:space="0" w:color="auto"/>
        <w:left w:val="none" w:sz="0" w:space="0" w:color="auto"/>
        <w:bottom w:val="none" w:sz="0" w:space="0" w:color="auto"/>
        <w:right w:val="none" w:sz="0" w:space="0" w:color="auto"/>
      </w:divBdr>
    </w:div>
    <w:div w:id="1175414530">
      <w:bodyDiv w:val="1"/>
      <w:marLeft w:val="0"/>
      <w:marRight w:val="0"/>
      <w:marTop w:val="0"/>
      <w:marBottom w:val="0"/>
      <w:divBdr>
        <w:top w:val="none" w:sz="0" w:space="0" w:color="auto"/>
        <w:left w:val="none" w:sz="0" w:space="0" w:color="auto"/>
        <w:bottom w:val="none" w:sz="0" w:space="0" w:color="auto"/>
        <w:right w:val="none" w:sz="0" w:space="0" w:color="auto"/>
      </w:divBdr>
    </w:div>
    <w:div w:id="1204827305">
      <w:bodyDiv w:val="1"/>
      <w:marLeft w:val="0"/>
      <w:marRight w:val="0"/>
      <w:marTop w:val="0"/>
      <w:marBottom w:val="0"/>
      <w:divBdr>
        <w:top w:val="none" w:sz="0" w:space="0" w:color="auto"/>
        <w:left w:val="none" w:sz="0" w:space="0" w:color="auto"/>
        <w:bottom w:val="none" w:sz="0" w:space="0" w:color="auto"/>
        <w:right w:val="none" w:sz="0" w:space="0" w:color="auto"/>
      </w:divBdr>
      <w:divsChild>
        <w:div w:id="725884358">
          <w:marLeft w:val="0"/>
          <w:marRight w:val="0"/>
          <w:marTop w:val="0"/>
          <w:marBottom w:val="0"/>
          <w:divBdr>
            <w:top w:val="none" w:sz="0" w:space="0" w:color="auto"/>
            <w:left w:val="none" w:sz="0" w:space="0" w:color="auto"/>
            <w:bottom w:val="dotted" w:sz="6" w:space="2" w:color="CCCCCC"/>
            <w:right w:val="none" w:sz="0" w:space="0" w:color="auto"/>
          </w:divBdr>
          <w:divsChild>
            <w:div w:id="7173011">
              <w:marLeft w:val="0"/>
              <w:marRight w:val="150"/>
              <w:marTop w:val="0"/>
              <w:marBottom w:val="0"/>
              <w:divBdr>
                <w:top w:val="none" w:sz="0" w:space="0" w:color="auto"/>
                <w:left w:val="none" w:sz="0" w:space="0" w:color="auto"/>
                <w:bottom w:val="none" w:sz="0" w:space="0" w:color="auto"/>
                <w:right w:val="none" w:sz="0" w:space="0" w:color="auto"/>
              </w:divBdr>
              <w:divsChild>
                <w:div w:id="386153409">
                  <w:marLeft w:val="0"/>
                  <w:marRight w:val="0"/>
                  <w:marTop w:val="0"/>
                  <w:marBottom w:val="75"/>
                  <w:divBdr>
                    <w:top w:val="none" w:sz="0" w:space="0" w:color="auto"/>
                    <w:left w:val="none" w:sz="0" w:space="0" w:color="auto"/>
                    <w:bottom w:val="none" w:sz="0" w:space="0" w:color="auto"/>
                    <w:right w:val="none" w:sz="0" w:space="0" w:color="auto"/>
                  </w:divBdr>
                </w:div>
              </w:divsChild>
            </w:div>
            <w:div w:id="1715428493">
              <w:marLeft w:val="0"/>
              <w:marRight w:val="0"/>
              <w:marTop w:val="0"/>
              <w:marBottom w:val="0"/>
              <w:divBdr>
                <w:top w:val="none" w:sz="0" w:space="0" w:color="auto"/>
                <w:left w:val="none" w:sz="0" w:space="0" w:color="auto"/>
                <w:bottom w:val="none" w:sz="0" w:space="0" w:color="auto"/>
                <w:right w:val="none" w:sz="0" w:space="0" w:color="auto"/>
              </w:divBdr>
            </w:div>
          </w:divsChild>
        </w:div>
        <w:div w:id="759103817">
          <w:marLeft w:val="0"/>
          <w:marRight w:val="0"/>
          <w:marTop w:val="0"/>
          <w:marBottom w:val="0"/>
          <w:divBdr>
            <w:top w:val="none" w:sz="0" w:space="0" w:color="auto"/>
            <w:left w:val="none" w:sz="0" w:space="0" w:color="auto"/>
            <w:bottom w:val="dotted" w:sz="6" w:space="2" w:color="CCCCCC"/>
            <w:right w:val="none" w:sz="0" w:space="0" w:color="auto"/>
          </w:divBdr>
          <w:divsChild>
            <w:div w:id="1620792567">
              <w:marLeft w:val="0"/>
              <w:marRight w:val="0"/>
              <w:marTop w:val="0"/>
              <w:marBottom w:val="0"/>
              <w:divBdr>
                <w:top w:val="none" w:sz="0" w:space="0" w:color="auto"/>
                <w:left w:val="none" w:sz="0" w:space="0" w:color="auto"/>
                <w:bottom w:val="none" w:sz="0" w:space="0" w:color="auto"/>
                <w:right w:val="none" w:sz="0" w:space="0" w:color="auto"/>
              </w:divBdr>
            </w:div>
            <w:div w:id="1898395801">
              <w:marLeft w:val="0"/>
              <w:marRight w:val="150"/>
              <w:marTop w:val="0"/>
              <w:marBottom w:val="0"/>
              <w:divBdr>
                <w:top w:val="none" w:sz="0" w:space="0" w:color="auto"/>
                <w:left w:val="none" w:sz="0" w:space="0" w:color="auto"/>
                <w:bottom w:val="none" w:sz="0" w:space="0" w:color="auto"/>
                <w:right w:val="none" w:sz="0" w:space="0" w:color="auto"/>
              </w:divBdr>
              <w:divsChild>
                <w:div w:id="13933113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6186483">
      <w:bodyDiv w:val="1"/>
      <w:marLeft w:val="0"/>
      <w:marRight w:val="0"/>
      <w:marTop w:val="0"/>
      <w:marBottom w:val="0"/>
      <w:divBdr>
        <w:top w:val="none" w:sz="0" w:space="0" w:color="auto"/>
        <w:left w:val="none" w:sz="0" w:space="0" w:color="auto"/>
        <w:bottom w:val="none" w:sz="0" w:space="0" w:color="auto"/>
        <w:right w:val="none" w:sz="0" w:space="0" w:color="auto"/>
      </w:divBdr>
    </w:div>
    <w:div w:id="1267032794">
      <w:bodyDiv w:val="1"/>
      <w:marLeft w:val="0"/>
      <w:marRight w:val="0"/>
      <w:marTop w:val="0"/>
      <w:marBottom w:val="0"/>
      <w:divBdr>
        <w:top w:val="none" w:sz="0" w:space="0" w:color="auto"/>
        <w:left w:val="none" w:sz="0" w:space="0" w:color="auto"/>
        <w:bottom w:val="none" w:sz="0" w:space="0" w:color="auto"/>
        <w:right w:val="none" w:sz="0" w:space="0" w:color="auto"/>
      </w:divBdr>
      <w:divsChild>
        <w:div w:id="637302341">
          <w:marLeft w:val="1080"/>
          <w:marRight w:val="0"/>
          <w:marTop w:val="100"/>
          <w:marBottom w:val="0"/>
          <w:divBdr>
            <w:top w:val="none" w:sz="0" w:space="0" w:color="auto"/>
            <w:left w:val="none" w:sz="0" w:space="0" w:color="auto"/>
            <w:bottom w:val="none" w:sz="0" w:space="0" w:color="auto"/>
            <w:right w:val="none" w:sz="0" w:space="0" w:color="auto"/>
          </w:divBdr>
        </w:div>
        <w:div w:id="676616287">
          <w:marLeft w:val="1080"/>
          <w:marRight w:val="0"/>
          <w:marTop w:val="100"/>
          <w:marBottom w:val="0"/>
          <w:divBdr>
            <w:top w:val="none" w:sz="0" w:space="0" w:color="auto"/>
            <w:left w:val="none" w:sz="0" w:space="0" w:color="auto"/>
            <w:bottom w:val="none" w:sz="0" w:space="0" w:color="auto"/>
            <w:right w:val="none" w:sz="0" w:space="0" w:color="auto"/>
          </w:divBdr>
        </w:div>
        <w:div w:id="769669401">
          <w:marLeft w:val="1080"/>
          <w:marRight w:val="0"/>
          <w:marTop w:val="100"/>
          <w:marBottom w:val="0"/>
          <w:divBdr>
            <w:top w:val="none" w:sz="0" w:space="0" w:color="auto"/>
            <w:left w:val="none" w:sz="0" w:space="0" w:color="auto"/>
            <w:bottom w:val="none" w:sz="0" w:space="0" w:color="auto"/>
            <w:right w:val="none" w:sz="0" w:space="0" w:color="auto"/>
          </w:divBdr>
        </w:div>
        <w:div w:id="877357605">
          <w:marLeft w:val="1080"/>
          <w:marRight w:val="0"/>
          <w:marTop w:val="100"/>
          <w:marBottom w:val="0"/>
          <w:divBdr>
            <w:top w:val="none" w:sz="0" w:space="0" w:color="auto"/>
            <w:left w:val="none" w:sz="0" w:space="0" w:color="auto"/>
            <w:bottom w:val="none" w:sz="0" w:space="0" w:color="auto"/>
            <w:right w:val="none" w:sz="0" w:space="0" w:color="auto"/>
          </w:divBdr>
        </w:div>
        <w:div w:id="1163663278">
          <w:marLeft w:val="360"/>
          <w:marRight w:val="0"/>
          <w:marTop w:val="200"/>
          <w:marBottom w:val="0"/>
          <w:divBdr>
            <w:top w:val="none" w:sz="0" w:space="0" w:color="auto"/>
            <w:left w:val="none" w:sz="0" w:space="0" w:color="auto"/>
            <w:bottom w:val="none" w:sz="0" w:space="0" w:color="auto"/>
            <w:right w:val="none" w:sz="0" w:space="0" w:color="auto"/>
          </w:divBdr>
        </w:div>
        <w:div w:id="1484081453">
          <w:marLeft w:val="1080"/>
          <w:marRight w:val="0"/>
          <w:marTop w:val="100"/>
          <w:marBottom w:val="0"/>
          <w:divBdr>
            <w:top w:val="none" w:sz="0" w:space="0" w:color="auto"/>
            <w:left w:val="none" w:sz="0" w:space="0" w:color="auto"/>
            <w:bottom w:val="none" w:sz="0" w:space="0" w:color="auto"/>
            <w:right w:val="none" w:sz="0" w:space="0" w:color="auto"/>
          </w:divBdr>
        </w:div>
        <w:div w:id="1617829251">
          <w:marLeft w:val="360"/>
          <w:marRight w:val="0"/>
          <w:marTop w:val="200"/>
          <w:marBottom w:val="0"/>
          <w:divBdr>
            <w:top w:val="none" w:sz="0" w:space="0" w:color="auto"/>
            <w:left w:val="none" w:sz="0" w:space="0" w:color="auto"/>
            <w:bottom w:val="none" w:sz="0" w:space="0" w:color="auto"/>
            <w:right w:val="none" w:sz="0" w:space="0" w:color="auto"/>
          </w:divBdr>
        </w:div>
        <w:div w:id="1669867054">
          <w:marLeft w:val="360"/>
          <w:marRight w:val="0"/>
          <w:marTop w:val="200"/>
          <w:marBottom w:val="0"/>
          <w:divBdr>
            <w:top w:val="none" w:sz="0" w:space="0" w:color="auto"/>
            <w:left w:val="none" w:sz="0" w:space="0" w:color="auto"/>
            <w:bottom w:val="none" w:sz="0" w:space="0" w:color="auto"/>
            <w:right w:val="none" w:sz="0" w:space="0" w:color="auto"/>
          </w:divBdr>
        </w:div>
        <w:div w:id="1737700254">
          <w:marLeft w:val="1080"/>
          <w:marRight w:val="0"/>
          <w:marTop w:val="100"/>
          <w:marBottom w:val="0"/>
          <w:divBdr>
            <w:top w:val="none" w:sz="0" w:space="0" w:color="auto"/>
            <w:left w:val="none" w:sz="0" w:space="0" w:color="auto"/>
            <w:bottom w:val="none" w:sz="0" w:space="0" w:color="auto"/>
            <w:right w:val="none" w:sz="0" w:space="0" w:color="auto"/>
          </w:divBdr>
        </w:div>
        <w:div w:id="1847402818">
          <w:marLeft w:val="1080"/>
          <w:marRight w:val="0"/>
          <w:marTop w:val="100"/>
          <w:marBottom w:val="0"/>
          <w:divBdr>
            <w:top w:val="none" w:sz="0" w:space="0" w:color="auto"/>
            <w:left w:val="none" w:sz="0" w:space="0" w:color="auto"/>
            <w:bottom w:val="none" w:sz="0" w:space="0" w:color="auto"/>
            <w:right w:val="none" w:sz="0" w:space="0" w:color="auto"/>
          </w:divBdr>
        </w:div>
      </w:divsChild>
    </w:div>
    <w:div w:id="1281498088">
      <w:bodyDiv w:val="1"/>
      <w:marLeft w:val="0"/>
      <w:marRight w:val="0"/>
      <w:marTop w:val="0"/>
      <w:marBottom w:val="0"/>
      <w:divBdr>
        <w:top w:val="none" w:sz="0" w:space="0" w:color="auto"/>
        <w:left w:val="none" w:sz="0" w:space="0" w:color="auto"/>
        <w:bottom w:val="none" w:sz="0" w:space="0" w:color="auto"/>
        <w:right w:val="none" w:sz="0" w:space="0" w:color="auto"/>
      </w:divBdr>
    </w:div>
    <w:div w:id="1304889891">
      <w:bodyDiv w:val="1"/>
      <w:marLeft w:val="0"/>
      <w:marRight w:val="0"/>
      <w:marTop w:val="0"/>
      <w:marBottom w:val="0"/>
      <w:divBdr>
        <w:top w:val="none" w:sz="0" w:space="0" w:color="auto"/>
        <w:left w:val="none" w:sz="0" w:space="0" w:color="auto"/>
        <w:bottom w:val="none" w:sz="0" w:space="0" w:color="auto"/>
        <w:right w:val="none" w:sz="0" w:space="0" w:color="auto"/>
      </w:divBdr>
    </w:div>
    <w:div w:id="1305042577">
      <w:bodyDiv w:val="1"/>
      <w:marLeft w:val="0"/>
      <w:marRight w:val="0"/>
      <w:marTop w:val="0"/>
      <w:marBottom w:val="0"/>
      <w:divBdr>
        <w:top w:val="none" w:sz="0" w:space="0" w:color="auto"/>
        <w:left w:val="none" w:sz="0" w:space="0" w:color="auto"/>
        <w:bottom w:val="none" w:sz="0" w:space="0" w:color="auto"/>
        <w:right w:val="none" w:sz="0" w:space="0" w:color="auto"/>
      </w:divBdr>
      <w:divsChild>
        <w:div w:id="749473376">
          <w:marLeft w:val="1080"/>
          <w:marRight w:val="0"/>
          <w:marTop w:val="100"/>
          <w:marBottom w:val="0"/>
          <w:divBdr>
            <w:top w:val="none" w:sz="0" w:space="0" w:color="auto"/>
            <w:left w:val="none" w:sz="0" w:space="0" w:color="auto"/>
            <w:bottom w:val="none" w:sz="0" w:space="0" w:color="auto"/>
            <w:right w:val="none" w:sz="0" w:space="0" w:color="auto"/>
          </w:divBdr>
        </w:div>
        <w:div w:id="1597863963">
          <w:marLeft w:val="1080"/>
          <w:marRight w:val="0"/>
          <w:marTop w:val="100"/>
          <w:marBottom w:val="0"/>
          <w:divBdr>
            <w:top w:val="none" w:sz="0" w:space="0" w:color="auto"/>
            <w:left w:val="none" w:sz="0" w:space="0" w:color="auto"/>
            <w:bottom w:val="none" w:sz="0" w:space="0" w:color="auto"/>
            <w:right w:val="none" w:sz="0" w:space="0" w:color="auto"/>
          </w:divBdr>
        </w:div>
        <w:div w:id="1888566801">
          <w:marLeft w:val="1080"/>
          <w:marRight w:val="0"/>
          <w:marTop w:val="100"/>
          <w:marBottom w:val="0"/>
          <w:divBdr>
            <w:top w:val="none" w:sz="0" w:space="0" w:color="auto"/>
            <w:left w:val="none" w:sz="0" w:space="0" w:color="auto"/>
            <w:bottom w:val="none" w:sz="0" w:space="0" w:color="auto"/>
            <w:right w:val="none" w:sz="0" w:space="0" w:color="auto"/>
          </w:divBdr>
        </w:div>
      </w:divsChild>
    </w:div>
    <w:div w:id="1369837603">
      <w:bodyDiv w:val="1"/>
      <w:marLeft w:val="0"/>
      <w:marRight w:val="0"/>
      <w:marTop w:val="0"/>
      <w:marBottom w:val="0"/>
      <w:divBdr>
        <w:top w:val="none" w:sz="0" w:space="0" w:color="auto"/>
        <w:left w:val="none" w:sz="0" w:space="0" w:color="auto"/>
        <w:bottom w:val="none" w:sz="0" w:space="0" w:color="auto"/>
        <w:right w:val="none" w:sz="0" w:space="0" w:color="auto"/>
      </w:divBdr>
    </w:div>
    <w:div w:id="1384210825">
      <w:bodyDiv w:val="1"/>
      <w:marLeft w:val="0"/>
      <w:marRight w:val="0"/>
      <w:marTop w:val="0"/>
      <w:marBottom w:val="0"/>
      <w:divBdr>
        <w:top w:val="none" w:sz="0" w:space="0" w:color="auto"/>
        <w:left w:val="none" w:sz="0" w:space="0" w:color="auto"/>
        <w:bottom w:val="none" w:sz="0" w:space="0" w:color="auto"/>
        <w:right w:val="none" w:sz="0" w:space="0" w:color="auto"/>
      </w:divBdr>
    </w:div>
    <w:div w:id="1416783680">
      <w:bodyDiv w:val="1"/>
      <w:marLeft w:val="0"/>
      <w:marRight w:val="0"/>
      <w:marTop w:val="0"/>
      <w:marBottom w:val="0"/>
      <w:divBdr>
        <w:top w:val="none" w:sz="0" w:space="0" w:color="auto"/>
        <w:left w:val="none" w:sz="0" w:space="0" w:color="auto"/>
        <w:bottom w:val="none" w:sz="0" w:space="0" w:color="auto"/>
        <w:right w:val="none" w:sz="0" w:space="0" w:color="auto"/>
      </w:divBdr>
    </w:div>
    <w:div w:id="1430613453">
      <w:bodyDiv w:val="1"/>
      <w:marLeft w:val="0"/>
      <w:marRight w:val="0"/>
      <w:marTop w:val="0"/>
      <w:marBottom w:val="0"/>
      <w:divBdr>
        <w:top w:val="none" w:sz="0" w:space="0" w:color="auto"/>
        <w:left w:val="none" w:sz="0" w:space="0" w:color="auto"/>
        <w:bottom w:val="none" w:sz="0" w:space="0" w:color="auto"/>
        <w:right w:val="none" w:sz="0" w:space="0" w:color="auto"/>
      </w:divBdr>
    </w:div>
    <w:div w:id="1430615600">
      <w:bodyDiv w:val="1"/>
      <w:marLeft w:val="0"/>
      <w:marRight w:val="0"/>
      <w:marTop w:val="0"/>
      <w:marBottom w:val="0"/>
      <w:divBdr>
        <w:top w:val="none" w:sz="0" w:space="0" w:color="auto"/>
        <w:left w:val="none" w:sz="0" w:space="0" w:color="auto"/>
        <w:bottom w:val="none" w:sz="0" w:space="0" w:color="auto"/>
        <w:right w:val="none" w:sz="0" w:space="0" w:color="auto"/>
      </w:divBdr>
    </w:div>
    <w:div w:id="1477603959">
      <w:bodyDiv w:val="1"/>
      <w:marLeft w:val="0"/>
      <w:marRight w:val="0"/>
      <w:marTop w:val="0"/>
      <w:marBottom w:val="0"/>
      <w:divBdr>
        <w:top w:val="none" w:sz="0" w:space="0" w:color="auto"/>
        <w:left w:val="none" w:sz="0" w:space="0" w:color="auto"/>
        <w:bottom w:val="none" w:sz="0" w:space="0" w:color="auto"/>
        <w:right w:val="none" w:sz="0" w:space="0" w:color="auto"/>
      </w:divBdr>
      <w:divsChild>
        <w:div w:id="189683333">
          <w:marLeft w:val="0"/>
          <w:marRight w:val="0"/>
          <w:marTop w:val="0"/>
          <w:marBottom w:val="0"/>
          <w:divBdr>
            <w:top w:val="none" w:sz="0" w:space="0" w:color="auto"/>
            <w:left w:val="none" w:sz="0" w:space="0" w:color="auto"/>
            <w:bottom w:val="dotted" w:sz="6" w:space="2" w:color="CCCCCC"/>
            <w:right w:val="none" w:sz="0" w:space="0" w:color="auto"/>
          </w:divBdr>
          <w:divsChild>
            <w:div w:id="917057097">
              <w:marLeft w:val="0"/>
              <w:marRight w:val="150"/>
              <w:marTop w:val="0"/>
              <w:marBottom w:val="0"/>
              <w:divBdr>
                <w:top w:val="none" w:sz="0" w:space="0" w:color="auto"/>
                <w:left w:val="none" w:sz="0" w:space="0" w:color="auto"/>
                <w:bottom w:val="none" w:sz="0" w:space="0" w:color="auto"/>
                <w:right w:val="none" w:sz="0" w:space="0" w:color="auto"/>
              </w:divBdr>
              <w:divsChild>
                <w:div w:id="1567494043">
                  <w:marLeft w:val="0"/>
                  <w:marRight w:val="0"/>
                  <w:marTop w:val="0"/>
                  <w:marBottom w:val="75"/>
                  <w:divBdr>
                    <w:top w:val="none" w:sz="0" w:space="0" w:color="auto"/>
                    <w:left w:val="none" w:sz="0" w:space="0" w:color="auto"/>
                    <w:bottom w:val="none" w:sz="0" w:space="0" w:color="auto"/>
                    <w:right w:val="none" w:sz="0" w:space="0" w:color="auto"/>
                  </w:divBdr>
                </w:div>
              </w:divsChild>
            </w:div>
            <w:div w:id="1228876943">
              <w:marLeft w:val="0"/>
              <w:marRight w:val="0"/>
              <w:marTop w:val="0"/>
              <w:marBottom w:val="0"/>
              <w:divBdr>
                <w:top w:val="none" w:sz="0" w:space="0" w:color="auto"/>
                <w:left w:val="none" w:sz="0" w:space="0" w:color="auto"/>
                <w:bottom w:val="none" w:sz="0" w:space="0" w:color="auto"/>
                <w:right w:val="none" w:sz="0" w:space="0" w:color="auto"/>
              </w:divBdr>
            </w:div>
          </w:divsChild>
        </w:div>
        <w:div w:id="1287158108">
          <w:marLeft w:val="0"/>
          <w:marRight w:val="0"/>
          <w:marTop w:val="0"/>
          <w:marBottom w:val="0"/>
          <w:divBdr>
            <w:top w:val="none" w:sz="0" w:space="0" w:color="auto"/>
            <w:left w:val="none" w:sz="0" w:space="0" w:color="auto"/>
            <w:bottom w:val="dotted" w:sz="6" w:space="2" w:color="CCCCCC"/>
            <w:right w:val="none" w:sz="0" w:space="0" w:color="auto"/>
          </w:divBdr>
          <w:divsChild>
            <w:div w:id="756364732">
              <w:marLeft w:val="0"/>
              <w:marRight w:val="150"/>
              <w:marTop w:val="0"/>
              <w:marBottom w:val="0"/>
              <w:divBdr>
                <w:top w:val="none" w:sz="0" w:space="0" w:color="auto"/>
                <w:left w:val="none" w:sz="0" w:space="0" w:color="auto"/>
                <w:bottom w:val="none" w:sz="0" w:space="0" w:color="auto"/>
                <w:right w:val="none" w:sz="0" w:space="0" w:color="auto"/>
              </w:divBdr>
              <w:divsChild>
                <w:div w:id="182525215">
                  <w:marLeft w:val="0"/>
                  <w:marRight w:val="0"/>
                  <w:marTop w:val="0"/>
                  <w:marBottom w:val="75"/>
                  <w:divBdr>
                    <w:top w:val="none" w:sz="0" w:space="0" w:color="auto"/>
                    <w:left w:val="none" w:sz="0" w:space="0" w:color="auto"/>
                    <w:bottom w:val="none" w:sz="0" w:space="0" w:color="auto"/>
                    <w:right w:val="none" w:sz="0" w:space="0" w:color="auto"/>
                  </w:divBdr>
                </w:div>
              </w:divsChild>
            </w:div>
            <w:div w:id="19616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7288">
      <w:bodyDiv w:val="1"/>
      <w:marLeft w:val="0"/>
      <w:marRight w:val="0"/>
      <w:marTop w:val="0"/>
      <w:marBottom w:val="0"/>
      <w:divBdr>
        <w:top w:val="none" w:sz="0" w:space="0" w:color="auto"/>
        <w:left w:val="none" w:sz="0" w:space="0" w:color="auto"/>
        <w:bottom w:val="none" w:sz="0" w:space="0" w:color="auto"/>
        <w:right w:val="none" w:sz="0" w:space="0" w:color="auto"/>
      </w:divBdr>
    </w:div>
    <w:div w:id="1498108999">
      <w:bodyDiv w:val="1"/>
      <w:marLeft w:val="0"/>
      <w:marRight w:val="0"/>
      <w:marTop w:val="0"/>
      <w:marBottom w:val="0"/>
      <w:divBdr>
        <w:top w:val="none" w:sz="0" w:space="0" w:color="auto"/>
        <w:left w:val="none" w:sz="0" w:space="0" w:color="auto"/>
        <w:bottom w:val="none" w:sz="0" w:space="0" w:color="auto"/>
        <w:right w:val="none" w:sz="0" w:space="0" w:color="auto"/>
      </w:divBdr>
    </w:div>
    <w:div w:id="1506822467">
      <w:bodyDiv w:val="1"/>
      <w:marLeft w:val="0"/>
      <w:marRight w:val="0"/>
      <w:marTop w:val="0"/>
      <w:marBottom w:val="0"/>
      <w:divBdr>
        <w:top w:val="none" w:sz="0" w:space="0" w:color="auto"/>
        <w:left w:val="none" w:sz="0" w:space="0" w:color="auto"/>
        <w:bottom w:val="none" w:sz="0" w:space="0" w:color="auto"/>
        <w:right w:val="none" w:sz="0" w:space="0" w:color="auto"/>
      </w:divBdr>
      <w:divsChild>
        <w:div w:id="1077442147">
          <w:marLeft w:val="0"/>
          <w:marRight w:val="0"/>
          <w:marTop w:val="0"/>
          <w:marBottom w:val="0"/>
          <w:divBdr>
            <w:top w:val="none" w:sz="0" w:space="0" w:color="auto"/>
            <w:left w:val="none" w:sz="0" w:space="0" w:color="auto"/>
            <w:bottom w:val="dotted" w:sz="6" w:space="2" w:color="CCCCCC"/>
            <w:right w:val="none" w:sz="0" w:space="0" w:color="auto"/>
          </w:divBdr>
          <w:divsChild>
            <w:div w:id="174854694">
              <w:marLeft w:val="0"/>
              <w:marRight w:val="0"/>
              <w:marTop w:val="0"/>
              <w:marBottom w:val="0"/>
              <w:divBdr>
                <w:top w:val="none" w:sz="0" w:space="0" w:color="auto"/>
                <w:left w:val="none" w:sz="0" w:space="0" w:color="auto"/>
                <w:bottom w:val="none" w:sz="0" w:space="0" w:color="auto"/>
                <w:right w:val="none" w:sz="0" w:space="0" w:color="auto"/>
              </w:divBdr>
            </w:div>
            <w:div w:id="944579079">
              <w:marLeft w:val="0"/>
              <w:marRight w:val="150"/>
              <w:marTop w:val="0"/>
              <w:marBottom w:val="0"/>
              <w:divBdr>
                <w:top w:val="none" w:sz="0" w:space="0" w:color="auto"/>
                <w:left w:val="none" w:sz="0" w:space="0" w:color="auto"/>
                <w:bottom w:val="none" w:sz="0" w:space="0" w:color="auto"/>
                <w:right w:val="none" w:sz="0" w:space="0" w:color="auto"/>
              </w:divBdr>
              <w:divsChild>
                <w:div w:id="19751371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6589961">
          <w:marLeft w:val="0"/>
          <w:marRight w:val="0"/>
          <w:marTop w:val="0"/>
          <w:marBottom w:val="0"/>
          <w:divBdr>
            <w:top w:val="none" w:sz="0" w:space="0" w:color="auto"/>
            <w:left w:val="none" w:sz="0" w:space="0" w:color="auto"/>
            <w:bottom w:val="dotted" w:sz="6" w:space="2" w:color="CCCCCC"/>
            <w:right w:val="none" w:sz="0" w:space="0" w:color="auto"/>
          </w:divBdr>
          <w:divsChild>
            <w:div w:id="1378581902">
              <w:marLeft w:val="0"/>
              <w:marRight w:val="0"/>
              <w:marTop w:val="0"/>
              <w:marBottom w:val="0"/>
              <w:divBdr>
                <w:top w:val="none" w:sz="0" w:space="0" w:color="auto"/>
                <w:left w:val="none" w:sz="0" w:space="0" w:color="auto"/>
                <w:bottom w:val="none" w:sz="0" w:space="0" w:color="auto"/>
                <w:right w:val="none" w:sz="0" w:space="0" w:color="auto"/>
              </w:divBdr>
            </w:div>
            <w:div w:id="1655530251">
              <w:marLeft w:val="0"/>
              <w:marRight w:val="150"/>
              <w:marTop w:val="0"/>
              <w:marBottom w:val="0"/>
              <w:divBdr>
                <w:top w:val="none" w:sz="0" w:space="0" w:color="auto"/>
                <w:left w:val="none" w:sz="0" w:space="0" w:color="auto"/>
                <w:bottom w:val="none" w:sz="0" w:space="0" w:color="auto"/>
                <w:right w:val="none" w:sz="0" w:space="0" w:color="auto"/>
              </w:divBdr>
              <w:divsChild>
                <w:div w:id="88888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6384974">
      <w:bodyDiv w:val="1"/>
      <w:marLeft w:val="0"/>
      <w:marRight w:val="0"/>
      <w:marTop w:val="0"/>
      <w:marBottom w:val="0"/>
      <w:divBdr>
        <w:top w:val="none" w:sz="0" w:space="0" w:color="auto"/>
        <w:left w:val="none" w:sz="0" w:space="0" w:color="auto"/>
        <w:bottom w:val="none" w:sz="0" w:space="0" w:color="auto"/>
        <w:right w:val="none" w:sz="0" w:space="0" w:color="auto"/>
      </w:divBdr>
    </w:div>
    <w:div w:id="1546137030">
      <w:bodyDiv w:val="1"/>
      <w:marLeft w:val="0"/>
      <w:marRight w:val="0"/>
      <w:marTop w:val="0"/>
      <w:marBottom w:val="0"/>
      <w:divBdr>
        <w:top w:val="none" w:sz="0" w:space="0" w:color="auto"/>
        <w:left w:val="none" w:sz="0" w:space="0" w:color="auto"/>
        <w:bottom w:val="none" w:sz="0" w:space="0" w:color="auto"/>
        <w:right w:val="none" w:sz="0" w:space="0" w:color="auto"/>
      </w:divBdr>
    </w:div>
    <w:div w:id="1575626509">
      <w:bodyDiv w:val="1"/>
      <w:marLeft w:val="0"/>
      <w:marRight w:val="0"/>
      <w:marTop w:val="0"/>
      <w:marBottom w:val="0"/>
      <w:divBdr>
        <w:top w:val="none" w:sz="0" w:space="0" w:color="auto"/>
        <w:left w:val="none" w:sz="0" w:space="0" w:color="auto"/>
        <w:bottom w:val="none" w:sz="0" w:space="0" w:color="auto"/>
        <w:right w:val="none" w:sz="0" w:space="0" w:color="auto"/>
      </w:divBdr>
    </w:div>
    <w:div w:id="1629969528">
      <w:bodyDiv w:val="1"/>
      <w:marLeft w:val="0"/>
      <w:marRight w:val="0"/>
      <w:marTop w:val="0"/>
      <w:marBottom w:val="0"/>
      <w:divBdr>
        <w:top w:val="none" w:sz="0" w:space="0" w:color="auto"/>
        <w:left w:val="none" w:sz="0" w:space="0" w:color="auto"/>
        <w:bottom w:val="none" w:sz="0" w:space="0" w:color="auto"/>
        <w:right w:val="none" w:sz="0" w:space="0" w:color="auto"/>
      </w:divBdr>
    </w:div>
    <w:div w:id="1641956075">
      <w:bodyDiv w:val="1"/>
      <w:marLeft w:val="0"/>
      <w:marRight w:val="0"/>
      <w:marTop w:val="0"/>
      <w:marBottom w:val="0"/>
      <w:divBdr>
        <w:top w:val="none" w:sz="0" w:space="0" w:color="auto"/>
        <w:left w:val="none" w:sz="0" w:space="0" w:color="auto"/>
        <w:bottom w:val="none" w:sz="0" w:space="0" w:color="auto"/>
        <w:right w:val="none" w:sz="0" w:space="0" w:color="auto"/>
      </w:divBdr>
      <w:divsChild>
        <w:div w:id="1394541781">
          <w:marLeft w:val="1080"/>
          <w:marRight w:val="0"/>
          <w:marTop w:val="100"/>
          <w:marBottom w:val="0"/>
          <w:divBdr>
            <w:top w:val="none" w:sz="0" w:space="0" w:color="auto"/>
            <w:left w:val="none" w:sz="0" w:space="0" w:color="auto"/>
            <w:bottom w:val="none" w:sz="0" w:space="0" w:color="auto"/>
            <w:right w:val="none" w:sz="0" w:space="0" w:color="auto"/>
          </w:divBdr>
        </w:div>
      </w:divsChild>
    </w:div>
    <w:div w:id="1656300879">
      <w:bodyDiv w:val="1"/>
      <w:marLeft w:val="0"/>
      <w:marRight w:val="0"/>
      <w:marTop w:val="0"/>
      <w:marBottom w:val="0"/>
      <w:divBdr>
        <w:top w:val="none" w:sz="0" w:space="0" w:color="auto"/>
        <w:left w:val="none" w:sz="0" w:space="0" w:color="auto"/>
        <w:bottom w:val="none" w:sz="0" w:space="0" w:color="auto"/>
        <w:right w:val="none" w:sz="0" w:space="0" w:color="auto"/>
      </w:divBdr>
    </w:div>
    <w:div w:id="1675957984">
      <w:bodyDiv w:val="1"/>
      <w:marLeft w:val="0"/>
      <w:marRight w:val="0"/>
      <w:marTop w:val="0"/>
      <w:marBottom w:val="0"/>
      <w:divBdr>
        <w:top w:val="none" w:sz="0" w:space="0" w:color="auto"/>
        <w:left w:val="none" w:sz="0" w:space="0" w:color="auto"/>
        <w:bottom w:val="none" w:sz="0" w:space="0" w:color="auto"/>
        <w:right w:val="none" w:sz="0" w:space="0" w:color="auto"/>
      </w:divBdr>
    </w:div>
    <w:div w:id="1678656395">
      <w:bodyDiv w:val="1"/>
      <w:marLeft w:val="0"/>
      <w:marRight w:val="0"/>
      <w:marTop w:val="0"/>
      <w:marBottom w:val="0"/>
      <w:divBdr>
        <w:top w:val="none" w:sz="0" w:space="0" w:color="auto"/>
        <w:left w:val="none" w:sz="0" w:space="0" w:color="auto"/>
        <w:bottom w:val="none" w:sz="0" w:space="0" w:color="auto"/>
        <w:right w:val="none" w:sz="0" w:space="0" w:color="auto"/>
      </w:divBdr>
    </w:div>
    <w:div w:id="1682581975">
      <w:bodyDiv w:val="1"/>
      <w:marLeft w:val="0"/>
      <w:marRight w:val="0"/>
      <w:marTop w:val="0"/>
      <w:marBottom w:val="0"/>
      <w:divBdr>
        <w:top w:val="none" w:sz="0" w:space="0" w:color="auto"/>
        <w:left w:val="none" w:sz="0" w:space="0" w:color="auto"/>
        <w:bottom w:val="none" w:sz="0" w:space="0" w:color="auto"/>
        <w:right w:val="none" w:sz="0" w:space="0" w:color="auto"/>
      </w:divBdr>
    </w:div>
    <w:div w:id="1697996864">
      <w:bodyDiv w:val="1"/>
      <w:marLeft w:val="0"/>
      <w:marRight w:val="0"/>
      <w:marTop w:val="0"/>
      <w:marBottom w:val="0"/>
      <w:divBdr>
        <w:top w:val="none" w:sz="0" w:space="0" w:color="auto"/>
        <w:left w:val="none" w:sz="0" w:space="0" w:color="auto"/>
        <w:bottom w:val="none" w:sz="0" w:space="0" w:color="auto"/>
        <w:right w:val="none" w:sz="0" w:space="0" w:color="auto"/>
      </w:divBdr>
    </w:div>
    <w:div w:id="1735622022">
      <w:bodyDiv w:val="1"/>
      <w:marLeft w:val="0"/>
      <w:marRight w:val="0"/>
      <w:marTop w:val="0"/>
      <w:marBottom w:val="0"/>
      <w:divBdr>
        <w:top w:val="none" w:sz="0" w:space="0" w:color="auto"/>
        <w:left w:val="none" w:sz="0" w:space="0" w:color="auto"/>
        <w:bottom w:val="none" w:sz="0" w:space="0" w:color="auto"/>
        <w:right w:val="none" w:sz="0" w:space="0" w:color="auto"/>
      </w:divBdr>
    </w:div>
    <w:div w:id="1746608054">
      <w:bodyDiv w:val="1"/>
      <w:marLeft w:val="0"/>
      <w:marRight w:val="0"/>
      <w:marTop w:val="0"/>
      <w:marBottom w:val="0"/>
      <w:divBdr>
        <w:top w:val="none" w:sz="0" w:space="0" w:color="auto"/>
        <w:left w:val="none" w:sz="0" w:space="0" w:color="auto"/>
        <w:bottom w:val="none" w:sz="0" w:space="0" w:color="auto"/>
        <w:right w:val="none" w:sz="0" w:space="0" w:color="auto"/>
      </w:divBdr>
    </w:div>
    <w:div w:id="1762679388">
      <w:bodyDiv w:val="1"/>
      <w:marLeft w:val="0"/>
      <w:marRight w:val="0"/>
      <w:marTop w:val="0"/>
      <w:marBottom w:val="0"/>
      <w:divBdr>
        <w:top w:val="none" w:sz="0" w:space="0" w:color="auto"/>
        <w:left w:val="none" w:sz="0" w:space="0" w:color="auto"/>
        <w:bottom w:val="none" w:sz="0" w:space="0" w:color="auto"/>
        <w:right w:val="none" w:sz="0" w:space="0" w:color="auto"/>
      </w:divBdr>
      <w:divsChild>
        <w:div w:id="741173528">
          <w:marLeft w:val="1800"/>
          <w:marRight w:val="0"/>
          <w:marTop w:val="100"/>
          <w:marBottom w:val="0"/>
          <w:divBdr>
            <w:top w:val="none" w:sz="0" w:space="0" w:color="auto"/>
            <w:left w:val="none" w:sz="0" w:space="0" w:color="auto"/>
            <w:bottom w:val="none" w:sz="0" w:space="0" w:color="auto"/>
            <w:right w:val="none" w:sz="0" w:space="0" w:color="auto"/>
          </w:divBdr>
        </w:div>
        <w:div w:id="1113134222">
          <w:marLeft w:val="1080"/>
          <w:marRight w:val="0"/>
          <w:marTop w:val="100"/>
          <w:marBottom w:val="0"/>
          <w:divBdr>
            <w:top w:val="none" w:sz="0" w:space="0" w:color="auto"/>
            <w:left w:val="none" w:sz="0" w:space="0" w:color="auto"/>
            <w:bottom w:val="none" w:sz="0" w:space="0" w:color="auto"/>
            <w:right w:val="none" w:sz="0" w:space="0" w:color="auto"/>
          </w:divBdr>
        </w:div>
        <w:div w:id="1308508090">
          <w:marLeft w:val="1080"/>
          <w:marRight w:val="0"/>
          <w:marTop w:val="100"/>
          <w:marBottom w:val="0"/>
          <w:divBdr>
            <w:top w:val="none" w:sz="0" w:space="0" w:color="auto"/>
            <w:left w:val="none" w:sz="0" w:space="0" w:color="auto"/>
            <w:bottom w:val="none" w:sz="0" w:space="0" w:color="auto"/>
            <w:right w:val="none" w:sz="0" w:space="0" w:color="auto"/>
          </w:divBdr>
        </w:div>
        <w:div w:id="1630433994">
          <w:marLeft w:val="1080"/>
          <w:marRight w:val="0"/>
          <w:marTop w:val="100"/>
          <w:marBottom w:val="0"/>
          <w:divBdr>
            <w:top w:val="none" w:sz="0" w:space="0" w:color="auto"/>
            <w:left w:val="none" w:sz="0" w:space="0" w:color="auto"/>
            <w:bottom w:val="none" w:sz="0" w:space="0" w:color="auto"/>
            <w:right w:val="none" w:sz="0" w:space="0" w:color="auto"/>
          </w:divBdr>
        </w:div>
        <w:div w:id="1675305836">
          <w:marLeft w:val="1800"/>
          <w:marRight w:val="0"/>
          <w:marTop w:val="100"/>
          <w:marBottom w:val="0"/>
          <w:divBdr>
            <w:top w:val="none" w:sz="0" w:space="0" w:color="auto"/>
            <w:left w:val="none" w:sz="0" w:space="0" w:color="auto"/>
            <w:bottom w:val="none" w:sz="0" w:space="0" w:color="auto"/>
            <w:right w:val="none" w:sz="0" w:space="0" w:color="auto"/>
          </w:divBdr>
        </w:div>
        <w:div w:id="2004577321">
          <w:marLeft w:val="1080"/>
          <w:marRight w:val="0"/>
          <w:marTop w:val="100"/>
          <w:marBottom w:val="0"/>
          <w:divBdr>
            <w:top w:val="none" w:sz="0" w:space="0" w:color="auto"/>
            <w:left w:val="none" w:sz="0" w:space="0" w:color="auto"/>
            <w:bottom w:val="none" w:sz="0" w:space="0" w:color="auto"/>
            <w:right w:val="none" w:sz="0" w:space="0" w:color="auto"/>
          </w:divBdr>
        </w:div>
      </w:divsChild>
    </w:div>
    <w:div w:id="1766800968">
      <w:bodyDiv w:val="1"/>
      <w:marLeft w:val="0"/>
      <w:marRight w:val="0"/>
      <w:marTop w:val="0"/>
      <w:marBottom w:val="0"/>
      <w:divBdr>
        <w:top w:val="none" w:sz="0" w:space="0" w:color="auto"/>
        <w:left w:val="none" w:sz="0" w:space="0" w:color="auto"/>
        <w:bottom w:val="none" w:sz="0" w:space="0" w:color="auto"/>
        <w:right w:val="none" w:sz="0" w:space="0" w:color="auto"/>
      </w:divBdr>
      <w:divsChild>
        <w:div w:id="1706517774">
          <w:marLeft w:val="1080"/>
          <w:marRight w:val="0"/>
          <w:marTop w:val="100"/>
          <w:marBottom w:val="0"/>
          <w:divBdr>
            <w:top w:val="none" w:sz="0" w:space="0" w:color="auto"/>
            <w:left w:val="none" w:sz="0" w:space="0" w:color="auto"/>
            <w:bottom w:val="none" w:sz="0" w:space="0" w:color="auto"/>
            <w:right w:val="none" w:sz="0" w:space="0" w:color="auto"/>
          </w:divBdr>
        </w:div>
      </w:divsChild>
    </w:div>
    <w:div w:id="1790080813">
      <w:bodyDiv w:val="1"/>
      <w:marLeft w:val="0"/>
      <w:marRight w:val="0"/>
      <w:marTop w:val="0"/>
      <w:marBottom w:val="0"/>
      <w:divBdr>
        <w:top w:val="none" w:sz="0" w:space="0" w:color="auto"/>
        <w:left w:val="none" w:sz="0" w:space="0" w:color="auto"/>
        <w:bottom w:val="none" w:sz="0" w:space="0" w:color="auto"/>
        <w:right w:val="none" w:sz="0" w:space="0" w:color="auto"/>
      </w:divBdr>
    </w:div>
    <w:div w:id="1856535579">
      <w:bodyDiv w:val="1"/>
      <w:marLeft w:val="0"/>
      <w:marRight w:val="0"/>
      <w:marTop w:val="0"/>
      <w:marBottom w:val="0"/>
      <w:divBdr>
        <w:top w:val="none" w:sz="0" w:space="0" w:color="auto"/>
        <w:left w:val="none" w:sz="0" w:space="0" w:color="auto"/>
        <w:bottom w:val="none" w:sz="0" w:space="0" w:color="auto"/>
        <w:right w:val="none" w:sz="0" w:space="0" w:color="auto"/>
      </w:divBdr>
    </w:div>
    <w:div w:id="1864319115">
      <w:bodyDiv w:val="1"/>
      <w:marLeft w:val="0"/>
      <w:marRight w:val="0"/>
      <w:marTop w:val="0"/>
      <w:marBottom w:val="0"/>
      <w:divBdr>
        <w:top w:val="none" w:sz="0" w:space="0" w:color="auto"/>
        <w:left w:val="none" w:sz="0" w:space="0" w:color="auto"/>
        <w:bottom w:val="none" w:sz="0" w:space="0" w:color="auto"/>
        <w:right w:val="none" w:sz="0" w:space="0" w:color="auto"/>
      </w:divBdr>
    </w:div>
    <w:div w:id="1902671863">
      <w:bodyDiv w:val="1"/>
      <w:marLeft w:val="0"/>
      <w:marRight w:val="0"/>
      <w:marTop w:val="0"/>
      <w:marBottom w:val="0"/>
      <w:divBdr>
        <w:top w:val="none" w:sz="0" w:space="0" w:color="auto"/>
        <w:left w:val="none" w:sz="0" w:space="0" w:color="auto"/>
        <w:bottom w:val="none" w:sz="0" w:space="0" w:color="auto"/>
        <w:right w:val="none" w:sz="0" w:space="0" w:color="auto"/>
      </w:divBdr>
    </w:div>
    <w:div w:id="1951818899">
      <w:bodyDiv w:val="1"/>
      <w:marLeft w:val="0"/>
      <w:marRight w:val="0"/>
      <w:marTop w:val="0"/>
      <w:marBottom w:val="0"/>
      <w:divBdr>
        <w:top w:val="none" w:sz="0" w:space="0" w:color="auto"/>
        <w:left w:val="none" w:sz="0" w:space="0" w:color="auto"/>
        <w:bottom w:val="none" w:sz="0" w:space="0" w:color="auto"/>
        <w:right w:val="none" w:sz="0" w:space="0" w:color="auto"/>
      </w:divBdr>
    </w:div>
    <w:div w:id="2039891139">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68140831">
      <w:bodyDiv w:val="1"/>
      <w:marLeft w:val="0"/>
      <w:marRight w:val="0"/>
      <w:marTop w:val="0"/>
      <w:marBottom w:val="0"/>
      <w:divBdr>
        <w:top w:val="none" w:sz="0" w:space="0" w:color="auto"/>
        <w:left w:val="none" w:sz="0" w:space="0" w:color="auto"/>
        <w:bottom w:val="none" w:sz="0" w:space="0" w:color="auto"/>
        <w:right w:val="none" w:sz="0" w:space="0" w:color="auto"/>
      </w:divBdr>
      <w:divsChild>
        <w:div w:id="1373580127">
          <w:marLeft w:val="360"/>
          <w:marRight w:val="0"/>
          <w:marTop w:val="200"/>
          <w:marBottom w:val="0"/>
          <w:divBdr>
            <w:top w:val="none" w:sz="0" w:space="0" w:color="auto"/>
            <w:left w:val="none" w:sz="0" w:space="0" w:color="auto"/>
            <w:bottom w:val="none" w:sz="0" w:space="0" w:color="auto"/>
            <w:right w:val="none" w:sz="0" w:space="0" w:color="auto"/>
          </w:divBdr>
        </w:div>
      </w:divsChild>
    </w:div>
    <w:div w:id="20808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cumkarlo@gmail.com" TargetMode="External"/><Relationship Id="rId18" Type="http://schemas.openxmlformats.org/officeDocument/2006/relationships/diagramData" Target="diagrams/data1.xml"/><Relationship Id="rId26" Type="http://schemas.openxmlformats.org/officeDocument/2006/relationships/hyperlink" Target="mailto:kamil.kamaluddeen@undp.org" TargetMode="External"/><Relationship Id="rId39" Type="http://schemas.openxmlformats.org/officeDocument/2006/relationships/theme" Target="theme/theme1.xml"/><Relationship Id="rId21" Type="http://schemas.openxmlformats.org/officeDocument/2006/relationships/diagramColors" Target="diagrams/colors1.xml"/><Relationship Id="rId34" Type="http://schemas.openxmlformats.org/officeDocument/2006/relationships/hyperlink" Target="mailto:mayoya@unicef.org" TargetMode="External"/><Relationship Id="rId7" Type="http://schemas.openxmlformats.org/officeDocument/2006/relationships/settings" Target="settings.xml"/><Relationship Id="rId12" Type="http://schemas.openxmlformats.org/officeDocument/2006/relationships/hyperlink" Target="mailto:asuley@unicef.org" TargetMode="External"/><Relationship Id="rId17" Type="http://schemas.openxmlformats.org/officeDocument/2006/relationships/image" Target="media/image1.png"/><Relationship Id="rId25" Type="http://schemas.openxmlformats.org/officeDocument/2006/relationships/footer" Target="footer4.xml"/><Relationship Id="rId33" Type="http://schemas.openxmlformats.org/officeDocument/2006/relationships/hyperlink" Target="mailto:pkucita@unicef.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QuickStyle" Target="diagrams/quickStyle1.xml"/><Relationship Id="rId29" Type="http://schemas.openxmlformats.org/officeDocument/2006/relationships/hyperlink" Target="mailto:mayoya@unice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iman.jagne@undp.org" TargetMode="External"/><Relationship Id="rId24" Type="http://schemas.openxmlformats.org/officeDocument/2006/relationships/footer" Target="footer3.xml"/><Relationship Id="rId32" Type="http://schemas.openxmlformats.org/officeDocument/2006/relationships/hyperlink" Target="mailto:mayoya@unicef.org" TargetMode="External"/><Relationship Id="rId37" Type="http://schemas.openxmlformats.org/officeDocument/2006/relationships/hyperlink" Target="mailto:mcummins@unicef.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uneval.org/document/detail/1620" TargetMode="External"/><Relationship Id="rId28" Type="http://schemas.openxmlformats.org/officeDocument/2006/relationships/hyperlink" Target="mailto:chrysantus.ayangafac@undp.org" TargetMode="External"/><Relationship Id="rId36" Type="http://schemas.openxmlformats.org/officeDocument/2006/relationships/hyperlink" Target="mailto:edamundu@unicef.org" TargetMode="Externa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yperlink" Target="mailto:edamundu@unice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diagramDrawing" Target="diagrams/drawing1.xml"/><Relationship Id="rId27" Type="http://schemas.openxmlformats.org/officeDocument/2006/relationships/hyperlink" Target="mailto:kamil.kamaluddeen@undp.org" TargetMode="External"/><Relationship Id="rId30" Type="http://schemas.openxmlformats.org/officeDocument/2006/relationships/hyperlink" Target="mailto:hban@unicef.org" TargetMode="External"/><Relationship Id="rId35" Type="http://schemas.openxmlformats.org/officeDocument/2006/relationships/hyperlink" Target="mailto:hban@unicef.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public.tableau.com/views/OECDDACAidataglancebyrecipient_new/Recipients?:embed=y&amp;:display_count=yes&amp;:showTabs=y&amp;:toolbar=no?&amp;:showVizHome=no" TargetMode="External"/><Relationship Id="rId2" Type="http://schemas.openxmlformats.org/officeDocument/2006/relationships/hyperlink" Target="https://data.worldbank.org/indicator/DT.ODA.ALLD.CD?locations=SS" TargetMode="External"/><Relationship Id="rId1" Type="http://schemas.openxmlformats.org/officeDocument/2006/relationships/hyperlink" Target="https://www.worldbank.org/en/country/southsudan/overview" TargetMode="External"/><Relationship Id="rId5" Type="http://schemas.openxmlformats.org/officeDocument/2006/relationships/hyperlink" Target="http://www.unwomen.org/en/digital-library/publications/2015/4/un-women-evaluation-handbook-how-to-manage-gender-responsive-evaluation" TargetMode="External"/><Relationship Id="rId4" Type="http://schemas.openxmlformats.org/officeDocument/2006/relationships/hyperlink" Target="https://www.un.org/sg/sites/www.un.org.sg/files/atoms/files/The_Highest_Asperation_A_Call_To_Action_For_Human_Right_English.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C14385-CF35-4E09-9936-FF1ECA6528D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B0E9E5D-A1CA-4EFE-995E-118BF6C9AA42}">
      <dgm:prSet phldrT="[Text]" custT="1"/>
      <dgm:spPr>
        <a:xfrm>
          <a:off x="971993" y="416392"/>
          <a:ext cx="3617978" cy="81304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800">
              <a:latin typeface="Verdana" panose="020B0604030504040204" pitchFamily="34" charset="0"/>
              <a:ea typeface="Verdana" panose="020B0604030504040204" pitchFamily="34" charset="0"/>
            </a:rPr>
            <a:t>7% increase in budget allocation to national priorities and social services which work toward the achievement of the SDGs especially 16, 4, 1, 3, 5, 6, 10, and 17</a:t>
          </a:r>
          <a:endParaRPr lang="en-US" sz="800">
            <a:solidFill>
              <a:sysClr val="window" lastClr="FFFFFF"/>
            </a:solidFill>
            <a:latin typeface="Verdana" panose="020B0604030504040204" pitchFamily="34" charset="0"/>
            <a:ea typeface="Verdana" panose="020B0604030504040204" pitchFamily="34" charset="0"/>
            <a:cs typeface="+mn-cs"/>
          </a:endParaRPr>
        </a:p>
      </dgm:t>
    </dgm:pt>
    <dgm:pt modelId="{F6606E5D-3D2E-4BA5-A079-5F8AE5E3725F}" type="parTrans" cxnId="{6360C7EC-205B-4802-905E-C49A3F503F5D}">
      <dgm:prSet/>
      <dgm:spPr/>
      <dgm:t>
        <a:bodyPr/>
        <a:lstStyle/>
        <a:p>
          <a:endParaRPr lang="en-US" sz="800">
            <a:latin typeface="Verdana" panose="020B0604030504040204" pitchFamily="34" charset="0"/>
            <a:ea typeface="Verdana" panose="020B0604030504040204" pitchFamily="34" charset="0"/>
          </a:endParaRPr>
        </a:p>
      </dgm:t>
    </dgm:pt>
    <dgm:pt modelId="{645D423E-9232-4512-AD7C-977BD715376D}" type="sibTrans" cxnId="{6360C7EC-205B-4802-905E-C49A3F503F5D}">
      <dgm:prSet/>
      <dgm:spPr/>
      <dgm:t>
        <a:bodyPr/>
        <a:lstStyle/>
        <a:p>
          <a:endParaRPr lang="en-US" sz="800">
            <a:latin typeface="Verdana" panose="020B0604030504040204" pitchFamily="34" charset="0"/>
            <a:ea typeface="Verdana" panose="020B0604030504040204" pitchFamily="34" charset="0"/>
          </a:endParaRPr>
        </a:p>
      </dgm:t>
    </dgm:pt>
    <dgm:pt modelId="{80910454-6C94-4099-A7EC-3ACA7ED2F534}">
      <dgm:prSet phldrT="[Text]" custT="1"/>
      <dgm:spPr>
        <a:xfrm>
          <a:off x="373" y="1570914"/>
          <a:ext cx="1626087" cy="81304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800" dirty="0">
              <a:latin typeface="Verdana" panose="020B0604030504040204" pitchFamily="34" charset="0"/>
              <a:ea typeface="Verdana" panose="020B0604030504040204" pitchFamily="34" charset="0"/>
            </a:rPr>
            <a:t>By 2022, 15% increase in non-oil revenue mobilization in Central </a:t>
          </a:r>
          <a:r>
            <a:rPr lang="en-US" sz="800" dirty="0" err="1">
              <a:latin typeface="Verdana" panose="020B0604030504040204" pitchFamily="34" charset="0"/>
              <a:ea typeface="Verdana" panose="020B0604030504040204" pitchFamily="34" charset="0"/>
            </a:rPr>
            <a:t>Equatoria</a:t>
          </a:r>
          <a:r>
            <a:rPr lang="en-US" sz="800" dirty="0">
              <a:latin typeface="Verdana" panose="020B0604030504040204" pitchFamily="34" charset="0"/>
              <a:ea typeface="Verdana" panose="020B0604030504040204" pitchFamily="34" charset="0"/>
            </a:rPr>
            <a:t>, Western </a:t>
          </a:r>
          <a:r>
            <a:rPr lang="en-US" sz="800" dirty="0" err="1">
              <a:latin typeface="Verdana" panose="020B0604030504040204" pitchFamily="34" charset="0"/>
              <a:ea typeface="Verdana" panose="020B0604030504040204" pitchFamily="34" charset="0"/>
            </a:rPr>
            <a:t>Equatoria</a:t>
          </a:r>
          <a:r>
            <a:rPr lang="en-US" sz="800" dirty="0">
              <a:latin typeface="Verdana" panose="020B0604030504040204" pitchFamily="34" charset="0"/>
              <a:ea typeface="Verdana" panose="020B0604030504040204" pitchFamily="34" charset="0"/>
            </a:rPr>
            <a:t> and Northern Bahr el Ghazal States</a:t>
          </a:r>
          <a:endParaRPr lang="en-US" sz="800">
            <a:solidFill>
              <a:sysClr val="window" lastClr="FFFFFF"/>
            </a:solidFill>
            <a:latin typeface="Verdana" panose="020B0604030504040204" pitchFamily="34" charset="0"/>
            <a:ea typeface="Verdana" panose="020B0604030504040204" pitchFamily="34" charset="0"/>
            <a:cs typeface="+mn-cs"/>
          </a:endParaRPr>
        </a:p>
      </dgm:t>
    </dgm:pt>
    <dgm:pt modelId="{148FD024-B39B-4ED7-979A-324B8CCC0D8A}" type="parTrans" cxnId="{DB883427-BF02-4875-B6AE-450736D92D03}">
      <dgm:prSet/>
      <dgm:spPr>
        <a:xfrm>
          <a:off x="813417" y="1229435"/>
          <a:ext cx="1967565" cy="341478"/>
        </a:xfrm>
        <a:noFill/>
        <a:ln w="12700" cap="flat" cmpd="sng" algn="ctr">
          <a:solidFill>
            <a:srgbClr val="4472C4">
              <a:shade val="60000"/>
              <a:hueOff val="0"/>
              <a:satOff val="0"/>
              <a:lumOff val="0"/>
              <a:alphaOff val="0"/>
            </a:srgbClr>
          </a:solidFill>
          <a:prstDash val="solid"/>
          <a:miter lim="800000"/>
        </a:ln>
        <a:effectLst/>
      </dgm:spPr>
      <dgm:t>
        <a:bodyPr/>
        <a:lstStyle/>
        <a:p>
          <a:endParaRPr lang="en-US" sz="800">
            <a:latin typeface="Verdana" panose="020B0604030504040204" pitchFamily="34" charset="0"/>
            <a:ea typeface="Verdana" panose="020B0604030504040204" pitchFamily="34" charset="0"/>
          </a:endParaRPr>
        </a:p>
      </dgm:t>
    </dgm:pt>
    <dgm:pt modelId="{E52AA05F-C78E-4248-9BE6-77ABFFB9550F}" type="sibTrans" cxnId="{DB883427-BF02-4875-B6AE-450736D92D03}">
      <dgm:prSet/>
      <dgm:spPr/>
      <dgm:t>
        <a:bodyPr/>
        <a:lstStyle/>
        <a:p>
          <a:endParaRPr lang="en-US" sz="800">
            <a:latin typeface="Verdana" panose="020B0604030504040204" pitchFamily="34" charset="0"/>
            <a:ea typeface="Verdana" panose="020B0604030504040204" pitchFamily="34" charset="0"/>
          </a:endParaRPr>
        </a:p>
      </dgm:t>
    </dgm:pt>
    <dgm:pt modelId="{E8E5D0DE-E467-4EE7-8E3D-0B56505C12FE}">
      <dgm:prSet phldrT="[Text]" custT="1"/>
      <dgm:spPr>
        <a:xfrm>
          <a:off x="1967938" y="1570914"/>
          <a:ext cx="1626087" cy="81304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800" dirty="0">
              <a:latin typeface="Verdana" panose="020B0604030504040204" pitchFamily="34" charset="0"/>
              <a:ea typeface="Verdana" panose="020B0604030504040204" pitchFamily="34" charset="0"/>
            </a:rPr>
            <a:t>By 2022, 22 strengthened and gender responsive PFM institutions in </a:t>
          </a:r>
          <a:r>
            <a:rPr lang="en-US" sz="800" dirty="0">
              <a:latin typeface="Verdana" panose="020B0604030504040204" pitchFamily="34" charset="0"/>
              <a:ea typeface="Verdana" panose="020B0604030504040204" pitchFamily="34" charset="0"/>
              <a:cs typeface="+mn-lt"/>
            </a:rPr>
            <a:t>Central </a:t>
          </a:r>
          <a:r>
            <a:rPr lang="en-US" sz="800" dirty="0" err="1">
              <a:latin typeface="Verdana" panose="020B0604030504040204" pitchFamily="34" charset="0"/>
              <a:ea typeface="Verdana" panose="020B0604030504040204" pitchFamily="34" charset="0"/>
              <a:cs typeface="+mn-lt"/>
            </a:rPr>
            <a:t>Equatoria</a:t>
          </a:r>
          <a:r>
            <a:rPr lang="en-US" sz="800" dirty="0">
              <a:latin typeface="Verdana" panose="020B0604030504040204" pitchFamily="34" charset="0"/>
              <a:ea typeface="Verdana" panose="020B0604030504040204" pitchFamily="34" charset="0"/>
              <a:cs typeface="+mn-lt"/>
            </a:rPr>
            <a:t>, Western </a:t>
          </a:r>
          <a:r>
            <a:rPr lang="en-US" sz="800" dirty="0" err="1">
              <a:latin typeface="Verdana" panose="020B0604030504040204" pitchFamily="34" charset="0"/>
              <a:ea typeface="Verdana" panose="020B0604030504040204" pitchFamily="34" charset="0"/>
              <a:cs typeface="+mn-lt"/>
            </a:rPr>
            <a:t>Equatoria</a:t>
          </a:r>
          <a:r>
            <a:rPr lang="en-US" sz="800" dirty="0">
              <a:latin typeface="Verdana" panose="020B0604030504040204" pitchFamily="34" charset="0"/>
              <a:ea typeface="Verdana" panose="020B0604030504040204" pitchFamily="34" charset="0"/>
              <a:cs typeface="+mn-lt"/>
            </a:rPr>
            <a:t> and Northern Bahr el Ghazal</a:t>
          </a:r>
          <a:r>
            <a:rPr lang="en-US" sz="800" dirty="0">
              <a:latin typeface="Verdana" panose="020B0604030504040204" pitchFamily="34" charset="0"/>
              <a:ea typeface="Verdana" panose="020B0604030504040204" pitchFamily="34" charset="0"/>
            </a:rPr>
            <a:t> States</a:t>
          </a:r>
          <a:endParaRPr lang="en-US" sz="800">
            <a:solidFill>
              <a:sysClr val="window" lastClr="FFFFFF"/>
            </a:solidFill>
            <a:latin typeface="Verdana" panose="020B0604030504040204" pitchFamily="34" charset="0"/>
            <a:ea typeface="Verdana" panose="020B0604030504040204" pitchFamily="34" charset="0"/>
            <a:cs typeface="+mn-cs"/>
          </a:endParaRPr>
        </a:p>
      </dgm:t>
    </dgm:pt>
    <dgm:pt modelId="{2BB7C7C7-43B0-40C9-A505-A0D87992EA9A}" type="parTrans" cxnId="{7161DAFC-64B8-415C-9049-CB1E1428216F}">
      <dgm:prSet/>
      <dgm:spPr>
        <a:xfrm>
          <a:off x="2735262" y="1229435"/>
          <a:ext cx="91440" cy="341478"/>
        </a:xfrm>
        <a:noFill/>
        <a:ln w="12700" cap="flat" cmpd="sng" algn="ctr">
          <a:solidFill>
            <a:srgbClr val="4472C4">
              <a:shade val="60000"/>
              <a:hueOff val="0"/>
              <a:satOff val="0"/>
              <a:lumOff val="0"/>
              <a:alphaOff val="0"/>
            </a:srgbClr>
          </a:solidFill>
          <a:prstDash val="solid"/>
          <a:miter lim="800000"/>
        </a:ln>
        <a:effectLst/>
      </dgm:spPr>
      <dgm:t>
        <a:bodyPr/>
        <a:lstStyle/>
        <a:p>
          <a:endParaRPr lang="en-US" sz="800">
            <a:latin typeface="Verdana" panose="020B0604030504040204" pitchFamily="34" charset="0"/>
            <a:ea typeface="Verdana" panose="020B0604030504040204" pitchFamily="34" charset="0"/>
          </a:endParaRPr>
        </a:p>
      </dgm:t>
    </dgm:pt>
    <dgm:pt modelId="{5538320E-8991-4C93-9EBF-DA6CDBADF0A1}" type="sibTrans" cxnId="{7161DAFC-64B8-415C-9049-CB1E1428216F}">
      <dgm:prSet/>
      <dgm:spPr/>
      <dgm:t>
        <a:bodyPr/>
        <a:lstStyle/>
        <a:p>
          <a:endParaRPr lang="en-US" sz="800">
            <a:latin typeface="Verdana" panose="020B0604030504040204" pitchFamily="34" charset="0"/>
            <a:ea typeface="Verdana" panose="020B0604030504040204" pitchFamily="34" charset="0"/>
          </a:endParaRPr>
        </a:p>
      </dgm:t>
    </dgm:pt>
    <dgm:pt modelId="{C5FA4322-87FB-4A5C-B909-397DCE0FA63F}">
      <dgm:prSet phldrT="[Text]" custT="1"/>
      <dgm:spPr>
        <a:xfrm>
          <a:off x="3935504" y="1570914"/>
          <a:ext cx="1626087" cy="81304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dirty="0">
              <a:latin typeface="Verdana" panose="020B0604030504040204" pitchFamily="34" charset="0"/>
              <a:ea typeface="Verdana" panose="020B0604030504040204" pitchFamily="34" charset="0"/>
            </a:rPr>
            <a:t>By 2022, Improved transparency and coordination in the preparation of SDGs aligning national and state level development strategies </a:t>
          </a:r>
          <a:endParaRPr lang="en-US" sz="800">
            <a:solidFill>
              <a:sysClr val="window" lastClr="FFFFFF"/>
            </a:solidFill>
            <a:latin typeface="Verdana" panose="020B0604030504040204" pitchFamily="34" charset="0"/>
            <a:ea typeface="Verdana" panose="020B0604030504040204" pitchFamily="34" charset="0"/>
            <a:cs typeface="+mn-cs"/>
          </a:endParaRPr>
        </a:p>
      </dgm:t>
    </dgm:pt>
    <dgm:pt modelId="{569EB380-0D65-49E2-A52D-3F0B7C736AB3}" type="parTrans" cxnId="{9EBB05C8-F167-420A-9508-552A22AEBCAF}">
      <dgm:prSet/>
      <dgm:spPr>
        <a:xfrm>
          <a:off x="2780982" y="1229435"/>
          <a:ext cx="1967565" cy="341478"/>
        </a:xfrm>
        <a:noFill/>
        <a:ln w="12700" cap="flat" cmpd="sng" algn="ctr">
          <a:solidFill>
            <a:srgbClr val="4472C4">
              <a:shade val="60000"/>
              <a:hueOff val="0"/>
              <a:satOff val="0"/>
              <a:lumOff val="0"/>
              <a:alphaOff val="0"/>
            </a:srgbClr>
          </a:solidFill>
          <a:prstDash val="solid"/>
          <a:miter lim="800000"/>
        </a:ln>
        <a:effectLst/>
      </dgm:spPr>
      <dgm:t>
        <a:bodyPr/>
        <a:lstStyle/>
        <a:p>
          <a:endParaRPr lang="en-US" sz="800">
            <a:latin typeface="Verdana" panose="020B0604030504040204" pitchFamily="34" charset="0"/>
            <a:ea typeface="Verdana" panose="020B0604030504040204" pitchFamily="34" charset="0"/>
          </a:endParaRPr>
        </a:p>
      </dgm:t>
    </dgm:pt>
    <dgm:pt modelId="{D7659BA6-CBBA-46E6-BC17-E17908D2B9F6}" type="sibTrans" cxnId="{9EBB05C8-F167-420A-9508-552A22AEBCAF}">
      <dgm:prSet/>
      <dgm:spPr/>
      <dgm:t>
        <a:bodyPr/>
        <a:lstStyle/>
        <a:p>
          <a:endParaRPr lang="en-US" sz="800">
            <a:latin typeface="Verdana" panose="020B0604030504040204" pitchFamily="34" charset="0"/>
            <a:ea typeface="Verdana" panose="020B0604030504040204" pitchFamily="34" charset="0"/>
          </a:endParaRPr>
        </a:p>
      </dgm:t>
    </dgm:pt>
    <dgm:pt modelId="{B5629B31-B1EA-4D03-9F16-161DB55C5D9C}" type="pres">
      <dgm:prSet presAssocID="{DBC14385-CF35-4E09-9936-FF1ECA6528D7}" presName="hierChild1" presStyleCnt="0">
        <dgm:presLayoutVars>
          <dgm:orgChart val="1"/>
          <dgm:chPref val="1"/>
          <dgm:dir/>
          <dgm:animOne val="branch"/>
          <dgm:animLvl val="lvl"/>
          <dgm:resizeHandles/>
        </dgm:presLayoutVars>
      </dgm:prSet>
      <dgm:spPr/>
    </dgm:pt>
    <dgm:pt modelId="{C38368BF-1324-4021-8CDE-451955322C32}" type="pres">
      <dgm:prSet presAssocID="{3B0E9E5D-A1CA-4EFE-995E-118BF6C9AA42}" presName="hierRoot1" presStyleCnt="0">
        <dgm:presLayoutVars>
          <dgm:hierBranch val="init"/>
        </dgm:presLayoutVars>
      </dgm:prSet>
      <dgm:spPr/>
    </dgm:pt>
    <dgm:pt modelId="{7E7E2D78-9091-4886-B90C-1D99B38AD3B0}" type="pres">
      <dgm:prSet presAssocID="{3B0E9E5D-A1CA-4EFE-995E-118BF6C9AA42}" presName="rootComposite1" presStyleCnt="0"/>
      <dgm:spPr/>
    </dgm:pt>
    <dgm:pt modelId="{D04602F3-8A3A-4FB7-B5F0-FA6AEDB8C5BB}" type="pres">
      <dgm:prSet presAssocID="{3B0E9E5D-A1CA-4EFE-995E-118BF6C9AA42}" presName="rootText1" presStyleLbl="node0" presStyleIdx="0" presStyleCnt="1" custScaleX="222496">
        <dgm:presLayoutVars>
          <dgm:chPref val="3"/>
        </dgm:presLayoutVars>
      </dgm:prSet>
      <dgm:spPr>
        <a:prstGeom prst="rect">
          <a:avLst/>
        </a:prstGeom>
      </dgm:spPr>
    </dgm:pt>
    <dgm:pt modelId="{CC7AE372-877A-43E4-A72F-CF25BB60F451}" type="pres">
      <dgm:prSet presAssocID="{3B0E9E5D-A1CA-4EFE-995E-118BF6C9AA42}" presName="rootConnector1" presStyleLbl="node1" presStyleIdx="0" presStyleCnt="0"/>
      <dgm:spPr/>
    </dgm:pt>
    <dgm:pt modelId="{7220F1BD-F6CE-4953-8AEA-596A53D2E6CC}" type="pres">
      <dgm:prSet presAssocID="{3B0E9E5D-A1CA-4EFE-995E-118BF6C9AA42}" presName="hierChild2" presStyleCnt="0"/>
      <dgm:spPr/>
    </dgm:pt>
    <dgm:pt modelId="{59364B6C-4CCF-465A-BFA4-6A9A0D85C5B6}" type="pres">
      <dgm:prSet presAssocID="{148FD024-B39B-4ED7-979A-324B8CCC0D8A}" presName="Name37" presStyleLbl="parChTrans1D2" presStyleIdx="0" presStyleCnt="3"/>
      <dgm:spPr>
        <a:custGeom>
          <a:avLst/>
          <a:gdLst/>
          <a:ahLst/>
          <a:cxnLst/>
          <a:rect l="0" t="0" r="0" b="0"/>
          <a:pathLst>
            <a:path>
              <a:moveTo>
                <a:pt x="1967565" y="0"/>
              </a:moveTo>
              <a:lnTo>
                <a:pt x="1967565" y="170739"/>
              </a:lnTo>
              <a:lnTo>
                <a:pt x="0" y="170739"/>
              </a:lnTo>
              <a:lnTo>
                <a:pt x="0" y="341478"/>
              </a:lnTo>
            </a:path>
          </a:pathLst>
        </a:custGeom>
      </dgm:spPr>
    </dgm:pt>
    <dgm:pt modelId="{1F31602A-4839-4069-AF96-DB48585965F6}" type="pres">
      <dgm:prSet presAssocID="{80910454-6C94-4099-A7EC-3ACA7ED2F534}" presName="hierRoot2" presStyleCnt="0">
        <dgm:presLayoutVars>
          <dgm:hierBranch val="init"/>
        </dgm:presLayoutVars>
      </dgm:prSet>
      <dgm:spPr/>
    </dgm:pt>
    <dgm:pt modelId="{DF8E51AB-8E8A-4D0A-981A-ACC5F94E7657}" type="pres">
      <dgm:prSet presAssocID="{80910454-6C94-4099-A7EC-3ACA7ED2F534}" presName="rootComposite" presStyleCnt="0"/>
      <dgm:spPr/>
    </dgm:pt>
    <dgm:pt modelId="{858AC1C2-0571-451A-B0E9-12A60C315730}" type="pres">
      <dgm:prSet presAssocID="{80910454-6C94-4099-A7EC-3ACA7ED2F534}" presName="rootText" presStyleLbl="node2" presStyleIdx="0" presStyleCnt="3">
        <dgm:presLayoutVars>
          <dgm:chPref val="3"/>
        </dgm:presLayoutVars>
      </dgm:prSet>
      <dgm:spPr>
        <a:prstGeom prst="rect">
          <a:avLst/>
        </a:prstGeom>
      </dgm:spPr>
    </dgm:pt>
    <dgm:pt modelId="{29DB5966-5AC0-4EF5-9408-D57DD665AE83}" type="pres">
      <dgm:prSet presAssocID="{80910454-6C94-4099-A7EC-3ACA7ED2F534}" presName="rootConnector" presStyleLbl="node2" presStyleIdx="0" presStyleCnt="3"/>
      <dgm:spPr/>
    </dgm:pt>
    <dgm:pt modelId="{B8BE232E-C9A9-464A-8CBC-4B3374046A55}" type="pres">
      <dgm:prSet presAssocID="{80910454-6C94-4099-A7EC-3ACA7ED2F534}" presName="hierChild4" presStyleCnt="0"/>
      <dgm:spPr/>
    </dgm:pt>
    <dgm:pt modelId="{8733748D-468D-47B7-B760-66DB937A5E1B}" type="pres">
      <dgm:prSet presAssocID="{80910454-6C94-4099-A7EC-3ACA7ED2F534}" presName="hierChild5" presStyleCnt="0"/>
      <dgm:spPr/>
    </dgm:pt>
    <dgm:pt modelId="{A521740E-E9A1-4C52-AE5D-0C230FF41F52}" type="pres">
      <dgm:prSet presAssocID="{2BB7C7C7-43B0-40C9-A505-A0D87992EA9A}" presName="Name37" presStyleLbl="parChTrans1D2" presStyleIdx="1" presStyleCnt="3"/>
      <dgm:spPr>
        <a:custGeom>
          <a:avLst/>
          <a:gdLst/>
          <a:ahLst/>
          <a:cxnLst/>
          <a:rect l="0" t="0" r="0" b="0"/>
          <a:pathLst>
            <a:path>
              <a:moveTo>
                <a:pt x="45720" y="0"/>
              </a:moveTo>
              <a:lnTo>
                <a:pt x="45720" y="341478"/>
              </a:lnTo>
            </a:path>
          </a:pathLst>
        </a:custGeom>
      </dgm:spPr>
    </dgm:pt>
    <dgm:pt modelId="{C64ED194-0D4C-4AF5-AC75-26474D6B6BC2}" type="pres">
      <dgm:prSet presAssocID="{E8E5D0DE-E467-4EE7-8E3D-0B56505C12FE}" presName="hierRoot2" presStyleCnt="0">
        <dgm:presLayoutVars>
          <dgm:hierBranch val="init"/>
        </dgm:presLayoutVars>
      </dgm:prSet>
      <dgm:spPr/>
    </dgm:pt>
    <dgm:pt modelId="{47017DD2-93D9-4B1B-9840-7037AB5AB666}" type="pres">
      <dgm:prSet presAssocID="{E8E5D0DE-E467-4EE7-8E3D-0B56505C12FE}" presName="rootComposite" presStyleCnt="0"/>
      <dgm:spPr/>
    </dgm:pt>
    <dgm:pt modelId="{DF7153AC-2AD4-408C-B5A6-E4820D249A78}" type="pres">
      <dgm:prSet presAssocID="{E8E5D0DE-E467-4EE7-8E3D-0B56505C12FE}" presName="rootText" presStyleLbl="node2" presStyleIdx="1" presStyleCnt="3">
        <dgm:presLayoutVars>
          <dgm:chPref val="3"/>
        </dgm:presLayoutVars>
      </dgm:prSet>
      <dgm:spPr>
        <a:prstGeom prst="rect">
          <a:avLst/>
        </a:prstGeom>
      </dgm:spPr>
    </dgm:pt>
    <dgm:pt modelId="{7E815B47-2F95-43FB-8DC0-1FB9BCF3D287}" type="pres">
      <dgm:prSet presAssocID="{E8E5D0DE-E467-4EE7-8E3D-0B56505C12FE}" presName="rootConnector" presStyleLbl="node2" presStyleIdx="1" presStyleCnt="3"/>
      <dgm:spPr/>
    </dgm:pt>
    <dgm:pt modelId="{D287CCBE-E5B6-4708-A5C2-0FCD445CE43C}" type="pres">
      <dgm:prSet presAssocID="{E8E5D0DE-E467-4EE7-8E3D-0B56505C12FE}" presName="hierChild4" presStyleCnt="0"/>
      <dgm:spPr/>
    </dgm:pt>
    <dgm:pt modelId="{301C68EE-BBE1-418D-AA75-7638BC41FB87}" type="pres">
      <dgm:prSet presAssocID="{E8E5D0DE-E467-4EE7-8E3D-0B56505C12FE}" presName="hierChild5" presStyleCnt="0"/>
      <dgm:spPr/>
    </dgm:pt>
    <dgm:pt modelId="{9312E127-0F34-41DA-BC69-7C9F700909F6}" type="pres">
      <dgm:prSet presAssocID="{569EB380-0D65-49E2-A52D-3F0B7C736AB3}" presName="Name37" presStyleLbl="parChTrans1D2" presStyleIdx="2" presStyleCnt="3"/>
      <dgm:spPr>
        <a:custGeom>
          <a:avLst/>
          <a:gdLst/>
          <a:ahLst/>
          <a:cxnLst/>
          <a:rect l="0" t="0" r="0" b="0"/>
          <a:pathLst>
            <a:path>
              <a:moveTo>
                <a:pt x="0" y="0"/>
              </a:moveTo>
              <a:lnTo>
                <a:pt x="0" y="170739"/>
              </a:lnTo>
              <a:lnTo>
                <a:pt x="1967565" y="170739"/>
              </a:lnTo>
              <a:lnTo>
                <a:pt x="1967565" y="341478"/>
              </a:lnTo>
            </a:path>
          </a:pathLst>
        </a:custGeom>
      </dgm:spPr>
    </dgm:pt>
    <dgm:pt modelId="{3F915F60-EF71-4FDC-B47E-57B5D5DE3482}" type="pres">
      <dgm:prSet presAssocID="{C5FA4322-87FB-4A5C-B909-397DCE0FA63F}" presName="hierRoot2" presStyleCnt="0">
        <dgm:presLayoutVars>
          <dgm:hierBranch val="init"/>
        </dgm:presLayoutVars>
      </dgm:prSet>
      <dgm:spPr/>
    </dgm:pt>
    <dgm:pt modelId="{0216F15D-AC82-4AF6-9D5B-ED81450B012A}" type="pres">
      <dgm:prSet presAssocID="{C5FA4322-87FB-4A5C-B909-397DCE0FA63F}" presName="rootComposite" presStyleCnt="0"/>
      <dgm:spPr/>
    </dgm:pt>
    <dgm:pt modelId="{19A5FA19-3142-45AE-B67C-8956A769D41B}" type="pres">
      <dgm:prSet presAssocID="{C5FA4322-87FB-4A5C-B909-397DCE0FA63F}" presName="rootText" presStyleLbl="node2" presStyleIdx="2" presStyleCnt="3">
        <dgm:presLayoutVars>
          <dgm:chPref val="3"/>
        </dgm:presLayoutVars>
      </dgm:prSet>
      <dgm:spPr>
        <a:prstGeom prst="rect">
          <a:avLst/>
        </a:prstGeom>
      </dgm:spPr>
    </dgm:pt>
    <dgm:pt modelId="{0B48E8C3-1CB1-4732-8460-DC26D65CF31A}" type="pres">
      <dgm:prSet presAssocID="{C5FA4322-87FB-4A5C-B909-397DCE0FA63F}" presName="rootConnector" presStyleLbl="node2" presStyleIdx="2" presStyleCnt="3"/>
      <dgm:spPr/>
    </dgm:pt>
    <dgm:pt modelId="{270FF78F-4D67-4092-A8F5-81D58CAE77AF}" type="pres">
      <dgm:prSet presAssocID="{C5FA4322-87FB-4A5C-B909-397DCE0FA63F}" presName="hierChild4" presStyleCnt="0"/>
      <dgm:spPr/>
    </dgm:pt>
    <dgm:pt modelId="{FE390F01-7F4B-4CC0-A800-614EC901E4E7}" type="pres">
      <dgm:prSet presAssocID="{C5FA4322-87FB-4A5C-B909-397DCE0FA63F}" presName="hierChild5" presStyleCnt="0"/>
      <dgm:spPr/>
    </dgm:pt>
    <dgm:pt modelId="{34D570F3-EB28-4B07-A51C-01B03B3DCF1C}" type="pres">
      <dgm:prSet presAssocID="{3B0E9E5D-A1CA-4EFE-995E-118BF6C9AA42}" presName="hierChild3" presStyleCnt="0"/>
      <dgm:spPr/>
    </dgm:pt>
  </dgm:ptLst>
  <dgm:cxnLst>
    <dgm:cxn modelId="{EA72DA17-CEC8-4B0D-95A9-117CF3619A7F}" type="presOf" srcId="{DBC14385-CF35-4E09-9936-FF1ECA6528D7}" destId="{B5629B31-B1EA-4D03-9F16-161DB55C5D9C}" srcOrd="0" destOrd="0" presId="urn:microsoft.com/office/officeart/2005/8/layout/orgChart1"/>
    <dgm:cxn modelId="{3BF6A51A-2CCB-427B-B5A9-728E78E1EA62}" type="presOf" srcId="{E8E5D0DE-E467-4EE7-8E3D-0B56505C12FE}" destId="{7E815B47-2F95-43FB-8DC0-1FB9BCF3D287}" srcOrd="1" destOrd="0" presId="urn:microsoft.com/office/officeart/2005/8/layout/orgChart1"/>
    <dgm:cxn modelId="{97AE681B-CCC0-4C4E-8C51-4F34E6622563}" type="presOf" srcId="{569EB380-0D65-49E2-A52D-3F0B7C736AB3}" destId="{9312E127-0F34-41DA-BC69-7C9F700909F6}" srcOrd="0" destOrd="0" presId="urn:microsoft.com/office/officeart/2005/8/layout/orgChart1"/>
    <dgm:cxn modelId="{D813151E-1763-43AD-BA41-62159AA5D0A9}" type="presOf" srcId="{148FD024-B39B-4ED7-979A-324B8CCC0D8A}" destId="{59364B6C-4CCF-465A-BFA4-6A9A0D85C5B6}" srcOrd="0" destOrd="0" presId="urn:microsoft.com/office/officeart/2005/8/layout/orgChart1"/>
    <dgm:cxn modelId="{DB883427-BF02-4875-B6AE-450736D92D03}" srcId="{3B0E9E5D-A1CA-4EFE-995E-118BF6C9AA42}" destId="{80910454-6C94-4099-A7EC-3ACA7ED2F534}" srcOrd="0" destOrd="0" parTransId="{148FD024-B39B-4ED7-979A-324B8CCC0D8A}" sibTransId="{E52AA05F-C78E-4248-9BE6-77ABFFB9550F}"/>
    <dgm:cxn modelId="{8ED8DE2A-20AB-472C-ADA8-E47FBFA14DAA}" type="presOf" srcId="{80910454-6C94-4099-A7EC-3ACA7ED2F534}" destId="{858AC1C2-0571-451A-B0E9-12A60C315730}" srcOrd="0" destOrd="0" presId="urn:microsoft.com/office/officeart/2005/8/layout/orgChart1"/>
    <dgm:cxn modelId="{55032D3F-1B26-4EF6-8EA7-8330071F985C}" type="presOf" srcId="{C5FA4322-87FB-4A5C-B909-397DCE0FA63F}" destId="{0B48E8C3-1CB1-4732-8460-DC26D65CF31A}" srcOrd="1" destOrd="0" presId="urn:microsoft.com/office/officeart/2005/8/layout/orgChart1"/>
    <dgm:cxn modelId="{AE1D105C-1CE0-46D8-AD60-5F9710525E93}" type="presOf" srcId="{3B0E9E5D-A1CA-4EFE-995E-118BF6C9AA42}" destId="{CC7AE372-877A-43E4-A72F-CF25BB60F451}" srcOrd="1" destOrd="0" presId="urn:microsoft.com/office/officeart/2005/8/layout/orgChart1"/>
    <dgm:cxn modelId="{40DEEE47-C158-4D75-954D-08EDD9593D9F}" type="presOf" srcId="{2BB7C7C7-43B0-40C9-A505-A0D87992EA9A}" destId="{A521740E-E9A1-4C52-AE5D-0C230FF41F52}" srcOrd="0" destOrd="0" presId="urn:microsoft.com/office/officeart/2005/8/layout/orgChart1"/>
    <dgm:cxn modelId="{25BB4259-4EDA-49B0-91E4-9AE9C8DA7F27}" type="presOf" srcId="{C5FA4322-87FB-4A5C-B909-397DCE0FA63F}" destId="{19A5FA19-3142-45AE-B67C-8956A769D41B}" srcOrd="0" destOrd="0" presId="urn:microsoft.com/office/officeart/2005/8/layout/orgChart1"/>
    <dgm:cxn modelId="{058A849F-F531-4934-BCF3-AC030CD11BBF}" type="presOf" srcId="{3B0E9E5D-A1CA-4EFE-995E-118BF6C9AA42}" destId="{D04602F3-8A3A-4FB7-B5F0-FA6AEDB8C5BB}" srcOrd="0" destOrd="0" presId="urn:microsoft.com/office/officeart/2005/8/layout/orgChart1"/>
    <dgm:cxn modelId="{9EBB05C8-F167-420A-9508-552A22AEBCAF}" srcId="{3B0E9E5D-A1CA-4EFE-995E-118BF6C9AA42}" destId="{C5FA4322-87FB-4A5C-B909-397DCE0FA63F}" srcOrd="2" destOrd="0" parTransId="{569EB380-0D65-49E2-A52D-3F0B7C736AB3}" sibTransId="{D7659BA6-CBBA-46E6-BC17-E17908D2B9F6}"/>
    <dgm:cxn modelId="{FF4D85D9-18EB-4B2B-AE97-02C5D8972B45}" type="presOf" srcId="{E8E5D0DE-E467-4EE7-8E3D-0B56505C12FE}" destId="{DF7153AC-2AD4-408C-B5A6-E4820D249A78}" srcOrd="0" destOrd="0" presId="urn:microsoft.com/office/officeart/2005/8/layout/orgChart1"/>
    <dgm:cxn modelId="{B9ABE0DF-A293-4D70-BC8F-0E8DE240ADA5}" type="presOf" srcId="{80910454-6C94-4099-A7EC-3ACA7ED2F534}" destId="{29DB5966-5AC0-4EF5-9408-D57DD665AE83}" srcOrd="1" destOrd="0" presId="urn:microsoft.com/office/officeart/2005/8/layout/orgChart1"/>
    <dgm:cxn modelId="{6360C7EC-205B-4802-905E-C49A3F503F5D}" srcId="{DBC14385-CF35-4E09-9936-FF1ECA6528D7}" destId="{3B0E9E5D-A1CA-4EFE-995E-118BF6C9AA42}" srcOrd="0" destOrd="0" parTransId="{F6606E5D-3D2E-4BA5-A079-5F8AE5E3725F}" sibTransId="{645D423E-9232-4512-AD7C-977BD715376D}"/>
    <dgm:cxn modelId="{7161DAFC-64B8-415C-9049-CB1E1428216F}" srcId="{3B0E9E5D-A1CA-4EFE-995E-118BF6C9AA42}" destId="{E8E5D0DE-E467-4EE7-8E3D-0B56505C12FE}" srcOrd="1" destOrd="0" parTransId="{2BB7C7C7-43B0-40C9-A505-A0D87992EA9A}" sibTransId="{5538320E-8991-4C93-9EBF-DA6CDBADF0A1}"/>
    <dgm:cxn modelId="{7BF4C1C4-471F-4B4E-BA0A-3DA725155DB0}" type="presParOf" srcId="{B5629B31-B1EA-4D03-9F16-161DB55C5D9C}" destId="{C38368BF-1324-4021-8CDE-451955322C32}" srcOrd="0" destOrd="0" presId="urn:microsoft.com/office/officeart/2005/8/layout/orgChart1"/>
    <dgm:cxn modelId="{57E71188-8E34-4EC3-869D-87415CA6AB27}" type="presParOf" srcId="{C38368BF-1324-4021-8CDE-451955322C32}" destId="{7E7E2D78-9091-4886-B90C-1D99B38AD3B0}" srcOrd="0" destOrd="0" presId="urn:microsoft.com/office/officeart/2005/8/layout/orgChart1"/>
    <dgm:cxn modelId="{59F414FB-0419-43B8-809D-B4926099BF5B}" type="presParOf" srcId="{7E7E2D78-9091-4886-B90C-1D99B38AD3B0}" destId="{D04602F3-8A3A-4FB7-B5F0-FA6AEDB8C5BB}" srcOrd="0" destOrd="0" presId="urn:microsoft.com/office/officeart/2005/8/layout/orgChart1"/>
    <dgm:cxn modelId="{1887EFB0-AD40-4B0E-A9FE-1FD81F0B5755}" type="presParOf" srcId="{7E7E2D78-9091-4886-B90C-1D99B38AD3B0}" destId="{CC7AE372-877A-43E4-A72F-CF25BB60F451}" srcOrd="1" destOrd="0" presId="urn:microsoft.com/office/officeart/2005/8/layout/orgChart1"/>
    <dgm:cxn modelId="{D31D6A3B-63DF-4FFD-880A-D264B6A1D9E5}" type="presParOf" srcId="{C38368BF-1324-4021-8CDE-451955322C32}" destId="{7220F1BD-F6CE-4953-8AEA-596A53D2E6CC}" srcOrd="1" destOrd="0" presId="urn:microsoft.com/office/officeart/2005/8/layout/orgChart1"/>
    <dgm:cxn modelId="{C0ED7301-B843-4B9F-AE56-2FC85A529A58}" type="presParOf" srcId="{7220F1BD-F6CE-4953-8AEA-596A53D2E6CC}" destId="{59364B6C-4CCF-465A-BFA4-6A9A0D85C5B6}" srcOrd="0" destOrd="0" presId="urn:microsoft.com/office/officeart/2005/8/layout/orgChart1"/>
    <dgm:cxn modelId="{999B847A-3BB8-4E82-99BF-C527F0D87B23}" type="presParOf" srcId="{7220F1BD-F6CE-4953-8AEA-596A53D2E6CC}" destId="{1F31602A-4839-4069-AF96-DB48585965F6}" srcOrd="1" destOrd="0" presId="urn:microsoft.com/office/officeart/2005/8/layout/orgChart1"/>
    <dgm:cxn modelId="{29024AD6-07E4-4D44-B610-B8508031C436}" type="presParOf" srcId="{1F31602A-4839-4069-AF96-DB48585965F6}" destId="{DF8E51AB-8E8A-4D0A-981A-ACC5F94E7657}" srcOrd="0" destOrd="0" presId="urn:microsoft.com/office/officeart/2005/8/layout/orgChart1"/>
    <dgm:cxn modelId="{EA982E07-9BF6-4646-931D-3071F95B5D8C}" type="presParOf" srcId="{DF8E51AB-8E8A-4D0A-981A-ACC5F94E7657}" destId="{858AC1C2-0571-451A-B0E9-12A60C315730}" srcOrd="0" destOrd="0" presId="urn:microsoft.com/office/officeart/2005/8/layout/orgChart1"/>
    <dgm:cxn modelId="{33F991B8-421E-4D57-A64A-8E9532725CD1}" type="presParOf" srcId="{DF8E51AB-8E8A-4D0A-981A-ACC5F94E7657}" destId="{29DB5966-5AC0-4EF5-9408-D57DD665AE83}" srcOrd="1" destOrd="0" presId="urn:microsoft.com/office/officeart/2005/8/layout/orgChart1"/>
    <dgm:cxn modelId="{EA65F566-D4B2-4ACA-86ED-E39BA5D75E49}" type="presParOf" srcId="{1F31602A-4839-4069-AF96-DB48585965F6}" destId="{B8BE232E-C9A9-464A-8CBC-4B3374046A55}" srcOrd="1" destOrd="0" presId="urn:microsoft.com/office/officeart/2005/8/layout/orgChart1"/>
    <dgm:cxn modelId="{05A4D939-253A-498B-ACF4-E83E9ACF72C8}" type="presParOf" srcId="{1F31602A-4839-4069-AF96-DB48585965F6}" destId="{8733748D-468D-47B7-B760-66DB937A5E1B}" srcOrd="2" destOrd="0" presId="urn:microsoft.com/office/officeart/2005/8/layout/orgChart1"/>
    <dgm:cxn modelId="{1E60E192-7AD5-41B5-A2F4-7A90B5810A76}" type="presParOf" srcId="{7220F1BD-F6CE-4953-8AEA-596A53D2E6CC}" destId="{A521740E-E9A1-4C52-AE5D-0C230FF41F52}" srcOrd="2" destOrd="0" presId="urn:microsoft.com/office/officeart/2005/8/layout/orgChart1"/>
    <dgm:cxn modelId="{32977625-032C-414F-9C88-C511FBE7B1D8}" type="presParOf" srcId="{7220F1BD-F6CE-4953-8AEA-596A53D2E6CC}" destId="{C64ED194-0D4C-4AF5-AC75-26474D6B6BC2}" srcOrd="3" destOrd="0" presId="urn:microsoft.com/office/officeart/2005/8/layout/orgChart1"/>
    <dgm:cxn modelId="{0A22152E-0C75-44CE-A310-5DFB6B6E340F}" type="presParOf" srcId="{C64ED194-0D4C-4AF5-AC75-26474D6B6BC2}" destId="{47017DD2-93D9-4B1B-9840-7037AB5AB666}" srcOrd="0" destOrd="0" presId="urn:microsoft.com/office/officeart/2005/8/layout/orgChart1"/>
    <dgm:cxn modelId="{3C61668E-2396-4F8A-9B5B-23C139CB0CF0}" type="presParOf" srcId="{47017DD2-93D9-4B1B-9840-7037AB5AB666}" destId="{DF7153AC-2AD4-408C-B5A6-E4820D249A78}" srcOrd="0" destOrd="0" presId="urn:microsoft.com/office/officeart/2005/8/layout/orgChart1"/>
    <dgm:cxn modelId="{C5DE238D-A153-486A-9CF9-E0A972806EBD}" type="presParOf" srcId="{47017DD2-93D9-4B1B-9840-7037AB5AB666}" destId="{7E815B47-2F95-43FB-8DC0-1FB9BCF3D287}" srcOrd="1" destOrd="0" presId="urn:microsoft.com/office/officeart/2005/8/layout/orgChart1"/>
    <dgm:cxn modelId="{ACF01C77-9745-4FF3-B801-5ADDD79AAD8A}" type="presParOf" srcId="{C64ED194-0D4C-4AF5-AC75-26474D6B6BC2}" destId="{D287CCBE-E5B6-4708-A5C2-0FCD445CE43C}" srcOrd="1" destOrd="0" presId="urn:microsoft.com/office/officeart/2005/8/layout/orgChart1"/>
    <dgm:cxn modelId="{E5210C2F-7EFC-412D-B884-528C3020246C}" type="presParOf" srcId="{C64ED194-0D4C-4AF5-AC75-26474D6B6BC2}" destId="{301C68EE-BBE1-418D-AA75-7638BC41FB87}" srcOrd="2" destOrd="0" presId="urn:microsoft.com/office/officeart/2005/8/layout/orgChart1"/>
    <dgm:cxn modelId="{46425FE7-7DC5-467B-82D3-EE3515B82FDC}" type="presParOf" srcId="{7220F1BD-F6CE-4953-8AEA-596A53D2E6CC}" destId="{9312E127-0F34-41DA-BC69-7C9F700909F6}" srcOrd="4" destOrd="0" presId="urn:microsoft.com/office/officeart/2005/8/layout/orgChart1"/>
    <dgm:cxn modelId="{243D0FEA-C5F9-47C9-8C6E-826178BA8268}" type="presParOf" srcId="{7220F1BD-F6CE-4953-8AEA-596A53D2E6CC}" destId="{3F915F60-EF71-4FDC-B47E-57B5D5DE3482}" srcOrd="5" destOrd="0" presId="urn:microsoft.com/office/officeart/2005/8/layout/orgChart1"/>
    <dgm:cxn modelId="{3E2221CD-0D0C-4BBB-ADC7-04249866E3B8}" type="presParOf" srcId="{3F915F60-EF71-4FDC-B47E-57B5D5DE3482}" destId="{0216F15D-AC82-4AF6-9D5B-ED81450B012A}" srcOrd="0" destOrd="0" presId="urn:microsoft.com/office/officeart/2005/8/layout/orgChart1"/>
    <dgm:cxn modelId="{DEE2CF6C-BBE5-4D63-A37B-EBD05865B255}" type="presParOf" srcId="{0216F15D-AC82-4AF6-9D5B-ED81450B012A}" destId="{19A5FA19-3142-45AE-B67C-8956A769D41B}" srcOrd="0" destOrd="0" presId="urn:microsoft.com/office/officeart/2005/8/layout/orgChart1"/>
    <dgm:cxn modelId="{B9A8879B-70EA-4A9B-B147-A7D3ADDBFFF4}" type="presParOf" srcId="{0216F15D-AC82-4AF6-9D5B-ED81450B012A}" destId="{0B48E8C3-1CB1-4732-8460-DC26D65CF31A}" srcOrd="1" destOrd="0" presId="urn:microsoft.com/office/officeart/2005/8/layout/orgChart1"/>
    <dgm:cxn modelId="{6448218D-FE02-408B-A2F3-E347091673E3}" type="presParOf" srcId="{3F915F60-EF71-4FDC-B47E-57B5D5DE3482}" destId="{270FF78F-4D67-4092-A8F5-81D58CAE77AF}" srcOrd="1" destOrd="0" presId="urn:microsoft.com/office/officeart/2005/8/layout/orgChart1"/>
    <dgm:cxn modelId="{90C2F4E2-2124-48C9-B57B-F66549003296}" type="presParOf" srcId="{3F915F60-EF71-4FDC-B47E-57B5D5DE3482}" destId="{FE390F01-7F4B-4CC0-A800-614EC901E4E7}" srcOrd="2" destOrd="0" presId="urn:microsoft.com/office/officeart/2005/8/layout/orgChart1"/>
    <dgm:cxn modelId="{1911B0F6-3C43-4C87-9F39-81879011623D}" type="presParOf" srcId="{C38368BF-1324-4021-8CDE-451955322C32}" destId="{34D570F3-EB28-4B07-A51C-01B03B3DCF1C}"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12E127-0F34-41DA-BC69-7C9F700909F6}">
      <dsp:nvSpPr>
        <dsp:cNvPr id="0" name=""/>
        <dsp:cNvSpPr/>
      </dsp:nvSpPr>
      <dsp:spPr>
        <a:xfrm>
          <a:off x="2780982" y="1229435"/>
          <a:ext cx="1967565" cy="341478"/>
        </a:xfrm>
        <a:custGeom>
          <a:avLst/>
          <a:gdLst/>
          <a:ahLst/>
          <a:cxnLst/>
          <a:rect l="0" t="0" r="0" b="0"/>
          <a:pathLst>
            <a:path>
              <a:moveTo>
                <a:pt x="0" y="0"/>
              </a:moveTo>
              <a:lnTo>
                <a:pt x="0" y="170739"/>
              </a:lnTo>
              <a:lnTo>
                <a:pt x="1967565" y="170739"/>
              </a:lnTo>
              <a:lnTo>
                <a:pt x="1967565" y="34147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21740E-E9A1-4C52-AE5D-0C230FF41F52}">
      <dsp:nvSpPr>
        <dsp:cNvPr id="0" name=""/>
        <dsp:cNvSpPr/>
      </dsp:nvSpPr>
      <dsp:spPr>
        <a:xfrm>
          <a:off x="2735262" y="1229435"/>
          <a:ext cx="91440" cy="341478"/>
        </a:xfrm>
        <a:custGeom>
          <a:avLst/>
          <a:gdLst/>
          <a:ahLst/>
          <a:cxnLst/>
          <a:rect l="0" t="0" r="0" b="0"/>
          <a:pathLst>
            <a:path>
              <a:moveTo>
                <a:pt x="45720" y="0"/>
              </a:moveTo>
              <a:lnTo>
                <a:pt x="45720" y="34147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364B6C-4CCF-465A-BFA4-6A9A0D85C5B6}">
      <dsp:nvSpPr>
        <dsp:cNvPr id="0" name=""/>
        <dsp:cNvSpPr/>
      </dsp:nvSpPr>
      <dsp:spPr>
        <a:xfrm>
          <a:off x="813417" y="1229435"/>
          <a:ext cx="1967565" cy="341478"/>
        </a:xfrm>
        <a:custGeom>
          <a:avLst/>
          <a:gdLst/>
          <a:ahLst/>
          <a:cxnLst/>
          <a:rect l="0" t="0" r="0" b="0"/>
          <a:pathLst>
            <a:path>
              <a:moveTo>
                <a:pt x="1967565" y="0"/>
              </a:moveTo>
              <a:lnTo>
                <a:pt x="1967565" y="170739"/>
              </a:lnTo>
              <a:lnTo>
                <a:pt x="0" y="170739"/>
              </a:lnTo>
              <a:lnTo>
                <a:pt x="0" y="341478"/>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4602F3-8A3A-4FB7-B5F0-FA6AEDB8C5BB}">
      <dsp:nvSpPr>
        <dsp:cNvPr id="0" name=""/>
        <dsp:cNvSpPr/>
      </dsp:nvSpPr>
      <dsp:spPr>
        <a:xfrm>
          <a:off x="971993" y="416392"/>
          <a:ext cx="3617978" cy="81304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Verdana" panose="020B0604030504040204" pitchFamily="34" charset="0"/>
              <a:ea typeface="Verdana" panose="020B0604030504040204" pitchFamily="34" charset="0"/>
            </a:rPr>
            <a:t>7% increase in budget allocation to national priorities and social services which work toward the achievement of the SDGs especially 16, 4, 1, 3, 5, 6, 10, and 17</a:t>
          </a:r>
          <a:endParaRPr lang="en-US" sz="800" kern="1200">
            <a:solidFill>
              <a:sysClr val="window" lastClr="FFFFFF"/>
            </a:solidFill>
            <a:latin typeface="Verdana" panose="020B0604030504040204" pitchFamily="34" charset="0"/>
            <a:ea typeface="Verdana" panose="020B0604030504040204" pitchFamily="34" charset="0"/>
            <a:cs typeface="+mn-cs"/>
          </a:endParaRPr>
        </a:p>
      </dsp:txBody>
      <dsp:txXfrm>
        <a:off x="971993" y="416392"/>
        <a:ext cx="3617978" cy="813043"/>
      </dsp:txXfrm>
    </dsp:sp>
    <dsp:sp modelId="{858AC1C2-0571-451A-B0E9-12A60C315730}">
      <dsp:nvSpPr>
        <dsp:cNvPr id="0" name=""/>
        <dsp:cNvSpPr/>
      </dsp:nvSpPr>
      <dsp:spPr>
        <a:xfrm>
          <a:off x="373" y="1570914"/>
          <a:ext cx="1626087" cy="81304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Verdana" panose="020B0604030504040204" pitchFamily="34" charset="0"/>
              <a:ea typeface="Verdana" panose="020B0604030504040204" pitchFamily="34" charset="0"/>
            </a:rPr>
            <a:t>By 2022, 15% increase in non-oil revenue mobilization in Central </a:t>
          </a:r>
          <a:r>
            <a:rPr lang="en-US" sz="800" kern="1200" dirty="0" err="1">
              <a:latin typeface="Verdana" panose="020B0604030504040204" pitchFamily="34" charset="0"/>
              <a:ea typeface="Verdana" panose="020B0604030504040204" pitchFamily="34" charset="0"/>
            </a:rPr>
            <a:t>Equatoria</a:t>
          </a:r>
          <a:r>
            <a:rPr lang="en-US" sz="800" kern="1200" dirty="0">
              <a:latin typeface="Verdana" panose="020B0604030504040204" pitchFamily="34" charset="0"/>
              <a:ea typeface="Verdana" panose="020B0604030504040204" pitchFamily="34" charset="0"/>
            </a:rPr>
            <a:t>, Western </a:t>
          </a:r>
          <a:r>
            <a:rPr lang="en-US" sz="800" kern="1200" dirty="0" err="1">
              <a:latin typeface="Verdana" panose="020B0604030504040204" pitchFamily="34" charset="0"/>
              <a:ea typeface="Verdana" panose="020B0604030504040204" pitchFamily="34" charset="0"/>
            </a:rPr>
            <a:t>Equatoria</a:t>
          </a:r>
          <a:r>
            <a:rPr lang="en-US" sz="800" kern="1200" dirty="0">
              <a:latin typeface="Verdana" panose="020B0604030504040204" pitchFamily="34" charset="0"/>
              <a:ea typeface="Verdana" panose="020B0604030504040204" pitchFamily="34" charset="0"/>
            </a:rPr>
            <a:t> and Northern Bahr el Ghazal States</a:t>
          </a:r>
          <a:endParaRPr lang="en-US" sz="800" kern="1200">
            <a:solidFill>
              <a:sysClr val="window" lastClr="FFFFFF"/>
            </a:solidFill>
            <a:latin typeface="Verdana" panose="020B0604030504040204" pitchFamily="34" charset="0"/>
            <a:ea typeface="Verdana" panose="020B0604030504040204" pitchFamily="34" charset="0"/>
            <a:cs typeface="+mn-cs"/>
          </a:endParaRPr>
        </a:p>
      </dsp:txBody>
      <dsp:txXfrm>
        <a:off x="373" y="1570914"/>
        <a:ext cx="1626087" cy="813043"/>
      </dsp:txXfrm>
    </dsp:sp>
    <dsp:sp modelId="{DF7153AC-2AD4-408C-B5A6-E4820D249A78}">
      <dsp:nvSpPr>
        <dsp:cNvPr id="0" name=""/>
        <dsp:cNvSpPr/>
      </dsp:nvSpPr>
      <dsp:spPr>
        <a:xfrm>
          <a:off x="1967938" y="1570914"/>
          <a:ext cx="1626087" cy="81304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Verdana" panose="020B0604030504040204" pitchFamily="34" charset="0"/>
              <a:ea typeface="Verdana" panose="020B0604030504040204" pitchFamily="34" charset="0"/>
            </a:rPr>
            <a:t>By 2022, 22 strengthened and gender responsive PFM institutions in </a:t>
          </a:r>
          <a:r>
            <a:rPr lang="en-US" sz="800" kern="1200" dirty="0">
              <a:latin typeface="Verdana" panose="020B0604030504040204" pitchFamily="34" charset="0"/>
              <a:ea typeface="Verdana" panose="020B0604030504040204" pitchFamily="34" charset="0"/>
              <a:cs typeface="+mn-lt"/>
            </a:rPr>
            <a:t>Central </a:t>
          </a:r>
          <a:r>
            <a:rPr lang="en-US" sz="800" kern="1200" dirty="0" err="1">
              <a:latin typeface="Verdana" panose="020B0604030504040204" pitchFamily="34" charset="0"/>
              <a:ea typeface="Verdana" panose="020B0604030504040204" pitchFamily="34" charset="0"/>
              <a:cs typeface="+mn-lt"/>
            </a:rPr>
            <a:t>Equatoria</a:t>
          </a:r>
          <a:r>
            <a:rPr lang="en-US" sz="800" kern="1200" dirty="0">
              <a:latin typeface="Verdana" panose="020B0604030504040204" pitchFamily="34" charset="0"/>
              <a:ea typeface="Verdana" panose="020B0604030504040204" pitchFamily="34" charset="0"/>
              <a:cs typeface="+mn-lt"/>
            </a:rPr>
            <a:t>, Western </a:t>
          </a:r>
          <a:r>
            <a:rPr lang="en-US" sz="800" kern="1200" dirty="0" err="1">
              <a:latin typeface="Verdana" panose="020B0604030504040204" pitchFamily="34" charset="0"/>
              <a:ea typeface="Verdana" panose="020B0604030504040204" pitchFamily="34" charset="0"/>
              <a:cs typeface="+mn-lt"/>
            </a:rPr>
            <a:t>Equatoria</a:t>
          </a:r>
          <a:r>
            <a:rPr lang="en-US" sz="800" kern="1200" dirty="0">
              <a:latin typeface="Verdana" panose="020B0604030504040204" pitchFamily="34" charset="0"/>
              <a:ea typeface="Verdana" panose="020B0604030504040204" pitchFamily="34" charset="0"/>
              <a:cs typeface="+mn-lt"/>
            </a:rPr>
            <a:t> and Northern Bahr el Ghazal</a:t>
          </a:r>
          <a:r>
            <a:rPr lang="en-US" sz="800" kern="1200" dirty="0">
              <a:latin typeface="Verdana" panose="020B0604030504040204" pitchFamily="34" charset="0"/>
              <a:ea typeface="Verdana" panose="020B0604030504040204" pitchFamily="34" charset="0"/>
            </a:rPr>
            <a:t> States</a:t>
          </a:r>
          <a:endParaRPr lang="en-US" sz="800" kern="1200">
            <a:solidFill>
              <a:sysClr val="window" lastClr="FFFFFF"/>
            </a:solidFill>
            <a:latin typeface="Verdana" panose="020B0604030504040204" pitchFamily="34" charset="0"/>
            <a:ea typeface="Verdana" panose="020B0604030504040204" pitchFamily="34" charset="0"/>
            <a:cs typeface="+mn-cs"/>
          </a:endParaRPr>
        </a:p>
      </dsp:txBody>
      <dsp:txXfrm>
        <a:off x="1967938" y="1570914"/>
        <a:ext cx="1626087" cy="813043"/>
      </dsp:txXfrm>
    </dsp:sp>
    <dsp:sp modelId="{19A5FA19-3142-45AE-B67C-8956A769D41B}">
      <dsp:nvSpPr>
        <dsp:cNvPr id="0" name=""/>
        <dsp:cNvSpPr/>
      </dsp:nvSpPr>
      <dsp:spPr>
        <a:xfrm>
          <a:off x="3935504" y="1570914"/>
          <a:ext cx="1626087" cy="81304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Verdana" panose="020B0604030504040204" pitchFamily="34" charset="0"/>
              <a:ea typeface="Verdana" panose="020B0604030504040204" pitchFamily="34" charset="0"/>
            </a:rPr>
            <a:t>By 2022, Improved transparency and coordination in the preparation of SDGs aligning national and state level development strategies </a:t>
          </a:r>
          <a:endParaRPr lang="en-US" sz="800" kern="1200">
            <a:solidFill>
              <a:sysClr val="window" lastClr="FFFFFF"/>
            </a:solidFill>
            <a:latin typeface="Verdana" panose="020B0604030504040204" pitchFamily="34" charset="0"/>
            <a:ea typeface="Verdana" panose="020B0604030504040204" pitchFamily="34" charset="0"/>
            <a:cs typeface="+mn-cs"/>
          </a:endParaRPr>
        </a:p>
      </dsp:txBody>
      <dsp:txXfrm>
        <a:off x="3935504" y="1570914"/>
        <a:ext cx="1626087" cy="8130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4e9e09d-43a3-4192-b712-27f685b813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27205978DAE34B9F52D660454E7374" ma:contentTypeVersion="12" ma:contentTypeDescription="Create a new document." ma:contentTypeScope="" ma:versionID="7f1033c6048e4ed80da8a61bf918b7cf">
  <xsd:schema xmlns:xsd="http://www.w3.org/2001/XMLSchema" xmlns:xs="http://www.w3.org/2001/XMLSchema" xmlns:p="http://schemas.microsoft.com/office/2006/metadata/properties" xmlns:ns2="64e9e09d-43a3-4192-b712-27f685b813ca" xmlns:ns3="b844176a-2e1e-4910-88cf-c2e4bfcd214e" targetNamespace="http://schemas.microsoft.com/office/2006/metadata/properties" ma:root="true" ma:fieldsID="4e67760c8c9220153ce3fa5e4824d316" ns2:_="" ns3:_="">
    <xsd:import namespace="64e9e09d-43a3-4192-b712-27f685b813ca"/>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9e09d-43a3-4192-b712-27f685b8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2458-9553-455F-BAFA-AB0212C14ACD}">
  <ds:schemaRefs>
    <ds:schemaRef ds:uri="http://schemas.microsoft.com/sharepoint/v3/contenttype/forms"/>
  </ds:schemaRefs>
</ds:datastoreItem>
</file>

<file path=customXml/itemProps2.xml><?xml version="1.0" encoding="utf-8"?>
<ds:datastoreItem xmlns:ds="http://schemas.openxmlformats.org/officeDocument/2006/customXml" ds:itemID="{9CBA8F4C-BF18-45D0-B427-D774B47C4559}">
  <ds:schemaRefs>
    <ds:schemaRef ds:uri="http://schemas.microsoft.com/office/2006/metadata/properties"/>
    <ds:schemaRef ds:uri="http://schemas.microsoft.com/office/infopath/2007/PartnerControls"/>
    <ds:schemaRef ds:uri="64e9e09d-43a3-4192-b712-27f685b813ca"/>
  </ds:schemaRefs>
</ds:datastoreItem>
</file>

<file path=customXml/itemProps3.xml><?xml version="1.0" encoding="utf-8"?>
<ds:datastoreItem xmlns:ds="http://schemas.openxmlformats.org/officeDocument/2006/customXml" ds:itemID="{9B75B00C-0165-44C9-84D4-41211EAC7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9e09d-43a3-4192-b712-27f685b813ca"/>
    <ds:schemaRef ds:uri="b844176a-2e1e-4910-88cf-c2e4bfcd2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80324-AD92-49C9-BE46-11248A77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59</Pages>
  <Words>20107</Words>
  <Characters>114616</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134455</CharactersWithSpaces>
  <SharedDoc>false</SharedDoc>
  <HLinks>
    <vt:vector size="132" baseType="variant">
      <vt:variant>
        <vt:i4>5898363</vt:i4>
      </vt:variant>
      <vt:variant>
        <vt:i4>48</vt:i4>
      </vt:variant>
      <vt:variant>
        <vt:i4>0</vt:i4>
      </vt:variant>
      <vt:variant>
        <vt:i4>5</vt:i4>
      </vt:variant>
      <vt:variant>
        <vt:lpwstr>mailto:mcummins@unicef.org</vt:lpwstr>
      </vt:variant>
      <vt:variant>
        <vt:lpwstr/>
      </vt:variant>
      <vt:variant>
        <vt:i4>5505149</vt:i4>
      </vt:variant>
      <vt:variant>
        <vt:i4>45</vt:i4>
      </vt:variant>
      <vt:variant>
        <vt:i4>0</vt:i4>
      </vt:variant>
      <vt:variant>
        <vt:i4>5</vt:i4>
      </vt:variant>
      <vt:variant>
        <vt:lpwstr>mailto:edamundu@unicef.org</vt:lpwstr>
      </vt:variant>
      <vt:variant>
        <vt:lpwstr/>
      </vt:variant>
      <vt:variant>
        <vt:i4>4718691</vt:i4>
      </vt:variant>
      <vt:variant>
        <vt:i4>42</vt:i4>
      </vt:variant>
      <vt:variant>
        <vt:i4>0</vt:i4>
      </vt:variant>
      <vt:variant>
        <vt:i4>5</vt:i4>
      </vt:variant>
      <vt:variant>
        <vt:lpwstr>mailto:hban@unicef.org</vt:lpwstr>
      </vt:variant>
      <vt:variant>
        <vt:lpwstr/>
      </vt:variant>
      <vt:variant>
        <vt:i4>2883584</vt:i4>
      </vt:variant>
      <vt:variant>
        <vt:i4>39</vt:i4>
      </vt:variant>
      <vt:variant>
        <vt:i4>0</vt:i4>
      </vt:variant>
      <vt:variant>
        <vt:i4>5</vt:i4>
      </vt:variant>
      <vt:variant>
        <vt:lpwstr>mailto:mayoya@unicef.org</vt:lpwstr>
      </vt:variant>
      <vt:variant>
        <vt:lpwstr/>
      </vt:variant>
      <vt:variant>
        <vt:i4>4849778</vt:i4>
      </vt:variant>
      <vt:variant>
        <vt:i4>36</vt:i4>
      </vt:variant>
      <vt:variant>
        <vt:i4>0</vt:i4>
      </vt:variant>
      <vt:variant>
        <vt:i4>5</vt:i4>
      </vt:variant>
      <vt:variant>
        <vt:lpwstr>mailto:pkucita@unicef.org</vt:lpwstr>
      </vt:variant>
      <vt:variant>
        <vt:lpwstr/>
      </vt:variant>
      <vt:variant>
        <vt:i4>2883584</vt:i4>
      </vt:variant>
      <vt:variant>
        <vt:i4>33</vt:i4>
      </vt:variant>
      <vt:variant>
        <vt:i4>0</vt:i4>
      </vt:variant>
      <vt:variant>
        <vt:i4>5</vt:i4>
      </vt:variant>
      <vt:variant>
        <vt:lpwstr>mailto:mayoya@unicef.org</vt:lpwstr>
      </vt:variant>
      <vt:variant>
        <vt:lpwstr/>
      </vt:variant>
      <vt:variant>
        <vt:i4>5505149</vt:i4>
      </vt:variant>
      <vt:variant>
        <vt:i4>30</vt:i4>
      </vt:variant>
      <vt:variant>
        <vt:i4>0</vt:i4>
      </vt:variant>
      <vt:variant>
        <vt:i4>5</vt:i4>
      </vt:variant>
      <vt:variant>
        <vt:lpwstr>mailto:edamundu@unicef.org</vt:lpwstr>
      </vt:variant>
      <vt:variant>
        <vt:lpwstr/>
      </vt:variant>
      <vt:variant>
        <vt:i4>4718691</vt:i4>
      </vt:variant>
      <vt:variant>
        <vt:i4>27</vt:i4>
      </vt:variant>
      <vt:variant>
        <vt:i4>0</vt:i4>
      </vt:variant>
      <vt:variant>
        <vt:i4>5</vt:i4>
      </vt:variant>
      <vt:variant>
        <vt:lpwstr>mailto:hban@unicef.org</vt:lpwstr>
      </vt:variant>
      <vt:variant>
        <vt:lpwstr/>
      </vt:variant>
      <vt:variant>
        <vt:i4>2883584</vt:i4>
      </vt:variant>
      <vt:variant>
        <vt:i4>24</vt:i4>
      </vt:variant>
      <vt:variant>
        <vt:i4>0</vt:i4>
      </vt:variant>
      <vt:variant>
        <vt:i4>5</vt:i4>
      </vt:variant>
      <vt:variant>
        <vt:lpwstr>mailto:mayoya@unicef.org</vt:lpwstr>
      </vt:variant>
      <vt:variant>
        <vt:lpwstr/>
      </vt:variant>
      <vt:variant>
        <vt:i4>7602194</vt:i4>
      </vt:variant>
      <vt:variant>
        <vt:i4>21</vt:i4>
      </vt:variant>
      <vt:variant>
        <vt:i4>0</vt:i4>
      </vt:variant>
      <vt:variant>
        <vt:i4>5</vt:i4>
      </vt:variant>
      <vt:variant>
        <vt:lpwstr>mailto:chrysantus.ayangafac@undp.org</vt:lpwstr>
      </vt:variant>
      <vt:variant>
        <vt:lpwstr/>
      </vt:variant>
      <vt:variant>
        <vt:i4>4194345</vt:i4>
      </vt:variant>
      <vt:variant>
        <vt:i4>18</vt:i4>
      </vt:variant>
      <vt:variant>
        <vt:i4>0</vt:i4>
      </vt:variant>
      <vt:variant>
        <vt:i4>5</vt:i4>
      </vt:variant>
      <vt:variant>
        <vt:lpwstr>mailto:kamil.kamaluddeen@undp.org</vt:lpwstr>
      </vt:variant>
      <vt:variant>
        <vt:lpwstr/>
      </vt:variant>
      <vt:variant>
        <vt:i4>4194345</vt:i4>
      </vt:variant>
      <vt:variant>
        <vt:i4>15</vt:i4>
      </vt:variant>
      <vt:variant>
        <vt:i4>0</vt:i4>
      </vt:variant>
      <vt:variant>
        <vt:i4>5</vt:i4>
      </vt:variant>
      <vt:variant>
        <vt:lpwstr>mailto:kamil.kamaluddeen@undp.org</vt:lpwstr>
      </vt:variant>
      <vt:variant>
        <vt:lpwstr/>
      </vt:variant>
      <vt:variant>
        <vt:i4>7471212</vt:i4>
      </vt:variant>
      <vt:variant>
        <vt:i4>12</vt:i4>
      </vt:variant>
      <vt:variant>
        <vt:i4>0</vt:i4>
      </vt:variant>
      <vt:variant>
        <vt:i4>5</vt:i4>
      </vt:variant>
      <vt:variant>
        <vt:lpwstr>http://www.uneval.org/document/detail/1620</vt:lpwstr>
      </vt:variant>
      <vt:variant>
        <vt:lpwstr/>
      </vt:variant>
      <vt:variant>
        <vt:i4>6946892</vt:i4>
      </vt:variant>
      <vt:variant>
        <vt:i4>6</vt:i4>
      </vt:variant>
      <vt:variant>
        <vt:i4>0</vt:i4>
      </vt:variant>
      <vt:variant>
        <vt:i4>5</vt:i4>
      </vt:variant>
      <vt:variant>
        <vt:lpwstr>mailto:ocumkarlo@gmail.com</vt:lpwstr>
      </vt:variant>
      <vt:variant>
        <vt:lpwstr/>
      </vt:variant>
      <vt:variant>
        <vt:i4>3145737</vt:i4>
      </vt:variant>
      <vt:variant>
        <vt:i4>3</vt:i4>
      </vt:variant>
      <vt:variant>
        <vt:i4>0</vt:i4>
      </vt:variant>
      <vt:variant>
        <vt:i4>5</vt:i4>
      </vt:variant>
      <vt:variant>
        <vt:lpwstr>mailto:asuley@unicef.org</vt:lpwstr>
      </vt:variant>
      <vt:variant>
        <vt:lpwstr/>
      </vt:variant>
      <vt:variant>
        <vt:i4>5046334</vt:i4>
      </vt:variant>
      <vt:variant>
        <vt:i4>0</vt:i4>
      </vt:variant>
      <vt:variant>
        <vt:i4>0</vt:i4>
      </vt:variant>
      <vt:variant>
        <vt:i4>5</vt:i4>
      </vt:variant>
      <vt:variant>
        <vt:lpwstr>mailto:elliman.jagne@undp.org</vt:lpwstr>
      </vt:variant>
      <vt:variant>
        <vt:lpwstr/>
      </vt:variant>
      <vt:variant>
        <vt:i4>5242945</vt:i4>
      </vt:variant>
      <vt:variant>
        <vt:i4>30</vt:i4>
      </vt:variant>
      <vt:variant>
        <vt:i4>0</vt:i4>
      </vt:variant>
      <vt:variant>
        <vt:i4>5</vt:i4>
      </vt:variant>
      <vt:variant>
        <vt:lpwstr>http://www.unwomen.org/en/digital-library/publications/2015/4/un-women-evaluation-handbook-how-to-manage-gender-responsive-evaluation</vt:lpwstr>
      </vt:variant>
      <vt:variant>
        <vt:lpwstr/>
      </vt:variant>
      <vt:variant>
        <vt:i4>720912</vt:i4>
      </vt:variant>
      <vt:variant>
        <vt:i4>27</vt:i4>
      </vt:variant>
      <vt:variant>
        <vt:i4>0</vt:i4>
      </vt:variant>
      <vt:variant>
        <vt:i4>5</vt:i4>
      </vt:variant>
      <vt:variant>
        <vt:lpwstr>https://www.un.org/sg/sites/www.un.org.sg/files/atoms/files/The_Highest_Asperation_A_Call_To_Action_For_Human_Right_English.pdf</vt:lpwstr>
      </vt:variant>
      <vt:variant>
        <vt:lpwstr/>
      </vt:variant>
      <vt:variant>
        <vt:i4>4980817</vt:i4>
      </vt:variant>
      <vt:variant>
        <vt:i4>24</vt:i4>
      </vt:variant>
      <vt:variant>
        <vt:i4>0</vt:i4>
      </vt:variant>
      <vt:variant>
        <vt:i4>5</vt:i4>
      </vt:variant>
      <vt:variant>
        <vt:lpwstr>https://public.tableau.com/views/OECDDACAidataglancebyrecipient_new/Recipients?:embed=y&amp;:display_count=yes&amp;:showTabs=y&amp;:toolbar=no?&amp;:showVizHome=no</vt:lpwstr>
      </vt:variant>
      <vt:variant>
        <vt:lpwstr/>
      </vt:variant>
      <vt:variant>
        <vt:i4>2490490</vt:i4>
      </vt:variant>
      <vt:variant>
        <vt:i4>21</vt:i4>
      </vt:variant>
      <vt:variant>
        <vt:i4>0</vt:i4>
      </vt:variant>
      <vt:variant>
        <vt:i4>5</vt:i4>
      </vt:variant>
      <vt:variant>
        <vt:lpwstr>http://www.mofep-grss.org/wp-content/uploads/2019/07/Budget-Speech-draft-FY-19-20-Final.pdf</vt:lpwstr>
      </vt:variant>
      <vt:variant>
        <vt:lpwstr/>
      </vt:variant>
      <vt:variant>
        <vt:i4>589837</vt:i4>
      </vt:variant>
      <vt:variant>
        <vt:i4>18</vt:i4>
      </vt:variant>
      <vt:variant>
        <vt:i4>0</vt:i4>
      </vt:variant>
      <vt:variant>
        <vt:i4>5</vt:i4>
      </vt:variant>
      <vt:variant>
        <vt:lpwstr>https://data.worldbank.org/indicator/DT.ODA.ALLD.CD?locations=SS</vt:lpwstr>
      </vt:variant>
      <vt:variant>
        <vt:lpwstr/>
      </vt:variant>
      <vt:variant>
        <vt:i4>917582</vt:i4>
      </vt:variant>
      <vt:variant>
        <vt:i4>15</vt:i4>
      </vt:variant>
      <vt:variant>
        <vt:i4>0</vt:i4>
      </vt:variant>
      <vt:variant>
        <vt:i4>5</vt:i4>
      </vt:variant>
      <vt:variant>
        <vt:lpwstr>https://www.worldbank.org/en/country/southsudan/overview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Castaldo,R (pgt)</dc:creator>
  <cp:keywords/>
  <dc:description/>
  <cp:lastModifiedBy>Aline Kayitesi</cp:lastModifiedBy>
  <cp:revision>7</cp:revision>
  <cp:lastPrinted>2020-07-24T06:22:00Z</cp:lastPrinted>
  <dcterms:created xsi:type="dcterms:W3CDTF">2020-07-24T06:01:00Z</dcterms:created>
  <dcterms:modified xsi:type="dcterms:W3CDTF">2020-09-03T21:36:00Z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0x0101008B27205978DAE34B9F52D660454E7374</vt:lpwstr>
  </property>
</Properties>
</file>