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1F7755" w:rsidRDefault="00B12FB8" w:rsidP="007C288F">
      <w:pPr>
        <w:numPr>
          <w:ilvl w:val="12"/>
          <w:numId w:val="0"/>
        </w:numPr>
        <w:tabs>
          <w:tab w:val="left" w:pos="0"/>
        </w:tabs>
        <w:suppressAutoHyphens/>
        <w:rPr>
          <w:b/>
          <w:bCs/>
          <w:caps/>
          <w:lang w:val="en-U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1F7755">
        <w:rPr>
          <w:b/>
          <w:lang w:val="en-US"/>
        </w:rPr>
        <w:t>PBF</w:t>
      </w:r>
      <w:r w:rsidR="008640A5" w:rsidRPr="001F7755">
        <w:rPr>
          <w:b/>
          <w:lang w:val="en-US"/>
        </w:rPr>
        <w:t xml:space="preserve"> </w:t>
      </w:r>
      <w:r w:rsidR="00CB02F7" w:rsidRPr="001F7755">
        <w:rPr>
          <w:b/>
          <w:bCs/>
          <w:caps/>
          <w:lang w:val="en-US"/>
        </w:rPr>
        <w:t>PROJECT progress report</w:t>
      </w:r>
    </w:p>
    <w:p w14:paraId="16DC9E23" w14:textId="67722937" w:rsidR="00CB02F7" w:rsidRPr="001F7755" w:rsidRDefault="00CB02F7" w:rsidP="008364E5">
      <w:pPr>
        <w:jc w:val="center"/>
        <w:rPr>
          <w:b/>
          <w:bCs/>
          <w:caps/>
          <w:lang w:val="en-US"/>
        </w:rPr>
      </w:pPr>
      <w:r w:rsidRPr="001F7755">
        <w:rPr>
          <w:b/>
          <w:bCs/>
          <w:caps/>
          <w:lang w:val="en-US"/>
        </w:rPr>
        <w:t>COUNTRY:</w:t>
      </w:r>
      <w:r w:rsidR="00A47DDA" w:rsidRPr="001F7755">
        <w:rPr>
          <w:bCs/>
          <w:iCs/>
          <w:snapToGrid w:val="0"/>
          <w:lang w:val="en-US"/>
        </w:rPr>
        <w:t xml:space="preserve"> </w:t>
      </w:r>
      <w:r w:rsidR="00A84981" w:rsidRPr="001F7755">
        <w:rPr>
          <w:b/>
          <w:iCs/>
          <w:snapToGrid w:val="0"/>
          <w:lang w:val="en-US"/>
        </w:rPr>
        <w:t>Sierra Leone</w:t>
      </w:r>
    </w:p>
    <w:p w14:paraId="6A2F8588" w14:textId="77777777" w:rsidR="007C2163" w:rsidRPr="001F7755" w:rsidRDefault="008640A5" w:rsidP="008364E5">
      <w:pPr>
        <w:jc w:val="center"/>
        <w:rPr>
          <w:b/>
          <w:bCs/>
          <w:caps/>
          <w:lang w:val="en-US"/>
        </w:rPr>
      </w:pPr>
      <w:r w:rsidRPr="001F7755">
        <w:rPr>
          <w:b/>
          <w:bCs/>
          <w:caps/>
          <w:lang w:val="en-US"/>
        </w:rPr>
        <w:t xml:space="preserve">TYPE OF REPORT: </w:t>
      </w:r>
      <w:r w:rsidR="00793DE6" w:rsidRPr="001F7755">
        <w:rPr>
          <w:b/>
          <w:bCs/>
          <w:caps/>
          <w:lang w:val="en-US"/>
        </w:rPr>
        <w:t>semi-annual, annual</w:t>
      </w:r>
      <w:r w:rsidRPr="001F7755">
        <w:rPr>
          <w:b/>
          <w:bCs/>
          <w:caps/>
          <w:lang w:val="en-US"/>
        </w:rPr>
        <w:t xml:space="preserve"> OR FINAL</w:t>
      </w:r>
      <w:r w:rsidR="008F6703" w:rsidRPr="001F7755">
        <w:rPr>
          <w:b/>
          <w:bCs/>
          <w:caps/>
          <w:lang w:val="en-US"/>
        </w:rPr>
        <w:t xml:space="preserve">: </w:t>
      </w:r>
    </w:p>
    <w:p w14:paraId="28AB750A" w14:textId="0657092A" w:rsidR="008640A5" w:rsidRPr="001F7755" w:rsidRDefault="00681EB9" w:rsidP="008364E5">
      <w:pPr>
        <w:jc w:val="center"/>
        <w:rPr>
          <w:b/>
          <w:bCs/>
          <w:caps/>
          <w:color w:val="000000" w:themeColor="text1"/>
          <w:lang w:val="en-US"/>
        </w:rPr>
      </w:pPr>
      <w:r w:rsidRPr="001F7755">
        <w:rPr>
          <w:b/>
          <w:bCs/>
          <w:caps/>
          <w:color w:val="000000" w:themeColor="text1"/>
          <w:lang w:val="en-US"/>
        </w:rPr>
        <w:t>mid year</w:t>
      </w:r>
    </w:p>
    <w:p w14:paraId="54B5CFAE" w14:textId="03D42EFE" w:rsidR="00CB02F7" w:rsidRPr="001F7755" w:rsidRDefault="007C288F" w:rsidP="008364E5">
      <w:pPr>
        <w:jc w:val="center"/>
        <w:rPr>
          <w:b/>
          <w:bCs/>
          <w:caps/>
          <w:color w:val="000000" w:themeColor="text1"/>
          <w:lang w:val="en-US"/>
        </w:rPr>
      </w:pPr>
      <w:r w:rsidRPr="001F7755">
        <w:rPr>
          <w:b/>
          <w:bCs/>
          <w:caps/>
          <w:color w:val="000000" w:themeColor="text1"/>
          <w:lang w:val="en-US"/>
        </w:rPr>
        <w:t>YEAR</w:t>
      </w:r>
      <w:r w:rsidR="00793DE6" w:rsidRPr="001F7755">
        <w:rPr>
          <w:b/>
          <w:bCs/>
          <w:caps/>
          <w:color w:val="000000" w:themeColor="text1"/>
          <w:lang w:val="en-US"/>
        </w:rPr>
        <w:t xml:space="preserve"> of report</w:t>
      </w:r>
      <w:r w:rsidR="00F05682" w:rsidRPr="001F7755">
        <w:rPr>
          <w:b/>
          <w:bCs/>
          <w:caps/>
          <w:color w:val="000000" w:themeColor="text1"/>
          <w:lang w:val="en-US"/>
        </w:rPr>
        <w:t xml:space="preserve">: </w:t>
      </w:r>
      <w:r w:rsidR="00A84981" w:rsidRPr="001F7755">
        <w:rPr>
          <w:b/>
          <w:bCs/>
          <w:iCs/>
          <w:snapToGrid w:val="0"/>
          <w:color w:val="000000" w:themeColor="text1"/>
          <w:lang w:val="en-US"/>
        </w:rPr>
        <w:t xml:space="preserve">January - </w:t>
      </w:r>
      <w:r w:rsidR="00681EB9" w:rsidRPr="001F7755">
        <w:rPr>
          <w:b/>
          <w:bCs/>
          <w:iCs/>
          <w:snapToGrid w:val="0"/>
          <w:color w:val="000000" w:themeColor="text1"/>
          <w:lang w:val="en-US"/>
        </w:rPr>
        <w:t>June 2021</w:t>
      </w:r>
    </w:p>
    <w:p w14:paraId="5DED3840" w14:textId="77777777" w:rsidR="000554F8" w:rsidRPr="001F7755" w:rsidRDefault="000554F8" w:rsidP="00CB02F7">
      <w:pPr>
        <w:jc w:val="center"/>
        <w:rPr>
          <w:b/>
          <w:bCs/>
          <w:caps/>
          <w:color w:val="C45911" w:themeColor="accent2" w:themeShade="BF"/>
          <w:lang w:val="en-U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1F7755" w14:paraId="1CD9355A" w14:textId="77777777" w:rsidTr="00F23D0F">
        <w:trPr>
          <w:trHeight w:val="422"/>
        </w:trPr>
        <w:tc>
          <w:tcPr>
            <w:tcW w:w="10080" w:type="dxa"/>
            <w:gridSpan w:val="2"/>
          </w:tcPr>
          <w:p w14:paraId="677020FF" w14:textId="77777777" w:rsidR="00A84981" w:rsidRPr="001F7755" w:rsidRDefault="00A84981" w:rsidP="00A84981">
            <w:pPr>
              <w:pStyle w:val="BalloonText"/>
              <w:numPr>
                <w:ilvl w:val="12"/>
                <w:numId w:val="0"/>
              </w:numPr>
              <w:tabs>
                <w:tab w:val="left" w:pos="-720"/>
                <w:tab w:val="left" w:pos="4500"/>
              </w:tabs>
              <w:suppressAutoHyphens/>
              <w:rPr>
                <w:rFonts w:ascii="Times New Roman" w:hAnsi="Times New Roman" w:cs="Times New Roman"/>
                <w:b/>
                <w:bCs/>
                <w:sz w:val="20"/>
                <w:szCs w:val="20"/>
                <w:lang w:val="en-US"/>
              </w:rPr>
            </w:pPr>
            <w:r w:rsidRPr="001F7755">
              <w:rPr>
                <w:rFonts w:ascii="Times New Roman" w:hAnsi="Times New Roman" w:cs="Times New Roman"/>
                <w:b/>
                <w:sz w:val="24"/>
                <w:szCs w:val="24"/>
                <w:lang w:val="en-US"/>
              </w:rPr>
              <w:t xml:space="preserve">Project Title: </w:t>
            </w:r>
            <w:r w:rsidRPr="001F7755">
              <w:rPr>
                <w:rFonts w:ascii="Times New Roman" w:hAnsi="Times New Roman" w:cs="Times New Roman"/>
                <w:b/>
                <w:i/>
                <w:iCs/>
                <w:sz w:val="24"/>
                <w:szCs w:val="24"/>
                <w:lang w:val="en-US"/>
              </w:rPr>
              <w:t>Mitigating localized resource-based</w:t>
            </w:r>
            <w:r w:rsidRPr="001F7755">
              <w:rPr>
                <w:b/>
                <w:bCs/>
                <w:i/>
                <w:iCs/>
                <w:sz w:val="20"/>
                <w:szCs w:val="20"/>
                <w:lang w:val="en-US"/>
              </w:rPr>
              <w:t xml:space="preserve"> </w:t>
            </w:r>
            <w:r w:rsidRPr="001F7755">
              <w:rPr>
                <w:rFonts w:ascii="Times New Roman" w:hAnsi="Times New Roman" w:cs="Times New Roman"/>
                <w:b/>
                <w:i/>
                <w:iCs/>
                <w:sz w:val="24"/>
                <w:szCs w:val="24"/>
                <w:lang w:val="en-US"/>
              </w:rPr>
              <w:t>conflicts and increasing community resilience in Pujehun and Moyamba districts of Sierra Leone</w:t>
            </w:r>
          </w:p>
          <w:p w14:paraId="7336EAC3" w14:textId="53AECA8D" w:rsidR="00793DE6" w:rsidRPr="001F7755" w:rsidRDefault="00A84981" w:rsidP="00A84981">
            <w:pPr>
              <w:rPr>
                <w:b/>
                <w:lang w:val="en-US"/>
              </w:rPr>
            </w:pPr>
            <w:r w:rsidRPr="001F7755">
              <w:rPr>
                <w:b/>
                <w:lang w:val="en-US"/>
              </w:rPr>
              <w:t xml:space="preserve">Project Number from MPTF-O Gateway: </w:t>
            </w:r>
            <w:r w:rsidRPr="001F7755">
              <w:rPr>
                <w:bCs/>
                <w:lang w:val="en-US"/>
              </w:rPr>
              <w:t>PRF</w:t>
            </w:r>
            <w:r w:rsidRPr="001F7755">
              <w:rPr>
                <w:b/>
                <w:lang w:val="en-US"/>
              </w:rPr>
              <w:t xml:space="preserve"> </w:t>
            </w:r>
            <w:r w:rsidRPr="001F7755">
              <w:rPr>
                <w:lang w:val="en-US"/>
              </w:rPr>
              <w:t>00117938</w:t>
            </w:r>
          </w:p>
        </w:tc>
      </w:tr>
      <w:tr w:rsidR="00A43B9C" w:rsidRPr="001F7755" w14:paraId="23080537" w14:textId="77777777" w:rsidTr="00A43B9C">
        <w:trPr>
          <w:trHeight w:val="422"/>
        </w:trPr>
        <w:tc>
          <w:tcPr>
            <w:tcW w:w="4163" w:type="dxa"/>
          </w:tcPr>
          <w:p w14:paraId="53E07092" w14:textId="77777777" w:rsidR="00A43B9C" w:rsidRPr="001F7755" w:rsidRDefault="00A43B9C" w:rsidP="00F23D0F">
            <w:pPr>
              <w:pStyle w:val="BalloonText"/>
              <w:numPr>
                <w:ilvl w:val="12"/>
                <w:numId w:val="0"/>
              </w:numPr>
              <w:tabs>
                <w:tab w:val="left" w:pos="-720"/>
                <w:tab w:val="left" w:pos="4500"/>
              </w:tabs>
              <w:rPr>
                <w:rFonts w:ascii="Times New Roman" w:hAnsi="Times New Roman" w:cs="Times New Roman"/>
                <w:b/>
                <w:sz w:val="24"/>
                <w:szCs w:val="24"/>
                <w:lang w:val="en-US"/>
              </w:rPr>
            </w:pPr>
            <w:r w:rsidRPr="001F7755">
              <w:rPr>
                <w:rFonts w:ascii="Times New Roman" w:hAnsi="Times New Roman" w:cs="Times New Roman"/>
                <w:b/>
                <w:sz w:val="24"/>
                <w:szCs w:val="24"/>
                <w:lang w:val="en-US"/>
              </w:rPr>
              <w:t xml:space="preserve">If funding is disbursed into a national or regional trust fund: </w:t>
            </w:r>
          </w:p>
          <w:p w14:paraId="644B77B0" w14:textId="77777777" w:rsidR="00A43B9C" w:rsidRPr="001F7755" w:rsidRDefault="00A43B9C" w:rsidP="00F23D0F">
            <w:pPr>
              <w:tabs>
                <w:tab w:val="left" w:pos="0"/>
              </w:tabs>
              <w:suppressAutoHyphens/>
              <w:jc w:val="both"/>
              <w:rPr>
                <w:b/>
                <w:spacing w:val="-3"/>
                <w:lang w:val="en-US"/>
              </w:rPr>
            </w:pPr>
            <w:r w:rsidRPr="001F7755">
              <w:rPr>
                <w:lang w:val="en-US"/>
              </w:rPr>
              <w:fldChar w:fldCharType="begin">
                <w:ffData>
                  <w:name w:val="Check1"/>
                  <w:enabled/>
                  <w:calcOnExit w:val="0"/>
                  <w:checkBox>
                    <w:sizeAuto/>
                    <w:default w:val="0"/>
                  </w:checkBox>
                </w:ffData>
              </w:fldChar>
            </w:r>
            <w:r w:rsidRPr="001F7755">
              <w:rPr>
                <w:lang w:val="en-US"/>
              </w:rPr>
              <w:instrText xml:space="preserve"> FORMCHECKBOX </w:instrText>
            </w:r>
            <w:r w:rsidR="00BB4E3C">
              <w:rPr>
                <w:lang w:val="en-US"/>
              </w:rPr>
            </w:r>
            <w:r w:rsidR="00BB4E3C">
              <w:rPr>
                <w:lang w:val="en-US"/>
              </w:rPr>
              <w:fldChar w:fldCharType="separate"/>
            </w:r>
            <w:r w:rsidRPr="001F7755">
              <w:rPr>
                <w:lang w:val="en-US"/>
              </w:rPr>
              <w:fldChar w:fldCharType="end"/>
            </w:r>
            <w:r w:rsidRPr="001F7755">
              <w:rPr>
                <w:lang w:val="en-US"/>
              </w:rPr>
              <w:tab/>
            </w:r>
            <w:r w:rsidRPr="001F7755">
              <w:rPr>
                <w:lang w:val="en-US"/>
              </w:rPr>
              <w:tab/>
            </w:r>
            <w:r w:rsidRPr="001F7755">
              <w:rPr>
                <w:spacing w:val="-3"/>
                <w:lang w:val="en-US"/>
              </w:rPr>
              <w:t>Country Trust Fund</w:t>
            </w:r>
            <w:r w:rsidRPr="001F7755">
              <w:rPr>
                <w:b/>
                <w:spacing w:val="-3"/>
                <w:lang w:val="en-US"/>
              </w:rPr>
              <w:t xml:space="preserve"> </w:t>
            </w:r>
          </w:p>
          <w:p w14:paraId="3E3B954C" w14:textId="77777777" w:rsidR="00A43B9C" w:rsidRPr="001F7755" w:rsidRDefault="00A43B9C" w:rsidP="00F23D0F">
            <w:pPr>
              <w:tabs>
                <w:tab w:val="left" w:pos="0"/>
              </w:tabs>
              <w:suppressAutoHyphens/>
              <w:jc w:val="both"/>
              <w:rPr>
                <w:b/>
                <w:lang w:val="en-US"/>
              </w:rPr>
            </w:pPr>
            <w:r w:rsidRPr="001F7755">
              <w:rPr>
                <w:lang w:val="en-US"/>
              </w:rPr>
              <w:fldChar w:fldCharType="begin">
                <w:ffData>
                  <w:name w:val="Check1"/>
                  <w:enabled/>
                  <w:calcOnExit w:val="0"/>
                  <w:checkBox>
                    <w:sizeAuto/>
                    <w:default w:val="0"/>
                  </w:checkBox>
                </w:ffData>
              </w:fldChar>
            </w:r>
            <w:r w:rsidRPr="001F7755">
              <w:rPr>
                <w:lang w:val="en-US"/>
              </w:rPr>
              <w:instrText xml:space="preserve"> FORMCHECKBOX </w:instrText>
            </w:r>
            <w:r w:rsidR="00BB4E3C">
              <w:rPr>
                <w:lang w:val="en-US"/>
              </w:rPr>
            </w:r>
            <w:r w:rsidR="00BB4E3C">
              <w:rPr>
                <w:lang w:val="en-US"/>
              </w:rPr>
              <w:fldChar w:fldCharType="separate"/>
            </w:r>
            <w:r w:rsidRPr="001F7755">
              <w:rPr>
                <w:lang w:val="en-US"/>
              </w:rPr>
              <w:fldChar w:fldCharType="end"/>
            </w:r>
            <w:r w:rsidRPr="001F7755">
              <w:rPr>
                <w:lang w:val="en-US"/>
              </w:rPr>
              <w:tab/>
            </w:r>
            <w:r w:rsidRPr="001F7755">
              <w:rPr>
                <w:lang w:val="en-US"/>
              </w:rPr>
              <w:tab/>
              <w:t>Regional Trust Fund</w:t>
            </w:r>
            <w:r w:rsidRPr="001F7755">
              <w:rPr>
                <w:b/>
                <w:lang w:val="en-US"/>
              </w:rPr>
              <w:t xml:space="preserve"> </w:t>
            </w:r>
          </w:p>
          <w:p w14:paraId="0EDB4FD7" w14:textId="77777777" w:rsidR="00A43B9C" w:rsidRPr="001F7755" w:rsidRDefault="00A43B9C" w:rsidP="00F23D0F">
            <w:pPr>
              <w:tabs>
                <w:tab w:val="left" w:pos="0"/>
              </w:tabs>
              <w:suppressAutoHyphens/>
              <w:jc w:val="both"/>
              <w:rPr>
                <w:b/>
                <w:lang w:val="en-US"/>
              </w:rPr>
            </w:pPr>
          </w:p>
          <w:p w14:paraId="0E92ACAC" w14:textId="77777777" w:rsidR="00A43B9C" w:rsidRPr="001F7755" w:rsidRDefault="00A43B9C" w:rsidP="00A43B9C">
            <w:pPr>
              <w:pStyle w:val="BalloonText"/>
              <w:numPr>
                <w:ilvl w:val="12"/>
                <w:numId w:val="0"/>
              </w:numPr>
              <w:tabs>
                <w:tab w:val="left" w:pos="-720"/>
                <w:tab w:val="left" w:pos="4500"/>
              </w:tabs>
              <w:rPr>
                <w:rFonts w:ascii="Times New Roman" w:hAnsi="Times New Roman" w:cs="Times New Roman"/>
                <w:b/>
                <w:sz w:val="24"/>
                <w:szCs w:val="24"/>
                <w:lang w:val="en-US"/>
              </w:rPr>
            </w:pPr>
            <w:r w:rsidRPr="001F7755">
              <w:rPr>
                <w:rFonts w:ascii="Times New Roman" w:hAnsi="Times New Roman" w:cs="Times New Roman"/>
                <w:b/>
                <w:sz w:val="24"/>
                <w:szCs w:val="24"/>
                <w:lang w:val="en-US"/>
              </w:rPr>
              <w:t xml:space="preserve">Name of Recipient Fund: </w:t>
            </w:r>
            <w:r w:rsidRPr="001F7755">
              <w:rPr>
                <w:rFonts w:ascii="Times New Roman" w:hAnsi="Times New Roman" w:cs="Times New Roman"/>
                <w:bCs/>
                <w:iCs/>
                <w:snapToGrid w:val="0"/>
                <w:sz w:val="24"/>
                <w:szCs w:val="24"/>
                <w:lang w:val="en-US"/>
              </w:rPr>
              <w:fldChar w:fldCharType="begin">
                <w:ffData>
                  <w:name w:val="Text11"/>
                  <w:enabled/>
                  <w:calcOnExit w:val="0"/>
                  <w:textInput>
                    <w:format w:val="FIRST CAPITAL"/>
                  </w:textInput>
                </w:ffData>
              </w:fldChar>
            </w:r>
            <w:r w:rsidRPr="001F7755">
              <w:rPr>
                <w:rFonts w:ascii="Times New Roman" w:hAnsi="Times New Roman" w:cs="Times New Roman"/>
                <w:bCs/>
                <w:iCs/>
                <w:snapToGrid w:val="0"/>
                <w:sz w:val="24"/>
                <w:szCs w:val="24"/>
                <w:lang w:val="en-US"/>
              </w:rPr>
              <w:instrText xml:space="preserve"> FORMTEXT </w:instrText>
            </w:r>
            <w:r w:rsidRPr="001F7755">
              <w:rPr>
                <w:rFonts w:ascii="Times New Roman" w:hAnsi="Times New Roman" w:cs="Times New Roman"/>
                <w:bCs/>
                <w:iCs/>
                <w:snapToGrid w:val="0"/>
                <w:sz w:val="24"/>
                <w:szCs w:val="24"/>
                <w:lang w:val="en-US"/>
              </w:rPr>
            </w:r>
            <w:r w:rsidRPr="001F7755">
              <w:rPr>
                <w:rFonts w:ascii="Times New Roman" w:hAnsi="Times New Roman" w:cs="Times New Roman"/>
                <w:bCs/>
                <w:iCs/>
                <w:snapToGrid w:val="0"/>
                <w:sz w:val="24"/>
                <w:szCs w:val="24"/>
                <w:lang w:val="en-US"/>
              </w:rPr>
              <w:fldChar w:fldCharType="separate"/>
            </w:r>
            <w:r w:rsidRPr="001F7755">
              <w:rPr>
                <w:rFonts w:ascii="Times New Roman" w:hAnsi="Times New Roman" w:cs="Times New Roman"/>
                <w:bCs/>
                <w:iCs/>
                <w:snapToGrid w:val="0"/>
                <w:sz w:val="24"/>
                <w:szCs w:val="24"/>
                <w:lang w:val="en-US"/>
              </w:rPr>
              <w:t> </w:t>
            </w:r>
            <w:r w:rsidRPr="001F7755">
              <w:rPr>
                <w:rFonts w:ascii="Times New Roman" w:hAnsi="Times New Roman" w:cs="Times New Roman"/>
                <w:bCs/>
                <w:iCs/>
                <w:snapToGrid w:val="0"/>
                <w:sz w:val="24"/>
                <w:szCs w:val="24"/>
                <w:lang w:val="en-US"/>
              </w:rPr>
              <w:t> </w:t>
            </w:r>
            <w:r w:rsidRPr="001F7755">
              <w:rPr>
                <w:rFonts w:ascii="Times New Roman" w:hAnsi="Times New Roman" w:cs="Times New Roman"/>
                <w:bCs/>
                <w:iCs/>
                <w:snapToGrid w:val="0"/>
                <w:sz w:val="24"/>
                <w:szCs w:val="24"/>
                <w:lang w:val="en-US"/>
              </w:rPr>
              <w:t> </w:t>
            </w:r>
            <w:r w:rsidRPr="001F7755">
              <w:rPr>
                <w:rFonts w:ascii="Times New Roman" w:hAnsi="Times New Roman" w:cs="Times New Roman"/>
                <w:bCs/>
                <w:iCs/>
                <w:snapToGrid w:val="0"/>
                <w:sz w:val="24"/>
                <w:szCs w:val="24"/>
                <w:lang w:val="en-US"/>
              </w:rPr>
              <w:t> </w:t>
            </w:r>
            <w:r w:rsidRPr="001F7755">
              <w:rPr>
                <w:rFonts w:ascii="Times New Roman" w:hAnsi="Times New Roman" w:cs="Times New Roman"/>
                <w:bCs/>
                <w:iCs/>
                <w:snapToGrid w:val="0"/>
                <w:sz w:val="24"/>
                <w:szCs w:val="24"/>
                <w:lang w:val="en-US"/>
              </w:rPr>
              <w:t> </w:t>
            </w:r>
            <w:r w:rsidRPr="001F7755">
              <w:rPr>
                <w:rFonts w:ascii="Times New Roman" w:hAnsi="Times New Roman" w:cs="Times New Roman"/>
                <w:bCs/>
                <w:iCs/>
                <w:snapToGrid w:val="0"/>
                <w:sz w:val="24"/>
                <w:szCs w:val="24"/>
                <w:lang w:val="en-US"/>
              </w:rPr>
              <w:fldChar w:fldCharType="end"/>
            </w:r>
          </w:p>
          <w:p w14:paraId="2BF6F37D" w14:textId="77777777" w:rsidR="00A43B9C" w:rsidRPr="001F7755" w:rsidRDefault="00A43B9C" w:rsidP="00F23D0F">
            <w:pPr>
              <w:tabs>
                <w:tab w:val="left" w:pos="0"/>
              </w:tabs>
              <w:suppressAutoHyphens/>
              <w:jc w:val="both"/>
              <w:rPr>
                <w:b/>
                <w:lang w:val="en-US"/>
              </w:rPr>
            </w:pPr>
          </w:p>
        </w:tc>
        <w:tc>
          <w:tcPr>
            <w:tcW w:w="5917" w:type="dxa"/>
          </w:tcPr>
          <w:p w14:paraId="3BE7D44F" w14:textId="77777777" w:rsidR="00A43B9C" w:rsidRPr="001F7755" w:rsidRDefault="00A43B9C" w:rsidP="00A43B9C">
            <w:pPr>
              <w:rPr>
                <w:b/>
                <w:bCs/>
                <w:iCs/>
                <w:lang w:val="en-US"/>
              </w:rPr>
            </w:pPr>
            <w:r w:rsidRPr="001F7755">
              <w:rPr>
                <w:b/>
                <w:bCs/>
                <w:iCs/>
                <w:lang w:val="en-US"/>
              </w:rPr>
              <w:t xml:space="preserve">Type and name of recipient organizations: </w:t>
            </w:r>
          </w:p>
          <w:p w14:paraId="47C8A2A1" w14:textId="77777777" w:rsidR="00A43B9C" w:rsidRPr="001F7755" w:rsidRDefault="00A43B9C" w:rsidP="00A43B9C">
            <w:pPr>
              <w:rPr>
                <w:b/>
                <w:bCs/>
                <w:iCs/>
                <w:lang w:val="en-US"/>
              </w:rPr>
            </w:pPr>
          </w:p>
          <w:p w14:paraId="7713E2B6" w14:textId="69880421" w:rsidR="00A43B9C" w:rsidRPr="001F7755" w:rsidRDefault="00A84981" w:rsidP="00A43B9C">
            <w:pPr>
              <w:pStyle w:val="BalloonText"/>
              <w:numPr>
                <w:ilvl w:val="12"/>
                <w:numId w:val="0"/>
              </w:numPr>
              <w:tabs>
                <w:tab w:val="left" w:pos="-720"/>
                <w:tab w:val="left" w:pos="4500"/>
              </w:tabs>
              <w:rPr>
                <w:rFonts w:ascii="Times New Roman" w:hAnsi="Times New Roman" w:cs="Times New Roman"/>
                <w:b/>
                <w:sz w:val="24"/>
                <w:szCs w:val="24"/>
                <w:lang w:val="en-US"/>
              </w:rPr>
            </w:pPr>
            <w:r w:rsidRPr="001F7755">
              <w:rPr>
                <w:rFonts w:ascii="Times New Roman" w:hAnsi="Times New Roman" w:cs="Times New Roman"/>
                <w:b/>
                <w:sz w:val="24"/>
                <w:szCs w:val="24"/>
                <w:lang w:val="en-US"/>
              </w:rPr>
              <w:t>RUNO</w:t>
            </w:r>
            <w:r w:rsidR="00A43B9C" w:rsidRPr="001F7755">
              <w:rPr>
                <w:rFonts w:ascii="Times New Roman" w:hAnsi="Times New Roman" w:cs="Times New Roman"/>
                <w:b/>
                <w:sz w:val="24"/>
                <w:szCs w:val="24"/>
                <w:lang w:val="en-US"/>
              </w:rPr>
              <w:t xml:space="preserve">     </w:t>
            </w:r>
            <w:r w:rsidRPr="001F7755">
              <w:rPr>
                <w:rFonts w:ascii="Times New Roman" w:hAnsi="Times New Roman" w:cs="Times New Roman"/>
                <w:b/>
                <w:sz w:val="24"/>
                <w:szCs w:val="24"/>
                <w:lang w:val="en-US"/>
              </w:rPr>
              <w:t xml:space="preserve">         </w:t>
            </w:r>
            <w:r w:rsidR="00B92E57" w:rsidRPr="001F7755">
              <w:rPr>
                <w:rFonts w:ascii="Times New Roman" w:hAnsi="Times New Roman" w:cs="Times New Roman"/>
                <w:b/>
                <w:sz w:val="24"/>
                <w:szCs w:val="24"/>
                <w:lang w:val="en-US"/>
              </w:rPr>
              <w:t xml:space="preserve">WFP </w:t>
            </w:r>
            <w:r w:rsidR="00A43B9C" w:rsidRPr="001F7755">
              <w:rPr>
                <w:rFonts w:ascii="Times New Roman" w:hAnsi="Times New Roman" w:cs="Times New Roman"/>
                <w:b/>
                <w:sz w:val="24"/>
                <w:szCs w:val="24"/>
                <w:lang w:val="en-US"/>
              </w:rPr>
              <w:t>(Convening Agency)</w:t>
            </w:r>
          </w:p>
          <w:p w14:paraId="50ED535B" w14:textId="219B8C27" w:rsidR="00A43B9C" w:rsidRPr="001F7755" w:rsidRDefault="00A84981" w:rsidP="00A43B9C">
            <w:pPr>
              <w:pStyle w:val="BalloonText"/>
              <w:numPr>
                <w:ilvl w:val="12"/>
                <w:numId w:val="0"/>
              </w:numPr>
              <w:tabs>
                <w:tab w:val="left" w:pos="-720"/>
                <w:tab w:val="left" w:pos="4500"/>
              </w:tabs>
              <w:rPr>
                <w:rFonts w:ascii="Times New Roman" w:hAnsi="Times New Roman" w:cs="Times New Roman"/>
                <w:b/>
                <w:sz w:val="24"/>
                <w:szCs w:val="24"/>
                <w:lang w:val="en-US"/>
              </w:rPr>
            </w:pPr>
            <w:r w:rsidRPr="001F7755">
              <w:rPr>
                <w:rFonts w:ascii="Times New Roman" w:hAnsi="Times New Roman" w:cs="Times New Roman"/>
                <w:b/>
                <w:sz w:val="24"/>
                <w:szCs w:val="24"/>
                <w:lang w:val="en-US"/>
              </w:rPr>
              <w:t xml:space="preserve">RUNO        </w:t>
            </w:r>
            <w:r w:rsidR="00A43B9C" w:rsidRPr="001F7755">
              <w:rPr>
                <w:rFonts w:ascii="Times New Roman" w:hAnsi="Times New Roman" w:cs="Times New Roman"/>
                <w:b/>
                <w:sz w:val="24"/>
                <w:szCs w:val="24"/>
                <w:lang w:val="en-US"/>
              </w:rPr>
              <w:t xml:space="preserve">    </w:t>
            </w:r>
            <w:r w:rsidRPr="001F7755">
              <w:rPr>
                <w:rFonts w:ascii="Times New Roman" w:hAnsi="Times New Roman" w:cs="Times New Roman"/>
                <w:b/>
                <w:sz w:val="24"/>
                <w:szCs w:val="24"/>
                <w:lang w:val="en-US"/>
              </w:rPr>
              <w:t xml:space="preserve"> </w:t>
            </w:r>
            <w:r w:rsidR="00A43B9C" w:rsidRPr="001F7755">
              <w:rPr>
                <w:rFonts w:ascii="Times New Roman" w:hAnsi="Times New Roman" w:cs="Times New Roman"/>
                <w:b/>
                <w:sz w:val="24"/>
                <w:szCs w:val="24"/>
                <w:lang w:val="en-US"/>
              </w:rPr>
              <w:t xml:space="preserve"> </w:t>
            </w:r>
            <w:r w:rsidRPr="001F7755">
              <w:rPr>
                <w:rFonts w:ascii="Times New Roman" w:hAnsi="Times New Roman" w:cs="Times New Roman"/>
                <w:b/>
                <w:sz w:val="24"/>
                <w:szCs w:val="24"/>
                <w:lang w:val="en-US"/>
              </w:rPr>
              <w:t>UNDP</w:t>
            </w:r>
          </w:p>
          <w:p w14:paraId="3BA0CDE8" w14:textId="22134719" w:rsidR="00A43B9C" w:rsidRPr="001F7755" w:rsidRDefault="00A43B9C" w:rsidP="00A43B9C">
            <w:pPr>
              <w:pStyle w:val="BalloonText"/>
              <w:numPr>
                <w:ilvl w:val="12"/>
                <w:numId w:val="0"/>
              </w:numPr>
              <w:tabs>
                <w:tab w:val="left" w:pos="-720"/>
                <w:tab w:val="left" w:pos="4500"/>
              </w:tabs>
              <w:rPr>
                <w:rFonts w:ascii="Times New Roman" w:hAnsi="Times New Roman" w:cs="Times New Roman"/>
                <w:b/>
                <w:sz w:val="24"/>
                <w:szCs w:val="24"/>
                <w:lang w:val="en-US"/>
              </w:rPr>
            </w:pPr>
          </w:p>
        </w:tc>
      </w:tr>
      <w:tr w:rsidR="00793DE6" w:rsidRPr="001F7755" w14:paraId="3B6DAA11" w14:textId="77777777" w:rsidTr="00F23D0F">
        <w:trPr>
          <w:trHeight w:val="368"/>
        </w:trPr>
        <w:tc>
          <w:tcPr>
            <w:tcW w:w="10080" w:type="dxa"/>
            <w:gridSpan w:val="2"/>
          </w:tcPr>
          <w:p w14:paraId="0340209F" w14:textId="77777777" w:rsidR="00A84981" w:rsidRPr="001F7755" w:rsidRDefault="00A84981" w:rsidP="00A84981">
            <w:pPr>
              <w:rPr>
                <w:b/>
                <w:bCs/>
                <w:iCs/>
                <w:lang w:val="en-US"/>
              </w:rPr>
            </w:pPr>
            <w:r w:rsidRPr="001F7755">
              <w:rPr>
                <w:b/>
                <w:bCs/>
                <w:iCs/>
                <w:lang w:val="en-US"/>
              </w:rPr>
              <w:t>Date of first transfer: 01 October 2019</w:t>
            </w:r>
          </w:p>
          <w:p w14:paraId="4E3032A0" w14:textId="77777777" w:rsidR="00A84981" w:rsidRPr="001F7755" w:rsidRDefault="00A84981" w:rsidP="00A84981">
            <w:pPr>
              <w:rPr>
                <w:bCs/>
                <w:iCs/>
                <w:snapToGrid w:val="0"/>
                <w:lang w:val="en-US"/>
              </w:rPr>
            </w:pPr>
            <w:r w:rsidRPr="001F7755">
              <w:rPr>
                <w:b/>
                <w:bCs/>
                <w:iCs/>
                <w:lang w:val="en-US"/>
              </w:rPr>
              <w:t xml:space="preserve">Project end date: 01 </w:t>
            </w:r>
            <w:r w:rsidRPr="001F7755">
              <w:rPr>
                <w:b/>
                <w:bCs/>
                <w:iCs/>
                <w:snapToGrid w:val="0"/>
                <w:lang w:val="en-US"/>
              </w:rPr>
              <w:t>October 2021</w:t>
            </w:r>
            <w:r w:rsidRPr="001F7755">
              <w:rPr>
                <w:bCs/>
                <w:iCs/>
                <w:snapToGrid w:val="0"/>
                <w:lang w:val="en-US"/>
              </w:rPr>
              <w:t xml:space="preserve">     </w:t>
            </w:r>
          </w:p>
          <w:p w14:paraId="2A130D2E" w14:textId="77777777" w:rsidR="00A84981" w:rsidRPr="001F7755" w:rsidRDefault="00A84981" w:rsidP="00A84981">
            <w:pPr>
              <w:rPr>
                <w:b/>
                <w:bCs/>
                <w:iCs/>
                <w:lang w:val="en-US"/>
              </w:rPr>
            </w:pPr>
            <w:r w:rsidRPr="001F7755">
              <w:rPr>
                <w:b/>
                <w:iCs/>
                <w:snapToGrid w:val="0"/>
                <w:lang w:val="en-US"/>
              </w:rPr>
              <w:t>Is the current project end date within 6 months?</w:t>
            </w:r>
            <w:r w:rsidRPr="001F7755">
              <w:rPr>
                <w:bCs/>
                <w:iCs/>
                <w:snapToGrid w:val="0"/>
                <w:lang w:val="en-US"/>
              </w:rPr>
              <w:t xml:space="preserve"> No</w:t>
            </w:r>
          </w:p>
          <w:p w14:paraId="267396D1" w14:textId="77777777" w:rsidR="00793DE6" w:rsidRPr="001F7755" w:rsidRDefault="00793DE6" w:rsidP="00793DE6">
            <w:pPr>
              <w:rPr>
                <w:b/>
                <w:bCs/>
                <w:iCs/>
                <w:lang w:val="en-US"/>
              </w:rPr>
            </w:pPr>
          </w:p>
        </w:tc>
      </w:tr>
      <w:tr w:rsidR="00793DE6" w:rsidRPr="001F7755" w14:paraId="0A32218D" w14:textId="77777777" w:rsidTr="00F23D0F">
        <w:trPr>
          <w:trHeight w:val="368"/>
        </w:trPr>
        <w:tc>
          <w:tcPr>
            <w:tcW w:w="10080" w:type="dxa"/>
            <w:gridSpan w:val="2"/>
          </w:tcPr>
          <w:p w14:paraId="7922155B" w14:textId="77777777" w:rsidR="00793DE6" w:rsidRPr="001F7755" w:rsidRDefault="004D141E" w:rsidP="00F23D0F">
            <w:pPr>
              <w:rPr>
                <w:b/>
                <w:bCs/>
                <w:lang w:val="en-US"/>
              </w:rPr>
            </w:pPr>
            <w:r w:rsidRPr="001F7755">
              <w:rPr>
                <w:b/>
                <w:bCs/>
                <w:lang w:val="en-US"/>
              </w:rPr>
              <w:t>Check if the</w:t>
            </w:r>
            <w:r w:rsidR="00793DE6" w:rsidRPr="001F7755">
              <w:rPr>
                <w:b/>
                <w:bCs/>
                <w:lang w:val="en-US"/>
              </w:rPr>
              <w:t xml:space="preserve"> project fall</w:t>
            </w:r>
            <w:r w:rsidRPr="001F7755">
              <w:rPr>
                <w:b/>
                <w:bCs/>
                <w:lang w:val="en-US"/>
              </w:rPr>
              <w:t>s</w:t>
            </w:r>
            <w:r w:rsidR="00793DE6" w:rsidRPr="001F7755">
              <w:rPr>
                <w:b/>
                <w:bCs/>
                <w:lang w:val="en-US"/>
              </w:rPr>
              <w:t xml:space="preserve"> under one</w:t>
            </w:r>
            <w:r w:rsidR="00BC71E1" w:rsidRPr="001F7755">
              <w:rPr>
                <w:b/>
                <w:bCs/>
                <w:lang w:val="en-US"/>
              </w:rPr>
              <w:t xml:space="preserve"> or more</w:t>
            </w:r>
            <w:r w:rsidR="00793DE6" w:rsidRPr="001F7755">
              <w:rPr>
                <w:b/>
                <w:bCs/>
                <w:lang w:val="en-US"/>
              </w:rPr>
              <w:t xml:space="preserve"> PBF priority window</w:t>
            </w:r>
            <w:r w:rsidRPr="001F7755">
              <w:rPr>
                <w:b/>
                <w:bCs/>
                <w:lang w:val="en-US"/>
              </w:rPr>
              <w:t>s</w:t>
            </w:r>
            <w:r w:rsidR="00793DE6" w:rsidRPr="001F7755">
              <w:rPr>
                <w:b/>
                <w:bCs/>
                <w:lang w:val="en-US"/>
              </w:rPr>
              <w:t>:</w:t>
            </w:r>
          </w:p>
          <w:p w14:paraId="2B9A3354" w14:textId="4476D550" w:rsidR="00793DE6" w:rsidRPr="001F7755" w:rsidRDefault="0016011B" w:rsidP="00F23D0F">
            <w:pPr>
              <w:rPr>
                <w:lang w:val="en-US"/>
              </w:rPr>
            </w:pPr>
            <w:r w:rsidRPr="001F7755">
              <w:rPr>
                <w:lang w:val="en-US"/>
              </w:rPr>
              <w:fldChar w:fldCharType="begin">
                <w:ffData>
                  <w:name w:val=""/>
                  <w:enabled w:val="0"/>
                  <w:calcOnExit w:val="0"/>
                  <w:checkBox>
                    <w:sizeAuto/>
                    <w:default w:val="0"/>
                  </w:checkBox>
                </w:ffData>
              </w:fldChar>
            </w:r>
            <w:r w:rsidRPr="001F7755">
              <w:rPr>
                <w:lang w:val="en-US"/>
              </w:rPr>
              <w:instrText xml:space="preserve"> FORMCHECKBOX </w:instrText>
            </w:r>
            <w:r w:rsidR="00BB4E3C">
              <w:rPr>
                <w:lang w:val="en-US"/>
              </w:rPr>
            </w:r>
            <w:r w:rsidR="00BB4E3C">
              <w:rPr>
                <w:lang w:val="en-US"/>
              </w:rPr>
              <w:fldChar w:fldCharType="separate"/>
            </w:r>
            <w:r w:rsidRPr="001F7755">
              <w:rPr>
                <w:lang w:val="en-US"/>
              </w:rPr>
              <w:fldChar w:fldCharType="end"/>
            </w:r>
            <w:r w:rsidR="00793DE6" w:rsidRPr="001F7755">
              <w:rPr>
                <w:lang w:val="en-US"/>
              </w:rPr>
              <w:t xml:space="preserve"> Gender promotion initiative</w:t>
            </w:r>
          </w:p>
          <w:p w14:paraId="55AFED50" w14:textId="4E38483F" w:rsidR="00793DE6" w:rsidRPr="001F7755" w:rsidRDefault="0016011B" w:rsidP="00A84981">
            <w:pPr>
              <w:tabs>
                <w:tab w:val="left" w:pos="3330"/>
                <w:tab w:val="left" w:pos="6705"/>
              </w:tabs>
              <w:rPr>
                <w:lang w:val="en-US"/>
              </w:rPr>
            </w:pPr>
            <w:r w:rsidRPr="001F7755">
              <w:rPr>
                <w:lang w:val="en-US"/>
              </w:rPr>
              <w:fldChar w:fldCharType="begin">
                <w:ffData>
                  <w:name w:val=""/>
                  <w:enabled/>
                  <w:calcOnExit w:val="0"/>
                  <w:checkBox>
                    <w:sizeAuto/>
                    <w:default w:val="0"/>
                  </w:checkBox>
                </w:ffData>
              </w:fldChar>
            </w:r>
            <w:r w:rsidRPr="001F7755">
              <w:rPr>
                <w:lang w:val="en-US"/>
              </w:rPr>
              <w:instrText xml:space="preserve"> FORMCHECKBOX </w:instrText>
            </w:r>
            <w:r w:rsidR="00BB4E3C">
              <w:rPr>
                <w:lang w:val="en-US"/>
              </w:rPr>
            </w:r>
            <w:r w:rsidR="00BB4E3C">
              <w:rPr>
                <w:lang w:val="en-US"/>
              </w:rPr>
              <w:fldChar w:fldCharType="separate"/>
            </w:r>
            <w:r w:rsidRPr="001F7755">
              <w:rPr>
                <w:lang w:val="en-US"/>
              </w:rPr>
              <w:fldChar w:fldCharType="end"/>
            </w:r>
            <w:r w:rsidR="00793DE6" w:rsidRPr="001F7755">
              <w:rPr>
                <w:lang w:val="en-US"/>
              </w:rPr>
              <w:t xml:space="preserve"> Youth promotion initiative</w:t>
            </w:r>
            <w:r w:rsidR="007C2163" w:rsidRPr="001F7755">
              <w:rPr>
                <w:lang w:val="en-US"/>
              </w:rPr>
              <w:tab/>
            </w:r>
          </w:p>
          <w:p w14:paraId="5930010F" w14:textId="77777777" w:rsidR="00793DE6" w:rsidRPr="001F7755" w:rsidRDefault="00793DE6" w:rsidP="00F23D0F">
            <w:pPr>
              <w:rPr>
                <w:lang w:val="en-US"/>
              </w:rPr>
            </w:pPr>
            <w:r w:rsidRPr="001F7755">
              <w:rPr>
                <w:lang w:val="en-US"/>
              </w:rPr>
              <w:fldChar w:fldCharType="begin">
                <w:ffData>
                  <w:name w:val=""/>
                  <w:enabled/>
                  <w:calcOnExit w:val="0"/>
                  <w:checkBox>
                    <w:sizeAuto/>
                    <w:default w:val="0"/>
                  </w:checkBox>
                </w:ffData>
              </w:fldChar>
            </w:r>
            <w:r w:rsidRPr="001F7755">
              <w:rPr>
                <w:lang w:val="en-US"/>
              </w:rPr>
              <w:instrText xml:space="preserve"> FORMCHECKBOX </w:instrText>
            </w:r>
            <w:r w:rsidR="00BB4E3C">
              <w:rPr>
                <w:lang w:val="en-US"/>
              </w:rPr>
            </w:r>
            <w:r w:rsidR="00BB4E3C">
              <w:rPr>
                <w:lang w:val="en-US"/>
              </w:rPr>
              <w:fldChar w:fldCharType="separate"/>
            </w:r>
            <w:r w:rsidRPr="001F7755">
              <w:rPr>
                <w:lang w:val="en-US"/>
              </w:rPr>
              <w:fldChar w:fldCharType="end"/>
            </w:r>
            <w:r w:rsidRPr="001F7755">
              <w:rPr>
                <w:lang w:val="en-US"/>
              </w:rPr>
              <w:t xml:space="preserve"> Transition from UN or regional peacekeeping or special political missions</w:t>
            </w:r>
          </w:p>
          <w:p w14:paraId="21A584FA" w14:textId="77777777" w:rsidR="00793DE6" w:rsidRPr="001F7755" w:rsidRDefault="00793DE6" w:rsidP="00F23D0F">
            <w:pPr>
              <w:rPr>
                <w:lang w:val="en-US"/>
              </w:rPr>
            </w:pPr>
            <w:r w:rsidRPr="001F7755">
              <w:rPr>
                <w:lang w:val="en-US"/>
              </w:rPr>
              <w:fldChar w:fldCharType="begin">
                <w:ffData>
                  <w:name w:val=""/>
                  <w:enabled/>
                  <w:calcOnExit w:val="0"/>
                  <w:checkBox>
                    <w:sizeAuto/>
                    <w:default w:val="0"/>
                  </w:checkBox>
                </w:ffData>
              </w:fldChar>
            </w:r>
            <w:r w:rsidRPr="001F7755">
              <w:rPr>
                <w:lang w:val="en-US"/>
              </w:rPr>
              <w:instrText xml:space="preserve"> FORMCHECKBOX </w:instrText>
            </w:r>
            <w:r w:rsidR="00BB4E3C">
              <w:rPr>
                <w:lang w:val="en-US"/>
              </w:rPr>
            </w:r>
            <w:r w:rsidR="00BB4E3C">
              <w:rPr>
                <w:lang w:val="en-US"/>
              </w:rPr>
              <w:fldChar w:fldCharType="separate"/>
            </w:r>
            <w:r w:rsidRPr="001F7755">
              <w:rPr>
                <w:lang w:val="en-US"/>
              </w:rPr>
              <w:fldChar w:fldCharType="end"/>
            </w:r>
            <w:r w:rsidRPr="001F7755">
              <w:rPr>
                <w:lang w:val="en-US"/>
              </w:rPr>
              <w:t xml:space="preserve"> Cross-border or regional project</w:t>
            </w:r>
          </w:p>
          <w:p w14:paraId="65EB2D34" w14:textId="77777777" w:rsidR="00793DE6" w:rsidRPr="001F7755" w:rsidRDefault="00793DE6" w:rsidP="00F23D0F">
            <w:pPr>
              <w:rPr>
                <w:lang w:val="en-US"/>
              </w:rPr>
            </w:pPr>
          </w:p>
        </w:tc>
      </w:tr>
      <w:tr w:rsidR="00793DE6" w:rsidRPr="001F7755" w14:paraId="481DE647" w14:textId="77777777" w:rsidTr="00F23D0F">
        <w:trPr>
          <w:trHeight w:val="1124"/>
        </w:trPr>
        <w:tc>
          <w:tcPr>
            <w:tcW w:w="10080" w:type="dxa"/>
            <w:gridSpan w:val="2"/>
          </w:tcPr>
          <w:p w14:paraId="403DC2CA" w14:textId="3180F139" w:rsidR="00793DE6" w:rsidRPr="001F7755" w:rsidRDefault="00793DE6" w:rsidP="00F23D0F">
            <w:pPr>
              <w:rPr>
                <w:b/>
                <w:bCs/>
                <w:iCs/>
                <w:lang w:val="en-US"/>
              </w:rPr>
            </w:pPr>
            <w:r w:rsidRPr="001F7755">
              <w:rPr>
                <w:b/>
                <w:bCs/>
                <w:iCs/>
                <w:lang w:val="en-US"/>
              </w:rPr>
              <w:t xml:space="preserve">Total PBF approved project budget (by recipient organization): </w:t>
            </w:r>
            <w:r w:rsidR="00BA0795" w:rsidRPr="001F7755">
              <w:rPr>
                <w:b/>
                <w:bCs/>
                <w:iCs/>
                <w:lang w:val="en-US"/>
              </w:rPr>
              <w:t>WFP</w:t>
            </w:r>
          </w:p>
          <w:p w14:paraId="1C668B70" w14:textId="77777777" w:rsidR="00006EC0" w:rsidRPr="001F7755" w:rsidRDefault="00006EC0" w:rsidP="00F23D0F">
            <w:pPr>
              <w:rPr>
                <w:b/>
                <w:iCs/>
                <w:snapToGrid w:val="0"/>
                <w:lang w:val="en-US"/>
              </w:rPr>
            </w:pPr>
            <w:bookmarkStart w:id="0" w:name="_Hlk39507683"/>
            <w:r w:rsidRPr="001F7755">
              <w:rPr>
                <w:b/>
                <w:iCs/>
                <w:snapToGrid w:val="0"/>
                <w:lang w:val="en-US"/>
              </w:rPr>
              <w:t xml:space="preserve">Recipient Organization              Amount  </w:t>
            </w:r>
          </w:p>
          <w:bookmarkEnd w:id="0"/>
          <w:p w14:paraId="6B04492D" w14:textId="77777777" w:rsidR="00A84981" w:rsidRPr="001F7755" w:rsidRDefault="00A84981" w:rsidP="00A84981">
            <w:pPr>
              <w:rPr>
                <w:iCs/>
                <w:lang w:val="en-US"/>
              </w:rPr>
            </w:pPr>
            <w:r w:rsidRPr="001F7755">
              <w:rPr>
                <w:bCs/>
                <w:iCs/>
                <w:snapToGrid w:val="0"/>
                <w:lang w:val="en-US"/>
              </w:rPr>
              <w:t xml:space="preserve">WFP   </w:t>
            </w:r>
            <w:r w:rsidRPr="001F7755">
              <w:rPr>
                <w:b/>
                <w:bCs/>
                <w:iCs/>
                <w:lang w:val="en-US"/>
              </w:rPr>
              <w:t xml:space="preserve">                                           </w:t>
            </w:r>
            <w:r w:rsidRPr="001F7755">
              <w:rPr>
                <w:iCs/>
                <w:lang w:val="en-US"/>
              </w:rPr>
              <w:t xml:space="preserve">$ </w:t>
            </w:r>
            <w:r w:rsidRPr="001F7755">
              <w:rPr>
                <w:bCs/>
                <w:iCs/>
                <w:snapToGrid w:val="0"/>
                <w:lang w:val="en-US"/>
              </w:rPr>
              <w:t>1,664,000</w:t>
            </w:r>
          </w:p>
          <w:p w14:paraId="1E782A60" w14:textId="77777777" w:rsidR="00A84981" w:rsidRPr="001F7755" w:rsidRDefault="00A84981" w:rsidP="00A84981">
            <w:pPr>
              <w:pStyle w:val="BalloonText"/>
              <w:numPr>
                <w:ilvl w:val="12"/>
                <w:numId w:val="0"/>
              </w:numPr>
              <w:tabs>
                <w:tab w:val="left" w:pos="-720"/>
                <w:tab w:val="left" w:pos="4500"/>
              </w:tabs>
              <w:suppressAutoHyphens/>
              <w:rPr>
                <w:rFonts w:ascii="Times New Roman" w:hAnsi="Times New Roman" w:cs="Times New Roman"/>
                <w:sz w:val="24"/>
                <w:szCs w:val="24"/>
                <w:lang w:val="en-US"/>
              </w:rPr>
            </w:pPr>
            <w:r w:rsidRPr="001F7755">
              <w:rPr>
                <w:rFonts w:ascii="Times New Roman" w:hAnsi="Times New Roman" w:cs="Times New Roman"/>
                <w:bCs/>
                <w:iCs/>
                <w:snapToGrid w:val="0"/>
                <w:sz w:val="24"/>
                <w:szCs w:val="24"/>
                <w:lang w:val="en-US"/>
              </w:rPr>
              <w:t xml:space="preserve">UNDP                                            </w:t>
            </w:r>
            <w:r w:rsidRPr="001F7755">
              <w:rPr>
                <w:rFonts w:ascii="Times New Roman" w:hAnsi="Times New Roman" w:cs="Times New Roman"/>
                <w:sz w:val="24"/>
                <w:szCs w:val="24"/>
                <w:lang w:val="en-US"/>
              </w:rPr>
              <w:t xml:space="preserve">$ </w:t>
            </w:r>
            <w:r w:rsidRPr="001F7755">
              <w:rPr>
                <w:rFonts w:ascii="Times New Roman" w:hAnsi="Times New Roman" w:cs="Times New Roman"/>
                <w:bCs/>
                <w:iCs/>
                <w:snapToGrid w:val="0"/>
                <w:sz w:val="24"/>
                <w:szCs w:val="24"/>
                <w:lang w:val="en-US"/>
              </w:rPr>
              <w:t>1,336,000</w:t>
            </w:r>
          </w:p>
          <w:p w14:paraId="46A0DB1E" w14:textId="77777777" w:rsidR="00A84981" w:rsidRPr="001F7755" w:rsidRDefault="00A84981" w:rsidP="00A84981">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1F7755">
              <w:rPr>
                <w:rFonts w:ascii="Times New Roman" w:hAnsi="Times New Roman" w:cs="Times New Roman"/>
                <w:sz w:val="24"/>
                <w:szCs w:val="24"/>
                <w:lang w:val="en-US"/>
              </w:rPr>
              <w:t xml:space="preserve">                                           Total: $ </w:t>
            </w:r>
            <w:r w:rsidRPr="001F7755">
              <w:rPr>
                <w:rFonts w:ascii="Times New Roman" w:hAnsi="Times New Roman" w:cs="Times New Roman"/>
                <w:bCs/>
                <w:iCs/>
                <w:snapToGrid w:val="0"/>
                <w:sz w:val="24"/>
                <w:szCs w:val="24"/>
                <w:lang w:val="en-US"/>
              </w:rPr>
              <w:t xml:space="preserve">3,000,000 </w:t>
            </w:r>
          </w:p>
          <w:p w14:paraId="21E4CBF9" w14:textId="78B2CC29" w:rsidR="001C56B8" w:rsidRPr="001F7755"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1F7755">
              <w:rPr>
                <w:rFonts w:ascii="Times New Roman" w:hAnsi="Times New Roman" w:cs="Times New Roman"/>
                <w:bCs/>
                <w:iCs/>
                <w:snapToGrid w:val="0"/>
                <w:sz w:val="24"/>
                <w:szCs w:val="24"/>
                <w:lang w:val="en-US"/>
              </w:rPr>
              <w:t xml:space="preserve">Approximate implementation rate as percentage of total project budget: </w:t>
            </w:r>
            <w:r w:rsidR="00056A48">
              <w:rPr>
                <w:rFonts w:ascii="Times New Roman" w:hAnsi="Times New Roman" w:cs="Times New Roman"/>
                <w:bCs/>
                <w:iCs/>
                <w:snapToGrid w:val="0"/>
                <w:sz w:val="24"/>
                <w:szCs w:val="24"/>
                <w:lang w:val="en-US"/>
              </w:rPr>
              <w:t>65 percent</w:t>
            </w:r>
          </w:p>
          <w:p w14:paraId="6171E240" w14:textId="77777777" w:rsidR="007C288F" w:rsidRPr="001F7755"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1F7755">
              <w:rPr>
                <w:rFonts w:ascii="Times New Roman" w:hAnsi="Times New Roman" w:cs="Times New Roman"/>
                <w:bCs/>
                <w:iCs/>
                <w:snapToGrid w:val="0"/>
                <w:sz w:val="23"/>
                <w:szCs w:val="23"/>
                <w:lang w:val="en-US"/>
              </w:rPr>
              <w:t>*ATTACH PROJECT EXCEL BUDGET SHOWING CURRENT APPROXIMATE EXPENDITURE*</w:t>
            </w:r>
          </w:p>
          <w:p w14:paraId="6901A670" w14:textId="77777777" w:rsidR="00793DE6" w:rsidRPr="001F7755"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en-US"/>
              </w:rPr>
            </w:pPr>
          </w:p>
          <w:p w14:paraId="7F5AF3D2" w14:textId="77777777" w:rsidR="00006EC0" w:rsidRPr="001F7755"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en-US"/>
              </w:rPr>
            </w:pPr>
            <w:r w:rsidRPr="001F7755">
              <w:rPr>
                <w:rFonts w:ascii="Times New Roman" w:hAnsi="Times New Roman" w:cs="Times New Roman"/>
                <w:b/>
                <w:bCs/>
                <w:sz w:val="24"/>
                <w:szCs w:val="24"/>
                <w:lang w:val="en-US"/>
              </w:rPr>
              <w:t>Gender-responsive Budgeting:</w:t>
            </w:r>
          </w:p>
          <w:p w14:paraId="5F48B706" w14:textId="77777777" w:rsidR="00006EC0" w:rsidRPr="001F7755"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lang w:val="en-US"/>
              </w:rPr>
            </w:pPr>
          </w:p>
          <w:p w14:paraId="63B58F3C" w14:textId="21BC2801" w:rsidR="00A84981" w:rsidRPr="001F7755" w:rsidRDefault="00A84981" w:rsidP="00A84981">
            <w:pPr>
              <w:rPr>
                <w:lang w:val="en-US"/>
              </w:rPr>
            </w:pPr>
            <w:r w:rsidRPr="001F7755">
              <w:rPr>
                <w:lang w:val="en-US"/>
              </w:rPr>
              <w:t>Indicate dollar amount from the project document to be allocated to activities focused on gender equality or women’s empowerment: $ 1,839,268</w:t>
            </w:r>
          </w:p>
          <w:p w14:paraId="4744CADC" w14:textId="77777777" w:rsidR="00A84981" w:rsidRPr="001F7755" w:rsidRDefault="00A84981" w:rsidP="00A84981">
            <w:pPr>
              <w:rPr>
                <w:lang w:val="en-US"/>
              </w:rPr>
            </w:pPr>
            <w:r w:rsidRPr="001F7755">
              <w:rPr>
                <w:lang w:val="en-US"/>
              </w:rPr>
              <w:t>Amount expended to date on activities focused on gender equality or women’s empowerment: $652,416</w:t>
            </w:r>
          </w:p>
          <w:p w14:paraId="2CEAD5EE" w14:textId="77777777" w:rsidR="00952DE4" w:rsidRPr="001F7755"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en-US"/>
              </w:rPr>
            </w:pPr>
          </w:p>
        </w:tc>
      </w:tr>
      <w:tr w:rsidR="009B18EB" w:rsidRPr="001F7755" w14:paraId="5ACD9B9B" w14:textId="77777777" w:rsidTr="00F23D0F">
        <w:trPr>
          <w:trHeight w:val="1124"/>
        </w:trPr>
        <w:tc>
          <w:tcPr>
            <w:tcW w:w="10080" w:type="dxa"/>
            <w:gridSpan w:val="2"/>
          </w:tcPr>
          <w:p w14:paraId="16B2F2BA" w14:textId="77777777" w:rsidR="00A84981" w:rsidRPr="001F7755" w:rsidRDefault="00A84981" w:rsidP="00A84981">
            <w:pPr>
              <w:rPr>
                <w:b/>
                <w:bCs/>
                <w:iCs/>
                <w:lang w:val="en-US"/>
              </w:rPr>
            </w:pPr>
            <w:r w:rsidRPr="001F7755">
              <w:rPr>
                <w:b/>
                <w:bCs/>
                <w:iCs/>
                <w:lang w:val="en-US"/>
              </w:rPr>
              <w:t>Project Gender Marker: GM2</w:t>
            </w:r>
          </w:p>
          <w:p w14:paraId="6A168E5A" w14:textId="77777777" w:rsidR="00A84981" w:rsidRPr="001F7755" w:rsidRDefault="00A84981" w:rsidP="00A84981">
            <w:pPr>
              <w:rPr>
                <w:b/>
                <w:bCs/>
                <w:iCs/>
                <w:lang w:val="en-US"/>
              </w:rPr>
            </w:pPr>
            <w:r w:rsidRPr="001F7755">
              <w:rPr>
                <w:b/>
                <w:bCs/>
                <w:iCs/>
                <w:lang w:val="en-US"/>
              </w:rPr>
              <w:t>Project Risk Marker: Medium</w:t>
            </w:r>
          </w:p>
          <w:p w14:paraId="1DAEED2D" w14:textId="7E600927" w:rsidR="009B18EB" w:rsidRPr="001F7755" w:rsidRDefault="00A84981" w:rsidP="00A84981">
            <w:pPr>
              <w:rPr>
                <w:b/>
                <w:bCs/>
                <w:iCs/>
                <w:lang w:val="en-US"/>
              </w:rPr>
            </w:pPr>
            <w:r w:rsidRPr="001F7755">
              <w:rPr>
                <w:b/>
                <w:bCs/>
                <w:iCs/>
                <w:lang w:val="en-US"/>
              </w:rPr>
              <w:t>Project PBF focus area: 2.3 Conflict Prevention/Management</w:t>
            </w:r>
          </w:p>
        </w:tc>
      </w:tr>
      <w:tr w:rsidR="00793DE6" w:rsidRPr="001F7755" w14:paraId="277CF964" w14:textId="77777777" w:rsidTr="00F23D0F">
        <w:trPr>
          <w:trHeight w:val="1124"/>
        </w:trPr>
        <w:tc>
          <w:tcPr>
            <w:tcW w:w="10080" w:type="dxa"/>
            <w:gridSpan w:val="2"/>
          </w:tcPr>
          <w:p w14:paraId="1CD7755C" w14:textId="77777777" w:rsidR="00793DE6" w:rsidRPr="001F7755" w:rsidRDefault="00793DE6" w:rsidP="00793DE6">
            <w:pPr>
              <w:rPr>
                <w:b/>
                <w:bCs/>
                <w:lang w:val="en-US"/>
              </w:rPr>
            </w:pPr>
            <w:r w:rsidRPr="001F7755">
              <w:rPr>
                <w:b/>
                <w:bCs/>
                <w:lang w:val="en-US"/>
              </w:rPr>
              <w:t>Report preparation:</w:t>
            </w:r>
          </w:p>
          <w:p w14:paraId="10BDFB0E" w14:textId="4A576549" w:rsidR="00793DE6" w:rsidRPr="001F7755" w:rsidRDefault="00793DE6" w:rsidP="00793DE6">
            <w:pPr>
              <w:rPr>
                <w:color w:val="000000" w:themeColor="text1"/>
                <w:lang w:val="en-US"/>
              </w:rPr>
            </w:pPr>
            <w:r w:rsidRPr="001F7755">
              <w:rPr>
                <w:lang w:val="en-US"/>
              </w:rPr>
              <w:t xml:space="preserve">Project report prepared by </w:t>
            </w:r>
            <w:r w:rsidR="00A84981" w:rsidRPr="001F7755">
              <w:rPr>
                <w:color w:val="000000" w:themeColor="text1"/>
                <w:lang w:val="en-US"/>
              </w:rPr>
              <w:t>William Hopkins, PBF Project Manager (WFP)</w:t>
            </w:r>
            <w:r w:rsidR="007C6F38" w:rsidRPr="001F7755">
              <w:rPr>
                <w:color w:val="000000" w:themeColor="text1"/>
                <w:lang w:val="en-US"/>
              </w:rPr>
              <w:t xml:space="preserve"> &amp; Catherine Waliaula, </w:t>
            </w:r>
          </w:p>
          <w:p w14:paraId="6354F724" w14:textId="2B127965" w:rsidR="00793DE6" w:rsidRPr="001F7755" w:rsidRDefault="00793DE6" w:rsidP="00793DE6">
            <w:pPr>
              <w:rPr>
                <w:lang w:val="en-US"/>
              </w:rPr>
            </w:pPr>
            <w:r w:rsidRPr="001F7755">
              <w:rPr>
                <w:lang w:val="en-US"/>
              </w:rPr>
              <w:t xml:space="preserve">Project report approved by: </w:t>
            </w:r>
          </w:p>
          <w:p w14:paraId="4D99FC9D" w14:textId="1355B77E" w:rsidR="00793DE6" w:rsidRPr="001F7755" w:rsidRDefault="00793DE6" w:rsidP="001A3157">
            <w:pPr>
              <w:rPr>
                <w:lang w:val="en-US"/>
              </w:rPr>
            </w:pPr>
            <w:r w:rsidRPr="001F7755">
              <w:rPr>
                <w:lang w:val="en-US"/>
              </w:rPr>
              <w:t xml:space="preserve">Did PBF Secretariat </w:t>
            </w:r>
            <w:r w:rsidR="009B18EB" w:rsidRPr="001F7755">
              <w:rPr>
                <w:lang w:val="en-US"/>
              </w:rPr>
              <w:t xml:space="preserve">review </w:t>
            </w:r>
            <w:r w:rsidRPr="001F7755">
              <w:rPr>
                <w:lang w:val="en-US"/>
              </w:rPr>
              <w:t xml:space="preserve">the report: </w:t>
            </w:r>
          </w:p>
        </w:tc>
      </w:tr>
    </w:tbl>
    <w:p w14:paraId="00782974" w14:textId="77777777" w:rsidR="00272A58" w:rsidRPr="001F7755" w:rsidRDefault="00272A58" w:rsidP="00E76CA1">
      <w:pPr>
        <w:rPr>
          <w:b/>
          <w:lang w:val="en-US"/>
        </w:rPr>
        <w:sectPr w:rsidR="00272A58" w:rsidRPr="001F7755" w:rsidSect="0078600B">
          <w:footerReference w:type="default" r:id="rId13"/>
          <w:pgSz w:w="11906" w:h="16838"/>
          <w:pgMar w:top="1440" w:right="1800" w:bottom="1440" w:left="1800" w:header="720" w:footer="720" w:gutter="0"/>
          <w:cols w:space="720"/>
          <w:docGrid w:linePitch="360"/>
        </w:sectPr>
      </w:pPr>
    </w:p>
    <w:p w14:paraId="1CDAFC7E" w14:textId="77777777" w:rsidR="004C4F3B" w:rsidRPr="001F7755" w:rsidRDefault="00793DE6" w:rsidP="00A47DDA">
      <w:pPr>
        <w:ind w:hanging="810"/>
        <w:jc w:val="both"/>
        <w:rPr>
          <w:b/>
          <w:i/>
          <w:iCs/>
          <w:lang w:val="en-US"/>
        </w:rPr>
      </w:pPr>
      <w:r w:rsidRPr="001F7755">
        <w:rPr>
          <w:b/>
          <w:i/>
          <w:iCs/>
          <w:lang w:val="en-US"/>
        </w:rPr>
        <w:lastRenderedPageBreak/>
        <w:t>NOTES</w:t>
      </w:r>
      <w:r w:rsidR="004C4F3B" w:rsidRPr="001F7755">
        <w:rPr>
          <w:b/>
          <w:i/>
          <w:iCs/>
          <w:lang w:val="en-US"/>
        </w:rPr>
        <w:t xml:space="preserve"> FOR COMPLETING THE REPORT:</w:t>
      </w:r>
    </w:p>
    <w:p w14:paraId="18152DD7" w14:textId="77777777" w:rsidR="004C4F3B" w:rsidRPr="001F7755" w:rsidRDefault="001A1E86" w:rsidP="006E7CA4">
      <w:pPr>
        <w:numPr>
          <w:ilvl w:val="0"/>
          <w:numId w:val="1"/>
        </w:numPr>
        <w:ind w:left="-540"/>
        <w:jc w:val="both"/>
        <w:rPr>
          <w:i/>
          <w:iCs/>
          <w:lang w:val="en-US"/>
        </w:rPr>
      </w:pPr>
      <w:r w:rsidRPr="001F7755">
        <w:rPr>
          <w:i/>
          <w:iCs/>
          <w:lang w:val="en-US"/>
        </w:rPr>
        <w:t>Avoid acronyms and UN jargon, use genera</w:t>
      </w:r>
      <w:r w:rsidR="00013D36" w:rsidRPr="001F7755">
        <w:rPr>
          <w:i/>
          <w:iCs/>
          <w:lang w:val="en-US"/>
        </w:rPr>
        <w:t>l</w:t>
      </w:r>
      <w:r w:rsidRPr="001F7755">
        <w:rPr>
          <w:i/>
          <w:iCs/>
          <w:lang w:val="en-US"/>
        </w:rPr>
        <w:t xml:space="preserve"> /common language</w:t>
      </w:r>
      <w:r w:rsidR="004C4F3B" w:rsidRPr="001F7755">
        <w:rPr>
          <w:i/>
          <w:iCs/>
          <w:lang w:val="en-US"/>
        </w:rPr>
        <w:t>.</w:t>
      </w:r>
    </w:p>
    <w:p w14:paraId="7F8C5BB1" w14:textId="77777777" w:rsidR="007B368E" w:rsidRPr="001F7755" w:rsidRDefault="007B368E" w:rsidP="006E7CA4">
      <w:pPr>
        <w:numPr>
          <w:ilvl w:val="0"/>
          <w:numId w:val="1"/>
        </w:numPr>
        <w:ind w:left="-540"/>
        <w:jc w:val="both"/>
        <w:rPr>
          <w:i/>
          <w:iCs/>
          <w:lang w:val="en-US"/>
        </w:rPr>
      </w:pPr>
      <w:r w:rsidRPr="001F7755">
        <w:rPr>
          <w:i/>
          <w:iCs/>
          <w:lang w:val="en-US"/>
        </w:rPr>
        <w:t>Report on what has been achieved in the reporting period, not what the project aims to do.</w:t>
      </w:r>
    </w:p>
    <w:p w14:paraId="46A6A1E7" w14:textId="642A1D1A" w:rsidR="004C4F3B" w:rsidRPr="001F7755" w:rsidRDefault="004C4F3B" w:rsidP="006E7CA4">
      <w:pPr>
        <w:numPr>
          <w:ilvl w:val="0"/>
          <w:numId w:val="1"/>
        </w:numPr>
        <w:ind w:left="-540"/>
        <w:jc w:val="both"/>
        <w:rPr>
          <w:i/>
          <w:iCs/>
          <w:lang w:val="en-US"/>
        </w:rPr>
      </w:pPr>
      <w:r w:rsidRPr="001F7755">
        <w:rPr>
          <w:i/>
          <w:iCs/>
          <w:lang w:val="en-US"/>
        </w:rPr>
        <w:t>Be as concrete as possible. Avoid theoretical, vague</w:t>
      </w:r>
      <w:r w:rsidR="00A3722B">
        <w:rPr>
          <w:i/>
          <w:iCs/>
          <w:lang w:val="en-US"/>
        </w:rPr>
        <w:t>,</w:t>
      </w:r>
      <w:r w:rsidRPr="001F7755">
        <w:rPr>
          <w:i/>
          <w:iCs/>
          <w:lang w:val="en-US"/>
        </w:rPr>
        <w:t xml:space="preserve"> or conceptual discourse.</w:t>
      </w:r>
    </w:p>
    <w:p w14:paraId="019E0240" w14:textId="4FE5996F" w:rsidR="004C4F3B" w:rsidRPr="001F7755" w:rsidRDefault="006A07CA" w:rsidP="006E7CA4">
      <w:pPr>
        <w:numPr>
          <w:ilvl w:val="0"/>
          <w:numId w:val="1"/>
        </w:numPr>
        <w:ind w:left="-540"/>
        <w:jc w:val="both"/>
        <w:rPr>
          <w:i/>
          <w:iCs/>
          <w:lang w:val="en-US"/>
        </w:rPr>
      </w:pPr>
      <w:r w:rsidRPr="001F7755">
        <w:rPr>
          <w:i/>
          <w:iCs/>
          <w:lang w:val="en-US"/>
        </w:rPr>
        <w:t>Ensure the analysis and project progress assessment is gender and age sensitive.</w:t>
      </w:r>
    </w:p>
    <w:p w14:paraId="363C1C2E" w14:textId="61ABEEF4" w:rsidR="00E83A40" w:rsidRPr="001F7755" w:rsidRDefault="00E83A40" w:rsidP="006E7CA4">
      <w:pPr>
        <w:numPr>
          <w:ilvl w:val="0"/>
          <w:numId w:val="1"/>
        </w:numPr>
        <w:ind w:left="-540"/>
        <w:jc w:val="both"/>
        <w:rPr>
          <w:i/>
          <w:iCs/>
          <w:lang w:val="en-US"/>
        </w:rPr>
      </w:pPr>
      <w:r w:rsidRPr="001F7755">
        <w:rPr>
          <w:i/>
          <w:iCs/>
          <w:lang w:val="en-US"/>
        </w:rPr>
        <w:t>Please include any COVID-19 related considerations, adjustments and results</w:t>
      </w:r>
      <w:r w:rsidR="00CF073D" w:rsidRPr="001F7755">
        <w:rPr>
          <w:i/>
          <w:iCs/>
          <w:lang w:val="en-US"/>
        </w:rPr>
        <w:t xml:space="preserve"> and respond to section IV. </w:t>
      </w:r>
    </w:p>
    <w:p w14:paraId="25C8F0DF" w14:textId="77777777" w:rsidR="004C4F3B" w:rsidRPr="001F7755" w:rsidRDefault="004C4F3B" w:rsidP="00A47DDA">
      <w:pPr>
        <w:ind w:hanging="810"/>
        <w:jc w:val="both"/>
        <w:rPr>
          <w:b/>
          <w:lang w:val="en-US"/>
        </w:rPr>
      </w:pPr>
    </w:p>
    <w:p w14:paraId="28CD6784" w14:textId="77777777" w:rsidR="00985E49" w:rsidRPr="001F7755" w:rsidRDefault="00985E49" w:rsidP="00A47DDA">
      <w:pPr>
        <w:ind w:hanging="810"/>
        <w:jc w:val="both"/>
        <w:rPr>
          <w:b/>
          <w:lang w:val="en-US"/>
        </w:rPr>
      </w:pPr>
    </w:p>
    <w:p w14:paraId="6B090363" w14:textId="77777777" w:rsidR="00E42721" w:rsidRPr="001F7755" w:rsidRDefault="00A47DDA" w:rsidP="00A47DDA">
      <w:pPr>
        <w:ind w:hanging="810"/>
        <w:jc w:val="both"/>
        <w:rPr>
          <w:b/>
          <w:u w:val="single"/>
          <w:lang w:val="en-US"/>
        </w:rPr>
      </w:pPr>
      <w:r w:rsidRPr="001F7755">
        <w:rPr>
          <w:b/>
          <w:u w:val="single"/>
          <w:lang w:val="en-US"/>
        </w:rPr>
        <w:t>PART 1</w:t>
      </w:r>
      <w:r w:rsidR="00B652A1" w:rsidRPr="001F7755">
        <w:rPr>
          <w:b/>
          <w:u w:val="single"/>
          <w:lang w:val="en-US"/>
        </w:rPr>
        <w:t>:</w:t>
      </w:r>
      <w:r w:rsidR="00E42721" w:rsidRPr="001F7755">
        <w:rPr>
          <w:b/>
          <w:u w:val="single"/>
          <w:lang w:val="en-US"/>
        </w:rPr>
        <w:t xml:space="preserve"> </w:t>
      </w:r>
      <w:r w:rsidR="00206D45" w:rsidRPr="001F7755">
        <w:rPr>
          <w:b/>
          <w:u w:val="single"/>
          <w:lang w:val="en-US"/>
        </w:rPr>
        <w:t>OVERALL PROJECT</w:t>
      </w:r>
      <w:r w:rsidR="00E42721" w:rsidRPr="001F7755">
        <w:rPr>
          <w:b/>
          <w:u w:val="single"/>
          <w:lang w:val="en-US"/>
        </w:rPr>
        <w:t xml:space="preserve"> PROGRESS</w:t>
      </w:r>
    </w:p>
    <w:p w14:paraId="53D3D9A6" w14:textId="77777777" w:rsidR="00A02F58" w:rsidRPr="001F7755" w:rsidRDefault="00A02F58" w:rsidP="00206D45">
      <w:pPr>
        <w:rPr>
          <w:b/>
          <w:lang w:val="en-US"/>
        </w:rPr>
      </w:pPr>
    </w:p>
    <w:p w14:paraId="133FDDDF" w14:textId="77777777" w:rsidR="00821C2A" w:rsidRPr="001F7755" w:rsidRDefault="00411A5F" w:rsidP="00821C2A">
      <w:pPr>
        <w:ind w:left="-810"/>
        <w:rPr>
          <w:lang w:val="en-US"/>
        </w:rPr>
      </w:pPr>
      <w:r w:rsidRPr="001F7755">
        <w:rPr>
          <w:lang w:val="en-US"/>
        </w:rPr>
        <w:t xml:space="preserve">Briefly </w:t>
      </w:r>
      <w:r w:rsidR="008364E5" w:rsidRPr="001F7755">
        <w:rPr>
          <w:lang w:val="en-US"/>
        </w:rPr>
        <w:t>outline</w:t>
      </w:r>
      <w:r w:rsidR="007C304F" w:rsidRPr="001F7755">
        <w:rPr>
          <w:lang w:val="en-US"/>
        </w:rPr>
        <w:t xml:space="preserve"> the</w:t>
      </w:r>
      <w:r w:rsidR="00F5504F" w:rsidRPr="001F7755">
        <w:rPr>
          <w:lang w:val="en-US"/>
        </w:rPr>
        <w:t xml:space="preserve"> </w:t>
      </w:r>
      <w:r w:rsidR="00F5504F" w:rsidRPr="001F7755">
        <w:rPr>
          <w:b/>
          <w:bCs/>
          <w:lang w:val="en-US"/>
        </w:rPr>
        <w:t>status of the</w:t>
      </w:r>
      <w:r w:rsidR="007C304F" w:rsidRPr="001F7755">
        <w:rPr>
          <w:b/>
          <w:bCs/>
          <w:lang w:val="en-US"/>
        </w:rPr>
        <w:t xml:space="preserve"> project</w:t>
      </w:r>
      <w:r w:rsidR="007C304F" w:rsidRPr="001F7755">
        <w:rPr>
          <w:lang w:val="en-US"/>
        </w:rPr>
        <w:t xml:space="preserve"> in terms of implementation cycle, including whether preliminary/preparatory activities have been completed</w:t>
      </w:r>
      <w:r w:rsidR="008364E5" w:rsidRPr="001F7755">
        <w:rPr>
          <w:lang w:val="en-US"/>
        </w:rPr>
        <w:t xml:space="preserve"> (i.e. </w:t>
      </w:r>
      <w:r w:rsidR="009B18EB" w:rsidRPr="001F7755">
        <w:rPr>
          <w:lang w:val="en-US"/>
        </w:rPr>
        <w:t>contracting of partners, staff recruitment</w:t>
      </w:r>
      <w:r w:rsidR="004D141E" w:rsidRPr="001F7755">
        <w:rPr>
          <w:lang w:val="en-US"/>
        </w:rPr>
        <w:t>, etc.</w:t>
      </w:r>
      <w:r w:rsidR="008364E5" w:rsidRPr="001F7755">
        <w:rPr>
          <w:lang w:val="en-US"/>
        </w:rPr>
        <w:t>)</w:t>
      </w:r>
      <w:r w:rsidR="004D141E" w:rsidRPr="001F7755">
        <w:rPr>
          <w:lang w:val="en-US"/>
        </w:rPr>
        <w:t xml:space="preserve"> </w:t>
      </w:r>
      <w:r w:rsidR="006A07CA" w:rsidRPr="001F7755">
        <w:rPr>
          <w:lang w:val="en-US"/>
        </w:rPr>
        <w:t>(1</w:t>
      </w:r>
      <w:r w:rsidR="00521468" w:rsidRPr="001F7755">
        <w:rPr>
          <w:lang w:val="en-US"/>
        </w:rPr>
        <w:t>5</w:t>
      </w:r>
      <w:r w:rsidR="006A07CA" w:rsidRPr="001F7755">
        <w:rPr>
          <w:lang w:val="en-US"/>
        </w:rPr>
        <w:t>00 character limit)</w:t>
      </w:r>
      <w:r w:rsidR="007C304F" w:rsidRPr="001F7755">
        <w:rPr>
          <w:lang w:val="en-US"/>
        </w:rPr>
        <w:t xml:space="preserve">: </w:t>
      </w:r>
    </w:p>
    <w:p w14:paraId="5CF6D32E" w14:textId="77777777" w:rsidR="0016011B" w:rsidRPr="001F7755" w:rsidRDefault="0016011B" w:rsidP="004A2D15">
      <w:pPr>
        <w:ind w:left="-810"/>
        <w:jc w:val="both"/>
        <w:rPr>
          <w:lang w:val="en-US"/>
        </w:rPr>
      </w:pPr>
    </w:p>
    <w:p w14:paraId="66146B38" w14:textId="3ABC20A7" w:rsidR="004A2D15" w:rsidRPr="001F7755" w:rsidRDefault="00650EAA" w:rsidP="004A2D15">
      <w:pPr>
        <w:ind w:left="-810"/>
        <w:jc w:val="both"/>
        <w:rPr>
          <w:lang w:val="en-US"/>
        </w:rPr>
      </w:pPr>
      <w:r w:rsidRPr="001F7755">
        <w:rPr>
          <w:lang w:val="en-US"/>
        </w:rPr>
        <w:t>Over</w:t>
      </w:r>
      <w:r w:rsidR="004A2D15" w:rsidRPr="001F7755">
        <w:rPr>
          <w:lang w:val="en-US"/>
        </w:rPr>
        <w:t xml:space="preserve"> the reporting period</w:t>
      </w:r>
      <w:r w:rsidRPr="001F7755">
        <w:rPr>
          <w:lang w:val="en-US"/>
        </w:rPr>
        <w:t>,</w:t>
      </w:r>
      <w:r w:rsidR="004A2D15" w:rsidRPr="001F7755">
        <w:rPr>
          <w:lang w:val="en-US"/>
        </w:rPr>
        <w:t xml:space="preserve"> partnerships with the Office of the Vice President, NAMATI and Fambul ToK International </w:t>
      </w:r>
      <w:r w:rsidR="0016011B" w:rsidRPr="001F7755">
        <w:rPr>
          <w:lang w:val="en-US"/>
        </w:rPr>
        <w:t>were</w:t>
      </w:r>
      <w:r w:rsidR="004A2D15" w:rsidRPr="001F7755">
        <w:rPr>
          <w:lang w:val="en-US"/>
        </w:rPr>
        <w:t xml:space="preserve"> reviewed and operationali</w:t>
      </w:r>
      <w:r w:rsidR="00A3722B">
        <w:rPr>
          <w:lang w:val="en-US"/>
        </w:rPr>
        <w:t>z</w:t>
      </w:r>
      <w:r w:rsidR="004A2D15" w:rsidRPr="001F7755">
        <w:rPr>
          <w:lang w:val="en-US"/>
        </w:rPr>
        <w:t>ed</w:t>
      </w:r>
      <w:r w:rsidRPr="001F7755">
        <w:rPr>
          <w:lang w:val="en-US"/>
        </w:rPr>
        <w:t xml:space="preserve"> for the implementation of Outcome 1</w:t>
      </w:r>
      <w:r w:rsidR="004A2D15" w:rsidRPr="001F7755">
        <w:rPr>
          <w:lang w:val="en-US"/>
        </w:rPr>
        <w:t xml:space="preserve">.  NAMATI </w:t>
      </w:r>
      <w:r w:rsidR="001036A4" w:rsidRPr="001F7755">
        <w:rPr>
          <w:lang w:val="en-US"/>
        </w:rPr>
        <w:t>commenced activities to e</w:t>
      </w:r>
      <w:r w:rsidR="004A2D15" w:rsidRPr="001F7755">
        <w:rPr>
          <w:lang w:val="en-US"/>
        </w:rPr>
        <w:t>ducat</w:t>
      </w:r>
      <w:r w:rsidR="001036A4" w:rsidRPr="001F7755">
        <w:rPr>
          <w:lang w:val="en-US"/>
        </w:rPr>
        <w:t xml:space="preserve">e </w:t>
      </w:r>
      <w:r w:rsidR="004A2D15" w:rsidRPr="001F7755">
        <w:rPr>
          <w:lang w:val="en-US"/>
        </w:rPr>
        <w:t>community stakeholders on land rights, land acquisition and investment regulatory frameworks</w:t>
      </w:r>
      <w:r w:rsidR="00657887" w:rsidRPr="001F7755">
        <w:rPr>
          <w:lang w:val="en-US"/>
        </w:rPr>
        <w:t xml:space="preserve">. </w:t>
      </w:r>
      <w:r w:rsidR="004A2D15" w:rsidRPr="001F7755">
        <w:rPr>
          <w:lang w:val="en-US"/>
        </w:rPr>
        <w:t xml:space="preserve">Fambul ToK International </w:t>
      </w:r>
      <w:r w:rsidR="00657887" w:rsidRPr="001F7755">
        <w:rPr>
          <w:lang w:val="en-US"/>
        </w:rPr>
        <w:t>has</w:t>
      </w:r>
      <w:r w:rsidR="004A2D15" w:rsidRPr="001F7755">
        <w:rPr>
          <w:lang w:val="en-US"/>
        </w:rPr>
        <w:t xml:space="preserve"> finali</w:t>
      </w:r>
      <w:r w:rsidR="00657887" w:rsidRPr="001F7755">
        <w:rPr>
          <w:lang w:val="en-US"/>
        </w:rPr>
        <w:t>zed</w:t>
      </w:r>
      <w:r w:rsidR="004A2D15" w:rsidRPr="001F7755">
        <w:rPr>
          <w:lang w:val="en-US"/>
        </w:rPr>
        <w:t xml:space="preserve"> plans for the conduct of Multi-stakeholders’ Platform and Grievance Redress Committees in Pujehun and Moyamba in June 2021</w:t>
      </w:r>
    </w:p>
    <w:p w14:paraId="1E9CC644" w14:textId="77777777" w:rsidR="004A2D15" w:rsidRPr="001F7755" w:rsidRDefault="004A2D15" w:rsidP="00B268F7">
      <w:pPr>
        <w:ind w:left="-810"/>
        <w:rPr>
          <w:lang w:val="en-US"/>
        </w:rPr>
      </w:pPr>
    </w:p>
    <w:p w14:paraId="005BFB3A" w14:textId="2E68FEB4" w:rsidR="00C15F14" w:rsidRPr="001F7755" w:rsidRDefault="00821C2A" w:rsidP="005E6A56">
      <w:pPr>
        <w:ind w:left="-810"/>
        <w:jc w:val="both"/>
        <w:rPr>
          <w:lang w:val="en-US"/>
        </w:rPr>
      </w:pPr>
      <w:r w:rsidRPr="001F7755">
        <w:rPr>
          <w:lang w:val="en-US"/>
        </w:rPr>
        <w:t xml:space="preserve">For implementation of outcome 2 activities, </w:t>
      </w:r>
      <w:r w:rsidR="007C3409" w:rsidRPr="001F7755">
        <w:rPr>
          <w:lang w:val="en-US"/>
        </w:rPr>
        <w:t xml:space="preserve">partnership agreements </w:t>
      </w:r>
      <w:r w:rsidRPr="001F7755">
        <w:rPr>
          <w:lang w:val="en-US"/>
        </w:rPr>
        <w:t>were signed with Ministry of Agriculture and Forestry</w:t>
      </w:r>
      <w:r w:rsidR="007C3409" w:rsidRPr="001F7755">
        <w:rPr>
          <w:lang w:val="en-US"/>
        </w:rPr>
        <w:t xml:space="preserve"> </w:t>
      </w:r>
      <w:r w:rsidRPr="001F7755">
        <w:rPr>
          <w:lang w:val="en-US"/>
        </w:rPr>
        <w:t xml:space="preserve">(MAF) </w:t>
      </w:r>
      <w:r w:rsidR="00765B11" w:rsidRPr="001F7755">
        <w:rPr>
          <w:lang w:val="en-US"/>
        </w:rPr>
        <w:t>Pujehun and Moyamba</w:t>
      </w:r>
      <w:r w:rsidRPr="001F7755">
        <w:rPr>
          <w:lang w:val="en-US"/>
        </w:rPr>
        <w:t xml:space="preserve"> district offices to support youth and women Farmer Based Organisations (FBOs) to develop small-scale irrigation systems in</w:t>
      </w:r>
      <w:r w:rsidR="002C2070" w:rsidRPr="001F7755">
        <w:rPr>
          <w:lang w:val="en-US"/>
        </w:rPr>
        <w:t xml:space="preserve"> </w:t>
      </w:r>
      <w:r w:rsidRPr="001F7755">
        <w:rPr>
          <w:lang w:val="en-US"/>
        </w:rPr>
        <w:t xml:space="preserve">Inland Valley Swamps (IVS), targeting </w:t>
      </w:r>
      <w:r w:rsidR="00D85CEB" w:rsidRPr="001F7755">
        <w:rPr>
          <w:lang w:val="en-US"/>
        </w:rPr>
        <w:t>60 communities</w:t>
      </w:r>
      <w:r w:rsidRPr="001F7755">
        <w:rPr>
          <w:lang w:val="en-US"/>
        </w:rPr>
        <w:t xml:space="preserve">. </w:t>
      </w:r>
      <w:r w:rsidR="00B268F7" w:rsidRPr="001F7755">
        <w:rPr>
          <w:lang w:val="en-US"/>
        </w:rPr>
        <w:t xml:space="preserve">This included </w:t>
      </w:r>
      <w:r w:rsidR="00EC3892" w:rsidRPr="001F7755">
        <w:rPr>
          <w:lang w:val="en-US"/>
        </w:rPr>
        <w:t xml:space="preserve">scaling up livelihood activities with </w:t>
      </w:r>
      <w:r w:rsidR="00B268F7" w:rsidRPr="001F7755">
        <w:rPr>
          <w:lang w:val="en-US"/>
        </w:rPr>
        <w:t xml:space="preserve">catalytic funding.  </w:t>
      </w:r>
      <w:r w:rsidR="0077086A" w:rsidRPr="001F7755">
        <w:rPr>
          <w:lang w:val="en-US"/>
        </w:rPr>
        <w:t xml:space="preserve">1,868 </w:t>
      </w:r>
      <w:r w:rsidR="00B268F7" w:rsidRPr="001F7755">
        <w:rPr>
          <w:lang w:val="en-US"/>
        </w:rPr>
        <w:t>young male</w:t>
      </w:r>
      <w:r w:rsidR="0077086A" w:rsidRPr="001F7755">
        <w:rPr>
          <w:lang w:val="en-US"/>
        </w:rPr>
        <w:t xml:space="preserve"> (1,211)</w:t>
      </w:r>
      <w:r w:rsidR="00B268F7" w:rsidRPr="001F7755">
        <w:rPr>
          <w:lang w:val="en-US"/>
        </w:rPr>
        <w:t xml:space="preserve"> and women </w:t>
      </w:r>
      <w:r w:rsidR="0077086A" w:rsidRPr="001F7755">
        <w:rPr>
          <w:lang w:val="en-US"/>
        </w:rPr>
        <w:t xml:space="preserve">(657) </w:t>
      </w:r>
      <w:r w:rsidR="00B268F7" w:rsidRPr="001F7755">
        <w:rPr>
          <w:lang w:val="en-US"/>
        </w:rPr>
        <w:t>livelihood participants each received a Cash Based Transfer of US$58 (total US$</w:t>
      </w:r>
      <w:r w:rsidR="0077086A" w:rsidRPr="001F7755">
        <w:rPr>
          <w:lang w:val="en-US"/>
        </w:rPr>
        <w:t xml:space="preserve"> 108,344</w:t>
      </w:r>
      <w:r w:rsidR="00B268F7" w:rsidRPr="001F7755">
        <w:rPr>
          <w:lang w:val="en-US"/>
        </w:rPr>
        <w:t>) for constructing irrigation systems.</w:t>
      </w:r>
      <w:r w:rsidR="00554779" w:rsidRPr="001F7755">
        <w:rPr>
          <w:lang w:val="en-US"/>
        </w:rPr>
        <w:t xml:space="preserve"> </w:t>
      </w:r>
      <w:r w:rsidRPr="001F7755">
        <w:rPr>
          <w:lang w:val="en-US"/>
        </w:rPr>
        <w:t>For sustainable</w:t>
      </w:r>
      <w:r w:rsidR="00B268F7" w:rsidRPr="001F7755">
        <w:rPr>
          <w:lang w:val="en-US"/>
        </w:rPr>
        <w:t>, youth-driven</w:t>
      </w:r>
      <w:r w:rsidRPr="001F7755">
        <w:rPr>
          <w:lang w:val="en-US"/>
        </w:rPr>
        <w:t xml:space="preserve"> implementation</w:t>
      </w:r>
      <w:r w:rsidR="00B268F7" w:rsidRPr="001F7755">
        <w:rPr>
          <w:lang w:val="en-US"/>
        </w:rPr>
        <w:t xml:space="preserve"> of outcome 2</w:t>
      </w:r>
      <w:r w:rsidRPr="001F7755">
        <w:rPr>
          <w:lang w:val="en-US"/>
        </w:rPr>
        <w:t xml:space="preserve">, </w:t>
      </w:r>
      <w:r w:rsidR="0031084A" w:rsidRPr="001F7755">
        <w:rPr>
          <w:lang w:val="en-US"/>
        </w:rPr>
        <w:t>2</w:t>
      </w:r>
      <w:r w:rsidR="003812B8" w:rsidRPr="001F7755">
        <w:rPr>
          <w:lang w:val="en-US"/>
        </w:rPr>
        <w:t>2</w:t>
      </w:r>
      <w:r w:rsidR="00873FF6" w:rsidRPr="001F7755">
        <w:rPr>
          <w:lang w:val="en-US"/>
        </w:rPr>
        <w:t xml:space="preserve"> Community Youth Contractors</w:t>
      </w:r>
      <w:r w:rsidR="003966A6" w:rsidRPr="001F7755">
        <w:rPr>
          <w:lang w:val="en-US"/>
        </w:rPr>
        <w:t xml:space="preserve"> (03 female/1</w:t>
      </w:r>
      <w:r w:rsidR="002B1290" w:rsidRPr="001F7755">
        <w:rPr>
          <w:lang w:val="en-US"/>
        </w:rPr>
        <w:t>8</w:t>
      </w:r>
      <w:r w:rsidR="003966A6" w:rsidRPr="001F7755">
        <w:rPr>
          <w:lang w:val="en-US"/>
        </w:rPr>
        <w:t xml:space="preserve"> Male)</w:t>
      </w:r>
      <w:r w:rsidR="00873FF6" w:rsidRPr="001F7755">
        <w:rPr>
          <w:lang w:val="en-US"/>
        </w:rPr>
        <w:t xml:space="preserve"> </w:t>
      </w:r>
      <w:r w:rsidRPr="001F7755">
        <w:rPr>
          <w:lang w:val="en-US"/>
        </w:rPr>
        <w:t>were interviewed and deployed</w:t>
      </w:r>
      <w:r w:rsidR="00873FF6" w:rsidRPr="001F7755">
        <w:rPr>
          <w:lang w:val="en-US"/>
        </w:rPr>
        <w:t xml:space="preserve"> </w:t>
      </w:r>
      <w:r w:rsidRPr="001F7755">
        <w:rPr>
          <w:lang w:val="en-US"/>
        </w:rPr>
        <w:t xml:space="preserve">to strengthen local capacities to implement agricultural livelihood activities. </w:t>
      </w:r>
      <w:r w:rsidR="00B268F7" w:rsidRPr="001F7755">
        <w:rPr>
          <w:lang w:val="en-US"/>
        </w:rPr>
        <w:t xml:space="preserve">Improved vegetable and legume seeds were supplied to 30 FBOs to support nutrition-sensitive agricultural activities, and farmers trained in improved techniques. </w:t>
      </w:r>
      <w:r w:rsidRPr="001F7755">
        <w:rPr>
          <w:lang w:val="en-US"/>
        </w:rPr>
        <w:t xml:space="preserve">To strengthen Post-Harvest management capabilities, </w:t>
      </w:r>
      <w:r w:rsidR="0077086A" w:rsidRPr="001F7755">
        <w:rPr>
          <w:lang w:val="en-US"/>
        </w:rPr>
        <w:t>three</w:t>
      </w:r>
      <w:r w:rsidRPr="001F7755">
        <w:rPr>
          <w:lang w:val="en-US"/>
        </w:rPr>
        <w:t xml:space="preserve"> high performing FBOs received agricultural processing machinery. </w:t>
      </w:r>
      <w:r w:rsidR="00554779" w:rsidRPr="001F7755">
        <w:rPr>
          <w:lang w:val="en-US"/>
        </w:rPr>
        <w:t>Eight women groups were identified to establish poultry rearing enterprises.</w:t>
      </w:r>
    </w:p>
    <w:p w14:paraId="134D7776" w14:textId="77777777" w:rsidR="00627A1C" w:rsidRPr="001F7755" w:rsidRDefault="00627A1C" w:rsidP="00D87C70">
      <w:pPr>
        <w:rPr>
          <w:lang w:val="en-US"/>
        </w:rPr>
      </w:pPr>
    </w:p>
    <w:p w14:paraId="6CE8EF22" w14:textId="70B96ADE" w:rsidR="00BD03E7" w:rsidRPr="001F7755" w:rsidRDefault="00627A1C" w:rsidP="00BD03E7">
      <w:pPr>
        <w:ind w:left="-810"/>
        <w:rPr>
          <w:lang w:val="en-US"/>
        </w:rPr>
      </w:pPr>
      <w:r w:rsidRPr="001F7755">
        <w:rPr>
          <w:color w:val="000000"/>
          <w:lang w:val="en-US" w:eastAsia="en-US"/>
        </w:rPr>
        <w:t>Please indicate any significant project-related events anticipated in the next six months, i.e. national dialogues, youth congresses, film screenings, etc.</w:t>
      </w:r>
      <w:r w:rsidRPr="001F7755">
        <w:rPr>
          <w:lang w:val="en-US"/>
        </w:rPr>
        <w:t xml:space="preserve">  </w:t>
      </w:r>
      <w:r w:rsidR="00161D02" w:rsidRPr="001F7755">
        <w:rPr>
          <w:lang w:val="en-US"/>
        </w:rPr>
        <w:t>(</w:t>
      </w:r>
      <w:r w:rsidR="00E14DFF" w:rsidRPr="001F7755">
        <w:rPr>
          <w:lang w:val="en-US"/>
        </w:rPr>
        <w:t>1000-character</w:t>
      </w:r>
      <w:r w:rsidR="00161D02" w:rsidRPr="001F7755">
        <w:rPr>
          <w:lang w:val="en-US"/>
        </w:rPr>
        <w:t xml:space="preserve"> limit):</w:t>
      </w:r>
    </w:p>
    <w:p w14:paraId="6BEC204B" w14:textId="77777777" w:rsidR="00BD03E7" w:rsidRPr="001F7755" w:rsidRDefault="00BD03E7" w:rsidP="00BD03E7">
      <w:pPr>
        <w:ind w:left="-810"/>
        <w:rPr>
          <w:lang w:val="en-US"/>
        </w:rPr>
      </w:pPr>
    </w:p>
    <w:p w14:paraId="078439C3" w14:textId="3F2AE6FC" w:rsidR="004A2D15" w:rsidRPr="001F7755" w:rsidRDefault="004A2D15" w:rsidP="00BD03E7">
      <w:pPr>
        <w:ind w:left="-810"/>
        <w:rPr>
          <w:lang w:val="en-US"/>
        </w:rPr>
      </w:pPr>
      <w:r w:rsidRPr="001F7755">
        <w:rPr>
          <w:b/>
          <w:iCs/>
          <w:lang w:val="en-US"/>
        </w:rPr>
        <w:t>Under outcome 1, activities to be done: from June to October 2021</w:t>
      </w:r>
    </w:p>
    <w:p w14:paraId="510149CD" w14:textId="77777777" w:rsidR="004A2D15" w:rsidRPr="001F7755" w:rsidRDefault="004A2D15" w:rsidP="00A83203">
      <w:pPr>
        <w:ind w:left="-810"/>
        <w:rPr>
          <w:lang w:val="en-US"/>
        </w:rPr>
      </w:pPr>
    </w:p>
    <w:p w14:paraId="0A5821B8" w14:textId="20283E7E" w:rsidR="00E37290" w:rsidRPr="001F7755" w:rsidRDefault="00E37290" w:rsidP="00E37290">
      <w:pPr>
        <w:pStyle w:val="ListParagraph"/>
        <w:numPr>
          <w:ilvl w:val="0"/>
          <w:numId w:val="7"/>
        </w:numPr>
        <w:rPr>
          <w:color w:val="000000" w:themeColor="text1"/>
          <w:lang w:val="en-US"/>
        </w:rPr>
      </w:pPr>
      <w:r w:rsidRPr="001F7755">
        <w:rPr>
          <w:color w:val="000000" w:themeColor="text1"/>
          <w:lang w:val="en-US"/>
        </w:rPr>
        <w:t>UNDP, through one of its implementing partners, Fambul Tok, will conduct a Multi-Stakeholder Platform meeting in Pujehun District in June 20</w:t>
      </w:r>
      <w:r w:rsidR="0042622D" w:rsidRPr="001F7755">
        <w:rPr>
          <w:color w:val="000000" w:themeColor="text1"/>
          <w:lang w:val="en-US"/>
        </w:rPr>
        <w:t>21</w:t>
      </w:r>
      <w:r w:rsidRPr="001F7755">
        <w:rPr>
          <w:color w:val="000000" w:themeColor="text1"/>
          <w:lang w:val="en-US"/>
        </w:rPr>
        <w:t xml:space="preserve">. </w:t>
      </w:r>
    </w:p>
    <w:p w14:paraId="419D81ED" w14:textId="77777777" w:rsidR="00E37290" w:rsidRPr="001F7755" w:rsidRDefault="00E37290" w:rsidP="00E37290">
      <w:pPr>
        <w:pStyle w:val="ListParagraph"/>
        <w:ind w:left="-90"/>
        <w:rPr>
          <w:color w:val="000000" w:themeColor="text1"/>
          <w:lang w:val="en-US"/>
        </w:rPr>
      </w:pPr>
    </w:p>
    <w:p w14:paraId="0FE16954" w14:textId="6E323398" w:rsidR="00E37290" w:rsidRPr="001F7755" w:rsidRDefault="00E37290" w:rsidP="00E37290">
      <w:pPr>
        <w:pStyle w:val="ListParagraph"/>
        <w:numPr>
          <w:ilvl w:val="0"/>
          <w:numId w:val="7"/>
        </w:numPr>
        <w:rPr>
          <w:color w:val="000000" w:themeColor="text1"/>
          <w:lang w:val="en-US"/>
        </w:rPr>
      </w:pPr>
      <w:r w:rsidRPr="001F7755">
        <w:rPr>
          <w:color w:val="000000" w:themeColor="text1"/>
          <w:lang w:val="en-US"/>
        </w:rPr>
        <w:t>Promoting lessons learnt on innovative approaches: this will be undertaken in close collaboration with UNDP Accelerator Lab in July 2021.</w:t>
      </w:r>
    </w:p>
    <w:p w14:paraId="6516E0AD" w14:textId="77777777" w:rsidR="00A17340" w:rsidRPr="001F7755" w:rsidRDefault="00A17340" w:rsidP="00A17340">
      <w:pPr>
        <w:pStyle w:val="ListParagraph"/>
        <w:rPr>
          <w:color w:val="000000" w:themeColor="text1"/>
          <w:lang w:val="en-US"/>
        </w:rPr>
      </w:pPr>
    </w:p>
    <w:p w14:paraId="16F23639" w14:textId="6D58FBA5" w:rsidR="00A17340" w:rsidRPr="001F7755" w:rsidRDefault="00A17340" w:rsidP="00E37290">
      <w:pPr>
        <w:pStyle w:val="ListParagraph"/>
        <w:numPr>
          <w:ilvl w:val="0"/>
          <w:numId w:val="7"/>
        </w:numPr>
        <w:rPr>
          <w:color w:val="000000" w:themeColor="text1"/>
          <w:lang w:val="en-US"/>
        </w:rPr>
      </w:pPr>
      <w:r w:rsidRPr="001F7755">
        <w:rPr>
          <w:color w:val="000000" w:themeColor="text1"/>
          <w:lang w:val="en-US"/>
        </w:rPr>
        <w:t xml:space="preserve">Validation of the Land Degradation Assessment:  in collaboration with the OVP, line ministries, community representatives and other stakeholders, a validation workshop will be conducted in July 2021.  </w:t>
      </w:r>
    </w:p>
    <w:p w14:paraId="5A03F69E" w14:textId="77777777" w:rsidR="00E37290" w:rsidRPr="001F7755" w:rsidRDefault="00E37290" w:rsidP="00E37290">
      <w:pPr>
        <w:pStyle w:val="ListParagraph"/>
        <w:ind w:left="-90"/>
        <w:rPr>
          <w:color w:val="000000" w:themeColor="text1"/>
          <w:lang w:val="en-US"/>
        </w:rPr>
      </w:pPr>
    </w:p>
    <w:p w14:paraId="4952EC23" w14:textId="0FD23FAC" w:rsidR="00A83203" w:rsidRPr="001F7755" w:rsidRDefault="00B268F7" w:rsidP="00261CE3">
      <w:pPr>
        <w:pStyle w:val="ListParagraph"/>
        <w:numPr>
          <w:ilvl w:val="0"/>
          <w:numId w:val="7"/>
        </w:numPr>
        <w:rPr>
          <w:i/>
          <w:iCs/>
          <w:color w:val="000000" w:themeColor="text1"/>
          <w:lang w:val="en-US"/>
        </w:rPr>
      </w:pPr>
      <w:r w:rsidRPr="001F7755">
        <w:rPr>
          <w:color w:val="000000" w:themeColor="text1"/>
          <w:lang w:val="en-US"/>
        </w:rPr>
        <w:t xml:space="preserve">WFP and UNDP plan to develop a joint video documentary to showcase the </w:t>
      </w:r>
      <w:r w:rsidR="0077086A" w:rsidRPr="001F7755">
        <w:rPr>
          <w:color w:val="000000" w:themeColor="text1"/>
          <w:lang w:val="en-US"/>
        </w:rPr>
        <w:t xml:space="preserve">integrated peacebuilding approach and its </w:t>
      </w:r>
      <w:r w:rsidRPr="001F7755">
        <w:rPr>
          <w:color w:val="000000" w:themeColor="text1"/>
          <w:lang w:val="en-US"/>
        </w:rPr>
        <w:t>impact in targeted chiefdoms.</w:t>
      </w:r>
    </w:p>
    <w:p w14:paraId="17FAFB77" w14:textId="77777777" w:rsidR="00197A37" w:rsidRPr="001F7755" w:rsidRDefault="00197A37" w:rsidP="00197A37">
      <w:pPr>
        <w:pStyle w:val="ListParagraph"/>
        <w:ind w:left="-90"/>
        <w:rPr>
          <w:i/>
          <w:iCs/>
          <w:color w:val="000000" w:themeColor="text1"/>
          <w:lang w:val="en-US"/>
        </w:rPr>
      </w:pPr>
    </w:p>
    <w:p w14:paraId="54C37BC9" w14:textId="77777777" w:rsidR="00161D02" w:rsidRPr="001F7755" w:rsidRDefault="00161D02" w:rsidP="001A1E86">
      <w:pPr>
        <w:ind w:left="-810" w:right="-154"/>
        <w:rPr>
          <w:lang w:val="en-US"/>
        </w:rPr>
      </w:pPr>
    </w:p>
    <w:p w14:paraId="6A70A7D2" w14:textId="74D9DEF6" w:rsidR="008C782A" w:rsidRPr="001F7755" w:rsidRDefault="008364E5" w:rsidP="001A1E86">
      <w:pPr>
        <w:ind w:left="-810" w:right="-154"/>
        <w:rPr>
          <w:lang w:val="en-US"/>
        </w:rPr>
      </w:pPr>
      <w:r w:rsidRPr="001F7755">
        <w:rPr>
          <w:lang w:val="en-US"/>
        </w:rPr>
        <w:t xml:space="preserve">FOR PROJECTS WITHIN SIX MONTHS OF COMPLETION: summarize </w:t>
      </w:r>
      <w:r w:rsidR="00A64A02" w:rsidRPr="001F7755">
        <w:rPr>
          <w:b/>
          <w:bCs/>
          <w:lang w:val="en-US"/>
        </w:rPr>
        <w:t xml:space="preserve">the </w:t>
      </w:r>
      <w:r w:rsidR="001C56B8" w:rsidRPr="001F7755">
        <w:rPr>
          <w:b/>
          <w:bCs/>
          <w:lang w:val="en-US"/>
        </w:rPr>
        <w:t xml:space="preserve">main </w:t>
      </w:r>
      <w:r w:rsidR="00A64A02" w:rsidRPr="001F7755">
        <w:rPr>
          <w:b/>
          <w:bCs/>
          <w:lang w:val="en-US"/>
        </w:rPr>
        <w:t>structural, institutional</w:t>
      </w:r>
      <w:r w:rsidR="00A3722B">
        <w:rPr>
          <w:b/>
          <w:bCs/>
          <w:lang w:val="en-US"/>
        </w:rPr>
        <w:t>,</w:t>
      </w:r>
      <w:r w:rsidR="00A64A02" w:rsidRPr="001F7755">
        <w:rPr>
          <w:b/>
          <w:bCs/>
          <w:lang w:val="en-US"/>
        </w:rPr>
        <w:t xml:space="preserve"> or societal level change the project has contributed to</w:t>
      </w:r>
      <w:r w:rsidR="00A64A02" w:rsidRPr="001F7755">
        <w:rPr>
          <w:lang w:val="en-US"/>
        </w:rPr>
        <w:t>. This is not anecdotal evidence</w:t>
      </w:r>
      <w:r w:rsidR="001B6DFD" w:rsidRPr="001F7755">
        <w:rPr>
          <w:lang w:val="en-US"/>
        </w:rPr>
        <w:t xml:space="preserve"> or a list of individual outputs</w:t>
      </w:r>
      <w:r w:rsidR="00A64A02" w:rsidRPr="001F7755">
        <w:rPr>
          <w:lang w:val="en-US"/>
        </w:rPr>
        <w:t xml:space="preserve">, but </w:t>
      </w:r>
      <w:r w:rsidRPr="001F7755">
        <w:rPr>
          <w:lang w:val="en-US"/>
        </w:rPr>
        <w:t xml:space="preserve">a description of </w:t>
      </w:r>
      <w:r w:rsidR="00A64A02" w:rsidRPr="001F7755">
        <w:rPr>
          <w:lang w:val="en-US"/>
        </w:rPr>
        <w:t xml:space="preserve">progress made toward the main purpose of the project. </w:t>
      </w:r>
      <w:r w:rsidR="008C782A" w:rsidRPr="001F7755">
        <w:rPr>
          <w:lang w:val="en-US"/>
        </w:rPr>
        <w:t xml:space="preserve">(1500 character limit): </w:t>
      </w:r>
    </w:p>
    <w:p w14:paraId="7EF101F3" w14:textId="64B20398" w:rsidR="008F045A" w:rsidRPr="001F7755" w:rsidRDefault="008F045A" w:rsidP="001A1E86">
      <w:pPr>
        <w:ind w:left="-810" w:right="-154"/>
        <w:rPr>
          <w:lang w:val="en-US"/>
        </w:rPr>
      </w:pPr>
    </w:p>
    <w:p w14:paraId="31FD2761" w14:textId="77777777" w:rsidR="0077086A" w:rsidRPr="001F7755" w:rsidRDefault="0077086A" w:rsidP="001A1E86">
      <w:pPr>
        <w:ind w:left="-810" w:right="-154"/>
        <w:rPr>
          <w:b/>
          <w:i/>
          <w:lang w:val="en-US"/>
        </w:rPr>
      </w:pPr>
      <w:r w:rsidRPr="001F7755">
        <w:rPr>
          <w:b/>
          <w:i/>
          <w:lang w:val="en-US"/>
        </w:rPr>
        <w:t>Social tensions reduced by enhancing sustainable livelihoods and food security</w:t>
      </w:r>
    </w:p>
    <w:p w14:paraId="175F35E0" w14:textId="5E3D8620" w:rsidR="00B305BD" w:rsidRPr="001F7755" w:rsidRDefault="0077086A" w:rsidP="004C7B0A">
      <w:pPr>
        <w:pStyle w:val="ListParagraph"/>
        <w:numPr>
          <w:ilvl w:val="0"/>
          <w:numId w:val="7"/>
        </w:numPr>
        <w:ind w:right="-154"/>
        <w:jc w:val="both"/>
        <w:rPr>
          <w:lang w:val="en-US"/>
        </w:rPr>
      </w:pPr>
      <w:r w:rsidRPr="001F7755">
        <w:rPr>
          <w:lang w:val="en-US"/>
        </w:rPr>
        <w:t xml:space="preserve">Livelihood support, particularly encouraging group work with active and meaningful participation of youth, has </w:t>
      </w:r>
      <w:proofErr w:type="gramStart"/>
      <w:r w:rsidR="003B22D9" w:rsidRPr="001F7755">
        <w:rPr>
          <w:lang w:val="en-US"/>
        </w:rPr>
        <w:t xml:space="preserve">made </w:t>
      </w:r>
      <w:r w:rsidRPr="001F7755">
        <w:rPr>
          <w:lang w:val="en-US"/>
        </w:rPr>
        <w:t xml:space="preserve"> a</w:t>
      </w:r>
      <w:proofErr w:type="gramEnd"/>
      <w:r w:rsidRPr="001F7755">
        <w:rPr>
          <w:lang w:val="en-US"/>
        </w:rPr>
        <w:t xml:space="preserve"> significant contribution toward reducing social tensions. Short-term employment opportunities and skills training have empowered young men and women to establish agricultural livelihoods. Elevating the position of youth in targeted FBOs and their communities have encouraged their </w:t>
      </w:r>
      <w:r w:rsidR="00B305BD" w:rsidRPr="001F7755">
        <w:rPr>
          <w:lang w:val="en-US"/>
        </w:rPr>
        <w:t>active participation on other community development initiatives.</w:t>
      </w:r>
    </w:p>
    <w:p w14:paraId="27071D36" w14:textId="6998F817" w:rsidR="00B305BD" w:rsidRPr="001F7755" w:rsidRDefault="00B305BD" w:rsidP="004C7B0A">
      <w:pPr>
        <w:pStyle w:val="ListParagraph"/>
        <w:numPr>
          <w:ilvl w:val="0"/>
          <w:numId w:val="7"/>
        </w:numPr>
        <w:ind w:right="-154"/>
        <w:jc w:val="both"/>
        <w:rPr>
          <w:lang w:val="en-US"/>
        </w:rPr>
      </w:pPr>
      <w:r w:rsidRPr="001F7755">
        <w:rPr>
          <w:lang w:val="en-US"/>
        </w:rPr>
        <w:t xml:space="preserve">The establishment of 60 FBOs and one agricultural cooperative in Lower Banta is evidence of the increased social cohesion catalysed by implementation of outcome 2. </w:t>
      </w:r>
    </w:p>
    <w:p w14:paraId="1C40BEE1" w14:textId="59CC9899" w:rsidR="0077086A" w:rsidRPr="001F7755" w:rsidRDefault="00B305BD" w:rsidP="004C7B0A">
      <w:pPr>
        <w:pStyle w:val="ListParagraph"/>
        <w:numPr>
          <w:ilvl w:val="0"/>
          <w:numId w:val="7"/>
        </w:numPr>
        <w:ind w:right="-154"/>
        <w:jc w:val="both"/>
        <w:rPr>
          <w:lang w:val="en-US"/>
        </w:rPr>
      </w:pPr>
      <w:r w:rsidRPr="001F7755">
        <w:rPr>
          <w:lang w:val="en-US"/>
        </w:rPr>
        <w:t xml:space="preserve">Agricultural livelihood support has entailed developing abandoned and unused Inland Valley Swamps to make them a highly productive agricultural asset in chiefdoms where accessing farmland was a key conflict driver.  </w:t>
      </w:r>
      <w:r w:rsidR="0077086A" w:rsidRPr="001F7755">
        <w:rPr>
          <w:lang w:val="en-US"/>
        </w:rPr>
        <w:t xml:space="preserve"> </w:t>
      </w:r>
    </w:p>
    <w:p w14:paraId="264254A3" w14:textId="5A58F884" w:rsidR="00782A56" w:rsidRPr="001F7755" w:rsidRDefault="00B305BD" w:rsidP="004C7B0A">
      <w:pPr>
        <w:pStyle w:val="ListParagraph"/>
        <w:numPr>
          <w:ilvl w:val="0"/>
          <w:numId w:val="7"/>
        </w:numPr>
        <w:ind w:right="-154"/>
        <w:jc w:val="both"/>
        <w:rPr>
          <w:lang w:val="en-US"/>
        </w:rPr>
      </w:pPr>
      <w:r w:rsidRPr="001F7755">
        <w:rPr>
          <w:lang w:val="en-US"/>
        </w:rPr>
        <w:t>Empowering skilled young people as Community Youth Contractors has contributed toward transforming the perception of youth in agriculture and in their communities, encouraging young people to take on leadership roles.</w:t>
      </w:r>
    </w:p>
    <w:p w14:paraId="6637FF99" w14:textId="77777777" w:rsidR="00764773" w:rsidRPr="001F7755" w:rsidRDefault="00764773" w:rsidP="004C7B0A">
      <w:pPr>
        <w:jc w:val="both"/>
        <w:rPr>
          <w:lang w:val="en-US"/>
        </w:rPr>
      </w:pPr>
    </w:p>
    <w:p w14:paraId="504A72FF" w14:textId="78F9DCA1" w:rsidR="007C2163" w:rsidRPr="001F7755" w:rsidRDefault="008C782A" w:rsidP="007C2163">
      <w:pPr>
        <w:ind w:left="-810"/>
        <w:rPr>
          <w:lang w:val="en-US"/>
        </w:rPr>
      </w:pPr>
      <w:r w:rsidRPr="001F7755">
        <w:rPr>
          <w:lang w:val="en-US"/>
        </w:rPr>
        <w:t xml:space="preserve">In a few sentences, explain </w:t>
      </w:r>
      <w:r w:rsidR="00A64A02" w:rsidRPr="001F7755">
        <w:rPr>
          <w:lang w:val="en-US"/>
        </w:rPr>
        <w:t xml:space="preserve">whether </w:t>
      </w:r>
      <w:r w:rsidRPr="001F7755">
        <w:rPr>
          <w:lang w:val="en-US"/>
        </w:rPr>
        <w:t xml:space="preserve">the project has </w:t>
      </w:r>
      <w:r w:rsidR="00A64A02" w:rsidRPr="001F7755">
        <w:rPr>
          <w:lang w:val="en-US"/>
        </w:rPr>
        <w:t>had a positive</w:t>
      </w:r>
      <w:r w:rsidRPr="001F7755">
        <w:rPr>
          <w:b/>
          <w:bCs/>
          <w:lang w:val="en-US"/>
        </w:rPr>
        <w:t xml:space="preserve"> human impact</w:t>
      </w:r>
      <w:r w:rsidR="00A64A02" w:rsidRPr="001F7755">
        <w:rPr>
          <w:lang w:val="en-US"/>
        </w:rPr>
        <w:t>.</w:t>
      </w:r>
      <w:r w:rsidRPr="001F7755">
        <w:rPr>
          <w:lang w:val="en-US"/>
        </w:rPr>
        <w:t xml:space="preserve"> </w:t>
      </w:r>
      <w:r w:rsidR="00A64A02" w:rsidRPr="001F7755">
        <w:rPr>
          <w:lang w:val="en-US"/>
        </w:rPr>
        <w:t>May include anecdotal stories about the project’s positive effect on the</w:t>
      </w:r>
      <w:r w:rsidRPr="001F7755">
        <w:rPr>
          <w:lang w:val="en-US"/>
        </w:rPr>
        <w:t xml:space="preserve"> </w:t>
      </w:r>
      <w:r w:rsidR="00A64A02" w:rsidRPr="001F7755">
        <w:rPr>
          <w:lang w:val="en-US"/>
        </w:rPr>
        <w:t xml:space="preserve">people’s </w:t>
      </w:r>
      <w:r w:rsidRPr="001F7755">
        <w:rPr>
          <w:lang w:val="en-US"/>
        </w:rPr>
        <w:t>lives</w:t>
      </w:r>
      <w:r w:rsidR="00A64A02" w:rsidRPr="001F7755">
        <w:rPr>
          <w:lang w:val="en-US"/>
        </w:rPr>
        <w:t>. Include</w:t>
      </w:r>
      <w:r w:rsidRPr="001F7755">
        <w:rPr>
          <w:lang w:val="en-US"/>
        </w:rPr>
        <w:t xml:space="preserve"> direct quotes</w:t>
      </w:r>
      <w:r w:rsidR="00793DE6" w:rsidRPr="001F7755">
        <w:rPr>
          <w:lang w:val="en-US"/>
        </w:rPr>
        <w:t xml:space="preserve"> </w:t>
      </w:r>
      <w:r w:rsidR="00A64A02" w:rsidRPr="001F7755">
        <w:rPr>
          <w:lang w:val="en-US"/>
        </w:rPr>
        <w:t>where possible</w:t>
      </w:r>
      <w:r w:rsidR="001B6DFD" w:rsidRPr="001F7755">
        <w:rPr>
          <w:lang w:val="en-US"/>
        </w:rPr>
        <w:t xml:space="preserve"> or weblinks to strategic communications pieces</w:t>
      </w:r>
      <w:r w:rsidR="00A64A02" w:rsidRPr="001F7755">
        <w:rPr>
          <w:lang w:val="en-US"/>
        </w:rPr>
        <w:t>.</w:t>
      </w:r>
      <w:r w:rsidRPr="001F7755">
        <w:rPr>
          <w:lang w:val="en-US"/>
        </w:rPr>
        <w:t xml:space="preserve"> (</w:t>
      </w:r>
      <w:r w:rsidR="001A3157" w:rsidRPr="001F7755">
        <w:rPr>
          <w:lang w:val="en-US"/>
        </w:rPr>
        <w:t>20</w:t>
      </w:r>
      <w:r w:rsidRPr="001F7755">
        <w:rPr>
          <w:lang w:val="en-US"/>
        </w:rPr>
        <w:t>00 character limit):</w:t>
      </w:r>
    </w:p>
    <w:p w14:paraId="24920978" w14:textId="11821989" w:rsidR="00B979EA" w:rsidRPr="001F7755" w:rsidRDefault="00B979EA" w:rsidP="007C2163">
      <w:pPr>
        <w:ind w:left="-810"/>
        <w:rPr>
          <w:lang w:val="en-US"/>
        </w:rPr>
      </w:pPr>
    </w:p>
    <w:p w14:paraId="28411945" w14:textId="1EAE4540" w:rsidR="00B305BD" w:rsidRPr="001F7755" w:rsidRDefault="006252FA" w:rsidP="007C2163">
      <w:pPr>
        <w:ind w:left="-810"/>
        <w:rPr>
          <w:i/>
          <w:iCs/>
          <w:color w:val="000000" w:themeColor="text1"/>
          <w:sz w:val="22"/>
          <w:szCs w:val="22"/>
          <w:lang w:val="en-US"/>
        </w:rPr>
      </w:pPr>
      <w:r w:rsidRPr="001F7755">
        <w:rPr>
          <w:i/>
          <w:iCs/>
          <w:color w:val="000000" w:themeColor="text1"/>
          <w:sz w:val="22"/>
          <w:szCs w:val="22"/>
          <w:lang w:val="en-US"/>
        </w:rPr>
        <w:t>“</w:t>
      </w:r>
      <w:r w:rsidR="00B305BD" w:rsidRPr="001F7755">
        <w:rPr>
          <w:i/>
          <w:iCs/>
          <w:color w:val="000000" w:themeColor="text1"/>
          <w:sz w:val="22"/>
          <w:szCs w:val="22"/>
          <w:lang w:val="en-US"/>
        </w:rPr>
        <w:t>W</w:t>
      </w:r>
      <w:r w:rsidRPr="001F7755">
        <w:rPr>
          <w:i/>
          <w:iCs/>
          <w:color w:val="000000" w:themeColor="text1"/>
          <w:sz w:val="22"/>
          <w:szCs w:val="22"/>
          <w:lang w:val="en-US"/>
        </w:rPr>
        <w:t xml:space="preserve">e waited for the PBF project </w:t>
      </w:r>
      <w:r w:rsidR="00532DB9" w:rsidRPr="001F7755">
        <w:rPr>
          <w:i/>
          <w:iCs/>
          <w:color w:val="000000" w:themeColor="text1"/>
          <w:sz w:val="22"/>
          <w:szCs w:val="22"/>
          <w:lang w:val="en-US"/>
        </w:rPr>
        <w:t xml:space="preserve">in our community because we needed group support to help us work on our swamp which over the years has never been fully utilized nor developed. </w:t>
      </w:r>
      <w:r w:rsidR="00022264" w:rsidRPr="001F7755">
        <w:rPr>
          <w:i/>
          <w:iCs/>
          <w:color w:val="000000" w:themeColor="text1"/>
          <w:sz w:val="22"/>
          <w:szCs w:val="22"/>
          <w:lang w:val="en-US"/>
        </w:rPr>
        <w:t>We are now working as a group with great hopes of much rice in our community</w:t>
      </w:r>
      <w:r w:rsidR="00B305BD" w:rsidRPr="001F7755">
        <w:rPr>
          <w:i/>
          <w:iCs/>
          <w:color w:val="000000" w:themeColor="text1"/>
          <w:sz w:val="22"/>
          <w:szCs w:val="22"/>
          <w:lang w:val="en-US"/>
        </w:rPr>
        <w:t>.”</w:t>
      </w:r>
    </w:p>
    <w:p w14:paraId="471A678C" w14:textId="1EA36385" w:rsidR="00B979EA" w:rsidRPr="001F7755" w:rsidRDefault="009538CD" w:rsidP="007C2163">
      <w:pPr>
        <w:ind w:left="-810"/>
        <w:rPr>
          <w:b/>
          <w:bCs/>
          <w:color w:val="ED7D31" w:themeColor="accent2"/>
          <w:sz w:val="22"/>
          <w:szCs w:val="22"/>
          <w:lang w:val="en-US"/>
        </w:rPr>
      </w:pPr>
      <w:r w:rsidRPr="001F7755">
        <w:rPr>
          <w:b/>
          <w:bCs/>
          <w:color w:val="000000" w:themeColor="text1"/>
          <w:sz w:val="22"/>
          <w:szCs w:val="22"/>
          <w:lang w:val="en-US"/>
        </w:rPr>
        <w:t xml:space="preserve">David </w:t>
      </w:r>
      <w:r w:rsidR="002B029C" w:rsidRPr="001F7755">
        <w:rPr>
          <w:b/>
          <w:bCs/>
          <w:color w:val="000000" w:themeColor="text1"/>
          <w:sz w:val="22"/>
          <w:szCs w:val="22"/>
          <w:lang w:val="en-US"/>
        </w:rPr>
        <w:t>B. William Chairman, Ngeihun FBO at Lower Banta, Moyamba District</w:t>
      </w:r>
    </w:p>
    <w:p w14:paraId="14CD1C11" w14:textId="1BBA6C41" w:rsidR="00C71612" w:rsidRPr="001F7755" w:rsidRDefault="00C71612" w:rsidP="007C2163">
      <w:pPr>
        <w:ind w:left="-810"/>
        <w:rPr>
          <w:color w:val="ED7D31" w:themeColor="accent2"/>
          <w:sz w:val="22"/>
          <w:szCs w:val="22"/>
          <w:lang w:val="en-US"/>
        </w:rPr>
      </w:pPr>
    </w:p>
    <w:p w14:paraId="59D7B64E" w14:textId="419D9F95" w:rsidR="00C71612" w:rsidRPr="001F7755" w:rsidRDefault="008178C6" w:rsidP="007C2163">
      <w:pPr>
        <w:ind w:left="-810"/>
        <w:rPr>
          <w:i/>
          <w:iCs/>
          <w:color w:val="000000" w:themeColor="text1"/>
          <w:sz w:val="22"/>
          <w:szCs w:val="22"/>
          <w:lang w:val="en-US"/>
        </w:rPr>
      </w:pPr>
      <w:r w:rsidRPr="001F7755">
        <w:rPr>
          <w:i/>
          <w:iCs/>
          <w:color w:val="000000" w:themeColor="text1"/>
          <w:sz w:val="22"/>
          <w:szCs w:val="22"/>
          <w:lang w:val="en-US"/>
        </w:rPr>
        <w:t>“</w:t>
      </w:r>
      <w:r w:rsidR="00D00BB8" w:rsidRPr="001F7755">
        <w:rPr>
          <w:i/>
          <w:iCs/>
          <w:color w:val="000000" w:themeColor="text1"/>
          <w:sz w:val="22"/>
          <w:szCs w:val="22"/>
          <w:lang w:val="en-US"/>
        </w:rPr>
        <w:t xml:space="preserve">I </w:t>
      </w:r>
      <w:r w:rsidR="00A06962" w:rsidRPr="001F7755">
        <w:rPr>
          <w:i/>
          <w:iCs/>
          <w:color w:val="000000" w:themeColor="text1"/>
          <w:sz w:val="22"/>
          <w:szCs w:val="22"/>
          <w:lang w:val="en-US"/>
        </w:rPr>
        <w:t xml:space="preserve">have been in love with farming activities and </w:t>
      </w:r>
      <w:r w:rsidR="003B22D9" w:rsidRPr="001F7755">
        <w:rPr>
          <w:i/>
          <w:iCs/>
          <w:color w:val="000000" w:themeColor="text1"/>
          <w:sz w:val="22"/>
          <w:szCs w:val="22"/>
          <w:lang w:val="en-US"/>
        </w:rPr>
        <w:t xml:space="preserve">I </w:t>
      </w:r>
      <w:r w:rsidR="00A06962" w:rsidRPr="001F7755">
        <w:rPr>
          <w:i/>
          <w:iCs/>
          <w:color w:val="000000" w:themeColor="text1"/>
          <w:sz w:val="22"/>
          <w:szCs w:val="22"/>
          <w:lang w:val="en-US"/>
        </w:rPr>
        <w:t>use</w:t>
      </w:r>
      <w:r w:rsidR="003B22D9" w:rsidRPr="001F7755">
        <w:rPr>
          <w:i/>
          <w:iCs/>
          <w:color w:val="000000" w:themeColor="text1"/>
          <w:sz w:val="22"/>
          <w:szCs w:val="22"/>
          <w:lang w:val="en-US"/>
        </w:rPr>
        <w:t>d</w:t>
      </w:r>
      <w:r w:rsidR="00A06962" w:rsidRPr="001F7755">
        <w:rPr>
          <w:i/>
          <w:iCs/>
          <w:color w:val="000000" w:themeColor="text1"/>
          <w:sz w:val="22"/>
          <w:szCs w:val="22"/>
          <w:lang w:val="en-US"/>
        </w:rPr>
        <w:t xml:space="preserve"> to join other farmers in the neig</w:t>
      </w:r>
      <w:r w:rsidR="001C1B08" w:rsidRPr="001F7755">
        <w:rPr>
          <w:i/>
          <w:iCs/>
          <w:color w:val="000000" w:themeColor="text1"/>
          <w:sz w:val="22"/>
          <w:szCs w:val="22"/>
          <w:lang w:val="en-US"/>
        </w:rPr>
        <w:t>hbouring communities as part of their work g</w:t>
      </w:r>
      <w:r w:rsidR="00B305BD" w:rsidRPr="001F7755">
        <w:rPr>
          <w:i/>
          <w:iCs/>
          <w:color w:val="000000" w:themeColor="text1"/>
          <w:sz w:val="22"/>
          <w:szCs w:val="22"/>
          <w:lang w:val="en-US"/>
        </w:rPr>
        <w:t>roup</w:t>
      </w:r>
      <w:r w:rsidR="001C1B08" w:rsidRPr="001F7755">
        <w:rPr>
          <w:i/>
          <w:iCs/>
          <w:color w:val="000000" w:themeColor="text1"/>
          <w:sz w:val="22"/>
          <w:szCs w:val="22"/>
          <w:lang w:val="en-US"/>
        </w:rPr>
        <w:t xml:space="preserve">. I watched the way </w:t>
      </w:r>
      <w:r w:rsidR="003A73DB" w:rsidRPr="001F7755">
        <w:rPr>
          <w:i/>
          <w:iCs/>
          <w:color w:val="000000" w:themeColor="text1"/>
          <w:sz w:val="22"/>
          <w:szCs w:val="22"/>
          <w:lang w:val="en-US"/>
        </w:rPr>
        <w:t xml:space="preserve">the farmers </w:t>
      </w:r>
      <w:r w:rsidR="00A97211">
        <w:rPr>
          <w:i/>
          <w:iCs/>
          <w:color w:val="000000" w:themeColor="text1"/>
          <w:sz w:val="22"/>
          <w:szCs w:val="22"/>
          <w:lang w:val="en-US"/>
        </w:rPr>
        <w:t xml:space="preserve">in </w:t>
      </w:r>
      <w:r w:rsidR="00A97211" w:rsidRPr="001F7755">
        <w:rPr>
          <w:i/>
          <w:iCs/>
          <w:color w:val="000000" w:themeColor="text1"/>
          <w:sz w:val="22"/>
          <w:szCs w:val="22"/>
          <w:lang w:val="en-US"/>
        </w:rPr>
        <w:t>Libbie</w:t>
      </w:r>
      <w:r w:rsidR="00A97211">
        <w:rPr>
          <w:i/>
          <w:iCs/>
          <w:color w:val="000000" w:themeColor="text1"/>
          <w:sz w:val="22"/>
          <w:szCs w:val="22"/>
          <w:lang w:val="en-US"/>
        </w:rPr>
        <w:t xml:space="preserve"> (a nearby community targeted under the project) </w:t>
      </w:r>
      <w:r w:rsidR="003A73DB" w:rsidRPr="001F7755">
        <w:rPr>
          <w:i/>
          <w:iCs/>
          <w:color w:val="000000" w:themeColor="text1"/>
          <w:sz w:val="22"/>
          <w:szCs w:val="22"/>
          <w:lang w:val="en-US"/>
        </w:rPr>
        <w:t xml:space="preserve">doing the </w:t>
      </w:r>
      <w:r w:rsidR="00B305BD" w:rsidRPr="001F7755">
        <w:rPr>
          <w:i/>
          <w:iCs/>
          <w:color w:val="000000" w:themeColor="text1"/>
          <w:sz w:val="22"/>
          <w:szCs w:val="22"/>
          <w:lang w:val="en-US"/>
        </w:rPr>
        <w:t xml:space="preserve">swamp work, including making the </w:t>
      </w:r>
      <w:r w:rsidR="003A73DB" w:rsidRPr="001F7755">
        <w:rPr>
          <w:i/>
          <w:iCs/>
          <w:color w:val="000000" w:themeColor="text1"/>
          <w:sz w:val="22"/>
          <w:szCs w:val="22"/>
          <w:lang w:val="en-US"/>
        </w:rPr>
        <w:t>headbund</w:t>
      </w:r>
      <w:r w:rsidR="00B305BD" w:rsidRPr="001F7755">
        <w:rPr>
          <w:i/>
          <w:iCs/>
          <w:color w:val="000000" w:themeColor="text1"/>
          <w:sz w:val="22"/>
          <w:szCs w:val="22"/>
          <w:lang w:val="en-US"/>
        </w:rPr>
        <w:t xml:space="preserve"> and</w:t>
      </w:r>
      <w:r w:rsidR="003A73DB" w:rsidRPr="001F7755">
        <w:rPr>
          <w:i/>
          <w:iCs/>
          <w:color w:val="000000" w:themeColor="text1"/>
          <w:sz w:val="22"/>
          <w:szCs w:val="22"/>
          <w:lang w:val="en-US"/>
        </w:rPr>
        <w:t xml:space="preserve"> drain which was never in my community. I wanted to do it in my community</w:t>
      </w:r>
      <w:r w:rsidR="00A3722B">
        <w:rPr>
          <w:i/>
          <w:iCs/>
          <w:color w:val="000000" w:themeColor="text1"/>
          <w:sz w:val="22"/>
          <w:szCs w:val="22"/>
          <w:lang w:val="en-US"/>
        </w:rPr>
        <w:t>,</w:t>
      </w:r>
      <w:r w:rsidR="003A73DB" w:rsidRPr="001F7755">
        <w:rPr>
          <w:i/>
          <w:iCs/>
          <w:color w:val="000000" w:themeColor="text1"/>
          <w:sz w:val="22"/>
          <w:szCs w:val="22"/>
          <w:lang w:val="en-US"/>
        </w:rPr>
        <w:t xml:space="preserve"> but I did not have the knowledge.</w:t>
      </w:r>
    </w:p>
    <w:p w14:paraId="5D30E88A" w14:textId="77777777" w:rsidR="00B305BD" w:rsidRPr="001F7755" w:rsidRDefault="00B305BD" w:rsidP="007C2163">
      <w:pPr>
        <w:ind w:left="-810"/>
        <w:rPr>
          <w:i/>
          <w:iCs/>
          <w:color w:val="000000" w:themeColor="text1"/>
          <w:sz w:val="22"/>
          <w:szCs w:val="22"/>
          <w:lang w:val="en-US"/>
        </w:rPr>
      </w:pPr>
    </w:p>
    <w:p w14:paraId="264DF85A" w14:textId="7D3C1EC1" w:rsidR="003A73DB" w:rsidRPr="001F7755" w:rsidRDefault="003A73DB" w:rsidP="007C2163">
      <w:pPr>
        <w:ind w:left="-810"/>
        <w:rPr>
          <w:i/>
          <w:iCs/>
          <w:color w:val="000000" w:themeColor="text1"/>
          <w:sz w:val="22"/>
          <w:szCs w:val="22"/>
          <w:lang w:val="en-US"/>
        </w:rPr>
      </w:pPr>
      <w:r w:rsidRPr="001F7755">
        <w:rPr>
          <w:i/>
          <w:iCs/>
          <w:color w:val="000000" w:themeColor="text1"/>
          <w:sz w:val="22"/>
          <w:szCs w:val="22"/>
          <w:lang w:val="en-US"/>
        </w:rPr>
        <w:t xml:space="preserve">This year, </w:t>
      </w:r>
      <w:r w:rsidR="0067532D" w:rsidRPr="001F7755">
        <w:rPr>
          <w:i/>
          <w:iCs/>
          <w:color w:val="000000" w:themeColor="text1"/>
          <w:sz w:val="22"/>
          <w:szCs w:val="22"/>
          <w:lang w:val="en-US"/>
        </w:rPr>
        <w:t>WFP &amp; MAF selected</w:t>
      </w:r>
      <w:r w:rsidR="00B305BD" w:rsidRPr="001F7755">
        <w:rPr>
          <w:i/>
          <w:iCs/>
          <w:color w:val="000000" w:themeColor="text1"/>
          <w:sz w:val="22"/>
          <w:szCs w:val="22"/>
          <w:lang w:val="en-US"/>
        </w:rPr>
        <w:t xml:space="preserve"> me</w:t>
      </w:r>
      <w:r w:rsidR="0067532D" w:rsidRPr="001F7755">
        <w:rPr>
          <w:i/>
          <w:iCs/>
          <w:color w:val="000000" w:themeColor="text1"/>
          <w:sz w:val="22"/>
          <w:szCs w:val="22"/>
          <w:lang w:val="en-US"/>
        </w:rPr>
        <w:t xml:space="preserve"> as a community youth contractor and trained me. Now I can use the tape rule, I can use the peg</w:t>
      </w:r>
      <w:r w:rsidR="00C33957" w:rsidRPr="001F7755">
        <w:rPr>
          <w:i/>
          <w:iCs/>
          <w:color w:val="000000" w:themeColor="text1"/>
          <w:sz w:val="22"/>
          <w:szCs w:val="22"/>
          <w:lang w:val="en-US"/>
        </w:rPr>
        <w:t xml:space="preserve"> and make a headbund. I am so happy”</w:t>
      </w:r>
    </w:p>
    <w:p w14:paraId="2F72E0D9" w14:textId="17C5863C" w:rsidR="00C33957" w:rsidRPr="001F7755" w:rsidRDefault="00C33957" w:rsidP="007C2163">
      <w:pPr>
        <w:ind w:left="-810"/>
        <w:rPr>
          <w:color w:val="ED7D31" w:themeColor="accent2"/>
          <w:sz w:val="22"/>
          <w:szCs w:val="22"/>
          <w:lang w:val="en-US"/>
        </w:rPr>
      </w:pPr>
      <w:r w:rsidRPr="001F7755">
        <w:rPr>
          <w:b/>
          <w:bCs/>
          <w:color w:val="000000" w:themeColor="text1"/>
          <w:sz w:val="22"/>
          <w:szCs w:val="22"/>
          <w:lang w:val="en-US"/>
        </w:rPr>
        <w:t xml:space="preserve">Mariatu French, Community Youth Contractor </w:t>
      </w:r>
      <w:r w:rsidR="002B6006" w:rsidRPr="001F7755">
        <w:rPr>
          <w:b/>
          <w:bCs/>
          <w:color w:val="000000" w:themeColor="text1"/>
          <w:sz w:val="22"/>
          <w:szCs w:val="22"/>
          <w:lang w:val="en-US"/>
        </w:rPr>
        <w:t>Nyandehun, Malen, Pujehun District</w:t>
      </w:r>
    </w:p>
    <w:p w14:paraId="08773E50" w14:textId="77777777" w:rsidR="00206D45" w:rsidRPr="001F7755" w:rsidRDefault="00206D45" w:rsidP="00206D45">
      <w:pPr>
        <w:rPr>
          <w:b/>
          <w:lang w:val="en-US"/>
        </w:rPr>
      </w:pPr>
    </w:p>
    <w:p w14:paraId="619E3770" w14:textId="77777777" w:rsidR="00F5504F" w:rsidRPr="001F7755" w:rsidRDefault="00206D45" w:rsidP="00206D45">
      <w:pPr>
        <w:ind w:hanging="810"/>
        <w:jc w:val="both"/>
        <w:rPr>
          <w:b/>
          <w:u w:val="single"/>
          <w:lang w:val="en-US"/>
        </w:rPr>
      </w:pPr>
      <w:r w:rsidRPr="001F7755">
        <w:rPr>
          <w:b/>
          <w:u w:val="single"/>
          <w:lang w:val="en-US"/>
        </w:rPr>
        <w:t xml:space="preserve">PART II: RESULT PROGRESS BY PROJECT OUTCOME </w:t>
      </w:r>
    </w:p>
    <w:p w14:paraId="0DC19C42" w14:textId="77777777" w:rsidR="00F5504F" w:rsidRPr="001F7755" w:rsidRDefault="00F5504F" w:rsidP="00323ABC">
      <w:pPr>
        <w:ind w:left="-720"/>
        <w:rPr>
          <w:b/>
          <w:u w:val="single"/>
          <w:lang w:val="en-US"/>
        </w:rPr>
      </w:pPr>
    </w:p>
    <w:p w14:paraId="579437EA" w14:textId="77777777" w:rsidR="00287878" w:rsidRPr="001F7755" w:rsidRDefault="00287878" w:rsidP="003D4CD7">
      <w:pPr>
        <w:ind w:left="-810"/>
        <w:rPr>
          <w:i/>
          <w:lang w:val="en-US"/>
        </w:rPr>
      </w:pPr>
      <w:r w:rsidRPr="001F7755">
        <w:rPr>
          <w:i/>
          <w:lang w:val="en-US"/>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w:t>
      </w:r>
      <w:r w:rsidRPr="001F7755">
        <w:rPr>
          <w:i/>
          <w:lang w:val="en-US"/>
        </w:rPr>
        <w:lastRenderedPageBreak/>
        <w:t xml:space="preserve">difference at the outcome level, provide specific evidence for the progress (quantitative and qualitative) and explain how it impacts the broader political and peacebuilding context. </w:t>
      </w:r>
    </w:p>
    <w:p w14:paraId="6C31DEBA" w14:textId="77777777" w:rsidR="008364E5" w:rsidRPr="001F7755" w:rsidRDefault="008364E5" w:rsidP="003D4CD7">
      <w:pPr>
        <w:ind w:left="-810"/>
        <w:rPr>
          <w:i/>
          <w:lang w:val="en-US"/>
        </w:rPr>
      </w:pPr>
    </w:p>
    <w:p w14:paraId="503A73CA" w14:textId="77777777" w:rsidR="008364E5" w:rsidRPr="001F7755" w:rsidRDefault="008364E5" w:rsidP="006E7CA4">
      <w:pPr>
        <w:numPr>
          <w:ilvl w:val="0"/>
          <w:numId w:val="2"/>
        </w:numPr>
        <w:rPr>
          <w:i/>
          <w:lang w:val="en-US"/>
        </w:rPr>
      </w:pPr>
      <w:r w:rsidRPr="001F7755">
        <w:rPr>
          <w:i/>
          <w:lang w:val="en-US"/>
        </w:rPr>
        <w:t xml:space="preserve">“On track” refers to </w:t>
      </w:r>
      <w:r w:rsidR="007118F5" w:rsidRPr="001F7755">
        <w:rPr>
          <w:i/>
          <w:lang w:val="en-US"/>
        </w:rPr>
        <w:t xml:space="preserve">the timely completion of outputs as indicated in the workplan. </w:t>
      </w:r>
    </w:p>
    <w:p w14:paraId="6D78EDB6" w14:textId="77777777" w:rsidR="007118F5" w:rsidRPr="001F7755" w:rsidRDefault="007118F5" w:rsidP="006E7CA4">
      <w:pPr>
        <w:numPr>
          <w:ilvl w:val="0"/>
          <w:numId w:val="2"/>
        </w:numPr>
        <w:rPr>
          <w:i/>
          <w:lang w:val="en-US"/>
        </w:rPr>
      </w:pPr>
      <w:r w:rsidRPr="001F7755">
        <w:rPr>
          <w:i/>
          <w:lang w:val="en-US"/>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1F7755" w:rsidRDefault="00287878" w:rsidP="008364E5">
      <w:pPr>
        <w:rPr>
          <w:i/>
          <w:lang w:val="en-US"/>
        </w:rPr>
      </w:pPr>
    </w:p>
    <w:p w14:paraId="00C1C1D9" w14:textId="77777777" w:rsidR="003D4CD7" w:rsidRPr="001F7755" w:rsidRDefault="00BA5D85" w:rsidP="003D4CD7">
      <w:pPr>
        <w:ind w:left="-810"/>
        <w:rPr>
          <w:i/>
          <w:iCs/>
          <w:lang w:val="en-US"/>
        </w:rPr>
      </w:pPr>
      <w:r w:rsidRPr="001F7755">
        <w:rPr>
          <w:i/>
          <w:iCs/>
          <w:lang w:val="en-US"/>
        </w:rPr>
        <w:t xml:space="preserve">If your project has more </w:t>
      </w:r>
      <w:r w:rsidR="00287878" w:rsidRPr="001F7755">
        <w:rPr>
          <w:i/>
          <w:iCs/>
          <w:lang w:val="en-US"/>
        </w:rPr>
        <w:t xml:space="preserve">than four </w:t>
      </w:r>
      <w:r w:rsidRPr="001F7755">
        <w:rPr>
          <w:i/>
          <w:iCs/>
          <w:lang w:val="en-US"/>
        </w:rPr>
        <w:t>outcomes, contact PBSO for template modification.</w:t>
      </w:r>
    </w:p>
    <w:p w14:paraId="243656BC" w14:textId="77777777" w:rsidR="003D4CD7" w:rsidRPr="001F7755" w:rsidRDefault="003D4CD7" w:rsidP="0078600B">
      <w:pPr>
        <w:rPr>
          <w:b/>
          <w:u w:val="single"/>
          <w:lang w:val="en-US"/>
        </w:rPr>
      </w:pPr>
    </w:p>
    <w:p w14:paraId="53AA26EA" w14:textId="56FFDF35" w:rsidR="005216B2" w:rsidRPr="001F7755" w:rsidRDefault="007626C9" w:rsidP="00323ABC">
      <w:pPr>
        <w:ind w:left="-720"/>
        <w:rPr>
          <w:b/>
          <w:lang w:val="en-US"/>
        </w:rPr>
      </w:pPr>
      <w:r w:rsidRPr="001F7755">
        <w:rPr>
          <w:b/>
          <w:u w:val="single"/>
          <w:lang w:val="en-US"/>
        </w:rPr>
        <w:t xml:space="preserve">Outcome </w:t>
      </w:r>
      <w:r w:rsidR="005216B2" w:rsidRPr="001F7755">
        <w:rPr>
          <w:b/>
          <w:u w:val="single"/>
          <w:lang w:val="en-US"/>
        </w:rPr>
        <w:t>1:</w:t>
      </w:r>
      <w:r w:rsidR="005216B2" w:rsidRPr="001F7755">
        <w:rPr>
          <w:b/>
          <w:lang w:val="en-US"/>
        </w:rPr>
        <w:t xml:space="preserve">  </w:t>
      </w:r>
      <w:r w:rsidR="00A97211" w:rsidRPr="001F7755">
        <w:rPr>
          <w:lang w:val="en-US" w:eastAsia="en-US"/>
        </w:rPr>
        <w:t>Communities in Pujehun and Moyamba districts benefit from more accountable institutions and mechanisms that promote peaceful relations between communities and private companies.</w:t>
      </w:r>
    </w:p>
    <w:p w14:paraId="41A3C253" w14:textId="77777777" w:rsidR="00D3351A" w:rsidRPr="001F7755" w:rsidRDefault="00D3351A" w:rsidP="00323ABC">
      <w:pPr>
        <w:ind w:left="-720"/>
        <w:rPr>
          <w:b/>
          <w:lang w:val="en-US"/>
        </w:rPr>
      </w:pPr>
    </w:p>
    <w:p w14:paraId="4262CE1B" w14:textId="7D3D2BDB" w:rsidR="002E1CED" w:rsidRPr="001F7755" w:rsidRDefault="002E1CED" w:rsidP="00323ABC">
      <w:pPr>
        <w:ind w:left="-720"/>
        <w:rPr>
          <w:b/>
          <w:lang w:val="en-US"/>
        </w:rPr>
      </w:pPr>
      <w:r w:rsidRPr="001F7755">
        <w:rPr>
          <w:b/>
          <w:lang w:val="en-US"/>
        </w:rPr>
        <w:t xml:space="preserve">Rate the </w:t>
      </w:r>
      <w:bookmarkStart w:id="1" w:name="_Hlk74648115"/>
      <w:r w:rsidR="00A47DDA" w:rsidRPr="001F7755">
        <w:rPr>
          <w:b/>
          <w:lang w:val="en-US"/>
        </w:rPr>
        <w:t xml:space="preserve">current </w:t>
      </w:r>
      <w:r w:rsidRPr="001F7755">
        <w:rPr>
          <w:b/>
          <w:lang w:val="en-US"/>
        </w:rPr>
        <w:t xml:space="preserve">status of the </w:t>
      </w:r>
      <w:r w:rsidR="00323ABC" w:rsidRPr="001F7755">
        <w:rPr>
          <w:b/>
          <w:lang w:val="en-US"/>
        </w:rPr>
        <w:t>outcome</w:t>
      </w:r>
      <w:r w:rsidR="00764773" w:rsidRPr="001F7755">
        <w:rPr>
          <w:b/>
          <w:lang w:val="en-US"/>
        </w:rPr>
        <w:t xml:space="preserve"> progress</w:t>
      </w:r>
      <w:bookmarkEnd w:id="1"/>
      <w:r w:rsidRPr="001F7755">
        <w:rPr>
          <w:b/>
          <w:lang w:val="en-US"/>
        </w:rPr>
        <w:t xml:space="preserve">: </w:t>
      </w:r>
      <w:r w:rsidR="00A97211">
        <w:rPr>
          <w:b/>
          <w:lang w:val="en-US"/>
        </w:rPr>
        <w:t>on track</w:t>
      </w:r>
    </w:p>
    <w:p w14:paraId="6389C77C" w14:textId="77777777" w:rsidR="002E1CED" w:rsidRPr="001F7755" w:rsidRDefault="002E1CED" w:rsidP="00323ABC">
      <w:pPr>
        <w:ind w:left="-720"/>
        <w:jc w:val="both"/>
        <w:rPr>
          <w:b/>
          <w:lang w:val="en-US"/>
        </w:rPr>
      </w:pPr>
    </w:p>
    <w:p w14:paraId="37B6CC8B" w14:textId="77777777" w:rsidR="005216B2" w:rsidRPr="001F7755" w:rsidRDefault="003235DF" w:rsidP="00C07A0C">
      <w:pPr>
        <w:ind w:left="-720"/>
        <w:jc w:val="both"/>
        <w:rPr>
          <w:i/>
          <w:lang w:val="en-US"/>
        </w:rPr>
      </w:pPr>
      <w:r w:rsidRPr="001F7755">
        <w:rPr>
          <w:b/>
          <w:lang w:val="en-US"/>
        </w:rPr>
        <w:t xml:space="preserve">Progress summary: </w:t>
      </w:r>
      <w:r w:rsidRPr="001F7755">
        <w:rPr>
          <w:i/>
          <w:lang w:val="en-US"/>
        </w:rPr>
        <w:t>(</w:t>
      </w:r>
      <w:r w:rsidR="00627A1C" w:rsidRPr="001F7755">
        <w:rPr>
          <w:i/>
          <w:lang w:val="en-US"/>
        </w:rPr>
        <w:t>3</w:t>
      </w:r>
      <w:r w:rsidRPr="001F7755">
        <w:rPr>
          <w:i/>
          <w:lang w:val="en-US"/>
        </w:rPr>
        <w:t>000 character limit)</w:t>
      </w:r>
    </w:p>
    <w:p w14:paraId="72AC67AB" w14:textId="77777777" w:rsidR="00197A37" w:rsidRPr="001F7755" w:rsidRDefault="00197A37" w:rsidP="00504511">
      <w:pPr>
        <w:ind w:left="-720"/>
        <w:jc w:val="both"/>
        <w:rPr>
          <w:lang w:val="en-US"/>
        </w:rPr>
      </w:pPr>
    </w:p>
    <w:p w14:paraId="0409AF5E" w14:textId="5F819CBE" w:rsidR="00C012DA" w:rsidRPr="001F7755" w:rsidRDefault="00C012DA" w:rsidP="00504511">
      <w:pPr>
        <w:ind w:left="-720"/>
        <w:jc w:val="both"/>
        <w:rPr>
          <w:lang w:val="en-US"/>
        </w:rPr>
      </w:pPr>
      <w:r w:rsidRPr="001F7755">
        <w:rPr>
          <w:lang w:val="en-US"/>
        </w:rPr>
        <w:t>A validation session on the Land Degradation Assessment Report scheduled for December 2020 did not take place. In consultation with the Office of the Vice President and Ministry of Lands, a new date is under consideration to ensure the validation is implemented within the third quarter. The session will bring together stakeholder</w:t>
      </w:r>
      <w:r w:rsidR="003B22D9" w:rsidRPr="001F7755">
        <w:rPr>
          <w:lang w:val="en-US"/>
        </w:rPr>
        <w:t>s</w:t>
      </w:r>
      <w:r w:rsidRPr="001F7755">
        <w:rPr>
          <w:lang w:val="en-US"/>
        </w:rPr>
        <w:t xml:space="preserve"> in the land </w:t>
      </w:r>
      <w:r w:rsidR="006905CD" w:rsidRPr="001F7755">
        <w:rPr>
          <w:lang w:val="en-US"/>
        </w:rPr>
        <w:t>sector to review the report and commission the execution of the recommendations made therein.</w:t>
      </w:r>
    </w:p>
    <w:p w14:paraId="13CE20F1" w14:textId="77777777" w:rsidR="00504511" w:rsidRPr="001F7755" w:rsidRDefault="00504511" w:rsidP="00504511">
      <w:pPr>
        <w:ind w:left="-720"/>
        <w:jc w:val="both"/>
        <w:rPr>
          <w:lang w:val="en-US"/>
        </w:rPr>
      </w:pPr>
    </w:p>
    <w:p w14:paraId="5312530C" w14:textId="77777777" w:rsidR="00FE1F6A" w:rsidRPr="001F7755" w:rsidRDefault="006905CD" w:rsidP="00FE1F6A">
      <w:pPr>
        <w:ind w:left="-720"/>
        <w:jc w:val="both"/>
        <w:rPr>
          <w:b/>
          <w:bCs/>
          <w:u w:val="single"/>
          <w:lang w:val="en-US"/>
        </w:rPr>
      </w:pPr>
      <w:r w:rsidRPr="001F7755">
        <w:rPr>
          <w:rFonts w:eastAsiaTheme="minorHAnsi"/>
          <w:lang w:val="en-US" w:eastAsia="en-US"/>
        </w:rPr>
        <w:t>T</w:t>
      </w:r>
      <w:r w:rsidR="00504511" w:rsidRPr="001F7755">
        <w:rPr>
          <w:rFonts w:eastAsiaTheme="minorHAnsi"/>
          <w:lang w:val="en-US" w:eastAsia="en-US"/>
        </w:rPr>
        <w:t xml:space="preserve">wo Grievance Redress Committee </w:t>
      </w:r>
      <w:r w:rsidRPr="001F7755">
        <w:rPr>
          <w:rFonts w:eastAsiaTheme="minorHAnsi"/>
          <w:lang w:val="en-US" w:eastAsia="en-US"/>
        </w:rPr>
        <w:t xml:space="preserve">(GRC) </w:t>
      </w:r>
      <w:r w:rsidR="00504511" w:rsidRPr="001F7755">
        <w:rPr>
          <w:rFonts w:eastAsiaTheme="minorHAnsi"/>
          <w:lang w:val="en-US" w:eastAsia="en-US"/>
        </w:rPr>
        <w:t>meetings were held</w:t>
      </w:r>
      <w:r w:rsidRPr="001F7755">
        <w:rPr>
          <w:rFonts w:eastAsiaTheme="minorHAnsi"/>
          <w:lang w:val="en-US" w:eastAsia="en-US"/>
        </w:rPr>
        <w:t xml:space="preserve"> i</w:t>
      </w:r>
      <w:r w:rsidR="00504511" w:rsidRPr="001F7755">
        <w:rPr>
          <w:rFonts w:eastAsiaTheme="minorHAnsi"/>
          <w:lang w:val="en-US" w:eastAsia="en-US"/>
        </w:rPr>
        <w:t xml:space="preserve">n Malen and Makpele Chiefdoms in Pujehun District. During the meeting at Ngadorhun in Malen Chiefdom, attended by </w:t>
      </w:r>
      <w:r w:rsidRPr="001F7755">
        <w:rPr>
          <w:lang w:val="en-US"/>
        </w:rPr>
        <w:t>r</w:t>
      </w:r>
      <w:r w:rsidR="00504511" w:rsidRPr="001F7755">
        <w:rPr>
          <w:lang w:val="en-US"/>
        </w:rPr>
        <w:t>epresentatives from all sections within the Chiefdom (9 female</w:t>
      </w:r>
      <w:r w:rsidRPr="001F7755">
        <w:rPr>
          <w:lang w:val="en-US"/>
        </w:rPr>
        <w:t>s and</w:t>
      </w:r>
      <w:r w:rsidR="00504511" w:rsidRPr="001F7755">
        <w:rPr>
          <w:lang w:val="en-US"/>
        </w:rPr>
        <w:t xml:space="preserve"> 16 males) including the Socifin Agricultural company</w:t>
      </w:r>
      <w:r w:rsidRPr="001F7755">
        <w:rPr>
          <w:lang w:val="en-US"/>
        </w:rPr>
        <w:t>,</w:t>
      </w:r>
      <w:r w:rsidR="00504511" w:rsidRPr="001F7755">
        <w:rPr>
          <w:lang w:val="en-US"/>
        </w:rPr>
        <w:t xml:space="preserve"> the following key issues were highlighted:</w:t>
      </w:r>
    </w:p>
    <w:p w14:paraId="4CCE4B81" w14:textId="77777777" w:rsidR="00FE1F6A" w:rsidRPr="001F7755" w:rsidRDefault="00FE1F6A" w:rsidP="00FE1F6A">
      <w:pPr>
        <w:ind w:left="-720"/>
        <w:jc w:val="both"/>
        <w:rPr>
          <w:b/>
          <w:bCs/>
          <w:u w:val="single"/>
          <w:lang w:val="en-US"/>
        </w:rPr>
      </w:pPr>
    </w:p>
    <w:p w14:paraId="0B22799F" w14:textId="77777777" w:rsidR="00FE1F6A" w:rsidRPr="001F7755" w:rsidRDefault="00504511" w:rsidP="00FE1F6A">
      <w:pPr>
        <w:pStyle w:val="ListParagraph"/>
        <w:numPr>
          <w:ilvl w:val="0"/>
          <w:numId w:val="35"/>
        </w:numPr>
        <w:jc w:val="both"/>
        <w:rPr>
          <w:b/>
          <w:bCs/>
          <w:u w:val="single"/>
          <w:lang w:val="en-US"/>
        </w:rPr>
      </w:pPr>
      <w:r w:rsidRPr="001F7755">
        <w:rPr>
          <w:rFonts w:eastAsiaTheme="minorHAnsi"/>
          <w:lang w:val="en-US" w:eastAsia="en-US"/>
        </w:rPr>
        <w:t>Security threats in the operational areas</w:t>
      </w:r>
      <w:r w:rsidR="00745B1D" w:rsidRPr="001F7755">
        <w:rPr>
          <w:rFonts w:eastAsiaTheme="minorHAnsi"/>
          <w:lang w:val="en-US" w:eastAsia="en-US"/>
        </w:rPr>
        <w:t>: I</w:t>
      </w:r>
      <w:r w:rsidRPr="001F7755">
        <w:rPr>
          <w:rFonts w:eastAsiaTheme="minorHAnsi"/>
          <w:lang w:val="en-US" w:eastAsia="en-US"/>
        </w:rPr>
        <w:t>n most parts of the chiefdom, farm guards and other military personnel are reported to harass community residents in their backyards in search of stolen palm fruits from the Socfin plantation</w:t>
      </w:r>
      <w:r w:rsidR="00FE1F6A" w:rsidRPr="001F7755">
        <w:rPr>
          <w:rFonts w:eastAsiaTheme="minorHAnsi"/>
          <w:lang w:val="en-US" w:eastAsia="en-US"/>
        </w:rPr>
        <w:t>.</w:t>
      </w:r>
    </w:p>
    <w:p w14:paraId="08DAEF92" w14:textId="77777777" w:rsidR="00FE1F6A" w:rsidRPr="001F7755" w:rsidRDefault="00504511" w:rsidP="00FE1F6A">
      <w:pPr>
        <w:pStyle w:val="ListParagraph"/>
        <w:numPr>
          <w:ilvl w:val="0"/>
          <w:numId w:val="35"/>
        </w:numPr>
        <w:jc w:val="both"/>
        <w:rPr>
          <w:b/>
          <w:bCs/>
          <w:u w:val="single"/>
          <w:lang w:val="en-US"/>
        </w:rPr>
      </w:pPr>
      <w:r w:rsidRPr="001F7755">
        <w:rPr>
          <w:rFonts w:eastAsiaTheme="minorHAnsi"/>
          <w:lang w:val="en-US" w:eastAsia="en-US"/>
        </w:rPr>
        <w:t>Disregard for cultural and societal norms and values</w:t>
      </w:r>
      <w:r w:rsidR="00745B1D" w:rsidRPr="001F7755">
        <w:rPr>
          <w:rFonts w:eastAsiaTheme="minorHAnsi"/>
          <w:lang w:val="en-US" w:eastAsia="en-US"/>
        </w:rPr>
        <w:t>: F</w:t>
      </w:r>
      <w:r w:rsidRPr="001F7755">
        <w:rPr>
          <w:rFonts w:eastAsiaTheme="minorHAnsi"/>
          <w:lang w:val="en-US" w:eastAsia="en-US"/>
        </w:rPr>
        <w:t xml:space="preserve">arm guards and other contracted security </w:t>
      </w:r>
      <w:r w:rsidR="006905CD" w:rsidRPr="001F7755">
        <w:rPr>
          <w:rFonts w:eastAsiaTheme="minorHAnsi"/>
          <w:lang w:val="en-US" w:eastAsia="en-US"/>
        </w:rPr>
        <w:t>personnel</w:t>
      </w:r>
      <w:r w:rsidRPr="001F7755">
        <w:rPr>
          <w:rFonts w:eastAsiaTheme="minorHAnsi"/>
          <w:lang w:val="en-US" w:eastAsia="en-US"/>
        </w:rPr>
        <w:t xml:space="preserve"> patrolling the </w:t>
      </w:r>
      <w:r w:rsidR="006905CD" w:rsidRPr="001F7755">
        <w:rPr>
          <w:rFonts w:eastAsiaTheme="minorHAnsi"/>
          <w:lang w:val="en-US" w:eastAsia="en-US"/>
        </w:rPr>
        <w:t>S</w:t>
      </w:r>
      <w:r w:rsidRPr="001F7755">
        <w:rPr>
          <w:rFonts w:eastAsiaTheme="minorHAnsi"/>
          <w:lang w:val="en-US" w:eastAsia="en-US"/>
        </w:rPr>
        <w:t xml:space="preserve">ocfin plantation disregard the sanctity of sacred society (“Bondo”) bushes as they enter the women’s secret society bushes at will in search of palm fruits.  </w:t>
      </w:r>
    </w:p>
    <w:p w14:paraId="5095E3AA" w14:textId="4ADD179B" w:rsidR="00FE1F6A" w:rsidRPr="001F7755" w:rsidRDefault="00504511" w:rsidP="00FE1F6A">
      <w:pPr>
        <w:pStyle w:val="ListParagraph"/>
        <w:numPr>
          <w:ilvl w:val="0"/>
          <w:numId w:val="35"/>
        </w:numPr>
        <w:jc w:val="both"/>
        <w:rPr>
          <w:b/>
          <w:bCs/>
          <w:u w:val="single"/>
          <w:lang w:val="en-US"/>
        </w:rPr>
      </w:pPr>
      <w:r w:rsidRPr="001F7755">
        <w:rPr>
          <w:rFonts w:eastAsiaTheme="minorHAnsi"/>
          <w:lang w:val="en-US" w:eastAsia="en-US"/>
        </w:rPr>
        <w:t>Delineation of Socfi</w:t>
      </w:r>
      <w:r w:rsidR="00786F2C" w:rsidRPr="001F7755">
        <w:rPr>
          <w:rFonts w:eastAsiaTheme="minorHAnsi"/>
          <w:lang w:val="en-US" w:eastAsia="en-US"/>
        </w:rPr>
        <w:t>n</w:t>
      </w:r>
      <w:r w:rsidRPr="001F7755">
        <w:rPr>
          <w:rFonts w:eastAsiaTheme="minorHAnsi"/>
          <w:lang w:val="en-US" w:eastAsia="en-US"/>
        </w:rPr>
        <w:t xml:space="preserve"> agricultural land boundaries</w:t>
      </w:r>
      <w:r w:rsidR="00745B1D" w:rsidRPr="001F7755">
        <w:rPr>
          <w:rFonts w:eastAsiaTheme="minorHAnsi"/>
          <w:lang w:val="en-US" w:eastAsia="en-US"/>
        </w:rPr>
        <w:t>: R</w:t>
      </w:r>
      <w:r w:rsidR="006905CD" w:rsidRPr="001F7755">
        <w:rPr>
          <w:rFonts w:eastAsiaTheme="minorHAnsi"/>
          <w:lang w:val="en-US" w:eastAsia="en-US"/>
        </w:rPr>
        <w:t>esidents are concerned about the delineation of farmland in the occupied areas among communities.</w:t>
      </w:r>
    </w:p>
    <w:p w14:paraId="0C42A4AB" w14:textId="77777777" w:rsidR="00FE1F6A" w:rsidRPr="001F7755" w:rsidRDefault="00504511" w:rsidP="00FE1F6A">
      <w:pPr>
        <w:pStyle w:val="ListParagraph"/>
        <w:numPr>
          <w:ilvl w:val="0"/>
          <w:numId w:val="35"/>
        </w:numPr>
        <w:jc w:val="both"/>
        <w:rPr>
          <w:b/>
          <w:bCs/>
          <w:u w:val="single"/>
          <w:lang w:val="en-US"/>
        </w:rPr>
      </w:pPr>
      <w:r w:rsidRPr="001F7755">
        <w:rPr>
          <w:rFonts w:eastAsiaTheme="minorHAnsi"/>
          <w:lang w:val="en-US" w:eastAsia="en-US"/>
        </w:rPr>
        <w:t>Lack of clarity in the approach of dispensing justice</w:t>
      </w:r>
      <w:r w:rsidR="00B83776" w:rsidRPr="001F7755">
        <w:rPr>
          <w:rFonts w:eastAsiaTheme="minorHAnsi"/>
          <w:lang w:val="en-US" w:eastAsia="en-US"/>
        </w:rPr>
        <w:t>: C</w:t>
      </w:r>
      <w:r w:rsidRPr="001F7755">
        <w:rPr>
          <w:rFonts w:eastAsiaTheme="minorHAnsi"/>
          <w:lang w:val="en-US" w:eastAsia="en-US"/>
        </w:rPr>
        <w:t xml:space="preserve">ommunity residents are </w:t>
      </w:r>
      <w:r w:rsidR="006905CD" w:rsidRPr="001F7755">
        <w:rPr>
          <w:rFonts w:eastAsiaTheme="minorHAnsi"/>
          <w:lang w:val="en-US" w:eastAsia="en-US"/>
        </w:rPr>
        <w:t xml:space="preserve">not comfortable with </w:t>
      </w:r>
      <w:r w:rsidRPr="001F7755">
        <w:rPr>
          <w:rFonts w:eastAsiaTheme="minorHAnsi"/>
          <w:lang w:val="en-US" w:eastAsia="en-US"/>
        </w:rPr>
        <w:t>the different ways justice is dispensed by the security and farm guards</w:t>
      </w:r>
      <w:r w:rsidR="006905CD" w:rsidRPr="001F7755">
        <w:rPr>
          <w:rFonts w:eastAsiaTheme="minorHAnsi"/>
          <w:lang w:val="en-US" w:eastAsia="en-US"/>
        </w:rPr>
        <w:t xml:space="preserve">, and how </w:t>
      </w:r>
      <w:r w:rsidRPr="001F7755">
        <w:rPr>
          <w:rFonts w:eastAsiaTheme="minorHAnsi"/>
          <w:lang w:val="en-US" w:eastAsia="en-US"/>
        </w:rPr>
        <w:t xml:space="preserve">arrests of </w:t>
      </w:r>
      <w:r w:rsidR="00745B1D" w:rsidRPr="001F7755">
        <w:rPr>
          <w:rFonts w:eastAsiaTheme="minorHAnsi"/>
          <w:lang w:val="en-US" w:eastAsia="en-US"/>
        </w:rPr>
        <w:t xml:space="preserve">those </w:t>
      </w:r>
      <w:r w:rsidRPr="001F7755">
        <w:rPr>
          <w:rFonts w:eastAsiaTheme="minorHAnsi"/>
          <w:lang w:val="en-US" w:eastAsia="en-US"/>
        </w:rPr>
        <w:t>suspected of stealing fruits from the plantation</w:t>
      </w:r>
      <w:r w:rsidR="00745B1D" w:rsidRPr="001F7755">
        <w:rPr>
          <w:rFonts w:eastAsiaTheme="minorHAnsi"/>
          <w:lang w:val="en-US" w:eastAsia="en-US"/>
        </w:rPr>
        <w:t xml:space="preserve"> are made</w:t>
      </w:r>
      <w:r w:rsidRPr="001F7755">
        <w:rPr>
          <w:rFonts w:eastAsiaTheme="minorHAnsi"/>
          <w:lang w:val="en-US" w:eastAsia="en-US"/>
        </w:rPr>
        <w:t>.</w:t>
      </w:r>
      <w:r w:rsidRPr="001F7755">
        <w:rPr>
          <w:rFonts w:eastAsiaTheme="minorHAnsi"/>
          <w:vanish/>
          <w:lang w:val="en-US" w:eastAsia="en-US"/>
        </w:rPr>
        <w:cr/>
        <w:t xml:space="preserve">oint  sistency over meting out he nces  bushes d the followingccording to nd fufuhe arkets for small scale business. the </w:t>
      </w:r>
      <w:r w:rsidRPr="001F7755">
        <w:rPr>
          <w:rFonts w:eastAsiaTheme="minorHAnsi"/>
          <w:vanish/>
          <w:lang w:val="en-US" w:eastAsia="en-US"/>
        </w:rPr>
        <w:pgNum/>
      </w:r>
      <w:r w:rsidRPr="001F7755">
        <w:rPr>
          <w:rFonts w:eastAsiaTheme="minorHAnsi"/>
          <w:vanish/>
          <w:lang w:val="en-US" w:eastAsia="en-US"/>
        </w:rPr>
        <w:pgNum/>
      </w:r>
      <w:r w:rsidRPr="001F7755">
        <w:rPr>
          <w:rFonts w:eastAsiaTheme="minorHAnsi"/>
          <w:vanish/>
          <w:lang w:val="en-US" w:eastAsia="en-US"/>
        </w:rPr>
        <w:pgNum/>
      </w:r>
      <w:r w:rsidRPr="001F7755">
        <w:rPr>
          <w:rFonts w:eastAsiaTheme="minorHAnsi"/>
          <w:vanish/>
          <w:lang w:val="en-US" w:eastAsia="en-US"/>
        </w:rPr>
        <w:pgNum/>
      </w:r>
      <w:r w:rsidRPr="001F7755">
        <w:rPr>
          <w:rFonts w:eastAsiaTheme="minorHAnsi"/>
          <w:vanish/>
          <w:lang w:val="en-US" w:eastAsia="en-US"/>
        </w:rPr>
        <w:pgNum/>
      </w:r>
      <w:r w:rsidRPr="001F7755">
        <w:rPr>
          <w:rFonts w:eastAsiaTheme="minorHAnsi"/>
          <w:vanish/>
          <w:lang w:val="en-US" w:eastAsia="en-US"/>
        </w:rPr>
        <w:pgNum/>
      </w:r>
    </w:p>
    <w:p w14:paraId="08ABE346" w14:textId="192DC747" w:rsidR="00504511" w:rsidRPr="001F7755" w:rsidRDefault="00504511" w:rsidP="00FE1F6A">
      <w:pPr>
        <w:pStyle w:val="ListParagraph"/>
        <w:numPr>
          <w:ilvl w:val="0"/>
          <w:numId w:val="35"/>
        </w:numPr>
        <w:jc w:val="both"/>
        <w:rPr>
          <w:b/>
          <w:bCs/>
          <w:u w:val="single"/>
          <w:lang w:val="en-US"/>
        </w:rPr>
      </w:pPr>
      <w:r w:rsidRPr="001F7755">
        <w:rPr>
          <w:rFonts w:eastAsiaTheme="minorHAnsi"/>
          <w:lang w:val="en-US" w:eastAsia="en-US"/>
        </w:rPr>
        <w:t xml:space="preserve">The marginalization of some community </w:t>
      </w:r>
      <w:r w:rsidR="00745B1D" w:rsidRPr="001F7755">
        <w:rPr>
          <w:rFonts w:eastAsiaTheme="minorHAnsi"/>
          <w:lang w:val="en-US" w:eastAsia="en-US"/>
        </w:rPr>
        <w:t>members</w:t>
      </w:r>
      <w:r w:rsidRPr="001F7755">
        <w:rPr>
          <w:rFonts w:eastAsiaTheme="minorHAnsi"/>
          <w:lang w:val="en-US" w:eastAsia="en-US"/>
        </w:rPr>
        <w:t xml:space="preserve"> in decision-</w:t>
      </w:r>
      <w:r w:rsidR="00745B1D" w:rsidRPr="001F7755">
        <w:rPr>
          <w:rFonts w:eastAsiaTheme="minorHAnsi"/>
          <w:lang w:val="en-US" w:eastAsia="en-US"/>
        </w:rPr>
        <w:t>m</w:t>
      </w:r>
      <w:r w:rsidRPr="001F7755">
        <w:rPr>
          <w:rFonts w:eastAsiaTheme="minorHAnsi"/>
          <w:lang w:val="en-US" w:eastAsia="en-US"/>
        </w:rPr>
        <w:t>aking processes</w:t>
      </w:r>
      <w:r w:rsidR="001C0C1E" w:rsidRPr="001F7755">
        <w:rPr>
          <w:rFonts w:eastAsiaTheme="minorHAnsi"/>
          <w:lang w:val="en-US" w:eastAsia="en-US"/>
        </w:rPr>
        <w:t xml:space="preserve">: </w:t>
      </w:r>
      <w:r w:rsidRPr="001F7755">
        <w:rPr>
          <w:rFonts w:eastAsiaTheme="minorHAnsi"/>
          <w:lang w:val="en-US" w:eastAsia="en-US"/>
        </w:rPr>
        <w:t xml:space="preserve"> This is still a </w:t>
      </w:r>
      <w:r w:rsidR="001C0C1E" w:rsidRPr="001F7755">
        <w:rPr>
          <w:rFonts w:eastAsiaTheme="minorHAnsi"/>
          <w:lang w:val="en-US" w:eastAsia="en-US"/>
        </w:rPr>
        <w:t>major</w:t>
      </w:r>
      <w:r w:rsidRPr="001F7755">
        <w:rPr>
          <w:rFonts w:eastAsiaTheme="minorHAnsi"/>
          <w:lang w:val="en-US" w:eastAsia="en-US"/>
        </w:rPr>
        <w:t xml:space="preserve"> concern as communities </w:t>
      </w:r>
      <w:r w:rsidR="001C0C1E" w:rsidRPr="001F7755">
        <w:rPr>
          <w:rFonts w:eastAsiaTheme="minorHAnsi"/>
          <w:lang w:val="en-US" w:eastAsia="en-US"/>
        </w:rPr>
        <w:t>do</w:t>
      </w:r>
      <w:r w:rsidRPr="001F7755">
        <w:rPr>
          <w:rFonts w:eastAsiaTheme="minorHAnsi"/>
          <w:lang w:val="en-US" w:eastAsia="en-US"/>
        </w:rPr>
        <w:t xml:space="preserve"> not </w:t>
      </w:r>
      <w:r w:rsidR="001C0C1E" w:rsidRPr="001F7755">
        <w:rPr>
          <w:rFonts w:eastAsiaTheme="minorHAnsi"/>
          <w:lang w:val="en-US" w:eastAsia="en-US"/>
        </w:rPr>
        <w:t xml:space="preserve">feel adequately </w:t>
      </w:r>
      <w:r w:rsidRPr="001F7755">
        <w:rPr>
          <w:rFonts w:eastAsiaTheme="minorHAnsi"/>
          <w:lang w:val="en-US" w:eastAsia="en-US"/>
        </w:rPr>
        <w:t xml:space="preserve">consulted by the company in issues </w:t>
      </w:r>
      <w:r w:rsidR="001C0C1E" w:rsidRPr="001F7755">
        <w:rPr>
          <w:rFonts w:eastAsiaTheme="minorHAnsi"/>
          <w:lang w:val="en-US" w:eastAsia="en-US"/>
        </w:rPr>
        <w:t>affecting them.</w:t>
      </w:r>
    </w:p>
    <w:p w14:paraId="782D93E2" w14:textId="77777777" w:rsidR="008C3A12" w:rsidRPr="001F7755" w:rsidRDefault="008C3A12" w:rsidP="00FE1F6A">
      <w:pPr>
        <w:ind w:left="-720"/>
        <w:jc w:val="both"/>
        <w:rPr>
          <w:lang w:val="en-US"/>
        </w:rPr>
      </w:pPr>
    </w:p>
    <w:p w14:paraId="7958FDA5" w14:textId="263F4E89" w:rsidR="00504511" w:rsidRPr="001F7755" w:rsidRDefault="00FE1F6A" w:rsidP="00FE1F6A">
      <w:pPr>
        <w:ind w:left="-720"/>
        <w:jc w:val="both"/>
        <w:rPr>
          <w:rFonts w:eastAsiaTheme="minorHAnsi"/>
          <w:bCs/>
          <w:lang w:val="en-US" w:eastAsia="en-US"/>
        </w:rPr>
      </w:pPr>
      <w:r w:rsidRPr="001F7755">
        <w:rPr>
          <w:lang w:val="en-US"/>
        </w:rPr>
        <w:t>As a follow-up action, the meeting elected a</w:t>
      </w:r>
      <w:r w:rsidR="00504511" w:rsidRPr="001F7755">
        <w:rPr>
          <w:rFonts w:eastAsiaTheme="minorHAnsi"/>
          <w:bCs/>
          <w:lang w:val="en-US" w:eastAsia="en-US"/>
        </w:rPr>
        <w:t xml:space="preserve"> five-</w:t>
      </w:r>
      <w:r w:rsidRPr="001F7755">
        <w:rPr>
          <w:rFonts w:eastAsiaTheme="minorHAnsi"/>
          <w:bCs/>
          <w:lang w:val="en-US" w:eastAsia="en-US"/>
        </w:rPr>
        <w:t>member</w:t>
      </w:r>
      <w:r w:rsidR="00504511" w:rsidRPr="001F7755">
        <w:rPr>
          <w:rFonts w:eastAsiaTheme="minorHAnsi"/>
          <w:bCs/>
          <w:lang w:val="en-US" w:eastAsia="en-US"/>
        </w:rPr>
        <w:t xml:space="preserve"> sub</w:t>
      </w:r>
      <w:r w:rsidRPr="001F7755">
        <w:rPr>
          <w:rFonts w:eastAsiaTheme="minorHAnsi"/>
          <w:bCs/>
          <w:lang w:val="en-US" w:eastAsia="en-US"/>
        </w:rPr>
        <w:t>-</w:t>
      </w:r>
      <w:r w:rsidR="00504511" w:rsidRPr="001F7755">
        <w:rPr>
          <w:rFonts w:eastAsiaTheme="minorHAnsi"/>
          <w:bCs/>
          <w:lang w:val="en-US" w:eastAsia="en-US"/>
        </w:rPr>
        <w:t xml:space="preserve">committee as a working group to facilitate a two </w:t>
      </w:r>
      <w:r w:rsidRPr="001F7755">
        <w:rPr>
          <w:rFonts w:eastAsiaTheme="minorHAnsi"/>
          <w:bCs/>
          <w:lang w:val="en-US" w:eastAsia="en-US"/>
        </w:rPr>
        <w:t>-d</w:t>
      </w:r>
      <w:r w:rsidR="00504511" w:rsidRPr="001F7755">
        <w:rPr>
          <w:rFonts w:eastAsiaTheme="minorHAnsi"/>
          <w:bCs/>
          <w:lang w:val="en-US" w:eastAsia="en-US"/>
        </w:rPr>
        <w:t>ay chiefdom stakeholders</w:t>
      </w:r>
      <w:r w:rsidR="003B22D9" w:rsidRPr="001F7755">
        <w:rPr>
          <w:rFonts w:eastAsiaTheme="minorHAnsi"/>
          <w:bCs/>
          <w:lang w:val="en-US" w:eastAsia="en-US"/>
        </w:rPr>
        <w:t>’</w:t>
      </w:r>
      <w:r w:rsidR="00504511" w:rsidRPr="001F7755">
        <w:rPr>
          <w:rFonts w:eastAsiaTheme="minorHAnsi"/>
          <w:bCs/>
          <w:lang w:val="en-US" w:eastAsia="en-US"/>
        </w:rPr>
        <w:t xml:space="preserve"> dialogue</w:t>
      </w:r>
      <w:r w:rsidR="009175E1" w:rsidRPr="001F7755">
        <w:rPr>
          <w:rFonts w:eastAsiaTheme="minorHAnsi"/>
          <w:bCs/>
          <w:lang w:val="en-US" w:eastAsia="en-US"/>
        </w:rPr>
        <w:t>.</w:t>
      </w:r>
    </w:p>
    <w:p w14:paraId="6607962E" w14:textId="77777777" w:rsidR="00504511" w:rsidRPr="001F7755" w:rsidRDefault="00504511" w:rsidP="00504511">
      <w:pPr>
        <w:spacing w:after="160" w:line="276" w:lineRule="auto"/>
        <w:ind w:left="720"/>
        <w:contextualSpacing/>
        <w:rPr>
          <w:rFonts w:eastAsiaTheme="minorHAnsi"/>
          <w:bCs/>
          <w:lang w:val="en-US" w:eastAsia="en-US"/>
        </w:rPr>
      </w:pPr>
    </w:p>
    <w:p w14:paraId="7AD8EE35" w14:textId="4B223D50" w:rsidR="00504511" w:rsidRPr="001F7755" w:rsidRDefault="009175E1" w:rsidP="003704D6">
      <w:pPr>
        <w:ind w:left="-720"/>
        <w:jc w:val="both"/>
        <w:rPr>
          <w:rFonts w:eastAsiaTheme="minorHAnsi"/>
          <w:lang w:val="en-US" w:eastAsia="en-US"/>
        </w:rPr>
      </w:pPr>
      <w:r w:rsidRPr="001F7755">
        <w:rPr>
          <w:lang w:val="en-US"/>
        </w:rPr>
        <w:t xml:space="preserve">In the Makpele </w:t>
      </w:r>
      <w:r w:rsidR="00504511" w:rsidRPr="001F7755">
        <w:rPr>
          <w:lang w:val="en-US"/>
        </w:rPr>
        <w:t>GRC meeting, key issues</w:t>
      </w:r>
      <w:r w:rsidRPr="001F7755">
        <w:rPr>
          <w:lang w:val="en-US"/>
        </w:rPr>
        <w:t xml:space="preserve"> discussed included </w:t>
      </w:r>
      <w:r w:rsidR="003704D6" w:rsidRPr="001F7755">
        <w:rPr>
          <w:lang w:val="en-US"/>
        </w:rPr>
        <w:t>pending</w:t>
      </w:r>
      <w:r w:rsidR="00504511" w:rsidRPr="001F7755">
        <w:rPr>
          <w:rFonts w:eastAsiaTheme="minorHAnsi"/>
          <w:lang w:val="en-US" w:eastAsia="en-US"/>
        </w:rPr>
        <w:t xml:space="preserve"> surface rents; </w:t>
      </w:r>
      <w:r w:rsidRPr="001F7755">
        <w:rPr>
          <w:rFonts w:eastAsiaTheme="minorHAnsi"/>
          <w:lang w:val="en-US" w:eastAsia="en-US"/>
        </w:rPr>
        <w:t xml:space="preserve">lack of </w:t>
      </w:r>
      <w:r w:rsidR="00504511" w:rsidRPr="001F7755">
        <w:rPr>
          <w:rFonts w:eastAsiaTheme="minorHAnsi"/>
          <w:lang w:val="en-US" w:eastAsia="en-US"/>
        </w:rPr>
        <w:t xml:space="preserve">accountability </w:t>
      </w:r>
      <w:r w:rsidR="00282946" w:rsidRPr="001F7755">
        <w:rPr>
          <w:rFonts w:eastAsiaTheme="minorHAnsi"/>
          <w:lang w:val="en-US" w:eastAsia="en-US"/>
        </w:rPr>
        <w:t>for</w:t>
      </w:r>
      <w:r w:rsidR="00504511" w:rsidRPr="001F7755">
        <w:rPr>
          <w:rFonts w:eastAsiaTheme="minorHAnsi"/>
          <w:lang w:val="en-US" w:eastAsia="en-US"/>
        </w:rPr>
        <w:t xml:space="preserve"> compensation funds by Chiefdom </w:t>
      </w:r>
      <w:r w:rsidR="003704D6" w:rsidRPr="001F7755">
        <w:rPr>
          <w:rFonts w:eastAsiaTheme="minorHAnsi"/>
          <w:lang w:val="en-US" w:eastAsia="en-US"/>
        </w:rPr>
        <w:t>a</w:t>
      </w:r>
      <w:r w:rsidR="00504511" w:rsidRPr="001F7755">
        <w:rPr>
          <w:rFonts w:eastAsiaTheme="minorHAnsi"/>
          <w:lang w:val="en-US" w:eastAsia="en-US"/>
        </w:rPr>
        <w:t>uthorities</w:t>
      </w:r>
      <w:r w:rsidR="003704D6" w:rsidRPr="001F7755">
        <w:rPr>
          <w:rFonts w:eastAsiaTheme="minorHAnsi"/>
          <w:lang w:val="en-US" w:eastAsia="en-US"/>
        </w:rPr>
        <w:t xml:space="preserve"> which caused concern among </w:t>
      </w:r>
      <w:r w:rsidR="003704D6" w:rsidRPr="001F7755">
        <w:rPr>
          <w:rFonts w:eastAsiaTheme="minorHAnsi"/>
          <w:lang w:val="en-US" w:eastAsia="en-US"/>
        </w:rPr>
        <w:lastRenderedPageBreak/>
        <w:t>women leaders and other community members</w:t>
      </w:r>
      <w:r w:rsidR="00504511" w:rsidRPr="001F7755">
        <w:rPr>
          <w:rFonts w:eastAsiaTheme="minorHAnsi"/>
          <w:lang w:val="en-US" w:eastAsia="en-US"/>
        </w:rPr>
        <w:t xml:space="preserve">; </w:t>
      </w:r>
      <w:r w:rsidR="003704D6" w:rsidRPr="001F7755">
        <w:rPr>
          <w:rFonts w:eastAsiaTheme="minorHAnsi"/>
          <w:lang w:val="en-US" w:eastAsia="en-US"/>
        </w:rPr>
        <w:t>and m</w:t>
      </w:r>
      <w:r w:rsidR="00504511" w:rsidRPr="001F7755">
        <w:rPr>
          <w:rFonts w:eastAsiaTheme="minorHAnsi"/>
          <w:lang w:val="en-US" w:eastAsia="en-US"/>
        </w:rPr>
        <w:t>arginalization of women in the decision</w:t>
      </w:r>
      <w:r w:rsidR="003704D6" w:rsidRPr="001F7755">
        <w:rPr>
          <w:rFonts w:eastAsiaTheme="minorHAnsi"/>
          <w:lang w:val="en-US" w:eastAsia="en-US"/>
        </w:rPr>
        <w:t>-</w:t>
      </w:r>
      <w:r w:rsidR="00504511" w:rsidRPr="001F7755">
        <w:rPr>
          <w:rFonts w:eastAsiaTheme="minorHAnsi"/>
          <w:lang w:val="en-US" w:eastAsia="en-US"/>
        </w:rPr>
        <w:t xml:space="preserve">making and chiefdom developmental projects; </w:t>
      </w:r>
      <w:r w:rsidR="003704D6" w:rsidRPr="001F7755">
        <w:rPr>
          <w:rFonts w:eastAsiaTheme="minorHAnsi"/>
          <w:lang w:val="en-US" w:eastAsia="en-US"/>
        </w:rPr>
        <w:t>c</w:t>
      </w:r>
      <w:r w:rsidR="00504511" w:rsidRPr="001F7755">
        <w:rPr>
          <w:rFonts w:eastAsiaTheme="minorHAnsi"/>
          <w:lang w:val="en-US" w:eastAsia="en-US"/>
        </w:rPr>
        <w:t xml:space="preserve">ommunication </w:t>
      </w:r>
      <w:r w:rsidR="003704D6" w:rsidRPr="001F7755">
        <w:rPr>
          <w:rFonts w:eastAsiaTheme="minorHAnsi"/>
          <w:lang w:val="en-US" w:eastAsia="en-US"/>
        </w:rPr>
        <w:t>g</w:t>
      </w:r>
      <w:r w:rsidR="00504511" w:rsidRPr="001F7755">
        <w:rPr>
          <w:rFonts w:eastAsiaTheme="minorHAnsi"/>
          <w:lang w:val="en-US" w:eastAsia="en-US"/>
        </w:rPr>
        <w:t xml:space="preserve">ap between chiefdom authorities and community </w:t>
      </w:r>
      <w:r w:rsidR="003704D6" w:rsidRPr="001F7755">
        <w:rPr>
          <w:rFonts w:eastAsiaTheme="minorHAnsi"/>
          <w:lang w:val="en-US" w:eastAsia="en-US"/>
        </w:rPr>
        <w:t>members.</w:t>
      </w:r>
      <w:r w:rsidR="00504511" w:rsidRPr="001F7755">
        <w:rPr>
          <w:rFonts w:eastAsiaTheme="minorHAnsi"/>
          <w:lang w:val="en-US" w:eastAsia="en-US"/>
        </w:rPr>
        <w:t xml:space="preserve"> The GRC</w:t>
      </w:r>
      <w:r w:rsidR="003704D6" w:rsidRPr="001F7755">
        <w:rPr>
          <w:rFonts w:eastAsiaTheme="minorHAnsi"/>
          <w:lang w:val="en-US" w:eastAsia="en-US"/>
        </w:rPr>
        <w:t xml:space="preserve"> agreed to a c</w:t>
      </w:r>
      <w:r w:rsidR="00504511" w:rsidRPr="001F7755">
        <w:rPr>
          <w:rFonts w:eastAsiaTheme="minorHAnsi"/>
          <w:lang w:val="en-US" w:eastAsia="en-US"/>
        </w:rPr>
        <w:t>hiefdom meeting with broad stakeholder</w:t>
      </w:r>
      <w:r w:rsidR="003704D6" w:rsidRPr="001F7755">
        <w:rPr>
          <w:rFonts w:eastAsiaTheme="minorHAnsi"/>
          <w:lang w:val="en-US" w:eastAsia="en-US"/>
        </w:rPr>
        <w:t xml:space="preserve"> participation</w:t>
      </w:r>
      <w:r w:rsidR="00504511" w:rsidRPr="001F7755">
        <w:rPr>
          <w:rFonts w:eastAsiaTheme="minorHAnsi"/>
          <w:lang w:val="en-US" w:eastAsia="en-US"/>
        </w:rPr>
        <w:t xml:space="preserve"> to discus</w:t>
      </w:r>
      <w:r w:rsidR="003704D6" w:rsidRPr="001F7755">
        <w:rPr>
          <w:rFonts w:eastAsiaTheme="minorHAnsi"/>
          <w:lang w:val="en-US" w:eastAsia="en-US"/>
        </w:rPr>
        <w:t xml:space="preserve">s urgent </w:t>
      </w:r>
      <w:r w:rsidR="00504511" w:rsidRPr="001F7755">
        <w:rPr>
          <w:rFonts w:eastAsiaTheme="minorHAnsi"/>
          <w:lang w:val="en-US" w:eastAsia="en-US"/>
        </w:rPr>
        <w:t xml:space="preserve">issues </w:t>
      </w:r>
      <w:r w:rsidR="003704D6" w:rsidRPr="001F7755">
        <w:rPr>
          <w:rFonts w:eastAsiaTheme="minorHAnsi"/>
          <w:lang w:val="en-US" w:eastAsia="en-US"/>
        </w:rPr>
        <w:t xml:space="preserve">concerning </w:t>
      </w:r>
      <w:r w:rsidR="00504511" w:rsidRPr="001F7755">
        <w:rPr>
          <w:rFonts w:eastAsiaTheme="minorHAnsi"/>
          <w:lang w:val="en-US" w:eastAsia="en-US"/>
        </w:rPr>
        <w:t xml:space="preserve">the company and </w:t>
      </w:r>
      <w:r w:rsidR="003704D6" w:rsidRPr="001F7755">
        <w:rPr>
          <w:rFonts w:eastAsiaTheme="minorHAnsi"/>
          <w:lang w:val="en-US" w:eastAsia="en-US"/>
        </w:rPr>
        <w:t xml:space="preserve">the </w:t>
      </w:r>
      <w:r w:rsidR="00504511" w:rsidRPr="001F7755">
        <w:rPr>
          <w:rFonts w:eastAsiaTheme="minorHAnsi"/>
          <w:lang w:val="en-US" w:eastAsia="en-US"/>
        </w:rPr>
        <w:t>community, their relations and payment of surface rents.</w:t>
      </w:r>
    </w:p>
    <w:p w14:paraId="3C605BA0" w14:textId="77777777" w:rsidR="00504511" w:rsidRPr="001F7755" w:rsidRDefault="00504511" w:rsidP="00504511">
      <w:pPr>
        <w:ind w:left="-720"/>
        <w:jc w:val="both"/>
        <w:rPr>
          <w:u w:val="single"/>
          <w:lang w:val="en-US"/>
        </w:rPr>
      </w:pPr>
    </w:p>
    <w:p w14:paraId="175B3D11" w14:textId="766D33AA" w:rsidR="00B3471B" w:rsidRPr="001F7755" w:rsidRDefault="00B3471B" w:rsidP="00504511">
      <w:pPr>
        <w:ind w:left="-720"/>
        <w:jc w:val="both"/>
        <w:rPr>
          <w:lang w:val="en-US"/>
        </w:rPr>
      </w:pPr>
      <w:r w:rsidRPr="001F7755">
        <w:rPr>
          <w:lang w:val="en-US"/>
        </w:rPr>
        <w:t xml:space="preserve">The project further supported </w:t>
      </w:r>
      <w:r w:rsidR="00DD100C" w:rsidRPr="001F7755">
        <w:rPr>
          <w:lang w:val="en-US"/>
        </w:rPr>
        <w:t xml:space="preserve">the finalization of the highly anticipated Mines and Minerals Development Act 2021, which has been tabled in Parliament. </w:t>
      </w:r>
      <w:r w:rsidR="00A97211">
        <w:rPr>
          <w:lang w:val="en-US"/>
        </w:rPr>
        <w:t>Sierra Leone Extractive Industry Transparency Initiative (</w:t>
      </w:r>
      <w:r w:rsidR="00DD100C" w:rsidRPr="001F7755">
        <w:rPr>
          <w:lang w:val="en-US"/>
        </w:rPr>
        <w:t>SLEITI</w:t>
      </w:r>
      <w:r w:rsidR="00A97211">
        <w:rPr>
          <w:lang w:val="en-US"/>
        </w:rPr>
        <w:t>)</w:t>
      </w:r>
      <w:r w:rsidR="00DD100C" w:rsidRPr="001F7755">
        <w:rPr>
          <w:lang w:val="en-US"/>
        </w:rPr>
        <w:t xml:space="preserve"> held one monthly meeting</w:t>
      </w:r>
      <w:r w:rsidR="00303F05" w:rsidRPr="001F7755">
        <w:rPr>
          <w:lang w:val="en-US"/>
        </w:rPr>
        <w:t>;</w:t>
      </w:r>
      <w:r w:rsidR="00DD100C" w:rsidRPr="001F7755">
        <w:rPr>
          <w:lang w:val="en-US"/>
        </w:rPr>
        <w:t xml:space="preserve"> the project remained proactive in highlighting emerging issues in the extractive industries.   </w:t>
      </w:r>
    </w:p>
    <w:p w14:paraId="6876632F" w14:textId="77777777" w:rsidR="00B3471B" w:rsidRPr="001F7755" w:rsidRDefault="00B3471B" w:rsidP="00504511">
      <w:pPr>
        <w:ind w:left="-720"/>
        <w:jc w:val="both"/>
        <w:rPr>
          <w:lang w:val="en-US"/>
        </w:rPr>
      </w:pPr>
    </w:p>
    <w:p w14:paraId="3D4B37AC" w14:textId="12DCAC30" w:rsidR="00161D02" w:rsidRPr="001F7755" w:rsidRDefault="00627A1C" w:rsidP="00627A1C">
      <w:pPr>
        <w:ind w:left="-720"/>
        <w:rPr>
          <w:i/>
          <w:lang w:val="en-US"/>
        </w:rPr>
      </w:pPr>
      <w:r w:rsidRPr="001F7755">
        <w:rPr>
          <w:b/>
          <w:bCs/>
          <w:color w:val="000000"/>
          <w:lang w:val="en-US" w:eastAsia="en-US"/>
        </w:rPr>
        <w:t>Indicate any additional analysis on how Gender Equality and Women’s Empowerment and/or Youth Inclusion and Responsiveness has been ensured under this Outcome</w:t>
      </w:r>
      <w:r w:rsidR="00161D02" w:rsidRPr="001F7755">
        <w:rPr>
          <w:b/>
          <w:lang w:val="en-US"/>
        </w:rPr>
        <w:t xml:space="preserve">: </w:t>
      </w:r>
      <w:r w:rsidR="00161D02" w:rsidRPr="001F7755">
        <w:rPr>
          <w:i/>
          <w:lang w:val="en-US"/>
        </w:rPr>
        <w:t>(</w:t>
      </w:r>
      <w:r w:rsidR="00954839" w:rsidRPr="001F7755">
        <w:rPr>
          <w:i/>
          <w:lang w:val="en-US"/>
        </w:rPr>
        <w:t>1000-character</w:t>
      </w:r>
      <w:r w:rsidR="00161D02" w:rsidRPr="001F7755">
        <w:rPr>
          <w:i/>
          <w:lang w:val="en-US"/>
        </w:rPr>
        <w:t xml:space="preserve"> limit)</w:t>
      </w:r>
    </w:p>
    <w:p w14:paraId="77D70A56" w14:textId="77777777" w:rsidR="00815ACF" w:rsidRPr="001F7755" w:rsidRDefault="00815ACF" w:rsidP="00504511">
      <w:pPr>
        <w:ind w:left="-720"/>
        <w:jc w:val="both"/>
        <w:rPr>
          <w:lang w:val="en-US"/>
        </w:rPr>
      </w:pPr>
    </w:p>
    <w:p w14:paraId="7552BA00" w14:textId="5D0DCA48" w:rsidR="00504511" w:rsidRPr="001F7755" w:rsidRDefault="00504511" w:rsidP="00504511">
      <w:pPr>
        <w:ind w:left="-720"/>
        <w:jc w:val="both"/>
        <w:rPr>
          <w:lang w:val="en-US"/>
        </w:rPr>
      </w:pPr>
      <w:r w:rsidRPr="001F7755">
        <w:rPr>
          <w:lang w:val="en-US"/>
        </w:rPr>
        <w:t xml:space="preserve">In addition to capacity building activities offered to </w:t>
      </w:r>
      <w:proofErr w:type="gramStart"/>
      <w:r w:rsidRPr="001F7755">
        <w:rPr>
          <w:lang w:val="en-US"/>
        </w:rPr>
        <w:t>women</w:t>
      </w:r>
      <w:r w:rsidR="00303F05" w:rsidRPr="001F7755">
        <w:rPr>
          <w:lang w:val="en-US"/>
        </w:rPr>
        <w:t xml:space="preserve">, </w:t>
      </w:r>
      <w:r w:rsidRPr="001F7755">
        <w:rPr>
          <w:lang w:val="en-US"/>
        </w:rPr>
        <w:t xml:space="preserve"> youth</w:t>
      </w:r>
      <w:r w:rsidR="00303F05" w:rsidRPr="001F7755">
        <w:rPr>
          <w:lang w:val="en-US"/>
        </w:rPr>
        <w:t>s</w:t>
      </w:r>
      <w:proofErr w:type="gramEnd"/>
      <w:r w:rsidRPr="001F7755">
        <w:rPr>
          <w:lang w:val="en-US"/>
        </w:rPr>
        <w:t xml:space="preserve"> and </w:t>
      </w:r>
      <w:r w:rsidR="00303F05" w:rsidRPr="001F7755">
        <w:rPr>
          <w:lang w:val="en-US"/>
        </w:rPr>
        <w:t>Civil Society Organizations (</w:t>
      </w:r>
      <w:r w:rsidRPr="001F7755">
        <w:rPr>
          <w:lang w:val="en-US"/>
        </w:rPr>
        <w:t>CSOs</w:t>
      </w:r>
      <w:r w:rsidR="00303F05" w:rsidRPr="001F7755">
        <w:rPr>
          <w:lang w:val="en-US"/>
        </w:rPr>
        <w:t>)</w:t>
      </w:r>
      <w:r w:rsidRPr="001F7755">
        <w:rPr>
          <w:lang w:val="en-US"/>
        </w:rPr>
        <w:t xml:space="preserve"> in the operational areas, </w:t>
      </w:r>
      <w:r w:rsidR="003906E3" w:rsidRPr="001F7755">
        <w:rPr>
          <w:lang w:val="en-US"/>
        </w:rPr>
        <w:t>the project</w:t>
      </w:r>
      <w:r w:rsidRPr="001F7755">
        <w:rPr>
          <w:lang w:val="en-US"/>
        </w:rPr>
        <w:t xml:space="preserve"> continues to ensure the active participation of women and youths in all facets of the project, community decision</w:t>
      </w:r>
      <w:r w:rsidR="003906E3" w:rsidRPr="001F7755">
        <w:rPr>
          <w:lang w:val="en-US"/>
        </w:rPr>
        <w:t>-</w:t>
      </w:r>
      <w:r w:rsidRPr="001F7755">
        <w:rPr>
          <w:lang w:val="en-US"/>
        </w:rPr>
        <w:t>making processes and community development.</w:t>
      </w:r>
    </w:p>
    <w:p w14:paraId="6556A7A4" w14:textId="77777777" w:rsidR="00323ABC" w:rsidRPr="001F7755" w:rsidRDefault="00323ABC" w:rsidP="007E4FA1">
      <w:pPr>
        <w:rPr>
          <w:b/>
          <w:lang w:val="en-US"/>
        </w:rPr>
      </w:pPr>
    </w:p>
    <w:p w14:paraId="486A2647" w14:textId="5206C35D" w:rsidR="00D3351A" w:rsidRPr="001F7755" w:rsidRDefault="00D3351A" w:rsidP="00D3351A">
      <w:pPr>
        <w:ind w:left="-720"/>
        <w:rPr>
          <w:b/>
          <w:i/>
          <w:iCs/>
          <w:color w:val="000000" w:themeColor="text1"/>
          <w:lang w:val="en-US"/>
        </w:rPr>
      </w:pPr>
      <w:r w:rsidRPr="001F7755">
        <w:rPr>
          <w:b/>
          <w:u w:val="single"/>
          <w:lang w:val="en-US"/>
        </w:rPr>
        <w:t>Outcome 2</w:t>
      </w:r>
      <w:r w:rsidR="00DB24A3" w:rsidRPr="001F7755">
        <w:rPr>
          <w:b/>
          <w:i/>
          <w:iCs/>
          <w:color w:val="000000" w:themeColor="text1"/>
          <w:u w:val="single"/>
          <w:lang w:val="en-US"/>
        </w:rPr>
        <w:t>:</w:t>
      </w:r>
      <w:r w:rsidR="00DB24A3" w:rsidRPr="001F7755">
        <w:rPr>
          <w:b/>
          <w:i/>
          <w:iCs/>
          <w:color w:val="000000" w:themeColor="text1"/>
          <w:lang w:val="en-US"/>
        </w:rPr>
        <w:t xml:space="preserve"> </w:t>
      </w:r>
      <w:r w:rsidR="00B305BD" w:rsidRPr="001F7755">
        <w:rPr>
          <w:b/>
          <w:i/>
          <w:iCs/>
          <w:color w:val="000000" w:themeColor="text1"/>
          <w:lang w:val="en-US"/>
        </w:rPr>
        <w:t>“</w:t>
      </w:r>
      <w:r w:rsidR="00DB24A3" w:rsidRPr="001F7755">
        <w:rPr>
          <w:b/>
          <w:i/>
          <w:iCs/>
          <w:color w:val="000000" w:themeColor="text1"/>
          <w:lang w:val="en-US"/>
        </w:rPr>
        <w:t>Community</w:t>
      </w:r>
      <w:r w:rsidR="003D7BFA" w:rsidRPr="001F7755">
        <w:rPr>
          <w:b/>
          <w:i/>
          <w:iCs/>
          <w:color w:val="000000" w:themeColor="text1"/>
          <w:lang w:val="en-US"/>
        </w:rPr>
        <w:t xml:space="preserve"> Resilience is strengthened through reducing social tensions by enhancing sustainable livelihoods and improving food security in Moyamba &amp; Pujehun</w:t>
      </w:r>
      <w:r w:rsidR="00556CF8" w:rsidRPr="001F7755">
        <w:rPr>
          <w:b/>
          <w:i/>
          <w:iCs/>
          <w:color w:val="000000" w:themeColor="text1"/>
          <w:lang w:val="en-US"/>
        </w:rPr>
        <w:t>”</w:t>
      </w:r>
      <w:r w:rsidRPr="001F7755">
        <w:rPr>
          <w:b/>
          <w:i/>
          <w:iCs/>
          <w:color w:val="000000" w:themeColor="text1"/>
          <w:lang w:val="en-US"/>
        </w:rPr>
        <w:fldChar w:fldCharType="begin">
          <w:ffData>
            <w:name w:val=""/>
            <w:enabled/>
            <w:calcOnExit w:val="0"/>
            <w:textInput/>
          </w:ffData>
        </w:fldChar>
      </w:r>
      <w:r w:rsidRPr="001F7755">
        <w:rPr>
          <w:b/>
          <w:i/>
          <w:iCs/>
          <w:color w:val="000000" w:themeColor="text1"/>
          <w:lang w:val="en-US"/>
        </w:rPr>
        <w:instrText xml:space="preserve"> FORMTEXT </w:instrText>
      </w:r>
      <w:r w:rsidRPr="001F7755">
        <w:rPr>
          <w:b/>
          <w:i/>
          <w:iCs/>
          <w:color w:val="000000" w:themeColor="text1"/>
          <w:lang w:val="en-US"/>
        </w:rPr>
      </w:r>
      <w:r w:rsidRPr="001F7755">
        <w:rPr>
          <w:b/>
          <w:i/>
          <w:iCs/>
          <w:color w:val="000000" w:themeColor="text1"/>
          <w:lang w:val="en-US"/>
        </w:rPr>
        <w:fldChar w:fldCharType="separate"/>
      </w:r>
      <w:r w:rsidRPr="001F7755">
        <w:rPr>
          <w:b/>
          <w:i/>
          <w:iCs/>
          <w:color w:val="000000" w:themeColor="text1"/>
          <w:lang w:val="en-US"/>
        </w:rPr>
        <w:t> </w:t>
      </w:r>
      <w:r w:rsidRPr="001F7755">
        <w:rPr>
          <w:b/>
          <w:i/>
          <w:iCs/>
          <w:color w:val="000000" w:themeColor="text1"/>
          <w:lang w:val="en-US"/>
        </w:rPr>
        <w:t> </w:t>
      </w:r>
      <w:r w:rsidRPr="001F7755">
        <w:rPr>
          <w:b/>
          <w:i/>
          <w:iCs/>
          <w:color w:val="000000" w:themeColor="text1"/>
          <w:lang w:val="en-US"/>
        </w:rPr>
        <w:t> </w:t>
      </w:r>
      <w:r w:rsidRPr="001F7755">
        <w:rPr>
          <w:b/>
          <w:i/>
          <w:iCs/>
          <w:color w:val="000000" w:themeColor="text1"/>
          <w:lang w:val="en-US"/>
        </w:rPr>
        <w:t> </w:t>
      </w:r>
      <w:r w:rsidRPr="001F7755">
        <w:rPr>
          <w:b/>
          <w:i/>
          <w:iCs/>
          <w:color w:val="000000" w:themeColor="text1"/>
          <w:lang w:val="en-US"/>
        </w:rPr>
        <w:t> </w:t>
      </w:r>
      <w:r w:rsidRPr="001F7755">
        <w:rPr>
          <w:b/>
          <w:i/>
          <w:iCs/>
          <w:color w:val="000000" w:themeColor="text1"/>
          <w:lang w:val="en-US"/>
        </w:rPr>
        <w:fldChar w:fldCharType="end"/>
      </w:r>
    </w:p>
    <w:p w14:paraId="2B4B5A9F" w14:textId="77777777" w:rsidR="00D3351A" w:rsidRPr="001F7755" w:rsidRDefault="00D3351A" w:rsidP="00D3351A">
      <w:pPr>
        <w:ind w:left="-720"/>
        <w:rPr>
          <w:b/>
          <w:lang w:val="en-US"/>
        </w:rPr>
      </w:pPr>
    </w:p>
    <w:p w14:paraId="04E03DAA" w14:textId="28F91710" w:rsidR="00B0370E" w:rsidRPr="001F7755" w:rsidRDefault="00B0370E" w:rsidP="00B0370E">
      <w:pPr>
        <w:ind w:left="-720"/>
        <w:rPr>
          <w:bCs/>
          <w:i/>
          <w:iCs/>
          <w:color w:val="000000" w:themeColor="text1"/>
          <w:lang w:val="en-US"/>
        </w:rPr>
      </w:pPr>
      <w:r w:rsidRPr="001F7755">
        <w:rPr>
          <w:b/>
          <w:lang w:val="en-US"/>
        </w:rPr>
        <w:t xml:space="preserve">Rate the current status of the outcome progress: </w:t>
      </w:r>
      <w:r w:rsidR="003D7BFA" w:rsidRPr="001F7755">
        <w:rPr>
          <w:b/>
          <w:lang w:val="en-US"/>
        </w:rPr>
        <w:t xml:space="preserve"> </w:t>
      </w:r>
      <w:r w:rsidR="003D7BFA" w:rsidRPr="001F7755">
        <w:rPr>
          <w:bCs/>
          <w:i/>
          <w:iCs/>
          <w:color w:val="000000" w:themeColor="text1"/>
          <w:lang w:val="en-US"/>
        </w:rPr>
        <w:t>On track with significant peacebuilding results</w:t>
      </w:r>
    </w:p>
    <w:p w14:paraId="29AA4334" w14:textId="77777777" w:rsidR="00B0370E" w:rsidRPr="001F7755" w:rsidRDefault="00B0370E" w:rsidP="00D3351A">
      <w:pPr>
        <w:ind w:left="-720"/>
        <w:rPr>
          <w:bCs/>
          <w:i/>
          <w:iCs/>
          <w:color w:val="C45911" w:themeColor="accent2" w:themeShade="BF"/>
          <w:lang w:val="en-US"/>
        </w:rPr>
      </w:pPr>
    </w:p>
    <w:p w14:paraId="03E0EE52" w14:textId="1ED19599" w:rsidR="00627A1C" w:rsidRPr="001F7755" w:rsidRDefault="00627A1C" w:rsidP="00627A1C">
      <w:pPr>
        <w:ind w:left="-720"/>
        <w:jc w:val="both"/>
        <w:rPr>
          <w:i/>
          <w:lang w:val="en-US"/>
        </w:rPr>
      </w:pPr>
      <w:r w:rsidRPr="001F7755">
        <w:rPr>
          <w:b/>
          <w:lang w:val="en-US"/>
        </w:rPr>
        <w:t xml:space="preserve">Progress summary: </w:t>
      </w:r>
      <w:r w:rsidRPr="001F7755">
        <w:rPr>
          <w:i/>
          <w:lang w:val="en-US"/>
        </w:rPr>
        <w:t>(3000 character limit)</w:t>
      </w:r>
    </w:p>
    <w:p w14:paraId="6964D071" w14:textId="0728A894" w:rsidR="00995EA7" w:rsidRPr="001F7755" w:rsidRDefault="007718B1" w:rsidP="00627A1C">
      <w:pPr>
        <w:ind w:left="-720"/>
        <w:jc w:val="both"/>
        <w:rPr>
          <w:iCs/>
          <w:lang w:val="en-US"/>
        </w:rPr>
      </w:pPr>
      <w:r w:rsidRPr="001F7755">
        <w:rPr>
          <w:iCs/>
          <w:lang w:val="en-US"/>
        </w:rPr>
        <w:t xml:space="preserve">Through facilitating the formation of 60 FBOs who work together to aggregate and process their agricultural produce, social cohesion in Moyamba and Pujehun has been enhanced through collective working. With women and youth holding leadership positions in their FBOs and serving as CYCs, these groups are now playing key decision making roles in their communities. Profitable engagement in agriculture has now created livelihood opportunities for young males, who prior to the project were potential perpetrators of social unrest in their communities. Reflecting this positive change are far less reported incidences of violence within the four targeted chiefdoms. </w:t>
      </w:r>
      <w:r w:rsidR="00995EA7" w:rsidRPr="001F7755">
        <w:rPr>
          <w:iCs/>
          <w:lang w:val="en-US"/>
        </w:rPr>
        <w:t xml:space="preserve">Food security in targeted communities improved, with the 31 </w:t>
      </w:r>
      <w:r w:rsidRPr="001F7755">
        <w:rPr>
          <w:iCs/>
          <w:lang w:val="en-US"/>
        </w:rPr>
        <w:t>FBOs</w:t>
      </w:r>
      <w:r w:rsidR="00995EA7" w:rsidRPr="001F7755">
        <w:rPr>
          <w:iCs/>
          <w:lang w:val="en-US"/>
        </w:rPr>
        <w:t xml:space="preserve"> supported in 2020 harvesting </w:t>
      </w:r>
      <w:r w:rsidR="007C6F38" w:rsidRPr="001F7755">
        <w:rPr>
          <w:iCs/>
          <w:lang w:val="en-US"/>
        </w:rPr>
        <w:t>approximately 100</w:t>
      </w:r>
      <w:r w:rsidR="00995EA7" w:rsidRPr="001F7755">
        <w:rPr>
          <w:iCs/>
          <w:lang w:val="en-US"/>
        </w:rPr>
        <w:t xml:space="preserve">MT of </w:t>
      </w:r>
      <w:r w:rsidR="0035186D" w:rsidRPr="001F7755">
        <w:rPr>
          <w:iCs/>
          <w:lang w:val="en-US"/>
        </w:rPr>
        <w:t xml:space="preserve">paddy </w:t>
      </w:r>
      <w:r w:rsidR="00995EA7" w:rsidRPr="001F7755">
        <w:rPr>
          <w:iCs/>
          <w:lang w:val="en-US"/>
        </w:rPr>
        <w:t>rice</w:t>
      </w:r>
      <w:r w:rsidR="0035186D" w:rsidRPr="001F7755">
        <w:rPr>
          <w:iCs/>
          <w:lang w:val="en-US"/>
        </w:rPr>
        <w:t xml:space="preserve"> (over 1,300 x 50 Kg bags of clean rice)</w:t>
      </w:r>
      <w:r w:rsidR="00995EA7" w:rsidRPr="001F7755">
        <w:rPr>
          <w:iCs/>
          <w:lang w:val="en-US"/>
        </w:rPr>
        <w:t>, in addition to cultivating nutritious vegetables. Livelihoods were enhanced through training youth and women farmers in improved agricultural practices, in addition to strengthening value chain</w:t>
      </w:r>
      <w:r w:rsidRPr="001F7755">
        <w:rPr>
          <w:iCs/>
          <w:lang w:val="en-US"/>
        </w:rPr>
        <w:t>s</w:t>
      </w:r>
      <w:r w:rsidR="00995EA7" w:rsidRPr="001F7755">
        <w:rPr>
          <w:iCs/>
          <w:lang w:val="en-US"/>
        </w:rPr>
        <w:t xml:space="preserve"> through provision of agricultural machinery. </w:t>
      </w:r>
      <w:r w:rsidRPr="001F7755">
        <w:rPr>
          <w:iCs/>
          <w:lang w:val="en-US"/>
        </w:rPr>
        <w:t>By supporting women and youth to develop irrigation systems, community resilience to climate shocks has increased. Prior to the project, farmers in targeted communities exclusively farmed in rainfed uplands independently from one another, making their livelihoods and food security vulnerable to the effects of erratic rainfall, climate change and other shocks.</w:t>
      </w:r>
    </w:p>
    <w:p w14:paraId="423668A9" w14:textId="77777777" w:rsidR="00995EA7" w:rsidRPr="001F7755" w:rsidRDefault="00995EA7" w:rsidP="00627A1C">
      <w:pPr>
        <w:ind w:left="-720"/>
        <w:jc w:val="both"/>
        <w:rPr>
          <w:i/>
          <w:lang w:val="en-US"/>
        </w:rPr>
      </w:pPr>
    </w:p>
    <w:p w14:paraId="48D68E4A" w14:textId="5E94F397" w:rsidR="00DE14A8" w:rsidRPr="001F7755" w:rsidRDefault="00B305BD" w:rsidP="00DE14A8">
      <w:pPr>
        <w:ind w:left="-720"/>
        <w:rPr>
          <w:bCs/>
          <w:lang w:val="en-US"/>
        </w:rPr>
      </w:pPr>
      <w:r w:rsidRPr="001F7755">
        <w:rPr>
          <w:bCs/>
          <w:lang w:val="en-US"/>
        </w:rPr>
        <w:t>During the period, WFP received catalytic funding to scale-up livelihood support under the PBF project, targeting an additional 30 communities with IVS development and empowering eight Mother Support Groups to establish poultry rearing enterprises. With complementary funding, WFP is also providing market</w:t>
      </w:r>
      <w:r w:rsidR="00C10D61" w:rsidRPr="001F7755">
        <w:rPr>
          <w:bCs/>
          <w:lang w:val="en-US"/>
        </w:rPr>
        <w:t xml:space="preserve"> access</w:t>
      </w:r>
      <w:r w:rsidRPr="001F7755">
        <w:rPr>
          <w:bCs/>
          <w:lang w:val="en-US"/>
        </w:rPr>
        <w:t xml:space="preserve"> </w:t>
      </w:r>
      <w:r w:rsidR="00C10D61" w:rsidRPr="001F7755">
        <w:rPr>
          <w:bCs/>
          <w:lang w:val="en-US"/>
        </w:rPr>
        <w:t>to the</w:t>
      </w:r>
      <w:r w:rsidRPr="001F7755">
        <w:rPr>
          <w:bCs/>
          <w:lang w:val="en-US"/>
        </w:rPr>
        <w:t xml:space="preserve"> 31 communities initially supported in </w:t>
      </w:r>
      <w:r w:rsidRPr="001F7755">
        <w:rPr>
          <w:bCs/>
          <w:lang w:val="en-US"/>
        </w:rPr>
        <w:lastRenderedPageBreak/>
        <w:t>2020</w:t>
      </w:r>
      <w:r w:rsidR="00C10D61" w:rsidRPr="001F7755">
        <w:rPr>
          <w:bCs/>
          <w:lang w:val="en-US"/>
        </w:rPr>
        <w:t>, enabling them</w:t>
      </w:r>
      <w:r w:rsidRPr="001F7755">
        <w:rPr>
          <w:bCs/>
          <w:lang w:val="en-US"/>
        </w:rPr>
        <w:t xml:space="preserve"> to sell the</w:t>
      </w:r>
      <w:r w:rsidR="00C10D61" w:rsidRPr="001F7755">
        <w:rPr>
          <w:bCs/>
          <w:lang w:val="en-US"/>
        </w:rPr>
        <w:t>ir</w:t>
      </w:r>
      <w:r w:rsidRPr="001F7755">
        <w:rPr>
          <w:bCs/>
          <w:lang w:val="en-US"/>
        </w:rPr>
        <w:t xml:space="preserve"> surplus rice </w:t>
      </w:r>
      <w:r w:rsidR="00C10D61" w:rsidRPr="001F7755">
        <w:rPr>
          <w:bCs/>
          <w:lang w:val="en-US"/>
        </w:rPr>
        <w:t>which in turn will b</w:t>
      </w:r>
      <w:r w:rsidRPr="001F7755">
        <w:rPr>
          <w:bCs/>
          <w:lang w:val="en-US"/>
        </w:rPr>
        <w:t>e distributed under the National School Feeding Prog</w:t>
      </w:r>
      <w:r w:rsidR="00DE14A8" w:rsidRPr="001F7755">
        <w:rPr>
          <w:bCs/>
          <w:lang w:val="en-US"/>
        </w:rPr>
        <w:t xml:space="preserve">ramme. </w:t>
      </w:r>
    </w:p>
    <w:p w14:paraId="1351CB5D" w14:textId="77777777" w:rsidR="00995EA7" w:rsidRPr="001F7755" w:rsidRDefault="00995EA7" w:rsidP="00036744">
      <w:pPr>
        <w:ind w:left="-720"/>
        <w:jc w:val="both"/>
        <w:rPr>
          <w:bCs/>
          <w:lang w:val="en-US"/>
        </w:rPr>
      </w:pPr>
    </w:p>
    <w:p w14:paraId="587B9B6E" w14:textId="43F36AA7" w:rsidR="00C10D61" w:rsidRPr="001F7755" w:rsidRDefault="00DE14A8" w:rsidP="00036744">
      <w:pPr>
        <w:ind w:left="-720"/>
        <w:jc w:val="both"/>
        <w:rPr>
          <w:bCs/>
          <w:lang w:val="en-US"/>
        </w:rPr>
      </w:pPr>
      <w:r w:rsidRPr="001F7755">
        <w:rPr>
          <w:bCs/>
          <w:lang w:val="en-US"/>
        </w:rPr>
        <w:t xml:space="preserve">In February 2021, WFP, MAF and community stakeholders identified 29 </w:t>
      </w:r>
      <w:r w:rsidR="00C10D61" w:rsidRPr="001F7755">
        <w:rPr>
          <w:bCs/>
          <w:lang w:val="en-US"/>
        </w:rPr>
        <w:t xml:space="preserve">additional </w:t>
      </w:r>
      <w:r w:rsidRPr="001F7755">
        <w:rPr>
          <w:bCs/>
          <w:lang w:val="en-US"/>
        </w:rPr>
        <w:t xml:space="preserve">communities </w:t>
      </w:r>
      <w:r w:rsidR="00C10D61" w:rsidRPr="001F7755">
        <w:rPr>
          <w:bCs/>
          <w:lang w:val="en-US"/>
        </w:rPr>
        <w:t>whose livelihoods had been</w:t>
      </w:r>
      <w:r w:rsidRPr="001F7755">
        <w:rPr>
          <w:bCs/>
          <w:lang w:val="en-US"/>
        </w:rPr>
        <w:t xml:space="preserve"> negatively affected by private-sector activities to develop </w:t>
      </w:r>
      <w:r w:rsidR="00C10D61" w:rsidRPr="001F7755">
        <w:rPr>
          <w:bCs/>
          <w:lang w:val="en-US"/>
        </w:rPr>
        <w:t xml:space="preserve">abandoned </w:t>
      </w:r>
      <w:r w:rsidRPr="001F7755">
        <w:rPr>
          <w:bCs/>
          <w:lang w:val="en-US"/>
        </w:rPr>
        <w:t xml:space="preserve">IVS. Given potential for tension in Malen chiefdom, the highest proportion of communities were selected in this area, followed by Upper Banta chiefdom. High risk youth and women participants were identified through a community-driven approach and registered using a digital platform. Farmer groups were supplied with agricultural working tools. </w:t>
      </w:r>
    </w:p>
    <w:p w14:paraId="6C4F6786" w14:textId="77777777" w:rsidR="00995EA7" w:rsidRPr="001F7755" w:rsidRDefault="00995EA7" w:rsidP="00036744">
      <w:pPr>
        <w:ind w:left="-720"/>
        <w:jc w:val="both"/>
        <w:rPr>
          <w:bCs/>
          <w:lang w:val="en-US"/>
        </w:rPr>
      </w:pPr>
    </w:p>
    <w:p w14:paraId="67237DC1" w14:textId="7110AB7A" w:rsidR="00627A1C" w:rsidRPr="001F7755" w:rsidRDefault="00C10D61" w:rsidP="00EC3892">
      <w:pPr>
        <w:ind w:left="-720"/>
        <w:jc w:val="both"/>
        <w:rPr>
          <w:bCs/>
          <w:lang w:val="en-US"/>
        </w:rPr>
      </w:pPr>
      <w:r w:rsidRPr="001F7755">
        <w:rPr>
          <w:bCs/>
          <w:lang w:val="en-US"/>
        </w:rPr>
        <w:t>To identify high potential youth with the ability to train their peers and galvanize collective agricultural work, the targeted 29 communities were asked to nominate a prospective CYC. The nominees were appraised by a WFP and MAF panel, with 22 (19 males; 3 females) CYCs selected. CYCs in turn received 5-days training in irrigation system development at the MAF Kenema Lam</w:t>
      </w:r>
      <w:r w:rsidR="006B26B6" w:rsidRPr="001F7755">
        <w:rPr>
          <w:bCs/>
          <w:lang w:val="en-US"/>
        </w:rPr>
        <w:t>ba</w:t>
      </w:r>
      <w:r w:rsidRPr="001F7755">
        <w:rPr>
          <w:bCs/>
          <w:lang w:val="en-US"/>
        </w:rPr>
        <w:t xml:space="preserve">yama Training Centre and were awarded certificates. To incentivize the adoption of improved agronomic practices for rice, WFP and MAF agreed during an inception workshop that the third and final payment to farmer participants should be paid </w:t>
      </w:r>
      <w:r w:rsidRPr="001F7755">
        <w:rPr>
          <w:bCs/>
          <w:i/>
          <w:iCs/>
          <w:lang w:val="en-US"/>
        </w:rPr>
        <w:t>after</w:t>
      </w:r>
      <w:r w:rsidRPr="001F7755">
        <w:rPr>
          <w:bCs/>
          <w:lang w:val="en-US"/>
        </w:rPr>
        <w:t xml:space="preserve"> planting</w:t>
      </w:r>
      <w:r w:rsidR="00EC3892" w:rsidRPr="001F7755">
        <w:rPr>
          <w:bCs/>
          <w:lang w:val="en-US"/>
        </w:rPr>
        <w:t xml:space="preserve"> of rice is completed</w:t>
      </w:r>
      <w:r w:rsidRPr="001F7755">
        <w:rPr>
          <w:bCs/>
          <w:lang w:val="en-US"/>
        </w:rPr>
        <w:t xml:space="preserve"> rather than upon completion of irrigation structures. The progress of development was closely monitored by WFP and MAF through joint monthly assessments. In May 2021, WFP in collaboration with the local NGO Pure Heart Foundation completed the first disbursement of cash to 1,868 young male and women participants.</w:t>
      </w:r>
    </w:p>
    <w:p w14:paraId="614E95B1" w14:textId="77777777" w:rsidR="00995EA7" w:rsidRPr="001F7755" w:rsidRDefault="00995EA7" w:rsidP="00EC3892">
      <w:pPr>
        <w:ind w:left="-720"/>
        <w:jc w:val="both"/>
        <w:rPr>
          <w:bCs/>
          <w:lang w:val="en-US"/>
        </w:rPr>
      </w:pPr>
    </w:p>
    <w:p w14:paraId="0E770E5D" w14:textId="323962ED" w:rsidR="00995EA7" w:rsidRPr="001F7755" w:rsidRDefault="00995EA7" w:rsidP="00EC3892">
      <w:pPr>
        <w:ind w:left="-720"/>
        <w:jc w:val="both"/>
        <w:rPr>
          <w:bCs/>
          <w:lang w:val="en-US"/>
        </w:rPr>
      </w:pPr>
      <w:r w:rsidRPr="001F7755">
        <w:rPr>
          <w:bCs/>
          <w:lang w:val="en-US"/>
        </w:rPr>
        <w:t xml:space="preserve">Concurrently to IVS development, WFP and MAF also supported 1,857 farmers to rehabilitation irrigation systems developed in 2020. Due to the COVID-19 outbreak, which curtailed the ability of WFP and MAF to monitor and provide technical oversight to work, in addition to restrictions on group farming work, many irrigation structures required improvement and strengthening for long-term sustainability. </w:t>
      </w:r>
    </w:p>
    <w:p w14:paraId="579C3745" w14:textId="77777777" w:rsidR="00627A1C" w:rsidRPr="001F7755" w:rsidRDefault="00627A1C" w:rsidP="00627A1C">
      <w:pPr>
        <w:ind w:left="-720"/>
        <w:rPr>
          <w:b/>
          <w:lang w:val="en-US"/>
        </w:rPr>
      </w:pPr>
    </w:p>
    <w:p w14:paraId="1F0129F6" w14:textId="71DD158F" w:rsidR="00627A1C" w:rsidRPr="001F7755" w:rsidRDefault="00627A1C" w:rsidP="00627A1C">
      <w:pPr>
        <w:ind w:left="-720"/>
        <w:rPr>
          <w:i/>
          <w:lang w:val="en-US"/>
        </w:rPr>
      </w:pPr>
      <w:r w:rsidRPr="001F7755">
        <w:rPr>
          <w:b/>
          <w:bCs/>
          <w:color w:val="000000"/>
          <w:lang w:val="en-US" w:eastAsia="en-US"/>
        </w:rPr>
        <w:t>Indicate any additional analysis on how Gender Equality and Women’s Empowerment and/or Youth Inclusion and Responsiveness has been ensured under this Outcome</w:t>
      </w:r>
      <w:r w:rsidRPr="001F7755">
        <w:rPr>
          <w:b/>
          <w:lang w:val="en-US"/>
        </w:rPr>
        <w:t xml:space="preserve">: </w:t>
      </w:r>
      <w:r w:rsidRPr="001F7755">
        <w:rPr>
          <w:i/>
          <w:lang w:val="en-US"/>
        </w:rPr>
        <w:t>(</w:t>
      </w:r>
      <w:r w:rsidR="00954839" w:rsidRPr="001F7755">
        <w:rPr>
          <w:i/>
          <w:lang w:val="en-US"/>
        </w:rPr>
        <w:t>1000-character</w:t>
      </w:r>
      <w:r w:rsidRPr="001F7755">
        <w:rPr>
          <w:i/>
          <w:lang w:val="en-US"/>
        </w:rPr>
        <w:t xml:space="preserve"> limit)</w:t>
      </w:r>
    </w:p>
    <w:p w14:paraId="5B1C32A4" w14:textId="77777777" w:rsidR="00954839" w:rsidRPr="001F7755" w:rsidRDefault="00954839" w:rsidP="00EC3892">
      <w:pPr>
        <w:ind w:left="-720"/>
        <w:jc w:val="both"/>
        <w:rPr>
          <w:color w:val="000000"/>
          <w:lang w:val="en-US" w:eastAsia="en-US"/>
        </w:rPr>
      </w:pPr>
    </w:p>
    <w:p w14:paraId="7C56784D" w14:textId="49910290" w:rsidR="006B26B6" w:rsidRPr="001F7755" w:rsidRDefault="006B26B6" w:rsidP="00EC3892">
      <w:pPr>
        <w:ind w:left="-720"/>
        <w:jc w:val="both"/>
        <w:rPr>
          <w:color w:val="000000"/>
          <w:lang w:val="en-US" w:eastAsia="en-US"/>
        </w:rPr>
      </w:pPr>
      <w:r w:rsidRPr="001F7755">
        <w:rPr>
          <w:color w:val="000000"/>
          <w:lang w:val="en-US" w:eastAsia="en-US"/>
        </w:rPr>
        <w:t xml:space="preserve">With livelihood participants entirely comprised of women and youth, outcome 2 has championed the key role that these groups have to play in agriculture and community development. </w:t>
      </w:r>
    </w:p>
    <w:p w14:paraId="3BB1EA6F" w14:textId="77777777" w:rsidR="006B26B6" w:rsidRPr="001F7755" w:rsidRDefault="006B26B6" w:rsidP="00EC3892">
      <w:pPr>
        <w:jc w:val="both"/>
        <w:rPr>
          <w:color w:val="000000"/>
          <w:lang w:val="en-US" w:eastAsia="en-US"/>
        </w:rPr>
      </w:pPr>
    </w:p>
    <w:p w14:paraId="30D25C47" w14:textId="010E741E" w:rsidR="006B26B6" w:rsidRPr="001F7755" w:rsidRDefault="006B26B6" w:rsidP="00EC3892">
      <w:pPr>
        <w:ind w:left="-720"/>
        <w:jc w:val="both"/>
        <w:rPr>
          <w:color w:val="000000"/>
          <w:lang w:val="en-US" w:eastAsia="en-US"/>
        </w:rPr>
      </w:pPr>
      <w:r w:rsidRPr="001F7755">
        <w:rPr>
          <w:color w:val="000000"/>
          <w:lang w:val="en-US" w:eastAsia="en-US"/>
        </w:rPr>
        <w:t xml:space="preserve">IVS development activities are extremely labor intensive, entailing felling of trees, removal of thick vegetation and construction of structures. Without the inclusion of youth and women, development of these productive assets could not have been possible. </w:t>
      </w:r>
      <w:r w:rsidR="00EC3892" w:rsidRPr="001F7755">
        <w:rPr>
          <w:color w:val="000000"/>
          <w:lang w:val="en-US" w:eastAsia="en-US"/>
        </w:rPr>
        <w:t>Encouraging</w:t>
      </w:r>
      <w:r w:rsidRPr="001F7755">
        <w:rPr>
          <w:color w:val="000000"/>
          <w:lang w:val="en-US" w:eastAsia="en-US"/>
        </w:rPr>
        <w:t xml:space="preserve"> harvests derived from supported IVS has given women and youth recognition in their communities.</w:t>
      </w:r>
    </w:p>
    <w:p w14:paraId="0C4A8586" w14:textId="337B74A6" w:rsidR="006B26B6" w:rsidRPr="001F7755" w:rsidRDefault="006B26B6" w:rsidP="00EC3892">
      <w:pPr>
        <w:ind w:left="-720"/>
        <w:jc w:val="both"/>
        <w:rPr>
          <w:lang w:val="en-US"/>
        </w:rPr>
      </w:pPr>
    </w:p>
    <w:p w14:paraId="2236D35B" w14:textId="58DE830D" w:rsidR="006B26B6" w:rsidRPr="001F7755" w:rsidRDefault="006B26B6" w:rsidP="00EC3892">
      <w:pPr>
        <w:ind w:left="-720"/>
        <w:jc w:val="both"/>
        <w:rPr>
          <w:lang w:val="en-US"/>
        </w:rPr>
      </w:pPr>
      <w:r w:rsidRPr="001F7755">
        <w:rPr>
          <w:lang w:val="en-US"/>
        </w:rPr>
        <w:t xml:space="preserve">With catalytic funding, WFP is now supporting eight Mother Support Groups (MSGs) in targeted communities to establish poultry enterprises to produce eggs. This activity not only economically empowers women, it also contributes to improving maternal and childhood nutrition through increased consumption of nutritious eggs. </w:t>
      </w:r>
      <w:r w:rsidR="004D7FB7" w:rsidRPr="001F7755">
        <w:rPr>
          <w:lang w:val="en-US"/>
        </w:rPr>
        <w:t xml:space="preserve">Supporting and training women to cultivate vegetables has also provided an important income stream. </w:t>
      </w:r>
    </w:p>
    <w:p w14:paraId="4F9AFD1F" w14:textId="3E5DC9EB" w:rsidR="006719A0" w:rsidRPr="001F7755" w:rsidRDefault="006719A0" w:rsidP="00404C5C">
      <w:pPr>
        <w:ind w:left="-720"/>
        <w:rPr>
          <w:b/>
          <w:lang w:val="en-US"/>
        </w:rPr>
      </w:pPr>
    </w:p>
    <w:p w14:paraId="15F831DD" w14:textId="77777777" w:rsidR="00D3351A" w:rsidRPr="001F7755" w:rsidRDefault="00D3351A" w:rsidP="00D3351A">
      <w:pPr>
        <w:ind w:left="-720"/>
        <w:rPr>
          <w:b/>
          <w:lang w:val="en-US"/>
        </w:rPr>
      </w:pPr>
      <w:r w:rsidRPr="001F7755">
        <w:rPr>
          <w:b/>
          <w:u w:val="single"/>
          <w:lang w:val="en-US"/>
        </w:rPr>
        <w:t>Outcome 3:</w:t>
      </w:r>
      <w:r w:rsidRPr="001F7755">
        <w:rPr>
          <w:b/>
          <w:lang w:val="en-US"/>
        </w:rPr>
        <w:t xml:space="preserve">  </w:t>
      </w:r>
      <w:r w:rsidRPr="001F7755">
        <w:rPr>
          <w:b/>
          <w:lang w:val="en-US"/>
        </w:rPr>
        <w:fldChar w:fldCharType="begin">
          <w:ffData>
            <w:name w:val="Text33"/>
            <w:enabled/>
            <w:calcOnExit w:val="0"/>
            <w:textInput/>
          </w:ffData>
        </w:fldChar>
      </w:r>
      <w:r w:rsidRPr="001F7755">
        <w:rPr>
          <w:b/>
          <w:lang w:val="en-US"/>
        </w:rPr>
        <w:instrText xml:space="preserve"> FORMTEXT </w:instrText>
      </w:r>
      <w:r w:rsidRPr="001F7755">
        <w:rPr>
          <w:b/>
          <w:lang w:val="en-US"/>
        </w:rPr>
      </w:r>
      <w:r w:rsidRPr="001F7755">
        <w:rPr>
          <w:b/>
          <w:lang w:val="en-US"/>
        </w:rPr>
        <w:fldChar w:fldCharType="separate"/>
      </w:r>
      <w:r w:rsidRPr="001F7755">
        <w:rPr>
          <w:b/>
          <w:lang w:val="en-US"/>
        </w:rPr>
        <w:t> </w:t>
      </w:r>
      <w:r w:rsidRPr="001F7755">
        <w:rPr>
          <w:b/>
          <w:lang w:val="en-US"/>
        </w:rPr>
        <w:t> </w:t>
      </w:r>
      <w:r w:rsidRPr="001F7755">
        <w:rPr>
          <w:b/>
          <w:lang w:val="en-US"/>
        </w:rPr>
        <w:t> </w:t>
      </w:r>
      <w:r w:rsidRPr="001F7755">
        <w:rPr>
          <w:b/>
          <w:lang w:val="en-US"/>
        </w:rPr>
        <w:t> </w:t>
      </w:r>
      <w:r w:rsidRPr="001F7755">
        <w:rPr>
          <w:b/>
          <w:lang w:val="en-US"/>
        </w:rPr>
        <w:t> </w:t>
      </w:r>
      <w:r w:rsidRPr="001F7755">
        <w:rPr>
          <w:b/>
          <w:lang w:val="en-US"/>
        </w:rPr>
        <w:fldChar w:fldCharType="end"/>
      </w:r>
    </w:p>
    <w:p w14:paraId="6D9D9F82" w14:textId="77777777" w:rsidR="00D3351A" w:rsidRPr="001F7755" w:rsidRDefault="00D3351A" w:rsidP="00D3351A">
      <w:pPr>
        <w:ind w:left="-720"/>
        <w:rPr>
          <w:b/>
          <w:lang w:val="en-US"/>
        </w:rPr>
      </w:pPr>
    </w:p>
    <w:p w14:paraId="52FD2F38" w14:textId="77777777" w:rsidR="00764773" w:rsidRPr="001F7755" w:rsidRDefault="00764773" w:rsidP="00764773">
      <w:pPr>
        <w:ind w:left="-720"/>
        <w:rPr>
          <w:b/>
          <w:lang w:val="en-US"/>
        </w:rPr>
      </w:pPr>
      <w:r w:rsidRPr="001F7755">
        <w:rPr>
          <w:b/>
          <w:lang w:val="en-US"/>
        </w:rPr>
        <w:t xml:space="preserve">Rate the current status of the outcome progress: </w:t>
      </w:r>
      <w:r w:rsidR="004D141E" w:rsidRPr="001F7755">
        <w:rPr>
          <w:b/>
          <w:lang w:val="en-US"/>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1F7755">
        <w:rPr>
          <w:b/>
          <w:lang w:val="en-US"/>
        </w:rPr>
        <w:instrText xml:space="preserve"> FORMDROPDOWN </w:instrText>
      </w:r>
      <w:r w:rsidR="00BB4E3C">
        <w:rPr>
          <w:b/>
          <w:lang w:val="en-US"/>
        </w:rPr>
      </w:r>
      <w:r w:rsidR="00BB4E3C">
        <w:rPr>
          <w:b/>
          <w:lang w:val="en-US"/>
        </w:rPr>
        <w:fldChar w:fldCharType="separate"/>
      </w:r>
      <w:r w:rsidR="004D141E" w:rsidRPr="001F7755">
        <w:rPr>
          <w:b/>
          <w:lang w:val="en-US"/>
        </w:rPr>
        <w:fldChar w:fldCharType="end"/>
      </w:r>
    </w:p>
    <w:p w14:paraId="56094DE3" w14:textId="77777777" w:rsidR="00764773" w:rsidRPr="001F7755" w:rsidRDefault="00764773" w:rsidP="00764773">
      <w:pPr>
        <w:ind w:left="-720"/>
        <w:jc w:val="both"/>
        <w:rPr>
          <w:b/>
          <w:lang w:val="en-US"/>
        </w:rPr>
      </w:pPr>
    </w:p>
    <w:p w14:paraId="3DFDCF70" w14:textId="77777777" w:rsidR="00627A1C" w:rsidRPr="001F7755" w:rsidRDefault="00627A1C" w:rsidP="00627A1C">
      <w:pPr>
        <w:ind w:left="-720"/>
        <w:jc w:val="both"/>
        <w:rPr>
          <w:i/>
          <w:lang w:val="en-US"/>
        </w:rPr>
      </w:pPr>
      <w:r w:rsidRPr="001F7755">
        <w:rPr>
          <w:b/>
          <w:lang w:val="en-US"/>
        </w:rPr>
        <w:t xml:space="preserve">Progress summary: </w:t>
      </w:r>
      <w:r w:rsidRPr="001F7755">
        <w:rPr>
          <w:i/>
          <w:lang w:val="en-US"/>
        </w:rPr>
        <w:t>(3000 character limit)</w:t>
      </w:r>
    </w:p>
    <w:p w14:paraId="4D0BCA96" w14:textId="77777777" w:rsidR="00627A1C" w:rsidRPr="001F7755" w:rsidRDefault="00627A1C" w:rsidP="00627A1C">
      <w:pPr>
        <w:ind w:left="-720"/>
        <w:rPr>
          <w:b/>
          <w:lang w:val="en-US"/>
        </w:rPr>
      </w:pPr>
      <w:r w:rsidRPr="001F7755">
        <w:rPr>
          <w:b/>
          <w:lang w:val="en-US"/>
        </w:rPr>
        <w:fldChar w:fldCharType="begin">
          <w:ffData>
            <w:name w:val="Text38"/>
            <w:enabled/>
            <w:calcOnExit w:val="0"/>
            <w:textInput>
              <w:maxLength w:val="3000"/>
              <w:format w:val="FIRST CAPITAL"/>
            </w:textInput>
          </w:ffData>
        </w:fldChar>
      </w:r>
      <w:r w:rsidRPr="001F7755">
        <w:rPr>
          <w:b/>
          <w:lang w:val="en-US"/>
        </w:rPr>
        <w:instrText xml:space="preserve"> FORMTEXT </w:instrText>
      </w:r>
      <w:r w:rsidRPr="001F7755">
        <w:rPr>
          <w:b/>
          <w:lang w:val="en-US"/>
        </w:rPr>
      </w:r>
      <w:r w:rsidRPr="001F7755">
        <w:rPr>
          <w:b/>
          <w:lang w:val="en-US"/>
        </w:rPr>
        <w:fldChar w:fldCharType="separate"/>
      </w:r>
      <w:r w:rsidRPr="001F7755">
        <w:rPr>
          <w:b/>
          <w:noProof/>
          <w:lang w:val="en-US"/>
        </w:rPr>
        <w:t> </w:t>
      </w:r>
      <w:r w:rsidRPr="001F7755">
        <w:rPr>
          <w:b/>
          <w:noProof/>
          <w:lang w:val="en-US"/>
        </w:rPr>
        <w:t> </w:t>
      </w:r>
      <w:r w:rsidRPr="001F7755">
        <w:rPr>
          <w:b/>
          <w:noProof/>
          <w:lang w:val="en-US"/>
        </w:rPr>
        <w:t> </w:t>
      </w:r>
      <w:r w:rsidRPr="001F7755">
        <w:rPr>
          <w:b/>
          <w:noProof/>
          <w:lang w:val="en-US"/>
        </w:rPr>
        <w:t> </w:t>
      </w:r>
      <w:r w:rsidRPr="001F7755">
        <w:rPr>
          <w:b/>
          <w:noProof/>
          <w:lang w:val="en-US"/>
        </w:rPr>
        <w:t> </w:t>
      </w:r>
      <w:r w:rsidRPr="001F7755">
        <w:rPr>
          <w:b/>
          <w:lang w:val="en-US"/>
        </w:rPr>
        <w:fldChar w:fldCharType="end"/>
      </w:r>
    </w:p>
    <w:p w14:paraId="5867C098" w14:textId="77777777" w:rsidR="00627A1C" w:rsidRPr="001F7755" w:rsidRDefault="00627A1C" w:rsidP="00627A1C">
      <w:pPr>
        <w:ind w:left="-720"/>
        <w:rPr>
          <w:b/>
          <w:lang w:val="en-US"/>
        </w:rPr>
      </w:pPr>
    </w:p>
    <w:p w14:paraId="1F547AD6" w14:textId="77777777" w:rsidR="00627A1C" w:rsidRPr="001F7755" w:rsidRDefault="00627A1C" w:rsidP="00627A1C">
      <w:pPr>
        <w:ind w:left="-720"/>
        <w:rPr>
          <w:b/>
          <w:lang w:val="en-US"/>
        </w:rPr>
      </w:pPr>
      <w:r w:rsidRPr="001F7755">
        <w:rPr>
          <w:b/>
          <w:bCs/>
          <w:color w:val="000000"/>
          <w:lang w:val="en-US" w:eastAsia="en-US"/>
        </w:rPr>
        <w:t>Indicate any additional analysis on how Gender Equality and Women’s Empowerment and/or Youth Inclusion and Responsiveness has been ensured under this Outcome</w:t>
      </w:r>
      <w:r w:rsidRPr="001F7755">
        <w:rPr>
          <w:b/>
          <w:lang w:val="en-US"/>
        </w:rPr>
        <w:t xml:space="preserve">: </w:t>
      </w:r>
      <w:r w:rsidRPr="001F7755">
        <w:rPr>
          <w:i/>
          <w:lang w:val="en-US"/>
        </w:rPr>
        <w:t>(1000 character limit)</w:t>
      </w:r>
    </w:p>
    <w:p w14:paraId="06F921A3" w14:textId="77777777" w:rsidR="00627A1C" w:rsidRPr="001F7755" w:rsidRDefault="00627A1C" w:rsidP="00627A1C">
      <w:pPr>
        <w:ind w:left="-720"/>
        <w:rPr>
          <w:b/>
          <w:lang w:val="en-US"/>
        </w:rPr>
      </w:pPr>
      <w:r w:rsidRPr="001F7755">
        <w:rPr>
          <w:b/>
          <w:lang w:val="en-US"/>
        </w:rPr>
        <w:fldChar w:fldCharType="begin">
          <w:ffData>
            <w:name w:val=""/>
            <w:enabled/>
            <w:calcOnExit w:val="0"/>
            <w:textInput>
              <w:maxLength w:val="1000"/>
              <w:format w:val="FIRST CAPITAL"/>
            </w:textInput>
          </w:ffData>
        </w:fldChar>
      </w:r>
      <w:r w:rsidRPr="001F7755">
        <w:rPr>
          <w:b/>
          <w:lang w:val="en-US"/>
        </w:rPr>
        <w:instrText xml:space="preserve"> FORMTEXT </w:instrText>
      </w:r>
      <w:r w:rsidRPr="001F7755">
        <w:rPr>
          <w:b/>
          <w:lang w:val="en-US"/>
        </w:rPr>
      </w:r>
      <w:r w:rsidRPr="001F7755">
        <w:rPr>
          <w:b/>
          <w:lang w:val="en-US"/>
        </w:rPr>
        <w:fldChar w:fldCharType="separate"/>
      </w:r>
      <w:r w:rsidRPr="001F7755">
        <w:rPr>
          <w:b/>
          <w:noProof/>
          <w:lang w:val="en-US"/>
        </w:rPr>
        <w:t> </w:t>
      </w:r>
      <w:r w:rsidRPr="001F7755">
        <w:rPr>
          <w:b/>
          <w:noProof/>
          <w:lang w:val="en-US"/>
        </w:rPr>
        <w:t> </w:t>
      </w:r>
      <w:r w:rsidRPr="001F7755">
        <w:rPr>
          <w:b/>
          <w:noProof/>
          <w:lang w:val="en-US"/>
        </w:rPr>
        <w:t> </w:t>
      </w:r>
      <w:r w:rsidRPr="001F7755">
        <w:rPr>
          <w:b/>
          <w:noProof/>
          <w:lang w:val="en-US"/>
        </w:rPr>
        <w:t> </w:t>
      </w:r>
      <w:r w:rsidRPr="001F7755">
        <w:rPr>
          <w:b/>
          <w:noProof/>
          <w:lang w:val="en-US"/>
        </w:rPr>
        <w:t> </w:t>
      </w:r>
      <w:r w:rsidRPr="001F7755">
        <w:rPr>
          <w:b/>
          <w:lang w:val="en-US"/>
        </w:rPr>
        <w:fldChar w:fldCharType="end"/>
      </w:r>
    </w:p>
    <w:p w14:paraId="1E8C1F0B" w14:textId="77777777" w:rsidR="00764773" w:rsidRPr="001F7755" w:rsidRDefault="00764773" w:rsidP="00D3351A">
      <w:pPr>
        <w:ind w:left="-720"/>
        <w:rPr>
          <w:b/>
          <w:lang w:val="en-US"/>
        </w:rPr>
      </w:pPr>
    </w:p>
    <w:p w14:paraId="008F9EA6" w14:textId="77777777" w:rsidR="00D3351A" w:rsidRPr="001F7755" w:rsidRDefault="00D3351A" w:rsidP="00D3351A">
      <w:pPr>
        <w:ind w:left="-720"/>
        <w:rPr>
          <w:b/>
          <w:lang w:val="en-US"/>
        </w:rPr>
      </w:pPr>
      <w:r w:rsidRPr="001F7755">
        <w:rPr>
          <w:b/>
          <w:u w:val="single"/>
          <w:lang w:val="en-US"/>
        </w:rPr>
        <w:t>Outcome 4:</w:t>
      </w:r>
      <w:r w:rsidRPr="001F7755">
        <w:rPr>
          <w:b/>
          <w:lang w:val="en-US"/>
        </w:rPr>
        <w:t xml:space="preserve">  </w:t>
      </w:r>
      <w:r w:rsidRPr="001F7755">
        <w:rPr>
          <w:b/>
          <w:lang w:val="en-US"/>
        </w:rPr>
        <w:fldChar w:fldCharType="begin">
          <w:ffData>
            <w:name w:val="Text33"/>
            <w:enabled/>
            <w:calcOnExit w:val="0"/>
            <w:textInput/>
          </w:ffData>
        </w:fldChar>
      </w:r>
      <w:r w:rsidRPr="001F7755">
        <w:rPr>
          <w:b/>
          <w:lang w:val="en-US"/>
        </w:rPr>
        <w:instrText xml:space="preserve"> FORMTEXT </w:instrText>
      </w:r>
      <w:r w:rsidRPr="001F7755">
        <w:rPr>
          <w:b/>
          <w:lang w:val="en-US"/>
        </w:rPr>
      </w:r>
      <w:r w:rsidRPr="001F7755">
        <w:rPr>
          <w:b/>
          <w:lang w:val="en-US"/>
        </w:rPr>
        <w:fldChar w:fldCharType="separate"/>
      </w:r>
      <w:r w:rsidRPr="001F7755">
        <w:rPr>
          <w:b/>
          <w:lang w:val="en-US"/>
        </w:rPr>
        <w:t> </w:t>
      </w:r>
      <w:r w:rsidRPr="001F7755">
        <w:rPr>
          <w:b/>
          <w:lang w:val="en-US"/>
        </w:rPr>
        <w:t> </w:t>
      </w:r>
      <w:r w:rsidRPr="001F7755">
        <w:rPr>
          <w:b/>
          <w:lang w:val="en-US"/>
        </w:rPr>
        <w:t> </w:t>
      </w:r>
      <w:r w:rsidRPr="001F7755">
        <w:rPr>
          <w:b/>
          <w:lang w:val="en-US"/>
        </w:rPr>
        <w:t> </w:t>
      </w:r>
      <w:r w:rsidRPr="001F7755">
        <w:rPr>
          <w:b/>
          <w:lang w:val="en-US"/>
        </w:rPr>
        <w:t> </w:t>
      </w:r>
      <w:r w:rsidRPr="001F7755">
        <w:rPr>
          <w:b/>
          <w:lang w:val="en-US"/>
        </w:rPr>
        <w:fldChar w:fldCharType="end"/>
      </w:r>
    </w:p>
    <w:p w14:paraId="20C5FBE1" w14:textId="77777777" w:rsidR="00D3351A" w:rsidRPr="001F7755" w:rsidRDefault="00D3351A" w:rsidP="00D3351A">
      <w:pPr>
        <w:ind w:left="-720"/>
        <w:rPr>
          <w:b/>
          <w:lang w:val="en-US"/>
        </w:rPr>
      </w:pPr>
    </w:p>
    <w:p w14:paraId="665CBBB5" w14:textId="660714E4" w:rsidR="00764773" w:rsidRPr="001F7755" w:rsidRDefault="00764773" w:rsidP="00764773">
      <w:pPr>
        <w:ind w:left="-720"/>
        <w:rPr>
          <w:b/>
          <w:lang w:val="en-US"/>
        </w:rPr>
      </w:pPr>
      <w:r w:rsidRPr="001F7755">
        <w:rPr>
          <w:b/>
          <w:lang w:val="en-US"/>
        </w:rPr>
        <w:t xml:space="preserve">Rate the </w:t>
      </w:r>
      <w:r w:rsidR="0089379E" w:rsidRPr="001F7755">
        <w:rPr>
          <w:b/>
          <w:lang w:val="en-US"/>
        </w:rPr>
        <w:t>status</w:t>
      </w:r>
      <w:r w:rsidRPr="001F7755">
        <w:rPr>
          <w:b/>
          <w:lang w:val="en-US"/>
        </w:rPr>
        <w:t xml:space="preserve"> of the outcome progress: </w:t>
      </w:r>
      <w:r w:rsidR="004D141E" w:rsidRPr="001F7755">
        <w:rPr>
          <w:b/>
          <w:lang w:val="en-US"/>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1F7755">
        <w:rPr>
          <w:b/>
          <w:lang w:val="en-US"/>
        </w:rPr>
        <w:instrText xml:space="preserve"> FORMDROPDOWN </w:instrText>
      </w:r>
      <w:r w:rsidR="00BB4E3C">
        <w:rPr>
          <w:b/>
          <w:lang w:val="en-US"/>
        </w:rPr>
      </w:r>
      <w:r w:rsidR="00BB4E3C">
        <w:rPr>
          <w:b/>
          <w:lang w:val="en-US"/>
        </w:rPr>
        <w:fldChar w:fldCharType="separate"/>
      </w:r>
      <w:r w:rsidR="004D141E" w:rsidRPr="001F7755">
        <w:rPr>
          <w:b/>
          <w:lang w:val="en-US"/>
        </w:rPr>
        <w:fldChar w:fldCharType="end"/>
      </w:r>
    </w:p>
    <w:p w14:paraId="0E99F359" w14:textId="77777777" w:rsidR="00764773" w:rsidRPr="001F7755" w:rsidRDefault="00764773" w:rsidP="00764773">
      <w:pPr>
        <w:ind w:left="-720"/>
        <w:jc w:val="both"/>
        <w:rPr>
          <w:b/>
          <w:lang w:val="en-US"/>
        </w:rPr>
      </w:pPr>
    </w:p>
    <w:p w14:paraId="43195E5F" w14:textId="77777777" w:rsidR="00627A1C" w:rsidRPr="001F7755" w:rsidRDefault="00627A1C" w:rsidP="00627A1C">
      <w:pPr>
        <w:ind w:left="-720"/>
        <w:jc w:val="both"/>
        <w:rPr>
          <w:i/>
          <w:lang w:val="en-US"/>
        </w:rPr>
      </w:pPr>
      <w:r w:rsidRPr="001F7755">
        <w:rPr>
          <w:b/>
          <w:lang w:val="en-US"/>
        </w:rPr>
        <w:t xml:space="preserve">Progress summary: </w:t>
      </w:r>
      <w:r w:rsidRPr="001F7755">
        <w:rPr>
          <w:i/>
          <w:lang w:val="en-US"/>
        </w:rPr>
        <w:t>(3000 character limit)</w:t>
      </w:r>
    </w:p>
    <w:p w14:paraId="3F462F77" w14:textId="77777777" w:rsidR="00627A1C" w:rsidRPr="001F7755" w:rsidRDefault="00627A1C" w:rsidP="00627A1C">
      <w:pPr>
        <w:ind w:left="-720"/>
        <w:rPr>
          <w:b/>
          <w:lang w:val="en-US"/>
        </w:rPr>
      </w:pPr>
      <w:r w:rsidRPr="001F7755">
        <w:rPr>
          <w:b/>
          <w:lang w:val="en-US"/>
        </w:rPr>
        <w:fldChar w:fldCharType="begin">
          <w:ffData>
            <w:name w:val="Text38"/>
            <w:enabled/>
            <w:calcOnExit w:val="0"/>
            <w:textInput>
              <w:maxLength w:val="3000"/>
              <w:format w:val="FIRST CAPITAL"/>
            </w:textInput>
          </w:ffData>
        </w:fldChar>
      </w:r>
      <w:r w:rsidRPr="001F7755">
        <w:rPr>
          <w:b/>
          <w:lang w:val="en-US"/>
        </w:rPr>
        <w:instrText xml:space="preserve"> FORMTEXT </w:instrText>
      </w:r>
      <w:r w:rsidRPr="001F7755">
        <w:rPr>
          <w:b/>
          <w:lang w:val="en-US"/>
        </w:rPr>
      </w:r>
      <w:r w:rsidRPr="001F7755">
        <w:rPr>
          <w:b/>
          <w:lang w:val="en-US"/>
        </w:rPr>
        <w:fldChar w:fldCharType="separate"/>
      </w:r>
      <w:r w:rsidRPr="001F7755">
        <w:rPr>
          <w:b/>
          <w:noProof/>
          <w:lang w:val="en-US"/>
        </w:rPr>
        <w:t> </w:t>
      </w:r>
      <w:r w:rsidRPr="001F7755">
        <w:rPr>
          <w:b/>
          <w:noProof/>
          <w:lang w:val="en-US"/>
        </w:rPr>
        <w:t> </w:t>
      </w:r>
      <w:r w:rsidRPr="001F7755">
        <w:rPr>
          <w:b/>
          <w:noProof/>
          <w:lang w:val="en-US"/>
        </w:rPr>
        <w:t> </w:t>
      </w:r>
      <w:r w:rsidRPr="001F7755">
        <w:rPr>
          <w:b/>
          <w:noProof/>
          <w:lang w:val="en-US"/>
        </w:rPr>
        <w:t> </w:t>
      </w:r>
      <w:r w:rsidRPr="001F7755">
        <w:rPr>
          <w:b/>
          <w:noProof/>
          <w:lang w:val="en-US"/>
        </w:rPr>
        <w:t> </w:t>
      </w:r>
      <w:r w:rsidRPr="001F7755">
        <w:rPr>
          <w:b/>
          <w:lang w:val="en-US"/>
        </w:rPr>
        <w:fldChar w:fldCharType="end"/>
      </w:r>
    </w:p>
    <w:p w14:paraId="0297B09E" w14:textId="77777777" w:rsidR="00627A1C" w:rsidRPr="001F7755" w:rsidRDefault="00627A1C" w:rsidP="00627A1C">
      <w:pPr>
        <w:ind w:left="-720"/>
        <w:rPr>
          <w:b/>
          <w:lang w:val="en-US"/>
        </w:rPr>
      </w:pPr>
    </w:p>
    <w:p w14:paraId="105F3C59" w14:textId="77777777" w:rsidR="00627A1C" w:rsidRPr="001F7755" w:rsidRDefault="00627A1C" w:rsidP="00627A1C">
      <w:pPr>
        <w:ind w:left="-720"/>
        <w:rPr>
          <w:b/>
          <w:lang w:val="en-US"/>
        </w:rPr>
      </w:pPr>
      <w:r w:rsidRPr="001F7755">
        <w:rPr>
          <w:b/>
          <w:bCs/>
          <w:color w:val="000000"/>
          <w:lang w:val="en-US" w:eastAsia="en-US"/>
        </w:rPr>
        <w:t>Indicate any additional analysis on how Gender Equality and Women’s Empowerment and/or Youth Inclusion and Responsiveness has been ensured under this Outcome</w:t>
      </w:r>
      <w:r w:rsidRPr="001F7755">
        <w:rPr>
          <w:b/>
          <w:lang w:val="en-US"/>
        </w:rPr>
        <w:t xml:space="preserve">: </w:t>
      </w:r>
      <w:r w:rsidRPr="001F7755">
        <w:rPr>
          <w:i/>
          <w:lang w:val="en-US"/>
        </w:rPr>
        <w:t>(1000 character limit)</w:t>
      </w:r>
    </w:p>
    <w:p w14:paraId="309AD67C" w14:textId="77777777" w:rsidR="00627A1C" w:rsidRPr="001F7755" w:rsidRDefault="00627A1C" w:rsidP="00627A1C">
      <w:pPr>
        <w:ind w:left="-720"/>
        <w:rPr>
          <w:b/>
          <w:lang w:val="en-US"/>
        </w:rPr>
      </w:pPr>
      <w:r w:rsidRPr="001F7755">
        <w:rPr>
          <w:b/>
          <w:lang w:val="en-US"/>
        </w:rPr>
        <w:fldChar w:fldCharType="begin">
          <w:ffData>
            <w:name w:val=""/>
            <w:enabled/>
            <w:calcOnExit w:val="0"/>
            <w:textInput>
              <w:maxLength w:val="1000"/>
              <w:format w:val="FIRST CAPITAL"/>
            </w:textInput>
          </w:ffData>
        </w:fldChar>
      </w:r>
      <w:r w:rsidRPr="001F7755">
        <w:rPr>
          <w:b/>
          <w:lang w:val="en-US"/>
        </w:rPr>
        <w:instrText xml:space="preserve"> FORMTEXT </w:instrText>
      </w:r>
      <w:r w:rsidRPr="001F7755">
        <w:rPr>
          <w:b/>
          <w:lang w:val="en-US"/>
        </w:rPr>
      </w:r>
      <w:r w:rsidRPr="001F7755">
        <w:rPr>
          <w:b/>
          <w:lang w:val="en-US"/>
        </w:rPr>
        <w:fldChar w:fldCharType="separate"/>
      </w:r>
      <w:r w:rsidRPr="001F7755">
        <w:rPr>
          <w:b/>
          <w:noProof/>
          <w:lang w:val="en-US"/>
        </w:rPr>
        <w:t> </w:t>
      </w:r>
      <w:r w:rsidRPr="001F7755">
        <w:rPr>
          <w:b/>
          <w:noProof/>
          <w:lang w:val="en-US"/>
        </w:rPr>
        <w:t> </w:t>
      </w:r>
      <w:r w:rsidRPr="001F7755">
        <w:rPr>
          <w:b/>
          <w:noProof/>
          <w:lang w:val="en-US"/>
        </w:rPr>
        <w:t> </w:t>
      </w:r>
      <w:r w:rsidRPr="001F7755">
        <w:rPr>
          <w:b/>
          <w:noProof/>
          <w:lang w:val="en-US"/>
        </w:rPr>
        <w:t> </w:t>
      </w:r>
      <w:r w:rsidRPr="001F7755">
        <w:rPr>
          <w:b/>
          <w:noProof/>
          <w:lang w:val="en-US"/>
        </w:rPr>
        <w:t> </w:t>
      </w:r>
      <w:r w:rsidRPr="001F7755">
        <w:rPr>
          <w:b/>
          <w:lang w:val="en-US"/>
        </w:rPr>
        <w:fldChar w:fldCharType="end"/>
      </w:r>
    </w:p>
    <w:p w14:paraId="3F232DB6" w14:textId="77777777" w:rsidR="00F5504F" w:rsidRPr="001F7755" w:rsidRDefault="00F5504F" w:rsidP="0078600B">
      <w:pPr>
        <w:rPr>
          <w:b/>
          <w:lang w:val="en-US"/>
        </w:rPr>
      </w:pPr>
    </w:p>
    <w:p w14:paraId="439D70B7" w14:textId="77777777" w:rsidR="00206D45" w:rsidRPr="001F7755" w:rsidRDefault="00206D45" w:rsidP="00206D45">
      <w:pPr>
        <w:rPr>
          <w:b/>
          <w:lang w:val="en-US"/>
        </w:rPr>
      </w:pPr>
    </w:p>
    <w:p w14:paraId="09F9EEE8" w14:textId="77777777" w:rsidR="00997347" w:rsidRPr="001F7755" w:rsidRDefault="00206D45" w:rsidP="00206D45">
      <w:pPr>
        <w:ind w:hanging="810"/>
        <w:jc w:val="both"/>
        <w:rPr>
          <w:b/>
          <w:u w:val="single"/>
          <w:lang w:val="en-US"/>
        </w:rPr>
      </w:pPr>
      <w:r w:rsidRPr="001F7755">
        <w:rPr>
          <w:b/>
          <w:u w:val="single"/>
          <w:lang w:val="en-US"/>
        </w:rPr>
        <w:t xml:space="preserve">PART III: CROSS-CUTTING ISSUES </w:t>
      </w:r>
    </w:p>
    <w:p w14:paraId="544EE643" w14:textId="77777777" w:rsidR="00997347" w:rsidRPr="001F7755" w:rsidRDefault="00997347" w:rsidP="00997347">
      <w:pPr>
        <w:rPr>
          <w:lang w:val="en-US"/>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1F7755" w14:paraId="76D87A8D" w14:textId="77777777" w:rsidTr="007F7257">
        <w:tc>
          <w:tcPr>
            <w:tcW w:w="4230" w:type="dxa"/>
            <w:shd w:val="clear" w:color="auto" w:fill="auto"/>
          </w:tcPr>
          <w:p w14:paraId="71E48A14" w14:textId="31CEB9AE" w:rsidR="007118F5" w:rsidRPr="001F7755" w:rsidRDefault="003D4CD7" w:rsidP="00234A5E">
            <w:pPr>
              <w:rPr>
                <w:lang w:val="en-US"/>
              </w:rPr>
            </w:pPr>
            <w:r w:rsidRPr="001F7755">
              <w:rPr>
                <w:b/>
                <w:bCs/>
                <w:u w:val="single"/>
                <w:lang w:val="en-US"/>
              </w:rPr>
              <w:t>M</w:t>
            </w:r>
            <w:r w:rsidR="006C1819" w:rsidRPr="001F7755">
              <w:rPr>
                <w:b/>
                <w:bCs/>
                <w:u w:val="single"/>
                <w:lang w:val="en-US"/>
              </w:rPr>
              <w:t>onitoring</w:t>
            </w:r>
            <w:r w:rsidR="00513612" w:rsidRPr="001F7755">
              <w:rPr>
                <w:b/>
                <w:bCs/>
                <w:lang w:val="en-US"/>
              </w:rPr>
              <w:t xml:space="preserve">: </w:t>
            </w:r>
            <w:r w:rsidR="007118F5" w:rsidRPr="001F7755">
              <w:rPr>
                <w:lang w:val="en-US"/>
              </w:rPr>
              <w:t>Please list monitoring activities undertaken in the reporting period (</w:t>
            </w:r>
            <w:r w:rsidR="00F836CE" w:rsidRPr="001F7755">
              <w:rPr>
                <w:lang w:val="en-US"/>
              </w:rPr>
              <w:t>1000-character</w:t>
            </w:r>
            <w:r w:rsidR="007118F5" w:rsidRPr="001F7755">
              <w:rPr>
                <w:lang w:val="en-US"/>
              </w:rPr>
              <w:t xml:space="preserve"> limit)</w:t>
            </w:r>
          </w:p>
          <w:p w14:paraId="485DECA2" w14:textId="53AE5659" w:rsidR="00E83DA3" w:rsidRPr="001F7755" w:rsidRDefault="00F836CE" w:rsidP="00E83DA3">
            <w:pPr>
              <w:jc w:val="both"/>
              <w:rPr>
                <w:lang w:val="en-US"/>
              </w:rPr>
            </w:pPr>
            <w:r w:rsidRPr="001F7755">
              <w:rPr>
                <w:lang w:val="en-US"/>
              </w:rPr>
              <w:t>Im</w:t>
            </w:r>
            <w:r w:rsidR="00E83DA3" w:rsidRPr="001F7755">
              <w:rPr>
                <w:lang w:val="en-US"/>
              </w:rPr>
              <w:t xml:space="preserve">plementation of project activities has continued to be closely monitored by </w:t>
            </w:r>
            <w:r w:rsidRPr="001F7755">
              <w:rPr>
                <w:lang w:val="en-US"/>
              </w:rPr>
              <w:t>various a</w:t>
            </w:r>
            <w:r w:rsidR="00E83DA3" w:rsidRPr="001F7755">
              <w:rPr>
                <w:lang w:val="en-US"/>
              </w:rPr>
              <w:t xml:space="preserve">gencies, including WFP, UNDP, OVP and the Office of the President. During the reporting period, </w:t>
            </w:r>
            <w:r w:rsidRPr="001F7755">
              <w:rPr>
                <w:lang w:val="en-US"/>
              </w:rPr>
              <w:t xml:space="preserve">a </w:t>
            </w:r>
            <w:r w:rsidR="00E83DA3" w:rsidRPr="001F7755">
              <w:rPr>
                <w:lang w:val="en-US"/>
              </w:rPr>
              <w:t>high</w:t>
            </w:r>
            <w:r w:rsidRPr="001F7755">
              <w:rPr>
                <w:lang w:val="en-US"/>
              </w:rPr>
              <w:t>-level</w:t>
            </w:r>
            <w:r w:rsidR="00E83DA3" w:rsidRPr="001F7755">
              <w:rPr>
                <w:lang w:val="en-US"/>
              </w:rPr>
              <w:t xml:space="preserve"> </w:t>
            </w:r>
            <w:r w:rsidRPr="001F7755">
              <w:rPr>
                <w:lang w:val="en-US"/>
              </w:rPr>
              <w:t>d</w:t>
            </w:r>
            <w:r w:rsidR="00E83DA3" w:rsidRPr="001F7755">
              <w:rPr>
                <w:lang w:val="en-US"/>
              </w:rPr>
              <w:t xml:space="preserve">elegation of </w:t>
            </w:r>
            <w:r w:rsidRPr="001F7755">
              <w:rPr>
                <w:lang w:val="en-US"/>
              </w:rPr>
              <w:t>senior g</w:t>
            </w:r>
            <w:r w:rsidR="00E83DA3" w:rsidRPr="001F7755">
              <w:rPr>
                <w:lang w:val="en-US"/>
              </w:rPr>
              <w:t xml:space="preserve">overnment </w:t>
            </w:r>
            <w:r w:rsidRPr="001F7755">
              <w:rPr>
                <w:lang w:val="en-US"/>
              </w:rPr>
              <w:t>o</w:t>
            </w:r>
            <w:r w:rsidR="00E83DA3" w:rsidRPr="001F7755">
              <w:rPr>
                <w:lang w:val="en-US"/>
              </w:rPr>
              <w:t xml:space="preserve">fficials visited the project locations in Pujehun and Moyamba </w:t>
            </w:r>
            <w:r w:rsidR="00234D58" w:rsidRPr="001F7755">
              <w:rPr>
                <w:lang w:val="en-US"/>
              </w:rPr>
              <w:t>d</w:t>
            </w:r>
            <w:r w:rsidR="00E83DA3" w:rsidRPr="001F7755">
              <w:rPr>
                <w:lang w:val="en-US"/>
              </w:rPr>
              <w:t xml:space="preserve">istricts. </w:t>
            </w:r>
          </w:p>
          <w:p w14:paraId="564BD74B" w14:textId="77777777" w:rsidR="00E83DA3" w:rsidRPr="001F7755" w:rsidRDefault="00E83DA3" w:rsidP="00E83DA3">
            <w:pPr>
              <w:rPr>
                <w:iCs/>
                <w:color w:val="FF0000"/>
                <w:lang w:val="en-US"/>
              </w:rPr>
            </w:pPr>
          </w:p>
          <w:p w14:paraId="368F4D49" w14:textId="34663F00" w:rsidR="00E83DA3" w:rsidRPr="001F7755" w:rsidRDefault="00E83DA3" w:rsidP="00E83DA3">
            <w:pPr>
              <w:rPr>
                <w:iCs/>
                <w:lang w:val="en-US"/>
              </w:rPr>
            </w:pPr>
            <w:r w:rsidRPr="001F7755">
              <w:rPr>
                <w:iCs/>
                <w:lang w:val="en-US"/>
              </w:rPr>
              <w:t>In February 2021, the President visited Malen chiefdom and underscored the need for peace between Scofin and the</w:t>
            </w:r>
            <w:r w:rsidR="00234D58" w:rsidRPr="001F7755">
              <w:rPr>
                <w:iCs/>
                <w:lang w:val="en-US"/>
              </w:rPr>
              <w:t xml:space="preserve"> host </w:t>
            </w:r>
            <w:r w:rsidRPr="001F7755">
              <w:rPr>
                <w:iCs/>
                <w:lang w:val="en-US"/>
              </w:rPr>
              <w:t>community. A similar visit was paid to Makpele Chiefdom.</w:t>
            </w:r>
          </w:p>
          <w:p w14:paraId="3294B8B8" w14:textId="77777777" w:rsidR="00E83DA3" w:rsidRPr="001F7755" w:rsidRDefault="00E83DA3" w:rsidP="00E83DA3">
            <w:pPr>
              <w:rPr>
                <w:iCs/>
                <w:lang w:val="en-US"/>
              </w:rPr>
            </w:pPr>
          </w:p>
          <w:p w14:paraId="0E7F4476" w14:textId="77777777" w:rsidR="00E83DA3" w:rsidRPr="001F7755" w:rsidRDefault="00E83DA3" w:rsidP="00E83DA3">
            <w:pPr>
              <w:rPr>
                <w:iCs/>
                <w:lang w:val="en-US"/>
              </w:rPr>
            </w:pPr>
            <w:r w:rsidRPr="001F7755">
              <w:rPr>
                <w:iCs/>
                <w:lang w:val="en-US"/>
              </w:rPr>
              <w:t>The Office of the Vice President led by the Vice President himself visited project locations in Moyamba in April 2021.</w:t>
            </w:r>
          </w:p>
          <w:p w14:paraId="43721FA2" w14:textId="77777777" w:rsidR="00E83DA3" w:rsidRPr="001F7755" w:rsidRDefault="00E83DA3" w:rsidP="00E83DA3">
            <w:pPr>
              <w:rPr>
                <w:iCs/>
                <w:lang w:val="en-US"/>
              </w:rPr>
            </w:pPr>
          </w:p>
          <w:p w14:paraId="6E5B6448" w14:textId="75162563" w:rsidR="004D7FB7" w:rsidRPr="001F7755" w:rsidRDefault="004D7FB7" w:rsidP="00234A5E">
            <w:pPr>
              <w:rPr>
                <w:iCs/>
                <w:lang w:val="en-US"/>
              </w:rPr>
            </w:pPr>
            <w:r w:rsidRPr="001F7755">
              <w:rPr>
                <w:iCs/>
                <w:lang w:val="en-US"/>
              </w:rPr>
              <w:t xml:space="preserve">Livelihood activities have been intensively monitored by WFP and its partner MAF. WFP undertakes monitoring missions monthly to track </w:t>
            </w:r>
            <w:r w:rsidRPr="001F7755">
              <w:rPr>
                <w:iCs/>
                <w:lang w:val="en-US"/>
              </w:rPr>
              <w:lastRenderedPageBreak/>
              <w:t>progress of implementation against the plan, identify challenges encountered and adjust accordingly. WFP systematically debriefs MAF on its findings and then monitors the implementation of remedial measures. MAF Block Extension Supervisors monitor agricultural activities on a weekly basis, whilst CYCs provide unprecedented daily oversight at the community level. Whats</w:t>
            </w:r>
            <w:r w:rsidR="00321554" w:rsidRPr="001F7755">
              <w:rPr>
                <w:iCs/>
                <w:lang w:val="en-US"/>
              </w:rPr>
              <w:t>A</w:t>
            </w:r>
            <w:r w:rsidRPr="001F7755">
              <w:rPr>
                <w:iCs/>
                <w:lang w:val="en-US"/>
              </w:rPr>
              <w:t xml:space="preserve">pp groups have been established both by WFP and MAF and by the CYCs to discuss project progress and collectively overcome barriers faced. WFP operates its toll-free Beneficiary Feedback Mechanism throughout the project, with beneficiaries able to report any challenges faced directly to WFP, with all issues thoroughly investigated. </w:t>
            </w:r>
          </w:p>
          <w:p w14:paraId="1CA15133" w14:textId="73B4E5AB" w:rsidR="004D7FB7" w:rsidRPr="001F7755" w:rsidRDefault="004D7FB7" w:rsidP="00234A5E">
            <w:pPr>
              <w:rPr>
                <w:iCs/>
                <w:lang w:val="en-US"/>
              </w:rPr>
            </w:pPr>
          </w:p>
          <w:p w14:paraId="5A11C6C8" w14:textId="3A326887" w:rsidR="004D7FB7" w:rsidRPr="001F7755" w:rsidRDefault="004D7FB7" w:rsidP="00234A5E">
            <w:pPr>
              <w:rPr>
                <w:iCs/>
                <w:lang w:val="en-US"/>
              </w:rPr>
            </w:pPr>
            <w:r w:rsidRPr="001F7755">
              <w:rPr>
                <w:iCs/>
                <w:lang w:val="en-US"/>
              </w:rPr>
              <w:t xml:space="preserve">The livelihood component has attracted keen interest from district and local stakeholders, including Ward Councillors and customary leaders. Ward Councillors in Malen and Lower Banta have taken it upon themselves to actively monitor the project and report challenges to WFP and MAF. </w:t>
            </w:r>
          </w:p>
          <w:p w14:paraId="3AE0DFE1" w14:textId="5FF99699" w:rsidR="004D7FB7" w:rsidRPr="001F7755" w:rsidRDefault="004D7FB7" w:rsidP="00234A5E">
            <w:pPr>
              <w:rPr>
                <w:iCs/>
                <w:lang w:val="en-US"/>
              </w:rPr>
            </w:pPr>
          </w:p>
          <w:p w14:paraId="05135FF3" w14:textId="5AD954F5" w:rsidR="004D7FB7" w:rsidRPr="001F7755" w:rsidRDefault="004D7FB7" w:rsidP="00234A5E">
            <w:pPr>
              <w:rPr>
                <w:iCs/>
                <w:lang w:val="en-US"/>
              </w:rPr>
            </w:pPr>
            <w:r w:rsidRPr="001F7755">
              <w:rPr>
                <w:iCs/>
                <w:lang w:val="en-US"/>
              </w:rPr>
              <w:t>In March 2021, the WFP Representative and Country Director monitored project sites in Lower Banta, whilst in May 2021 a delegation including the United Nations Resident Coordinator visited two sites in Lower Banta.</w:t>
            </w:r>
          </w:p>
          <w:p w14:paraId="68DC370D" w14:textId="77777777" w:rsidR="007118F5" w:rsidRPr="001F7755" w:rsidRDefault="007118F5" w:rsidP="007F4E32">
            <w:pPr>
              <w:rPr>
                <w:lang w:val="en-US"/>
              </w:rPr>
            </w:pPr>
          </w:p>
        </w:tc>
        <w:tc>
          <w:tcPr>
            <w:tcW w:w="5940" w:type="dxa"/>
            <w:shd w:val="clear" w:color="auto" w:fill="auto"/>
          </w:tcPr>
          <w:p w14:paraId="283EDBFF" w14:textId="77777777" w:rsidR="007F4E32" w:rsidRPr="001F7755" w:rsidRDefault="007118F5" w:rsidP="00AD73D3">
            <w:pPr>
              <w:rPr>
                <w:lang w:val="en-US"/>
              </w:rPr>
            </w:pPr>
            <w:r w:rsidRPr="001F7755">
              <w:rPr>
                <w:lang w:val="en-US"/>
              </w:rPr>
              <w:lastRenderedPageBreak/>
              <w:t xml:space="preserve">Do outcome indicators have baselines? </w:t>
            </w:r>
          </w:p>
          <w:p w14:paraId="6338D0DA" w14:textId="6AC87BB6" w:rsidR="00997347" w:rsidRPr="001F7755" w:rsidRDefault="007F4E32" w:rsidP="00AD73D3">
            <w:pPr>
              <w:rPr>
                <w:lang w:val="en-US"/>
              </w:rPr>
            </w:pPr>
            <w:r w:rsidRPr="001F7755">
              <w:rPr>
                <w:lang w:val="en-US"/>
              </w:rPr>
              <w:t>Yes</w:t>
            </w:r>
          </w:p>
          <w:p w14:paraId="15B120F3" w14:textId="77777777" w:rsidR="007118F5" w:rsidRPr="001F7755" w:rsidRDefault="007118F5" w:rsidP="00AD73D3">
            <w:pPr>
              <w:rPr>
                <w:lang w:val="en-US"/>
              </w:rPr>
            </w:pPr>
          </w:p>
          <w:p w14:paraId="473E4691" w14:textId="77777777" w:rsidR="007F4E32" w:rsidRPr="001F7755" w:rsidRDefault="007118F5" w:rsidP="00AD73D3">
            <w:pPr>
              <w:rPr>
                <w:lang w:val="en-US"/>
              </w:rPr>
            </w:pPr>
            <w:r w:rsidRPr="001F7755">
              <w:rPr>
                <w:lang w:val="en-US"/>
              </w:rPr>
              <w:t xml:space="preserve">Has the project launched perception surveys or other community-based data collection? </w:t>
            </w:r>
          </w:p>
          <w:p w14:paraId="3AABC59A" w14:textId="77777777" w:rsidR="007F4E32" w:rsidRPr="001F7755" w:rsidRDefault="007F4E32" w:rsidP="00AD73D3">
            <w:pPr>
              <w:rPr>
                <w:lang w:val="en-US"/>
              </w:rPr>
            </w:pPr>
          </w:p>
          <w:p w14:paraId="4749D761" w14:textId="3B25F81A" w:rsidR="007118F5" w:rsidRPr="001F7755" w:rsidRDefault="007F4E32" w:rsidP="00AD73D3">
            <w:pPr>
              <w:rPr>
                <w:lang w:val="en-US"/>
              </w:rPr>
            </w:pPr>
            <w:r w:rsidRPr="001F7755">
              <w:rPr>
                <w:lang w:val="en-US"/>
              </w:rPr>
              <w:t>No</w:t>
            </w:r>
          </w:p>
        </w:tc>
      </w:tr>
      <w:tr w:rsidR="006C1819" w:rsidRPr="001F7755" w14:paraId="27203492" w14:textId="77777777" w:rsidTr="007F7257">
        <w:tc>
          <w:tcPr>
            <w:tcW w:w="4230" w:type="dxa"/>
            <w:shd w:val="clear" w:color="auto" w:fill="auto"/>
          </w:tcPr>
          <w:p w14:paraId="69E27D03" w14:textId="77777777" w:rsidR="006C1819" w:rsidRPr="001F7755" w:rsidRDefault="003D4CD7" w:rsidP="005F439F">
            <w:pPr>
              <w:rPr>
                <w:lang w:val="en-US"/>
              </w:rPr>
            </w:pPr>
            <w:r w:rsidRPr="001F7755">
              <w:rPr>
                <w:b/>
                <w:bCs/>
                <w:u w:val="single"/>
                <w:lang w:val="en-US"/>
              </w:rPr>
              <w:t>E</w:t>
            </w:r>
            <w:r w:rsidR="006C1819" w:rsidRPr="001F7755">
              <w:rPr>
                <w:b/>
                <w:bCs/>
                <w:u w:val="single"/>
                <w:lang w:val="en-US"/>
              </w:rPr>
              <w:t>valuation:</w:t>
            </w:r>
            <w:r w:rsidR="006C1819" w:rsidRPr="001F7755">
              <w:rPr>
                <w:lang w:val="en-US"/>
              </w:rPr>
              <w:t xml:space="preserve"> </w:t>
            </w:r>
            <w:r w:rsidR="007118F5" w:rsidRPr="001F7755">
              <w:rPr>
                <w:lang w:val="en-US"/>
              </w:rPr>
              <w:t>Has an evaluation been conducted during the reporting period?</w:t>
            </w:r>
          </w:p>
          <w:p w14:paraId="30E2DDCB" w14:textId="1D0FF91D" w:rsidR="007118F5" w:rsidRPr="001F7755" w:rsidRDefault="00D936AE" w:rsidP="00D936AE">
            <w:pPr>
              <w:rPr>
                <w:iCs/>
                <w:lang w:val="en-US"/>
              </w:rPr>
            </w:pPr>
            <w:r w:rsidRPr="001F7755">
              <w:rPr>
                <w:lang w:val="en-US"/>
              </w:rPr>
              <w:t>No</w:t>
            </w:r>
          </w:p>
        </w:tc>
        <w:tc>
          <w:tcPr>
            <w:tcW w:w="5940" w:type="dxa"/>
            <w:shd w:val="clear" w:color="auto" w:fill="auto"/>
          </w:tcPr>
          <w:p w14:paraId="0A637856" w14:textId="77777777" w:rsidR="006C1819" w:rsidRPr="001F7755" w:rsidRDefault="004D141E" w:rsidP="00E76CA1">
            <w:pPr>
              <w:rPr>
                <w:lang w:val="en-US"/>
              </w:rPr>
            </w:pPr>
            <w:r w:rsidRPr="001F7755">
              <w:rPr>
                <w:lang w:val="en-US"/>
              </w:rPr>
              <w:t>Evaluation budget</w:t>
            </w:r>
            <w:r w:rsidR="007118F5" w:rsidRPr="001F7755">
              <w:rPr>
                <w:lang w:val="en-US"/>
              </w:rPr>
              <w:t xml:space="preserve"> (response required)</w:t>
            </w:r>
            <w:r w:rsidRPr="001F7755">
              <w:rPr>
                <w:lang w:val="en-US"/>
              </w:rPr>
              <w:t xml:space="preserve">:  </w:t>
            </w:r>
            <w:r w:rsidRPr="001F7755">
              <w:rPr>
                <w:lang w:val="en-US"/>
              </w:rPr>
              <w:fldChar w:fldCharType="begin">
                <w:ffData>
                  <w:name w:val="evalbudget"/>
                  <w:enabled/>
                  <w:calcOnExit w:val="0"/>
                  <w:textInput>
                    <w:type w:val="number"/>
                    <w:format w:val="0.00"/>
                  </w:textInput>
                </w:ffData>
              </w:fldChar>
            </w:r>
            <w:bookmarkStart w:id="2" w:name="evalbudget"/>
            <w:r w:rsidRPr="001F7755">
              <w:rPr>
                <w:lang w:val="en-US"/>
              </w:rPr>
              <w:instrText xml:space="preserve"> FORMTEXT </w:instrText>
            </w:r>
            <w:r w:rsidRPr="001F7755">
              <w:rPr>
                <w:lang w:val="en-US"/>
              </w:rPr>
            </w:r>
            <w:r w:rsidRPr="001F7755">
              <w:rPr>
                <w:lang w:val="en-US"/>
              </w:rPr>
              <w:fldChar w:fldCharType="separate"/>
            </w:r>
            <w:r w:rsidRPr="001F7755">
              <w:rPr>
                <w:noProof/>
                <w:lang w:val="en-US"/>
              </w:rPr>
              <w:t> </w:t>
            </w:r>
            <w:r w:rsidRPr="001F7755">
              <w:rPr>
                <w:noProof/>
                <w:lang w:val="en-US"/>
              </w:rPr>
              <w:t> </w:t>
            </w:r>
            <w:r w:rsidRPr="001F7755">
              <w:rPr>
                <w:noProof/>
                <w:lang w:val="en-US"/>
              </w:rPr>
              <w:t> </w:t>
            </w:r>
            <w:r w:rsidRPr="001F7755">
              <w:rPr>
                <w:noProof/>
                <w:lang w:val="en-US"/>
              </w:rPr>
              <w:t> </w:t>
            </w:r>
            <w:r w:rsidRPr="001F7755">
              <w:rPr>
                <w:noProof/>
                <w:lang w:val="en-US"/>
              </w:rPr>
              <w:t> </w:t>
            </w:r>
            <w:r w:rsidRPr="001F7755">
              <w:rPr>
                <w:lang w:val="en-US"/>
              </w:rPr>
              <w:fldChar w:fldCharType="end"/>
            </w:r>
            <w:bookmarkEnd w:id="2"/>
          </w:p>
          <w:p w14:paraId="250C2893" w14:textId="05167B30" w:rsidR="004D141E" w:rsidRPr="001F7755" w:rsidRDefault="004D141E" w:rsidP="00E76CA1">
            <w:pPr>
              <w:rPr>
                <w:lang w:val="en-US"/>
              </w:rPr>
            </w:pPr>
          </w:p>
          <w:p w14:paraId="4A80A632" w14:textId="77777777" w:rsidR="00A67B82" w:rsidRPr="001F7755" w:rsidRDefault="00A67B82" w:rsidP="00E76CA1">
            <w:pPr>
              <w:rPr>
                <w:lang w:val="en-US"/>
              </w:rPr>
            </w:pPr>
          </w:p>
          <w:p w14:paraId="5E7D651E" w14:textId="51FBEDC0" w:rsidR="004D141E" w:rsidRPr="001F7755" w:rsidRDefault="001B6DFD" w:rsidP="00E76CA1">
            <w:pPr>
              <w:rPr>
                <w:lang w:val="en-US"/>
              </w:rPr>
            </w:pPr>
            <w:r w:rsidRPr="001F7755">
              <w:rPr>
                <w:lang w:val="en-US"/>
              </w:rPr>
              <w:t>If project will end in next six months, describe the e</w:t>
            </w:r>
            <w:r w:rsidR="004D141E" w:rsidRPr="001F7755">
              <w:rPr>
                <w:lang w:val="en-US"/>
              </w:rPr>
              <w:t>valuation preparations</w:t>
            </w:r>
            <w:r w:rsidR="00156C4C" w:rsidRPr="001F7755">
              <w:rPr>
                <w:lang w:val="en-US"/>
              </w:rPr>
              <w:t xml:space="preserve"> </w:t>
            </w:r>
            <w:r w:rsidR="00156C4C" w:rsidRPr="001F7755">
              <w:rPr>
                <w:i/>
                <w:lang w:val="en-US"/>
              </w:rPr>
              <w:t>(1500 character limit)</w:t>
            </w:r>
            <w:r w:rsidR="004D141E" w:rsidRPr="001F7755">
              <w:rPr>
                <w:lang w:val="en-US"/>
              </w:rPr>
              <w:t xml:space="preserve">: </w:t>
            </w:r>
            <w:r w:rsidR="00156C4C" w:rsidRPr="001F7755">
              <w:rPr>
                <w:lang w:val="en-US"/>
              </w:rPr>
              <w:fldChar w:fldCharType="begin">
                <w:ffData>
                  <w:name w:val="Text45"/>
                  <w:enabled/>
                  <w:calcOnExit w:val="0"/>
                  <w:textInput>
                    <w:maxLength w:val="15000"/>
                    <w:format w:val="FIRST CAPITAL"/>
                  </w:textInput>
                </w:ffData>
              </w:fldChar>
            </w:r>
            <w:bookmarkStart w:id="3" w:name="Text45"/>
            <w:r w:rsidR="00156C4C" w:rsidRPr="001F7755">
              <w:rPr>
                <w:lang w:val="en-US"/>
              </w:rPr>
              <w:instrText xml:space="preserve"> FORMTEXT </w:instrText>
            </w:r>
            <w:r w:rsidR="00156C4C" w:rsidRPr="001F7755">
              <w:rPr>
                <w:lang w:val="en-US"/>
              </w:rPr>
            </w:r>
            <w:r w:rsidR="00156C4C" w:rsidRPr="001F7755">
              <w:rPr>
                <w:lang w:val="en-US"/>
              </w:rPr>
              <w:fldChar w:fldCharType="separate"/>
            </w:r>
            <w:r w:rsidR="00156C4C" w:rsidRPr="001F7755">
              <w:rPr>
                <w:noProof/>
                <w:lang w:val="en-US"/>
              </w:rPr>
              <w:t> </w:t>
            </w:r>
            <w:r w:rsidR="003B2D0D" w:rsidRPr="001F7755">
              <w:rPr>
                <w:noProof/>
                <w:lang w:val="en-US"/>
              </w:rPr>
              <w:t>The project is scheduled to end in October 2021. However, the implementing agencies would like to request a 6-month extension to faciliate completion of pending activities affected by the COVID-19 pandemic and concomitatnt containment measures.</w:t>
            </w:r>
            <w:r w:rsidR="00156C4C" w:rsidRPr="001F7755">
              <w:rPr>
                <w:noProof/>
                <w:lang w:val="en-US"/>
              </w:rPr>
              <w:t> </w:t>
            </w:r>
            <w:r w:rsidR="00156C4C" w:rsidRPr="001F7755">
              <w:rPr>
                <w:noProof/>
                <w:lang w:val="en-US"/>
              </w:rPr>
              <w:t> </w:t>
            </w:r>
            <w:r w:rsidR="00156C4C" w:rsidRPr="001F7755">
              <w:rPr>
                <w:noProof/>
                <w:lang w:val="en-US"/>
              </w:rPr>
              <w:t> </w:t>
            </w:r>
            <w:r w:rsidR="00156C4C" w:rsidRPr="001F7755">
              <w:rPr>
                <w:lang w:val="en-US"/>
              </w:rPr>
              <w:fldChar w:fldCharType="end"/>
            </w:r>
            <w:bookmarkEnd w:id="3"/>
          </w:p>
          <w:p w14:paraId="0B9D2850" w14:textId="77777777" w:rsidR="00156C4C" w:rsidRPr="001F7755" w:rsidRDefault="00156C4C" w:rsidP="00E76CA1">
            <w:pPr>
              <w:rPr>
                <w:lang w:val="en-US"/>
              </w:rPr>
            </w:pPr>
          </w:p>
        </w:tc>
      </w:tr>
      <w:tr w:rsidR="00997347" w:rsidRPr="001F7755" w14:paraId="7A0799D1" w14:textId="77777777" w:rsidTr="007F7257">
        <w:tc>
          <w:tcPr>
            <w:tcW w:w="4230" w:type="dxa"/>
            <w:shd w:val="clear" w:color="auto" w:fill="auto"/>
          </w:tcPr>
          <w:p w14:paraId="198D7EA9" w14:textId="77777777" w:rsidR="00997347" w:rsidRPr="001F7755" w:rsidRDefault="00513612" w:rsidP="00411A5F">
            <w:pPr>
              <w:rPr>
                <w:lang w:val="en-US"/>
              </w:rPr>
            </w:pPr>
            <w:r w:rsidRPr="001F7755">
              <w:rPr>
                <w:b/>
                <w:bCs/>
                <w:u w:val="single"/>
                <w:lang w:val="en-US"/>
              </w:rPr>
              <w:t>Catalytic effects</w:t>
            </w:r>
            <w:r w:rsidR="005F439F" w:rsidRPr="001F7755">
              <w:rPr>
                <w:b/>
                <w:bCs/>
                <w:u w:val="single"/>
                <w:lang w:val="en-US"/>
              </w:rPr>
              <w:t xml:space="preserve"> (financial)</w:t>
            </w:r>
            <w:r w:rsidRPr="001F7755">
              <w:rPr>
                <w:b/>
                <w:bCs/>
                <w:lang w:val="en-US"/>
              </w:rPr>
              <w:t>:</w:t>
            </w:r>
            <w:r w:rsidRPr="001F7755">
              <w:rPr>
                <w:lang w:val="en-US"/>
              </w:rPr>
              <w:t xml:space="preserve"> </w:t>
            </w:r>
            <w:r w:rsidR="00156C4C" w:rsidRPr="001F7755">
              <w:rPr>
                <w:lang w:val="en-US"/>
              </w:rPr>
              <w:t xml:space="preserve">Indicate name of funding agent and amount of </w:t>
            </w:r>
            <w:r w:rsidR="00156C4C" w:rsidRPr="001F7755">
              <w:rPr>
                <w:lang w:val="en-US"/>
              </w:rPr>
              <w:lastRenderedPageBreak/>
              <w:t>additional non-PBF funding support that has been leveraged by the project.</w:t>
            </w:r>
            <w:r w:rsidR="002E10E6" w:rsidRPr="001F7755">
              <w:rPr>
                <w:lang w:val="en-US"/>
              </w:rPr>
              <w:t xml:space="preserve"> </w:t>
            </w:r>
          </w:p>
        </w:tc>
        <w:tc>
          <w:tcPr>
            <w:tcW w:w="5940" w:type="dxa"/>
            <w:shd w:val="clear" w:color="auto" w:fill="auto"/>
          </w:tcPr>
          <w:p w14:paraId="6440E705" w14:textId="77777777" w:rsidR="00997347" w:rsidRPr="001F7755" w:rsidRDefault="00156C4C" w:rsidP="00156C4C">
            <w:pPr>
              <w:rPr>
                <w:lang w:val="en-US"/>
              </w:rPr>
            </w:pPr>
            <w:r w:rsidRPr="001F7755">
              <w:rPr>
                <w:lang w:val="en-US"/>
              </w:rPr>
              <w:lastRenderedPageBreak/>
              <w:t>Name of funder:          Amount:</w:t>
            </w:r>
          </w:p>
          <w:p w14:paraId="6F5566CD" w14:textId="0FE531E9" w:rsidR="00156C4C" w:rsidRPr="001F7755" w:rsidRDefault="00D936AE" w:rsidP="00156C4C">
            <w:pPr>
              <w:rPr>
                <w:lang w:val="en-US"/>
              </w:rPr>
            </w:pPr>
            <w:r w:rsidRPr="001F7755">
              <w:rPr>
                <w:lang w:val="en-US"/>
              </w:rPr>
              <w:t>NORAD</w:t>
            </w:r>
            <w:r w:rsidR="00156C4C" w:rsidRPr="001F7755">
              <w:rPr>
                <w:lang w:val="en-US"/>
              </w:rPr>
              <w:t xml:space="preserve">                      </w:t>
            </w:r>
            <w:r w:rsidRPr="001F7755">
              <w:rPr>
                <w:lang w:val="en-US"/>
              </w:rPr>
              <w:t>US$1 million</w:t>
            </w:r>
          </w:p>
          <w:p w14:paraId="3A55CAB9" w14:textId="59F1335B" w:rsidR="00156C4C" w:rsidRPr="001F7755" w:rsidRDefault="00D936AE" w:rsidP="00156C4C">
            <w:pPr>
              <w:rPr>
                <w:lang w:val="en-US"/>
              </w:rPr>
            </w:pPr>
            <w:r w:rsidRPr="001F7755">
              <w:rPr>
                <w:lang w:val="en-US"/>
              </w:rPr>
              <w:t xml:space="preserve">Government of </w:t>
            </w:r>
            <w:r w:rsidR="00D520DE" w:rsidRPr="001F7755">
              <w:rPr>
                <w:lang w:val="en-US"/>
              </w:rPr>
              <w:t>Japan US</w:t>
            </w:r>
            <w:r w:rsidRPr="001F7755">
              <w:rPr>
                <w:lang w:val="en-US"/>
              </w:rPr>
              <w:t>$100,000</w:t>
            </w:r>
          </w:p>
          <w:p w14:paraId="084EE59D" w14:textId="77777777" w:rsidR="00156C4C" w:rsidRPr="001F7755" w:rsidRDefault="00156C4C" w:rsidP="00156C4C">
            <w:pPr>
              <w:rPr>
                <w:lang w:val="en-US"/>
              </w:rPr>
            </w:pPr>
          </w:p>
          <w:p w14:paraId="55CB79AC" w14:textId="3B651CF0" w:rsidR="00156C4C" w:rsidRPr="001F7755" w:rsidRDefault="00D936AE" w:rsidP="00156C4C">
            <w:pPr>
              <w:rPr>
                <w:b/>
                <w:bCs/>
                <w:lang w:val="en-US"/>
              </w:rPr>
            </w:pPr>
            <w:r w:rsidRPr="001F7755">
              <w:rPr>
                <w:b/>
                <w:bCs/>
                <w:lang w:val="en-US"/>
              </w:rPr>
              <w:t>Total</w:t>
            </w:r>
            <w:r w:rsidR="00156C4C" w:rsidRPr="001F7755">
              <w:rPr>
                <w:b/>
                <w:bCs/>
                <w:lang w:val="en-US"/>
              </w:rPr>
              <w:t xml:space="preserve">                          </w:t>
            </w:r>
            <w:r w:rsidRPr="001F7755">
              <w:rPr>
                <w:b/>
                <w:bCs/>
                <w:lang w:val="en-US"/>
              </w:rPr>
              <w:t xml:space="preserve">   US$1,100,000</w:t>
            </w:r>
          </w:p>
        </w:tc>
      </w:tr>
      <w:tr w:rsidR="002C187A" w:rsidRPr="001F7755" w14:paraId="5E21C55B" w14:textId="77777777" w:rsidTr="007F7257">
        <w:tc>
          <w:tcPr>
            <w:tcW w:w="4230" w:type="dxa"/>
            <w:shd w:val="clear" w:color="auto" w:fill="auto"/>
          </w:tcPr>
          <w:p w14:paraId="10A4DB11" w14:textId="77777777" w:rsidR="007F7257" w:rsidRPr="001F7755" w:rsidRDefault="002C187A" w:rsidP="007F7257">
            <w:pPr>
              <w:ind w:hanging="15"/>
              <w:rPr>
                <w:lang w:val="en-US"/>
              </w:rPr>
            </w:pPr>
            <w:r w:rsidRPr="001F7755">
              <w:rPr>
                <w:b/>
                <w:bCs/>
                <w:u w:val="single"/>
                <w:lang w:val="en-US"/>
              </w:rPr>
              <w:lastRenderedPageBreak/>
              <w:t>Other:</w:t>
            </w:r>
            <w:r w:rsidRPr="001F7755">
              <w:rPr>
                <w:lang w:val="en-US"/>
              </w:rPr>
              <w:t xml:space="preserve"> Are there any other issues concerning project implementation that you want to share</w:t>
            </w:r>
            <w:r w:rsidR="006A07CA" w:rsidRPr="001F7755">
              <w:rPr>
                <w:lang w:val="en-US"/>
              </w:rPr>
              <w:t>, including any capacity needs of the recipient organizations</w:t>
            </w:r>
            <w:r w:rsidRPr="001F7755">
              <w:rPr>
                <w:lang w:val="en-US"/>
              </w:rPr>
              <w:t xml:space="preserve">? </w:t>
            </w:r>
            <w:r w:rsidRPr="001F7755">
              <w:rPr>
                <w:i/>
                <w:iCs/>
                <w:lang w:val="en-US"/>
              </w:rPr>
              <w:t>(1500 character limit)</w:t>
            </w:r>
          </w:p>
          <w:p w14:paraId="1F74E3A2" w14:textId="77777777" w:rsidR="002C187A" w:rsidRPr="001F7755" w:rsidRDefault="002C187A" w:rsidP="001A1E86">
            <w:pPr>
              <w:rPr>
                <w:lang w:val="en-US"/>
              </w:rPr>
            </w:pPr>
          </w:p>
          <w:p w14:paraId="624D8A20" w14:textId="77777777" w:rsidR="002C187A" w:rsidRPr="001F7755" w:rsidRDefault="002C187A" w:rsidP="009A1CD3">
            <w:pPr>
              <w:rPr>
                <w:b/>
                <w:bCs/>
                <w:u w:val="single"/>
                <w:lang w:val="en-US"/>
              </w:rPr>
            </w:pPr>
          </w:p>
        </w:tc>
        <w:tc>
          <w:tcPr>
            <w:tcW w:w="5940" w:type="dxa"/>
            <w:shd w:val="clear" w:color="auto" w:fill="auto"/>
          </w:tcPr>
          <w:p w14:paraId="6DEBBDF5" w14:textId="26E982F8" w:rsidR="00495FF1" w:rsidRPr="001F7755" w:rsidRDefault="00E668F2" w:rsidP="008A70D0">
            <w:pPr>
              <w:autoSpaceDE w:val="0"/>
              <w:autoSpaceDN w:val="0"/>
              <w:adjustRightInd w:val="0"/>
              <w:jc w:val="both"/>
              <w:rPr>
                <w:rFonts w:eastAsia="MS Mincho"/>
                <w:lang w:val="en-US" w:eastAsia="en-US"/>
              </w:rPr>
            </w:pPr>
            <w:r w:rsidRPr="001F7755">
              <w:rPr>
                <w:rFonts w:eastAsia="MS Mincho"/>
                <w:lang w:val="en-US" w:eastAsia="en-US"/>
              </w:rPr>
              <w:t xml:space="preserve">Project implementation </w:t>
            </w:r>
            <w:r w:rsidR="00495FF1" w:rsidRPr="001F7755">
              <w:rPr>
                <w:rFonts w:eastAsia="MS Mincho"/>
                <w:lang w:val="en-US" w:eastAsia="en-US"/>
              </w:rPr>
              <w:t>was</w:t>
            </w:r>
            <w:r w:rsidRPr="001F7755">
              <w:rPr>
                <w:rFonts w:eastAsia="MS Mincho"/>
                <w:lang w:val="en-US" w:eastAsia="en-US"/>
              </w:rPr>
              <w:t xml:space="preserve"> delayed</w:t>
            </w:r>
            <w:r w:rsidR="00495FF1" w:rsidRPr="001F7755">
              <w:rPr>
                <w:rFonts w:eastAsia="MS Mincho"/>
                <w:lang w:val="en-US" w:eastAsia="en-US"/>
              </w:rPr>
              <w:t xml:space="preserve">, for most of 2020, owing to </w:t>
            </w:r>
            <w:r w:rsidRPr="001F7755">
              <w:rPr>
                <w:rFonts w:eastAsia="MS Mincho"/>
                <w:lang w:val="en-US" w:eastAsia="en-US"/>
              </w:rPr>
              <w:t xml:space="preserve">  unforeseen and unavoidable circumstances</w:t>
            </w:r>
            <w:r w:rsidR="00495FF1" w:rsidRPr="001F7755">
              <w:rPr>
                <w:rFonts w:eastAsia="MS Mincho"/>
                <w:lang w:val="en-US" w:eastAsia="en-US"/>
              </w:rPr>
              <w:t xml:space="preserve">. </w:t>
            </w:r>
            <w:r w:rsidRPr="001F7755">
              <w:rPr>
                <w:rFonts w:eastAsia="MS Mincho"/>
                <w:lang w:val="en-US" w:eastAsia="en-US"/>
              </w:rPr>
              <w:t xml:space="preserve"> </w:t>
            </w:r>
            <w:r w:rsidR="008A70D0" w:rsidRPr="001F7755">
              <w:rPr>
                <w:rFonts w:eastAsia="MS Mincho"/>
                <w:lang w:val="en-US" w:eastAsia="en-US"/>
              </w:rPr>
              <w:t>A key challenge was the COVID-19 pandemic and subsequent containment measures which necessitated postponement of activities that required congregation of beneficiaries and stakeholders, travel and active coordination with the government and other partners</w:t>
            </w:r>
            <w:r w:rsidR="00495FF1" w:rsidRPr="001F7755">
              <w:rPr>
                <w:rFonts w:eastAsia="MS Mincho"/>
                <w:lang w:val="en-US" w:eastAsia="en-US"/>
              </w:rPr>
              <w:t xml:space="preserve">. </w:t>
            </w:r>
            <w:r w:rsidR="00F7746F" w:rsidRPr="001F7755">
              <w:rPr>
                <w:rFonts w:eastAsia="MS Mincho"/>
                <w:lang w:val="en-US" w:eastAsia="en-US"/>
              </w:rPr>
              <w:t xml:space="preserve">This led to the interruption and delay of various activities under Outcome 1 including the awareness raising, convention of Grievance Redress Committees and Multi-Stakeholders Platforms and capacity building for women groups and relevant government institutions. </w:t>
            </w:r>
            <w:r w:rsidR="008A70D0" w:rsidRPr="001F7755">
              <w:rPr>
                <w:rFonts w:eastAsia="MS Mincho"/>
                <w:lang w:val="en-US" w:eastAsia="en-US"/>
              </w:rPr>
              <w:t xml:space="preserve"> </w:t>
            </w:r>
          </w:p>
          <w:p w14:paraId="387028B1" w14:textId="77777777" w:rsidR="00495FF1" w:rsidRPr="001F7755" w:rsidRDefault="00495FF1" w:rsidP="008A70D0">
            <w:pPr>
              <w:autoSpaceDE w:val="0"/>
              <w:autoSpaceDN w:val="0"/>
              <w:adjustRightInd w:val="0"/>
              <w:jc w:val="both"/>
              <w:rPr>
                <w:rFonts w:eastAsia="MS Mincho"/>
                <w:lang w:val="en-US" w:eastAsia="en-US"/>
              </w:rPr>
            </w:pPr>
          </w:p>
          <w:p w14:paraId="6838A2AA" w14:textId="3FCEE536" w:rsidR="00D936AE" w:rsidRPr="001F7755" w:rsidRDefault="008C0760" w:rsidP="00D936AE">
            <w:pPr>
              <w:jc w:val="both"/>
              <w:rPr>
                <w:lang w:val="en-US"/>
              </w:rPr>
            </w:pPr>
            <w:r w:rsidRPr="001F7755">
              <w:rPr>
                <w:lang w:val="en-US"/>
              </w:rPr>
              <w:t>Further, t</w:t>
            </w:r>
            <w:r w:rsidR="00D936AE" w:rsidRPr="001F7755">
              <w:rPr>
                <w:lang w:val="en-US"/>
              </w:rPr>
              <w:t>he COVID-19 outbreak and movement restrictions to curtail the spread of the virus had a negative impact on the implementation of agricultural livelihood activities. Although agricultural livelihood support continued throughout the COVID-19 outbreak, the pandemic resulted in delaying seasonally timebound activities that had ramifications on results and long-term sustainability.</w:t>
            </w:r>
          </w:p>
          <w:p w14:paraId="5FC53936" w14:textId="77777777" w:rsidR="00D936AE" w:rsidRPr="001F7755" w:rsidRDefault="00D936AE" w:rsidP="00D936AE">
            <w:pPr>
              <w:jc w:val="both"/>
              <w:rPr>
                <w:lang w:val="en-US"/>
              </w:rPr>
            </w:pPr>
          </w:p>
          <w:p w14:paraId="2C30A436" w14:textId="77777777" w:rsidR="00D936AE" w:rsidRPr="001F7755" w:rsidRDefault="00D936AE" w:rsidP="00D936AE">
            <w:pPr>
              <w:jc w:val="both"/>
              <w:rPr>
                <w:lang w:val="en-US"/>
              </w:rPr>
            </w:pPr>
            <w:r w:rsidRPr="001F7755">
              <w:rPr>
                <w:lang w:val="en-US"/>
              </w:rPr>
              <w:t xml:space="preserve">Planned agricultural livelihood activities are designed to be undertaken by farmers working in groups, and thus contribute toward strengthening social cohesion and peaceful relations in targeted communities. However, in March 2020, agricultural group work in Sierra Leone was strongly discouraged in order to break the transmission of COVID-19. Whilst WFP and MAF were able to continue planned activities, farmers were instructed to only work in small groups no larger than 10 individuals. Although irrigation system development activities continued albeit at a slower pace, restrictions on group work fragmented group dynamics and weakened the formation of strong Farmer Based Organisations (FBOs). </w:t>
            </w:r>
          </w:p>
          <w:p w14:paraId="61186C0E" w14:textId="77777777" w:rsidR="00D936AE" w:rsidRPr="001F7755" w:rsidRDefault="00D936AE" w:rsidP="00D936AE">
            <w:pPr>
              <w:jc w:val="both"/>
              <w:rPr>
                <w:lang w:val="en-US"/>
              </w:rPr>
            </w:pPr>
          </w:p>
          <w:p w14:paraId="00F63705" w14:textId="6DA5431E" w:rsidR="00D936AE" w:rsidRPr="001F7755" w:rsidRDefault="00D936AE" w:rsidP="00D936AE">
            <w:pPr>
              <w:jc w:val="both"/>
              <w:rPr>
                <w:lang w:val="en-US"/>
              </w:rPr>
            </w:pPr>
            <w:r w:rsidRPr="001F7755">
              <w:rPr>
                <w:lang w:val="en-US"/>
              </w:rPr>
              <w:t xml:space="preserve">Furthermore, as a result of the COVID-19 outbreak, WFP’s Financial Service Provider (FSP) Ecobank Sierra Leone indicated that it was not able to disburse Cash Based Transfers to participating farmers to protect its staff and in adherence to national regulation which banned inter-district movement. To address this constraint, WFP had to formalize a new partnership with a local NGO, Pure Heart Foundation, which delayed the first tranche of payments to farmers. </w:t>
            </w:r>
            <w:proofErr w:type="gramStart"/>
            <w:r w:rsidRPr="001F7755">
              <w:rPr>
                <w:lang w:val="en-US"/>
              </w:rPr>
              <w:t>This  demotivate</w:t>
            </w:r>
            <w:r w:rsidR="00321554" w:rsidRPr="001F7755">
              <w:rPr>
                <w:lang w:val="en-US"/>
              </w:rPr>
              <w:t>d</w:t>
            </w:r>
            <w:proofErr w:type="gramEnd"/>
            <w:r w:rsidRPr="001F7755">
              <w:rPr>
                <w:lang w:val="en-US"/>
              </w:rPr>
              <w:t xml:space="preserve"> farmers, further slowing the pace of work.</w:t>
            </w:r>
          </w:p>
          <w:p w14:paraId="00A97DCE" w14:textId="77777777" w:rsidR="00D936AE" w:rsidRPr="001F7755" w:rsidRDefault="00D936AE" w:rsidP="00D936AE">
            <w:pPr>
              <w:jc w:val="both"/>
              <w:rPr>
                <w:lang w:val="en-US"/>
              </w:rPr>
            </w:pPr>
          </w:p>
          <w:p w14:paraId="014C0A27" w14:textId="77777777" w:rsidR="00D936AE" w:rsidRPr="001F7755" w:rsidRDefault="00D936AE" w:rsidP="00D936AE">
            <w:pPr>
              <w:jc w:val="both"/>
              <w:rPr>
                <w:lang w:val="en-US"/>
              </w:rPr>
            </w:pPr>
            <w:r w:rsidRPr="001F7755">
              <w:rPr>
                <w:lang w:val="en-US"/>
              </w:rPr>
              <w:t xml:space="preserve">Restrictions preventing group work and delays in disbursing CBTs resulted in irrigation systems being developed behind schedule and out of alignment with the seasonal calendar. </w:t>
            </w:r>
            <w:r w:rsidRPr="001F7755">
              <w:rPr>
                <w:lang w:val="en-US"/>
              </w:rPr>
              <w:lastRenderedPageBreak/>
              <w:t>Consequently, rice to be cultivated during the rainy season was planted late, being harvested well into the dry season when nutritious vegetables had planned to be cultivated. As a result, WFP and MAF were unable to support farmers to engage in nutrition-sensitive agriculture as planned.</w:t>
            </w:r>
          </w:p>
          <w:p w14:paraId="5D2E2FA0" w14:textId="77777777" w:rsidR="00D936AE" w:rsidRPr="001F7755" w:rsidRDefault="00D936AE" w:rsidP="00D936AE">
            <w:pPr>
              <w:jc w:val="both"/>
              <w:rPr>
                <w:lang w:val="en-US"/>
              </w:rPr>
            </w:pPr>
          </w:p>
          <w:p w14:paraId="4FE5FA31" w14:textId="65FD51C6" w:rsidR="00D936AE" w:rsidRPr="001F7755" w:rsidRDefault="00D936AE" w:rsidP="00D936AE">
            <w:pPr>
              <w:jc w:val="both"/>
              <w:rPr>
                <w:lang w:val="en-US"/>
              </w:rPr>
            </w:pPr>
            <w:r w:rsidRPr="001F7755">
              <w:rPr>
                <w:lang w:val="en-US"/>
              </w:rPr>
              <w:t xml:space="preserve">Whilst all supported farmer groups harvested encouraging quantities of rice, yields were far below potential due to the non-provision of fertilizer by WFP’s partner, the Ministry of Agriculture and Forestry (MAF). Under its partnership agreement with WFP, MAF had agreed to supply all supported FBOs with short-duration seed rice and fertilizer. However, in 2020, the Government of Sierra Leone approved a policy shift in the provision of agricultural inputs, transferring this responsibility away from MAF to private-sector agribusinesses. Whilst the policy shift has been ratified, it is yet to be operationalized. Consequently, supported farmers did not receive any fertilizer – key to achieving higher yields when using short-duration rice seed – discouraging the newly formed groups from immediately rehabilitating their irrigation systems for immediate recultivation. </w:t>
            </w:r>
          </w:p>
          <w:p w14:paraId="42370B6C" w14:textId="5216C1C4" w:rsidR="005C5F7C" w:rsidRPr="001F7755" w:rsidRDefault="005C5F7C" w:rsidP="00D936AE">
            <w:pPr>
              <w:jc w:val="both"/>
              <w:rPr>
                <w:lang w:val="en-US"/>
              </w:rPr>
            </w:pPr>
          </w:p>
          <w:p w14:paraId="1B08D563" w14:textId="283AF3A2" w:rsidR="005C5F7C" w:rsidRPr="001F7755" w:rsidRDefault="005C5F7C" w:rsidP="005C5F7C">
            <w:pPr>
              <w:autoSpaceDE w:val="0"/>
              <w:autoSpaceDN w:val="0"/>
              <w:adjustRightInd w:val="0"/>
              <w:jc w:val="both"/>
              <w:rPr>
                <w:rFonts w:eastAsia="MS Mincho"/>
                <w:lang w:val="en-US" w:eastAsia="en-US"/>
              </w:rPr>
            </w:pPr>
            <w:r w:rsidRPr="001F7755">
              <w:rPr>
                <w:lang w:val="en-US"/>
              </w:rPr>
              <w:t xml:space="preserve">Owing to the foregoing, </w:t>
            </w:r>
            <w:r w:rsidRPr="001F7755">
              <w:rPr>
                <w:rFonts w:eastAsia="MS Mincho"/>
                <w:lang w:val="en-US" w:eastAsia="en-US"/>
              </w:rPr>
              <w:t xml:space="preserve">the project proposes a 6-month No-Cost Extension to allow completion of outstanding activities. </w:t>
            </w:r>
          </w:p>
          <w:p w14:paraId="3CEF069D" w14:textId="77777777" w:rsidR="005C5F7C" w:rsidRPr="001F7755" w:rsidRDefault="005C5F7C" w:rsidP="005C5F7C">
            <w:pPr>
              <w:autoSpaceDE w:val="0"/>
              <w:autoSpaceDN w:val="0"/>
              <w:adjustRightInd w:val="0"/>
              <w:jc w:val="both"/>
              <w:rPr>
                <w:rFonts w:eastAsia="MS Mincho"/>
                <w:lang w:val="en-US" w:eastAsia="en-US"/>
              </w:rPr>
            </w:pPr>
          </w:p>
          <w:p w14:paraId="16ADB095" w14:textId="64C6D28A" w:rsidR="005C5F7C" w:rsidRPr="001F7755" w:rsidRDefault="005C5F7C" w:rsidP="00AB36CF">
            <w:pPr>
              <w:autoSpaceDE w:val="0"/>
              <w:autoSpaceDN w:val="0"/>
              <w:adjustRightInd w:val="0"/>
              <w:jc w:val="both"/>
              <w:rPr>
                <w:lang w:val="en-US"/>
              </w:rPr>
            </w:pPr>
            <w:r w:rsidRPr="001F7755">
              <w:rPr>
                <w:rFonts w:eastAsia="MS Mincho"/>
                <w:lang w:val="en-US" w:eastAsia="en-US"/>
              </w:rPr>
              <w:t xml:space="preserve">Under Outcome 1, the extension will enable the completion of </w:t>
            </w:r>
            <w:r w:rsidR="00AB36CF" w:rsidRPr="001F7755">
              <w:rPr>
                <w:rFonts w:eastAsia="MS Mincho"/>
                <w:lang w:val="en-US" w:eastAsia="en-US"/>
              </w:rPr>
              <w:t xml:space="preserve">the following </w:t>
            </w:r>
            <w:r w:rsidRPr="001F7755">
              <w:rPr>
                <w:rFonts w:eastAsia="MS Mincho"/>
                <w:lang w:val="en-US" w:eastAsia="en-US"/>
              </w:rPr>
              <w:t xml:space="preserve">outstanding activities: Awareness-raising on the land regulatory framework; Strengthening of Grievance Redress Mechanisms, Community Accountability Structures, and Multi-Stakeholder Platforms; and capacity building for women groups and relevant government institutions.   </w:t>
            </w:r>
          </w:p>
          <w:p w14:paraId="44BC02BE" w14:textId="77777777" w:rsidR="00D936AE" w:rsidRPr="001F7755" w:rsidRDefault="00D936AE" w:rsidP="00D936AE">
            <w:pPr>
              <w:jc w:val="both"/>
              <w:rPr>
                <w:lang w:val="en-US"/>
              </w:rPr>
            </w:pPr>
          </w:p>
          <w:p w14:paraId="7BC1FDCC" w14:textId="77777777" w:rsidR="00D936AE" w:rsidRPr="001F7755" w:rsidRDefault="00D936AE" w:rsidP="00D936AE">
            <w:pPr>
              <w:jc w:val="both"/>
              <w:rPr>
                <w:lang w:val="en-US"/>
              </w:rPr>
            </w:pPr>
            <w:r w:rsidRPr="001F7755">
              <w:rPr>
                <w:lang w:val="en-US"/>
              </w:rPr>
              <w:t>To ensure long-term sustainability of agricultural livelihood investments, WFP thus proposes the following changes:</w:t>
            </w:r>
          </w:p>
          <w:p w14:paraId="5C3285F3" w14:textId="77777777" w:rsidR="00D936AE" w:rsidRPr="001F7755" w:rsidRDefault="00D936AE" w:rsidP="00D936AE">
            <w:pPr>
              <w:jc w:val="both"/>
              <w:rPr>
                <w:lang w:val="en-US"/>
              </w:rPr>
            </w:pPr>
          </w:p>
          <w:p w14:paraId="780475A2" w14:textId="13CC1063" w:rsidR="002C187A" w:rsidRPr="001F7755" w:rsidRDefault="00D936AE" w:rsidP="007C6F38">
            <w:pPr>
              <w:pStyle w:val="ListParagraph"/>
              <w:numPr>
                <w:ilvl w:val="0"/>
                <w:numId w:val="9"/>
              </w:numPr>
              <w:jc w:val="both"/>
              <w:rPr>
                <w:lang w:val="en-US"/>
              </w:rPr>
            </w:pPr>
            <w:r w:rsidRPr="001F7755">
              <w:rPr>
                <w:lang w:val="en-US"/>
              </w:rPr>
              <w:t xml:space="preserve">Extension in time of the project from October 2021 to April 2022. This will enable WFP and MAF to support targeted FBOs to strengthen their governance and group cohesion, contributing toward long-term sustainability. WFP and MAF will also be able to support farmers to engage in nutrition-sensitive agriculture during the dry season, increasing food availability and the incomes of women and youth. WFP will also build linkages between FBOs and markets, including selling produce to private companies and to the National </w:t>
            </w:r>
            <w:r w:rsidRPr="001F7755">
              <w:rPr>
                <w:lang w:val="en-US"/>
              </w:rPr>
              <w:lastRenderedPageBreak/>
              <w:t xml:space="preserve">School Feeding Programme; and to buy inputs from newly established agribusinesses.  </w:t>
            </w:r>
          </w:p>
        </w:tc>
      </w:tr>
    </w:tbl>
    <w:p w14:paraId="509D177D" w14:textId="77777777" w:rsidR="00673D6E" w:rsidRPr="001F7755" w:rsidRDefault="00673D6E" w:rsidP="00E76CA1">
      <w:pPr>
        <w:rPr>
          <w:b/>
          <w:lang w:val="en-US"/>
        </w:rPr>
      </w:pPr>
    </w:p>
    <w:p w14:paraId="1EDB62B0" w14:textId="77777777" w:rsidR="001B54AC" w:rsidRPr="001F7755" w:rsidRDefault="001B54AC" w:rsidP="001B54AC">
      <w:pPr>
        <w:rPr>
          <w:b/>
          <w:u w:val="single"/>
          <w:lang w:val="en-US"/>
        </w:rPr>
      </w:pPr>
    </w:p>
    <w:p w14:paraId="0A92E17E" w14:textId="77777777" w:rsidR="00F43449" w:rsidRPr="001F7755" w:rsidRDefault="00F43449" w:rsidP="001B54AC">
      <w:pPr>
        <w:rPr>
          <w:b/>
          <w:u w:val="single"/>
          <w:lang w:val="en-US"/>
        </w:rPr>
      </w:pPr>
    </w:p>
    <w:p w14:paraId="3536F884" w14:textId="39AF0656" w:rsidR="001B54AC" w:rsidRPr="001F7755" w:rsidRDefault="00E83A40" w:rsidP="001B54AC">
      <w:pPr>
        <w:rPr>
          <w:b/>
          <w:u w:val="single"/>
          <w:lang w:val="en-US"/>
        </w:rPr>
      </w:pPr>
      <w:r w:rsidRPr="001F7755">
        <w:rPr>
          <w:b/>
          <w:u w:val="single"/>
          <w:lang w:val="en-US"/>
        </w:rPr>
        <w:t>PART IV: COVID-19</w:t>
      </w:r>
    </w:p>
    <w:p w14:paraId="02781BF2" w14:textId="0FFB9ED8" w:rsidR="00E83A40" w:rsidRPr="001F7755" w:rsidRDefault="00E83A40" w:rsidP="001B54AC">
      <w:pPr>
        <w:rPr>
          <w:b/>
          <w:u w:val="single"/>
          <w:lang w:val="en-US"/>
        </w:rPr>
      </w:pPr>
      <w:r w:rsidRPr="001F7755">
        <w:rPr>
          <w:i/>
          <w:iCs/>
          <w:lang w:val="en-US"/>
        </w:rPr>
        <w:t>Please respond to these questions if the project underwent any monetary or non-monetary adjustments due to the COVID-19 pandemic</w:t>
      </w:r>
      <w:r w:rsidR="00C70E7A" w:rsidRPr="001F7755">
        <w:rPr>
          <w:i/>
          <w:iCs/>
          <w:lang w:val="en-US"/>
        </w:rPr>
        <w:t>.</w:t>
      </w:r>
    </w:p>
    <w:p w14:paraId="00D01617" w14:textId="77777777" w:rsidR="00E83A40" w:rsidRPr="001F7755" w:rsidRDefault="00E83A40" w:rsidP="001B54AC">
      <w:pPr>
        <w:rPr>
          <w:b/>
          <w:bCs/>
          <w:lang w:val="en-US"/>
        </w:rPr>
      </w:pPr>
    </w:p>
    <w:p w14:paraId="4AE5D756" w14:textId="77777777" w:rsidR="004E3B3E" w:rsidRPr="001F7755" w:rsidRDefault="004E3B3E" w:rsidP="00E83A40">
      <w:pPr>
        <w:pStyle w:val="ListParagraph"/>
        <w:rPr>
          <w:lang w:val="en-US"/>
        </w:rPr>
      </w:pPr>
    </w:p>
    <w:p w14:paraId="2BA56957" w14:textId="7BCBD29F" w:rsidR="00E83A40" w:rsidRPr="001F7755" w:rsidRDefault="00257569" w:rsidP="006E7CA4">
      <w:pPr>
        <w:pStyle w:val="ListParagraph"/>
        <w:numPr>
          <w:ilvl w:val="0"/>
          <w:numId w:val="3"/>
        </w:numPr>
        <w:rPr>
          <w:lang w:val="en-US"/>
        </w:rPr>
      </w:pPr>
      <w:r w:rsidRPr="001F7755">
        <w:rPr>
          <w:lang w:val="en-US"/>
        </w:rPr>
        <w:t xml:space="preserve">Monetary adjustments: </w:t>
      </w:r>
      <w:r w:rsidR="00E83A40" w:rsidRPr="001F7755">
        <w:rPr>
          <w:lang w:val="en-US"/>
        </w:rPr>
        <w:t>Please indicate the total amount in USD of adjustments due to COVID-19:</w:t>
      </w:r>
    </w:p>
    <w:p w14:paraId="1A1B4322" w14:textId="77777777" w:rsidR="00E83A40" w:rsidRPr="001F7755" w:rsidRDefault="00E83A40" w:rsidP="00E83A40">
      <w:pPr>
        <w:rPr>
          <w:lang w:val="en-US"/>
        </w:rPr>
      </w:pPr>
    </w:p>
    <w:p w14:paraId="3A7A0ECE" w14:textId="15CDD489" w:rsidR="00E83A40" w:rsidRPr="001F7755" w:rsidRDefault="00C55E8E" w:rsidP="00D936AE">
      <w:pPr>
        <w:tabs>
          <w:tab w:val="left" w:pos="2410"/>
        </w:tabs>
        <w:ind w:left="2160"/>
        <w:rPr>
          <w:lang w:val="en-US"/>
        </w:rPr>
      </w:pPr>
      <w:r w:rsidRPr="001F7755">
        <w:rPr>
          <w:lang w:val="en-US"/>
        </w:rPr>
        <w:t>$</w:t>
      </w:r>
      <w:r w:rsidR="001B54AC" w:rsidRPr="001F7755">
        <w:rPr>
          <w:lang w:val="en-US"/>
        </w:rPr>
        <w:fldChar w:fldCharType="begin">
          <w:ffData>
            <w:name w:val=""/>
            <w:enabled/>
            <w:calcOnExit w:val="0"/>
            <w:textInput>
              <w:maxLength w:val="100"/>
              <w:format w:val="FIRST CAPITAL"/>
            </w:textInput>
          </w:ffData>
        </w:fldChar>
      </w:r>
      <w:r w:rsidR="001B54AC" w:rsidRPr="001F7755">
        <w:rPr>
          <w:lang w:val="en-US"/>
        </w:rPr>
        <w:instrText xml:space="preserve"> FORMTEXT </w:instrText>
      </w:r>
      <w:r w:rsidR="001B54AC" w:rsidRPr="001F7755">
        <w:rPr>
          <w:lang w:val="en-US"/>
        </w:rPr>
      </w:r>
      <w:r w:rsidR="001B54AC" w:rsidRPr="001F7755">
        <w:rPr>
          <w:lang w:val="en-US"/>
        </w:rPr>
        <w:fldChar w:fldCharType="separate"/>
      </w:r>
      <w:r w:rsidR="001B54AC" w:rsidRPr="001F7755">
        <w:rPr>
          <w:noProof/>
          <w:lang w:val="en-US"/>
        </w:rPr>
        <w:t> </w:t>
      </w:r>
      <w:r w:rsidR="001B54AC" w:rsidRPr="001F7755">
        <w:rPr>
          <w:noProof/>
          <w:lang w:val="en-US"/>
        </w:rPr>
        <w:t> </w:t>
      </w:r>
      <w:r w:rsidR="001B54AC" w:rsidRPr="001F7755">
        <w:rPr>
          <w:noProof/>
          <w:lang w:val="en-US"/>
        </w:rPr>
        <w:t> </w:t>
      </w:r>
      <w:r w:rsidR="001B54AC" w:rsidRPr="001F7755">
        <w:rPr>
          <w:noProof/>
          <w:lang w:val="en-US"/>
        </w:rPr>
        <w:t> </w:t>
      </w:r>
      <w:r w:rsidR="001B54AC" w:rsidRPr="001F7755">
        <w:rPr>
          <w:noProof/>
          <w:lang w:val="en-US"/>
        </w:rPr>
        <w:t> </w:t>
      </w:r>
      <w:r w:rsidR="001B54AC" w:rsidRPr="001F7755">
        <w:rPr>
          <w:lang w:val="en-US"/>
        </w:rPr>
        <w:fldChar w:fldCharType="end"/>
      </w:r>
    </w:p>
    <w:p w14:paraId="50938D6B" w14:textId="77777777" w:rsidR="00E83A40" w:rsidRPr="001F7755" w:rsidRDefault="00E83A40" w:rsidP="00E83A40">
      <w:pPr>
        <w:rPr>
          <w:lang w:val="en-US"/>
        </w:rPr>
      </w:pPr>
    </w:p>
    <w:p w14:paraId="42BC2B4F" w14:textId="77C65F92" w:rsidR="00E83A40" w:rsidRPr="001F7755" w:rsidRDefault="00C55E8E" w:rsidP="006E7CA4">
      <w:pPr>
        <w:pStyle w:val="ListParagraph"/>
        <w:numPr>
          <w:ilvl w:val="0"/>
          <w:numId w:val="3"/>
        </w:numPr>
        <w:rPr>
          <w:lang w:val="en-US"/>
        </w:rPr>
      </w:pPr>
      <w:r w:rsidRPr="001F7755">
        <w:rPr>
          <w:lang w:val="en-US"/>
        </w:rPr>
        <w:t xml:space="preserve">Non-monetary adjustments: </w:t>
      </w:r>
      <w:r w:rsidR="00E83A40" w:rsidRPr="001F7755">
        <w:rPr>
          <w:lang w:val="en-US"/>
        </w:rPr>
        <w:t>Please indicate any adjustments</w:t>
      </w:r>
      <w:r w:rsidR="00257569" w:rsidRPr="001F7755">
        <w:rPr>
          <w:lang w:val="en-US"/>
        </w:rPr>
        <w:t xml:space="preserve"> to the project</w:t>
      </w:r>
      <w:r w:rsidR="00E83A40" w:rsidRPr="001F7755">
        <w:rPr>
          <w:lang w:val="en-US"/>
        </w:rPr>
        <w:t xml:space="preserve"> which did not have any financial implications:</w:t>
      </w:r>
    </w:p>
    <w:p w14:paraId="469CAAD6" w14:textId="15EF6B62" w:rsidR="00D936AE" w:rsidRPr="001F7755" w:rsidRDefault="00D936AE" w:rsidP="00D936AE">
      <w:pPr>
        <w:rPr>
          <w:lang w:val="en-US"/>
        </w:rPr>
      </w:pPr>
      <w:r w:rsidRPr="001F7755">
        <w:rPr>
          <w:lang w:val="en-US"/>
        </w:rPr>
        <w:t>To ensure that group livelihood activities could continue to be implemented during the COVID-19 outbreak, farmers were encouraged to work in smaller groups, practice social distancing, regularly wash hands and working tools and wear facemasks. WFP provided handwashing stations, soap</w:t>
      </w:r>
      <w:r w:rsidR="00D062E1" w:rsidRPr="001F7755">
        <w:rPr>
          <w:lang w:val="en-US"/>
        </w:rPr>
        <w:t>,</w:t>
      </w:r>
      <w:r w:rsidRPr="001F7755">
        <w:rPr>
          <w:lang w:val="en-US"/>
        </w:rPr>
        <w:t xml:space="preserve"> and face masks for this purpose.</w:t>
      </w:r>
    </w:p>
    <w:p w14:paraId="46D182B0" w14:textId="0EC4607B" w:rsidR="00E83A40" w:rsidRPr="001F7755" w:rsidRDefault="00D936AE" w:rsidP="00D936AE">
      <w:pPr>
        <w:rPr>
          <w:lang w:val="en-US"/>
        </w:rPr>
      </w:pPr>
      <w:r w:rsidRPr="001F7755">
        <w:rPr>
          <w:lang w:val="en-US"/>
        </w:rPr>
        <w:t xml:space="preserve">Cash disbursements to farmers were made in accordance to WFP’s Standard Operating Procedure (SOP) for safe distributions during the COVID-19 outbreak.  </w:t>
      </w:r>
    </w:p>
    <w:p w14:paraId="3779C9A2" w14:textId="77777777" w:rsidR="00257569" w:rsidRPr="001F7755" w:rsidRDefault="00257569" w:rsidP="00257569">
      <w:pPr>
        <w:rPr>
          <w:lang w:val="en-US"/>
        </w:rPr>
      </w:pPr>
    </w:p>
    <w:p w14:paraId="59BC82AF" w14:textId="2B9AA913" w:rsidR="00257569" w:rsidRPr="001F7755" w:rsidRDefault="00257569" w:rsidP="006E7CA4">
      <w:pPr>
        <w:pStyle w:val="ListParagraph"/>
        <w:numPr>
          <w:ilvl w:val="0"/>
          <w:numId w:val="3"/>
        </w:numPr>
        <w:rPr>
          <w:lang w:val="en-US"/>
        </w:rPr>
      </w:pPr>
      <w:r w:rsidRPr="001F7755">
        <w:rPr>
          <w:lang w:val="en-US"/>
        </w:rPr>
        <w:t>Please select all categories which describe the adjustments made to the project (</w:t>
      </w:r>
      <w:r w:rsidRPr="001F7755">
        <w:rPr>
          <w:i/>
          <w:iCs/>
          <w:lang w:val="en-US"/>
        </w:rPr>
        <w:t>and include details in general sections of</w:t>
      </w:r>
      <w:r w:rsidR="00C55E8E" w:rsidRPr="001F7755">
        <w:rPr>
          <w:i/>
          <w:iCs/>
          <w:lang w:val="en-US"/>
        </w:rPr>
        <w:t xml:space="preserve"> this</w:t>
      </w:r>
      <w:r w:rsidRPr="001F7755">
        <w:rPr>
          <w:i/>
          <w:iCs/>
          <w:lang w:val="en-US"/>
        </w:rPr>
        <w:t xml:space="preserve"> report</w:t>
      </w:r>
      <w:r w:rsidRPr="001F7755">
        <w:rPr>
          <w:lang w:val="en-US"/>
        </w:rPr>
        <w:t>):</w:t>
      </w:r>
    </w:p>
    <w:p w14:paraId="13758056" w14:textId="77777777" w:rsidR="00257569" w:rsidRPr="001F7755" w:rsidRDefault="00257569" w:rsidP="00257569">
      <w:pPr>
        <w:rPr>
          <w:lang w:val="en-US"/>
        </w:rPr>
      </w:pPr>
    </w:p>
    <w:p w14:paraId="2697C025" w14:textId="270AE82B" w:rsidR="00257569" w:rsidRPr="001F7755" w:rsidRDefault="00BB4E3C" w:rsidP="00257569">
      <w:pPr>
        <w:rPr>
          <w:lang w:val="en-US"/>
        </w:rPr>
      </w:pPr>
      <w:sdt>
        <w:sdtPr>
          <w:rPr>
            <w:lang w:val="en-US"/>
          </w:rPr>
          <w:id w:val="402566072"/>
          <w14:checkbox>
            <w14:checked w14:val="0"/>
            <w14:checkedState w14:val="2612" w14:font="MS Gothic"/>
            <w14:uncheckedState w14:val="2610" w14:font="MS Gothic"/>
          </w14:checkbox>
        </w:sdtPr>
        <w:sdtEndPr/>
        <w:sdtContent>
          <w:r w:rsidR="00257569" w:rsidRPr="001F7755">
            <w:rPr>
              <w:rFonts w:ascii="MS Gothic" w:eastAsia="MS Gothic" w:hAnsi="MS Gothic"/>
              <w:lang w:val="en-US"/>
            </w:rPr>
            <w:t>☐</w:t>
          </w:r>
        </w:sdtContent>
      </w:sdt>
      <w:r w:rsidR="00257569" w:rsidRPr="001F7755">
        <w:rPr>
          <w:lang w:val="en-US"/>
        </w:rPr>
        <w:t xml:space="preserve"> Reinforce crisis management capacities and communications</w:t>
      </w:r>
    </w:p>
    <w:p w14:paraId="26B30B5B" w14:textId="25FE9730" w:rsidR="00257569" w:rsidRPr="001F7755" w:rsidRDefault="00BB4E3C" w:rsidP="00257569">
      <w:pPr>
        <w:rPr>
          <w:lang w:val="en-US"/>
        </w:rPr>
      </w:pPr>
      <w:sdt>
        <w:sdtPr>
          <w:rPr>
            <w:lang w:val="en-US"/>
          </w:rPr>
          <w:id w:val="1706904896"/>
          <w14:checkbox>
            <w14:checked w14:val="0"/>
            <w14:checkedState w14:val="2612" w14:font="MS Gothic"/>
            <w14:uncheckedState w14:val="2610" w14:font="MS Gothic"/>
          </w14:checkbox>
        </w:sdtPr>
        <w:sdtEndPr/>
        <w:sdtContent>
          <w:r w:rsidR="00257569" w:rsidRPr="001F7755">
            <w:rPr>
              <w:rFonts w:ascii="MS Gothic" w:eastAsia="MS Gothic" w:hAnsi="MS Gothic"/>
              <w:lang w:val="en-US"/>
            </w:rPr>
            <w:t>☐</w:t>
          </w:r>
        </w:sdtContent>
      </w:sdt>
      <w:r w:rsidR="00257569" w:rsidRPr="001F7755">
        <w:rPr>
          <w:lang w:val="en-US"/>
        </w:rPr>
        <w:t xml:space="preserve"> Ensure inclusive and equitable response and recovery</w:t>
      </w:r>
    </w:p>
    <w:p w14:paraId="3DC77993" w14:textId="7C388445" w:rsidR="00257569" w:rsidRPr="001F7755" w:rsidRDefault="00BB4E3C" w:rsidP="00257569">
      <w:pPr>
        <w:rPr>
          <w:lang w:val="en-US"/>
        </w:rPr>
      </w:pPr>
      <w:sdt>
        <w:sdtPr>
          <w:rPr>
            <w:lang w:val="en-US"/>
          </w:rPr>
          <w:id w:val="1028075960"/>
          <w14:checkbox>
            <w14:checked w14:val="0"/>
            <w14:checkedState w14:val="2612" w14:font="MS Gothic"/>
            <w14:uncheckedState w14:val="2610" w14:font="MS Gothic"/>
          </w14:checkbox>
        </w:sdtPr>
        <w:sdtEndPr/>
        <w:sdtContent>
          <w:r w:rsidR="00257569" w:rsidRPr="001F7755">
            <w:rPr>
              <w:rFonts w:ascii="MS Gothic" w:eastAsia="MS Gothic" w:hAnsi="MS Gothic"/>
              <w:lang w:val="en-US"/>
            </w:rPr>
            <w:t>☐</w:t>
          </w:r>
        </w:sdtContent>
      </w:sdt>
      <w:r w:rsidR="00257569" w:rsidRPr="001F7755">
        <w:rPr>
          <w:lang w:val="en-US"/>
        </w:rPr>
        <w:t xml:space="preserve"> Strengthen inter-community social cohesion and border management</w:t>
      </w:r>
    </w:p>
    <w:p w14:paraId="545EB12E" w14:textId="77777777" w:rsidR="00257569" w:rsidRPr="001F7755" w:rsidRDefault="00BB4E3C" w:rsidP="00257569">
      <w:pPr>
        <w:rPr>
          <w:lang w:val="en-US"/>
        </w:rPr>
      </w:pPr>
      <w:sdt>
        <w:sdtPr>
          <w:rPr>
            <w:lang w:val="en-US"/>
          </w:rPr>
          <w:id w:val="1433550173"/>
          <w14:checkbox>
            <w14:checked w14:val="0"/>
            <w14:checkedState w14:val="2612" w14:font="MS Gothic"/>
            <w14:uncheckedState w14:val="2610" w14:font="MS Gothic"/>
          </w14:checkbox>
        </w:sdtPr>
        <w:sdtEndPr/>
        <w:sdtContent>
          <w:r w:rsidR="00257569" w:rsidRPr="001F7755">
            <w:rPr>
              <w:rFonts w:ascii="MS Gothic" w:eastAsia="MS Gothic" w:hAnsi="MS Gothic"/>
              <w:lang w:val="en-US"/>
            </w:rPr>
            <w:t>☐</w:t>
          </w:r>
        </w:sdtContent>
      </w:sdt>
      <w:r w:rsidR="00257569" w:rsidRPr="001F7755">
        <w:rPr>
          <w:lang w:val="en-US"/>
        </w:rPr>
        <w:t xml:space="preserve"> Counter hate speech and stigmatization and address trauma</w:t>
      </w:r>
    </w:p>
    <w:p w14:paraId="6C3CF8C3" w14:textId="77777777" w:rsidR="00257569" w:rsidRPr="001F7755" w:rsidRDefault="00257569" w:rsidP="00257569">
      <w:pPr>
        <w:rPr>
          <w:lang w:val="en-US"/>
        </w:rPr>
      </w:pPr>
    </w:p>
    <w:p w14:paraId="1FEA3E7A" w14:textId="45C12543" w:rsidR="00257569" w:rsidRPr="001F7755" w:rsidRDefault="00BB4E3C" w:rsidP="00257569">
      <w:pPr>
        <w:rPr>
          <w:lang w:val="en-US"/>
        </w:rPr>
      </w:pPr>
      <w:sdt>
        <w:sdtPr>
          <w:rPr>
            <w:lang w:val="en-US"/>
          </w:rPr>
          <w:id w:val="-197162951"/>
          <w14:checkbox>
            <w14:checked w14:val="0"/>
            <w14:checkedState w14:val="2612" w14:font="MS Gothic"/>
            <w14:uncheckedState w14:val="2610" w14:font="MS Gothic"/>
          </w14:checkbox>
        </w:sdtPr>
        <w:sdtEndPr/>
        <w:sdtContent>
          <w:r w:rsidR="00257569" w:rsidRPr="001F7755">
            <w:rPr>
              <w:rFonts w:ascii="MS Gothic" w:eastAsia="MS Gothic" w:hAnsi="MS Gothic"/>
              <w:lang w:val="en-US"/>
            </w:rPr>
            <w:t>☐</w:t>
          </w:r>
        </w:sdtContent>
      </w:sdt>
      <w:r w:rsidR="00257569" w:rsidRPr="001F7755">
        <w:rPr>
          <w:lang w:val="en-US"/>
        </w:rPr>
        <w:t xml:space="preserve"> Support the SG’s call for a global ceasefire</w:t>
      </w:r>
    </w:p>
    <w:p w14:paraId="57416BD3" w14:textId="4A1BFD85" w:rsidR="00257569" w:rsidRPr="001F7755" w:rsidRDefault="00BB4E3C" w:rsidP="001B54AC">
      <w:pPr>
        <w:rPr>
          <w:lang w:val="en-US"/>
        </w:rPr>
      </w:pPr>
      <w:sdt>
        <w:sdtPr>
          <w:rPr>
            <w:lang w:val="en-US"/>
          </w:rPr>
          <w:id w:val="810906333"/>
          <w14:checkbox>
            <w14:checked w14:val="0"/>
            <w14:checkedState w14:val="2612" w14:font="MS Gothic"/>
            <w14:uncheckedState w14:val="2610" w14:font="MS Gothic"/>
          </w14:checkbox>
        </w:sdtPr>
        <w:sdtEndPr/>
        <w:sdtContent>
          <w:r w:rsidR="00257569" w:rsidRPr="001F7755">
            <w:rPr>
              <w:rFonts w:ascii="MS Gothic" w:eastAsia="MS Gothic" w:hAnsi="MS Gothic"/>
              <w:lang w:val="en-US"/>
            </w:rPr>
            <w:t>☐</w:t>
          </w:r>
        </w:sdtContent>
      </w:sdt>
      <w:r w:rsidR="00257569" w:rsidRPr="001F7755">
        <w:rPr>
          <w:lang w:val="en-US"/>
        </w:rPr>
        <w:t xml:space="preserve"> Other (please describe): </w:t>
      </w:r>
      <w:r w:rsidR="00F065BD" w:rsidRPr="001F7755">
        <w:rPr>
          <w:lang w:val="en-US"/>
        </w:rPr>
        <w:fldChar w:fldCharType="begin">
          <w:ffData>
            <w:name w:val=""/>
            <w:enabled/>
            <w:calcOnExit w:val="0"/>
            <w:textInput>
              <w:maxLength w:val="1500"/>
              <w:format w:val="FIRST CAPITAL"/>
            </w:textInput>
          </w:ffData>
        </w:fldChar>
      </w:r>
      <w:r w:rsidR="00F065BD" w:rsidRPr="001F7755">
        <w:rPr>
          <w:lang w:val="en-US"/>
        </w:rPr>
        <w:instrText xml:space="preserve"> FORMTEXT </w:instrText>
      </w:r>
      <w:r w:rsidR="00F065BD" w:rsidRPr="001F7755">
        <w:rPr>
          <w:lang w:val="en-US"/>
        </w:rPr>
      </w:r>
      <w:r w:rsidR="00F065BD" w:rsidRPr="001F7755">
        <w:rPr>
          <w:lang w:val="en-US"/>
        </w:rPr>
        <w:fldChar w:fldCharType="separate"/>
      </w:r>
      <w:r w:rsidR="00F065BD" w:rsidRPr="001F7755">
        <w:rPr>
          <w:noProof/>
          <w:lang w:val="en-US"/>
        </w:rPr>
        <w:t> </w:t>
      </w:r>
      <w:r w:rsidR="00F065BD" w:rsidRPr="001F7755">
        <w:rPr>
          <w:noProof/>
          <w:lang w:val="en-US"/>
        </w:rPr>
        <w:t> </w:t>
      </w:r>
      <w:r w:rsidR="00F065BD" w:rsidRPr="001F7755">
        <w:rPr>
          <w:noProof/>
          <w:lang w:val="en-US"/>
        </w:rPr>
        <w:t> </w:t>
      </w:r>
      <w:r w:rsidR="00F065BD" w:rsidRPr="001F7755">
        <w:rPr>
          <w:noProof/>
          <w:lang w:val="en-US"/>
        </w:rPr>
        <w:t> </w:t>
      </w:r>
      <w:r w:rsidR="00F065BD" w:rsidRPr="001F7755">
        <w:rPr>
          <w:noProof/>
          <w:lang w:val="en-US"/>
        </w:rPr>
        <w:t> </w:t>
      </w:r>
      <w:r w:rsidR="00F065BD" w:rsidRPr="001F7755">
        <w:rPr>
          <w:lang w:val="en-US"/>
        </w:rPr>
        <w:fldChar w:fldCharType="end"/>
      </w:r>
    </w:p>
    <w:p w14:paraId="16206367" w14:textId="7627270D" w:rsidR="00257569" w:rsidRPr="001F7755" w:rsidRDefault="00257569" w:rsidP="00257569">
      <w:pPr>
        <w:ind w:left="2160"/>
        <w:rPr>
          <w:lang w:val="en-US"/>
        </w:rPr>
      </w:pPr>
    </w:p>
    <w:p w14:paraId="57122498" w14:textId="0EC1AA1B" w:rsidR="00257569" w:rsidRPr="001F7755" w:rsidRDefault="00257569" w:rsidP="00257569">
      <w:pPr>
        <w:rPr>
          <w:lang w:val="en-US"/>
        </w:rPr>
      </w:pPr>
      <w:r w:rsidRPr="001F7755">
        <w:rPr>
          <w:lang w:val="en-US"/>
        </w:rPr>
        <w:t>If relevant, please share a COVID-19 success story of this project (</w:t>
      </w:r>
      <w:r w:rsidRPr="001F7755">
        <w:rPr>
          <w:i/>
          <w:iCs/>
          <w:lang w:val="en-US"/>
        </w:rPr>
        <w:t>i.e. how adjustments of this project made a difference and contributed to a positive response to the pandemic</w:t>
      </w:r>
      <w:r w:rsidR="0094196C" w:rsidRPr="001F7755">
        <w:rPr>
          <w:i/>
          <w:iCs/>
          <w:lang w:val="en-US"/>
        </w:rPr>
        <w:t>/prevented tensions or violence related to the pandemic etc.</w:t>
      </w:r>
      <w:r w:rsidRPr="001F7755">
        <w:rPr>
          <w:lang w:val="en-US"/>
        </w:rPr>
        <w:t>)</w:t>
      </w:r>
    </w:p>
    <w:p w14:paraId="33D931B2" w14:textId="77777777" w:rsidR="0094196C" w:rsidRPr="001F7755" w:rsidRDefault="0094196C" w:rsidP="00257569">
      <w:pPr>
        <w:rPr>
          <w:lang w:val="en-US"/>
        </w:rPr>
      </w:pPr>
    </w:p>
    <w:p w14:paraId="36A7784B" w14:textId="28597186" w:rsidR="0094196C" w:rsidRPr="001F7755" w:rsidRDefault="00034A4C" w:rsidP="001B54AC">
      <w:pPr>
        <w:rPr>
          <w:lang w:val="en-US"/>
        </w:rPr>
      </w:pPr>
      <w:r w:rsidRPr="001F7755">
        <w:rPr>
          <w:lang w:val="en-US"/>
        </w:rPr>
        <w:fldChar w:fldCharType="begin">
          <w:ffData>
            <w:name w:val=""/>
            <w:enabled/>
            <w:calcOnExit w:val="0"/>
            <w:textInput>
              <w:maxLength w:val="2000"/>
              <w:format w:val="FIRST CAPITAL"/>
            </w:textInput>
          </w:ffData>
        </w:fldChar>
      </w:r>
      <w:r w:rsidRPr="001F7755">
        <w:rPr>
          <w:lang w:val="en-US"/>
        </w:rPr>
        <w:instrText xml:space="preserve"> FORMTEXT </w:instrText>
      </w:r>
      <w:r w:rsidRPr="001F7755">
        <w:rPr>
          <w:lang w:val="en-US"/>
        </w:rPr>
      </w:r>
      <w:r w:rsidRPr="001F7755">
        <w:rPr>
          <w:lang w:val="en-US"/>
        </w:rPr>
        <w:fldChar w:fldCharType="separate"/>
      </w:r>
      <w:r w:rsidRPr="001F7755">
        <w:rPr>
          <w:noProof/>
          <w:lang w:val="en-US"/>
        </w:rPr>
        <w:t> </w:t>
      </w:r>
      <w:r w:rsidRPr="001F7755">
        <w:rPr>
          <w:noProof/>
          <w:lang w:val="en-US"/>
        </w:rPr>
        <w:t> </w:t>
      </w:r>
      <w:r w:rsidRPr="001F7755">
        <w:rPr>
          <w:noProof/>
          <w:lang w:val="en-US"/>
        </w:rPr>
        <w:t> </w:t>
      </w:r>
      <w:r w:rsidRPr="001F7755">
        <w:rPr>
          <w:noProof/>
          <w:lang w:val="en-US"/>
        </w:rPr>
        <w:t> </w:t>
      </w:r>
      <w:r w:rsidRPr="001F7755">
        <w:rPr>
          <w:noProof/>
          <w:lang w:val="en-US"/>
        </w:rPr>
        <w:t> </w:t>
      </w:r>
      <w:r w:rsidRPr="001F7755">
        <w:rPr>
          <w:lang w:val="en-US"/>
        </w:rPr>
        <w:fldChar w:fldCharType="end"/>
      </w:r>
    </w:p>
    <w:p w14:paraId="5E73D539" w14:textId="77777777" w:rsidR="00257569" w:rsidRPr="001F7755" w:rsidRDefault="00257569" w:rsidP="00257569">
      <w:pPr>
        <w:ind w:left="2160"/>
        <w:rPr>
          <w:lang w:val="en-US"/>
        </w:rPr>
      </w:pPr>
    </w:p>
    <w:p w14:paraId="14363678" w14:textId="03D25EEA" w:rsidR="00257569" w:rsidRPr="001F7755" w:rsidRDefault="00257569" w:rsidP="00257569">
      <w:pPr>
        <w:rPr>
          <w:lang w:val="en-US"/>
        </w:rPr>
        <w:sectPr w:rsidR="00257569" w:rsidRPr="001F7755" w:rsidSect="0078600B">
          <w:pgSz w:w="11906" w:h="16838"/>
          <w:pgMar w:top="1440" w:right="1800" w:bottom="1440" w:left="1800" w:header="720" w:footer="720" w:gutter="0"/>
          <w:cols w:space="720"/>
          <w:docGrid w:linePitch="360"/>
        </w:sectPr>
      </w:pPr>
    </w:p>
    <w:p w14:paraId="1A0769B6" w14:textId="77777777" w:rsidR="00203430" w:rsidRPr="001F7755" w:rsidRDefault="00203430" w:rsidP="00203430">
      <w:pPr>
        <w:ind w:firstLine="990"/>
        <w:jc w:val="both"/>
        <w:rPr>
          <w:b/>
          <w:u w:val="single"/>
          <w:lang w:val="en-US"/>
        </w:rPr>
      </w:pPr>
      <w:r w:rsidRPr="001F7755">
        <w:rPr>
          <w:b/>
          <w:u w:val="single"/>
          <w:lang w:val="en-US"/>
        </w:rPr>
        <w:lastRenderedPageBreak/>
        <w:t>PART V: INDICATOR BASED PERFORMANCE ASSESSMENT</w:t>
      </w:r>
    </w:p>
    <w:p w14:paraId="296F3154" w14:textId="77777777" w:rsidR="00203430" w:rsidRPr="001F7755" w:rsidRDefault="00203430" w:rsidP="00203430">
      <w:pPr>
        <w:jc w:val="both"/>
        <w:rPr>
          <w:b/>
          <w:i/>
          <w:lang w:val="en-US" w:eastAsia="en-US"/>
        </w:rPr>
      </w:pPr>
    </w:p>
    <w:p w14:paraId="29C41E90" w14:textId="77777777" w:rsidR="00203430" w:rsidRPr="001F7755" w:rsidRDefault="00203430" w:rsidP="00203430">
      <w:pPr>
        <w:jc w:val="both"/>
        <w:rPr>
          <w:bCs/>
          <w:lang w:val="en-US" w:eastAsia="en-US"/>
        </w:rPr>
      </w:pPr>
      <w:r w:rsidRPr="001F7755">
        <w:rPr>
          <w:bCs/>
          <w:i/>
          <w:lang w:val="en-US" w:eastAsia="en-US"/>
        </w:rPr>
        <w:t xml:space="preserve">Using the </w:t>
      </w:r>
      <w:r w:rsidRPr="001F7755">
        <w:rPr>
          <w:b/>
          <w:bCs/>
          <w:i/>
          <w:lang w:val="en-US" w:eastAsia="en-US"/>
        </w:rPr>
        <w:t>Project Results Framework as per the approved project document or any amendments</w:t>
      </w:r>
      <w:r w:rsidRPr="001F7755">
        <w:rPr>
          <w:bCs/>
          <w:i/>
          <w:lang w:val="en-US" w:eastAsia="en-US"/>
        </w:rPr>
        <w:t xml:space="preserve">- provide an update on the achievement of </w:t>
      </w:r>
      <w:r w:rsidRPr="001F7755">
        <w:rPr>
          <w:b/>
          <w:i/>
          <w:lang w:val="en-US" w:eastAsia="en-US"/>
        </w:rPr>
        <w:t>key indicators</w:t>
      </w:r>
      <w:r w:rsidRPr="001F7755">
        <w:rPr>
          <w:bCs/>
          <w:i/>
          <w:lang w:val="en-US" w:eastAsia="en-U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1F7755">
        <w:rPr>
          <w:bCs/>
          <w:lang w:val="en-US" w:eastAsia="en-US"/>
        </w:rPr>
        <w:t xml:space="preserve"> Provide gender and age disaggregated data. (300 characters max per entry)</w:t>
      </w:r>
    </w:p>
    <w:p w14:paraId="63D532E2" w14:textId="77777777" w:rsidR="00203430" w:rsidRPr="001F7755" w:rsidRDefault="00203430" w:rsidP="00203430">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E65CE3" w:rsidRPr="001F7755" w14:paraId="693416FF" w14:textId="77777777" w:rsidTr="00904962">
        <w:trPr>
          <w:tblHeader/>
        </w:trPr>
        <w:tc>
          <w:tcPr>
            <w:tcW w:w="1530" w:type="dxa"/>
          </w:tcPr>
          <w:p w14:paraId="00D1EF0C" w14:textId="77777777" w:rsidR="00E65CE3" w:rsidRPr="001F7755" w:rsidRDefault="00E65CE3" w:rsidP="00904962">
            <w:pPr>
              <w:jc w:val="center"/>
              <w:rPr>
                <w:b/>
                <w:lang w:val="en-US" w:eastAsia="en-US"/>
              </w:rPr>
            </w:pPr>
          </w:p>
        </w:tc>
        <w:tc>
          <w:tcPr>
            <w:tcW w:w="2070" w:type="dxa"/>
            <w:shd w:val="clear" w:color="auto" w:fill="auto"/>
          </w:tcPr>
          <w:p w14:paraId="10CC4F64" w14:textId="77777777" w:rsidR="00E65CE3" w:rsidRPr="001F7755" w:rsidRDefault="00E65CE3" w:rsidP="00904962">
            <w:pPr>
              <w:jc w:val="center"/>
              <w:rPr>
                <w:b/>
                <w:lang w:val="en-US" w:eastAsia="en-US"/>
              </w:rPr>
            </w:pPr>
            <w:r w:rsidRPr="001F7755">
              <w:rPr>
                <w:b/>
                <w:lang w:val="en-US" w:eastAsia="en-US"/>
              </w:rPr>
              <w:t>Performance Indicators</w:t>
            </w:r>
          </w:p>
        </w:tc>
        <w:tc>
          <w:tcPr>
            <w:tcW w:w="1530" w:type="dxa"/>
            <w:shd w:val="clear" w:color="auto" w:fill="auto"/>
          </w:tcPr>
          <w:p w14:paraId="090E735E" w14:textId="77777777" w:rsidR="00E65CE3" w:rsidRPr="001F7755" w:rsidRDefault="00E65CE3" w:rsidP="00904962">
            <w:pPr>
              <w:jc w:val="center"/>
              <w:rPr>
                <w:b/>
                <w:lang w:val="en-US" w:eastAsia="en-US"/>
              </w:rPr>
            </w:pPr>
            <w:r w:rsidRPr="001F7755">
              <w:rPr>
                <w:b/>
                <w:lang w:val="en-US" w:eastAsia="en-US"/>
              </w:rPr>
              <w:t>Indicator Baseline</w:t>
            </w:r>
          </w:p>
        </w:tc>
        <w:tc>
          <w:tcPr>
            <w:tcW w:w="1620" w:type="dxa"/>
            <w:shd w:val="clear" w:color="auto" w:fill="auto"/>
          </w:tcPr>
          <w:p w14:paraId="0A6C996F" w14:textId="77777777" w:rsidR="00E65CE3" w:rsidRPr="001F7755" w:rsidRDefault="00E65CE3" w:rsidP="00904962">
            <w:pPr>
              <w:jc w:val="center"/>
              <w:rPr>
                <w:b/>
                <w:lang w:val="en-US" w:eastAsia="en-US"/>
              </w:rPr>
            </w:pPr>
            <w:r w:rsidRPr="001F7755">
              <w:rPr>
                <w:b/>
                <w:lang w:val="en-US" w:eastAsia="en-US"/>
              </w:rPr>
              <w:t>End of project Indicator Target</w:t>
            </w:r>
          </w:p>
        </w:tc>
        <w:tc>
          <w:tcPr>
            <w:tcW w:w="1440" w:type="dxa"/>
            <w:shd w:val="clear" w:color="auto" w:fill="auto"/>
          </w:tcPr>
          <w:p w14:paraId="0346DC9B" w14:textId="77777777" w:rsidR="00E65CE3" w:rsidRPr="001F7755" w:rsidRDefault="00E65CE3" w:rsidP="00904962">
            <w:pPr>
              <w:jc w:val="center"/>
              <w:rPr>
                <w:b/>
                <w:lang w:val="en-US" w:eastAsia="en-US"/>
              </w:rPr>
            </w:pPr>
            <w:r w:rsidRPr="001F7755">
              <w:rPr>
                <w:b/>
                <w:lang w:val="en-US" w:eastAsia="en-US"/>
              </w:rPr>
              <w:t>Indicator Milestone</w:t>
            </w:r>
          </w:p>
        </w:tc>
        <w:tc>
          <w:tcPr>
            <w:tcW w:w="2160" w:type="dxa"/>
            <w:shd w:val="clear" w:color="auto" w:fill="auto"/>
          </w:tcPr>
          <w:p w14:paraId="5089D4A7" w14:textId="77777777" w:rsidR="00E65CE3" w:rsidRPr="001F7755" w:rsidRDefault="00E65CE3" w:rsidP="00904962">
            <w:pPr>
              <w:jc w:val="center"/>
              <w:rPr>
                <w:b/>
                <w:lang w:val="en-US" w:eastAsia="en-US"/>
              </w:rPr>
            </w:pPr>
            <w:r w:rsidRPr="001F7755">
              <w:rPr>
                <w:b/>
                <w:lang w:val="en-US" w:eastAsia="en-US"/>
              </w:rPr>
              <w:t>Current indicator progress</w:t>
            </w:r>
          </w:p>
        </w:tc>
        <w:tc>
          <w:tcPr>
            <w:tcW w:w="4770" w:type="dxa"/>
          </w:tcPr>
          <w:p w14:paraId="52AFDE8D" w14:textId="77777777" w:rsidR="00E65CE3" w:rsidRPr="001F7755" w:rsidRDefault="00E65CE3" w:rsidP="00904962">
            <w:pPr>
              <w:jc w:val="center"/>
              <w:rPr>
                <w:b/>
                <w:lang w:val="en-US" w:eastAsia="en-US"/>
              </w:rPr>
            </w:pPr>
            <w:r w:rsidRPr="001F7755">
              <w:rPr>
                <w:b/>
                <w:lang w:val="en-US" w:eastAsia="en-US"/>
              </w:rPr>
              <w:t>Reasons for Variance/ Delay</w:t>
            </w:r>
          </w:p>
          <w:p w14:paraId="3FF9B225" w14:textId="77777777" w:rsidR="00E65CE3" w:rsidRPr="001F7755" w:rsidRDefault="00E65CE3" w:rsidP="00904962">
            <w:pPr>
              <w:jc w:val="center"/>
              <w:rPr>
                <w:b/>
                <w:lang w:val="en-US" w:eastAsia="en-US"/>
              </w:rPr>
            </w:pPr>
            <w:r w:rsidRPr="001F7755">
              <w:rPr>
                <w:b/>
                <w:lang w:val="en-US" w:eastAsia="en-US"/>
              </w:rPr>
              <w:t>(if any)</w:t>
            </w:r>
          </w:p>
        </w:tc>
      </w:tr>
      <w:tr w:rsidR="00E65CE3" w:rsidRPr="001F7755" w14:paraId="448B6E3D" w14:textId="77777777" w:rsidTr="00904962">
        <w:trPr>
          <w:trHeight w:val="548"/>
        </w:trPr>
        <w:tc>
          <w:tcPr>
            <w:tcW w:w="1530" w:type="dxa"/>
            <w:vMerge w:val="restart"/>
          </w:tcPr>
          <w:p w14:paraId="0E632183" w14:textId="77777777" w:rsidR="00E65CE3" w:rsidRPr="001F7755" w:rsidRDefault="00E65CE3" w:rsidP="00904962">
            <w:pPr>
              <w:rPr>
                <w:b/>
                <w:lang w:val="en-US" w:eastAsia="en-US"/>
              </w:rPr>
            </w:pPr>
            <w:r w:rsidRPr="001F7755">
              <w:rPr>
                <w:b/>
                <w:lang w:val="en-US" w:eastAsia="en-US"/>
              </w:rPr>
              <w:t>Outcome 1</w:t>
            </w:r>
          </w:p>
          <w:p w14:paraId="0C094F26" w14:textId="77777777" w:rsidR="00E65CE3" w:rsidRPr="001F7755" w:rsidRDefault="00E65CE3" w:rsidP="00904962">
            <w:pPr>
              <w:rPr>
                <w:b/>
                <w:lang w:val="en-US" w:eastAsia="en-US"/>
              </w:rPr>
            </w:pPr>
            <w:r w:rsidRPr="001F7755">
              <w:rPr>
                <w:lang w:val="en-US" w:eastAsia="en-US"/>
              </w:rPr>
              <w:t xml:space="preserve">Communities in Pujehun and Moyamba districts benefit from more accountable institutions and mechanisms that promote peaceful relations between </w:t>
            </w:r>
            <w:r w:rsidRPr="001F7755">
              <w:rPr>
                <w:lang w:val="en-US" w:eastAsia="en-US"/>
              </w:rPr>
              <w:lastRenderedPageBreak/>
              <w:t>communities and private companies.</w:t>
            </w:r>
          </w:p>
        </w:tc>
        <w:tc>
          <w:tcPr>
            <w:tcW w:w="2070" w:type="dxa"/>
            <w:shd w:val="clear" w:color="auto" w:fill="auto"/>
          </w:tcPr>
          <w:p w14:paraId="5C2E0CE4" w14:textId="77777777" w:rsidR="00E65CE3" w:rsidRPr="001F7755" w:rsidRDefault="00E65CE3" w:rsidP="00904962">
            <w:pPr>
              <w:rPr>
                <w:lang w:val="en-US" w:eastAsia="en-US"/>
              </w:rPr>
            </w:pPr>
            <w:r w:rsidRPr="001F7755">
              <w:rPr>
                <w:lang w:val="en-US" w:eastAsia="en-US"/>
              </w:rPr>
              <w:lastRenderedPageBreak/>
              <w:t>Indicator 1.1</w:t>
            </w:r>
          </w:p>
          <w:p w14:paraId="6DB1677C" w14:textId="77777777" w:rsidR="00E65CE3" w:rsidRPr="001F7755" w:rsidRDefault="00E65CE3" w:rsidP="00904962">
            <w:pPr>
              <w:rPr>
                <w:lang w:val="en-US" w:eastAsia="en-US"/>
              </w:rPr>
            </w:pPr>
            <w:r w:rsidRPr="001F7755">
              <w:rPr>
                <w:lang w:val="en-US" w:eastAsia="en-US"/>
              </w:rPr>
              <w:t>Outcome Indicator 1 (a): Level of perceptions in all chiefdoms that believe that companies in their area respond (always or sometimes) to the needs of communities.</w:t>
            </w:r>
            <w:r w:rsidRPr="001F7755">
              <w:rPr>
                <w:lang w:val="en-US" w:eastAsia="en-US"/>
              </w:rPr>
              <w:t> </w:t>
            </w:r>
            <w:r w:rsidRPr="001F7755">
              <w:rPr>
                <w:lang w:val="en-US" w:eastAsia="en-US"/>
              </w:rPr>
              <w:t> </w:t>
            </w:r>
          </w:p>
        </w:tc>
        <w:tc>
          <w:tcPr>
            <w:tcW w:w="1530" w:type="dxa"/>
            <w:shd w:val="clear" w:color="auto" w:fill="auto"/>
          </w:tcPr>
          <w:p w14:paraId="49DBE606" w14:textId="77777777" w:rsidR="00E65CE3" w:rsidRPr="001F7755" w:rsidRDefault="00E65CE3" w:rsidP="00904962">
            <w:pPr>
              <w:rPr>
                <w:lang w:val="en-US" w:eastAsia="en-US"/>
              </w:rPr>
            </w:pPr>
            <w:r w:rsidRPr="001F7755">
              <w:rPr>
                <w:lang w:val="en-US" w:eastAsia="en-US"/>
              </w:rPr>
              <w:t>45 per cent of baseline survey respondents in all chiefdoms believe that companies in their area always (4 per cent) or sometimes (41 per cent) respond to the needs of communities.</w:t>
            </w:r>
          </w:p>
        </w:tc>
        <w:tc>
          <w:tcPr>
            <w:tcW w:w="1620" w:type="dxa"/>
            <w:shd w:val="clear" w:color="auto" w:fill="auto"/>
          </w:tcPr>
          <w:p w14:paraId="14145644" w14:textId="77777777" w:rsidR="00E65CE3" w:rsidRPr="001F7755" w:rsidRDefault="00E65CE3" w:rsidP="00904962">
            <w:pPr>
              <w:rPr>
                <w:lang w:val="en-US"/>
              </w:rPr>
            </w:pPr>
            <w:r w:rsidRPr="001F7755">
              <w:rPr>
                <w:lang w:val="en-US" w:eastAsia="en-US"/>
              </w:rPr>
              <w:t>55 percent in all chiefdoms.</w:t>
            </w:r>
          </w:p>
        </w:tc>
        <w:tc>
          <w:tcPr>
            <w:tcW w:w="1440" w:type="dxa"/>
            <w:shd w:val="clear" w:color="auto" w:fill="auto"/>
          </w:tcPr>
          <w:p w14:paraId="6B3E1943" w14:textId="77777777" w:rsidR="00E65CE3" w:rsidRPr="001F7755" w:rsidRDefault="00E65CE3" w:rsidP="00904962">
            <w:pPr>
              <w:rPr>
                <w:b/>
                <w:lang w:val="en-US" w:eastAsia="en-US"/>
              </w:rPr>
            </w:pPr>
          </w:p>
        </w:tc>
        <w:tc>
          <w:tcPr>
            <w:tcW w:w="2160" w:type="dxa"/>
            <w:shd w:val="clear" w:color="auto" w:fill="auto"/>
          </w:tcPr>
          <w:p w14:paraId="485BFFC6" w14:textId="77777777" w:rsidR="00E65CE3" w:rsidRPr="001F7755" w:rsidRDefault="00E65CE3" w:rsidP="00904962">
            <w:pPr>
              <w:rPr>
                <w:lang w:val="en-US"/>
              </w:rPr>
            </w:pPr>
            <w:r w:rsidRPr="001F7755">
              <w:rPr>
                <w:lang w:val="en-US"/>
              </w:rPr>
              <w:t>Indicator to be measured at the end of the project</w:t>
            </w:r>
          </w:p>
        </w:tc>
        <w:tc>
          <w:tcPr>
            <w:tcW w:w="4770" w:type="dxa"/>
          </w:tcPr>
          <w:p w14:paraId="0C702015" w14:textId="77777777" w:rsidR="00E65CE3" w:rsidRPr="001F7755" w:rsidRDefault="00E65CE3" w:rsidP="00904962">
            <w:pPr>
              <w:rPr>
                <w:lang w:val="en-US"/>
              </w:rPr>
            </w:pPr>
            <w:r w:rsidRPr="001F7755">
              <w:rPr>
                <w:b/>
                <w:lang w:val="en-US" w:eastAsia="en-US"/>
              </w:rPr>
              <w:fldChar w:fldCharType="begin">
                <w:ffData>
                  <w:name w:val=""/>
                  <w:enabled/>
                  <w:calcOnExit w:val="0"/>
                  <w:textInput>
                    <w:maxLength w:val="300"/>
                  </w:textInput>
                </w:ffData>
              </w:fldChar>
            </w:r>
            <w:r w:rsidRPr="001F7755">
              <w:rPr>
                <w:b/>
                <w:lang w:val="en-US" w:eastAsia="en-US"/>
              </w:rPr>
              <w:instrText xml:space="preserve"> FORMTEXT </w:instrText>
            </w:r>
            <w:r w:rsidRPr="001F7755">
              <w:rPr>
                <w:b/>
                <w:lang w:val="en-US" w:eastAsia="en-US"/>
              </w:rPr>
            </w:r>
            <w:r w:rsidRPr="001F7755">
              <w:rPr>
                <w:b/>
                <w:lang w:val="en-US" w:eastAsia="en-US"/>
              </w:rPr>
              <w:fldChar w:fldCharType="separate"/>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lang w:val="en-US" w:eastAsia="en-US"/>
              </w:rPr>
              <w:fldChar w:fldCharType="end"/>
            </w:r>
          </w:p>
        </w:tc>
      </w:tr>
      <w:tr w:rsidR="00E65CE3" w:rsidRPr="001F7755" w14:paraId="320AADED" w14:textId="77777777" w:rsidTr="00904962">
        <w:trPr>
          <w:trHeight w:val="548"/>
        </w:trPr>
        <w:tc>
          <w:tcPr>
            <w:tcW w:w="1530" w:type="dxa"/>
            <w:vMerge/>
          </w:tcPr>
          <w:p w14:paraId="3411053C" w14:textId="77777777" w:rsidR="00E65CE3" w:rsidRPr="001F7755" w:rsidRDefault="00E65CE3" w:rsidP="00904962">
            <w:pPr>
              <w:rPr>
                <w:b/>
                <w:lang w:val="en-US" w:eastAsia="en-US"/>
              </w:rPr>
            </w:pPr>
          </w:p>
        </w:tc>
        <w:tc>
          <w:tcPr>
            <w:tcW w:w="2070" w:type="dxa"/>
            <w:shd w:val="clear" w:color="auto" w:fill="auto"/>
          </w:tcPr>
          <w:p w14:paraId="0C0297EE" w14:textId="77777777" w:rsidR="00E65CE3" w:rsidRPr="001F7755" w:rsidRDefault="00E65CE3" w:rsidP="00904962">
            <w:pPr>
              <w:jc w:val="both"/>
              <w:rPr>
                <w:lang w:val="en-US" w:eastAsia="en-US"/>
              </w:rPr>
            </w:pPr>
            <w:r w:rsidRPr="001F7755">
              <w:rPr>
                <w:lang w:val="en-US" w:eastAsia="en-US"/>
              </w:rPr>
              <w:t>Indicator 1.2</w:t>
            </w:r>
          </w:p>
          <w:p w14:paraId="5A8B43BA" w14:textId="77777777" w:rsidR="00E65CE3" w:rsidRPr="001F7755" w:rsidRDefault="00E65CE3" w:rsidP="00904962">
            <w:pPr>
              <w:jc w:val="both"/>
              <w:rPr>
                <w:lang w:val="en-US" w:eastAsia="en-US"/>
              </w:rPr>
            </w:pPr>
            <w:r w:rsidRPr="001F7755">
              <w:rPr>
                <w:lang w:val="en-US" w:eastAsia="en-US"/>
              </w:rPr>
              <w:t>Outcome Indicator 1 (b): Level of trust between communities and Community Development Committees.</w:t>
            </w:r>
          </w:p>
        </w:tc>
        <w:tc>
          <w:tcPr>
            <w:tcW w:w="1530" w:type="dxa"/>
            <w:shd w:val="clear" w:color="auto" w:fill="auto"/>
          </w:tcPr>
          <w:p w14:paraId="2BB20E3D" w14:textId="77777777" w:rsidR="00E65CE3" w:rsidRPr="001F7755" w:rsidRDefault="00E65CE3" w:rsidP="00904962">
            <w:pPr>
              <w:rPr>
                <w:lang w:val="en-US"/>
              </w:rPr>
            </w:pPr>
            <w:r w:rsidRPr="001F7755">
              <w:rPr>
                <w:lang w:val="en-US" w:eastAsia="en-US"/>
              </w:rPr>
              <w:t>30.3 per cent of survey respondents said that trust between people in their area and the Community Development Committee is either very high (5 per cent) or somewhat high (25.3 per cent)</w:t>
            </w:r>
          </w:p>
        </w:tc>
        <w:tc>
          <w:tcPr>
            <w:tcW w:w="1620" w:type="dxa"/>
            <w:shd w:val="clear" w:color="auto" w:fill="auto"/>
          </w:tcPr>
          <w:p w14:paraId="68D90191" w14:textId="77777777" w:rsidR="00E65CE3" w:rsidRPr="001F7755" w:rsidRDefault="00E65CE3" w:rsidP="00904962">
            <w:pPr>
              <w:rPr>
                <w:lang w:val="en-US"/>
              </w:rPr>
            </w:pPr>
            <w:r w:rsidRPr="001F7755">
              <w:rPr>
                <w:lang w:val="en-US" w:eastAsia="en-US"/>
              </w:rPr>
              <w:t>45 percent of survey respondents</w:t>
            </w:r>
          </w:p>
        </w:tc>
        <w:tc>
          <w:tcPr>
            <w:tcW w:w="1440" w:type="dxa"/>
            <w:shd w:val="clear" w:color="auto" w:fill="auto"/>
          </w:tcPr>
          <w:p w14:paraId="681DF57C" w14:textId="77777777" w:rsidR="00E65CE3" w:rsidRPr="001F7755" w:rsidRDefault="00E65CE3" w:rsidP="00904962">
            <w:pPr>
              <w:rPr>
                <w:b/>
                <w:lang w:val="en-US" w:eastAsia="en-US"/>
              </w:rPr>
            </w:pPr>
            <w:r w:rsidRPr="001F7755">
              <w:rPr>
                <w:b/>
                <w:lang w:val="en-US" w:eastAsia="en-US"/>
              </w:rPr>
              <w:fldChar w:fldCharType="begin">
                <w:ffData>
                  <w:name w:val=""/>
                  <w:enabled/>
                  <w:calcOnExit w:val="0"/>
                  <w:textInput>
                    <w:maxLength w:val="300"/>
                  </w:textInput>
                </w:ffData>
              </w:fldChar>
            </w:r>
            <w:r w:rsidRPr="001F7755">
              <w:rPr>
                <w:b/>
                <w:lang w:val="en-US" w:eastAsia="en-US"/>
              </w:rPr>
              <w:instrText xml:space="preserve"> FORMTEXT </w:instrText>
            </w:r>
            <w:r w:rsidRPr="001F7755">
              <w:rPr>
                <w:b/>
                <w:lang w:val="en-US" w:eastAsia="en-US"/>
              </w:rPr>
            </w:r>
            <w:r w:rsidRPr="001F7755">
              <w:rPr>
                <w:b/>
                <w:lang w:val="en-US" w:eastAsia="en-US"/>
              </w:rPr>
              <w:fldChar w:fldCharType="separate"/>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lang w:val="en-US" w:eastAsia="en-US"/>
              </w:rPr>
              <w:fldChar w:fldCharType="end"/>
            </w:r>
          </w:p>
        </w:tc>
        <w:tc>
          <w:tcPr>
            <w:tcW w:w="2160" w:type="dxa"/>
            <w:shd w:val="clear" w:color="auto" w:fill="auto"/>
          </w:tcPr>
          <w:p w14:paraId="605F7FC5" w14:textId="77777777" w:rsidR="00E65CE3" w:rsidRPr="001F7755" w:rsidRDefault="00E65CE3" w:rsidP="00904962">
            <w:pPr>
              <w:rPr>
                <w:lang w:val="en-US"/>
              </w:rPr>
            </w:pPr>
            <w:r w:rsidRPr="001F7755">
              <w:rPr>
                <w:lang w:val="en-US" w:eastAsia="en-US"/>
              </w:rPr>
              <w:t>Indicator to be measured at the end of the project.</w:t>
            </w:r>
          </w:p>
        </w:tc>
        <w:tc>
          <w:tcPr>
            <w:tcW w:w="4770" w:type="dxa"/>
          </w:tcPr>
          <w:p w14:paraId="4AB58DB8" w14:textId="77777777" w:rsidR="00E65CE3" w:rsidRPr="001F7755" w:rsidRDefault="00E65CE3" w:rsidP="00904962">
            <w:pPr>
              <w:rPr>
                <w:lang w:val="en-US"/>
              </w:rPr>
            </w:pPr>
            <w:r w:rsidRPr="001F7755">
              <w:rPr>
                <w:b/>
                <w:lang w:val="en-US" w:eastAsia="en-US"/>
              </w:rPr>
              <w:fldChar w:fldCharType="begin">
                <w:ffData>
                  <w:name w:val=""/>
                  <w:enabled/>
                  <w:calcOnExit w:val="0"/>
                  <w:textInput>
                    <w:maxLength w:val="300"/>
                  </w:textInput>
                </w:ffData>
              </w:fldChar>
            </w:r>
            <w:r w:rsidRPr="001F7755">
              <w:rPr>
                <w:b/>
                <w:lang w:val="en-US" w:eastAsia="en-US"/>
              </w:rPr>
              <w:instrText xml:space="preserve"> FORMTEXT </w:instrText>
            </w:r>
            <w:r w:rsidRPr="001F7755">
              <w:rPr>
                <w:b/>
                <w:lang w:val="en-US" w:eastAsia="en-US"/>
              </w:rPr>
            </w:r>
            <w:r w:rsidRPr="001F7755">
              <w:rPr>
                <w:b/>
                <w:lang w:val="en-US" w:eastAsia="en-US"/>
              </w:rPr>
              <w:fldChar w:fldCharType="separate"/>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lang w:val="en-US" w:eastAsia="en-US"/>
              </w:rPr>
              <w:fldChar w:fldCharType="end"/>
            </w:r>
          </w:p>
        </w:tc>
      </w:tr>
      <w:tr w:rsidR="00E65CE3" w:rsidRPr="001F7755" w14:paraId="30E7FF6C" w14:textId="77777777" w:rsidTr="00904962">
        <w:trPr>
          <w:trHeight w:val="548"/>
        </w:trPr>
        <w:tc>
          <w:tcPr>
            <w:tcW w:w="1530" w:type="dxa"/>
            <w:vMerge/>
          </w:tcPr>
          <w:p w14:paraId="5EBF2E05" w14:textId="77777777" w:rsidR="00E65CE3" w:rsidRPr="001F7755" w:rsidRDefault="00E65CE3" w:rsidP="00904962">
            <w:pPr>
              <w:rPr>
                <w:lang w:val="en-US" w:eastAsia="en-US"/>
              </w:rPr>
            </w:pPr>
          </w:p>
        </w:tc>
        <w:tc>
          <w:tcPr>
            <w:tcW w:w="2070" w:type="dxa"/>
            <w:shd w:val="clear" w:color="auto" w:fill="auto"/>
          </w:tcPr>
          <w:p w14:paraId="6755563F" w14:textId="77777777" w:rsidR="00E65CE3" w:rsidRPr="001F7755" w:rsidRDefault="00E65CE3" w:rsidP="00904962">
            <w:pPr>
              <w:jc w:val="both"/>
              <w:rPr>
                <w:lang w:val="en-US" w:eastAsia="en-US"/>
              </w:rPr>
            </w:pPr>
            <w:r w:rsidRPr="001F7755">
              <w:rPr>
                <w:lang w:val="en-US" w:eastAsia="en-US"/>
              </w:rPr>
              <w:t>Indicator 1.3</w:t>
            </w:r>
          </w:p>
          <w:p w14:paraId="4FDAA652" w14:textId="77777777" w:rsidR="00E65CE3" w:rsidRPr="001F7755" w:rsidRDefault="00E65CE3" w:rsidP="00904962">
            <w:pPr>
              <w:jc w:val="both"/>
              <w:rPr>
                <w:lang w:val="en-US" w:eastAsia="en-US"/>
              </w:rPr>
            </w:pPr>
            <w:r w:rsidRPr="001F7755">
              <w:rPr>
                <w:lang w:val="en-US" w:eastAsia="en-US"/>
              </w:rPr>
              <w:t>1 (c): Level of trust between communities and Grievance Committees</w:t>
            </w:r>
          </w:p>
        </w:tc>
        <w:tc>
          <w:tcPr>
            <w:tcW w:w="1530" w:type="dxa"/>
            <w:shd w:val="clear" w:color="auto" w:fill="auto"/>
          </w:tcPr>
          <w:p w14:paraId="122B8629" w14:textId="77777777" w:rsidR="00E65CE3" w:rsidRPr="001F7755" w:rsidRDefault="00E65CE3" w:rsidP="00904962">
            <w:pPr>
              <w:rPr>
                <w:lang w:val="en-US"/>
              </w:rPr>
            </w:pPr>
            <w:r w:rsidRPr="001F7755">
              <w:rPr>
                <w:lang w:val="en-US" w:eastAsia="en-US"/>
              </w:rPr>
              <w:t xml:space="preserve">11.9 per cent of survey respondents said that trust between people in their area and the </w:t>
            </w:r>
            <w:r w:rsidRPr="001F7755">
              <w:rPr>
                <w:lang w:val="en-US" w:eastAsia="en-US"/>
              </w:rPr>
              <w:lastRenderedPageBreak/>
              <w:t>Grievance Committee is either very high (0.6 per cent) or somewhat high (11.3 per cent).</w:t>
            </w:r>
          </w:p>
        </w:tc>
        <w:tc>
          <w:tcPr>
            <w:tcW w:w="1620" w:type="dxa"/>
            <w:shd w:val="clear" w:color="auto" w:fill="auto"/>
          </w:tcPr>
          <w:p w14:paraId="2AC69BBA" w14:textId="77777777" w:rsidR="00E65CE3" w:rsidRPr="001F7755" w:rsidRDefault="00E65CE3" w:rsidP="00904962">
            <w:pPr>
              <w:rPr>
                <w:lang w:val="en-US"/>
              </w:rPr>
            </w:pPr>
            <w:r w:rsidRPr="001F7755">
              <w:rPr>
                <w:lang w:val="en-US" w:eastAsia="en-US"/>
              </w:rPr>
              <w:lastRenderedPageBreak/>
              <w:t>30 percent of survey respondents.</w:t>
            </w:r>
          </w:p>
        </w:tc>
        <w:tc>
          <w:tcPr>
            <w:tcW w:w="1440" w:type="dxa"/>
            <w:shd w:val="clear" w:color="auto" w:fill="auto"/>
          </w:tcPr>
          <w:p w14:paraId="2050F754" w14:textId="77777777" w:rsidR="00E65CE3" w:rsidRPr="001F7755" w:rsidRDefault="00E65CE3" w:rsidP="00904962">
            <w:pPr>
              <w:rPr>
                <w:b/>
                <w:lang w:val="en-US" w:eastAsia="en-US"/>
              </w:rPr>
            </w:pPr>
            <w:r w:rsidRPr="001F7755">
              <w:rPr>
                <w:b/>
                <w:lang w:val="en-US" w:eastAsia="en-US"/>
              </w:rPr>
              <w:fldChar w:fldCharType="begin">
                <w:ffData>
                  <w:name w:val=""/>
                  <w:enabled/>
                  <w:calcOnExit w:val="0"/>
                  <w:textInput>
                    <w:maxLength w:val="300"/>
                  </w:textInput>
                </w:ffData>
              </w:fldChar>
            </w:r>
            <w:r w:rsidRPr="001F7755">
              <w:rPr>
                <w:b/>
                <w:lang w:val="en-US" w:eastAsia="en-US"/>
              </w:rPr>
              <w:instrText xml:space="preserve"> FORMTEXT </w:instrText>
            </w:r>
            <w:r w:rsidRPr="001F7755">
              <w:rPr>
                <w:b/>
                <w:lang w:val="en-US" w:eastAsia="en-US"/>
              </w:rPr>
            </w:r>
            <w:r w:rsidRPr="001F7755">
              <w:rPr>
                <w:b/>
                <w:lang w:val="en-US" w:eastAsia="en-US"/>
              </w:rPr>
              <w:fldChar w:fldCharType="separate"/>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lang w:val="en-US" w:eastAsia="en-US"/>
              </w:rPr>
              <w:fldChar w:fldCharType="end"/>
            </w:r>
          </w:p>
        </w:tc>
        <w:tc>
          <w:tcPr>
            <w:tcW w:w="2160" w:type="dxa"/>
            <w:shd w:val="clear" w:color="auto" w:fill="auto"/>
          </w:tcPr>
          <w:p w14:paraId="5D2D134D" w14:textId="77777777" w:rsidR="00E65CE3" w:rsidRPr="001F7755" w:rsidRDefault="00E65CE3" w:rsidP="00904962">
            <w:pPr>
              <w:rPr>
                <w:lang w:val="en-US"/>
              </w:rPr>
            </w:pPr>
            <w:r w:rsidRPr="001F7755">
              <w:rPr>
                <w:lang w:val="en-US" w:eastAsia="en-US"/>
              </w:rPr>
              <w:t>Indicator to be measured at the end of the project.</w:t>
            </w:r>
          </w:p>
        </w:tc>
        <w:tc>
          <w:tcPr>
            <w:tcW w:w="4770" w:type="dxa"/>
          </w:tcPr>
          <w:p w14:paraId="254A5D3F" w14:textId="77777777" w:rsidR="00E65CE3" w:rsidRPr="001F7755" w:rsidRDefault="00E65CE3" w:rsidP="00904962">
            <w:pPr>
              <w:rPr>
                <w:lang w:val="en-US"/>
              </w:rPr>
            </w:pPr>
            <w:r w:rsidRPr="001F7755">
              <w:rPr>
                <w:b/>
                <w:lang w:val="en-US" w:eastAsia="en-US"/>
              </w:rPr>
              <w:fldChar w:fldCharType="begin">
                <w:ffData>
                  <w:name w:val=""/>
                  <w:enabled/>
                  <w:calcOnExit w:val="0"/>
                  <w:textInput>
                    <w:maxLength w:val="300"/>
                  </w:textInput>
                </w:ffData>
              </w:fldChar>
            </w:r>
            <w:r w:rsidRPr="001F7755">
              <w:rPr>
                <w:b/>
                <w:lang w:val="en-US" w:eastAsia="en-US"/>
              </w:rPr>
              <w:instrText xml:space="preserve"> FORMTEXT </w:instrText>
            </w:r>
            <w:r w:rsidRPr="001F7755">
              <w:rPr>
                <w:b/>
                <w:lang w:val="en-US" w:eastAsia="en-US"/>
              </w:rPr>
            </w:r>
            <w:r w:rsidRPr="001F7755">
              <w:rPr>
                <w:b/>
                <w:lang w:val="en-US" w:eastAsia="en-US"/>
              </w:rPr>
              <w:fldChar w:fldCharType="separate"/>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lang w:val="en-US" w:eastAsia="en-US"/>
              </w:rPr>
              <w:fldChar w:fldCharType="end"/>
            </w:r>
          </w:p>
        </w:tc>
      </w:tr>
      <w:tr w:rsidR="00E65CE3" w:rsidRPr="001F7755" w14:paraId="24EA83C6" w14:textId="77777777" w:rsidTr="00904962">
        <w:trPr>
          <w:trHeight w:val="548"/>
        </w:trPr>
        <w:tc>
          <w:tcPr>
            <w:tcW w:w="1530" w:type="dxa"/>
            <w:vMerge w:val="restart"/>
          </w:tcPr>
          <w:p w14:paraId="4F3E9B4A" w14:textId="77777777" w:rsidR="00E65CE3" w:rsidRPr="001F7755" w:rsidRDefault="00E65CE3" w:rsidP="00904962">
            <w:pPr>
              <w:rPr>
                <w:lang w:val="en-US" w:eastAsia="en-US"/>
              </w:rPr>
            </w:pPr>
            <w:r w:rsidRPr="001F7755">
              <w:rPr>
                <w:lang w:val="en-US" w:eastAsia="en-US"/>
              </w:rPr>
              <w:t>Output 1.1</w:t>
            </w:r>
          </w:p>
          <w:p w14:paraId="2FD8438B" w14:textId="77777777" w:rsidR="00E65CE3" w:rsidRPr="001F7755" w:rsidRDefault="00E65CE3" w:rsidP="00904962">
            <w:pPr>
              <w:rPr>
                <w:lang w:val="en-US"/>
              </w:rPr>
            </w:pPr>
            <w:r w:rsidRPr="001F7755">
              <w:rPr>
                <w:lang w:val="en-US" w:eastAsia="en-US"/>
              </w:rPr>
              <w:t>Land acquisition and land use processes are more inclusive and aligned with policy frameworks</w:t>
            </w:r>
            <w:r w:rsidRPr="001F7755">
              <w:rPr>
                <w:lang w:val="en-US"/>
              </w:rPr>
              <w:t>.</w:t>
            </w:r>
          </w:p>
          <w:p w14:paraId="16A40749" w14:textId="77777777" w:rsidR="00E65CE3" w:rsidRPr="001F7755" w:rsidRDefault="00E65CE3" w:rsidP="00904962">
            <w:pPr>
              <w:rPr>
                <w:b/>
                <w:lang w:val="en-US" w:eastAsia="en-US"/>
              </w:rPr>
            </w:pPr>
          </w:p>
        </w:tc>
        <w:tc>
          <w:tcPr>
            <w:tcW w:w="2070" w:type="dxa"/>
            <w:shd w:val="clear" w:color="auto" w:fill="auto"/>
          </w:tcPr>
          <w:p w14:paraId="2DB8428E" w14:textId="77777777" w:rsidR="00E65CE3" w:rsidRPr="001F7755" w:rsidRDefault="00E65CE3" w:rsidP="00904962">
            <w:pPr>
              <w:jc w:val="both"/>
              <w:rPr>
                <w:lang w:val="en-US" w:eastAsia="en-US"/>
              </w:rPr>
            </w:pPr>
            <w:proofErr w:type="gramStart"/>
            <w:r w:rsidRPr="001F7755">
              <w:rPr>
                <w:lang w:val="en-US" w:eastAsia="en-US"/>
              </w:rPr>
              <w:t>Indicator  1.1.1</w:t>
            </w:r>
            <w:proofErr w:type="gramEnd"/>
          </w:p>
          <w:p w14:paraId="10DDFC8F" w14:textId="77777777" w:rsidR="00E65CE3" w:rsidRPr="001F7755" w:rsidRDefault="00E65CE3" w:rsidP="00904962">
            <w:pPr>
              <w:jc w:val="both"/>
              <w:rPr>
                <w:lang w:val="en-US" w:eastAsia="en-US"/>
              </w:rPr>
            </w:pPr>
            <w:r w:rsidRPr="001F7755">
              <w:rPr>
                <w:lang w:val="en-US" w:eastAsia="en-US"/>
              </w:rPr>
              <w:t>Land conflict and degradation analyses for 4 targeted chiefdoms completed to identify common ground for dialogue</w:t>
            </w:r>
          </w:p>
        </w:tc>
        <w:tc>
          <w:tcPr>
            <w:tcW w:w="1530" w:type="dxa"/>
            <w:shd w:val="clear" w:color="auto" w:fill="auto"/>
          </w:tcPr>
          <w:p w14:paraId="2F2EAB8E" w14:textId="77777777" w:rsidR="00E65CE3" w:rsidRPr="001F7755" w:rsidRDefault="00E65CE3" w:rsidP="00904962">
            <w:pPr>
              <w:rPr>
                <w:lang w:val="en-US"/>
              </w:rPr>
            </w:pPr>
            <w:r w:rsidRPr="001F7755">
              <w:rPr>
                <w:lang w:val="en-US" w:eastAsia="en-US"/>
              </w:rPr>
              <w:t>Land conflict analysis in the four chiefdoms of the two districts</w:t>
            </w:r>
          </w:p>
        </w:tc>
        <w:tc>
          <w:tcPr>
            <w:tcW w:w="1620" w:type="dxa"/>
            <w:shd w:val="clear" w:color="auto" w:fill="auto"/>
          </w:tcPr>
          <w:p w14:paraId="2C782381" w14:textId="77777777" w:rsidR="00E65CE3" w:rsidRPr="001F7755" w:rsidRDefault="00E65CE3" w:rsidP="00904962">
            <w:pPr>
              <w:rPr>
                <w:lang w:val="en-US"/>
              </w:rPr>
            </w:pPr>
            <w:r w:rsidRPr="001F7755">
              <w:rPr>
                <w:lang w:val="en-US" w:eastAsia="en-US"/>
              </w:rPr>
              <w:t>4 conflict and land degradation analyses completed</w:t>
            </w:r>
          </w:p>
        </w:tc>
        <w:tc>
          <w:tcPr>
            <w:tcW w:w="1440" w:type="dxa"/>
            <w:shd w:val="clear" w:color="auto" w:fill="auto"/>
          </w:tcPr>
          <w:p w14:paraId="17F6D931" w14:textId="77777777" w:rsidR="00E65CE3" w:rsidRPr="001F7755" w:rsidRDefault="00E65CE3" w:rsidP="00904962">
            <w:pPr>
              <w:rPr>
                <w:b/>
                <w:lang w:val="en-US" w:eastAsia="en-US"/>
              </w:rPr>
            </w:pPr>
            <w:r w:rsidRPr="001F7755">
              <w:rPr>
                <w:b/>
                <w:lang w:val="en-US" w:eastAsia="en-US"/>
              </w:rPr>
              <w:fldChar w:fldCharType="begin">
                <w:ffData>
                  <w:name w:val=""/>
                  <w:enabled/>
                  <w:calcOnExit w:val="0"/>
                  <w:textInput>
                    <w:maxLength w:val="300"/>
                  </w:textInput>
                </w:ffData>
              </w:fldChar>
            </w:r>
            <w:r w:rsidRPr="001F7755">
              <w:rPr>
                <w:b/>
                <w:lang w:val="en-US" w:eastAsia="en-US"/>
              </w:rPr>
              <w:instrText xml:space="preserve"> FORMTEXT </w:instrText>
            </w:r>
            <w:r w:rsidRPr="001F7755">
              <w:rPr>
                <w:b/>
                <w:lang w:val="en-US" w:eastAsia="en-US"/>
              </w:rPr>
            </w:r>
            <w:r w:rsidRPr="001F7755">
              <w:rPr>
                <w:b/>
                <w:lang w:val="en-US" w:eastAsia="en-US"/>
              </w:rPr>
              <w:fldChar w:fldCharType="separate"/>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lang w:val="en-US" w:eastAsia="en-US"/>
              </w:rPr>
              <w:fldChar w:fldCharType="end"/>
            </w:r>
          </w:p>
        </w:tc>
        <w:tc>
          <w:tcPr>
            <w:tcW w:w="2160" w:type="dxa"/>
            <w:shd w:val="clear" w:color="auto" w:fill="auto"/>
          </w:tcPr>
          <w:p w14:paraId="73F6F1A8" w14:textId="77777777" w:rsidR="00E65CE3" w:rsidRPr="001F7755" w:rsidRDefault="00E65CE3" w:rsidP="00904962">
            <w:pPr>
              <w:rPr>
                <w:lang w:val="en-US"/>
              </w:rPr>
            </w:pPr>
            <w:r w:rsidRPr="001F7755">
              <w:rPr>
                <w:lang w:val="en-US"/>
              </w:rPr>
              <w:t>Land degradation Assessment concluded, and report finalized. Presentation made to the OVP and other high-level stakeholders. Validation proposed for July 2021.</w:t>
            </w:r>
            <w:r w:rsidRPr="001F7755">
              <w:rPr>
                <w:color w:val="FF0000"/>
                <w:lang w:val="en-US"/>
              </w:rPr>
              <w:t xml:space="preserve"> </w:t>
            </w:r>
          </w:p>
        </w:tc>
        <w:tc>
          <w:tcPr>
            <w:tcW w:w="4770" w:type="dxa"/>
          </w:tcPr>
          <w:p w14:paraId="63A1B776" w14:textId="77777777" w:rsidR="00E65CE3" w:rsidRPr="001F7755" w:rsidRDefault="00E65CE3" w:rsidP="00904962">
            <w:pPr>
              <w:rPr>
                <w:bCs/>
                <w:lang w:val="en-US" w:eastAsia="en-US"/>
              </w:rPr>
            </w:pPr>
            <w:r w:rsidRPr="001F7755">
              <w:rPr>
                <w:b/>
                <w:lang w:val="en-US" w:eastAsia="en-US"/>
              </w:rPr>
              <w:fldChar w:fldCharType="begin">
                <w:ffData>
                  <w:name w:val=""/>
                  <w:enabled w:val="0"/>
                  <w:calcOnExit w:val="0"/>
                  <w:textInput>
                    <w:maxLength w:val="300"/>
                  </w:textInput>
                </w:ffData>
              </w:fldChar>
            </w:r>
            <w:r w:rsidRPr="001F7755">
              <w:rPr>
                <w:b/>
                <w:lang w:val="en-US" w:eastAsia="en-US"/>
              </w:rPr>
              <w:instrText xml:space="preserve"> FORMTEXT </w:instrText>
            </w:r>
            <w:r w:rsidRPr="001F7755">
              <w:rPr>
                <w:b/>
                <w:lang w:val="en-US" w:eastAsia="en-US"/>
              </w:rPr>
            </w:r>
            <w:r w:rsidRPr="001F7755">
              <w:rPr>
                <w:b/>
                <w:lang w:val="en-US" w:eastAsia="en-US"/>
              </w:rPr>
              <w:fldChar w:fldCharType="separate"/>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lang w:val="en-US" w:eastAsia="en-US"/>
              </w:rPr>
              <w:fldChar w:fldCharType="end"/>
            </w:r>
            <w:r w:rsidRPr="001F7755">
              <w:rPr>
                <w:bCs/>
                <w:lang w:val="en-US" w:eastAsia="en-US"/>
              </w:rPr>
              <w:t xml:space="preserve"> </w:t>
            </w:r>
          </w:p>
          <w:p w14:paraId="4E080667" w14:textId="77777777" w:rsidR="00E65CE3" w:rsidRPr="001F7755" w:rsidRDefault="00E65CE3" w:rsidP="00904962">
            <w:pPr>
              <w:rPr>
                <w:lang w:val="en-US"/>
              </w:rPr>
            </w:pPr>
          </w:p>
        </w:tc>
      </w:tr>
      <w:tr w:rsidR="00E65CE3" w:rsidRPr="001F7755" w14:paraId="1FB0EAEF" w14:textId="77777777" w:rsidTr="00904962">
        <w:trPr>
          <w:trHeight w:val="512"/>
        </w:trPr>
        <w:tc>
          <w:tcPr>
            <w:tcW w:w="1530" w:type="dxa"/>
            <w:vMerge/>
          </w:tcPr>
          <w:p w14:paraId="53CDFB0D" w14:textId="77777777" w:rsidR="00E65CE3" w:rsidRPr="001F7755" w:rsidRDefault="00E65CE3" w:rsidP="00904962">
            <w:pPr>
              <w:rPr>
                <w:b/>
                <w:lang w:val="en-US" w:eastAsia="en-US"/>
              </w:rPr>
            </w:pPr>
          </w:p>
        </w:tc>
        <w:tc>
          <w:tcPr>
            <w:tcW w:w="2070" w:type="dxa"/>
            <w:shd w:val="clear" w:color="auto" w:fill="auto"/>
          </w:tcPr>
          <w:p w14:paraId="2024FD70" w14:textId="77777777" w:rsidR="00E65CE3" w:rsidRPr="001F7755" w:rsidRDefault="00E65CE3" w:rsidP="00904962">
            <w:pPr>
              <w:jc w:val="both"/>
              <w:rPr>
                <w:lang w:val="en-US" w:eastAsia="en-US"/>
              </w:rPr>
            </w:pPr>
            <w:r w:rsidRPr="001F7755">
              <w:rPr>
                <w:lang w:val="en-US" w:eastAsia="en-US"/>
              </w:rPr>
              <w:t>Indicator 1.1.2</w:t>
            </w:r>
          </w:p>
          <w:p w14:paraId="461B71C0" w14:textId="77777777" w:rsidR="00E65CE3" w:rsidRPr="001F7755" w:rsidRDefault="00E65CE3" w:rsidP="00904962">
            <w:pPr>
              <w:jc w:val="both"/>
              <w:rPr>
                <w:lang w:val="en-US" w:eastAsia="en-US"/>
              </w:rPr>
            </w:pPr>
            <w:r w:rsidRPr="001F7755">
              <w:rPr>
                <w:lang w:val="en-US" w:eastAsia="en-US"/>
              </w:rPr>
              <w:t xml:space="preserve">Number of community stakeholders (disaggregated by gender and age) </w:t>
            </w:r>
            <w:r w:rsidRPr="001F7755">
              <w:rPr>
                <w:lang w:val="en-US" w:eastAsia="en-US"/>
              </w:rPr>
              <w:lastRenderedPageBreak/>
              <w:t>trained on existing regulatory framework on land acquisition.</w:t>
            </w:r>
          </w:p>
          <w:p w14:paraId="25E7B834" w14:textId="77777777" w:rsidR="00E65CE3" w:rsidRPr="001F7755" w:rsidRDefault="00E65CE3" w:rsidP="00904962">
            <w:pPr>
              <w:jc w:val="both"/>
              <w:rPr>
                <w:lang w:val="en-US" w:eastAsia="en-US"/>
              </w:rPr>
            </w:pPr>
          </w:p>
        </w:tc>
        <w:tc>
          <w:tcPr>
            <w:tcW w:w="1530" w:type="dxa"/>
            <w:shd w:val="clear" w:color="auto" w:fill="auto"/>
          </w:tcPr>
          <w:p w14:paraId="45927A7B" w14:textId="77777777" w:rsidR="00E65CE3" w:rsidRPr="001F7755" w:rsidRDefault="00E65CE3" w:rsidP="00904962">
            <w:pPr>
              <w:rPr>
                <w:lang w:val="en-US"/>
              </w:rPr>
            </w:pPr>
            <w:r w:rsidRPr="001F7755">
              <w:rPr>
                <w:lang w:val="en-US" w:eastAsia="en-US"/>
              </w:rPr>
              <w:lastRenderedPageBreak/>
              <w:t xml:space="preserve">0 (no records of recent trainings on regulatory frameworks in the four </w:t>
            </w:r>
            <w:r w:rsidRPr="001F7755">
              <w:rPr>
                <w:lang w:val="en-US" w:eastAsia="en-US"/>
              </w:rPr>
              <w:lastRenderedPageBreak/>
              <w:t>target chiefdoms)</w:t>
            </w:r>
            <w:r w:rsidRPr="001F7755">
              <w:rPr>
                <w:b/>
                <w:sz w:val="22"/>
                <w:szCs w:val="22"/>
                <w:lang w:val="en-US" w:eastAsia="en-US"/>
              </w:rPr>
              <w:t> </w:t>
            </w:r>
          </w:p>
        </w:tc>
        <w:tc>
          <w:tcPr>
            <w:tcW w:w="1620" w:type="dxa"/>
            <w:shd w:val="clear" w:color="auto" w:fill="auto"/>
          </w:tcPr>
          <w:p w14:paraId="1F71A77D" w14:textId="77777777" w:rsidR="00E65CE3" w:rsidRPr="001F7755" w:rsidRDefault="00E65CE3" w:rsidP="00904962">
            <w:pPr>
              <w:rPr>
                <w:lang w:val="en-US"/>
              </w:rPr>
            </w:pPr>
            <w:r w:rsidRPr="001F7755">
              <w:rPr>
                <w:lang w:val="en-US" w:eastAsia="en-US"/>
              </w:rPr>
              <w:lastRenderedPageBreak/>
              <w:t>200 community stakeholders (50 per chiefdom)</w:t>
            </w:r>
          </w:p>
        </w:tc>
        <w:tc>
          <w:tcPr>
            <w:tcW w:w="1440" w:type="dxa"/>
            <w:shd w:val="clear" w:color="auto" w:fill="auto"/>
          </w:tcPr>
          <w:p w14:paraId="663321FA" w14:textId="77777777" w:rsidR="00E65CE3" w:rsidRPr="001F7755" w:rsidRDefault="00E65CE3" w:rsidP="00904962">
            <w:pPr>
              <w:rPr>
                <w:b/>
                <w:lang w:val="en-US" w:eastAsia="en-US"/>
              </w:rPr>
            </w:pPr>
            <w:r w:rsidRPr="001F7755">
              <w:rPr>
                <w:b/>
                <w:lang w:val="en-US" w:eastAsia="en-US"/>
              </w:rPr>
              <w:fldChar w:fldCharType="begin">
                <w:ffData>
                  <w:name w:val=""/>
                  <w:enabled/>
                  <w:calcOnExit w:val="0"/>
                  <w:textInput>
                    <w:maxLength w:val="300"/>
                  </w:textInput>
                </w:ffData>
              </w:fldChar>
            </w:r>
            <w:r w:rsidRPr="001F7755">
              <w:rPr>
                <w:b/>
                <w:lang w:val="en-US" w:eastAsia="en-US"/>
              </w:rPr>
              <w:instrText xml:space="preserve"> FORMTEXT </w:instrText>
            </w:r>
            <w:r w:rsidRPr="001F7755">
              <w:rPr>
                <w:b/>
                <w:lang w:val="en-US" w:eastAsia="en-US"/>
              </w:rPr>
            </w:r>
            <w:r w:rsidRPr="001F7755">
              <w:rPr>
                <w:b/>
                <w:lang w:val="en-US" w:eastAsia="en-US"/>
              </w:rPr>
              <w:fldChar w:fldCharType="separate"/>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lang w:val="en-US" w:eastAsia="en-US"/>
              </w:rPr>
              <w:fldChar w:fldCharType="end"/>
            </w:r>
          </w:p>
        </w:tc>
        <w:tc>
          <w:tcPr>
            <w:tcW w:w="2160" w:type="dxa"/>
            <w:shd w:val="clear" w:color="auto" w:fill="auto"/>
          </w:tcPr>
          <w:p w14:paraId="52AB5D2B" w14:textId="77777777" w:rsidR="00E65CE3" w:rsidRPr="001F7755" w:rsidRDefault="00E65CE3" w:rsidP="00904962">
            <w:pPr>
              <w:rPr>
                <w:lang w:val="en-US"/>
              </w:rPr>
            </w:pPr>
            <w:r w:rsidRPr="001F7755">
              <w:rPr>
                <w:lang w:val="en-US"/>
              </w:rPr>
              <w:t>Stakeholder education the National Land initiated in the two project districts.</w:t>
            </w:r>
          </w:p>
        </w:tc>
        <w:tc>
          <w:tcPr>
            <w:tcW w:w="4770" w:type="dxa"/>
          </w:tcPr>
          <w:p w14:paraId="1322234D" w14:textId="77777777" w:rsidR="00E65CE3" w:rsidRPr="001F7755" w:rsidRDefault="00E65CE3" w:rsidP="00904962">
            <w:pPr>
              <w:rPr>
                <w:lang w:val="en-US"/>
              </w:rPr>
            </w:pPr>
            <w:r w:rsidRPr="001F7755">
              <w:rPr>
                <w:b/>
                <w:lang w:val="en-US" w:eastAsia="en-US"/>
              </w:rPr>
              <w:fldChar w:fldCharType="begin">
                <w:ffData>
                  <w:name w:val=""/>
                  <w:enabled/>
                  <w:calcOnExit w:val="0"/>
                  <w:textInput>
                    <w:maxLength w:val="300"/>
                  </w:textInput>
                </w:ffData>
              </w:fldChar>
            </w:r>
            <w:r w:rsidRPr="001F7755">
              <w:rPr>
                <w:b/>
                <w:lang w:val="en-US" w:eastAsia="en-US"/>
              </w:rPr>
              <w:instrText xml:space="preserve"> FORMTEXT </w:instrText>
            </w:r>
            <w:r w:rsidRPr="001F7755">
              <w:rPr>
                <w:b/>
                <w:lang w:val="en-US" w:eastAsia="en-US"/>
              </w:rPr>
            </w:r>
            <w:r w:rsidRPr="001F7755">
              <w:rPr>
                <w:b/>
                <w:lang w:val="en-US" w:eastAsia="en-US"/>
              </w:rPr>
              <w:fldChar w:fldCharType="separate"/>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lang w:val="en-US" w:eastAsia="en-US"/>
              </w:rPr>
              <w:fldChar w:fldCharType="end"/>
            </w:r>
          </w:p>
        </w:tc>
      </w:tr>
      <w:tr w:rsidR="00E65CE3" w:rsidRPr="001F7755" w14:paraId="78F22DBB" w14:textId="77777777" w:rsidTr="00904962">
        <w:trPr>
          <w:trHeight w:val="512"/>
        </w:trPr>
        <w:tc>
          <w:tcPr>
            <w:tcW w:w="1530" w:type="dxa"/>
          </w:tcPr>
          <w:p w14:paraId="6131A1DF" w14:textId="77777777" w:rsidR="00E65CE3" w:rsidRPr="001F7755" w:rsidRDefault="00E65CE3" w:rsidP="00904962">
            <w:pPr>
              <w:rPr>
                <w:b/>
                <w:lang w:val="en-US" w:eastAsia="en-US"/>
              </w:rPr>
            </w:pPr>
          </w:p>
        </w:tc>
        <w:tc>
          <w:tcPr>
            <w:tcW w:w="2070" w:type="dxa"/>
            <w:shd w:val="clear" w:color="auto" w:fill="auto"/>
          </w:tcPr>
          <w:p w14:paraId="481BDA0D" w14:textId="77777777" w:rsidR="00E65CE3" w:rsidRPr="00A3001B" w:rsidRDefault="00E65CE3" w:rsidP="00904962">
            <w:r w:rsidRPr="00A3001B">
              <w:t>1.1.3: Developing a simplified checklist to guide land acquisitions</w:t>
            </w:r>
          </w:p>
          <w:p w14:paraId="6F891018" w14:textId="77777777" w:rsidR="00E65CE3" w:rsidRPr="001F7755" w:rsidRDefault="00E65CE3" w:rsidP="00904962">
            <w:pPr>
              <w:jc w:val="both"/>
              <w:rPr>
                <w:lang w:val="en-US" w:eastAsia="en-US"/>
              </w:rPr>
            </w:pPr>
          </w:p>
        </w:tc>
        <w:tc>
          <w:tcPr>
            <w:tcW w:w="1530" w:type="dxa"/>
            <w:shd w:val="clear" w:color="auto" w:fill="auto"/>
          </w:tcPr>
          <w:p w14:paraId="783B4DB8" w14:textId="77777777" w:rsidR="00E65CE3" w:rsidRPr="00A3001B" w:rsidRDefault="00E65CE3" w:rsidP="00904962">
            <w:r w:rsidRPr="00A3001B">
              <w:t xml:space="preserve">Output Indicator 1.1.3a: Simplified checklist developed </w:t>
            </w:r>
          </w:p>
          <w:p w14:paraId="1621865B" w14:textId="77777777" w:rsidR="00E65CE3" w:rsidRPr="00A3001B" w:rsidRDefault="00E65CE3" w:rsidP="00904962"/>
          <w:p w14:paraId="1F2C03F0" w14:textId="77777777" w:rsidR="00E65CE3" w:rsidRPr="00A3001B" w:rsidRDefault="00E65CE3" w:rsidP="00904962">
            <w:r w:rsidRPr="00A3001B">
              <w:t>Baseline: 0</w:t>
            </w:r>
          </w:p>
          <w:p w14:paraId="769FCE79" w14:textId="77777777" w:rsidR="00E65CE3" w:rsidRPr="00A3001B" w:rsidRDefault="00E65CE3" w:rsidP="00904962"/>
          <w:p w14:paraId="6BC0F250" w14:textId="77777777" w:rsidR="00E65CE3" w:rsidRPr="00A3001B" w:rsidRDefault="00E65CE3" w:rsidP="00904962">
            <w:r w:rsidRPr="00A3001B">
              <w:t>Target:  2 simplified checklists developed and operationalized</w:t>
            </w:r>
          </w:p>
          <w:p w14:paraId="641CD8BA" w14:textId="77777777" w:rsidR="00E65CE3" w:rsidRPr="00A3001B" w:rsidRDefault="00E65CE3" w:rsidP="00904962"/>
          <w:p w14:paraId="41B3468A" w14:textId="77777777" w:rsidR="00E65CE3" w:rsidRPr="00A3001B" w:rsidRDefault="00E65CE3" w:rsidP="00904962">
            <w:r w:rsidRPr="00A3001B">
              <w:t xml:space="preserve">Output Indicator 1.1.3b: </w:t>
            </w:r>
            <w:r w:rsidRPr="00A3001B">
              <w:lastRenderedPageBreak/>
              <w:t>Number of community members trained on use of simplified checklist (disaggregated by gender)</w:t>
            </w:r>
          </w:p>
          <w:p w14:paraId="15A5F659" w14:textId="77777777" w:rsidR="00E65CE3" w:rsidRPr="00A3001B" w:rsidRDefault="00E65CE3" w:rsidP="00904962"/>
          <w:p w14:paraId="1AE8827C" w14:textId="77777777" w:rsidR="00E65CE3" w:rsidRPr="00A3001B" w:rsidRDefault="00E65CE3" w:rsidP="00904962">
            <w:r w:rsidRPr="00A3001B">
              <w:t>Baseline: 0</w:t>
            </w:r>
          </w:p>
          <w:p w14:paraId="64E293D4" w14:textId="77777777" w:rsidR="00E65CE3" w:rsidRPr="00A3001B" w:rsidRDefault="00E65CE3" w:rsidP="00904962"/>
          <w:p w14:paraId="634E227A" w14:textId="77777777" w:rsidR="00E65CE3" w:rsidRPr="00A3001B" w:rsidRDefault="00E65CE3" w:rsidP="00904962">
            <w:r w:rsidRPr="00A3001B">
              <w:t>Target: 200 community members trained</w:t>
            </w:r>
          </w:p>
          <w:p w14:paraId="478D82D4" w14:textId="77777777" w:rsidR="00E65CE3" w:rsidRPr="001F7755" w:rsidRDefault="00E65CE3" w:rsidP="00904962">
            <w:pPr>
              <w:rPr>
                <w:lang w:val="en-US" w:eastAsia="en-US"/>
              </w:rPr>
            </w:pPr>
          </w:p>
        </w:tc>
        <w:tc>
          <w:tcPr>
            <w:tcW w:w="1620" w:type="dxa"/>
            <w:shd w:val="clear" w:color="auto" w:fill="auto"/>
          </w:tcPr>
          <w:p w14:paraId="1AE0D70F" w14:textId="77777777" w:rsidR="00E65CE3" w:rsidRPr="00A3001B" w:rsidRDefault="00E65CE3" w:rsidP="00904962">
            <w:r w:rsidRPr="00A3001B">
              <w:lastRenderedPageBreak/>
              <w:t>Simplified checklist produced.</w:t>
            </w:r>
          </w:p>
          <w:p w14:paraId="3EA71E56" w14:textId="77777777" w:rsidR="00E65CE3" w:rsidRPr="00A3001B" w:rsidRDefault="00E65CE3" w:rsidP="00904962"/>
          <w:p w14:paraId="2C439273" w14:textId="77777777" w:rsidR="00E65CE3" w:rsidRPr="00A3001B" w:rsidRDefault="00E65CE3" w:rsidP="00904962"/>
          <w:p w14:paraId="37560B03" w14:textId="77777777" w:rsidR="00E65CE3" w:rsidRPr="00A3001B" w:rsidRDefault="00E65CE3" w:rsidP="00904962"/>
          <w:p w14:paraId="7AF145A2" w14:textId="77777777" w:rsidR="00E65CE3" w:rsidRDefault="00E65CE3" w:rsidP="00904962"/>
          <w:p w14:paraId="15094600" w14:textId="77777777" w:rsidR="00E65CE3" w:rsidRDefault="00E65CE3" w:rsidP="00904962"/>
          <w:p w14:paraId="1FCF2214" w14:textId="77777777" w:rsidR="00E65CE3" w:rsidRDefault="00E65CE3" w:rsidP="00904962"/>
          <w:p w14:paraId="685B15F5" w14:textId="77777777" w:rsidR="00E65CE3" w:rsidRDefault="00E65CE3" w:rsidP="00904962"/>
          <w:p w14:paraId="096636CB" w14:textId="77777777" w:rsidR="00E65CE3" w:rsidRPr="00A3001B" w:rsidRDefault="00E65CE3" w:rsidP="00904962">
            <w:r w:rsidRPr="00A3001B">
              <w:t>Checklist validated for adoption</w:t>
            </w:r>
          </w:p>
          <w:p w14:paraId="3150B49B" w14:textId="77777777" w:rsidR="00E65CE3" w:rsidRPr="00A3001B" w:rsidRDefault="00E65CE3" w:rsidP="00904962"/>
          <w:p w14:paraId="002D7441" w14:textId="77777777" w:rsidR="00E65CE3" w:rsidRPr="00A3001B" w:rsidRDefault="00E65CE3" w:rsidP="00904962"/>
          <w:p w14:paraId="6AD1A233" w14:textId="77777777" w:rsidR="00E65CE3" w:rsidRPr="00A3001B" w:rsidRDefault="00E65CE3" w:rsidP="00904962"/>
          <w:p w14:paraId="07486E67" w14:textId="77777777" w:rsidR="00E65CE3" w:rsidRPr="00A3001B" w:rsidRDefault="00E65CE3" w:rsidP="00904962"/>
          <w:p w14:paraId="00C00844" w14:textId="77777777" w:rsidR="00E65CE3" w:rsidRPr="00A3001B" w:rsidRDefault="00E65CE3" w:rsidP="00904962"/>
          <w:p w14:paraId="6209B792" w14:textId="77777777" w:rsidR="00E65CE3" w:rsidRPr="00A3001B" w:rsidRDefault="00E65CE3" w:rsidP="00904962"/>
          <w:p w14:paraId="29D455F3" w14:textId="77777777" w:rsidR="00E65CE3" w:rsidRPr="00A3001B" w:rsidRDefault="00E65CE3" w:rsidP="00904962"/>
          <w:p w14:paraId="51F21E86" w14:textId="77777777" w:rsidR="00E65CE3" w:rsidRPr="001F7755" w:rsidRDefault="00E65CE3" w:rsidP="00904962">
            <w:pPr>
              <w:rPr>
                <w:lang w:val="en-US" w:eastAsia="en-US"/>
              </w:rPr>
            </w:pPr>
            <w:r w:rsidRPr="00A3001B">
              <w:lastRenderedPageBreak/>
              <w:t xml:space="preserve">Plans for implementation of training finalized </w:t>
            </w:r>
          </w:p>
        </w:tc>
        <w:tc>
          <w:tcPr>
            <w:tcW w:w="1440" w:type="dxa"/>
            <w:shd w:val="clear" w:color="auto" w:fill="auto"/>
          </w:tcPr>
          <w:p w14:paraId="5089CCF3" w14:textId="77777777" w:rsidR="00E65CE3" w:rsidRPr="00A3001B" w:rsidRDefault="00E65CE3" w:rsidP="00904962">
            <w:r w:rsidRPr="00A3001B">
              <w:lastRenderedPageBreak/>
              <w:t xml:space="preserve">Revised checklists validated and adopted </w:t>
            </w:r>
          </w:p>
          <w:p w14:paraId="5188710D" w14:textId="77777777" w:rsidR="00E65CE3" w:rsidRPr="00A3001B" w:rsidRDefault="00E65CE3" w:rsidP="00904962"/>
          <w:p w14:paraId="7A65D357" w14:textId="77777777" w:rsidR="00E65CE3" w:rsidRPr="00A3001B" w:rsidRDefault="00E65CE3" w:rsidP="00904962"/>
          <w:p w14:paraId="2F69A5B8" w14:textId="77777777" w:rsidR="00E65CE3" w:rsidRPr="00A3001B" w:rsidRDefault="00E65CE3" w:rsidP="00904962"/>
          <w:p w14:paraId="03075A17" w14:textId="77777777" w:rsidR="00E65CE3" w:rsidRPr="00A3001B" w:rsidRDefault="00E65CE3" w:rsidP="00904962"/>
          <w:p w14:paraId="4C17DA74" w14:textId="77777777" w:rsidR="00E65CE3" w:rsidRPr="00A3001B" w:rsidRDefault="00E65CE3" w:rsidP="00904962"/>
          <w:p w14:paraId="4A247387" w14:textId="77777777" w:rsidR="00E65CE3" w:rsidRPr="00A3001B" w:rsidRDefault="00E65CE3" w:rsidP="00904962"/>
          <w:p w14:paraId="7370D549" w14:textId="77777777" w:rsidR="00E65CE3" w:rsidRPr="00A3001B" w:rsidRDefault="00E65CE3" w:rsidP="00904962"/>
          <w:p w14:paraId="4AB34A27" w14:textId="77777777" w:rsidR="00E65CE3" w:rsidRPr="00A3001B" w:rsidRDefault="00E65CE3" w:rsidP="00904962"/>
          <w:p w14:paraId="5B30A517" w14:textId="77777777" w:rsidR="00E65CE3" w:rsidRDefault="00E65CE3" w:rsidP="00904962"/>
          <w:p w14:paraId="743A44E9" w14:textId="77777777" w:rsidR="00E65CE3" w:rsidRDefault="00E65CE3" w:rsidP="00904962"/>
          <w:p w14:paraId="7A728B83" w14:textId="77777777" w:rsidR="00E65CE3" w:rsidRDefault="00E65CE3" w:rsidP="00904962"/>
          <w:p w14:paraId="175F1DF3" w14:textId="77777777" w:rsidR="00E65CE3" w:rsidRDefault="00E65CE3" w:rsidP="00904962"/>
          <w:p w14:paraId="370CA268" w14:textId="77777777" w:rsidR="00E65CE3" w:rsidRDefault="00E65CE3" w:rsidP="00904962"/>
          <w:p w14:paraId="7ABF5348" w14:textId="77777777" w:rsidR="00E65CE3" w:rsidRPr="001F7755" w:rsidRDefault="00E65CE3" w:rsidP="00904962">
            <w:pPr>
              <w:rPr>
                <w:b/>
                <w:lang w:val="en-US" w:eastAsia="en-US"/>
              </w:rPr>
            </w:pPr>
            <w:r w:rsidRPr="00A3001B">
              <w:t xml:space="preserve">At least 100 community </w:t>
            </w:r>
            <w:r w:rsidRPr="00A3001B">
              <w:lastRenderedPageBreak/>
              <w:t xml:space="preserve">members trained </w:t>
            </w:r>
          </w:p>
        </w:tc>
        <w:tc>
          <w:tcPr>
            <w:tcW w:w="2160" w:type="dxa"/>
            <w:shd w:val="clear" w:color="auto" w:fill="auto"/>
          </w:tcPr>
          <w:p w14:paraId="18EAF9C1" w14:textId="77777777" w:rsidR="00E65CE3" w:rsidRPr="001F7755" w:rsidRDefault="00E65CE3" w:rsidP="00904962">
            <w:pPr>
              <w:rPr>
                <w:lang w:val="en-US"/>
              </w:rPr>
            </w:pPr>
          </w:p>
        </w:tc>
        <w:tc>
          <w:tcPr>
            <w:tcW w:w="4770" w:type="dxa"/>
          </w:tcPr>
          <w:p w14:paraId="097C19B0" w14:textId="77777777" w:rsidR="00E65CE3" w:rsidRPr="001F7755" w:rsidRDefault="00E65CE3" w:rsidP="00904962">
            <w:pPr>
              <w:rPr>
                <w:b/>
                <w:lang w:val="en-US" w:eastAsia="en-US"/>
              </w:rPr>
            </w:pPr>
          </w:p>
        </w:tc>
      </w:tr>
      <w:tr w:rsidR="00E65CE3" w:rsidRPr="001F7755" w14:paraId="5D9AC00C" w14:textId="77777777" w:rsidTr="00904962">
        <w:trPr>
          <w:trHeight w:val="512"/>
        </w:trPr>
        <w:tc>
          <w:tcPr>
            <w:tcW w:w="1530" w:type="dxa"/>
          </w:tcPr>
          <w:p w14:paraId="7DD152FE" w14:textId="77777777" w:rsidR="00E65CE3" w:rsidRPr="001F7755" w:rsidRDefault="00E65CE3" w:rsidP="00904962">
            <w:pPr>
              <w:rPr>
                <w:b/>
                <w:lang w:val="en-US" w:eastAsia="en-US"/>
              </w:rPr>
            </w:pPr>
          </w:p>
        </w:tc>
        <w:tc>
          <w:tcPr>
            <w:tcW w:w="2070" w:type="dxa"/>
            <w:shd w:val="clear" w:color="auto" w:fill="auto"/>
          </w:tcPr>
          <w:p w14:paraId="6269E869" w14:textId="77777777" w:rsidR="00E65CE3" w:rsidRPr="00A3001B" w:rsidRDefault="00E65CE3" w:rsidP="00904962">
            <w:r w:rsidRPr="00A3001B">
              <w:t>1.1.4: Promoting Lesson Learned from this Innovative approach of Community and Private sector Partnership</w:t>
            </w:r>
          </w:p>
        </w:tc>
        <w:tc>
          <w:tcPr>
            <w:tcW w:w="1530" w:type="dxa"/>
            <w:shd w:val="clear" w:color="auto" w:fill="auto"/>
          </w:tcPr>
          <w:p w14:paraId="1405F404" w14:textId="77777777" w:rsidR="00E65CE3" w:rsidRDefault="00E65CE3" w:rsidP="00904962">
            <w:r>
              <w:t xml:space="preserve">Output Indicator 1.1.4: # of policy initiatives for SLEITI and VGGT adopted </w:t>
            </w:r>
            <w:r>
              <w:lastRenderedPageBreak/>
              <w:t xml:space="preserve">based on international best practices </w:t>
            </w:r>
          </w:p>
          <w:p w14:paraId="436EF832" w14:textId="77777777" w:rsidR="00E65CE3" w:rsidRDefault="00E65CE3" w:rsidP="00904962"/>
          <w:p w14:paraId="13347F97" w14:textId="77777777" w:rsidR="00E65CE3" w:rsidRDefault="00E65CE3" w:rsidP="00904962">
            <w:r>
              <w:t>Baseline: 0</w:t>
            </w:r>
          </w:p>
          <w:p w14:paraId="600F8D22" w14:textId="77777777" w:rsidR="00E65CE3" w:rsidRDefault="00E65CE3" w:rsidP="00904962"/>
          <w:p w14:paraId="4FA643EB" w14:textId="77777777" w:rsidR="00E65CE3" w:rsidRPr="00A3001B" w:rsidRDefault="00E65CE3" w:rsidP="00904962">
            <w:r>
              <w:t>Target:  2 policy initiatives</w:t>
            </w:r>
          </w:p>
        </w:tc>
        <w:tc>
          <w:tcPr>
            <w:tcW w:w="1620" w:type="dxa"/>
            <w:shd w:val="clear" w:color="auto" w:fill="auto"/>
          </w:tcPr>
          <w:p w14:paraId="38885DCC" w14:textId="77777777" w:rsidR="00E65CE3" w:rsidRDefault="00E65CE3" w:rsidP="00904962">
            <w:r>
              <w:lastRenderedPageBreak/>
              <w:t>Reports produced from VGGT and SLEITI platforms</w:t>
            </w:r>
          </w:p>
          <w:p w14:paraId="62832343" w14:textId="77777777" w:rsidR="00E65CE3" w:rsidRDefault="00E65CE3" w:rsidP="00904962"/>
          <w:p w14:paraId="5BECBE78" w14:textId="77777777" w:rsidR="00E65CE3" w:rsidRPr="00A3001B" w:rsidRDefault="00E65CE3" w:rsidP="00904962">
            <w:r>
              <w:lastRenderedPageBreak/>
              <w:t>Finalization of reports ongoing</w:t>
            </w:r>
          </w:p>
        </w:tc>
        <w:tc>
          <w:tcPr>
            <w:tcW w:w="1440" w:type="dxa"/>
            <w:shd w:val="clear" w:color="auto" w:fill="auto"/>
          </w:tcPr>
          <w:p w14:paraId="2453E879" w14:textId="77777777" w:rsidR="00E65CE3" w:rsidRPr="00A3001B" w:rsidRDefault="00E65CE3" w:rsidP="00904962">
            <w:r w:rsidRPr="001B0055">
              <w:lastRenderedPageBreak/>
              <w:t>Lessons learnt incorporated in government policy</w:t>
            </w:r>
          </w:p>
        </w:tc>
        <w:tc>
          <w:tcPr>
            <w:tcW w:w="2160" w:type="dxa"/>
            <w:shd w:val="clear" w:color="auto" w:fill="auto"/>
          </w:tcPr>
          <w:p w14:paraId="420A2C7E" w14:textId="77777777" w:rsidR="00E65CE3" w:rsidRPr="001F7755" w:rsidRDefault="00E65CE3" w:rsidP="00904962">
            <w:pPr>
              <w:rPr>
                <w:lang w:val="en-US"/>
              </w:rPr>
            </w:pPr>
          </w:p>
        </w:tc>
        <w:tc>
          <w:tcPr>
            <w:tcW w:w="4770" w:type="dxa"/>
          </w:tcPr>
          <w:p w14:paraId="1B59C301" w14:textId="77777777" w:rsidR="00E65CE3" w:rsidRPr="001F7755" w:rsidRDefault="00E65CE3" w:rsidP="00904962">
            <w:pPr>
              <w:rPr>
                <w:b/>
                <w:lang w:val="en-US" w:eastAsia="en-US"/>
              </w:rPr>
            </w:pPr>
          </w:p>
        </w:tc>
      </w:tr>
      <w:tr w:rsidR="00E65CE3" w:rsidRPr="001F7755" w14:paraId="6E1E0D94" w14:textId="77777777" w:rsidTr="00904962">
        <w:trPr>
          <w:trHeight w:val="440"/>
        </w:trPr>
        <w:tc>
          <w:tcPr>
            <w:tcW w:w="1530" w:type="dxa"/>
            <w:vMerge w:val="restart"/>
          </w:tcPr>
          <w:p w14:paraId="14C67F87" w14:textId="77777777" w:rsidR="00E65CE3" w:rsidRPr="001F7755" w:rsidRDefault="00E65CE3" w:rsidP="00904962">
            <w:pPr>
              <w:rPr>
                <w:lang w:val="en-US" w:eastAsia="en-US"/>
              </w:rPr>
            </w:pPr>
            <w:r w:rsidRPr="001F7755">
              <w:rPr>
                <w:lang w:val="en-US" w:eastAsia="en-US"/>
              </w:rPr>
              <w:t>Output 1.2</w:t>
            </w:r>
          </w:p>
          <w:p w14:paraId="1E17187D" w14:textId="77777777" w:rsidR="00E65CE3" w:rsidRPr="001F7755" w:rsidRDefault="00E65CE3" w:rsidP="00904962">
            <w:pPr>
              <w:rPr>
                <w:lang w:val="en-US" w:eastAsia="en-US"/>
              </w:rPr>
            </w:pPr>
            <w:r w:rsidRPr="001F7755">
              <w:rPr>
                <w:lang w:val="en-US" w:eastAsia="en-US"/>
              </w:rPr>
              <w:t>Infrastructure for mediation and dialogue strengthened to manage conflicts within and between communities and companies.</w:t>
            </w:r>
          </w:p>
        </w:tc>
        <w:tc>
          <w:tcPr>
            <w:tcW w:w="2070" w:type="dxa"/>
            <w:shd w:val="clear" w:color="auto" w:fill="auto"/>
          </w:tcPr>
          <w:p w14:paraId="771340F5" w14:textId="77777777" w:rsidR="00E65CE3" w:rsidRPr="001F7755" w:rsidRDefault="00E65CE3" w:rsidP="00904962">
            <w:pPr>
              <w:jc w:val="both"/>
              <w:rPr>
                <w:lang w:val="en-US" w:eastAsia="en-US"/>
              </w:rPr>
            </w:pPr>
            <w:proofErr w:type="gramStart"/>
            <w:r w:rsidRPr="001F7755">
              <w:rPr>
                <w:lang w:val="en-US" w:eastAsia="en-US"/>
              </w:rPr>
              <w:t>Indicator  1.2.1</w:t>
            </w:r>
            <w:proofErr w:type="gramEnd"/>
          </w:p>
          <w:p w14:paraId="38AFF722" w14:textId="77777777" w:rsidR="00E65CE3" w:rsidRPr="001F7755" w:rsidRDefault="00E65CE3" w:rsidP="00904962">
            <w:pPr>
              <w:jc w:val="both"/>
              <w:rPr>
                <w:lang w:val="en-US" w:eastAsia="en-US"/>
              </w:rPr>
            </w:pPr>
            <w:r w:rsidRPr="001F7755">
              <w:rPr>
                <w:lang w:val="en-US" w:eastAsia="en-US"/>
              </w:rPr>
              <w:t>Percentage of community members that had a conflict in the last two years felt that it was resolved very fairly</w:t>
            </w:r>
          </w:p>
        </w:tc>
        <w:tc>
          <w:tcPr>
            <w:tcW w:w="1530" w:type="dxa"/>
            <w:shd w:val="clear" w:color="auto" w:fill="auto"/>
          </w:tcPr>
          <w:p w14:paraId="51A89E34" w14:textId="77777777" w:rsidR="00E65CE3" w:rsidRPr="001F7755" w:rsidRDefault="00E65CE3" w:rsidP="00904962">
            <w:pPr>
              <w:rPr>
                <w:lang w:val="en-US"/>
              </w:rPr>
            </w:pPr>
            <w:r w:rsidRPr="001F7755">
              <w:rPr>
                <w:lang w:val="en-US" w:eastAsia="en-US"/>
              </w:rPr>
              <w:t>33.1 per cent per cent of survey respondents who had been in a land dispute in the last two years believed that was the resolution to the dispute was very fair.</w:t>
            </w:r>
          </w:p>
        </w:tc>
        <w:tc>
          <w:tcPr>
            <w:tcW w:w="1620" w:type="dxa"/>
            <w:shd w:val="clear" w:color="auto" w:fill="auto"/>
          </w:tcPr>
          <w:p w14:paraId="4CCA1C56" w14:textId="77777777" w:rsidR="00E65CE3" w:rsidRPr="001F7755" w:rsidRDefault="00E65CE3" w:rsidP="00904962">
            <w:pPr>
              <w:rPr>
                <w:lang w:val="en-US"/>
              </w:rPr>
            </w:pPr>
            <w:r w:rsidRPr="001F7755">
              <w:rPr>
                <w:lang w:val="en-US"/>
              </w:rPr>
              <w:t>40</w:t>
            </w:r>
            <w:r w:rsidRPr="001F7755">
              <w:rPr>
                <w:lang w:val="en-US" w:eastAsia="en-US"/>
              </w:rPr>
              <w:t xml:space="preserve"> percent of survey respondents</w:t>
            </w:r>
          </w:p>
        </w:tc>
        <w:tc>
          <w:tcPr>
            <w:tcW w:w="1440" w:type="dxa"/>
            <w:shd w:val="clear" w:color="auto" w:fill="auto"/>
          </w:tcPr>
          <w:p w14:paraId="00ADFB38" w14:textId="77777777" w:rsidR="00E65CE3" w:rsidRPr="001F7755" w:rsidRDefault="00E65CE3" w:rsidP="00904962">
            <w:pPr>
              <w:rPr>
                <w:b/>
                <w:lang w:val="en-US" w:eastAsia="en-US"/>
              </w:rPr>
            </w:pPr>
            <w:r w:rsidRPr="001F7755">
              <w:rPr>
                <w:b/>
                <w:lang w:val="en-US" w:eastAsia="en-US"/>
              </w:rPr>
              <w:fldChar w:fldCharType="begin">
                <w:ffData>
                  <w:name w:val=""/>
                  <w:enabled/>
                  <w:calcOnExit w:val="0"/>
                  <w:textInput>
                    <w:maxLength w:val="300"/>
                  </w:textInput>
                </w:ffData>
              </w:fldChar>
            </w:r>
            <w:r w:rsidRPr="001F7755">
              <w:rPr>
                <w:b/>
                <w:lang w:val="en-US" w:eastAsia="en-US"/>
              </w:rPr>
              <w:instrText xml:space="preserve"> FORMTEXT </w:instrText>
            </w:r>
            <w:r w:rsidRPr="001F7755">
              <w:rPr>
                <w:b/>
                <w:lang w:val="en-US" w:eastAsia="en-US"/>
              </w:rPr>
            </w:r>
            <w:r w:rsidRPr="001F7755">
              <w:rPr>
                <w:b/>
                <w:lang w:val="en-US" w:eastAsia="en-US"/>
              </w:rPr>
              <w:fldChar w:fldCharType="separate"/>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lang w:val="en-US" w:eastAsia="en-US"/>
              </w:rPr>
              <w:fldChar w:fldCharType="end"/>
            </w:r>
          </w:p>
        </w:tc>
        <w:tc>
          <w:tcPr>
            <w:tcW w:w="2160" w:type="dxa"/>
            <w:shd w:val="clear" w:color="auto" w:fill="auto"/>
          </w:tcPr>
          <w:p w14:paraId="2D8B3D01" w14:textId="77777777" w:rsidR="00E65CE3" w:rsidRPr="001F7755" w:rsidRDefault="00E65CE3" w:rsidP="00904962">
            <w:pPr>
              <w:rPr>
                <w:lang w:val="en-US"/>
              </w:rPr>
            </w:pPr>
            <w:r w:rsidRPr="001F7755">
              <w:rPr>
                <w:lang w:val="en-US"/>
              </w:rPr>
              <w:t>Not yet available</w:t>
            </w:r>
          </w:p>
        </w:tc>
        <w:tc>
          <w:tcPr>
            <w:tcW w:w="4770" w:type="dxa"/>
          </w:tcPr>
          <w:p w14:paraId="51B028E7" w14:textId="77777777" w:rsidR="00E65CE3" w:rsidRPr="001F7755" w:rsidRDefault="00E65CE3" w:rsidP="00904962">
            <w:pPr>
              <w:rPr>
                <w:lang w:val="en-US"/>
              </w:rPr>
            </w:pPr>
            <w:r w:rsidRPr="001F7755">
              <w:rPr>
                <w:b/>
                <w:lang w:val="en-US" w:eastAsia="en-US"/>
              </w:rPr>
              <w:fldChar w:fldCharType="begin">
                <w:ffData>
                  <w:name w:val=""/>
                  <w:enabled/>
                  <w:calcOnExit w:val="0"/>
                  <w:textInput>
                    <w:maxLength w:val="300"/>
                  </w:textInput>
                </w:ffData>
              </w:fldChar>
            </w:r>
            <w:r w:rsidRPr="001F7755">
              <w:rPr>
                <w:b/>
                <w:lang w:val="en-US" w:eastAsia="en-US"/>
              </w:rPr>
              <w:instrText xml:space="preserve"> FORMTEXT </w:instrText>
            </w:r>
            <w:r w:rsidRPr="001F7755">
              <w:rPr>
                <w:b/>
                <w:lang w:val="en-US" w:eastAsia="en-US"/>
              </w:rPr>
            </w:r>
            <w:r w:rsidRPr="001F7755">
              <w:rPr>
                <w:b/>
                <w:lang w:val="en-US" w:eastAsia="en-US"/>
              </w:rPr>
              <w:fldChar w:fldCharType="separate"/>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lang w:val="en-US" w:eastAsia="en-US"/>
              </w:rPr>
              <w:fldChar w:fldCharType="end"/>
            </w:r>
          </w:p>
        </w:tc>
      </w:tr>
      <w:tr w:rsidR="00E65CE3" w:rsidRPr="001F7755" w14:paraId="411BAF4A" w14:textId="77777777" w:rsidTr="00904962">
        <w:trPr>
          <w:trHeight w:val="467"/>
        </w:trPr>
        <w:tc>
          <w:tcPr>
            <w:tcW w:w="1530" w:type="dxa"/>
            <w:vMerge/>
          </w:tcPr>
          <w:p w14:paraId="11FBDF41" w14:textId="77777777" w:rsidR="00E65CE3" w:rsidRPr="001F7755" w:rsidRDefault="00E65CE3" w:rsidP="00904962">
            <w:pPr>
              <w:rPr>
                <w:b/>
                <w:lang w:val="en-US" w:eastAsia="en-US"/>
              </w:rPr>
            </w:pPr>
          </w:p>
        </w:tc>
        <w:tc>
          <w:tcPr>
            <w:tcW w:w="2070" w:type="dxa"/>
            <w:shd w:val="clear" w:color="auto" w:fill="auto"/>
          </w:tcPr>
          <w:p w14:paraId="06B07717" w14:textId="77777777" w:rsidR="00E65CE3" w:rsidRPr="001F7755" w:rsidRDefault="00E65CE3" w:rsidP="00904962">
            <w:pPr>
              <w:jc w:val="both"/>
              <w:rPr>
                <w:lang w:val="en-US" w:eastAsia="en-US"/>
              </w:rPr>
            </w:pPr>
            <w:r w:rsidRPr="00256DCB">
              <w:rPr>
                <w:lang w:val="en-US" w:eastAsia="en-US"/>
              </w:rPr>
              <w:t>1.2.2: Strengthening mechanisms to increase transparency and accountability of community development funds</w:t>
            </w:r>
          </w:p>
        </w:tc>
        <w:tc>
          <w:tcPr>
            <w:tcW w:w="1530" w:type="dxa"/>
            <w:shd w:val="clear" w:color="auto" w:fill="auto"/>
          </w:tcPr>
          <w:p w14:paraId="3AD562DB" w14:textId="77777777" w:rsidR="00E65CE3" w:rsidRPr="00256DCB" w:rsidRDefault="00E65CE3" w:rsidP="00904962">
            <w:pPr>
              <w:rPr>
                <w:lang w:val="en-US"/>
              </w:rPr>
            </w:pPr>
            <w:r w:rsidRPr="00256DCB">
              <w:rPr>
                <w:lang w:val="en-US"/>
              </w:rPr>
              <w:t>Output Indicator 1.2.2: Percentage of local platforms (CDCs, Grievance Committees, and MSPs) with inclusive membership (minimum of 30 per cent women)</w:t>
            </w:r>
          </w:p>
          <w:p w14:paraId="273E3990" w14:textId="77777777" w:rsidR="00E65CE3" w:rsidRPr="00256DCB" w:rsidRDefault="00E65CE3" w:rsidP="00904962">
            <w:pPr>
              <w:rPr>
                <w:lang w:val="en-US"/>
              </w:rPr>
            </w:pPr>
          </w:p>
          <w:p w14:paraId="1933002A" w14:textId="77777777" w:rsidR="00E65CE3" w:rsidRPr="00256DCB" w:rsidRDefault="00E65CE3" w:rsidP="00904962">
            <w:pPr>
              <w:rPr>
                <w:lang w:val="en-US"/>
              </w:rPr>
            </w:pPr>
            <w:r w:rsidRPr="00256DCB">
              <w:rPr>
                <w:lang w:val="en-US"/>
              </w:rPr>
              <w:t>Baseline: variable across CDCs, Grievance Committees, and MSPs</w:t>
            </w:r>
          </w:p>
          <w:p w14:paraId="5499FD3C" w14:textId="77777777" w:rsidR="00E65CE3" w:rsidRPr="00256DCB" w:rsidRDefault="00E65CE3" w:rsidP="00904962">
            <w:pPr>
              <w:rPr>
                <w:lang w:val="en-US"/>
              </w:rPr>
            </w:pPr>
          </w:p>
          <w:p w14:paraId="3294C68E" w14:textId="77777777" w:rsidR="00E65CE3" w:rsidRPr="001F7755" w:rsidRDefault="00E65CE3" w:rsidP="00904962">
            <w:pPr>
              <w:rPr>
                <w:lang w:val="en-US"/>
              </w:rPr>
            </w:pPr>
            <w:r w:rsidRPr="00256DCB">
              <w:rPr>
                <w:lang w:val="en-US"/>
              </w:rPr>
              <w:lastRenderedPageBreak/>
              <w:t>Target: 30 per cent of CDCs, Grievance Committees, and MSPs have membership of 30 per cent women</w:t>
            </w:r>
          </w:p>
        </w:tc>
        <w:tc>
          <w:tcPr>
            <w:tcW w:w="1620" w:type="dxa"/>
            <w:shd w:val="clear" w:color="auto" w:fill="auto"/>
          </w:tcPr>
          <w:p w14:paraId="109214AC" w14:textId="77777777" w:rsidR="00E65CE3" w:rsidRPr="00256DCB" w:rsidRDefault="00E65CE3" w:rsidP="00904962">
            <w:pPr>
              <w:rPr>
                <w:lang w:val="en-US"/>
              </w:rPr>
            </w:pPr>
            <w:r w:rsidRPr="00256DCB">
              <w:rPr>
                <w:lang w:val="en-US"/>
              </w:rPr>
              <w:lastRenderedPageBreak/>
              <w:t xml:space="preserve">Baseline and </w:t>
            </w:r>
            <w:proofErr w:type="spellStart"/>
            <w:r w:rsidRPr="00256DCB">
              <w:rPr>
                <w:lang w:val="en-US"/>
              </w:rPr>
              <w:t>endline</w:t>
            </w:r>
            <w:proofErr w:type="spellEnd"/>
            <w:r w:rsidRPr="00256DCB">
              <w:rPr>
                <w:lang w:val="en-US"/>
              </w:rPr>
              <w:t xml:space="preserve"> surveys</w:t>
            </w:r>
          </w:p>
          <w:p w14:paraId="4F2FD137" w14:textId="77777777" w:rsidR="00E65CE3" w:rsidRPr="00256DCB" w:rsidRDefault="00E65CE3" w:rsidP="00904962">
            <w:pPr>
              <w:rPr>
                <w:lang w:val="en-US"/>
              </w:rPr>
            </w:pPr>
          </w:p>
          <w:p w14:paraId="787A16CD" w14:textId="77777777" w:rsidR="00E65CE3" w:rsidRPr="00256DCB" w:rsidRDefault="00E65CE3" w:rsidP="00904962">
            <w:pPr>
              <w:rPr>
                <w:lang w:val="en-US"/>
              </w:rPr>
            </w:pPr>
          </w:p>
          <w:p w14:paraId="7EC99EEB" w14:textId="77777777" w:rsidR="00E65CE3" w:rsidRPr="00256DCB" w:rsidRDefault="00E65CE3" w:rsidP="00904962">
            <w:pPr>
              <w:rPr>
                <w:lang w:val="en-US"/>
              </w:rPr>
            </w:pPr>
          </w:p>
          <w:p w14:paraId="17E2A5AB" w14:textId="77777777" w:rsidR="00E65CE3" w:rsidRPr="00256DCB" w:rsidRDefault="00E65CE3" w:rsidP="00904962">
            <w:pPr>
              <w:rPr>
                <w:lang w:val="en-US"/>
              </w:rPr>
            </w:pPr>
          </w:p>
          <w:p w14:paraId="6CFA542E" w14:textId="77777777" w:rsidR="00E65CE3" w:rsidRPr="001F7755" w:rsidRDefault="00E65CE3" w:rsidP="00904962">
            <w:pPr>
              <w:rPr>
                <w:lang w:val="en-US"/>
              </w:rPr>
            </w:pPr>
          </w:p>
        </w:tc>
        <w:tc>
          <w:tcPr>
            <w:tcW w:w="1440" w:type="dxa"/>
            <w:shd w:val="clear" w:color="auto" w:fill="auto"/>
          </w:tcPr>
          <w:p w14:paraId="5A7C585A" w14:textId="77777777" w:rsidR="00E65CE3" w:rsidRPr="001F7755" w:rsidRDefault="00E65CE3" w:rsidP="00904962">
            <w:pPr>
              <w:rPr>
                <w:b/>
                <w:lang w:val="en-US" w:eastAsia="en-US"/>
              </w:rPr>
            </w:pPr>
            <w:r w:rsidRPr="00A3001B">
              <w:rPr>
                <w:lang w:val="en-US"/>
              </w:rPr>
              <w:t>Re-composition of committees to include women.</w:t>
            </w:r>
          </w:p>
        </w:tc>
        <w:tc>
          <w:tcPr>
            <w:tcW w:w="2160" w:type="dxa"/>
            <w:shd w:val="clear" w:color="auto" w:fill="auto"/>
          </w:tcPr>
          <w:p w14:paraId="6F566768" w14:textId="77777777" w:rsidR="00E65CE3" w:rsidRPr="001F7755" w:rsidRDefault="00E65CE3" w:rsidP="00904962">
            <w:pPr>
              <w:rPr>
                <w:lang w:val="en-US"/>
              </w:rPr>
            </w:pPr>
          </w:p>
        </w:tc>
        <w:tc>
          <w:tcPr>
            <w:tcW w:w="4770" w:type="dxa"/>
          </w:tcPr>
          <w:p w14:paraId="60CA0481" w14:textId="77777777" w:rsidR="00E65CE3" w:rsidRPr="001F7755" w:rsidRDefault="00E65CE3" w:rsidP="00904962">
            <w:pPr>
              <w:rPr>
                <w:lang w:val="en-US"/>
              </w:rPr>
            </w:pPr>
          </w:p>
        </w:tc>
      </w:tr>
      <w:tr w:rsidR="00E65CE3" w:rsidRPr="001F7755" w14:paraId="05F0D0AC" w14:textId="77777777" w:rsidTr="00904962">
        <w:trPr>
          <w:trHeight w:val="467"/>
        </w:trPr>
        <w:tc>
          <w:tcPr>
            <w:tcW w:w="1530" w:type="dxa"/>
          </w:tcPr>
          <w:p w14:paraId="5E208F56" w14:textId="77777777" w:rsidR="00E65CE3" w:rsidRPr="001F7755" w:rsidRDefault="00E65CE3" w:rsidP="00904962">
            <w:pPr>
              <w:rPr>
                <w:b/>
                <w:lang w:val="en-US" w:eastAsia="en-US"/>
              </w:rPr>
            </w:pPr>
          </w:p>
        </w:tc>
        <w:tc>
          <w:tcPr>
            <w:tcW w:w="2070" w:type="dxa"/>
            <w:shd w:val="clear" w:color="auto" w:fill="auto"/>
          </w:tcPr>
          <w:p w14:paraId="2227ADD6" w14:textId="77777777" w:rsidR="00E65CE3" w:rsidRPr="001F7755" w:rsidRDefault="00E65CE3" w:rsidP="00904962">
            <w:pPr>
              <w:jc w:val="both"/>
              <w:rPr>
                <w:lang w:val="en-US" w:eastAsia="en-US"/>
              </w:rPr>
            </w:pPr>
            <w:r w:rsidRPr="001F7755">
              <w:rPr>
                <w:lang w:val="en-US" w:eastAsia="en-US"/>
              </w:rPr>
              <w:t>Indicator 1.2.</w:t>
            </w:r>
            <w:r>
              <w:rPr>
                <w:lang w:val="en-US" w:eastAsia="en-US"/>
              </w:rPr>
              <w:t>3</w:t>
            </w:r>
          </w:p>
          <w:p w14:paraId="6744AB2E" w14:textId="77777777" w:rsidR="00E65CE3" w:rsidRPr="001F7755" w:rsidRDefault="00E65CE3" w:rsidP="00904962">
            <w:pPr>
              <w:jc w:val="both"/>
              <w:rPr>
                <w:lang w:val="en-US" w:eastAsia="en-US"/>
              </w:rPr>
            </w:pPr>
            <w:r w:rsidRPr="001F7755">
              <w:rPr>
                <w:lang w:val="en-US" w:eastAsia="en-US"/>
              </w:rPr>
              <w:t># of district-level MSPs meetings held on quarterly basis</w:t>
            </w:r>
          </w:p>
        </w:tc>
        <w:tc>
          <w:tcPr>
            <w:tcW w:w="1530" w:type="dxa"/>
            <w:shd w:val="clear" w:color="auto" w:fill="auto"/>
          </w:tcPr>
          <w:p w14:paraId="5067E5A4" w14:textId="77777777" w:rsidR="00E65CE3" w:rsidRPr="001F7755" w:rsidRDefault="00E65CE3" w:rsidP="00904962">
            <w:pPr>
              <w:rPr>
                <w:b/>
                <w:lang w:val="en-US" w:eastAsia="en-US"/>
              </w:rPr>
            </w:pPr>
            <w:r w:rsidRPr="001F7755">
              <w:rPr>
                <w:b/>
                <w:lang w:val="en-US" w:eastAsia="en-US"/>
              </w:rPr>
              <w:t>0</w:t>
            </w:r>
          </w:p>
        </w:tc>
        <w:tc>
          <w:tcPr>
            <w:tcW w:w="1620" w:type="dxa"/>
            <w:shd w:val="clear" w:color="auto" w:fill="auto"/>
          </w:tcPr>
          <w:p w14:paraId="3CE1ADEE" w14:textId="77777777" w:rsidR="00E65CE3" w:rsidRPr="001F7755" w:rsidRDefault="00E65CE3" w:rsidP="00904962">
            <w:pPr>
              <w:rPr>
                <w:lang w:val="en-US" w:eastAsia="en-US"/>
              </w:rPr>
            </w:pPr>
            <w:r w:rsidRPr="001F7755">
              <w:rPr>
                <w:lang w:val="en-US" w:eastAsia="en-US"/>
              </w:rPr>
              <w:t>2 MSP meetings</w:t>
            </w:r>
            <w:r w:rsidRPr="001F7755">
              <w:rPr>
                <w:lang w:val="en-US"/>
              </w:rPr>
              <w:t xml:space="preserve"> quarterly</w:t>
            </w:r>
          </w:p>
        </w:tc>
        <w:tc>
          <w:tcPr>
            <w:tcW w:w="1440" w:type="dxa"/>
            <w:shd w:val="clear" w:color="auto" w:fill="auto"/>
          </w:tcPr>
          <w:p w14:paraId="38DA45C6" w14:textId="77777777" w:rsidR="00E65CE3" w:rsidRPr="001F7755" w:rsidRDefault="00E65CE3" w:rsidP="00904962">
            <w:pPr>
              <w:rPr>
                <w:b/>
                <w:lang w:val="en-US" w:eastAsia="en-US"/>
              </w:rPr>
            </w:pPr>
            <w:r w:rsidRPr="001F7755">
              <w:rPr>
                <w:b/>
                <w:lang w:val="en-US" w:eastAsia="en-US"/>
              </w:rPr>
              <w:fldChar w:fldCharType="begin">
                <w:ffData>
                  <w:name w:val=""/>
                  <w:enabled/>
                  <w:calcOnExit w:val="0"/>
                  <w:textInput>
                    <w:maxLength w:val="300"/>
                  </w:textInput>
                </w:ffData>
              </w:fldChar>
            </w:r>
            <w:r w:rsidRPr="001F7755">
              <w:rPr>
                <w:b/>
                <w:lang w:val="en-US" w:eastAsia="en-US"/>
              </w:rPr>
              <w:instrText xml:space="preserve"> FORMTEXT </w:instrText>
            </w:r>
            <w:r w:rsidRPr="001F7755">
              <w:rPr>
                <w:b/>
                <w:lang w:val="en-US" w:eastAsia="en-US"/>
              </w:rPr>
            </w:r>
            <w:r w:rsidRPr="001F7755">
              <w:rPr>
                <w:b/>
                <w:lang w:val="en-US" w:eastAsia="en-US"/>
              </w:rPr>
              <w:fldChar w:fldCharType="separate"/>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lang w:val="en-US" w:eastAsia="en-US"/>
              </w:rPr>
              <w:fldChar w:fldCharType="end"/>
            </w:r>
          </w:p>
        </w:tc>
        <w:tc>
          <w:tcPr>
            <w:tcW w:w="2160" w:type="dxa"/>
            <w:shd w:val="clear" w:color="auto" w:fill="auto"/>
          </w:tcPr>
          <w:p w14:paraId="28B38D41" w14:textId="77777777" w:rsidR="00E65CE3" w:rsidRPr="001F7755" w:rsidRDefault="00E65CE3" w:rsidP="00904962">
            <w:pPr>
              <w:rPr>
                <w:lang w:val="en-US" w:eastAsia="en-US"/>
              </w:rPr>
            </w:pPr>
            <w:r w:rsidRPr="001F7755">
              <w:rPr>
                <w:lang w:val="en-US" w:eastAsia="en-US"/>
              </w:rPr>
              <w:t xml:space="preserve">Two Grievance Redress Committee meetings were held in Malen and Makpele in preparation for an MSP meeting in Pujehun District </w:t>
            </w:r>
            <w:proofErr w:type="gramStart"/>
            <w:r w:rsidRPr="001F7755">
              <w:rPr>
                <w:lang w:val="en-US" w:eastAsia="en-US"/>
              </w:rPr>
              <w:t>in  June</w:t>
            </w:r>
            <w:proofErr w:type="gramEnd"/>
            <w:r w:rsidRPr="001F7755">
              <w:rPr>
                <w:lang w:val="en-US" w:eastAsia="en-US"/>
              </w:rPr>
              <w:t xml:space="preserve"> 2021</w:t>
            </w:r>
          </w:p>
          <w:p w14:paraId="0B3EC5AB" w14:textId="77777777" w:rsidR="00E65CE3" w:rsidRPr="001F7755" w:rsidRDefault="00E65CE3" w:rsidP="00904962">
            <w:pPr>
              <w:rPr>
                <w:lang w:val="en-US" w:eastAsia="en-US"/>
              </w:rPr>
            </w:pPr>
          </w:p>
          <w:p w14:paraId="0231D671" w14:textId="77777777" w:rsidR="00E65CE3" w:rsidRPr="001F7755" w:rsidRDefault="00E65CE3" w:rsidP="00904962">
            <w:pPr>
              <w:rPr>
                <w:lang w:val="en-US" w:eastAsia="en-US"/>
              </w:rPr>
            </w:pPr>
          </w:p>
        </w:tc>
        <w:tc>
          <w:tcPr>
            <w:tcW w:w="4770" w:type="dxa"/>
          </w:tcPr>
          <w:p w14:paraId="4CFC4BB2" w14:textId="77777777" w:rsidR="00E65CE3" w:rsidRPr="001F7755" w:rsidRDefault="00E65CE3" w:rsidP="00904962">
            <w:pPr>
              <w:rPr>
                <w:b/>
                <w:lang w:val="en-US" w:eastAsia="en-US"/>
              </w:rPr>
            </w:pPr>
            <w:r w:rsidRPr="001F7755">
              <w:rPr>
                <w:b/>
                <w:lang w:val="en-US" w:eastAsia="en-US"/>
              </w:rPr>
              <w:fldChar w:fldCharType="begin">
                <w:ffData>
                  <w:name w:val=""/>
                  <w:enabled/>
                  <w:calcOnExit w:val="0"/>
                  <w:textInput>
                    <w:maxLength w:val="300"/>
                  </w:textInput>
                </w:ffData>
              </w:fldChar>
            </w:r>
            <w:r w:rsidRPr="001F7755">
              <w:rPr>
                <w:b/>
                <w:lang w:val="en-US" w:eastAsia="en-US"/>
              </w:rPr>
              <w:instrText xml:space="preserve"> FORMTEXT </w:instrText>
            </w:r>
            <w:r w:rsidRPr="001F7755">
              <w:rPr>
                <w:b/>
                <w:lang w:val="en-US" w:eastAsia="en-US"/>
              </w:rPr>
            </w:r>
            <w:r w:rsidRPr="001F7755">
              <w:rPr>
                <w:b/>
                <w:lang w:val="en-US" w:eastAsia="en-US"/>
              </w:rPr>
              <w:fldChar w:fldCharType="separate"/>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lang w:val="en-US" w:eastAsia="en-US"/>
              </w:rPr>
              <w:fldChar w:fldCharType="end"/>
            </w:r>
          </w:p>
        </w:tc>
      </w:tr>
      <w:tr w:rsidR="00E65CE3" w:rsidRPr="001F7755" w14:paraId="47B43592" w14:textId="77777777" w:rsidTr="00904962">
        <w:trPr>
          <w:trHeight w:val="422"/>
        </w:trPr>
        <w:tc>
          <w:tcPr>
            <w:tcW w:w="1530" w:type="dxa"/>
            <w:vMerge w:val="restart"/>
          </w:tcPr>
          <w:p w14:paraId="02821B46" w14:textId="77777777" w:rsidR="00E65CE3" w:rsidRPr="001F7755" w:rsidRDefault="00E65CE3" w:rsidP="00904962">
            <w:pPr>
              <w:rPr>
                <w:lang w:val="en-US" w:eastAsia="en-US"/>
              </w:rPr>
            </w:pPr>
            <w:r w:rsidRPr="001F7755">
              <w:rPr>
                <w:lang w:val="en-US" w:eastAsia="en-US"/>
              </w:rPr>
              <w:t>Output 1.3</w:t>
            </w:r>
          </w:p>
          <w:p w14:paraId="545CF62A" w14:textId="77777777" w:rsidR="00E65CE3" w:rsidRDefault="00E65CE3" w:rsidP="00904962">
            <w:pPr>
              <w:rPr>
                <w:lang w:val="en-US" w:eastAsia="en-US"/>
              </w:rPr>
            </w:pPr>
            <w:r w:rsidRPr="001F7755">
              <w:rPr>
                <w:lang w:val="en-US" w:eastAsia="en-US"/>
              </w:rPr>
              <w:t xml:space="preserve">Strengthen the capacity of </w:t>
            </w:r>
            <w:r w:rsidRPr="001F7755">
              <w:rPr>
                <w:lang w:val="en-US" w:eastAsia="en-US"/>
              </w:rPr>
              <w:lastRenderedPageBreak/>
              <w:t>government, security sector, local leaders, and companies to be more accountable to communities</w:t>
            </w:r>
          </w:p>
          <w:p w14:paraId="0D5C89C5" w14:textId="77777777" w:rsidR="00E65CE3" w:rsidRDefault="00E65CE3" w:rsidP="00904962">
            <w:pPr>
              <w:rPr>
                <w:lang w:val="en-US" w:eastAsia="en-US"/>
              </w:rPr>
            </w:pPr>
          </w:p>
          <w:p w14:paraId="321E133F" w14:textId="77777777" w:rsidR="00E65CE3" w:rsidRPr="001F7755" w:rsidRDefault="00E65CE3" w:rsidP="00904962">
            <w:pPr>
              <w:rPr>
                <w:lang w:val="en-US" w:eastAsia="en-US"/>
              </w:rPr>
            </w:pPr>
          </w:p>
          <w:p w14:paraId="46D53912" w14:textId="77777777" w:rsidR="00E65CE3" w:rsidRPr="001F7755" w:rsidRDefault="00E65CE3" w:rsidP="00904962">
            <w:pPr>
              <w:rPr>
                <w:lang w:val="en-US" w:eastAsia="en-US"/>
              </w:rPr>
            </w:pPr>
          </w:p>
        </w:tc>
        <w:tc>
          <w:tcPr>
            <w:tcW w:w="2070" w:type="dxa"/>
            <w:shd w:val="clear" w:color="auto" w:fill="auto"/>
          </w:tcPr>
          <w:p w14:paraId="7CFB3191" w14:textId="77777777" w:rsidR="00E65CE3" w:rsidRPr="001F7755" w:rsidRDefault="00E65CE3" w:rsidP="00904962">
            <w:pPr>
              <w:jc w:val="both"/>
              <w:rPr>
                <w:lang w:val="en-US" w:eastAsia="en-US"/>
              </w:rPr>
            </w:pPr>
            <w:r w:rsidRPr="001F7755">
              <w:rPr>
                <w:lang w:val="en-US" w:eastAsia="en-US"/>
              </w:rPr>
              <w:lastRenderedPageBreak/>
              <w:t>Indicator 1.3.1</w:t>
            </w:r>
          </w:p>
          <w:p w14:paraId="4BA97333" w14:textId="77777777" w:rsidR="00E65CE3" w:rsidRPr="001F7755" w:rsidRDefault="00E65CE3" w:rsidP="00904962">
            <w:pPr>
              <w:jc w:val="both"/>
              <w:rPr>
                <w:lang w:val="en-US" w:eastAsia="en-US"/>
              </w:rPr>
            </w:pPr>
            <w:r w:rsidRPr="001F7755">
              <w:rPr>
                <w:lang w:val="en-US" w:eastAsia="en-US"/>
              </w:rPr>
              <w:t xml:space="preserve">Percentage of Local Police Partnership Board </w:t>
            </w:r>
            <w:r w:rsidRPr="001F7755">
              <w:rPr>
                <w:lang w:val="en-US" w:eastAsia="en-US"/>
              </w:rPr>
              <w:lastRenderedPageBreak/>
              <w:t>(LPPBs) meetings held on a monthly basis</w:t>
            </w:r>
          </w:p>
        </w:tc>
        <w:tc>
          <w:tcPr>
            <w:tcW w:w="1530" w:type="dxa"/>
            <w:shd w:val="clear" w:color="auto" w:fill="auto"/>
          </w:tcPr>
          <w:p w14:paraId="3EB5382E" w14:textId="77777777" w:rsidR="00E65CE3" w:rsidRPr="001F7755" w:rsidRDefault="00E65CE3" w:rsidP="00904962">
            <w:pPr>
              <w:rPr>
                <w:lang w:val="en-US"/>
              </w:rPr>
            </w:pPr>
            <w:r w:rsidRPr="001F7755">
              <w:rPr>
                <w:lang w:val="en-US"/>
              </w:rPr>
              <w:lastRenderedPageBreak/>
              <w:t xml:space="preserve">0 (no record of recent LPPBs meetings </w:t>
            </w:r>
            <w:r w:rsidRPr="001F7755">
              <w:rPr>
                <w:lang w:val="en-US"/>
              </w:rPr>
              <w:lastRenderedPageBreak/>
              <w:t>held in the 4 target locations)</w:t>
            </w:r>
          </w:p>
        </w:tc>
        <w:tc>
          <w:tcPr>
            <w:tcW w:w="1620" w:type="dxa"/>
            <w:shd w:val="clear" w:color="auto" w:fill="auto"/>
          </w:tcPr>
          <w:p w14:paraId="49390F95" w14:textId="77777777" w:rsidR="00E65CE3" w:rsidRPr="001F7755" w:rsidRDefault="00E65CE3" w:rsidP="00904962">
            <w:pPr>
              <w:rPr>
                <w:lang w:val="en-US"/>
              </w:rPr>
            </w:pPr>
            <w:r w:rsidRPr="001F7755">
              <w:rPr>
                <w:lang w:val="en-US" w:eastAsia="en-US"/>
              </w:rPr>
              <w:lastRenderedPageBreak/>
              <w:t>40 percent of LPPBs.</w:t>
            </w:r>
          </w:p>
        </w:tc>
        <w:tc>
          <w:tcPr>
            <w:tcW w:w="1440" w:type="dxa"/>
            <w:shd w:val="clear" w:color="auto" w:fill="auto"/>
          </w:tcPr>
          <w:p w14:paraId="2D179CEC" w14:textId="77777777" w:rsidR="00E65CE3" w:rsidRPr="001F7755" w:rsidRDefault="00E65CE3" w:rsidP="00904962">
            <w:pPr>
              <w:rPr>
                <w:b/>
                <w:lang w:val="en-US" w:eastAsia="en-US"/>
              </w:rPr>
            </w:pPr>
            <w:r w:rsidRPr="001F7755">
              <w:rPr>
                <w:b/>
                <w:lang w:val="en-US" w:eastAsia="en-US"/>
              </w:rPr>
              <w:fldChar w:fldCharType="begin">
                <w:ffData>
                  <w:name w:val=""/>
                  <w:enabled/>
                  <w:calcOnExit w:val="0"/>
                  <w:textInput>
                    <w:maxLength w:val="300"/>
                  </w:textInput>
                </w:ffData>
              </w:fldChar>
            </w:r>
            <w:r w:rsidRPr="001F7755">
              <w:rPr>
                <w:b/>
                <w:lang w:val="en-US" w:eastAsia="en-US"/>
              </w:rPr>
              <w:instrText xml:space="preserve"> FORMTEXT </w:instrText>
            </w:r>
            <w:r w:rsidRPr="001F7755">
              <w:rPr>
                <w:b/>
                <w:lang w:val="en-US" w:eastAsia="en-US"/>
              </w:rPr>
            </w:r>
            <w:r w:rsidRPr="001F7755">
              <w:rPr>
                <w:b/>
                <w:lang w:val="en-US" w:eastAsia="en-US"/>
              </w:rPr>
              <w:fldChar w:fldCharType="separate"/>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lang w:val="en-US" w:eastAsia="en-US"/>
              </w:rPr>
              <w:fldChar w:fldCharType="end"/>
            </w:r>
          </w:p>
        </w:tc>
        <w:tc>
          <w:tcPr>
            <w:tcW w:w="2160" w:type="dxa"/>
            <w:shd w:val="clear" w:color="auto" w:fill="auto"/>
          </w:tcPr>
          <w:p w14:paraId="7DEBE2BF" w14:textId="77777777" w:rsidR="00E65CE3" w:rsidRPr="001F7755" w:rsidRDefault="00E65CE3" w:rsidP="00904962">
            <w:pPr>
              <w:rPr>
                <w:lang w:val="en-US"/>
              </w:rPr>
            </w:pPr>
            <w:r w:rsidRPr="001F7755">
              <w:rPr>
                <w:lang w:val="en-US"/>
              </w:rPr>
              <w:t xml:space="preserve">100 LPPB and SLP members from Lower and Upper Banta Chiefdoms </w:t>
            </w:r>
            <w:r w:rsidRPr="001F7755">
              <w:rPr>
                <w:lang w:val="en-US"/>
              </w:rPr>
              <w:lastRenderedPageBreak/>
              <w:t xml:space="preserve">capacitated in Human Rights, SGBV, and conflict resolution </w:t>
            </w:r>
          </w:p>
        </w:tc>
        <w:tc>
          <w:tcPr>
            <w:tcW w:w="4770" w:type="dxa"/>
          </w:tcPr>
          <w:p w14:paraId="5D66B17F" w14:textId="77777777" w:rsidR="00E65CE3" w:rsidRPr="001F7755" w:rsidRDefault="00E65CE3" w:rsidP="00904962">
            <w:pPr>
              <w:rPr>
                <w:lang w:val="en-US"/>
              </w:rPr>
            </w:pPr>
            <w:r w:rsidRPr="001F7755">
              <w:rPr>
                <w:b/>
                <w:lang w:val="en-US" w:eastAsia="en-US"/>
              </w:rPr>
              <w:lastRenderedPageBreak/>
              <w:fldChar w:fldCharType="begin">
                <w:ffData>
                  <w:name w:val=""/>
                  <w:enabled/>
                  <w:calcOnExit w:val="0"/>
                  <w:textInput>
                    <w:maxLength w:val="300"/>
                  </w:textInput>
                </w:ffData>
              </w:fldChar>
            </w:r>
            <w:r w:rsidRPr="001F7755">
              <w:rPr>
                <w:b/>
                <w:lang w:val="en-US" w:eastAsia="en-US"/>
              </w:rPr>
              <w:instrText xml:space="preserve"> FORMTEXT </w:instrText>
            </w:r>
            <w:r w:rsidRPr="001F7755">
              <w:rPr>
                <w:b/>
                <w:lang w:val="en-US" w:eastAsia="en-US"/>
              </w:rPr>
            </w:r>
            <w:r w:rsidRPr="001F7755">
              <w:rPr>
                <w:b/>
                <w:lang w:val="en-US" w:eastAsia="en-US"/>
              </w:rPr>
              <w:fldChar w:fldCharType="separate"/>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lang w:val="en-US" w:eastAsia="en-US"/>
              </w:rPr>
              <w:fldChar w:fldCharType="end"/>
            </w:r>
          </w:p>
        </w:tc>
      </w:tr>
      <w:tr w:rsidR="00E65CE3" w:rsidRPr="001F7755" w14:paraId="6ACA0A15" w14:textId="77777777" w:rsidTr="00904962">
        <w:trPr>
          <w:trHeight w:val="422"/>
        </w:trPr>
        <w:tc>
          <w:tcPr>
            <w:tcW w:w="1530" w:type="dxa"/>
            <w:vMerge/>
          </w:tcPr>
          <w:p w14:paraId="6777F31C" w14:textId="77777777" w:rsidR="00E65CE3" w:rsidRPr="001F7755" w:rsidRDefault="00E65CE3" w:rsidP="00904962">
            <w:pPr>
              <w:rPr>
                <w:b/>
                <w:lang w:val="en-US" w:eastAsia="en-US"/>
              </w:rPr>
            </w:pPr>
          </w:p>
        </w:tc>
        <w:tc>
          <w:tcPr>
            <w:tcW w:w="2070" w:type="dxa"/>
            <w:shd w:val="clear" w:color="auto" w:fill="auto"/>
          </w:tcPr>
          <w:p w14:paraId="7FB6678A" w14:textId="77777777" w:rsidR="00E65CE3" w:rsidRPr="001F7755" w:rsidRDefault="00E65CE3" w:rsidP="00904962">
            <w:pPr>
              <w:jc w:val="both"/>
              <w:rPr>
                <w:lang w:val="en-US" w:eastAsia="en-US"/>
              </w:rPr>
            </w:pPr>
            <w:r w:rsidRPr="001F7755">
              <w:rPr>
                <w:lang w:val="en-US" w:eastAsia="en-US"/>
              </w:rPr>
              <w:t>Indicator 1.3.2</w:t>
            </w:r>
          </w:p>
          <w:p w14:paraId="13AF0854" w14:textId="77777777" w:rsidR="00E65CE3" w:rsidRPr="001F7755" w:rsidRDefault="00E65CE3" w:rsidP="00904962">
            <w:pPr>
              <w:jc w:val="both"/>
              <w:rPr>
                <w:lang w:val="en-US" w:eastAsia="en-US"/>
              </w:rPr>
            </w:pPr>
            <w:r w:rsidRPr="001F7755">
              <w:rPr>
                <w:lang w:val="en-US" w:eastAsia="en-US"/>
              </w:rPr>
              <w:t>Number of company staff from respective company community relations units trained in conflict mediation (disaggregated by gender).</w:t>
            </w:r>
          </w:p>
        </w:tc>
        <w:tc>
          <w:tcPr>
            <w:tcW w:w="1530" w:type="dxa"/>
            <w:shd w:val="clear" w:color="auto" w:fill="auto"/>
          </w:tcPr>
          <w:p w14:paraId="3CDF4746" w14:textId="77777777" w:rsidR="00E65CE3" w:rsidRPr="001F7755" w:rsidRDefault="00E65CE3" w:rsidP="00904962">
            <w:pPr>
              <w:rPr>
                <w:lang w:val="en-US"/>
              </w:rPr>
            </w:pPr>
            <w:r w:rsidRPr="001F7755">
              <w:rPr>
                <w:lang w:val="en-US" w:eastAsia="en-US"/>
              </w:rPr>
              <w:t>0 (no record of company staff trained in conflict mediation)</w:t>
            </w:r>
          </w:p>
        </w:tc>
        <w:tc>
          <w:tcPr>
            <w:tcW w:w="1620" w:type="dxa"/>
            <w:shd w:val="clear" w:color="auto" w:fill="auto"/>
          </w:tcPr>
          <w:p w14:paraId="5CBE0A37" w14:textId="77777777" w:rsidR="00E65CE3" w:rsidRPr="001F7755" w:rsidRDefault="00E65CE3" w:rsidP="00904962">
            <w:pPr>
              <w:rPr>
                <w:lang w:val="en-US"/>
              </w:rPr>
            </w:pPr>
            <w:r w:rsidRPr="001F7755">
              <w:rPr>
                <w:lang w:val="en-US" w:eastAsia="en-US"/>
              </w:rPr>
              <w:t>20 company staff trained in conflict mediation and human rights.</w:t>
            </w:r>
          </w:p>
        </w:tc>
        <w:tc>
          <w:tcPr>
            <w:tcW w:w="1440" w:type="dxa"/>
            <w:shd w:val="clear" w:color="auto" w:fill="auto"/>
          </w:tcPr>
          <w:p w14:paraId="019ACC42" w14:textId="77777777" w:rsidR="00E65CE3" w:rsidRPr="001F7755" w:rsidRDefault="00E65CE3" w:rsidP="00904962">
            <w:pPr>
              <w:rPr>
                <w:b/>
                <w:lang w:val="en-US" w:eastAsia="en-US"/>
              </w:rPr>
            </w:pPr>
            <w:r w:rsidRPr="001F7755">
              <w:rPr>
                <w:b/>
                <w:lang w:val="en-US" w:eastAsia="en-US"/>
              </w:rPr>
              <w:fldChar w:fldCharType="begin">
                <w:ffData>
                  <w:name w:val=""/>
                  <w:enabled/>
                  <w:calcOnExit w:val="0"/>
                  <w:textInput>
                    <w:maxLength w:val="300"/>
                  </w:textInput>
                </w:ffData>
              </w:fldChar>
            </w:r>
            <w:r w:rsidRPr="001F7755">
              <w:rPr>
                <w:b/>
                <w:lang w:val="en-US" w:eastAsia="en-US"/>
              </w:rPr>
              <w:instrText xml:space="preserve"> FORMTEXT </w:instrText>
            </w:r>
            <w:r w:rsidRPr="001F7755">
              <w:rPr>
                <w:b/>
                <w:lang w:val="en-US" w:eastAsia="en-US"/>
              </w:rPr>
            </w:r>
            <w:r w:rsidRPr="001F7755">
              <w:rPr>
                <w:b/>
                <w:lang w:val="en-US" w:eastAsia="en-US"/>
              </w:rPr>
              <w:fldChar w:fldCharType="separate"/>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lang w:val="en-US" w:eastAsia="en-US"/>
              </w:rPr>
              <w:fldChar w:fldCharType="end"/>
            </w:r>
          </w:p>
        </w:tc>
        <w:tc>
          <w:tcPr>
            <w:tcW w:w="2160" w:type="dxa"/>
            <w:shd w:val="clear" w:color="auto" w:fill="auto"/>
          </w:tcPr>
          <w:p w14:paraId="2A9A9F26" w14:textId="77777777" w:rsidR="00E65CE3" w:rsidRPr="001F7755" w:rsidRDefault="00E65CE3" w:rsidP="00904962">
            <w:pPr>
              <w:rPr>
                <w:lang w:val="en-US"/>
              </w:rPr>
            </w:pPr>
            <w:r w:rsidRPr="001F7755">
              <w:rPr>
                <w:lang w:val="en-US"/>
              </w:rPr>
              <w:t xml:space="preserve">36 participants drawn from private companies in project areas (16) and communities (20) have increased capacities in Business and Human Rights facilitated by HRS-SL. </w:t>
            </w:r>
          </w:p>
        </w:tc>
        <w:tc>
          <w:tcPr>
            <w:tcW w:w="4770" w:type="dxa"/>
          </w:tcPr>
          <w:p w14:paraId="08D83DDD" w14:textId="77777777" w:rsidR="00E65CE3" w:rsidRPr="001F7755" w:rsidRDefault="00E65CE3" w:rsidP="00904962">
            <w:pPr>
              <w:rPr>
                <w:lang w:val="en-US"/>
              </w:rPr>
            </w:pPr>
            <w:r w:rsidRPr="001F7755">
              <w:rPr>
                <w:b/>
                <w:lang w:val="en-US" w:eastAsia="en-US"/>
              </w:rPr>
              <w:fldChar w:fldCharType="begin">
                <w:ffData>
                  <w:name w:val=""/>
                  <w:enabled/>
                  <w:calcOnExit w:val="0"/>
                  <w:textInput>
                    <w:maxLength w:val="300"/>
                  </w:textInput>
                </w:ffData>
              </w:fldChar>
            </w:r>
            <w:r w:rsidRPr="001F7755">
              <w:rPr>
                <w:b/>
                <w:lang w:val="en-US" w:eastAsia="en-US"/>
              </w:rPr>
              <w:instrText xml:space="preserve"> FORMTEXT </w:instrText>
            </w:r>
            <w:r w:rsidRPr="001F7755">
              <w:rPr>
                <w:b/>
                <w:lang w:val="en-US" w:eastAsia="en-US"/>
              </w:rPr>
            </w:r>
            <w:r w:rsidRPr="001F7755">
              <w:rPr>
                <w:b/>
                <w:lang w:val="en-US" w:eastAsia="en-US"/>
              </w:rPr>
              <w:fldChar w:fldCharType="separate"/>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lang w:val="en-US" w:eastAsia="en-US"/>
              </w:rPr>
              <w:fldChar w:fldCharType="end"/>
            </w:r>
          </w:p>
        </w:tc>
      </w:tr>
      <w:tr w:rsidR="00E65CE3" w:rsidRPr="001F7755" w14:paraId="385CBADD" w14:textId="77777777" w:rsidTr="00904962">
        <w:trPr>
          <w:trHeight w:val="422"/>
        </w:trPr>
        <w:tc>
          <w:tcPr>
            <w:tcW w:w="1530" w:type="dxa"/>
          </w:tcPr>
          <w:p w14:paraId="63F1B210" w14:textId="77777777" w:rsidR="00E65CE3" w:rsidRPr="00A3001B" w:rsidRDefault="00E65CE3" w:rsidP="00904962">
            <w:r>
              <w:t xml:space="preserve">Output </w:t>
            </w:r>
            <w:r w:rsidRPr="00A3001B">
              <w:t>1.3.1: Strengthen the capacity of SLEITI and VGGT</w:t>
            </w:r>
          </w:p>
          <w:p w14:paraId="4A48FDBB" w14:textId="77777777" w:rsidR="00E65CE3" w:rsidRPr="001F7755" w:rsidRDefault="00E65CE3" w:rsidP="00904962">
            <w:pPr>
              <w:rPr>
                <w:b/>
                <w:lang w:val="en-US" w:eastAsia="en-US"/>
              </w:rPr>
            </w:pPr>
          </w:p>
        </w:tc>
        <w:tc>
          <w:tcPr>
            <w:tcW w:w="2070" w:type="dxa"/>
            <w:shd w:val="clear" w:color="auto" w:fill="auto"/>
          </w:tcPr>
          <w:p w14:paraId="6D3ADAAE" w14:textId="77777777" w:rsidR="00E65CE3" w:rsidRPr="00256DCB" w:rsidRDefault="00E65CE3" w:rsidP="00904962">
            <w:pPr>
              <w:jc w:val="both"/>
              <w:rPr>
                <w:lang w:val="en-US" w:eastAsia="en-US"/>
              </w:rPr>
            </w:pPr>
            <w:r w:rsidRPr="00256DCB">
              <w:rPr>
                <w:lang w:val="en-US" w:eastAsia="en-US"/>
              </w:rPr>
              <w:t xml:space="preserve">Indicator 1.3.1: Number of SLEITI and VGGT coordination meetings held </w:t>
            </w:r>
          </w:p>
          <w:p w14:paraId="05E426B2" w14:textId="77777777" w:rsidR="00E65CE3" w:rsidRPr="00256DCB" w:rsidRDefault="00E65CE3" w:rsidP="00904962">
            <w:pPr>
              <w:jc w:val="both"/>
              <w:rPr>
                <w:lang w:val="en-US" w:eastAsia="en-US"/>
              </w:rPr>
            </w:pPr>
          </w:p>
          <w:p w14:paraId="1CAD3A48" w14:textId="77777777" w:rsidR="00E65CE3" w:rsidRPr="001F7755" w:rsidRDefault="00E65CE3" w:rsidP="00904962">
            <w:pPr>
              <w:jc w:val="both"/>
              <w:rPr>
                <w:lang w:val="en-US" w:eastAsia="en-US"/>
              </w:rPr>
            </w:pPr>
          </w:p>
        </w:tc>
        <w:tc>
          <w:tcPr>
            <w:tcW w:w="1530" w:type="dxa"/>
            <w:shd w:val="clear" w:color="auto" w:fill="auto"/>
          </w:tcPr>
          <w:p w14:paraId="3CA197CD" w14:textId="77777777" w:rsidR="00E65CE3" w:rsidRPr="00256DCB" w:rsidRDefault="00E65CE3" w:rsidP="00904962">
            <w:pPr>
              <w:jc w:val="both"/>
              <w:rPr>
                <w:lang w:val="en-US" w:eastAsia="en-US"/>
              </w:rPr>
            </w:pPr>
            <w:r w:rsidRPr="00256DCB">
              <w:rPr>
                <w:lang w:val="en-US" w:eastAsia="en-US"/>
              </w:rPr>
              <w:t>Baseline: 0</w:t>
            </w:r>
          </w:p>
          <w:p w14:paraId="1E495D6E" w14:textId="77777777" w:rsidR="00E65CE3" w:rsidRPr="00256DCB" w:rsidRDefault="00E65CE3" w:rsidP="00904962">
            <w:pPr>
              <w:jc w:val="both"/>
              <w:rPr>
                <w:lang w:val="en-US" w:eastAsia="en-US"/>
              </w:rPr>
            </w:pPr>
          </w:p>
          <w:p w14:paraId="7F920326" w14:textId="77777777" w:rsidR="00E65CE3" w:rsidRPr="001F7755" w:rsidRDefault="00E65CE3" w:rsidP="00904962">
            <w:pPr>
              <w:rPr>
                <w:lang w:val="en-US" w:eastAsia="en-US"/>
              </w:rPr>
            </w:pPr>
            <w:r w:rsidRPr="00256DCB">
              <w:rPr>
                <w:lang w:val="en-US" w:eastAsia="en-US"/>
              </w:rPr>
              <w:t>Target: 6 SLEITI and VGGT meetings.</w:t>
            </w:r>
          </w:p>
        </w:tc>
        <w:tc>
          <w:tcPr>
            <w:tcW w:w="1620" w:type="dxa"/>
            <w:shd w:val="clear" w:color="auto" w:fill="auto"/>
          </w:tcPr>
          <w:p w14:paraId="1F8FBFDE" w14:textId="77777777" w:rsidR="00E65CE3" w:rsidRPr="00A3001B" w:rsidRDefault="00E65CE3" w:rsidP="00904962"/>
          <w:p w14:paraId="68C07340" w14:textId="77777777" w:rsidR="00E65CE3" w:rsidRPr="001F7755" w:rsidRDefault="00E65CE3" w:rsidP="00904962">
            <w:pPr>
              <w:rPr>
                <w:lang w:val="en-US" w:eastAsia="en-US"/>
              </w:rPr>
            </w:pPr>
          </w:p>
        </w:tc>
        <w:tc>
          <w:tcPr>
            <w:tcW w:w="1440" w:type="dxa"/>
            <w:shd w:val="clear" w:color="auto" w:fill="auto"/>
          </w:tcPr>
          <w:p w14:paraId="3A1242A8" w14:textId="77777777" w:rsidR="00E65CE3" w:rsidRPr="00A3001B" w:rsidRDefault="00E65CE3" w:rsidP="00904962"/>
          <w:p w14:paraId="6993E9CA" w14:textId="77777777" w:rsidR="00E65CE3" w:rsidRPr="00A3001B" w:rsidRDefault="00E65CE3" w:rsidP="00904962"/>
          <w:p w14:paraId="6A7CE483" w14:textId="77777777" w:rsidR="00E65CE3" w:rsidRPr="00A3001B" w:rsidRDefault="00E65CE3" w:rsidP="00904962"/>
          <w:p w14:paraId="545778A3" w14:textId="77777777" w:rsidR="00E65CE3" w:rsidRPr="00A3001B" w:rsidRDefault="00E65CE3" w:rsidP="00904962"/>
          <w:p w14:paraId="3ABBF981" w14:textId="77777777" w:rsidR="00E65CE3" w:rsidRPr="00A3001B" w:rsidRDefault="00E65CE3" w:rsidP="00904962"/>
          <w:p w14:paraId="585FA01B" w14:textId="77777777" w:rsidR="00E65CE3" w:rsidRPr="00A3001B" w:rsidRDefault="00E65CE3" w:rsidP="00904962"/>
          <w:p w14:paraId="678E0845" w14:textId="77777777" w:rsidR="00E65CE3" w:rsidRPr="00A3001B" w:rsidRDefault="00E65CE3" w:rsidP="00904962"/>
          <w:p w14:paraId="4EE01E73" w14:textId="77777777" w:rsidR="00E65CE3" w:rsidRPr="001F7755" w:rsidRDefault="00E65CE3" w:rsidP="00904962">
            <w:pPr>
              <w:rPr>
                <w:b/>
                <w:lang w:val="en-US" w:eastAsia="en-US"/>
              </w:rPr>
            </w:pPr>
          </w:p>
        </w:tc>
        <w:tc>
          <w:tcPr>
            <w:tcW w:w="2160" w:type="dxa"/>
            <w:shd w:val="clear" w:color="auto" w:fill="auto"/>
          </w:tcPr>
          <w:p w14:paraId="06FD0463" w14:textId="77777777" w:rsidR="00E65CE3" w:rsidRDefault="00E65CE3" w:rsidP="00904962">
            <w:r w:rsidRPr="00A3001B">
              <w:t>4 meetings held</w:t>
            </w:r>
          </w:p>
          <w:p w14:paraId="339DFEF1" w14:textId="77777777" w:rsidR="00E65CE3" w:rsidRDefault="00E65CE3" w:rsidP="00904962"/>
          <w:p w14:paraId="4F4A2723" w14:textId="77777777" w:rsidR="00E65CE3" w:rsidRPr="001F7755" w:rsidRDefault="00E65CE3" w:rsidP="00904962">
            <w:pPr>
              <w:rPr>
                <w:lang w:val="en-US"/>
              </w:rPr>
            </w:pPr>
            <w:r w:rsidRPr="00A3001B">
              <w:t>Guidelines incorporated in government processes</w:t>
            </w:r>
          </w:p>
        </w:tc>
        <w:tc>
          <w:tcPr>
            <w:tcW w:w="4770" w:type="dxa"/>
          </w:tcPr>
          <w:p w14:paraId="6ACC3D68" w14:textId="77777777" w:rsidR="00E65CE3" w:rsidRPr="001F7755" w:rsidRDefault="00E65CE3" w:rsidP="00904962">
            <w:pPr>
              <w:rPr>
                <w:b/>
                <w:lang w:val="en-US" w:eastAsia="en-US"/>
              </w:rPr>
            </w:pPr>
          </w:p>
        </w:tc>
      </w:tr>
      <w:tr w:rsidR="00E65CE3" w:rsidRPr="001F7755" w14:paraId="45F4199F" w14:textId="77777777" w:rsidTr="00904962">
        <w:trPr>
          <w:trHeight w:val="422"/>
        </w:trPr>
        <w:tc>
          <w:tcPr>
            <w:tcW w:w="1530" w:type="dxa"/>
            <w:vMerge w:val="restart"/>
          </w:tcPr>
          <w:p w14:paraId="58798255" w14:textId="77777777" w:rsidR="00E65CE3" w:rsidRPr="001F7755" w:rsidRDefault="00E65CE3" w:rsidP="00904962">
            <w:pPr>
              <w:jc w:val="both"/>
              <w:rPr>
                <w:b/>
                <w:lang w:val="en-US" w:eastAsia="en-US"/>
              </w:rPr>
            </w:pPr>
            <w:r w:rsidRPr="001F7755">
              <w:rPr>
                <w:b/>
                <w:lang w:val="en-US" w:eastAsia="en-US"/>
              </w:rPr>
              <w:t>Outcome 2</w:t>
            </w:r>
          </w:p>
          <w:p w14:paraId="4889CCBF" w14:textId="77777777" w:rsidR="00E65CE3" w:rsidRPr="001F7755" w:rsidRDefault="00E65CE3" w:rsidP="00904962">
            <w:pPr>
              <w:rPr>
                <w:b/>
                <w:lang w:val="en-US" w:eastAsia="en-US"/>
              </w:rPr>
            </w:pPr>
            <w:r w:rsidRPr="001F7755">
              <w:rPr>
                <w:lang w:val="en-US" w:eastAsia="en-US"/>
              </w:rPr>
              <w:lastRenderedPageBreak/>
              <w:t>Social tensions reduced by enhancing sustainable livelihoods and food security</w:t>
            </w:r>
            <w:r w:rsidRPr="001F7755">
              <w:rPr>
                <w:lang w:val="en-US" w:eastAsia="en-US"/>
              </w:rPr>
              <w:tab/>
            </w:r>
          </w:p>
        </w:tc>
        <w:tc>
          <w:tcPr>
            <w:tcW w:w="2070" w:type="dxa"/>
            <w:shd w:val="clear" w:color="auto" w:fill="EEECE1"/>
          </w:tcPr>
          <w:p w14:paraId="69809B5E" w14:textId="77777777" w:rsidR="00E65CE3" w:rsidRPr="001F7755" w:rsidRDefault="00E65CE3" w:rsidP="00904962">
            <w:pPr>
              <w:jc w:val="both"/>
              <w:rPr>
                <w:lang w:val="en-US" w:eastAsia="en-US"/>
              </w:rPr>
            </w:pPr>
            <w:r w:rsidRPr="001F7755">
              <w:rPr>
                <w:lang w:val="en-US" w:eastAsia="en-US"/>
              </w:rPr>
              <w:lastRenderedPageBreak/>
              <w:t>Indicator 2.1</w:t>
            </w:r>
          </w:p>
          <w:p w14:paraId="05D55924" w14:textId="77777777" w:rsidR="00E65CE3" w:rsidRPr="001F7755" w:rsidRDefault="00E65CE3" w:rsidP="00904962">
            <w:pPr>
              <w:jc w:val="both"/>
              <w:rPr>
                <w:lang w:val="en-US" w:eastAsia="en-US"/>
              </w:rPr>
            </w:pPr>
            <w:r w:rsidRPr="001F7755">
              <w:rPr>
                <w:lang w:val="en-US" w:eastAsia="en-US"/>
              </w:rPr>
              <w:lastRenderedPageBreak/>
              <w:t>Level of perception of the reduction of resource-based disputes</w:t>
            </w:r>
          </w:p>
        </w:tc>
        <w:tc>
          <w:tcPr>
            <w:tcW w:w="1530" w:type="dxa"/>
            <w:shd w:val="clear" w:color="auto" w:fill="EEECE1"/>
          </w:tcPr>
          <w:p w14:paraId="64C97472" w14:textId="77777777" w:rsidR="00E65CE3" w:rsidRPr="001F7755" w:rsidRDefault="00E65CE3" w:rsidP="00904962">
            <w:pPr>
              <w:rPr>
                <w:lang w:val="en-US"/>
              </w:rPr>
            </w:pPr>
            <w:r w:rsidRPr="001F7755">
              <w:rPr>
                <w:lang w:val="en-US" w:eastAsia="en-US"/>
              </w:rPr>
              <w:lastRenderedPageBreak/>
              <w:t xml:space="preserve">57.8 per cent of survey </w:t>
            </w:r>
            <w:r w:rsidRPr="001F7755">
              <w:rPr>
                <w:lang w:val="en-US" w:eastAsia="en-US"/>
              </w:rPr>
              <w:lastRenderedPageBreak/>
              <w:t>respondents reported that they believe that the level of resource conflicts in their communities is either very high (26.7 per cent) or somewhat high (31.1 per cent).</w:t>
            </w:r>
          </w:p>
        </w:tc>
        <w:tc>
          <w:tcPr>
            <w:tcW w:w="1620" w:type="dxa"/>
            <w:shd w:val="clear" w:color="auto" w:fill="EEECE1"/>
          </w:tcPr>
          <w:p w14:paraId="1F85265D" w14:textId="77777777" w:rsidR="00E65CE3" w:rsidRPr="001F7755" w:rsidRDefault="00E65CE3" w:rsidP="00904962">
            <w:pPr>
              <w:rPr>
                <w:lang w:val="en-US"/>
              </w:rPr>
            </w:pPr>
            <w:r w:rsidRPr="001F7755">
              <w:rPr>
                <w:lang w:val="en-US" w:eastAsia="en-US"/>
              </w:rPr>
              <w:lastRenderedPageBreak/>
              <w:t xml:space="preserve">Indicator to be measured at </w:t>
            </w:r>
            <w:r w:rsidRPr="001F7755">
              <w:rPr>
                <w:lang w:val="en-US" w:eastAsia="en-US"/>
              </w:rPr>
              <w:lastRenderedPageBreak/>
              <w:t>the end of the project.</w:t>
            </w:r>
          </w:p>
        </w:tc>
        <w:tc>
          <w:tcPr>
            <w:tcW w:w="1440" w:type="dxa"/>
          </w:tcPr>
          <w:p w14:paraId="521D754E" w14:textId="77777777" w:rsidR="00E65CE3" w:rsidRPr="001F7755" w:rsidRDefault="00E65CE3" w:rsidP="00904962">
            <w:pPr>
              <w:rPr>
                <w:b/>
                <w:lang w:val="en-US" w:eastAsia="en-US"/>
              </w:rPr>
            </w:pPr>
            <w:r w:rsidRPr="001F7755">
              <w:rPr>
                <w:b/>
                <w:lang w:val="en-US" w:eastAsia="en-US"/>
              </w:rPr>
              <w:lastRenderedPageBreak/>
              <w:fldChar w:fldCharType="begin">
                <w:ffData>
                  <w:name w:val=""/>
                  <w:enabled/>
                  <w:calcOnExit w:val="0"/>
                  <w:textInput>
                    <w:maxLength w:val="300"/>
                  </w:textInput>
                </w:ffData>
              </w:fldChar>
            </w:r>
            <w:r w:rsidRPr="001F7755">
              <w:rPr>
                <w:b/>
                <w:lang w:val="en-US" w:eastAsia="en-US"/>
              </w:rPr>
              <w:instrText xml:space="preserve"> FORMTEXT </w:instrText>
            </w:r>
            <w:r w:rsidRPr="001F7755">
              <w:rPr>
                <w:b/>
                <w:lang w:val="en-US" w:eastAsia="en-US"/>
              </w:rPr>
            </w:r>
            <w:r w:rsidRPr="001F7755">
              <w:rPr>
                <w:b/>
                <w:lang w:val="en-US" w:eastAsia="en-US"/>
              </w:rPr>
              <w:fldChar w:fldCharType="separate"/>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lang w:val="en-US" w:eastAsia="en-US"/>
              </w:rPr>
              <w:fldChar w:fldCharType="end"/>
            </w:r>
          </w:p>
        </w:tc>
        <w:tc>
          <w:tcPr>
            <w:tcW w:w="2160" w:type="dxa"/>
          </w:tcPr>
          <w:p w14:paraId="4F2A2207" w14:textId="77777777" w:rsidR="00E65CE3" w:rsidRPr="001F7755" w:rsidRDefault="00E65CE3" w:rsidP="00904962">
            <w:pPr>
              <w:rPr>
                <w:lang w:val="en-US"/>
              </w:rPr>
            </w:pPr>
            <w:r w:rsidRPr="001F7755">
              <w:rPr>
                <w:lang w:val="en-US"/>
              </w:rPr>
              <w:t>Not yet available.</w:t>
            </w:r>
          </w:p>
        </w:tc>
        <w:tc>
          <w:tcPr>
            <w:tcW w:w="4770" w:type="dxa"/>
          </w:tcPr>
          <w:p w14:paraId="1E684794" w14:textId="77777777" w:rsidR="00E65CE3" w:rsidRPr="001F7755" w:rsidRDefault="00E65CE3" w:rsidP="00904962">
            <w:pPr>
              <w:rPr>
                <w:b/>
                <w:lang w:val="en-US" w:eastAsia="en-US"/>
              </w:rPr>
            </w:pPr>
            <w:r w:rsidRPr="001F7755">
              <w:rPr>
                <w:b/>
                <w:lang w:val="en-US" w:eastAsia="en-US"/>
              </w:rPr>
              <w:fldChar w:fldCharType="begin">
                <w:ffData>
                  <w:name w:val=""/>
                  <w:enabled/>
                  <w:calcOnExit w:val="0"/>
                  <w:textInput>
                    <w:maxLength w:val="300"/>
                  </w:textInput>
                </w:ffData>
              </w:fldChar>
            </w:r>
            <w:r w:rsidRPr="001F7755">
              <w:rPr>
                <w:b/>
                <w:lang w:val="en-US" w:eastAsia="en-US"/>
              </w:rPr>
              <w:instrText xml:space="preserve"> FORMTEXT </w:instrText>
            </w:r>
            <w:r w:rsidRPr="001F7755">
              <w:rPr>
                <w:b/>
                <w:lang w:val="en-US" w:eastAsia="en-US"/>
              </w:rPr>
            </w:r>
            <w:r w:rsidRPr="001F7755">
              <w:rPr>
                <w:b/>
                <w:lang w:val="en-US" w:eastAsia="en-US"/>
              </w:rPr>
              <w:fldChar w:fldCharType="separate"/>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lang w:val="en-US" w:eastAsia="en-US"/>
              </w:rPr>
              <w:fldChar w:fldCharType="end"/>
            </w:r>
          </w:p>
          <w:p w14:paraId="218EB4DC" w14:textId="77777777" w:rsidR="00E65CE3" w:rsidRPr="001F7755" w:rsidRDefault="00E65CE3" w:rsidP="00904962">
            <w:pPr>
              <w:rPr>
                <w:lang w:val="en-US"/>
              </w:rPr>
            </w:pPr>
          </w:p>
          <w:p w14:paraId="7ABD2952" w14:textId="77777777" w:rsidR="00E65CE3" w:rsidRPr="001F7755" w:rsidRDefault="00E65CE3" w:rsidP="00904962">
            <w:pPr>
              <w:rPr>
                <w:lang w:val="en-US"/>
              </w:rPr>
            </w:pPr>
          </w:p>
          <w:p w14:paraId="45E720FB" w14:textId="77777777" w:rsidR="00E65CE3" w:rsidRPr="001F7755" w:rsidRDefault="00E65CE3" w:rsidP="00904962">
            <w:pPr>
              <w:rPr>
                <w:lang w:val="en-US"/>
              </w:rPr>
            </w:pPr>
          </w:p>
          <w:p w14:paraId="4EE91021" w14:textId="77777777" w:rsidR="00E65CE3" w:rsidRPr="001F7755" w:rsidRDefault="00E65CE3" w:rsidP="00904962">
            <w:pPr>
              <w:rPr>
                <w:lang w:val="en-US"/>
              </w:rPr>
            </w:pPr>
          </w:p>
          <w:p w14:paraId="5E1C9EBF" w14:textId="77777777" w:rsidR="00E65CE3" w:rsidRPr="001F7755" w:rsidRDefault="00E65CE3" w:rsidP="00904962">
            <w:pPr>
              <w:rPr>
                <w:lang w:val="en-US"/>
              </w:rPr>
            </w:pPr>
          </w:p>
          <w:p w14:paraId="0B0300A6" w14:textId="77777777" w:rsidR="00E65CE3" w:rsidRPr="001F7755" w:rsidRDefault="00E65CE3" w:rsidP="00904962">
            <w:pPr>
              <w:rPr>
                <w:lang w:val="en-US"/>
              </w:rPr>
            </w:pPr>
          </w:p>
          <w:p w14:paraId="0D3C8C11" w14:textId="77777777" w:rsidR="00E65CE3" w:rsidRPr="001F7755" w:rsidRDefault="00E65CE3" w:rsidP="00904962">
            <w:pPr>
              <w:rPr>
                <w:b/>
                <w:lang w:val="en-US" w:eastAsia="en-US"/>
              </w:rPr>
            </w:pPr>
          </w:p>
          <w:p w14:paraId="66D61EA6" w14:textId="77777777" w:rsidR="00E65CE3" w:rsidRPr="001F7755" w:rsidRDefault="00E65CE3" w:rsidP="00904962">
            <w:pPr>
              <w:rPr>
                <w:b/>
                <w:lang w:val="en-US" w:eastAsia="en-US"/>
              </w:rPr>
            </w:pPr>
          </w:p>
          <w:p w14:paraId="3F62A22B" w14:textId="77777777" w:rsidR="00E65CE3" w:rsidRPr="001F7755" w:rsidRDefault="00E65CE3" w:rsidP="00904962">
            <w:pPr>
              <w:tabs>
                <w:tab w:val="left" w:pos="3225"/>
              </w:tabs>
              <w:rPr>
                <w:lang w:val="en-US"/>
              </w:rPr>
            </w:pPr>
            <w:r w:rsidRPr="001F7755">
              <w:rPr>
                <w:lang w:val="en-US"/>
              </w:rPr>
              <w:tab/>
            </w:r>
          </w:p>
        </w:tc>
      </w:tr>
      <w:tr w:rsidR="00E65CE3" w:rsidRPr="001F7755" w14:paraId="257C7C2E" w14:textId="77777777" w:rsidTr="00904962">
        <w:trPr>
          <w:trHeight w:val="422"/>
        </w:trPr>
        <w:tc>
          <w:tcPr>
            <w:tcW w:w="1530" w:type="dxa"/>
            <w:vMerge/>
          </w:tcPr>
          <w:p w14:paraId="4087C5F9" w14:textId="77777777" w:rsidR="00E65CE3" w:rsidRPr="001F7755" w:rsidRDefault="00E65CE3" w:rsidP="00904962">
            <w:pPr>
              <w:rPr>
                <w:lang w:val="en-US" w:eastAsia="en-US"/>
              </w:rPr>
            </w:pPr>
          </w:p>
        </w:tc>
        <w:tc>
          <w:tcPr>
            <w:tcW w:w="2070" w:type="dxa"/>
            <w:shd w:val="clear" w:color="auto" w:fill="EEECE1"/>
          </w:tcPr>
          <w:p w14:paraId="33C2B9CC" w14:textId="77777777" w:rsidR="00E65CE3" w:rsidRPr="001F7755" w:rsidRDefault="00E65CE3" w:rsidP="00904962">
            <w:pPr>
              <w:jc w:val="both"/>
              <w:rPr>
                <w:lang w:val="en-US" w:eastAsia="en-US"/>
              </w:rPr>
            </w:pPr>
            <w:r w:rsidRPr="001F7755">
              <w:rPr>
                <w:lang w:val="en-US" w:eastAsia="en-US"/>
              </w:rPr>
              <w:t>Indicator 2.2</w:t>
            </w:r>
          </w:p>
          <w:p w14:paraId="505EA6DE" w14:textId="77777777" w:rsidR="00E65CE3" w:rsidRPr="001F7755" w:rsidRDefault="00E65CE3" w:rsidP="00904962">
            <w:pPr>
              <w:jc w:val="both"/>
              <w:rPr>
                <w:lang w:val="en-US" w:eastAsia="en-US"/>
              </w:rPr>
            </w:pPr>
            <w:r w:rsidRPr="001F7755">
              <w:rPr>
                <w:lang w:val="en-US" w:eastAsia="en-US"/>
              </w:rPr>
              <w:t xml:space="preserve">Food Consumption Score, disaggregated by sex of household head  </w:t>
            </w:r>
          </w:p>
        </w:tc>
        <w:tc>
          <w:tcPr>
            <w:tcW w:w="1530" w:type="dxa"/>
            <w:shd w:val="clear" w:color="auto" w:fill="EEECE1"/>
          </w:tcPr>
          <w:p w14:paraId="5A3471BB" w14:textId="77777777" w:rsidR="00E65CE3" w:rsidRPr="001F7755" w:rsidRDefault="00E65CE3" w:rsidP="00904962">
            <w:pPr>
              <w:rPr>
                <w:b/>
                <w:bCs/>
                <w:lang w:val="en-US"/>
              </w:rPr>
            </w:pPr>
            <w:r w:rsidRPr="001F7755">
              <w:rPr>
                <w:lang w:val="en-US" w:eastAsia="en-US"/>
              </w:rPr>
              <w:t xml:space="preserve">Measures of the FCS captured by the baseline survey were 12.6 per cent with poor FCS and 65.8 per cent with borderline FCS in </w:t>
            </w:r>
            <w:r w:rsidRPr="001F7755">
              <w:rPr>
                <w:lang w:val="en-US" w:eastAsia="en-US"/>
              </w:rPr>
              <w:lastRenderedPageBreak/>
              <w:t>Moyamba district (</w:t>
            </w:r>
            <w:r w:rsidRPr="001F7755">
              <w:rPr>
                <w:b/>
                <w:bCs/>
                <w:lang w:val="en-US" w:eastAsia="en-US"/>
              </w:rPr>
              <w:t>78.4 percent total</w:t>
            </w:r>
            <w:r w:rsidRPr="001F7755">
              <w:rPr>
                <w:lang w:val="en-US" w:eastAsia="en-US"/>
              </w:rPr>
              <w:t>) and 57.2 per cent with poor FCS and 37.8 per cent with borderline FCS in Pujehun district (</w:t>
            </w:r>
            <w:r w:rsidRPr="001F7755">
              <w:rPr>
                <w:b/>
                <w:bCs/>
                <w:lang w:val="en-US" w:eastAsia="en-US"/>
              </w:rPr>
              <w:t>95 percent total)</w:t>
            </w:r>
          </w:p>
        </w:tc>
        <w:tc>
          <w:tcPr>
            <w:tcW w:w="1620" w:type="dxa"/>
            <w:shd w:val="clear" w:color="auto" w:fill="EEECE1"/>
          </w:tcPr>
          <w:p w14:paraId="28FC0008" w14:textId="77777777" w:rsidR="00E65CE3" w:rsidRPr="001F7755" w:rsidRDefault="00E65CE3" w:rsidP="00904962">
            <w:pPr>
              <w:rPr>
                <w:lang w:val="en-US"/>
              </w:rPr>
            </w:pPr>
            <w:r w:rsidRPr="001F7755">
              <w:rPr>
                <w:lang w:val="en-US" w:eastAsia="en-US"/>
              </w:rPr>
              <w:lastRenderedPageBreak/>
              <w:t>Reduction of both poor and borderline FCS in both districts by 80 per cent.</w:t>
            </w:r>
          </w:p>
        </w:tc>
        <w:tc>
          <w:tcPr>
            <w:tcW w:w="1440" w:type="dxa"/>
          </w:tcPr>
          <w:p w14:paraId="6699F85D" w14:textId="77777777" w:rsidR="00E65CE3" w:rsidRPr="001F7755" w:rsidRDefault="00E65CE3" w:rsidP="00904962">
            <w:pPr>
              <w:rPr>
                <w:b/>
                <w:lang w:val="en-US" w:eastAsia="en-US"/>
              </w:rPr>
            </w:pPr>
            <w:r w:rsidRPr="001F7755">
              <w:rPr>
                <w:lang w:val="en-US"/>
              </w:rPr>
              <w:t>Indicator to be measured in June 2020</w:t>
            </w:r>
          </w:p>
        </w:tc>
        <w:tc>
          <w:tcPr>
            <w:tcW w:w="2160" w:type="dxa"/>
          </w:tcPr>
          <w:p w14:paraId="3BD9F03C" w14:textId="77777777" w:rsidR="00E65CE3" w:rsidRPr="001F7755" w:rsidRDefault="00E65CE3" w:rsidP="00904962">
            <w:pPr>
              <w:rPr>
                <w:b/>
                <w:bCs/>
                <w:lang w:val="en-US"/>
              </w:rPr>
            </w:pPr>
            <w:r w:rsidRPr="001F7755">
              <w:rPr>
                <w:lang w:val="en-US"/>
              </w:rPr>
              <w:t xml:space="preserve">Moyamba, 7.5 percent with poor FCS and 44 percent with borderline (total = 51.5 percent); Pujehun, 4 percent poor FCS and 63 percent borderline (total = 67 percent). </w:t>
            </w:r>
            <w:r w:rsidRPr="001F7755">
              <w:rPr>
                <w:b/>
                <w:bCs/>
                <w:lang w:val="en-US"/>
              </w:rPr>
              <w:t xml:space="preserve">Moyamba =65 </w:t>
            </w:r>
            <w:r w:rsidRPr="001F7755">
              <w:rPr>
                <w:b/>
                <w:bCs/>
                <w:lang w:val="en-US"/>
              </w:rPr>
              <w:lastRenderedPageBreak/>
              <w:t>percent reduction;</w:t>
            </w:r>
            <w:r w:rsidRPr="001F7755">
              <w:rPr>
                <w:lang w:val="en-US"/>
              </w:rPr>
              <w:t xml:space="preserve"> </w:t>
            </w:r>
            <w:r w:rsidRPr="001F7755">
              <w:rPr>
                <w:b/>
                <w:bCs/>
                <w:lang w:val="en-US"/>
              </w:rPr>
              <w:t>Pujehun = 70 percent reduction.</w:t>
            </w:r>
          </w:p>
        </w:tc>
        <w:tc>
          <w:tcPr>
            <w:tcW w:w="4770" w:type="dxa"/>
          </w:tcPr>
          <w:p w14:paraId="32E20F94" w14:textId="77777777" w:rsidR="00E65CE3" w:rsidRPr="001F7755" w:rsidRDefault="00E65CE3" w:rsidP="00904962">
            <w:pPr>
              <w:rPr>
                <w:lang w:val="en-US"/>
              </w:rPr>
            </w:pPr>
          </w:p>
        </w:tc>
      </w:tr>
      <w:tr w:rsidR="00E65CE3" w:rsidRPr="001F7755" w14:paraId="3551029E" w14:textId="77777777" w:rsidTr="00904962">
        <w:trPr>
          <w:trHeight w:val="422"/>
        </w:trPr>
        <w:tc>
          <w:tcPr>
            <w:tcW w:w="1530" w:type="dxa"/>
            <w:vMerge w:val="restart"/>
          </w:tcPr>
          <w:p w14:paraId="33B4BB44" w14:textId="77777777" w:rsidR="00E65CE3" w:rsidRPr="001F7755" w:rsidRDefault="00E65CE3" w:rsidP="00904962">
            <w:pPr>
              <w:jc w:val="both"/>
              <w:rPr>
                <w:lang w:val="en-US" w:eastAsia="en-US"/>
              </w:rPr>
            </w:pPr>
            <w:r w:rsidRPr="001F7755">
              <w:rPr>
                <w:lang w:val="en-US" w:eastAsia="en-US"/>
              </w:rPr>
              <w:t>Output 2.1</w:t>
            </w:r>
          </w:p>
          <w:p w14:paraId="3780EF47" w14:textId="77777777" w:rsidR="00E65CE3" w:rsidRPr="001F7755" w:rsidRDefault="00E65CE3" w:rsidP="00904962">
            <w:pPr>
              <w:rPr>
                <w:b/>
                <w:lang w:val="en-US" w:eastAsia="en-US"/>
              </w:rPr>
            </w:pPr>
            <w:r w:rsidRPr="001F7755">
              <w:rPr>
                <w:lang w:val="en-US" w:eastAsia="en-US"/>
              </w:rPr>
              <w:t xml:space="preserve">Promote climate-smart agriculture practices, agricultural value chain strengthening and </w:t>
            </w:r>
            <w:r w:rsidRPr="001F7755">
              <w:rPr>
                <w:lang w:val="en-US" w:eastAsia="en-US"/>
              </w:rPr>
              <w:lastRenderedPageBreak/>
              <w:t>livelihood opportunities</w:t>
            </w:r>
            <w:r w:rsidRPr="001F7755">
              <w:rPr>
                <w:b/>
                <w:lang w:val="en-US" w:eastAsia="en-US"/>
              </w:rPr>
              <w:t xml:space="preserve"> </w:t>
            </w:r>
          </w:p>
        </w:tc>
        <w:tc>
          <w:tcPr>
            <w:tcW w:w="2070" w:type="dxa"/>
            <w:shd w:val="clear" w:color="auto" w:fill="EEECE1"/>
          </w:tcPr>
          <w:p w14:paraId="68684CE2" w14:textId="77777777" w:rsidR="00E65CE3" w:rsidRPr="001F7755" w:rsidRDefault="00E65CE3" w:rsidP="00904962">
            <w:pPr>
              <w:jc w:val="both"/>
              <w:rPr>
                <w:lang w:val="en-US" w:eastAsia="en-US"/>
              </w:rPr>
            </w:pPr>
            <w:proofErr w:type="gramStart"/>
            <w:r w:rsidRPr="001F7755">
              <w:rPr>
                <w:lang w:val="en-US" w:eastAsia="en-US"/>
              </w:rPr>
              <w:lastRenderedPageBreak/>
              <w:t>Indicator  2.1.1</w:t>
            </w:r>
            <w:proofErr w:type="gramEnd"/>
          </w:p>
          <w:p w14:paraId="045A6EFE" w14:textId="77777777" w:rsidR="00E65CE3" w:rsidRPr="001F7755" w:rsidRDefault="00E65CE3" w:rsidP="00904962">
            <w:pPr>
              <w:jc w:val="both"/>
              <w:rPr>
                <w:lang w:val="en-US" w:eastAsia="en-US"/>
              </w:rPr>
            </w:pPr>
            <w:r w:rsidRPr="001F7755">
              <w:rPr>
                <w:lang w:val="en-US" w:eastAsia="en-US"/>
              </w:rPr>
              <w:t>Percentage of community action plans developed with participation of women</w:t>
            </w:r>
          </w:p>
        </w:tc>
        <w:tc>
          <w:tcPr>
            <w:tcW w:w="1530" w:type="dxa"/>
            <w:shd w:val="clear" w:color="auto" w:fill="EEECE1"/>
          </w:tcPr>
          <w:p w14:paraId="1C60C78A" w14:textId="77777777" w:rsidR="00E65CE3" w:rsidRPr="001F7755" w:rsidRDefault="00E65CE3" w:rsidP="00904962">
            <w:pPr>
              <w:rPr>
                <w:lang w:val="en-US"/>
              </w:rPr>
            </w:pPr>
          </w:p>
        </w:tc>
        <w:tc>
          <w:tcPr>
            <w:tcW w:w="1620" w:type="dxa"/>
            <w:shd w:val="clear" w:color="auto" w:fill="EEECE1"/>
          </w:tcPr>
          <w:p w14:paraId="47D3B4A0" w14:textId="77777777" w:rsidR="00E65CE3" w:rsidRPr="001F7755" w:rsidRDefault="00E65CE3" w:rsidP="00904962">
            <w:pPr>
              <w:rPr>
                <w:lang w:val="en-US"/>
              </w:rPr>
            </w:pPr>
            <w:r w:rsidRPr="001F7755">
              <w:rPr>
                <w:lang w:val="en-US" w:eastAsia="en-US"/>
              </w:rPr>
              <w:t>100% community action plans developed with minimum of 50 per cent female representation</w:t>
            </w:r>
          </w:p>
        </w:tc>
        <w:tc>
          <w:tcPr>
            <w:tcW w:w="1440" w:type="dxa"/>
          </w:tcPr>
          <w:p w14:paraId="1FC54082" w14:textId="77777777" w:rsidR="00E65CE3" w:rsidRPr="001F7755" w:rsidRDefault="00E65CE3" w:rsidP="00904962">
            <w:pPr>
              <w:rPr>
                <w:b/>
                <w:lang w:val="en-US" w:eastAsia="en-US"/>
              </w:rPr>
            </w:pPr>
            <w:r w:rsidRPr="001F7755">
              <w:rPr>
                <w:b/>
                <w:lang w:val="en-US" w:eastAsia="en-US"/>
              </w:rPr>
              <w:fldChar w:fldCharType="begin">
                <w:ffData>
                  <w:name w:val=""/>
                  <w:enabled/>
                  <w:calcOnExit w:val="0"/>
                  <w:textInput>
                    <w:maxLength w:val="300"/>
                  </w:textInput>
                </w:ffData>
              </w:fldChar>
            </w:r>
            <w:r w:rsidRPr="001F7755">
              <w:rPr>
                <w:b/>
                <w:lang w:val="en-US" w:eastAsia="en-US"/>
              </w:rPr>
              <w:instrText xml:space="preserve"> FORMTEXT </w:instrText>
            </w:r>
            <w:r w:rsidRPr="001F7755">
              <w:rPr>
                <w:b/>
                <w:lang w:val="en-US" w:eastAsia="en-US"/>
              </w:rPr>
            </w:r>
            <w:r w:rsidRPr="001F7755">
              <w:rPr>
                <w:b/>
                <w:lang w:val="en-US" w:eastAsia="en-US"/>
              </w:rPr>
              <w:fldChar w:fldCharType="separate"/>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lang w:val="en-US" w:eastAsia="en-US"/>
              </w:rPr>
              <w:fldChar w:fldCharType="end"/>
            </w:r>
          </w:p>
        </w:tc>
        <w:tc>
          <w:tcPr>
            <w:tcW w:w="2160" w:type="dxa"/>
          </w:tcPr>
          <w:p w14:paraId="6D4881A8" w14:textId="77777777" w:rsidR="00E65CE3" w:rsidRPr="001F7755" w:rsidRDefault="00E65CE3" w:rsidP="00904962">
            <w:pPr>
              <w:rPr>
                <w:lang w:val="en-US"/>
              </w:rPr>
            </w:pPr>
            <w:r w:rsidRPr="001F7755">
              <w:rPr>
                <w:lang w:val="en-US"/>
              </w:rPr>
              <w:t>2 out of 4 CAPs developed with minimum 50 percent women</w:t>
            </w:r>
          </w:p>
        </w:tc>
        <w:tc>
          <w:tcPr>
            <w:tcW w:w="4770" w:type="dxa"/>
          </w:tcPr>
          <w:p w14:paraId="11A30059" w14:textId="77777777" w:rsidR="00E65CE3" w:rsidRPr="001F7755" w:rsidRDefault="00E65CE3" w:rsidP="00904962">
            <w:pPr>
              <w:rPr>
                <w:lang w:val="en-US"/>
              </w:rPr>
            </w:pPr>
            <w:r w:rsidRPr="001F7755">
              <w:rPr>
                <w:b/>
                <w:lang w:val="en-US" w:eastAsia="en-US"/>
              </w:rPr>
              <w:fldChar w:fldCharType="begin">
                <w:ffData>
                  <w:name w:val=""/>
                  <w:enabled/>
                  <w:calcOnExit w:val="0"/>
                  <w:textInput>
                    <w:maxLength w:val="300"/>
                  </w:textInput>
                </w:ffData>
              </w:fldChar>
            </w:r>
            <w:r w:rsidRPr="001F7755">
              <w:rPr>
                <w:b/>
                <w:lang w:val="en-US" w:eastAsia="en-US"/>
              </w:rPr>
              <w:instrText xml:space="preserve"> FORMTEXT </w:instrText>
            </w:r>
            <w:r w:rsidRPr="001F7755">
              <w:rPr>
                <w:b/>
                <w:lang w:val="en-US" w:eastAsia="en-US"/>
              </w:rPr>
            </w:r>
            <w:r w:rsidRPr="001F7755">
              <w:rPr>
                <w:b/>
                <w:lang w:val="en-US" w:eastAsia="en-US"/>
              </w:rPr>
              <w:fldChar w:fldCharType="separate"/>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noProof/>
                <w:lang w:val="en-US" w:eastAsia="en-US"/>
              </w:rPr>
              <w:t> </w:t>
            </w:r>
            <w:r w:rsidRPr="001F7755">
              <w:rPr>
                <w:b/>
                <w:lang w:val="en-US" w:eastAsia="en-US"/>
              </w:rPr>
              <w:fldChar w:fldCharType="end"/>
            </w:r>
          </w:p>
        </w:tc>
      </w:tr>
      <w:tr w:rsidR="00E65CE3" w:rsidRPr="001F7755" w14:paraId="3B501944" w14:textId="77777777" w:rsidTr="00904962">
        <w:trPr>
          <w:trHeight w:val="458"/>
        </w:trPr>
        <w:tc>
          <w:tcPr>
            <w:tcW w:w="1530" w:type="dxa"/>
            <w:vMerge/>
          </w:tcPr>
          <w:p w14:paraId="7FDE2848" w14:textId="77777777" w:rsidR="00E65CE3" w:rsidRPr="001F7755" w:rsidRDefault="00E65CE3" w:rsidP="00904962">
            <w:pPr>
              <w:rPr>
                <w:b/>
                <w:lang w:val="en-US" w:eastAsia="en-US"/>
              </w:rPr>
            </w:pPr>
          </w:p>
        </w:tc>
        <w:tc>
          <w:tcPr>
            <w:tcW w:w="2070" w:type="dxa"/>
            <w:shd w:val="clear" w:color="auto" w:fill="EEECE1"/>
          </w:tcPr>
          <w:p w14:paraId="08BC5DE7" w14:textId="77777777" w:rsidR="00E65CE3" w:rsidRPr="001F7755" w:rsidRDefault="00E65CE3" w:rsidP="00904962">
            <w:pPr>
              <w:jc w:val="both"/>
              <w:rPr>
                <w:lang w:val="en-US" w:eastAsia="en-US"/>
              </w:rPr>
            </w:pPr>
            <w:proofErr w:type="gramStart"/>
            <w:r w:rsidRPr="001F7755">
              <w:rPr>
                <w:lang w:val="en-US" w:eastAsia="en-US"/>
              </w:rPr>
              <w:t>Indicator  2.1.2</w:t>
            </w:r>
            <w:proofErr w:type="gramEnd"/>
          </w:p>
          <w:p w14:paraId="3D6B1141" w14:textId="77777777" w:rsidR="00E65CE3" w:rsidRPr="001F7755" w:rsidRDefault="00E65CE3" w:rsidP="00904962">
            <w:pPr>
              <w:jc w:val="both"/>
              <w:rPr>
                <w:lang w:val="en-US" w:eastAsia="en-US"/>
              </w:rPr>
            </w:pPr>
            <w:r w:rsidRPr="001F7755">
              <w:rPr>
                <w:lang w:val="en-US" w:eastAsia="en-US"/>
              </w:rPr>
              <w:lastRenderedPageBreak/>
              <w:t>Number of farmers trained in climate-smart agriculture practices (disaggregated by gender)</w:t>
            </w:r>
          </w:p>
        </w:tc>
        <w:tc>
          <w:tcPr>
            <w:tcW w:w="1530" w:type="dxa"/>
            <w:shd w:val="clear" w:color="auto" w:fill="EEECE1"/>
          </w:tcPr>
          <w:p w14:paraId="4F81B624" w14:textId="77777777" w:rsidR="00E65CE3" w:rsidRPr="001F7755" w:rsidRDefault="00E65CE3" w:rsidP="00904962">
            <w:pPr>
              <w:rPr>
                <w:lang w:val="en-US"/>
              </w:rPr>
            </w:pPr>
          </w:p>
        </w:tc>
        <w:tc>
          <w:tcPr>
            <w:tcW w:w="1620" w:type="dxa"/>
            <w:shd w:val="clear" w:color="auto" w:fill="EEECE1"/>
          </w:tcPr>
          <w:p w14:paraId="3E356084" w14:textId="77777777" w:rsidR="00E65CE3" w:rsidRPr="001F7755" w:rsidRDefault="00E65CE3" w:rsidP="00904962">
            <w:pPr>
              <w:rPr>
                <w:lang w:val="en-US"/>
              </w:rPr>
            </w:pPr>
            <w:r w:rsidRPr="001F7755">
              <w:rPr>
                <w:lang w:val="en-US" w:eastAsia="en-US"/>
              </w:rPr>
              <w:t xml:space="preserve">800 farmers trained in </w:t>
            </w:r>
            <w:r w:rsidRPr="001F7755">
              <w:rPr>
                <w:lang w:val="en-US" w:eastAsia="en-US"/>
              </w:rPr>
              <w:lastRenderedPageBreak/>
              <w:t>climate-smart agriculture.</w:t>
            </w:r>
          </w:p>
        </w:tc>
        <w:tc>
          <w:tcPr>
            <w:tcW w:w="1440" w:type="dxa"/>
          </w:tcPr>
          <w:p w14:paraId="20C46ED6" w14:textId="77777777" w:rsidR="00E65CE3" w:rsidRPr="001F7755" w:rsidRDefault="00E65CE3" w:rsidP="00904962">
            <w:pPr>
              <w:rPr>
                <w:b/>
                <w:lang w:val="en-US" w:eastAsia="en-US"/>
              </w:rPr>
            </w:pPr>
            <w:r w:rsidRPr="001F7755">
              <w:rPr>
                <w:lang w:val="en-US"/>
              </w:rPr>
              <w:lastRenderedPageBreak/>
              <w:t xml:space="preserve">In line with seasonal </w:t>
            </w:r>
            <w:r w:rsidRPr="001F7755">
              <w:rPr>
                <w:lang w:val="en-US"/>
              </w:rPr>
              <w:lastRenderedPageBreak/>
              <w:t>calendar, farmer training in climate-smart agriculture to commence in June 2020.</w:t>
            </w:r>
          </w:p>
        </w:tc>
        <w:tc>
          <w:tcPr>
            <w:tcW w:w="2160" w:type="dxa"/>
          </w:tcPr>
          <w:p w14:paraId="2ADCDB24" w14:textId="77777777" w:rsidR="00E65CE3" w:rsidRPr="001F7755" w:rsidRDefault="00E65CE3" w:rsidP="00904962">
            <w:pPr>
              <w:rPr>
                <w:lang w:val="en-US"/>
              </w:rPr>
            </w:pPr>
            <w:r w:rsidRPr="001F7755">
              <w:rPr>
                <w:lang w:val="en-US"/>
              </w:rPr>
              <w:lastRenderedPageBreak/>
              <w:t xml:space="preserve">219 farmers (99 women) trained in </w:t>
            </w:r>
            <w:r w:rsidRPr="001F7755">
              <w:rPr>
                <w:lang w:val="en-US"/>
              </w:rPr>
              <w:lastRenderedPageBreak/>
              <w:t>climate-smart practices</w:t>
            </w:r>
          </w:p>
        </w:tc>
        <w:tc>
          <w:tcPr>
            <w:tcW w:w="4770" w:type="dxa"/>
          </w:tcPr>
          <w:p w14:paraId="75CFADEB" w14:textId="77777777" w:rsidR="00E65CE3" w:rsidRPr="001F7755" w:rsidRDefault="00E65CE3" w:rsidP="00904962">
            <w:pPr>
              <w:rPr>
                <w:lang w:val="en-US"/>
              </w:rPr>
            </w:pPr>
          </w:p>
        </w:tc>
      </w:tr>
      <w:tr w:rsidR="00E65CE3" w:rsidRPr="001F7755" w14:paraId="10BA4402" w14:textId="77777777" w:rsidTr="00904962">
        <w:trPr>
          <w:trHeight w:val="458"/>
        </w:trPr>
        <w:tc>
          <w:tcPr>
            <w:tcW w:w="1530" w:type="dxa"/>
          </w:tcPr>
          <w:p w14:paraId="0AE61A27" w14:textId="77777777" w:rsidR="00E65CE3" w:rsidRPr="000C4B1A" w:rsidRDefault="00E65CE3" w:rsidP="00904962">
            <w:pPr>
              <w:rPr>
                <w:b/>
                <w:lang w:val="en-US" w:eastAsia="en-US"/>
              </w:rPr>
            </w:pPr>
            <w:r w:rsidRPr="000C4B1A">
              <w:rPr>
                <w:b/>
                <w:lang w:val="en-US" w:eastAsia="en-US"/>
              </w:rPr>
              <w:t>2.1.3: Support communities to diversify and increase their livelihood opportunities</w:t>
            </w:r>
          </w:p>
          <w:p w14:paraId="3885F27B" w14:textId="77777777" w:rsidR="00E65CE3" w:rsidRPr="001F7755" w:rsidRDefault="00E65CE3" w:rsidP="00904962">
            <w:pPr>
              <w:rPr>
                <w:b/>
                <w:lang w:val="en-US" w:eastAsia="en-US"/>
              </w:rPr>
            </w:pPr>
          </w:p>
        </w:tc>
        <w:tc>
          <w:tcPr>
            <w:tcW w:w="2070" w:type="dxa"/>
            <w:shd w:val="clear" w:color="auto" w:fill="EEECE1"/>
          </w:tcPr>
          <w:p w14:paraId="05B427E3" w14:textId="77777777" w:rsidR="00E65CE3" w:rsidRPr="000C4B1A" w:rsidRDefault="00E65CE3" w:rsidP="00904962">
            <w:pPr>
              <w:jc w:val="both"/>
              <w:rPr>
                <w:lang w:val="en-US" w:eastAsia="en-US"/>
              </w:rPr>
            </w:pPr>
            <w:r w:rsidRPr="000C4B1A">
              <w:rPr>
                <w:lang w:val="en-US" w:eastAsia="en-US"/>
              </w:rPr>
              <w:t>Indicator 2.1.3:  Percentage of targeted community members reporting non-agricultural livelihoods as their primary source of income</w:t>
            </w:r>
          </w:p>
          <w:p w14:paraId="6B6AE2B7" w14:textId="77777777" w:rsidR="00E65CE3" w:rsidRPr="000C4B1A" w:rsidRDefault="00E65CE3" w:rsidP="00904962">
            <w:pPr>
              <w:jc w:val="both"/>
              <w:rPr>
                <w:lang w:val="en-US" w:eastAsia="en-US"/>
              </w:rPr>
            </w:pPr>
          </w:p>
          <w:p w14:paraId="7E88699B" w14:textId="77777777" w:rsidR="00E65CE3" w:rsidRPr="000C4B1A" w:rsidRDefault="00E65CE3" w:rsidP="00904962">
            <w:pPr>
              <w:jc w:val="both"/>
              <w:rPr>
                <w:lang w:val="en-US" w:eastAsia="en-US"/>
              </w:rPr>
            </w:pPr>
          </w:p>
          <w:p w14:paraId="52486B80" w14:textId="77777777" w:rsidR="00E65CE3" w:rsidRPr="001F7755" w:rsidRDefault="00E65CE3" w:rsidP="00904962">
            <w:pPr>
              <w:jc w:val="both"/>
              <w:rPr>
                <w:lang w:val="en-US" w:eastAsia="en-US"/>
              </w:rPr>
            </w:pPr>
          </w:p>
        </w:tc>
        <w:tc>
          <w:tcPr>
            <w:tcW w:w="1530" w:type="dxa"/>
            <w:shd w:val="clear" w:color="auto" w:fill="EEECE1"/>
          </w:tcPr>
          <w:p w14:paraId="3F50E1A5" w14:textId="77777777" w:rsidR="00E65CE3" w:rsidRPr="000C4B1A" w:rsidRDefault="00E65CE3" w:rsidP="00904962">
            <w:pPr>
              <w:jc w:val="both"/>
              <w:rPr>
                <w:lang w:val="en-US" w:eastAsia="en-US"/>
              </w:rPr>
            </w:pPr>
            <w:r w:rsidRPr="000C4B1A">
              <w:rPr>
                <w:lang w:val="en-US" w:eastAsia="en-US"/>
              </w:rPr>
              <w:t>Baseline: 60.3 per cent of survey respondents indicated that their households relied on non-agricultural livelihoods as their primary source of income</w:t>
            </w:r>
          </w:p>
          <w:p w14:paraId="1CED501C" w14:textId="77777777" w:rsidR="00E65CE3" w:rsidRPr="001F7755" w:rsidRDefault="00E65CE3" w:rsidP="00904962">
            <w:pPr>
              <w:rPr>
                <w:lang w:val="en-US"/>
              </w:rPr>
            </w:pPr>
          </w:p>
        </w:tc>
        <w:tc>
          <w:tcPr>
            <w:tcW w:w="1620" w:type="dxa"/>
            <w:shd w:val="clear" w:color="auto" w:fill="EEECE1"/>
          </w:tcPr>
          <w:p w14:paraId="5726FB7E" w14:textId="77777777" w:rsidR="00E65CE3" w:rsidRPr="001F7755" w:rsidRDefault="00E65CE3" w:rsidP="00904962">
            <w:pPr>
              <w:rPr>
                <w:lang w:val="en-US" w:eastAsia="en-US"/>
              </w:rPr>
            </w:pPr>
            <w:r w:rsidRPr="000C4B1A">
              <w:rPr>
                <w:lang w:val="en-US" w:eastAsia="en-US"/>
              </w:rPr>
              <w:t>Target: 80 per cent</w:t>
            </w:r>
          </w:p>
        </w:tc>
        <w:tc>
          <w:tcPr>
            <w:tcW w:w="1440" w:type="dxa"/>
          </w:tcPr>
          <w:p w14:paraId="0D8AE8E4" w14:textId="77777777" w:rsidR="00E65CE3" w:rsidRPr="001F7755" w:rsidRDefault="00E65CE3" w:rsidP="00904962">
            <w:pPr>
              <w:rPr>
                <w:lang w:val="en-US"/>
              </w:rPr>
            </w:pPr>
          </w:p>
        </w:tc>
        <w:tc>
          <w:tcPr>
            <w:tcW w:w="2160" w:type="dxa"/>
          </w:tcPr>
          <w:p w14:paraId="25153DAF" w14:textId="77777777" w:rsidR="00E65CE3" w:rsidRPr="001F7755" w:rsidRDefault="00E65CE3" w:rsidP="00904962">
            <w:pPr>
              <w:rPr>
                <w:lang w:val="en-US"/>
              </w:rPr>
            </w:pPr>
            <w:r w:rsidRPr="001F7755">
              <w:rPr>
                <w:lang w:val="en-US"/>
              </w:rPr>
              <w:t>Not yet available.</w:t>
            </w:r>
          </w:p>
        </w:tc>
        <w:tc>
          <w:tcPr>
            <w:tcW w:w="4770" w:type="dxa"/>
          </w:tcPr>
          <w:p w14:paraId="3AEC27A9" w14:textId="77777777" w:rsidR="00E65CE3" w:rsidRPr="001F7755" w:rsidRDefault="00E65CE3" w:rsidP="00904962">
            <w:pPr>
              <w:rPr>
                <w:lang w:val="en-US"/>
              </w:rPr>
            </w:pPr>
          </w:p>
        </w:tc>
      </w:tr>
    </w:tbl>
    <w:p w14:paraId="76F51C6D" w14:textId="77777777" w:rsidR="00203430" w:rsidRPr="001F7755" w:rsidRDefault="00203430" w:rsidP="00203430">
      <w:pPr>
        <w:tabs>
          <w:tab w:val="left" w:pos="0"/>
        </w:tabs>
        <w:rPr>
          <w:lang w:val="en-US"/>
        </w:rPr>
      </w:pPr>
    </w:p>
    <w:sectPr w:rsidR="00203430" w:rsidRPr="001F7755"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AC3C3" w14:textId="77777777" w:rsidR="00BB4E3C" w:rsidRDefault="00BB4E3C" w:rsidP="00E76CA1">
      <w:r>
        <w:separator/>
      </w:r>
    </w:p>
  </w:endnote>
  <w:endnote w:type="continuationSeparator" w:id="0">
    <w:p w14:paraId="0E701B03" w14:textId="77777777" w:rsidR="00BB4E3C" w:rsidRDefault="00BB4E3C"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77777777" w:rsidR="003B22D9" w:rsidRDefault="003B22D9">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3B22D9" w:rsidRDefault="003B2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227DE" w14:textId="77777777" w:rsidR="00BB4E3C" w:rsidRDefault="00BB4E3C" w:rsidP="00E76CA1">
      <w:r>
        <w:separator/>
      </w:r>
    </w:p>
  </w:footnote>
  <w:footnote w:type="continuationSeparator" w:id="0">
    <w:p w14:paraId="74928620" w14:textId="77777777" w:rsidR="00BB4E3C" w:rsidRDefault="00BB4E3C"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1AA5"/>
    <w:multiLevelType w:val="hybridMultilevel"/>
    <w:tmpl w:val="AAEE09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D90056"/>
    <w:multiLevelType w:val="hybridMultilevel"/>
    <w:tmpl w:val="965E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D3687"/>
    <w:multiLevelType w:val="hybridMultilevel"/>
    <w:tmpl w:val="50A66DA2"/>
    <w:lvl w:ilvl="0" w:tplc="4F48FB38">
      <w:start w:val="1"/>
      <w:numFmt w:val="decimal"/>
      <w:lvlText w:val="%1."/>
      <w:lvlJc w:val="left"/>
      <w:pPr>
        <w:ind w:left="-360" w:hanging="360"/>
      </w:pPr>
      <w:rPr>
        <w:rFonts w:cs="Times New Roman" w:hint="default"/>
      </w:rPr>
    </w:lvl>
    <w:lvl w:ilvl="1" w:tplc="20000019" w:tentative="1">
      <w:start w:val="1"/>
      <w:numFmt w:val="lowerLetter"/>
      <w:lvlText w:val="%2."/>
      <w:lvlJc w:val="left"/>
      <w:pPr>
        <w:ind w:left="360" w:hanging="360"/>
      </w:pPr>
      <w:rPr>
        <w:rFonts w:cs="Times New Roman"/>
      </w:rPr>
    </w:lvl>
    <w:lvl w:ilvl="2" w:tplc="2000001B" w:tentative="1">
      <w:start w:val="1"/>
      <w:numFmt w:val="lowerRoman"/>
      <w:lvlText w:val="%3."/>
      <w:lvlJc w:val="right"/>
      <w:pPr>
        <w:ind w:left="1080" w:hanging="180"/>
      </w:pPr>
      <w:rPr>
        <w:rFonts w:cs="Times New Roman"/>
      </w:rPr>
    </w:lvl>
    <w:lvl w:ilvl="3" w:tplc="2000000F" w:tentative="1">
      <w:start w:val="1"/>
      <w:numFmt w:val="decimal"/>
      <w:lvlText w:val="%4."/>
      <w:lvlJc w:val="left"/>
      <w:pPr>
        <w:ind w:left="1800" w:hanging="360"/>
      </w:pPr>
      <w:rPr>
        <w:rFonts w:cs="Times New Roman"/>
      </w:rPr>
    </w:lvl>
    <w:lvl w:ilvl="4" w:tplc="20000019" w:tentative="1">
      <w:start w:val="1"/>
      <w:numFmt w:val="lowerLetter"/>
      <w:lvlText w:val="%5."/>
      <w:lvlJc w:val="left"/>
      <w:pPr>
        <w:ind w:left="2520" w:hanging="360"/>
      </w:pPr>
      <w:rPr>
        <w:rFonts w:cs="Times New Roman"/>
      </w:rPr>
    </w:lvl>
    <w:lvl w:ilvl="5" w:tplc="2000001B" w:tentative="1">
      <w:start w:val="1"/>
      <w:numFmt w:val="lowerRoman"/>
      <w:lvlText w:val="%6."/>
      <w:lvlJc w:val="right"/>
      <w:pPr>
        <w:ind w:left="3240" w:hanging="180"/>
      </w:pPr>
      <w:rPr>
        <w:rFonts w:cs="Times New Roman"/>
      </w:rPr>
    </w:lvl>
    <w:lvl w:ilvl="6" w:tplc="2000000F" w:tentative="1">
      <w:start w:val="1"/>
      <w:numFmt w:val="decimal"/>
      <w:lvlText w:val="%7."/>
      <w:lvlJc w:val="left"/>
      <w:pPr>
        <w:ind w:left="3960" w:hanging="360"/>
      </w:pPr>
      <w:rPr>
        <w:rFonts w:cs="Times New Roman"/>
      </w:rPr>
    </w:lvl>
    <w:lvl w:ilvl="7" w:tplc="20000019" w:tentative="1">
      <w:start w:val="1"/>
      <w:numFmt w:val="lowerLetter"/>
      <w:lvlText w:val="%8."/>
      <w:lvlJc w:val="left"/>
      <w:pPr>
        <w:ind w:left="4680" w:hanging="360"/>
      </w:pPr>
      <w:rPr>
        <w:rFonts w:cs="Times New Roman"/>
      </w:rPr>
    </w:lvl>
    <w:lvl w:ilvl="8" w:tplc="2000001B" w:tentative="1">
      <w:start w:val="1"/>
      <w:numFmt w:val="lowerRoman"/>
      <w:lvlText w:val="%9."/>
      <w:lvlJc w:val="right"/>
      <w:pPr>
        <w:ind w:left="5400" w:hanging="180"/>
      </w:pPr>
      <w:rPr>
        <w:rFonts w:cs="Times New Roman"/>
      </w:rPr>
    </w:lvl>
  </w:abstractNum>
  <w:abstractNum w:abstractNumId="3" w15:restartNumberingAfterBreak="0">
    <w:nsid w:val="0DF22372"/>
    <w:multiLevelType w:val="hybridMultilevel"/>
    <w:tmpl w:val="1988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54F4C"/>
    <w:multiLevelType w:val="hybridMultilevel"/>
    <w:tmpl w:val="DEACE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562522"/>
    <w:multiLevelType w:val="hybridMultilevel"/>
    <w:tmpl w:val="A7A03278"/>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5B22D9"/>
    <w:multiLevelType w:val="hybridMultilevel"/>
    <w:tmpl w:val="7B7CD85A"/>
    <w:lvl w:ilvl="0" w:tplc="20000001">
      <w:start w:val="1"/>
      <w:numFmt w:val="bullet"/>
      <w:lvlText w:val=""/>
      <w:lvlJc w:val="left"/>
      <w:pPr>
        <w:ind w:hanging="360"/>
      </w:pPr>
      <w:rPr>
        <w:rFonts w:ascii="Symbol" w:hAnsi="Symbol" w:hint="default"/>
      </w:rPr>
    </w:lvl>
    <w:lvl w:ilvl="1" w:tplc="20000003" w:tentative="1">
      <w:start w:val="1"/>
      <w:numFmt w:val="bullet"/>
      <w:lvlText w:val="o"/>
      <w:lvlJc w:val="left"/>
      <w:pPr>
        <w:ind w:left="720" w:hanging="360"/>
      </w:pPr>
      <w:rPr>
        <w:rFonts w:ascii="Courier New" w:hAnsi="Courier New" w:hint="default"/>
      </w:rPr>
    </w:lvl>
    <w:lvl w:ilvl="2" w:tplc="20000005" w:tentative="1">
      <w:start w:val="1"/>
      <w:numFmt w:val="bullet"/>
      <w:lvlText w:val=""/>
      <w:lvlJc w:val="left"/>
      <w:pPr>
        <w:ind w:left="1440" w:hanging="360"/>
      </w:pPr>
      <w:rPr>
        <w:rFonts w:ascii="Wingdings" w:hAnsi="Wingdings" w:hint="default"/>
      </w:rPr>
    </w:lvl>
    <w:lvl w:ilvl="3" w:tplc="20000001" w:tentative="1">
      <w:start w:val="1"/>
      <w:numFmt w:val="bullet"/>
      <w:lvlText w:val=""/>
      <w:lvlJc w:val="left"/>
      <w:pPr>
        <w:ind w:left="2160" w:hanging="360"/>
      </w:pPr>
      <w:rPr>
        <w:rFonts w:ascii="Symbol" w:hAnsi="Symbol" w:hint="default"/>
      </w:rPr>
    </w:lvl>
    <w:lvl w:ilvl="4" w:tplc="20000003" w:tentative="1">
      <w:start w:val="1"/>
      <w:numFmt w:val="bullet"/>
      <w:lvlText w:val="o"/>
      <w:lvlJc w:val="left"/>
      <w:pPr>
        <w:ind w:left="2880" w:hanging="360"/>
      </w:pPr>
      <w:rPr>
        <w:rFonts w:ascii="Courier New" w:hAnsi="Courier New" w:hint="default"/>
      </w:rPr>
    </w:lvl>
    <w:lvl w:ilvl="5" w:tplc="20000005" w:tentative="1">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8" w15:restartNumberingAfterBreak="0">
    <w:nsid w:val="1F9F4D12"/>
    <w:multiLevelType w:val="hybridMultilevel"/>
    <w:tmpl w:val="D4042DF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334EF7"/>
    <w:multiLevelType w:val="hybridMultilevel"/>
    <w:tmpl w:val="6424566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23C0DCB"/>
    <w:multiLevelType w:val="hybridMultilevel"/>
    <w:tmpl w:val="C4440FF8"/>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630" w:hanging="360"/>
      </w:pPr>
      <w:rPr>
        <w:rFonts w:ascii="Courier New" w:hAnsi="Courier New" w:hint="default"/>
      </w:rPr>
    </w:lvl>
    <w:lvl w:ilvl="2" w:tplc="08090005" w:tentative="1">
      <w:start w:val="1"/>
      <w:numFmt w:val="bullet"/>
      <w:lvlText w:val=""/>
      <w:lvlJc w:val="left"/>
      <w:pPr>
        <w:ind w:left="1350" w:hanging="360"/>
      </w:pPr>
      <w:rPr>
        <w:rFonts w:ascii="Wingdings" w:hAnsi="Wingdings" w:hint="default"/>
      </w:rPr>
    </w:lvl>
    <w:lvl w:ilvl="3" w:tplc="08090001" w:tentative="1">
      <w:start w:val="1"/>
      <w:numFmt w:val="bullet"/>
      <w:lvlText w:val=""/>
      <w:lvlJc w:val="left"/>
      <w:pPr>
        <w:ind w:left="2070" w:hanging="360"/>
      </w:pPr>
      <w:rPr>
        <w:rFonts w:ascii="Symbol" w:hAnsi="Symbol" w:hint="default"/>
      </w:rPr>
    </w:lvl>
    <w:lvl w:ilvl="4" w:tplc="08090003" w:tentative="1">
      <w:start w:val="1"/>
      <w:numFmt w:val="bullet"/>
      <w:lvlText w:val="o"/>
      <w:lvlJc w:val="left"/>
      <w:pPr>
        <w:ind w:left="2790" w:hanging="360"/>
      </w:pPr>
      <w:rPr>
        <w:rFonts w:ascii="Courier New" w:hAnsi="Courier New" w:hint="default"/>
      </w:rPr>
    </w:lvl>
    <w:lvl w:ilvl="5" w:tplc="08090005" w:tentative="1">
      <w:start w:val="1"/>
      <w:numFmt w:val="bullet"/>
      <w:lvlText w:val=""/>
      <w:lvlJc w:val="left"/>
      <w:pPr>
        <w:ind w:left="3510" w:hanging="360"/>
      </w:pPr>
      <w:rPr>
        <w:rFonts w:ascii="Wingdings" w:hAnsi="Wingdings" w:hint="default"/>
      </w:rPr>
    </w:lvl>
    <w:lvl w:ilvl="6" w:tplc="08090001" w:tentative="1">
      <w:start w:val="1"/>
      <w:numFmt w:val="bullet"/>
      <w:lvlText w:val=""/>
      <w:lvlJc w:val="left"/>
      <w:pPr>
        <w:ind w:left="4230" w:hanging="360"/>
      </w:pPr>
      <w:rPr>
        <w:rFonts w:ascii="Symbol" w:hAnsi="Symbol" w:hint="default"/>
      </w:rPr>
    </w:lvl>
    <w:lvl w:ilvl="7" w:tplc="08090003" w:tentative="1">
      <w:start w:val="1"/>
      <w:numFmt w:val="bullet"/>
      <w:lvlText w:val="o"/>
      <w:lvlJc w:val="left"/>
      <w:pPr>
        <w:ind w:left="4950" w:hanging="360"/>
      </w:pPr>
      <w:rPr>
        <w:rFonts w:ascii="Courier New" w:hAnsi="Courier New" w:hint="default"/>
      </w:rPr>
    </w:lvl>
    <w:lvl w:ilvl="8" w:tplc="08090005" w:tentative="1">
      <w:start w:val="1"/>
      <w:numFmt w:val="bullet"/>
      <w:lvlText w:val=""/>
      <w:lvlJc w:val="left"/>
      <w:pPr>
        <w:ind w:left="5670" w:hanging="360"/>
      </w:pPr>
      <w:rPr>
        <w:rFonts w:ascii="Wingdings" w:hAnsi="Wingdings" w:hint="default"/>
      </w:rPr>
    </w:lvl>
  </w:abstractNum>
  <w:abstractNum w:abstractNumId="11" w15:restartNumberingAfterBreak="0">
    <w:nsid w:val="237E426D"/>
    <w:multiLevelType w:val="hybridMultilevel"/>
    <w:tmpl w:val="00C28152"/>
    <w:lvl w:ilvl="0" w:tplc="040C0001">
      <w:start w:val="1"/>
      <w:numFmt w:val="bullet"/>
      <w:lvlText w:val=""/>
      <w:lvlJc w:val="left"/>
      <w:pPr>
        <w:ind w:hanging="360"/>
      </w:pPr>
      <w:rPr>
        <w:rFonts w:ascii="Symbol" w:hAnsi="Symbol" w:hint="default"/>
      </w:rPr>
    </w:lvl>
    <w:lvl w:ilvl="1" w:tplc="040C0003" w:tentative="1">
      <w:start w:val="1"/>
      <w:numFmt w:val="bullet"/>
      <w:lvlText w:val="o"/>
      <w:lvlJc w:val="left"/>
      <w:pPr>
        <w:ind w:left="720" w:hanging="360"/>
      </w:pPr>
      <w:rPr>
        <w:rFonts w:ascii="Courier New" w:hAnsi="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2" w15:restartNumberingAfterBreak="0">
    <w:nsid w:val="31E00DBF"/>
    <w:multiLevelType w:val="hybridMultilevel"/>
    <w:tmpl w:val="06E29014"/>
    <w:lvl w:ilvl="0" w:tplc="040C0001">
      <w:start w:val="1"/>
      <w:numFmt w:val="bullet"/>
      <w:lvlText w:val=""/>
      <w:lvlJc w:val="left"/>
      <w:pPr>
        <w:ind w:hanging="360"/>
      </w:pPr>
      <w:rPr>
        <w:rFonts w:ascii="Symbol" w:hAnsi="Symbol" w:hint="default"/>
      </w:rPr>
    </w:lvl>
    <w:lvl w:ilvl="1" w:tplc="040C0003" w:tentative="1">
      <w:start w:val="1"/>
      <w:numFmt w:val="bullet"/>
      <w:lvlText w:val="o"/>
      <w:lvlJc w:val="left"/>
      <w:pPr>
        <w:ind w:left="720" w:hanging="360"/>
      </w:pPr>
      <w:rPr>
        <w:rFonts w:ascii="Courier New" w:hAnsi="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3" w15:restartNumberingAfterBreak="0">
    <w:nsid w:val="471250DA"/>
    <w:multiLevelType w:val="hybridMultilevel"/>
    <w:tmpl w:val="DDF4654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482F69DE"/>
    <w:multiLevelType w:val="hybridMultilevel"/>
    <w:tmpl w:val="51189A46"/>
    <w:lvl w:ilvl="0" w:tplc="20000001">
      <w:start w:val="1"/>
      <w:numFmt w:val="bullet"/>
      <w:lvlText w:val=""/>
      <w:lvlJc w:val="left"/>
      <w:pPr>
        <w:ind w:left="0" w:hanging="360"/>
      </w:pPr>
      <w:rPr>
        <w:rFonts w:ascii="Symbol" w:hAnsi="Symbol" w:hint="default"/>
      </w:rPr>
    </w:lvl>
    <w:lvl w:ilvl="1" w:tplc="20000003" w:tentative="1">
      <w:start w:val="1"/>
      <w:numFmt w:val="bullet"/>
      <w:lvlText w:val="o"/>
      <w:lvlJc w:val="left"/>
      <w:pPr>
        <w:ind w:left="720" w:hanging="360"/>
      </w:pPr>
      <w:rPr>
        <w:rFonts w:ascii="Courier New" w:hAnsi="Courier New" w:cs="Courier New" w:hint="default"/>
      </w:rPr>
    </w:lvl>
    <w:lvl w:ilvl="2" w:tplc="20000005" w:tentative="1">
      <w:start w:val="1"/>
      <w:numFmt w:val="bullet"/>
      <w:lvlText w:val=""/>
      <w:lvlJc w:val="left"/>
      <w:pPr>
        <w:ind w:left="1440" w:hanging="360"/>
      </w:pPr>
      <w:rPr>
        <w:rFonts w:ascii="Wingdings" w:hAnsi="Wingdings" w:hint="default"/>
      </w:rPr>
    </w:lvl>
    <w:lvl w:ilvl="3" w:tplc="20000001" w:tentative="1">
      <w:start w:val="1"/>
      <w:numFmt w:val="bullet"/>
      <w:lvlText w:val=""/>
      <w:lvlJc w:val="left"/>
      <w:pPr>
        <w:ind w:left="2160" w:hanging="360"/>
      </w:pPr>
      <w:rPr>
        <w:rFonts w:ascii="Symbol" w:hAnsi="Symbol" w:hint="default"/>
      </w:rPr>
    </w:lvl>
    <w:lvl w:ilvl="4" w:tplc="20000003" w:tentative="1">
      <w:start w:val="1"/>
      <w:numFmt w:val="bullet"/>
      <w:lvlText w:val="o"/>
      <w:lvlJc w:val="left"/>
      <w:pPr>
        <w:ind w:left="2880" w:hanging="360"/>
      </w:pPr>
      <w:rPr>
        <w:rFonts w:ascii="Courier New" w:hAnsi="Courier New" w:cs="Courier New" w:hint="default"/>
      </w:rPr>
    </w:lvl>
    <w:lvl w:ilvl="5" w:tplc="20000005" w:tentative="1">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15" w15:restartNumberingAfterBreak="0">
    <w:nsid w:val="4C594686"/>
    <w:multiLevelType w:val="hybridMultilevel"/>
    <w:tmpl w:val="347A9FCC"/>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3F4E1C"/>
    <w:multiLevelType w:val="hybridMultilevel"/>
    <w:tmpl w:val="F0AA54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6C222C"/>
    <w:multiLevelType w:val="hybridMultilevel"/>
    <w:tmpl w:val="5B7C3EA2"/>
    <w:lvl w:ilvl="0" w:tplc="8E6C670C">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3D2556A"/>
    <w:multiLevelType w:val="hybridMultilevel"/>
    <w:tmpl w:val="CF44DB1E"/>
    <w:lvl w:ilvl="0" w:tplc="C540A232">
      <w:start w:val="1"/>
      <w:numFmt w:val="decimal"/>
      <w:lvlText w:val="%1."/>
      <w:lvlJc w:val="left"/>
      <w:pPr>
        <w:ind w:left="720" w:hanging="360"/>
      </w:pPr>
      <w:rPr>
        <w:rFonts w:ascii="Segoe UI" w:hAnsi="Segoe UI" w:cs="Segoe UI" w:hint="default"/>
        <w:color w:val="auto"/>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74D694B"/>
    <w:multiLevelType w:val="hybridMultilevel"/>
    <w:tmpl w:val="4E4E8FF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0" w15:restartNumberingAfterBreak="0">
    <w:nsid w:val="5A855C1D"/>
    <w:multiLevelType w:val="hybridMultilevel"/>
    <w:tmpl w:val="75467FD8"/>
    <w:lvl w:ilvl="0" w:tplc="D5F0D33E">
      <w:start w:val="1"/>
      <w:numFmt w:val="decimal"/>
      <w:lvlText w:val="%1."/>
      <w:lvlJc w:val="left"/>
      <w:pPr>
        <w:ind w:left="-360" w:hanging="360"/>
      </w:pPr>
      <w:rPr>
        <w:rFonts w:cs="Times New Roman" w:hint="default"/>
      </w:rPr>
    </w:lvl>
    <w:lvl w:ilvl="1" w:tplc="20000019" w:tentative="1">
      <w:start w:val="1"/>
      <w:numFmt w:val="lowerLetter"/>
      <w:lvlText w:val="%2."/>
      <w:lvlJc w:val="left"/>
      <w:pPr>
        <w:ind w:left="360" w:hanging="360"/>
      </w:pPr>
      <w:rPr>
        <w:rFonts w:cs="Times New Roman"/>
      </w:rPr>
    </w:lvl>
    <w:lvl w:ilvl="2" w:tplc="2000001B" w:tentative="1">
      <w:start w:val="1"/>
      <w:numFmt w:val="lowerRoman"/>
      <w:lvlText w:val="%3."/>
      <w:lvlJc w:val="right"/>
      <w:pPr>
        <w:ind w:left="1080" w:hanging="180"/>
      </w:pPr>
      <w:rPr>
        <w:rFonts w:cs="Times New Roman"/>
      </w:rPr>
    </w:lvl>
    <w:lvl w:ilvl="3" w:tplc="2000000F" w:tentative="1">
      <w:start w:val="1"/>
      <w:numFmt w:val="decimal"/>
      <w:lvlText w:val="%4."/>
      <w:lvlJc w:val="left"/>
      <w:pPr>
        <w:ind w:left="1800" w:hanging="360"/>
      </w:pPr>
      <w:rPr>
        <w:rFonts w:cs="Times New Roman"/>
      </w:rPr>
    </w:lvl>
    <w:lvl w:ilvl="4" w:tplc="20000019" w:tentative="1">
      <w:start w:val="1"/>
      <w:numFmt w:val="lowerLetter"/>
      <w:lvlText w:val="%5."/>
      <w:lvlJc w:val="left"/>
      <w:pPr>
        <w:ind w:left="2520" w:hanging="360"/>
      </w:pPr>
      <w:rPr>
        <w:rFonts w:cs="Times New Roman"/>
      </w:rPr>
    </w:lvl>
    <w:lvl w:ilvl="5" w:tplc="2000001B" w:tentative="1">
      <w:start w:val="1"/>
      <w:numFmt w:val="lowerRoman"/>
      <w:lvlText w:val="%6."/>
      <w:lvlJc w:val="right"/>
      <w:pPr>
        <w:ind w:left="3240" w:hanging="180"/>
      </w:pPr>
      <w:rPr>
        <w:rFonts w:cs="Times New Roman"/>
      </w:rPr>
    </w:lvl>
    <w:lvl w:ilvl="6" w:tplc="2000000F" w:tentative="1">
      <w:start w:val="1"/>
      <w:numFmt w:val="decimal"/>
      <w:lvlText w:val="%7."/>
      <w:lvlJc w:val="left"/>
      <w:pPr>
        <w:ind w:left="3960" w:hanging="360"/>
      </w:pPr>
      <w:rPr>
        <w:rFonts w:cs="Times New Roman"/>
      </w:rPr>
    </w:lvl>
    <w:lvl w:ilvl="7" w:tplc="20000019" w:tentative="1">
      <w:start w:val="1"/>
      <w:numFmt w:val="lowerLetter"/>
      <w:lvlText w:val="%8."/>
      <w:lvlJc w:val="left"/>
      <w:pPr>
        <w:ind w:left="4680" w:hanging="360"/>
      </w:pPr>
      <w:rPr>
        <w:rFonts w:cs="Times New Roman"/>
      </w:rPr>
    </w:lvl>
    <w:lvl w:ilvl="8" w:tplc="2000001B" w:tentative="1">
      <w:start w:val="1"/>
      <w:numFmt w:val="lowerRoman"/>
      <w:lvlText w:val="%9."/>
      <w:lvlJc w:val="right"/>
      <w:pPr>
        <w:ind w:left="5400" w:hanging="180"/>
      </w:pPr>
      <w:rPr>
        <w:rFonts w:cs="Times New Roman"/>
      </w:rPr>
    </w:lvl>
  </w:abstractNum>
  <w:abstractNum w:abstractNumId="21" w15:restartNumberingAfterBreak="0">
    <w:nsid w:val="5EFE0325"/>
    <w:multiLevelType w:val="hybridMultilevel"/>
    <w:tmpl w:val="5B7C3EA2"/>
    <w:lvl w:ilvl="0" w:tplc="8E6C670C">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1636F8F"/>
    <w:multiLevelType w:val="hybridMultilevel"/>
    <w:tmpl w:val="7E3A0DD8"/>
    <w:lvl w:ilvl="0" w:tplc="E64E0552">
      <w:start w:val="540"/>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15:restartNumberingAfterBreak="0">
    <w:nsid w:val="63C55842"/>
    <w:multiLevelType w:val="hybridMultilevel"/>
    <w:tmpl w:val="56DC9ACA"/>
    <w:lvl w:ilvl="0" w:tplc="F490C7D4">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97D3CA1"/>
    <w:multiLevelType w:val="hybridMultilevel"/>
    <w:tmpl w:val="AFB6823A"/>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350" w:hanging="360"/>
      </w:pPr>
      <w:rPr>
        <w:rFonts w:ascii="Wingdings" w:hAnsi="Wingdings" w:hint="default"/>
      </w:rPr>
    </w:lvl>
    <w:lvl w:ilvl="3" w:tplc="08090001" w:tentative="1">
      <w:start w:val="1"/>
      <w:numFmt w:val="bullet"/>
      <w:lvlText w:val=""/>
      <w:lvlJc w:val="left"/>
      <w:pPr>
        <w:ind w:left="2070" w:hanging="360"/>
      </w:pPr>
      <w:rPr>
        <w:rFonts w:ascii="Symbol" w:hAnsi="Symbol" w:hint="default"/>
      </w:rPr>
    </w:lvl>
    <w:lvl w:ilvl="4" w:tplc="08090003" w:tentative="1">
      <w:start w:val="1"/>
      <w:numFmt w:val="bullet"/>
      <w:lvlText w:val="o"/>
      <w:lvlJc w:val="left"/>
      <w:pPr>
        <w:ind w:left="2790" w:hanging="360"/>
      </w:pPr>
      <w:rPr>
        <w:rFonts w:ascii="Courier New" w:hAnsi="Courier New" w:cs="Courier New" w:hint="default"/>
      </w:rPr>
    </w:lvl>
    <w:lvl w:ilvl="5" w:tplc="08090005" w:tentative="1">
      <w:start w:val="1"/>
      <w:numFmt w:val="bullet"/>
      <w:lvlText w:val=""/>
      <w:lvlJc w:val="left"/>
      <w:pPr>
        <w:ind w:left="3510" w:hanging="360"/>
      </w:pPr>
      <w:rPr>
        <w:rFonts w:ascii="Wingdings" w:hAnsi="Wingdings" w:hint="default"/>
      </w:rPr>
    </w:lvl>
    <w:lvl w:ilvl="6" w:tplc="08090001" w:tentative="1">
      <w:start w:val="1"/>
      <w:numFmt w:val="bullet"/>
      <w:lvlText w:val=""/>
      <w:lvlJc w:val="left"/>
      <w:pPr>
        <w:ind w:left="4230" w:hanging="360"/>
      </w:pPr>
      <w:rPr>
        <w:rFonts w:ascii="Symbol" w:hAnsi="Symbol" w:hint="default"/>
      </w:rPr>
    </w:lvl>
    <w:lvl w:ilvl="7" w:tplc="08090003" w:tentative="1">
      <w:start w:val="1"/>
      <w:numFmt w:val="bullet"/>
      <w:lvlText w:val="o"/>
      <w:lvlJc w:val="left"/>
      <w:pPr>
        <w:ind w:left="4950" w:hanging="360"/>
      </w:pPr>
      <w:rPr>
        <w:rFonts w:ascii="Courier New" w:hAnsi="Courier New" w:cs="Courier New" w:hint="default"/>
      </w:rPr>
    </w:lvl>
    <w:lvl w:ilvl="8" w:tplc="08090005" w:tentative="1">
      <w:start w:val="1"/>
      <w:numFmt w:val="bullet"/>
      <w:lvlText w:val=""/>
      <w:lvlJc w:val="left"/>
      <w:pPr>
        <w:ind w:left="5670" w:hanging="360"/>
      </w:pPr>
      <w:rPr>
        <w:rFonts w:ascii="Wingdings" w:hAnsi="Wingdings" w:hint="default"/>
      </w:rPr>
    </w:lvl>
  </w:abstractNum>
  <w:abstractNum w:abstractNumId="25" w15:restartNumberingAfterBreak="0">
    <w:nsid w:val="6CC33855"/>
    <w:multiLevelType w:val="hybridMultilevel"/>
    <w:tmpl w:val="855CA9E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6"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7" w15:restartNumberingAfterBreak="0">
    <w:nsid w:val="74606967"/>
    <w:multiLevelType w:val="hybridMultilevel"/>
    <w:tmpl w:val="9F261F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5466263"/>
    <w:multiLevelType w:val="hybridMultilevel"/>
    <w:tmpl w:val="8B3E5F80"/>
    <w:lvl w:ilvl="0" w:tplc="040C0001">
      <w:start w:val="1"/>
      <w:numFmt w:val="bullet"/>
      <w:lvlText w:val=""/>
      <w:lvlJc w:val="left"/>
      <w:pPr>
        <w:ind w:left="-90" w:hanging="360"/>
      </w:pPr>
      <w:rPr>
        <w:rFonts w:ascii="Symbol" w:hAnsi="Symbol"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29"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0" w15:restartNumberingAfterBreak="0">
    <w:nsid w:val="770A0CB6"/>
    <w:multiLevelType w:val="hybridMultilevel"/>
    <w:tmpl w:val="A074EAD6"/>
    <w:lvl w:ilvl="0" w:tplc="A796DA72">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7211130"/>
    <w:multiLevelType w:val="hybridMultilevel"/>
    <w:tmpl w:val="418E394C"/>
    <w:lvl w:ilvl="0" w:tplc="26005A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A9A48F3"/>
    <w:multiLevelType w:val="hybridMultilevel"/>
    <w:tmpl w:val="9FBA46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C522799"/>
    <w:multiLevelType w:val="hybridMultilevel"/>
    <w:tmpl w:val="79508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634634"/>
    <w:multiLevelType w:val="hybridMultilevel"/>
    <w:tmpl w:val="A7A03278"/>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9"/>
  </w:num>
  <w:num w:numId="2">
    <w:abstractNumId w:val="26"/>
  </w:num>
  <w:num w:numId="3">
    <w:abstractNumId w:val="6"/>
  </w:num>
  <w:num w:numId="4">
    <w:abstractNumId w:val="19"/>
  </w:num>
  <w:num w:numId="5">
    <w:abstractNumId w:val="13"/>
  </w:num>
  <w:num w:numId="6">
    <w:abstractNumId w:val="25"/>
  </w:num>
  <w:num w:numId="7">
    <w:abstractNumId w:val="24"/>
  </w:num>
  <w:num w:numId="8">
    <w:abstractNumId w:val="16"/>
  </w:num>
  <w:num w:numId="9">
    <w:abstractNumId w:val="33"/>
  </w:num>
  <w:num w:numId="10">
    <w:abstractNumId w:val="28"/>
  </w:num>
  <w:num w:numId="11">
    <w:abstractNumId w:val="4"/>
  </w:num>
  <w:num w:numId="12">
    <w:abstractNumId w:val="1"/>
  </w:num>
  <w:num w:numId="13">
    <w:abstractNumId w:val="14"/>
  </w:num>
  <w:num w:numId="14">
    <w:abstractNumId w:val="12"/>
  </w:num>
  <w:num w:numId="15">
    <w:abstractNumId w:val="32"/>
  </w:num>
  <w:num w:numId="16">
    <w:abstractNumId w:val="11"/>
  </w:num>
  <w:num w:numId="17">
    <w:abstractNumId w:val="3"/>
  </w:num>
  <w:num w:numId="18">
    <w:abstractNumId w:val="18"/>
  </w:num>
  <w:num w:numId="19">
    <w:abstractNumId w:val="22"/>
  </w:num>
  <w:num w:numId="20">
    <w:abstractNumId w:val="27"/>
  </w:num>
  <w:num w:numId="21">
    <w:abstractNumId w:val="17"/>
  </w:num>
  <w:num w:numId="22">
    <w:abstractNumId w:val="30"/>
  </w:num>
  <w:num w:numId="23">
    <w:abstractNumId w:val="0"/>
  </w:num>
  <w:num w:numId="24">
    <w:abstractNumId w:val="21"/>
  </w:num>
  <w:num w:numId="25">
    <w:abstractNumId w:val="23"/>
  </w:num>
  <w:num w:numId="26">
    <w:abstractNumId w:val="31"/>
  </w:num>
  <w:num w:numId="27">
    <w:abstractNumId w:val="5"/>
  </w:num>
  <w:num w:numId="28">
    <w:abstractNumId w:val="34"/>
  </w:num>
  <w:num w:numId="29">
    <w:abstractNumId w:val="15"/>
  </w:num>
  <w:num w:numId="30">
    <w:abstractNumId w:val="8"/>
  </w:num>
  <w:num w:numId="31">
    <w:abstractNumId w:val="20"/>
  </w:num>
  <w:num w:numId="32">
    <w:abstractNumId w:val="7"/>
  </w:num>
  <w:num w:numId="33">
    <w:abstractNumId w:val="2"/>
  </w:num>
  <w:num w:numId="34">
    <w:abstractNumId w:val="10"/>
  </w:num>
  <w:num w:numId="3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5A0"/>
    <w:rsid w:val="00005737"/>
    <w:rsid w:val="00006DBE"/>
    <w:rsid w:val="00006EC0"/>
    <w:rsid w:val="00010EB0"/>
    <w:rsid w:val="0001109A"/>
    <w:rsid w:val="00013D36"/>
    <w:rsid w:val="00013D69"/>
    <w:rsid w:val="00014398"/>
    <w:rsid w:val="00014B13"/>
    <w:rsid w:val="00022264"/>
    <w:rsid w:val="00023AC8"/>
    <w:rsid w:val="00025EFA"/>
    <w:rsid w:val="00031640"/>
    <w:rsid w:val="00034A4C"/>
    <w:rsid w:val="00036744"/>
    <w:rsid w:val="000453BC"/>
    <w:rsid w:val="00045C24"/>
    <w:rsid w:val="000464D3"/>
    <w:rsid w:val="000472E5"/>
    <w:rsid w:val="00050759"/>
    <w:rsid w:val="0005171E"/>
    <w:rsid w:val="00051F71"/>
    <w:rsid w:val="0005216F"/>
    <w:rsid w:val="00052745"/>
    <w:rsid w:val="00052DE5"/>
    <w:rsid w:val="000554F8"/>
    <w:rsid w:val="00056A48"/>
    <w:rsid w:val="0006114A"/>
    <w:rsid w:val="00063017"/>
    <w:rsid w:val="00066187"/>
    <w:rsid w:val="000731D0"/>
    <w:rsid w:val="00075D98"/>
    <w:rsid w:val="0008134A"/>
    <w:rsid w:val="0008233D"/>
    <w:rsid w:val="00082738"/>
    <w:rsid w:val="000844C0"/>
    <w:rsid w:val="00084F64"/>
    <w:rsid w:val="000909BF"/>
    <w:rsid w:val="00091CFD"/>
    <w:rsid w:val="00092252"/>
    <w:rsid w:val="00092442"/>
    <w:rsid w:val="000A45F4"/>
    <w:rsid w:val="000A4660"/>
    <w:rsid w:val="000A51DA"/>
    <w:rsid w:val="000A6719"/>
    <w:rsid w:val="000B3EBC"/>
    <w:rsid w:val="000B4E5C"/>
    <w:rsid w:val="000B7954"/>
    <w:rsid w:val="000C1C23"/>
    <w:rsid w:val="000C7EA0"/>
    <w:rsid w:val="000D3C30"/>
    <w:rsid w:val="000D4F4B"/>
    <w:rsid w:val="000E05AE"/>
    <w:rsid w:val="000E6A96"/>
    <w:rsid w:val="000F05A2"/>
    <w:rsid w:val="000F13B1"/>
    <w:rsid w:val="000F5E1F"/>
    <w:rsid w:val="000F7984"/>
    <w:rsid w:val="00102C0E"/>
    <w:rsid w:val="001036A4"/>
    <w:rsid w:val="00105C6A"/>
    <w:rsid w:val="001117BC"/>
    <w:rsid w:val="00112741"/>
    <w:rsid w:val="00113D2B"/>
    <w:rsid w:val="00113EC4"/>
    <w:rsid w:val="00116449"/>
    <w:rsid w:val="0011666C"/>
    <w:rsid w:val="00121B2D"/>
    <w:rsid w:val="001307FA"/>
    <w:rsid w:val="00131824"/>
    <w:rsid w:val="00136B32"/>
    <w:rsid w:val="001444EE"/>
    <w:rsid w:val="00145766"/>
    <w:rsid w:val="001458E9"/>
    <w:rsid w:val="00147A88"/>
    <w:rsid w:val="00153CD9"/>
    <w:rsid w:val="00156AFA"/>
    <w:rsid w:val="00156C4C"/>
    <w:rsid w:val="00157BF2"/>
    <w:rsid w:val="0016011B"/>
    <w:rsid w:val="001607B2"/>
    <w:rsid w:val="0016088D"/>
    <w:rsid w:val="00161D02"/>
    <w:rsid w:val="00167755"/>
    <w:rsid w:val="0017367D"/>
    <w:rsid w:val="0018095F"/>
    <w:rsid w:val="00182908"/>
    <w:rsid w:val="00182A32"/>
    <w:rsid w:val="0018313E"/>
    <w:rsid w:val="0018446E"/>
    <w:rsid w:val="00184B50"/>
    <w:rsid w:val="00185425"/>
    <w:rsid w:val="00186529"/>
    <w:rsid w:val="00192F1D"/>
    <w:rsid w:val="00194D4C"/>
    <w:rsid w:val="00196AA8"/>
    <w:rsid w:val="00196D63"/>
    <w:rsid w:val="00197A37"/>
    <w:rsid w:val="001A1E86"/>
    <w:rsid w:val="001A3157"/>
    <w:rsid w:val="001A374F"/>
    <w:rsid w:val="001A42FE"/>
    <w:rsid w:val="001A4786"/>
    <w:rsid w:val="001A792F"/>
    <w:rsid w:val="001B1EAF"/>
    <w:rsid w:val="001B458D"/>
    <w:rsid w:val="001B54AC"/>
    <w:rsid w:val="001B5D16"/>
    <w:rsid w:val="001B6DFD"/>
    <w:rsid w:val="001C0C1E"/>
    <w:rsid w:val="001C1B08"/>
    <w:rsid w:val="001C4484"/>
    <w:rsid w:val="001C46E9"/>
    <w:rsid w:val="001C5691"/>
    <w:rsid w:val="001C56B8"/>
    <w:rsid w:val="001C5B82"/>
    <w:rsid w:val="001C65F4"/>
    <w:rsid w:val="001D1C14"/>
    <w:rsid w:val="001D575F"/>
    <w:rsid w:val="001D6683"/>
    <w:rsid w:val="001D67F9"/>
    <w:rsid w:val="001E2D34"/>
    <w:rsid w:val="001E660A"/>
    <w:rsid w:val="001F308A"/>
    <w:rsid w:val="001F414F"/>
    <w:rsid w:val="001F7755"/>
    <w:rsid w:val="0020130A"/>
    <w:rsid w:val="00203430"/>
    <w:rsid w:val="00205EB7"/>
    <w:rsid w:val="00206D45"/>
    <w:rsid w:val="0020791D"/>
    <w:rsid w:val="002115C0"/>
    <w:rsid w:val="002129DA"/>
    <w:rsid w:val="0021550A"/>
    <w:rsid w:val="00215F41"/>
    <w:rsid w:val="00217A2E"/>
    <w:rsid w:val="00217EB6"/>
    <w:rsid w:val="002247C2"/>
    <w:rsid w:val="00227ED2"/>
    <w:rsid w:val="002322E6"/>
    <w:rsid w:val="00233827"/>
    <w:rsid w:val="00234A5E"/>
    <w:rsid w:val="00234D58"/>
    <w:rsid w:val="00236072"/>
    <w:rsid w:val="0023672E"/>
    <w:rsid w:val="00236AB3"/>
    <w:rsid w:val="00242009"/>
    <w:rsid w:val="002436F0"/>
    <w:rsid w:val="00245E73"/>
    <w:rsid w:val="00246135"/>
    <w:rsid w:val="00247F4E"/>
    <w:rsid w:val="00251E92"/>
    <w:rsid w:val="00251EF7"/>
    <w:rsid w:val="0025220B"/>
    <w:rsid w:val="00252B39"/>
    <w:rsid w:val="00254AC2"/>
    <w:rsid w:val="0025525B"/>
    <w:rsid w:val="00255B01"/>
    <w:rsid w:val="00257569"/>
    <w:rsid w:val="00261CE3"/>
    <w:rsid w:val="002710FE"/>
    <w:rsid w:val="0027242A"/>
    <w:rsid w:val="00272A58"/>
    <w:rsid w:val="00273AD0"/>
    <w:rsid w:val="00281F27"/>
    <w:rsid w:val="002822AF"/>
    <w:rsid w:val="00282946"/>
    <w:rsid w:val="00282BD9"/>
    <w:rsid w:val="00284310"/>
    <w:rsid w:val="00286F66"/>
    <w:rsid w:val="00287878"/>
    <w:rsid w:val="002940E8"/>
    <w:rsid w:val="00296C15"/>
    <w:rsid w:val="00296D11"/>
    <w:rsid w:val="002A1877"/>
    <w:rsid w:val="002B029C"/>
    <w:rsid w:val="002B1290"/>
    <w:rsid w:val="002B3207"/>
    <w:rsid w:val="002B346A"/>
    <w:rsid w:val="002B351E"/>
    <w:rsid w:val="002B4426"/>
    <w:rsid w:val="002B5F4F"/>
    <w:rsid w:val="002B6006"/>
    <w:rsid w:val="002B740B"/>
    <w:rsid w:val="002C187A"/>
    <w:rsid w:val="002C2070"/>
    <w:rsid w:val="002C20A8"/>
    <w:rsid w:val="002C5DD0"/>
    <w:rsid w:val="002C7051"/>
    <w:rsid w:val="002D2FBB"/>
    <w:rsid w:val="002D3A7E"/>
    <w:rsid w:val="002D4247"/>
    <w:rsid w:val="002D68D7"/>
    <w:rsid w:val="002E0577"/>
    <w:rsid w:val="002E10E6"/>
    <w:rsid w:val="002E1CED"/>
    <w:rsid w:val="002E5250"/>
    <w:rsid w:val="002E61AA"/>
    <w:rsid w:val="002E6F58"/>
    <w:rsid w:val="002E745D"/>
    <w:rsid w:val="002F10F6"/>
    <w:rsid w:val="002F15D9"/>
    <w:rsid w:val="002F1A25"/>
    <w:rsid w:val="002F26EC"/>
    <w:rsid w:val="002F42EA"/>
    <w:rsid w:val="002F60B2"/>
    <w:rsid w:val="00303F05"/>
    <w:rsid w:val="003040D8"/>
    <w:rsid w:val="0030455E"/>
    <w:rsid w:val="00305626"/>
    <w:rsid w:val="00310394"/>
    <w:rsid w:val="0031084A"/>
    <w:rsid w:val="00316D58"/>
    <w:rsid w:val="003212BB"/>
    <w:rsid w:val="00321554"/>
    <w:rsid w:val="00321C92"/>
    <w:rsid w:val="003235DF"/>
    <w:rsid w:val="00323ABC"/>
    <w:rsid w:val="00324A7C"/>
    <w:rsid w:val="00324FE5"/>
    <w:rsid w:val="00325341"/>
    <w:rsid w:val="00326A4F"/>
    <w:rsid w:val="00333EC9"/>
    <w:rsid w:val="0033515C"/>
    <w:rsid w:val="00336BF8"/>
    <w:rsid w:val="00342356"/>
    <w:rsid w:val="00343425"/>
    <w:rsid w:val="0034386B"/>
    <w:rsid w:val="0034529F"/>
    <w:rsid w:val="00346D73"/>
    <w:rsid w:val="003473C6"/>
    <w:rsid w:val="0035186D"/>
    <w:rsid w:val="00354518"/>
    <w:rsid w:val="003550B4"/>
    <w:rsid w:val="0035676B"/>
    <w:rsid w:val="0036386A"/>
    <w:rsid w:val="0036508F"/>
    <w:rsid w:val="00366549"/>
    <w:rsid w:val="003704D6"/>
    <w:rsid w:val="00372156"/>
    <w:rsid w:val="003722AE"/>
    <w:rsid w:val="00372CC2"/>
    <w:rsid w:val="0037561F"/>
    <w:rsid w:val="00376123"/>
    <w:rsid w:val="00380849"/>
    <w:rsid w:val="003812B8"/>
    <w:rsid w:val="003818DB"/>
    <w:rsid w:val="003834CD"/>
    <w:rsid w:val="00383908"/>
    <w:rsid w:val="003906E3"/>
    <w:rsid w:val="00391614"/>
    <w:rsid w:val="00392673"/>
    <w:rsid w:val="003966A6"/>
    <w:rsid w:val="003966E6"/>
    <w:rsid w:val="003968D7"/>
    <w:rsid w:val="003A4A4E"/>
    <w:rsid w:val="003A613D"/>
    <w:rsid w:val="003A6341"/>
    <w:rsid w:val="003A64C5"/>
    <w:rsid w:val="003A73DB"/>
    <w:rsid w:val="003B22D9"/>
    <w:rsid w:val="003B2D0D"/>
    <w:rsid w:val="003B3A5F"/>
    <w:rsid w:val="003B5086"/>
    <w:rsid w:val="003B5338"/>
    <w:rsid w:val="003C5283"/>
    <w:rsid w:val="003C5CC6"/>
    <w:rsid w:val="003C6673"/>
    <w:rsid w:val="003D12C7"/>
    <w:rsid w:val="003D228B"/>
    <w:rsid w:val="003D323C"/>
    <w:rsid w:val="003D4CD7"/>
    <w:rsid w:val="003D4D7C"/>
    <w:rsid w:val="003D68FF"/>
    <w:rsid w:val="003D7BFA"/>
    <w:rsid w:val="003F08B1"/>
    <w:rsid w:val="003F21BE"/>
    <w:rsid w:val="003F36FB"/>
    <w:rsid w:val="003F660A"/>
    <w:rsid w:val="004017BD"/>
    <w:rsid w:val="00402083"/>
    <w:rsid w:val="004023AC"/>
    <w:rsid w:val="00402514"/>
    <w:rsid w:val="00404C5C"/>
    <w:rsid w:val="0040513F"/>
    <w:rsid w:val="00405DE7"/>
    <w:rsid w:val="00406F3B"/>
    <w:rsid w:val="004103AB"/>
    <w:rsid w:val="00411A5F"/>
    <w:rsid w:val="00413EAF"/>
    <w:rsid w:val="00414097"/>
    <w:rsid w:val="004213AF"/>
    <w:rsid w:val="004214BA"/>
    <w:rsid w:val="00422703"/>
    <w:rsid w:val="00425AF8"/>
    <w:rsid w:val="0042622D"/>
    <w:rsid w:val="00427084"/>
    <w:rsid w:val="00437FF5"/>
    <w:rsid w:val="00447EE2"/>
    <w:rsid w:val="0046101E"/>
    <w:rsid w:val="00461944"/>
    <w:rsid w:val="00464188"/>
    <w:rsid w:val="00470EC3"/>
    <w:rsid w:val="00477CF8"/>
    <w:rsid w:val="00480A02"/>
    <w:rsid w:val="0048168F"/>
    <w:rsid w:val="00484092"/>
    <w:rsid w:val="00484169"/>
    <w:rsid w:val="00485A2B"/>
    <w:rsid w:val="00495AC5"/>
    <w:rsid w:val="00495FF1"/>
    <w:rsid w:val="004965A3"/>
    <w:rsid w:val="004A210E"/>
    <w:rsid w:val="004A2D15"/>
    <w:rsid w:val="004A4329"/>
    <w:rsid w:val="004A49E6"/>
    <w:rsid w:val="004A633B"/>
    <w:rsid w:val="004B1E1E"/>
    <w:rsid w:val="004B5601"/>
    <w:rsid w:val="004B5B20"/>
    <w:rsid w:val="004C3DC3"/>
    <w:rsid w:val="004C4F3B"/>
    <w:rsid w:val="004C7B0A"/>
    <w:rsid w:val="004D0726"/>
    <w:rsid w:val="004D141E"/>
    <w:rsid w:val="004D1C77"/>
    <w:rsid w:val="004D7FB7"/>
    <w:rsid w:val="004E33A8"/>
    <w:rsid w:val="004E3B3E"/>
    <w:rsid w:val="004E3BD7"/>
    <w:rsid w:val="004E6614"/>
    <w:rsid w:val="004F016F"/>
    <w:rsid w:val="004F05EE"/>
    <w:rsid w:val="004F693E"/>
    <w:rsid w:val="004F7D22"/>
    <w:rsid w:val="00504511"/>
    <w:rsid w:val="00504A28"/>
    <w:rsid w:val="00505758"/>
    <w:rsid w:val="005129DA"/>
    <w:rsid w:val="00513612"/>
    <w:rsid w:val="00513A57"/>
    <w:rsid w:val="00513D8E"/>
    <w:rsid w:val="00515EEF"/>
    <w:rsid w:val="005174D6"/>
    <w:rsid w:val="0051786C"/>
    <w:rsid w:val="005208FF"/>
    <w:rsid w:val="00521468"/>
    <w:rsid w:val="005216B2"/>
    <w:rsid w:val="00526655"/>
    <w:rsid w:val="00526735"/>
    <w:rsid w:val="00526B32"/>
    <w:rsid w:val="00527E52"/>
    <w:rsid w:val="0053126F"/>
    <w:rsid w:val="00531E19"/>
    <w:rsid w:val="00532DB9"/>
    <w:rsid w:val="00535054"/>
    <w:rsid w:val="005357D9"/>
    <w:rsid w:val="00536175"/>
    <w:rsid w:val="00541F2E"/>
    <w:rsid w:val="00541FA8"/>
    <w:rsid w:val="0054416C"/>
    <w:rsid w:val="00544390"/>
    <w:rsid w:val="00544781"/>
    <w:rsid w:val="005460E0"/>
    <w:rsid w:val="005470AF"/>
    <w:rsid w:val="00550982"/>
    <w:rsid w:val="0055185F"/>
    <w:rsid w:val="00553A7C"/>
    <w:rsid w:val="00553D53"/>
    <w:rsid w:val="00554779"/>
    <w:rsid w:val="00556CF8"/>
    <w:rsid w:val="0056086D"/>
    <w:rsid w:val="00561C6B"/>
    <w:rsid w:val="0057086A"/>
    <w:rsid w:val="005718ED"/>
    <w:rsid w:val="0058153F"/>
    <w:rsid w:val="0058223B"/>
    <w:rsid w:val="0058301B"/>
    <w:rsid w:val="005843DC"/>
    <w:rsid w:val="00590937"/>
    <w:rsid w:val="0059166A"/>
    <w:rsid w:val="00592733"/>
    <w:rsid w:val="00593B59"/>
    <w:rsid w:val="00595DBA"/>
    <w:rsid w:val="005979F1"/>
    <w:rsid w:val="005A224F"/>
    <w:rsid w:val="005A2661"/>
    <w:rsid w:val="005A26F8"/>
    <w:rsid w:val="005A56E0"/>
    <w:rsid w:val="005B4936"/>
    <w:rsid w:val="005C10FB"/>
    <w:rsid w:val="005C187A"/>
    <w:rsid w:val="005C1FC7"/>
    <w:rsid w:val="005C3D6C"/>
    <w:rsid w:val="005C4963"/>
    <w:rsid w:val="005C4BBA"/>
    <w:rsid w:val="005C5F7C"/>
    <w:rsid w:val="005C68B4"/>
    <w:rsid w:val="005C74CE"/>
    <w:rsid w:val="005D2343"/>
    <w:rsid w:val="005D545C"/>
    <w:rsid w:val="005E3B28"/>
    <w:rsid w:val="005E51FE"/>
    <w:rsid w:val="005E6A56"/>
    <w:rsid w:val="005F0CC2"/>
    <w:rsid w:val="005F439F"/>
    <w:rsid w:val="005F77DA"/>
    <w:rsid w:val="006019AB"/>
    <w:rsid w:val="00605275"/>
    <w:rsid w:val="006073A2"/>
    <w:rsid w:val="006073AB"/>
    <w:rsid w:val="0060796B"/>
    <w:rsid w:val="006100F5"/>
    <w:rsid w:val="00612862"/>
    <w:rsid w:val="0061467E"/>
    <w:rsid w:val="00615C30"/>
    <w:rsid w:val="00617ECE"/>
    <w:rsid w:val="00622731"/>
    <w:rsid w:val="00624881"/>
    <w:rsid w:val="00624B2F"/>
    <w:rsid w:val="00624F31"/>
    <w:rsid w:val="006252FA"/>
    <w:rsid w:val="00626B3F"/>
    <w:rsid w:val="00627A1C"/>
    <w:rsid w:val="00632971"/>
    <w:rsid w:val="00635112"/>
    <w:rsid w:val="00643A9E"/>
    <w:rsid w:val="0064480C"/>
    <w:rsid w:val="00646FF7"/>
    <w:rsid w:val="006500AC"/>
    <w:rsid w:val="00650EAA"/>
    <w:rsid w:val="00651323"/>
    <w:rsid w:val="00656A65"/>
    <w:rsid w:val="00657887"/>
    <w:rsid w:val="006578BB"/>
    <w:rsid w:val="00657A0F"/>
    <w:rsid w:val="006645BE"/>
    <w:rsid w:val="006648F5"/>
    <w:rsid w:val="00664EA0"/>
    <w:rsid w:val="006673EC"/>
    <w:rsid w:val="0067044E"/>
    <w:rsid w:val="00670D17"/>
    <w:rsid w:val="00671040"/>
    <w:rsid w:val="006719A0"/>
    <w:rsid w:val="0067321D"/>
    <w:rsid w:val="006734B3"/>
    <w:rsid w:val="0067356E"/>
    <w:rsid w:val="00673D6E"/>
    <w:rsid w:val="0067532D"/>
    <w:rsid w:val="006763C8"/>
    <w:rsid w:val="006811AD"/>
    <w:rsid w:val="00681EB9"/>
    <w:rsid w:val="006905CD"/>
    <w:rsid w:val="006907EE"/>
    <w:rsid w:val="00691C2F"/>
    <w:rsid w:val="006947B7"/>
    <w:rsid w:val="006969E7"/>
    <w:rsid w:val="006A07CA"/>
    <w:rsid w:val="006A207B"/>
    <w:rsid w:val="006A2E42"/>
    <w:rsid w:val="006A4448"/>
    <w:rsid w:val="006A5032"/>
    <w:rsid w:val="006A5B0E"/>
    <w:rsid w:val="006B26B6"/>
    <w:rsid w:val="006B4DED"/>
    <w:rsid w:val="006B609A"/>
    <w:rsid w:val="006C1819"/>
    <w:rsid w:val="006C29FB"/>
    <w:rsid w:val="006D0366"/>
    <w:rsid w:val="006D34C5"/>
    <w:rsid w:val="006D3593"/>
    <w:rsid w:val="006D3F0B"/>
    <w:rsid w:val="006D5799"/>
    <w:rsid w:val="006D60AB"/>
    <w:rsid w:val="006D6B92"/>
    <w:rsid w:val="006D6F7F"/>
    <w:rsid w:val="006E10BF"/>
    <w:rsid w:val="006E2489"/>
    <w:rsid w:val="006E4DA8"/>
    <w:rsid w:val="006E509E"/>
    <w:rsid w:val="006E5E16"/>
    <w:rsid w:val="006E7CA4"/>
    <w:rsid w:val="006E7CF8"/>
    <w:rsid w:val="006F0257"/>
    <w:rsid w:val="006F0654"/>
    <w:rsid w:val="006F0B62"/>
    <w:rsid w:val="006F0F2D"/>
    <w:rsid w:val="006F1516"/>
    <w:rsid w:val="006F4A07"/>
    <w:rsid w:val="006F690E"/>
    <w:rsid w:val="006F74C9"/>
    <w:rsid w:val="00702353"/>
    <w:rsid w:val="007065B1"/>
    <w:rsid w:val="007073F6"/>
    <w:rsid w:val="007118F5"/>
    <w:rsid w:val="0071286E"/>
    <w:rsid w:val="007133CF"/>
    <w:rsid w:val="0071506D"/>
    <w:rsid w:val="00715EC6"/>
    <w:rsid w:val="00720431"/>
    <w:rsid w:val="007308CD"/>
    <w:rsid w:val="007317AD"/>
    <w:rsid w:val="00733C91"/>
    <w:rsid w:val="00734278"/>
    <w:rsid w:val="00740B1E"/>
    <w:rsid w:val="0074108E"/>
    <w:rsid w:val="00741135"/>
    <w:rsid w:val="00742F27"/>
    <w:rsid w:val="00742FDD"/>
    <w:rsid w:val="007435E3"/>
    <w:rsid w:val="00744AB6"/>
    <w:rsid w:val="007451EC"/>
    <w:rsid w:val="00745803"/>
    <w:rsid w:val="00745B1D"/>
    <w:rsid w:val="00746606"/>
    <w:rsid w:val="00751279"/>
    <w:rsid w:val="00751324"/>
    <w:rsid w:val="00751DAF"/>
    <w:rsid w:val="00753159"/>
    <w:rsid w:val="007569BB"/>
    <w:rsid w:val="00756BE5"/>
    <w:rsid w:val="00760BF0"/>
    <w:rsid w:val="00761508"/>
    <w:rsid w:val="007626C9"/>
    <w:rsid w:val="00764773"/>
    <w:rsid w:val="00764B9C"/>
    <w:rsid w:val="00765B11"/>
    <w:rsid w:val="0076624E"/>
    <w:rsid w:val="0077086A"/>
    <w:rsid w:val="007712FB"/>
    <w:rsid w:val="007717E2"/>
    <w:rsid w:val="007718B1"/>
    <w:rsid w:val="007740D4"/>
    <w:rsid w:val="007756B0"/>
    <w:rsid w:val="00782A56"/>
    <w:rsid w:val="00782E30"/>
    <w:rsid w:val="00785E5E"/>
    <w:rsid w:val="0078600B"/>
    <w:rsid w:val="00786F2C"/>
    <w:rsid w:val="00790676"/>
    <w:rsid w:val="00791410"/>
    <w:rsid w:val="007936A6"/>
    <w:rsid w:val="007937AE"/>
    <w:rsid w:val="00793DE6"/>
    <w:rsid w:val="00793E8B"/>
    <w:rsid w:val="007958F2"/>
    <w:rsid w:val="007A1B5F"/>
    <w:rsid w:val="007A4F3E"/>
    <w:rsid w:val="007A5985"/>
    <w:rsid w:val="007A777F"/>
    <w:rsid w:val="007B10F6"/>
    <w:rsid w:val="007B1BE5"/>
    <w:rsid w:val="007B368E"/>
    <w:rsid w:val="007B5D05"/>
    <w:rsid w:val="007C2163"/>
    <w:rsid w:val="007C288F"/>
    <w:rsid w:val="007C304F"/>
    <w:rsid w:val="007C3409"/>
    <w:rsid w:val="007C6F38"/>
    <w:rsid w:val="007C78D3"/>
    <w:rsid w:val="007D127B"/>
    <w:rsid w:val="007D2DD6"/>
    <w:rsid w:val="007D5138"/>
    <w:rsid w:val="007D6A05"/>
    <w:rsid w:val="007D6E52"/>
    <w:rsid w:val="007E1330"/>
    <w:rsid w:val="007E3EB8"/>
    <w:rsid w:val="007E4FA1"/>
    <w:rsid w:val="007E7BE8"/>
    <w:rsid w:val="007F4C86"/>
    <w:rsid w:val="007F4E32"/>
    <w:rsid w:val="007F6F6D"/>
    <w:rsid w:val="007F7257"/>
    <w:rsid w:val="00805ADB"/>
    <w:rsid w:val="00812452"/>
    <w:rsid w:val="00815ACF"/>
    <w:rsid w:val="00817132"/>
    <w:rsid w:val="008178C6"/>
    <w:rsid w:val="00821C2A"/>
    <w:rsid w:val="0082503A"/>
    <w:rsid w:val="0083461E"/>
    <w:rsid w:val="00834A9F"/>
    <w:rsid w:val="008364E5"/>
    <w:rsid w:val="00837B04"/>
    <w:rsid w:val="0084221C"/>
    <w:rsid w:val="00842C3A"/>
    <w:rsid w:val="0084393C"/>
    <w:rsid w:val="00847A89"/>
    <w:rsid w:val="00853068"/>
    <w:rsid w:val="00854C00"/>
    <w:rsid w:val="00861669"/>
    <w:rsid w:val="00862F3C"/>
    <w:rsid w:val="008632DB"/>
    <w:rsid w:val="00864040"/>
    <w:rsid w:val="008640A5"/>
    <w:rsid w:val="0086471C"/>
    <w:rsid w:val="00865821"/>
    <w:rsid w:val="00865FA0"/>
    <w:rsid w:val="008664A8"/>
    <w:rsid w:val="00866E96"/>
    <w:rsid w:val="00873FF6"/>
    <w:rsid w:val="00874634"/>
    <w:rsid w:val="00875EA5"/>
    <w:rsid w:val="00881D4B"/>
    <w:rsid w:val="00891AE7"/>
    <w:rsid w:val="0089379E"/>
    <w:rsid w:val="008950D0"/>
    <w:rsid w:val="00897B89"/>
    <w:rsid w:val="008A1155"/>
    <w:rsid w:val="008A3181"/>
    <w:rsid w:val="008A70D0"/>
    <w:rsid w:val="008B1B75"/>
    <w:rsid w:val="008B3518"/>
    <w:rsid w:val="008B3E3C"/>
    <w:rsid w:val="008B5A12"/>
    <w:rsid w:val="008B7E23"/>
    <w:rsid w:val="008C0760"/>
    <w:rsid w:val="008C3A12"/>
    <w:rsid w:val="008C782A"/>
    <w:rsid w:val="008E1083"/>
    <w:rsid w:val="008E3872"/>
    <w:rsid w:val="008E729D"/>
    <w:rsid w:val="008F045A"/>
    <w:rsid w:val="008F5112"/>
    <w:rsid w:val="008F6703"/>
    <w:rsid w:val="00900D78"/>
    <w:rsid w:val="00901C1E"/>
    <w:rsid w:val="00910FE1"/>
    <w:rsid w:val="0091229B"/>
    <w:rsid w:val="00912D25"/>
    <w:rsid w:val="00915C96"/>
    <w:rsid w:val="00915D77"/>
    <w:rsid w:val="00916DF8"/>
    <w:rsid w:val="0091758E"/>
    <w:rsid w:val="009175E1"/>
    <w:rsid w:val="009216A8"/>
    <w:rsid w:val="00921C68"/>
    <w:rsid w:val="0092673B"/>
    <w:rsid w:val="0093134E"/>
    <w:rsid w:val="00931786"/>
    <w:rsid w:val="00937ABE"/>
    <w:rsid w:val="0094196C"/>
    <w:rsid w:val="00945925"/>
    <w:rsid w:val="00952DE4"/>
    <w:rsid w:val="009538CD"/>
    <w:rsid w:val="00954839"/>
    <w:rsid w:val="009568EF"/>
    <w:rsid w:val="00956B79"/>
    <w:rsid w:val="00965F6B"/>
    <w:rsid w:val="00970F4C"/>
    <w:rsid w:val="0097130A"/>
    <w:rsid w:val="00974D94"/>
    <w:rsid w:val="009774FE"/>
    <w:rsid w:val="009832F8"/>
    <w:rsid w:val="009839DA"/>
    <w:rsid w:val="00985E49"/>
    <w:rsid w:val="00991418"/>
    <w:rsid w:val="00994476"/>
    <w:rsid w:val="00994B0E"/>
    <w:rsid w:val="00995EA7"/>
    <w:rsid w:val="0099700D"/>
    <w:rsid w:val="00997347"/>
    <w:rsid w:val="009A012A"/>
    <w:rsid w:val="009A1CD3"/>
    <w:rsid w:val="009A20BD"/>
    <w:rsid w:val="009A44A4"/>
    <w:rsid w:val="009A4A5D"/>
    <w:rsid w:val="009A5EEF"/>
    <w:rsid w:val="009B04D6"/>
    <w:rsid w:val="009B18EB"/>
    <w:rsid w:val="009B5D1A"/>
    <w:rsid w:val="009C153E"/>
    <w:rsid w:val="009C28DE"/>
    <w:rsid w:val="009C2C5E"/>
    <w:rsid w:val="009D0838"/>
    <w:rsid w:val="009D08B0"/>
    <w:rsid w:val="009D0C9F"/>
    <w:rsid w:val="009D10B2"/>
    <w:rsid w:val="009D2543"/>
    <w:rsid w:val="009D64E4"/>
    <w:rsid w:val="009E20F1"/>
    <w:rsid w:val="009E38EA"/>
    <w:rsid w:val="009E4C82"/>
    <w:rsid w:val="009E5594"/>
    <w:rsid w:val="009F517D"/>
    <w:rsid w:val="009F6554"/>
    <w:rsid w:val="009F6F3E"/>
    <w:rsid w:val="009F7F98"/>
    <w:rsid w:val="00A02F58"/>
    <w:rsid w:val="00A032AE"/>
    <w:rsid w:val="00A06962"/>
    <w:rsid w:val="00A10DAC"/>
    <w:rsid w:val="00A17340"/>
    <w:rsid w:val="00A31988"/>
    <w:rsid w:val="00A34FE2"/>
    <w:rsid w:val="00A35FDA"/>
    <w:rsid w:val="00A360E8"/>
    <w:rsid w:val="00A3722B"/>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67B82"/>
    <w:rsid w:val="00A7359B"/>
    <w:rsid w:val="00A76ECC"/>
    <w:rsid w:val="00A77540"/>
    <w:rsid w:val="00A81DF0"/>
    <w:rsid w:val="00A8266F"/>
    <w:rsid w:val="00A83203"/>
    <w:rsid w:val="00A843B5"/>
    <w:rsid w:val="00A84981"/>
    <w:rsid w:val="00A855EA"/>
    <w:rsid w:val="00A86B3F"/>
    <w:rsid w:val="00A86F4D"/>
    <w:rsid w:val="00A878EB"/>
    <w:rsid w:val="00A9067B"/>
    <w:rsid w:val="00A90E80"/>
    <w:rsid w:val="00A91FCD"/>
    <w:rsid w:val="00A92942"/>
    <w:rsid w:val="00A93BC5"/>
    <w:rsid w:val="00A96579"/>
    <w:rsid w:val="00A97211"/>
    <w:rsid w:val="00A9791E"/>
    <w:rsid w:val="00AA1DFA"/>
    <w:rsid w:val="00AA363D"/>
    <w:rsid w:val="00AA7C77"/>
    <w:rsid w:val="00AB1368"/>
    <w:rsid w:val="00AB36CF"/>
    <w:rsid w:val="00AB37F4"/>
    <w:rsid w:val="00AB6561"/>
    <w:rsid w:val="00AB6BAD"/>
    <w:rsid w:val="00AC433F"/>
    <w:rsid w:val="00AC4B04"/>
    <w:rsid w:val="00AC5D55"/>
    <w:rsid w:val="00AD0A31"/>
    <w:rsid w:val="00AD1B06"/>
    <w:rsid w:val="00AD1F66"/>
    <w:rsid w:val="00AD3CB5"/>
    <w:rsid w:val="00AD6104"/>
    <w:rsid w:val="00AD6C55"/>
    <w:rsid w:val="00AD73D3"/>
    <w:rsid w:val="00AE0D84"/>
    <w:rsid w:val="00AF2D89"/>
    <w:rsid w:val="00AF7DA4"/>
    <w:rsid w:val="00B00EBD"/>
    <w:rsid w:val="00B0370E"/>
    <w:rsid w:val="00B03E68"/>
    <w:rsid w:val="00B05E35"/>
    <w:rsid w:val="00B124BD"/>
    <w:rsid w:val="00B12FB8"/>
    <w:rsid w:val="00B14D5D"/>
    <w:rsid w:val="00B162A3"/>
    <w:rsid w:val="00B1653A"/>
    <w:rsid w:val="00B200EC"/>
    <w:rsid w:val="00B22390"/>
    <w:rsid w:val="00B244A1"/>
    <w:rsid w:val="00B246BF"/>
    <w:rsid w:val="00B24F72"/>
    <w:rsid w:val="00B268F7"/>
    <w:rsid w:val="00B27419"/>
    <w:rsid w:val="00B305BD"/>
    <w:rsid w:val="00B329B9"/>
    <w:rsid w:val="00B3471B"/>
    <w:rsid w:val="00B36B87"/>
    <w:rsid w:val="00B37406"/>
    <w:rsid w:val="00B404DF"/>
    <w:rsid w:val="00B419C8"/>
    <w:rsid w:val="00B4227A"/>
    <w:rsid w:val="00B43B8D"/>
    <w:rsid w:val="00B43EEA"/>
    <w:rsid w:val="00B43F6D"/>
    <w:rsid w:val="00B442A2"/>
    <w:rsid w:val="00B46712"/>
    <w:rsid w:val="00B50CFD"/>
    <w:rsid w:val="00B54926"/>
    <w:rsid w:val="00B6401E"/>
    <w:rsid w:val="00B652A1"/>
    <w:rsid w:val="00B70088"/>
    <w:rsid w:val="00B702C0"/>
    <w:rsid w:val="00B735DD"/>
    <w:rsid w:val="00B737D1"/>
    <w:rsid w:val="00B7459B"/>
    <w:rsid w:val="00B749E2"/>
    <w:rsid w:val="00B74CE9"/>
    <w:rsid w:val="00B7553C"/>
    <w:rsid w:val="00B75C20"/>
    <w:rsid w:val="00B82635"/>
    <w:rsid w:val="00B82C51"/>
    <w:rsid w:val="00B83776"/>
    <w:rsid w:val="00B91F39"/>
    <w:rsid w:val="00B92E57"/>
    <w:rsid w:val="00B979EA"/>
    <w:rsid w:val="00BA0795"/>
    <w:rsid w:val="00BA4F96"/>
    <w:rsid w:val="00BA5D85"/>
    <w:rsid w:val="00BA6688"/>
    <w:rsid w:val="00BA6F4B"/>
    <w:rsid w:val="00BB2144"/>
    <w:rsid w:val="00BB3D3E"/>
    <w:rsid w:val="00BB4E3C"/>
    <w:rsid w:val="00BB6D97"/>
    <w:rsid w:val="00BC1A5D"/>
    <w:rsid w:val="00BC34D3"/>
    <w:rsid w:val="00BC6808"/>
    <w:rsid w:val="00BC71E1"/>
    <w:rsid w:val="00BD03E7"/>
    <w:rsid w:val="00BD2962"/>
    <w:rsid w:val="00BD5D49"/>
    <w:rsid w:val="00BD643D"/>
    <w:rsid w:val="00BD6595"/>
    <w:rsid w:val="00BE28AA"/>
    <w:rsid w:val="00BE41D3"/>
    <w:rsid w:val="00BE720A"/>
    <w:rsid w:val="00BE7698"/>
    <w:rsid w:val="00BF1BFB"/>
    <w:rsid w:val="00BF41E2"/>
    <w:rsid w:val="00BF43F8"/>
    <w:rsid w:val="00C012DA"/>
    <w:rsid w:val="00C02F08"/>
    <w:rsid w:val="00C03226"/>
    <w:rsid w:val="00C07A0C"/>
    <w:rsid w:val="00C107F6"/>
    <w:rsid w:val="00C10D61"/>
    <w:rsid w:val="00C12D6A"/>
    <w:rsid w:val="00C13590"/>
    <w:rsid w:val="00C145CF"/>
    <w:rsid w:val="00C15F14"/>
    <w:rsid w:val="00C221D7"/>
    <w:rsid w:val="00C2331C"/>
    <w:rsid w:val="00C27302"/>
    <w:rsid w:val="00C30188"/>
    <w:rsid w:val="00C30F72"/>
    <w:rsid w:val="00C312C0"/>
    <w:rsid w:val="00C33957"/>
    <w:rsid w:val="00C37FF3"/>
    <w:rsid w:val="00C41926"/>
    <w:rsid w:val="00C42FB9"/>
    <w:rsid w:val="00C52BDA"/>
    <w:rsid w:val="00C55E8E"/>
    <w:rsid w:val="00C578BE"/>
    <w:rsid w:val="00C61129"/>
    <w:rsid w:val="00C640B2"/>
    <w:rsid w:val="00C70E7A"/>
    <w:rsid w:val="00C71612"/>
    <w:rsid w:val="00C72CF8"/>
    <w:rsid w:val="00C74E37"/>
    <w:rsid w:val="00C846A4"/>
    <w:rsid w:val="00C847EE"/>
    <w:rsid w:val="00C853D5"/>
    <w:rsid w:val="00C925E0"/>
    <w:rsid w:val="00C93207"/>
    <w:rsid w:val="00C96336"/>
    <w:rsid w:val="00C9670A"/>
    <w:rsid w:val="00CA18AB"/>
    <w:rsid w:val="00CA1B43"/>
    <w:rsid w:val="00CA6C99"/>
    <w:rsid w:val="00CB02F7"/>
    <w:rsid w:val="00CB25A2"/>
    <w:rsid w:val="00CB2C8D"/>
    <w:rsid w:val="00CB4B5C"/>
    <w:rsid w:val="00CC2015"/>
    <w:rsid w:val="00CC26EB"/>
    <w:rsid w:val="00CC59E5"/>
    <w:rsid w:val="00CC66CD"/>
    <w:rsid w:val="00CD2F67"/>
    <w:rsid w:val="00CD3754"/>
    <w:rsid w:val="00CD5E04"/>
    <w:rsid w:val="00CD5E74"/>
    <w:rsid w:val="00CE0239"/>
    <w:rsid w:val="00CE132D"/>
    <w:rsid w:val="00CE3BEA"/>
    <w:rsid w:val="00CE499C"/>
    <w:rsid w:val="00CF04AE"/>
    <w:rsid w:val="00CF073D"/>
    <w:rsid w:val="00CF4483"/>
    <w:rsid w:val="00D00BB8"/>
    <w:rsid w:val="00D03801"/>
    <w:rsid w:val="00D03D06"/>
    <w:rsid w:val="00D062E1"/>
    <w:rsid w:val="00D06A43"/>
    <w:rsid w:val="00D079BC"/>
    <w:rsid w:val="00D12CC9"/>
    <w:rsid w:val="00D13792"/>
    <w:rsid w:val="00D20CA1"/>
    <w:rsid w:val="00D21E2D"/>
    <w:rsid w:val="00D2233E"/>
    <w:rsid w:val="00D22B42"/>
    <w:rsid w:val="00D2390C"/>
    <w:rsid w:val="00D26972"/>
    <w:rsid w:val="00D30647"/>
    <w:rsid w:val="00D3351A"/>
    <w:rsid w:val="00D34147"/>
    <w:rsid w:val="00D36AF6"/>
    <w:rsid w:val="00D36E09"/>
    <w:rsid w:val="00D41969"/>
    <w:rsid w:val="00D44632"/>
    <w:rsid w:val="00D520DE"/>
    <w:rsid w:val="00D5552B"/>
    <w:rsid w:val="00D557FD"/>
    <w:rsid w:val="00D569A1"/>
    <w:rsid w:val="00D632A3"/>
    <w:rsid w:val="00D65589"/>
    <w:rsid w:val="00D6586F"/>
    <w:rsid w:val="00D65BB5"/>
    <w:rsid w:val="00D66466"/>
    <w:rsid w:val="00D6788F"/>
    <w:rsid w:val="00D70EC5"/>
    <w:rsid w:val="00D755D9"/>
    <w:rsid w:val="00D76947"/>
    <w:rsid w:val="00D82C29"/>
    <w:rsid w:val="00D84A39"/>
    <w:rsid w:val="00D85131"/>
    <w:rsid w:val="00D85CEB"/>
    <w:rsid w:val="00D87C70"/>
    <w:rsid w:val="00D936AE"/>
    <w:rsid w:val="00DA064C"/>
    <w:rsid w:val="00DA2795"/>
    <w:rsid w:val="00DA2CD8"/>
    <w:rsid w:val="00DA6182"/>
    <w:rsid w:val="00DA7B93"/>
    <w:rsid w:val="00DB24A3"/>
    <w:rsid w:val="00DB4570"/>
    <w:rsid w:val="00DC1151"/>
    <w:rsid w:val="00DC3579"/>
    <w:rsid w:val="00DC3612"/>
    <w:rsid w:val="00DC4D0A"/>
    <w:rsid w:val="00DC5066"/>
    <w:rsid w:val="00DD100C"/>
    <w:rsid w:val="00DE14A8"/>
    <w:rsid w:val="00DE2383"/>
    <w:rsid w:val="00DF3624"/>
    <w:rsid w:val="00DF5EB7"/>
    <w:rsid w:val="00DF5FD1"/>
    <w:rsid w:val="00DF6A23"/>
    <w:rsid w:val="00E021C1"/>
    <w:rsid w:val="00E04A24"/>
    <w:rsid w:val="00E0564D"/>
    <w:rsid w:val="00E0565B"/>
    <w:rsid w:val="00E07987"/>
    <w:rsid w:val="00E10926"/>
    <w:rsid w:val="00E13590"/>
    <w:rsid w:val="00E14DFF"/>
    <w:rsid w:val="00E31B37"/>
    <w:rsid w:val="00E33CB7"/>
    <w:rsid w:val="00E34912"/>
    <w:rsid w:val="00E3564C"/>
    <w:rsid w:val="00E35E72"/>
    <w:rsid w:val="00E37290"/>
    <w:rsid w:val="00E41079"/>
    <w:rsid w:val="00E42721"/>
    <w:rsid w:val="00E43490"/>
    <w:rsid w:val="00E4381B"/>
    <w:rsid w:val="00E44AF0"/>
    <w:rsid w:val="00E5082E"/>
    <w:rsid w:val="00E513CC"/>
    <w:rsid w:val="00E51A66"/>
    <w:rsid w:val="00E52252"/>
    <w:rsid w:val="00E5415A"/>
    <w:rsid w:val="00E5487E"/>
    <w:rsid w:val="00E54C30"/>
    <w:rsid w:val="00E55349"/>
    <w:rsid w:val="00E55557"/>
    <w:rsid w:val="00E62ED2"/>
    <w:rsid w:val="00E658A1"/>
    <w:rsid w:val="00E65CE3"/>
    <w:rsid w:val="00E668F2"/>
    <w:rsid w:val="00E671FC"/>
    <w:rsid w:val="00E75D3B"/>
    <w:rsid w:val="00E76BB5"/>
    <w:rsid w:val="00E76CA1"/>
    <w:rsid w:val="00E76F75"/>
    <w:rsid w:val="00E83A40"/>
    <w:rsid w:val="00E83DA3"/>
    <w:rsid w:val="00E84BB9"/>
    <w:rsid w:val="00E84FA2"/>
    <w:rsid w:val="00E876A0"/>
    <w:rsid w:val="00E877CA"/>
    <w:rsid w:val="00E928D7"/>
    <w:rsid w:val="00E97C4A"/>
    <w:rsid w:val="00EA0448"/>
    <w:rsid w:val="00EA6C8F"/>
    <w:rsid w:val="00EB1536"/>
    <w:rsid w:val="00EB1C20"/>
    <w:rsid w:val="00EB2B6A"/>
    <w:rsid w:val="00EB4C46"/>
    <w:rsid w:val="00EC18C3"/>
    <w:rsid w:val="00EC19E1"/>
    <w:rsid w:val="00EC3396"/>
    <w:rsid w:val="00EC3892"/>
    <w:rsid w:val="00EC5F32"/>
    <w:rsid w:val="00EC5F36"/>
    <w:rsid w:val="00EC6E52"/>
    <w:rsid w:val="00ED1554"/>
    <w:rsid w:val="00ED4132"/>
    <w:rsid w:val="00ED6399"/>
    <w:rsid w:val="00ED7365"/>
    <w:rsid w:val="00ED7FBD"/>
    <w:rsid w:val="00EE06CF"/>
    <w:rsid w:val="00EE0A91"/>
    <w:rsid w:val="00EE28CD"/>
    <w:rsid w:val="00EE45FD"/>
    <w:rsid w:val="00EE5DF0"/>
    <w:rsid w:val="00EE6B58"/>
    <w:rsid w:val="00EF10E8"/>
    <w:rsid w:val="00EF1BDC"/>
    <w:rsid w:val="00EF34F7"/>
    <w:rsid w:val="00EF3746"/>
    <w:rsid w:val="00EF7AED"/>
    <w:rsid w:val="00F05682"/>
    <w:rsid w:val="00F065BD"/>
    <w:rsid w:val="00F17161"/>
    <w:rsid w:val="00F177AC"/>
    <w:rsid w:val="00F20F55"/>
    <w:rsid w:val="00F2227D"/>
    <w:rsid w:val="00F2233A"/>
    <w:rsid w:val="00F23D0F"/>
    <w:rsid w:val="00F2629E"/>
    <w:rsid w:val="00F32725"/>
    <w:rsid w:val="00F34857"/>
    <w:rsid w:val="00F3653F"/>
    <w:rsid w:val="00F3669E"/>
    <w:rsid w:val="00F36B57"/>
    <w:rsid w:val="00F3701B"/>
    <w:rsid w:val="00F43449"/>
    <w:rsid w:val="00F434C7"/>
    <w:rsid w:val="00F5504F"/>
    <w:rsid w:val="00F5578A"/>
    <w:rsid w:val="00F63B1C"/>
    <w:rsid w:val="00F63FBE"/>
    <w:rsid w:val="00F70C56"/>
    <w:rsid w:val="00F71684"/>
    <w:rsid w:val="00F75EBF"/>
    <w:rsid w:val="00F76C54"/>
    <w:rsid w:val="00F76F11"/>
    <w:rsid w:val="00F773B2"/>
    <w:rsid w:val="00F7746F"/>
    <w:rsid w:val="00F80B98"/>
    <w:rsid w:val="00F81B93"/>
    <w:rsid w:val="00F836CE"/>
    <w:rsid w:val="00F84319"/>
    <w:rsid w:val="00F858BA"/>
    <w:rsid w:val="00F86077"/>
    <w:rsid w:val="00F86697"/>
    <w:rsid w:val="00F90494"/>
    <w:rsid w:val="00F90BC0"/>
    <w:rsid w:val="00F92DC8"/>
    <w:rsid w:val="00F97C8B"/>
    <w:rsid w:val="00FA0393"/>
    <w:rsid w:val="00FA1F56"/>
    <w:rsid w:val="00FA2ECD"/>
    <w:rsid w:val="00FA49A7"/>
    <w:rsid w:val="00FA703B"/>
    <w:rsid w:val="00FB1CB1"/>
    <w:rsid w:val="00FB27F5"/>
    <w:rsid w:val="00FB3CDE"/>
    <w:rsid w:val="00FB5C17"/>
    <w:rsid w:val="00FC14D4"/>
    <w:rsid w:val="00FC1C72"/>
    <w:rsid w:val="00FC5060"/>
    <w:rsid w:val="00FC7475"/>
    <w:rsid w:val="00FD00AA"/>
    <w:rsid w:val="00FD0B1C"/>
    <w:rsid w:val="00FD2745"/>
    <w:rsid w:val="00FD7A4A"/>
    <w:rsid w:val="00FE1F6A"/>
    <w:rsid w:val="00FE2242"/>
    <w:rsid w:val="00FE3DB6"/>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iPriority w:val="99"/>
    <w:semiHidden/>
    <w:unhideWhenUsed/>
    <w:rsid w:val="00E76CA1"/>
    <w:rPr>
      <w:rFonts w:ascii="Tahoma" w:hAnsi="Tahoma" w:cs="Tahoma"/>
      <w:sz w:val="16"/>
      <w:szCs w:val="16"/>
    </w:rPr>
  </w:style>
  <w:style w:type="character" w:customStyle="1" w:styleId="BalloonTextChar">
    <w:name w:val="Balloon Text Char"/>
    <w:link w:val="BalloonText"/>
    <w:uiPriority w:val="99"/>
    <w:semiHidden/>
    <w:rsid w:val="00E76CA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A56DD8"/>
    <w:pPr>
      <w:tabs>
        <w:tab w:val="center" w:pos="4680"/>
        <w:tab w:val="right" w:pos="9360"/>
      </w:tabs>
    </w:pPr>
  </w:style>
  <w:style w:type="character" w:customStyle="1" w:styleId="HeaderChar">
    <w:name w:val="Header Char"/>
    <w:link w:val="Header"/>
    <w:uiPriority w:val="99"/>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Square,Header 2"/>
    <w:basedOn w:val="Normal"/>
    <w:link w:val="ListParagraphChar"/>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semiHidden/>
    <w:rsid w:val="006C29FB"/>
    <w:rPr>
      <w:sz w:val="20"/>
      <w:szCs w:val="20"/>
    </w:rPr>
  </w:style>
  <w:style w:type="paragraph" w:styleId="CommentSubject">
    <w:name w:val="annotation subject"/>
    <w:basedOn w:val="CommentText"/>
    <w:next w:val="CommentText"/>
    <w:link w:val="CommentSubjectChar"/>
    <w:uiPriority w:val="99"/>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uiPriority w:val="39"/>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uiPriority w:val="9"/>
    <w:rsid w:val="004E3B3E"/>
    <w:rPr>
      <w:rFonts w:ascii="Cambria" w:eastAsia="Times New Roman" w:hAnsi="Cambria"/>
      <w:b/>
      <w:bCs/>
      <w:kern w:val="32"/>
      <w:sz w:val="32"/>
      <w:szCs w:val="32"/>
      <w:lang w:val="en-US" w:eastAsia="en-US"/>
    </w:rPr>
  </w:style>
  <w:style w:type="character" w:customStyle="1" w:styleId="Heading2Char">
    <w:name w:val="Heading 2 Char"/>
    <w:link w:val="Heading2"/>
    <w:uiPriority w:val="9"/>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uiPriority w:val="99"/>
    <w:rsid w:val="004E3B3E"/>
  </w:style>
  <w:style w:type="paragraph" w:styleId="NoSpacing">
    <w:name w:val="No Spacing"/>
    <w:link w:val="NoSpacingChar"/>
    <w:uiPriority w:val="1"/>
    <w:qFormat/>
    <w:rsid w:val="004E3B3E"/>
    <w:pPr>
      <w:ind w:left="1440" w:right="720"/>
    </w:pPr>
    <w:rPr>
      <w:sz w:val="22"/>
      <w:szCs w:val="22"/>
      <w:lang w:val="en-GB" w:eastAsia="en-US"/>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link w:val="ListParagraph"/>
    <w:qFormat/>
    <w:rsid w:val="00D936AE"/>
    <w:rPr>
      <w:rFonts w:ascii="Times New Roman" w:eastAsia="Times New Roman" w:hAnsi="Times New Roman"/>
      <w:sz w:val="24"/>
      <w:szCs w:val="24"/>
      <w:lang w:val="en-GB" w:eastAsia="en-GB"/>
    </w:rPr>
  </w:style>
  <w:style w:type="character" w:customStyle="1" w:styleId="CommentTextChar">
    <w:name w:val="Comment Text Char"/>
    <w:basedOn w:val="DefaultParagraphFont"/>
    <w:link w:val="CommentText"/>
    <w:uiPriority w:val="99"/>
    <w:semiHidden/>
    <w:locked/>
    <w:rsid w:val="00203430"/>
    <w:rPr>
      <w:rFonts w:ascii="Times New Roman" w:eastAsia="Times New Roman" w:hAnsi="Times New Roman"/>
      <w:lang w:val="en-GB" w:eastAsia="en-GB"/>
    </w:rPr>
  </w:style>
  <w:style w:type="character" w:customStyle="1" w:styleId="CommentSubjectChar">
    <w:name w:val="Comment Subject Char"/>
    <w:basedOn w:val="CommentTextChar"/>
    <w:link w:val="CommentSubject"/>
    <w:uiPriority w:val="99"/>
    <w:semiHidden/>
    <w:locked/>
    <w:rsid w:val="00203430"/>
    <w:rPr>
      <w:rFonts w:ascii="Times New Roman" w:eastAsia="Times New Roman" w:hAnsi="Times New Roman"/>
      <w:b/>
      <w:bCs/>
      <w:lang w:val="en-GB" w:eastAsia="en-GB"/>
    </w:rPr>
  </w:style>
  <w:style w:type="character" w:customStyle="1" w:styleId="BodyTextChar">
    <w:name w:val="Body Text Char"/>
    <w:basedOn w:val="DefaultParagraphFont"/>
    <w:link w:val="BodyText"/>
    <w:uiPriority w:val="99"/>
    <w:locked/>
    <w:rsid w:val="00203430"/>
    <w:rPr>
      <w:rFonts w:ascii="Arial" w:eastAsia="Times New Roman" w:hAnsi="Arial" w:cs="Arial"/>
      <w:lang w:eastAsia="en-US"/>
    </w:rPr>
  </w:style>
  <w:style w:type="paragraph" w:customStyle="1" w:styleId="Default">
    <w:name w:val="Default"/>
    <w:rsid w:val="00203430"/>
    <w:pPr>
      <w:autoSpaceDE w:val="0"/>
      <w:autoSpaceDN w:val="0"/>
      <w:adjustRightInd w:val="0"/>
    </w:pPr>
    <w:rPr>
      <w:rFonts w:ascii="Times New Roman" w:eastAsia="Times New Roman" w:hAnsi="Times New Roman"/>
      <w:color w:val="000000"/>
      <w:sz w:val="24"/>
      <w:szCs w:val="24"/>
      <w:lang w:val="fr-FR"/>
    </w:rPr>
  </w:style>
  <w:style w:type="character" w:customStyle="1" w:styleId="NoSpacingChar">
    <w:name w:val="No Spacing Char"/>
    <w:link w:val="NoSpacing"/>
    <w:uiPriority w:val="1"/>
    <w:locked/>
    <w:rsid w:val="00203430"/>
    <w:rPr>
      <w:sz w:val="22"/>
      <w:szCs w:val="22"/>
      <w:lang w:val="en-GB" w:eastAsia="en-US"/>
    </w:rPr>
  </w:style>
  <w:style w:type="paragraph" w:styleId="NormalWeb">
    <w:name w:val="Normal (Web)"/>
    <w:basedOn w:val="Normal"/>
    <w:uiPriority w:val="99"/>
    <w:unhideWhenUsed/>
    <w:rsid w:val="00203430"/>
    <w:pPr>
      <w:spacing w:before="100" w:beforeAutospacing="1" w:after="100" w:afterAutospacing="1"/>
    </w:pP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3FE7-AB55-4B6D-AFD9-6A9117C5EC63}">
  <ds:schemaRefs>
    <ds:schemaRef ds:uri="http://schemas.openxmlformats.org/officeDocument/2006/bibliography"/>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5588</Words>
  <Characters>31857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Simonetta Rossi</cp:lastModifiedBy>
  <cp:revision>2</cp:revision>
  <cp:lastPrinted>2014-02-10T17:12:00Z</cp:lastPrinted>
  <dcterms:created xsi:type="dcterms:W3CDTF">2021-06-18T11:49:00Z</dcterms:created>
  <dcterms:modified xsi:type="dcterms:W3CDTF">2021-06-18T11:49:00Z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