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57DB" w14:textId="77777777" w:rsidR="00B12F87" w:rsidRDefault="00B12F87">
      <w:pPr>
        <w:widowControl w:val="0"/>
        <w:pBdr>
          <w:top w:val="nil"/>
          <w:left w:val="nil"/>
          <w:bottom w:val="nil"/>
          <w:right w:val="nil"/>
          <w:between w:val="nil"/>
        </w:pBdr>
        <w:spacing w:line="276" w:lineRule="auto"/>
        <w:rPr>
          <w:sz w:val="22"/>
          <w:szCs w:val="22"/>
        </w:rPr>
      </w:pPr>
    </w:p>
    <w:p w14:paraId="213FD06F" w14:textId="77777777" w:rsidR="00B12F87" w:rsidRDefault="00522EDD">
      <w:pPr>
        <w:ind w:left="1" w:hanging="3"/>
        <w:jc w:val="center"/>
        <w:rPr>
          <w:b/>
        </w:rPr>
      </w:pPr>
      <w:r>
        <w:rPr>
          <w:b/>
        </w:rPr>
        <w:t xml:space="preserve">Joint </w:t>
      </w:r>
      <w:proofErr w:type="spellStart"/>
      <w:r>
        <w:rPr>
          <w:b/>
        </w:rPr>
        <w:t>Programme</w:t>
      </w:r>
      <w:proofErr w:type="spellEnd"/>
      <w:r>
        <w:rPr>
          <w:b/>
        </w:rPr>
        <w:t xml:space="preserve"> </w:t>
      </w:r>
    </w:p>
    <w:p w14:paraId="282C0499" w14:textId="77777777" w:rsidR="00B12F87" w:rsidRDefault="00B12F87">
      <w:pPr>
        <w:jc w:val="both"/>
        <w:rPr>
          <w:b/>
        </w:rPr>
      </w:pPr>
    </w:p>
    <w:p w14:paraId="3BB925FE" w14:textId="77777777" w:rsidR="00B12F87" w:rsidRDefault="00522EDD">
      <w:pPr>
        <w:jc w:val="center"/>
        <w:rPr>
          <w:b/>
        </w:rPr>
      </w:pPr>
      <w:r>
        <w:rPr>
          <w:b/>
        </w:rPr>
        <w:t>ONE UN SUPPORT TO THE NATIONAL INSTITUTE OF STATISTICS OF RWANDA FOR DATA GENERATION AND USE OF EVIDENCE BASED PLANNING</w:t>
      </w:r>
    </w:p>
    <w:p w14:paraId="48F354E5" w14:textId="77777777" w:rsidR="00B12F87" w:rsidRDefault="00B12F87">
      <w:pPr>
        <w:rPr>
          <w:b/>
        </w:rPr>
      </w:pPr>
    </w:p>
    <w:p w14:paraId="3A0CA3F1" w14:textId="77777777" w:rsidR="00B12F87" w:rsidRDefault="00522EDD">
      <w:pPr>
        <w:jc w:val="center"/>
        <w:rPr>
          <w:b/>
        </w:rPr>
      </w:pPr>
      <w:r>
        <w:rPr>
          <w:b/>
          <w:smallCaps/>
        </w:rPr>
        <w:t xml:space="preserve">MPTF OFFICE ANNUAL PROGRESS REPORT </w:t>
      </w:r>
    </w:p>
    <w:p w14:paraId="11FA2AB9" w14:textId="77777777" w:rsidR="00B12F87" w:rsidRDefault="00522EDD">
      <w:pPr>
        <w:jc w:val="center"/>
        <w:rPr>
          <w:b/>
        </w:rPr>
      </w:pPr>
      <w:r>
        <w:rPr>
          <w:b/>
          <w:smallCaps/>
        </w:rPr>
        <w:t>REPORTING PERIOD: 1 JANUARY – 31 DECEMBER 2021</w:t>
      </w:r>
    </w:p>
    <w:p w14:paraId="4545AA56" w14:textId="77777777" w:rsidR="00B12F87" w:rsidRDefault="00B12F87">
      <w:pPr>
        <w:jc w:val="center"/>
      </w:pPr>
    </w:p>
    <w:tbl>
      <w:tblPr>
        <w:tblStyle w:val="a0"/>
        <w:tblW w:w="10836" w:type="dxa"/>
        <w:tblLayout w:type="fixed"/>
        <w:tblLook w:val="0000" w:firstRow="0" w:lastRow="0" w:firstColumn="0" w:lastColumn="0" w:noHBand="0" w:noVBand="0"/>
      </w:tblPr>
      <w:tblGrid>
        <w:gridCol w:w="5328"/>
        <w:gridCol w:w="236"/>
        <w:gridCol w:w="3288"/>
        <w:gridCol w:w="1984"/>
      </w:tblGrid>
      <w:tr w:rsidR="00B12F87" w14:paraId="4C6F8951" w14:textId="77777777">
        <w:trPr>
          <w:cantSplit/>
          <w:trHeight w:val="206"/>
        </w:trPr>
        <w:tc>
          <w:tcPr>
            <w:tcW w:w="5328" w:type="dxa"/>
            <w:tcBorders>
              <w:top w:val="single" w:sz="4" w:space="0" w:color="000000"/>
              <w:left w:val="single" w:sz="4" w:space="0" w:color="000000"/>
              <w:right w:val="single" w:sz="4" w:space="0" w:color="000000"/>
            </w:tcBorders>
            <w:shd w:val="clear" w:color="auto" w:fill="F3F3F3"/>
            <w:vAlign w:val="center"/>
          </w:tcPr>
          <w:p w14:paraId="1CA488C0" w14:textId="77777777" w:rsidR="00B12F87" w:rsidRDefault="00522EDD">
            <w:pPr>
              <w:pBdr>
                <w:top w:val="nil"/>
                <w:left w:val="nil"/>
                <w:bottom w:val="nil"/>
                <w:right w:val="nil"/>
                <w:between w:val="nil"/>
              </w:pBdr>
              <w:spacing w:before="60" w:after="60"/>
              <w:rPr>
                <w:b/>
              </w:rPr>
            </w:pPr>
            <w:proofErr w:type="spellStart"/>
            <w:r>
              <w:rPr>
                <w:b/>
              </w:rPr>
              <w:t>Programme</w:t>
            </w:r>
            <w:proofErr w:type="spellEnd"/>
            <w:r>
              <w:rPr>
                <w:b/>
              </w:rPr>
              <w:t xml:space="preserve"> Title &amp; Project Number</w:t>
            </w:r>
          </w:p>
        </w:tc>
        <w:tc>
          <w:tcPr>
            <w:tcW w:w="236" w:type="dxa"/>
            <w:vMerge w:val="restart"/>
            <w:tcBorders>
              <w:left w:val="single" w:sz="4" w:space="0" w:color="000000"/>
              <w:right w:val="single" w:sz="4" w:space="0" w:color="000000"/>
            </w:tcBorders>
            <w:shd w:val="clear" w:color="auto" w:fill="auto"/>
            <w:vAlign w:val="center"/>
          </w:tcPr>
          <w:p w14:paraId="6F1EE99D" w14:textId="77777777" w:rsidR="00B12F87" w:rsidRDefault="00B12F87">
            <w:pPr>
              <w:jc w:val="center"/>
            </w:pPr>
          </w:p>
        </w:tc>
        <w:tc>
          <w:tcPr>
            <w:tcW w:w="5272" w:type="dxa"/>
            <w:gridSpan w:val="2"/>
            <w:tcBorders>
              <w:top w:val="single" w:sz="4" w:space="0" w:color="000000"/>
              <w:left w:val="single" w:sz="4" w:space="0" w:color="000000"/>
              <w:right w:val="single" w:sz="4" w:space="0" w:color="000000"/>
            </w:tcBorders>
            <w:shd w:val="clear" w:color="auto" w:fill="F3F3F3"/>
            <w:vAlign w:val="center"/>
          </w:tcPr>
          <w:p w14:paraId="0FF53143" w14:textId="77777777" w:rsidR="00B12F87" w:rsidRDefault="00522EDD">
            <w:pPr>
              <w:pBdr>
                <w:top w:val="nil"/>
                <w:left w:val="nil"/>
                <w:bottom w:val="nil"/>
                <w:right w:val="nil"/>
                <w:between w:val="nil"/>
              </w:pBdr>
              <w:spacing w:before="60" w:after="60"/>
              <w:rPr>
                <w:b/>
              </w:rPr>
            </w:pPr>
            <w:r>
              <w:rPr>
                <w:b/>
              </w:rPr>
              <w:t>Country, Locality(s), Priority Area(s) / Strategic Results</w:t>
            </w:r>
            <w:r>
              <w:rPr>
                <w:b/>
                <w:vertAlign w:val="superscript"/>
              </w:rPr>
              <w:footnoteReference w:id="1"/>
            </w:r>
          </w:p>
        </w:tc>
      </w:tr>
      <w:tr w:rsidR="00B12F87" w14:paraId="101EB8D2" w14:textId="77777777">
        <w:trPr>
          <w:cantSplit/>
          <w:trHeight w:val="300"/>
        </w:trPr>
        <w:tc>
          <w:tcPr>
            <w:tcW w:w="5328" w:type="dxa"/>
            <w:vMerge w:val="restart"/>
            <w:tcBorders>
              <w:left w:val="single" w:sz="4" w:space="0" w:color="000000"/>
              <w:right w:val="single" w:sz="4" w:space="0" w:color="000000"/>
            </w:tcBorders>
          </w:tcPr>
          <w:p w14:paraId="6DF3C82F" w14:textId="77777777" w:rsidR="00B12F87" w:rsidRDefault="00522EDD">
            <w:pPr>
              <w:numPr>
                <w:ilvl w:val="0"/>
                <w:numId w:val="2"/>
              </w:numPr>
              <w:pBdr>
                <w:top w:val="nil"/>
                <w:left w:val="nil"/>
                <w:bottom w:val="nil"/>
                <w:right w:val="nil"/>
                <w:between w:val="nil"/>
              </w:pBdr>
              <w:spacing w:before="60" w:after="60"/>
              <w:ind w:left="342"/>
              <w:jc w:val="both"/>
            </w:pPr>
            <w:proofErr w:type="spellStart"/>
            <w:r>
              <w:t>Programme</w:t>
            </w:r>
            <w:proofErr w:type="spellEnd"/>
            <w:r>
              <w:t xml:space="preserve"> Title: One UN Support to National Institute of Statistics of Rwanda for Data Generation and use of evidence-based planning</w:t>
            </w:r>
          </w:p>
          <w:p w14:paraId="3C539229" w14:textId="77777777" w:rsidR="00B12F87" w:rsidRDefault="00522EDD">
            <w:pPr>
              <w:numPr>
                <w:ilvl w:val="0"/>
                <w:numId w:val="2"/>
              </w:numPr>
              <w:pBdr>
                <w:top w:val="nil"/>
                <w:left w:val="nil"/>
                <w:bottom w:val="nil"/>
                <w:right w:val="nil"/>
                <w:between w:val="nil"/>
              </w:pBdr>
              <w:spacing w:before="60" w:after="60"/>
              <w:ind w:left="342"/>
              <w:jc w:val="both"/>
            </w:pPr>
            <w:proofErr w:type="spellStart"/>
            <w:r>
              <w:t>Programme</w:t>
            </w:r>
            <w:proofErr w:type="spellEnd"/>
            <w:r>
              <w:t xml:space="preserve"> Number: </w:t>
            </w:r>
            <w:r>
              <w:rPr>
                <w:b/>
              </w:rPr>
              <w:t>00120073</w:t>
            </w:r>
            <w:r>
              <w:rPr>
                <w:i/>
              </w:rPr>
              <w:t xml:space="preserve"> </w:t>
            </w:r>
          </w:p>
          <w:p w14:paraId="6D1AF5B3" w14:textId="77777777" w:rsidR="00B12F87" w:rsidRDefault="00522EDD">
            <w:pPr>
              <w:numPr>
                <w:ilvl w:val="0"/>
                <w:numId w:val="2"/>
              </w:numPr>
              <w:pBdr>
                <w:top w:val="nil"/>
                <w:left w:val="nil"/>
                <w:bottom w:val="nil"/>
                <w:right w:val="nil"/>
                <w:between w:val="nil"/>
              </w:pBdr>
              <w:spacing w:before="60" w:after="60"/>
              <w:ind w:left="342"/>
              <w:jc w:val="both"/>
            </w:pPr>
            <w:r>
              <w:t xml:space="preserve">MPTF Office Project Reference Number: </w:t>
            </w:r>
            <w:r>
              <w:rPr>
                <w:b/>
              </w:rPr>
              <w:t>00120073</w:t>
            </w:r>
            <w:r>
              <w:rPr>
                <w:i/>
              </w:rPr>
              <w:t xml:space="preserve"> </w:t>
            </w:r>
          </w:p>
        </w:tc>
        <w:tc>
          <w:tcPr>
            <w:tcW w:w="236" w:type="dxa"/>
            <w:vMerge/>
            <w:tcBorders>
              <w:left w:val="single" w:sz="4" w:space="0" w:color="000000"/>
              <w:right w:val="single" w:sz="4" w:space="0" w:color="000000"/>
            </w:tcBorders>
            <w:shd w:val="clear" w:color="auto" w:fill="auto"/>
            <w:vAlign w:val="center"/>
          </w:tcPr>
          <w:p w14:paraId="3E50C6D1" w14:textId="77777777" w:rsidR="00B12F87" w:rsidRDefault="00B12F87">
            <w:pPr>
              <w:widowControl w:val="0"/>
              <w:pBdr>
                <w:top w:val="nil"/>
                <w:left w:val="nil"/>
                <w:bottom w:val="nil"/>
                <w:right w:val="nil"/>
                <w:between w:val="nil"/>
              </w:pBdr>
              <w:spacing w:line="276" w:lineRule="auto"/>
            </w:pPr>
          </w:p>
        </w:tc>
        <w:tc>
          <w:tcPr>
            <w:tcW w:w="5272" w:type="dxa"/>
            <w:gridSpan w:val="2"/>
            <w:tcBorders>
              <w:left w:val="single" w:sz="4" w:space="0" w:color="000000"/>
              <w:bottom w:val="single" w:sz="4" w:space="0" w:color="000000"/>
              <w:right w:val="single" w:sz="4" w:space="0" w:color="000000"/>
            </w:tcBorders>
          </w:tcPr>
          <w:p w14:paraId="3BE82441" w14:textId="77777777" w:rsidR="00B12F87" w:rsidRDefault="00522EDD">
            <w:pPr>
              <w:pBdr>
                <w:top w:val="nil"/>
                <w:left w:val="nil"/>
                <w:bottom w:val="nil"/>
                <w:right w:val="nil"/>
                <w:between w:val="nil"/>
              </w:pBdr>
            </w:pPr>
            <w:r>
              <w:rPr>
                <w:i/>
              </w:rPr>
              <w:t>Country/Region</w:t>
            </w:r>
          </w:p>
          <w:p w14:paraId="53C3B3C5" w14:textId="77777777" w:rsidR="00B12F87" w:rsidRDefault="00522EDD">
            <w:pPr>
              <w:pBdr>
                <w:top w:val="nil"/>
                <w:left w:val="nil"/>
                <w:bottom w:val="nil"/>
                <w:right w:val="nil"/>
                <w:between w:val="nil"/>
              </w:pBdr>
            </w:pPr>
            <w:r>
              <w:rPr>
                <w:b/>
                <w:i/>
              </w:rPr>
              <w:t>RWANDA</w:t>
            </w:r>
          </w:p>
          <w:p w14:paraId="15D46476" w14:textId="77777777" w:rsidR="00B12F87" w:rsidRDefault="00B12F87">
            <w:pPr>
              <w:pBdr>
                <w:top w:val="nil"/>
                <w:left w:val="nil"/>
                <w:bottom w:val="nil"/>
                <w:right w:val="nil"/>
                <w:between w:val="nil"/>
              </w:pBdr>
            </w:pPr>
          </w:p>
        </w:tc>
      </w:tr>
      <w:tr w:rsidR="00B12F87" w14:paraId="74B20462" w14:textId="77777777">
        <w:trPr>
          <w:cantSplit/>
          <w:trHeight w:val="980"/>
        </w:trPr>
        <w:tc>
          <w:tcPr>
            <w:tcW w:w="5328" w:type="dxa"/>
            <w:vMerge/>
            <w:tcBorders>
              <w:left w:val="single" w:sz="4" w:space="0" w:color="000000"/>
              <w:right w:val="single" w:sz="4" w:space="0" w:color="000000"/>
            </w:tcBorders>
          </w:tcPr>
          <w:p w14:paraId="05A4FB60" w14:textId="77777777" w:rsidR="00B12F87" w:rsidRDefault="00B12F87">
            <w:pPr>
              <w:widowControl w:val="0"/>
              <w:pBdr>
                <w:top w:val="nil"/>
                <w:left w:val="nil"/>
                <w:bottom w:val="nil"/>
                <w:right w:val="nil"/>
                <w:between w:val="nil"/>
              </w:pBdr>
              <w:spacing w:line="276" w:lineRule="auto"/>
            </w:pPr>
          </w:p>
        </w:tc>
        <w:tc>
          <w:tcPr>
            <w:tcW w:w="236" w:type="dxa"/>
            <w:vMerge/>
            <w:tcBorders>
              <w:left w:val="single" w:sz="4" w:space="0" w:color="000000"/>
              <w:right w:val="single" w:sz="4" w:space="0" w:color="000000"/>
            </w:tcBorders>
            <w:shd w:val="clear" w:color="auto" w:fill="auto"/>
            <w:vAlign w:val="center"/>
          </w:tcPr>
          <w:p w14:paraId="254C565D" w14:textId="77777777" w:rsidR="00B12F87" w:rsidRDefault="00B12F87">
            <w:pPr>
              <w:widowControl w:val="0"/>
              <w:pBdr>
                <w:top w:val="nil"/>
                <w:left w:val="nil"/>
                <w:bottom w:val="nil"/>
                <w:right w:val="nil"/>
                <w:between w:val="nil"/>
              </w:pBdr>
              <w:spacing w:line="276" w:lineRule="auto"/>
            </w:pPr>
          </w:p>
        </w:tc>
        <w:tc>
          <w:tcPr>
            <w:tcW w:w="5272" w:type="dxa"/>
            <w:gridSpan w:val="2"/>
            <w:tcBorders>
              <w:top w:val="single" w:sz="4" w:space="0" w:color="000000"/>
              <w:left w:val="single" w:sz="4" w:space="0" w:color="000000"/>
              <w:bottom w:val="single" w:sz="4" w:space="0" w:color="000000"/>
              <w:right w:val="single" w:sz="4" w:space="0" w:color="000000"/>
            </w:tcBorders>
          </w:tcPr>
          <w:p w14:paraId="7C99E202" w14:textId="77777777" w:rsidR="00B12F87" w:rsidRDefault="00522EDD">
            <w:pPr>
              <w:pBdr>
                <w:top w:val="nil"/>
                <w:left w:val="nil"/>
                <w:bottom w:val="nil"/>
                <w:right w:val="nil"/>
                <w:between w:val="nil"/>
              </w:pBdr>
            </w:pPr>
            <w:r>
              <w:rPr>
                <w:i/>
              </w:rPr>
              <w:t xml:space="preserve">Priority area/ strategic results </w:t>
            </w:r>
          </w:p>
          <w:p w14:paraId="368057B8" w14:textId="77777777" w:rsidR="00B12F87" w:rsidRDefault="00522EDD">
            <w:r>
              <w:t xml:space="preserve">UNDAP II, results area 3: Transformational Governance </w:t>
            </w:r>
          </w:p>
        </w:tc>
      </w:tr>
      <w:tr w:rsidR="00B12F87" w14:paraId="750EACFB" w14:textId="77777777">
        <w:trPr>
          <w:cantSplit/>
          <w:trHeight w:val="206"/>
        </w:trPr>
        <w:tc>
          <w:tcPr>
            <w:tcW w:w="5328" w:type="dxa"/>
            <w:tcBorders>
              <w:top w:val="single" w:sz="4" w:space="0" w:color="000000"/>
              <w:left w:val="single" w:sz="4" w:space="0" w:color="000000"/>
              <w:right w:val="single" w:sz="4" w:space="0" w:color="000000"/>
            </w:tcBorders>
            <w:shd w:val="clear" w:color="auto" w:fill="F3F3F3"/>
            <w:vAlign w:val="center"/>
          </w:tcPr>
          <w:p w14:paraId="6C5F1BEF" w14:textId="77777777" w:rsidR="00B12F87" w:rsidRDefault="00522EDD">
            <w:pPr>
              <w:pBdr>
                <w:top w:val="nil"/>
                <w:left w:val="nil"/>
                <w:bottom w:val="nil"/>
                <w:right w:val="nil"/>
                <w:between w:val="nil"/>
              </w:pBdr>
              <w:spacing w:before="60" w:after="60"/>
              <w:rPr>
                <w:b/>
              </w:rPr>
            </w:pPr>
            <w:r>
              <w:rPr>
                <w:b/>
              </w:rPr>
              <w:t>Participating Organization(s)</w:t>
            </w:r>
          </w:p>
        </w:tc>
        <w:tc>
          <w:tcPr>
            <w:tcW w:w="236" w:type="dxa"/>
            <w:vMerge w:val="restart"/>
            <w:tcBorders>
              <w:left w:val="single" w:sz="4" w:space="0" w:color="000000"/>
              <w:right w:val="single" w:sz="4" w:space="0" w:color="000000"/>
            </w:tcBorders>
            <w:shd w:val="clear" w:color="auto" w:fill="auto"/>
            <w:vAlign w:val="center"/>
          </w:tcPr>
          <w:p w14:paraId="17BF953D" w14:textId="77777777" w:rsidR="00B12F87" w:rsidRDefault="00B12F87">
            <w:pPr>
              <w:jc w:val="center"/>
            </w:pPr>
          </w:p>
        </w:tc>
        <w:tc>
          <w:tcPr>
            <w:tcW w:w="5272" w:type="dxa"/>
            <w:gridSpan w:val="2"/>
            <w:tcBorders>
              <w:top w:val="single" w:sz="4" w:space="0" w:color="000000"/>
              <w:left w:val="single" w:sz="4" w:space="0" w:color="000000"/>
              <w:right w:val="single" w:sz="4" w:space="0" w:color="000000"/>
            </w:tcBorders>
            <w:shd w:val="clear" w:color="auto" w:fill="F3F3F3"/>
            <w:vAlign w:val="center"/>
          </w:tcPr>
          <w:p w14:paraId="2BCD10EA" w14:textId="77777777" w:rsidR="00B12F87" w:rsidRDefault="00522EDD">
            <w:pPr>
              <w:pBdr>
                <w:top w:val="nil"/>
                <w:left w:val="nil"/>
                <w:bottom w:val="nil"/>
                <w:right w:val="nil"/>
                <w:between w:val="nil"/>
              </w:pBdr>
              <w:spacing w:before="60" w:after="60"/>
              <w:rPr>
                <w:b/>
              </w:rPr>
            </w:pPr>
            <w:r>
              <w:rPr>
                <w:b/>
              </w:rPr>
              <w:t>Implementing Partners</w:t>
            </w:r>
          </w:p>
        </w:tc>
      </w:tr>
      <w:tr w:rsidR="00B12F87" w14:paraId="2575721B" w14:textId="77777777">
        <w:trPr>
          <w:cantSplit/>
          <w:trHeight w:val="1017"/>
        </w:trPr>
        <w:tc>
          <w:tcPr>
            <w:tcW w:w="5328" w:type="dxa"/>
            <w:tcBorders>
              <w:left w:val="single" w:sz="4" w:space="0" w:color="000000"/>
              <w:bottom w:val="single" w:sz="4" w:space="0" w:color="000000"/>
              <w:right w:val="single" w:sz="4" w:space="0" w:color="000000"/>
            </w:tcBorders>
          </w:tcPr>
          <w:p w14:paraId="4F0F206E" w14:textId="77777777" w:rsidR="00B12F87" w:rsidRDefault="00522EDD">
            <w:pPr>
              <w:numPr>
                <w:ilvl w:val="0"/>
                <w:numId w:val="1"/>
              </w:numPr>
              <w:pBdr>
                <w:top w:val="nil"/>
                <w:left w:val="nil"/>
                <w:bottom w:val="nil"/>
                <w:right w:val="nil"/>
                <w:between w:val="nil"/>
              </w:pBdr>
              <w:jc w:val="both"/>
            </w:pPr>
            <w:r>
              <w:t xml:space="preserve">Organizations that have received direct funding from the MPTF Office under this </w:t>
            </w:r>
            <w:proofErr w:type="spellStart"/>
            <w:r>
              <w:t>programme</w:t>
            </w:r>
            <w:proofErr w:type="spellEnd"/>
            <w:r>
              <w:t xml:space="preserve">: </w:t>
            </w:r>
            <w:r>
              <w:rPr>
                <w:b/>
              </w:rPr>
              <w:t>UNFPA</w:t>
            </w:r>
          </w:p>
          <w:p w14:paraId="125BF08F" w14:textId="77777777" w:rsidR="00B12F87" w:rsidRDefault="00522EDD">
            <w:pPr>
              <w:numPr>
                <w:ilvl w:val="0"/>
                <w:numId w:val="1"/>
              </w:numPr>
              <w:pBdr>
                <w:top w:val="nil"/>
                <w:left w:val="nil"/>
                <w:bottom w:val="nil"/>
                <w:right w:val="nil"/>
                <w:between w:val="nil"/>
              </w:pBdr>
              <w:jc w:val="both"/>
            </w:pPr>
            <w:r>
              <w:t xml:space="preserve">All UN agencies under the Joint </w:t>
            </w:r>
            <w:proofErr w:type="spellStart"/>
            <w:r>
              <w:t>Programme</w:t>
            </w:r>
            <w:proofErr w:type="spellEnd"/>
            <w:r>
              <w:t xml:space="preserve"> on Data: UNFPA, UNWOMEN, UNICEF, WHO</w:t>
            </w:r>
          </w:p>
          <w:p w14:paraId="6C285432" w14:textId="77777777" w:rsidR="00B12F87" w:rsidRDefault="00B12F87">
            <w:pPr>
              <w:pBdr>
                <w:top w:val="nil"/>
                <w:left w:val="nil"/>
                <w:bottom w:val="nil"/>
                <w:right w:val="nil"/>
                <w:between w:val="nil"/>
              </w:pBdr>
            </w:pPr>
          </w:p>
        </w:tc>
        <w:tc>
          <w:tcPr>
            <w:tcW w:w="236" w:type="dxa"/>
            <w:vMerge/>
            <w:tcBorders>
              <w:left w:val="single" w:sz="4" w:space="0" w:color="000000"/>
              <w:right w:val="single" w:sz="4" w:space="0" w:color="000000"/>
            </w:tcBorders>
            <w:shd w:val="clear" w:color="auto" w:fill="auto"/>
            <w:vAlign w:val="center"/>
          </w:tcPr>
          <w:p w14:paraId="6232EF7C" w14:textId="77777777" w:rsidR="00B12F87" w:rsidRDefault="00B12F87">
            <w:pPr>
              <w:widowControl w:val="0"/>
              <w:pBdr>
                <w:top w:val="nil"/>
                <w:left w:val="nil"/>
                <w:bottom w:val="nil"/>
                <w:right w:val="nil"/>
                <w:between w:val="nil"/>
              </w:pBdr>
              <w:spacing w:line="276" w:lineRule="auto"/>
            </w:pPr>
          </w:p>
        </w:tc>
        <w:tc>
          <w:tcPr>
            <w:tcW w:w="5272" w:type="dxa"/>
            <w:gridSpan w:val="2"/>
            <w:tcBorders>
              <w:left w:val="single" w:sz="4" w:space="0" w:color="000000"/>
              <w:bottom w:val="single" w:sz="4" w:space="0" w:color="000000"/>
              <w:right w:val="single" w:sz="4" w:space="0" w:color="000000"/>
            </w:tcBorders>
          </w:tcPr>
          <w:p w14:paraId="571A427C" w14:textId="77777777" w:rsidR="00B12F87" w:rsidRDefault="00522EDD">
            <w:pPr>
              <w:tabs>
                <w:tab w:val="left" w:pos="1470"/>
              </w:tabs>
            </w:pPr>
            <w:r>
              <w:t>National Institute of Statistics of Rwanda (NISR)</w:t>
            </w:r>
          </w:p>
        </w:tc>
      </w:tr>
      <w:tr w:rsidR="00B12F87" w14:paraId="40B993D5" w14:textId="77777777">
        <w:trPr>
          <w:cantSplit/>
          <w:trHeight w:val="440"/>
        </w:trPr>
        <w:tc>
          <w:tcPr>
            <w:tcW w:w="5328" w:type="dxa"/>
            <w:vMerge w:val="restart"/>
            <w:tcBorders>
              <w:top w:val="single" w:sz="4" w:space="0" w:color="000000"/>
              <w:left w:val="single" w:sz="4" w:space="0" w:color="000000"/>
              <w:right w:val="single" w:sz="4" w:space="0" w:color="000000"/>
            </w:tcBorders>
            <w:shd w:val="clear" w:color="auto" w:fill="F2F2F2"/>
            <w:vAlign w:val="center"/>
          </w:tcPr>
          <w:p w14:paraId="25A72E3B" w14:textId="77777777" w:rsidR="00B12F87" w:rsidRDefault="00522EDD">
            <w:pPr>
              <w:pBdr>
                <w:top w:val="nil"/>
                <w:left w:val="nil"/>
                <w:bottom w:val="nil"/>
                <w:right w:val="nil"/>
                <w:between w:val="nil"/>
              </w:pBdr>
              <w:spacing w:before="60" w:after="60"/>
              <w:rPr>
                <w:b/>
              </w:rPr>
            </w:pPr>
            <w:proofErr w:type="spellStart"/>
            <w:r>
              <w:rPr>
                <w:b/>
              </w:rPr>
              <w:t>Programme</w:t>
            </w:r>
            <w:proofErr w:type="spellEnd"/>
            <w:r>
              <w:rPr>
                <w:b/>
              </w:rPr>
              <w:t>/Project Cost (US$)</w:t>
            </w:r>
          </w:p>
          <w:p w14:paraId="19A55EA9" w14:textId="77777777" w:rsidR="00B12F87" w:rsidRDefault="00522EDD">
            <w:pPr>
              <w:pBdr>
                <w:top w:val="nil"/>
                <w:left w:val="nil"/>
                <w:bottom w:val="nil"/>
                <w:right w:val="nil"/>
                <w:between w:val="nil"/>
              </w:pBdr>
              <w:rPr>
                <w:b/>
              </w:rPr>
            </w:pPr>
            <w:r>
              <w:t>Total approved budget as per project document:</w:t>
            </w:r>
            <w:r>
              <w:rPr>
                <w:b/>
              </w:rPr>
              <w:t xml:space="preserve"> $5,648,550 </w:t>
            </w:r>
          </w:p>
          <w:p w14:paraId="782D28F9" w14:textId="54C53FB9" w:rsidR="00B12F87" w:rsidRDefault="00522EDD">
            <w:pPr>
              <w:pBdr>
                <w:top w:val="nil"/>
                <w:left w:val="nil"/>
                <w:bottom w:val="nil"/>
                <w:right w:val="nil"/>
                <w:between w:val="nil"/>
              </w:pBdr>
              <w:rPr>
                <w:b/>
              </w:rPr>
            </w:pPr>
            <w:r>
              <w:t>MPTF /JP Contribution:</w:t>
            </w:r>
            <w:r>
              <w:rPr>
                <w:b/>
              </w:rPr>
              <w:t xml:space="preserve"> $</w:t>
            </w:r>
            <w:r w:rsidR="0011200C">
              <w:rPr>
                <w:b/>
              </w:rPr>
              <w:t>952,282</w:t>
            </w:r>
          </w:p>
          <w:p w14:paraId="7789BF68" w14:textId="77777777" w:rsidR="00B12F87" w:rsidRDefault="00B12F87">
            <w:pPr>
              <w:pBdr>
                <w:top w:val="nil"/>
                <w:left w:val="nil"/>
                <w:bottom w:val="nil"/>
                <w:right w:val="nil"/>
                <w:between w:val="nil"/>
              </w:pBdr>
            </w:pPr>
          </w:p>
          <w:p w14:paraId="7A80E8CC" w14:textId="77777777" w:rsidR="00B12F87" w:rsidRDefault="00522EDD">
            <w:pPr>
              <w:pBdr>
                <w:top w:val="nil"/>
                <w:left w:val="nil"/>
                <w:bottom w:val="nil"/>
                <w:right w:val="nil"/>
                <w:between w:val="nil"/>
              </w:pBdr>
              <w:jc w:val="both"/>
            </w:pPr>
            <w:r>
              <w:t>Agency Contribution (core):</w:t>
            </w:r>
          </w:p>
          <w:p w14:paraId="3E6FC93A" w14:textId="77777777" w:rsidR="00B12F87" w:rsidRDefault="00522EDD">
            <w:pPr>
              <w:numPr>
                <w:ilvl w:val="0"/>
                <w:numId w:val="3"/>
              </w:numPr>
              <w:pBdr>
                <w:top w:val="nil"/>
                <w:left w:val="nil"/>
                <w:bottom w:val="nil"/>
                <w:right w:val="nil"/>
                <w:between w:val="nil"/>
              </w:pBdr>
              <w:jc w:val="both"/>
            </w:pPr>
            <w:r>
              <w:t>UNFPA: $</w:t>
            </w:r>
            <w:r>
              <w:rPr>
                <w:sz w:val="22"/>
                <w:szCs w:val="22"/>
              </w:rPr>
              <w:t xml:space="preserve"> 871,672</w:t>
            </w:r>
          </w:p>
          <w:p w14:paraId="61879E4B" w14:textId="56085B8C" w:rsidR="00B12F87" w:rsidRPr="00FD6F69" w:rsidRDefault="00522EDD">
            <w:pPr>
              <w:numPr>
                <w:ilvl w:val="0"/>
                <w:numId w:val="3"/>
              </w:numPr>
              <w:pBdr>
                <w:top w:val="nil"/>
                <w:left w:val="nil"/>
                <w:bottom w:val="nil"/>
                <w:right w:val="nil"/>
                <w:between w:val="nil"/>
              </w:pBdr>
              <w:jc w:val="both"/>
            </w:pPr>
            <w:r w:rsidRPr="00FD6F69">
              <w:t>UNICEF: $</w:t>
            </w:r>
            <w:r w:rsidR="001A5530" w:rsidRPr="00FD6F69">
              <w:t xml:space="preserve"> 229,</w:t>
            </w:r>
            <w:r w:rsidR="0028656B" w:rsidRPr="00FD6F69">
              <w:t>763</w:t>
            </w:r>
          </w:p>
          <w:p w14:paraId="2AD0967D" w14:textId="77777777" w:rsidR="00B12F87" w:rsidRPr="00FD6F69" w:rsidRDefault="00522EDD">
            <w:pPr>
              <w:numPr>
                <w:ilvl w:val="0"/>
                <w:numId w:val="3"/>
              </w:numPr>
              <w:pBdr>
                <w:top w:val="nil"/>
                <w:left w:val="nil"/>
                <w:bottom w:val="nil"/>
                <w:right w:val="nil"/>
                <w:between w:val="nil"/>
              </w:pBdr>
              <w:jc w:val="both"/>
            </w:pPr>
            <w:r w:rsidRPr="00FD6F69">
              <w:t>UNWOMEN: $43,716</w:t>
            </w:r>
          </w:p>
          <w:p w14:paraId="3B1423FD" w14:textId="5375ADB9" w:rsidR="0011200C" w:rsidRPr="00FD6F69" w:rsidRDefault="00522EDD" w:rsidP="0011200C">
            <w:pPr>
              <w:numPr>
                <w:ilvl w:val="0"/>
                <w:numId w:val="3"/>
              </w:numPr>
              <w:pBdr>
                <w:top w:val="nil"/>
                <w:left w:val="nil"/>
                <w:bottom w:val="nil"/>
                <w:right w:val="nil"/>
                <w:between w:val="nil"/>
              </w:pBdr>
              <w:jc w:val="both"/>
            </w:pPr>
            <w:r w:rsidRPr="00FD6F69">
              <w:t xml:space="preserve">WHO: </w:t>
            </w:r>
            <w:proofErr w:type="gramStart"/>
            <w:r w:rsidRPr="00FD6F69">
              <w:t>$</w:t>
            </w:r>
            <w:r w:rsidR="0011200C" w:rsidRPr="00FD6F69">
              <w:t>66,802</w:t>
            </w:r>
            <w:proofErr w:type="gramEnd"/>
          </w:p>
          <w:p w14:paraId="28883A15" w14:textId="0F3C3061" w:rsidR="00B12F87" w:rsidRPr="00FD6F69" w:rsidRDefault="00522EDD" w:rsidP="0011200C">
            <w:pPr>
              <w:numPr>
                <w:ilvl w:val="0"/>
                <w:numId w:val="3"/>
              </w:numPr>
              <w:pBdr>
                <w:top w:val="nil"/>
                <w:left w:val="nil"/>
                <w:bottom w:val="nil"/>
                <w:right w:val="nil"/>
                <w:between w:val="nil"/>
              </w:pBdr>
              <w:jc w:val="both"/>
            </w:pPr>
            <w:r w:rsidRPr="00FD6F69">
              <w:t xml:space="preserve">TOTAL: </w:t>
            </w:r>
            <w:r w:rsidRPr="00FD6F69">
              <w:rPr>
                <w:b/>
              </w:rPr>
              <w:t>$ 1,2</w:t>
            </w:r>
            <w:r w:rsidR="002E5B03" w:rsidRPr="00FD6F69">
              <w:rPr>
                <w:b/>
              </w:rPr>
              <w:t>11,953</w:t>
            </w:r>
          </w:p>
          <w:p w14:paraId="0D2911C5" w14:textId="77777777" w:rsidR="00B12F87" w:rsidRDefault="00B12F87">
            <w:pPr>
              <w:pBdr>
                <w:top w:val="nil"/>
                <w:left w:val="nil"/>
                <w:bottom w:val="nil"/>
                <w:right w:val="nil"/>
                <w:between w:val="nil"/>
              </w:pBdr>
            </w:pPr>
          </w:p>
        </w:tc>
        <w:tc>
          <w:tcPr>
            <w:tcW w:w="236" w:type="dxa"/>
            <w:tcBorders>
              <w:top w:val="nil"/>
              <w:left w:val="single" w:sz="4" w:space="0" w:color="000000"/>
              <w:bottom w:val="nil"/>
              <w:right w:val="single" w:sz="4" w:space="0" w:color="000000"/>
            </w:tcBorders>
            <w:shd w:val="clear" w:color="auto" w:fill="auto"/>
            <w:vAlign w:val="center"/>
          </w:tcPr>
          <w:p w14:paraId="7B9B79BF" w14:textId="77777777" w:rsidR="00B12F87" w:rsidRDefault="00B12F87">
            <w:pPr>
              <w:pBdr>
                <w:top w:val="nil"/>
                <w:left w:val="nil"/>
                <w:bottom w:val="nil"/>
                <w:right w:val="nil"/>
                <w:between w:val="nil"/>
              </w:pBdr>
              <w:spacing w:before="60" w:after="60"/>
              <w:jc w:val="center"/>
              <w:rPr>
                <w:b/>
              </w:rPr>
            </w:pPr>
          </w:p>
        </w:tc>
        <w:tc>
          <w:tcPr>
            <w:tcW w:w="5272" w:type="dxa"/>
            <w:gridSpan w:val="2"/>
            <w:tcBorders>
              <w:top w:val="single" w:sz="4" w:space="0" w:color="000000"/>
              <w:left w:val="single" w:sz="4" w:space="0" w:color="000000"/>
              <w:bottom w:val="nil"/>
              <w:right w:val="single" w:sz="4" w:space="0" w:color="000000"/>
            </w:tcBorders>
            <w:shd w:val="clear" w:color="auto" w:fill="F2F2F2"/>
            <w:vAlign w:val="center"/>
          </w:tcPr>
          <w:p w14:paraId="169A83A8" w14:textId="77777777" w:rsidR="00B12F87" w:rsidRDefault="00522EDD">
            <w:pPr>
              <w:pBdr>
                <w:top w:val="nil"/>
                <w:left w:val="nil"/>
                <w:bottom w:val="nil"/>
                <w:right w:val="nil"/>
                <w:between w:val="nil"/>
              </w:pBdr>
              <w:spacing w:before="60" w:after="60"/>
              <w:rPr>
                <w:b/>
              </w:rPr>
            </w:pPr>
            <w:proofErr w:type="spellStart"/>
            <w:r>
              <w:rPr>
                <w:b/>
              </w:rPr>
              <w:t>Programme</w:t>
            </w:r>
            <w:proofErr w:type="spellEnd"/>
            <w:r>
              <w:rPr>
                <w:b/>
              </w:rPr>
              <w:t xml:space="preserve"> Duration</w:t>
            </w:r>
          </w:p>
        </w:tc>
      </w:tr>
      <w:tr w:rsidR="00B12F87" w14:paraId="202DDB11" w14:textId="77777777">
        <w:trPr>
          <w:cantSplit/>
          <w:trHeight w:val="855"/>
        </w:trPr>
        <w:tc>
          <w:tcPr>
            <w:tcW w:w="5328" w:type="dxa"/>
            <w:vMerge/>
            <w:tcBorders>
              <w:top w:val="single" w:sz="4" w:space="0" w:color="000000"/>
              <w:left w:val="single" w:sz="4" w:space="0" w:color="000000"/>
              <w:right w:val="single" w:sz="4" w:space="0" w:color="000000"/>
            </w:tcBorders>
            <w:shd w:val="clear" w:color="auto" w:fill="F2F2F2"/>
            <w:vAlign w:val="center"/>
          </w:tcPr>
          <w:p w14:paraId="2A691704" w14:textId="77777777" w:rsidR="00B12F87" w:rsidRDefault="00B12F87">
            <w:pPr>
              <w:widowControl w:val="0"/>
              <w:pBdr>
                <w:top w:val="nil"/>
                <w:left w:val="nil"/>
                <w:bottom w:val="nil"/>
                <w:right w:val="nil"/>
                <w:between w:val="nil"/>
              </w:pBdr>
              <w:spacing w:line="276" w:lineRule="auto"/>
              <w:rPr>
                <w:b/>
              </w:rPr>
            </w:pPr>
          </w:p>
        </w:tc>
        <w:tc>
          <w:tcPr>
            <w:tcW w:w="236" w:type="dxa"/>
            <w:tcBorders>
              <w:top w:val="nil"/>
              <w:left w:val="single" w:sz="4" w:space="0" w:color="000000"/>
              <w:bottom w:val="nil"/>
              <w:right w:val="single" w:sz="4" w:space="0" w:color="000000"/>
            </w:tcBorders>
            <w:vAlign w:val="center"/>
          </w:tcPr>
          <w:p w14:paraId="1CA4B69E" w14:textId="77777777" w:rsidR="00B12F87" w:rsidRDefault="00B12F87">
            <w:pPr>
              <w:pBdr>
                <w:top w:val="nil"/>
                <w:left w:val="nil"/>
                <w:bottom w:val="nil"/>
                <w:right w:val="nil"/>
                <w:between w:val="nil"/>
              </w:pBdr>
            </w:pPr>
          </w:p>
        </w:tc>
        <w:tc>
          <w:tcPr>
            <w:tcW w:w="3288" w:type="dxa"/>
            <w:tcBorders>
              <w:top w:val="nil"/>
              <w:left w:val="single" w:sz="4" w:space="0" w:color="000000"/>
              <w:bottom w:val="nil"/>
              <w:right w:val="nil"/>
            </w:tcBorders>
            <w:vAlign w:val="center"/>
          </w:tcPr>
          <w:p w14:paraId="75FE8DC8" w14:textId="77777777" w:rsidR="00B12F87" w:rsidRDefault="00522EDD">
            <w:pPr>
              <w:pBdr>
                <w:top w:val="nil"/>
                <w:left w:val="nil"/>
                <w:bottom w:val="nil"/>
                <w:right w:val="nil"/>
                <w:between w:val="nil"/>
              </w:pBdr>
            </w:pPr>
            <w:r>
              <w:t xml:space="preserve">Overall Duration </w:t>
            </w:r>
            <w:r>
              <w:rPr>
                <w:i/>
              </w:rPr>
              <w:t>(60months)</w:t>
            </w:r>
          </w:p>
        </w:tc>
        <w:tc>
          <w:tcPr>
            <w:tcW w:w="1984" w:type="dxa"/>
            <w:tcBorders>
              <w:top w:val="nil"/>
              <w:left w:val="nil"/>
              <w:bottom w:val="nil"/>
              <w:right w:val="single" w:sz="4" w:space="0" w:color="000000"/>
            </w:tcBorders>
            <w:vAlign w:val="center"/>
          </w:tcPr>
          <w:p w14:paraId="41922F50" w14:textId="77777777" w:rsidR="00B12F87" w:rsidRDefault="00B12F87">
            <w:pPr>
              <w:widowControl w:val="0"/>
              <w:pBdr>
                <w:top w:val="nil"/>
                <w:left w:val="nil"/>
                <w:bottom w:val="nil"/>
                <w:right w:val="nil"/>
                <w:between w:val="nil"/>
              </w:pBdr>
            </w:pPr>
          </w:p>
        </w:tc>
      </w:tr>
      <w:tr w:rsidR="00B12F87" w14:paraId="028D6464" w14:textId="77777777">
        <w:trPr>
          <w:cantSplit/>
          <w:trHeight w:val="66"/>
        </w:trPr>
        <w:tc>
          <w:tcPr>
            <w:tcW w:w="5328" w:type="dxa"/>
            <w:vMerge/>
            <w:tcBorders>
              <w:top w:val="single" w:sz="4" w:space="0" w:color="000000"/>
              <w:left w:val="single" w:sz="4" w:space="0" w:color="000000"/>
              <w:right w:val="single" w:sz="4" w:space="0" w:color="000000"/>
            </w:tcBorders>
            <w:shd w:val="clear" w:color="auto" w:fill="F2F2F2"/>
            <w:vAlign w:val="center"/>
          </w:tcPr>
          <w:p w14:paraId="1A39EE33" w14:textId="77777777" w:rsidR="00B12F87" w:rsidRDefault="00B12F87">
            <w:pPr>
              <w:widowControl w:val="0"/>
              <w:pBdr>
                <w:top w:val="nil"/>
                <w:left w:val="nil"/>
                <w:bottom w:val="nil"/>
                <w:right w:val="nil"/>
                <w:between w:val="nil"/>
              </w:pBdr>
              <w:spacing w:line="276" w:lineRule="auto"/>
            </w:pPr>
          </w:p>
        </w:tc>
        <w:tc>
          <w:tcPr>
            <w:tcW w:w="236" w:type="dxa"/>
            <w:tcBorders>
              <w:top w:val="nil"/>
              <w:left w:val="single" w:sz="4" w:space="0" w:color="000000"/>
              <w:bottom w:val="nil"/>
              <w:right w:val="single" w:sz="4" w:space="0" w:color="000000"/>
            </w:tcBorders>
            <w:vAlign w:val="center"/>
          </w:tcPr>
          <w:p w14:paraId="3B73D7E5" w14:textId="77777777" w:rsidR="00B12F87" w:rsidRDefault="00B12F87">
            <w:pPr>
              <w:pBdr>
                <w:top w:val="nil"/>
                <w:left w:val="nil"/>
                <w:bottom w:val="nil"/>
                <w:right w:val="nil"/>
                <w:between w:val="nil"/>
              </w:pBdr>
            </w:pPr>
          </w:p>
        </w:tc>
        <w:tc>
          <w:tcPr>
            <w:tcW w:w="3288" w:type="dxa"/>
            <w:tcBorders>
              <w:top w:val="nil"/>
              <w:left w:val="single" w:sz="4" w:space="0" w:color="000000"/>
              <w:bottom w:val="nil"/>
              <w:right w:val="nil"/>
            </w:tcBorders>
            <w:vAlign w:val="center"/>
          </w:tcPr>
          <w:p w14:paraId="662E3CF6" w14:textId="77777777" w:rsidR="00B12F87" w:rsidRDefault="00522EDD">
            <w:pPr>
              <w:pBdr>
                <w:top w:val="nil"/>
                <w:left w:val="nil"/>
                <w:bottom w:val="nil"/>
                <w:right w:val="nil"/>
                <w:between w:val="nil"/>
              </w:pBdr>
            </w:pPr>
            <w:r>
              <w:t>Start Date: 11.02.2020</w:t>
            </w:r>
          </w:p>
        </w:tc>
        <w:tc>
          <w:tcPr>
            <w:tcW w:w="1984" w:type="dxa"/>
            <w:tcBorders>
              <w:top w:val="nil"/>
              <w:left w:val="nil"/>
              <w:bottom w:val="nil"/>
              <w:right w:val="single" w:sz="4" w:space="0" w:color="000000"/>
            </w:tcBorders>
            <w:vAlign w:val="center"/>
          </w:tcPr>
          <w:p w14:paraId="16E5A23B" w14:textId="77777777" w:rsidR="00B12F87" w:rsidRDefault="00B12F87">
            <w:pPr>
              <w:pBdr>
                <w:top w:val="nil"/>
                <w:left w:val="nil"/>
                <w:bottom w:val="nil"/>
                <w:right w:val="nil"/>
                <w:between w:val="nil"/>
              </w:pBdr>
            </w:pPr>
          </w:p>
        </w:tc>
      </w:tr>
      <w:tr w:rsidR="00B12F87" w14:paraId="0597D794" w14:textId="77777777">
        <w:trPr>
          <w:cantSplit/>
          <w:trHeight w:val="66"/>
        </w:trPr>
        <w:tc>
          <w:tcPr>
            <w:tcW w:w="5328" w:type="dxa"/>
            <w:vMerge/>
            <w:tcBorders>
              <w:top w:val="single" w:sz="4" w:space="0" w:color="000000"/>
              <w:left w:val="single" w:sz="4" w:space="0" w:color="000000"/>
              <w:right w:val="single" w:sz="4" w:space="0" w:color="000000"/>
            </w:tcBorders>
            <w:shd w:val="clear" w:color="auto" w:fill="F2F2F2"/>
            <w:vAlign w:val="center"/>
          </w:tcPr>
          <w:p w14:paraId="0550F13A" w14:textId="77777777" w:rsidR="00B12F87" w:rsidRDefault="00B12F87">
            <w:pPr>
              <w:widowControl w:val="0"/>
              <w:pBdr>
                <w:top w:val="nil"/>
                <w:left w:val="nil"/>
                <w:bottom w:val="nil"/>
                <w:right w:val="nil"/>
                <w:between w:val="nil"/>
              </w:pBdr>
              <w:spacing w:line="276" w:lineRule="auto"/>
            </w:pPr>
          </w:p>
        </w:tc>
        <w:tc>
          <w:tcPr>
            <w:tcW w:w="236" w:type="dxa"/>
            <w:tcBorders>
              <w:top w:val="nil"/>
              <w:left w:val="single" w:sz="4" w:space="0" w:color="000000"/>
              <w:bottom w:val="nil"/>
              <w:right w:val="single" w:sz="4" w:space="0" w:color="000000"/>
            </w:tcBorders>
            <w:vAlign w:val="center"/>
          </w:tcPr>
          <w:p w14:paraId="0D42E796" w14:textId="77777777" w:rsidR="00B12F87" w:rsidRDefault="00B12F87">
            <w:pPr>
              <w:pBdr>
                <w:top w:val="nil"/>
                <w:left w:val="nil"/>
                <w:bottom w:val="nil"/>
                <w:right w:val="nil"/>
                <w:between w:val="nil"/>
              </w:pBdr>
            </w:pPr>
          </w:p>
        </w:tc>
        <w:tc>
          <w:tcPr>
            <w:tcW w:w="3288" w:type="dxa"/>
            <w:tcBorders>
              <w:top w:val="nil"/>
              <w:left w:val="single" w:sz="4" w:space="0" w:color="000000"/>
              <w:bottom w:val="nil"/>
              <w:right w:val="nil"/>
            </w:tcBorders>
            <w:vAlign w:val="center"/>
          </w:tcPr>
          <w:p w14:paraId="5ABB21B9" w14:textId="77777777" w:rsidR="00B12F87" w:rsidRDefault="00522EDD">
            <w:pPr>
              <w:pBdr>
                <w:top w:val="nil"/>
                <w:left w:val="nil"/>
                <w:bottom w:val="nil"/>
                <w:right w:val="nil"/>
                <w:between w:val="nil"/>
              </w:pBdr>
            </w:pPr>
            <w:r>
              <w:t>Current End date: 30.06.2023</w:t>
            </w:r>
          </w:p>
        </w:tc>
        <w:tc>
          <w:tcPr>
            <w:tcW w:w="1984" w:type="dxa"/>
            <w:tcBorders>
              <w:top w:val="nil"/>
              <w:left w:val="nil"/>
              <w:bottom w:val="nil"/>
              <w:right w:val="single" w:sz="4" w:space="0" w:color="000000"/>
            </w:tcBorders>
            <w:vAlign w:val="center"/>
          </w:tcPr>
          <w:p w14:paraId="5809A8A6" w14:textId="77777777" w:rsidR="00B12F87" w:rsidRDefault="00B12F87">
            <w:pPr>
              <w:pBdr>
                <w:top w:val="nil"/>
                <w:left w:val="nil"/>
                <w:bottom w:val="nil"/>
                <w:right w:val="nil"/>
                <w:between w:val="nil"/>
              </w:pBdr>
            </w:pPr>
          </w:p>
        </w:tc>
      </w:tr>
      <w:tr w:rsidR="00B12F87" w14:paraId="39D29C94" w14:textId="77777777">
        <w:trPr>
          <w:cantSplit/>
          <w:trHeight w:val="350"/>
        </w:trPr>
        <w:tc>
          <w:tcPr>
            <w:tcW w:w="5328" w:type="dxa"/>
            <w:vMerge/>
            <w:tcBorders>
              <w:top w:val="single" w:sz="4" w:space="0" w:color="000000"/>
              <w:left w:val="single" w:sz="4" w:space="0" w:color="000000"/>
              <w:right w:val="single" w:sz="4" w:space="0" w:color="000000"/>
            </w:tcBorders>
            <w:shd w:val="clear" w:color="auto" w:fill="F2F2F2"/>
            <w:vAlign w:val="center"/>
          </w:tcPr>
          <w:p w14:paraId="2D35F221" w14:textId="77777777" w:rsidR="00B12F87" w:rsidRDefault="00B12F87">
            <w:pPr>
              <w:widowControl w:val="0"/>
              <w:pBdr>
                <w:top w:val="nil"/>
                <w:left w:val="nil"/>
                <w:bottom w:val="nil"/>
                <w:right w:val="nil"/>
                <w:between w:val="nil"/>
              </w:pBdr>
              <w:spacing w:line="276" w:lineRule="auto"/>
            </w:pPr>
          </w:p>
        </w:tc>
        <w:tc>
          <w:tcPr>
            <w:tcW w:w="236" w:type="dxa"/>
            <w:tcBorders>
              <w:top w:val="nil"/>
              <w:left w:val="single" w:sz="4" w:space="0" w:color="000000"/>
              <w:bottom w:val="nil"/>
              <w:right w:val="single" w:sz="4" w:space="0" w:color="000000"/>
            </w:tcBorders>
            <w:vAlign w:val="center"/>
          </w:tcPr>
          <w:p w14:paraId="099699A8" w14:textId="77777777" w:rsidR="00B12F87" w:rsidRDefault="00B12F87">
            <w:pPr>
              <w:pBdr>
                <w:top w:val="nil"/>
                <w:left w:val="nil"/>
                <w:bottom w:val="nil"/>
                <w:right w:val="nil"/>
                <w:between w:val="nil"/>
              </w:pBdr>
            </w:pPr>
          </w:p>
        </w:tc>
        <w:tc>
          <w:tcPr>
            <w:tcW w:w="3288" w:type="dxa"/>
            <w:tcBorders>
              <w:top w:val="nil"/>
              <w:left w:val="single" w:sz="4" w:space="0" w:color="000000"/>
              <w:bottom w:val="single" w:sz="4" w:space="0" w:color="000000"/>
              <w:right w:val="nil"/>
            </w:tcBorders>
            <w:vAlign w:val="center"/>
          </w:tcPr>
          <w:p w14:paraId="71918850" w14:textId="77777777" w:rsidR="00B12F87" w:rsidRDefault="00B12F87">
            <w:pPr>
              <w:pBdr>
                <w:top w:val="nil"/>
                <w:left w:val="nil"/>
                <w:bottom w:val="nil"/>
                <w:right w:val="nil"/>
                <w:between w:val="nil"/>
              </w:pBdr>
            </w:pPr>
          </w:p>
        </w:tc>
        <w:tc>
          <w:tcPr>
            <w:tcW w:w="1984" w:type="dxa"/>
            <w:tcBorders>
              <w:top w:val="nil"/>
              <w:left w:val="nil"/>
              <w:bottom w:val="single" w:sz="4" w:space="0" w:color="000000"/>
              <w:right w:val="single" w:sz="4" w:space="0" w:color="000000"/>
            </w:tcBorders>
            <w:vAlign w:val="center"/>
          </w:tcPr>
          <w:p w14:paraId="77274D6F" w14:textId="77777777" w:rsidR="00B12F87" w:rsidRDefault="00B12F87">
            <w:pPr>
              <w:pBdr>
                <w:top w:val="nil"/>
                <w:left w:val="nil"/>
                <w:bottom w:val="nil"/>
                <w:right w:val="nil"/>
                <w:between w:val="nil"/>
              </w:pBdr>
            </w:pPr>
          </w:p>
        </w:tc>
      </w:tr>
      <w:tr w:rsidR="00B12F87" w14:paraId="4E50B05B" w14:textId="77777777">
        <w:trPr>
          <w:cantSplit/>
          <w:trHeight w:val="206"/>
        </w:trPr>
        <w:tc>
          <w:tcPr>
            <w:tcW w:w="5328" w:type="dxa"/>
            <w:tcBorders>
              <w:top w:val="single" w:sz="4" w:space="0" w:color="000000"/>
              <w:left w:val="single" w:sz="4" w:space="0" w:color="000000"/>
              <w:right w:val="single" w:sz="4" w:space="0" w:color="000000"/>
            </w:tcBorders>
            <w:shd w:val="clear" w:color="auto" w:fill="F3F3F3"/>
          </w:tcPr>
          <w:p w14:paraId="5FCD99FA" w14:textId="77777777" w:rsidR="00B12F87" w:rsidRDefault="00522EDD">
            <w:pPr>
              <w:pBdr>
                <w:top w:val="nil"/>
                <w:left w:val="nil"/>
                <w:bottom w:val="nil"/>
                <w:right w:val="nil"/>
                <w:between w:val="nil"/>
              </w:pBdr>
              <w:spacing w:before="60" w:after="60"/>
              <w:ind w:right="-120" w:hanging="70"/>
              <w:rPr>
                <w:b/>
              </w:rPr>
            </w:pPr>
            <w:proofErr w:type="spellStart"/>
            <w:r>
              <w:rPr>
                <w:b/>
              </w:rPr>
              <w:t>Programme</w:t>
            </w:r>
            <w:proofErr w:type="spellEnd"/>
            <w:r>
              <w:rPr>
                <w:b/>
              </w:rPr>
              <w:t xml:space="preserve"> Assessment/Review/Mid-Term Eval.</w:t>
            </w:r>
          </w:p>
        </w:tc>
        <w:tc>
          <w:tcPr>
            <w:tcW w:w="236" w:type="dxa"/>
            <w:vMerge w:val="restart"/>
            <w:tcBorders>
              <w:left w:val="single" w:sz="4" w:space="0" w:color="000000"/>
              <w:right w:val="single" w:sz="4" w:space="0" w:color="000000"/>
            </w:tcBorders>
            <w:shd w:val="clear" w:color="auto" w:fill="auto"/>
          </w:tcPr>
          <w:p w14:paraId="6D98FF35" w14:textId="77777777" w:rsidR="00B12F87" w:rsidRDefault="00B12F87"/>
        </w:tc>
        <w:tc>
          <w:tcPr>
            <w:tcW w:w="5272" w:type="dxa"/>
            <w:gridSpan w:val="2"/>
            <w:tcBorders>
              <w:top w:val="single" w:sz="4" w:space="0" w:color="000000"/>
              <w:left w:val="single" w:sz="4" w:space="0" w:color="000000"/>
              <w:right w:val="single" w:sz="4" w:space="0" w:color="000000"/>
            </w:tcBorders>
            <w:shd w:val="clear" w:color="auto" w:fill="F3F3F3"/>
          </w:tcPr>
          <w:p w14:paraId="218389F8" w14:textId="77777777" w:rsidR="00B12F87" w:rsidRDefault="00522EDD">
            <w:pPr>
              <w:pBdr>
                <w:top w:val="nil"/>
                <w:left w:val="nil"/>
                <w:bottom w:val="nil"/>
                <w:right w:val="nil"/>
                <w:between w:val="nil"/>
              </w:pBdr>
              <w:spacing w:before="60" w:after="60"/>
              <w:rPr>
                <w:b/>
              </w:rPr>
            </w:pPr>
            <w:r>
              <w:rPr>
                <w:b/>
              </w:rPr>
              <w:t>Report Submitted By</w:t>
            </w:r>
          </w:p>
        </w:tc>
      </w:tr>
      <w:tr w:rsidR="00B12F87" w14:paraId="179E8801" w14:textId="77777777">
        <w:trPr>
          <w:cantSplit/>
          <w:trHeight w:val="285"/>
        </w:trPr>
        <w:tc>
          <w:tcPr>
            <w:tcW w:w="5328" w:type="dxa"/>
            <w:tcBorders>
              <w:left w:val="single" w:sz="4" w:space="0" w:color="000000"/>
              <w:bottom w:val="single" w:sz="4" w:space="0" w:color="000000"/>
              <w:right w:val="single" w:sz="4" w:space="0" w:color="000000"/>
            </w:tcBorders>
          </w:tcPr>
          <w:p w14:paraId="088A74EB" w14:textId="77777777" w:rsidR="00B12F87" w:rsidRDefault="00522EDD">
            <w:pPr>
              <w:pBdr>
                <w:top w:val="nil"/>
                <w:left w:val="nil"/>
                <w:bottom w:val="nil"/>
                <w:right w:val="nil"/>
                <w:between w:val="nil"/>
              </w:pBdr>
            </w:pPr>
            <w:r>
              <w:lastRenderedPageBreak/>
              <w:t xml:space="preserve">Assessment/Review  </w:t>
            </w:r>
          </w:p>
          <w:p w14:paraId="42B41764" w14:textId="77777777" w:rsidR="00B12F87" w:rsidRDefault="00522EDD">
            <w:pPr>
              <w:pBdr>
                <w:top w:val="nil"/>
                <w:left w:val="nil"/>
                <w:bottom w:val="nil"/>
                <w:right w:val="nil"/>
                <w:between w:val="nil"/>
              </w:pBdr>
            </w:pPr>
            <w:r>
              <w:t xml:space="preserve">     Yes          No    </w:t>
            </w:r>
            <w:r>
              <w:rPr>
                <w:noProof/>
              </w:rPr>
              <mc:AlternateContent>
                <mc:Choice Requires="wps">
                  <w:drawing>
                    <wp:anchor distT="0" distB="0" distL="114300" distR="114300" simplePos="0" relativeHeight="251658240" behindDoc="0" locked="0" layoutInCell="1" hidden="0" allowOverlap="1" wp14:anchorId="2E11F8EF" wp14:editId="0287C1EB">
                      <wp:simplePos x="0" y="0"/>
                      <wp:positionH relativeFrom="column">
                        <wp:posOffset>495300</wp:posOffset>
                      </wp:positionH>
                      <wp:positionV relativeFrom="paragraph">
                        <wp:posOffset>12700</wp:posOffset>
                      </wp:positionV>
                      <wp:extent cx="138430" cy="138430"/>
                      <wp:effectExtent l="0" t="0" r="0" b="0"/>
                      <wp:wrapNone/>
                      <wp:docPr id="3" name="Rectangle 3"/>
                      <wp:cNvGraphicFramePr/>
                      <a:graphic xmlns:a="http://schemas.openxmlformats.org/drawingml/2006/main">
                        <a:graphicData uri="http://schemas.microsoft.com/office/word/2010/wordprocessingShape">
                          <wps:wsp>
                            <wps:cNvSpPr/>
                            <wps:spPr>
                              <a:xfrm>
                                <a:off x="5281548" y="3715548"/>
                                <a:ext cx="128905" cy="12890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3A3C54FE" w14:textId="77777777" w:rsidR="00B12F87" w:rsidRDefault="00B12F87">
                                  <w:pPr>
                                    <w:ind w:hanging="2"/>
                                    <w:textDirection w:val="btLr"/>
                                  </w:pPr>
                                </w:p>
                                <w:p w14:paraId="37957023" w14:textId="77777777" w:rsidR="00B12F87" w:rsidRDefault="00B12F87">
                                  <w:pPr>
                                    <w:textDirection w:val="btLr"/>
                                  </w:pPr>
                                </w:p>
                              </w:txbxContent>
                            </wps:txbx>
                            <wps:bodyPr spcFirstLastPara="1" wrap="square" lIns="91425" tIns="91425" rIns="91425" bIns="91425" anchor="ctr" anchorCtr="0">
                              <a:noAutofit/>
                            </wps:bodyPr>
                          </wps:wsp>
                        </a:graphicData>
                      </a:graphic>
                    </wp:anchor>
                  </w:drawing>
                </mc:Choice>
                <mc:Fallback>
                  <w:pict>
                    <v:rect w14:anchorId="2E11F8EF" id="Rectangle 3" o:spid="_x0000_s1026" style="position:absolute;margin-left:39pt;margin-top:1pt;width:10.9pt;height:10.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" fillcolor="black">
                      <v:stroke startarrowwidth="narrow" startarrowlength="short" endarrowwidth="narrow" endarrowlength="short"/>
                      <v:textbox inset="2.53958mm,2.53958mm,2.53958mm,2.53958mm">
                        <w:txbxContent>
                          <w:p w14:paraId="3A3C54FE" w14:textId="77777777" w:rsidR="00B12F87" w:rsidRDefault="00B12F87">
                            <w:pPr>
                              <w:ind w:hanging="2"/>
                              <w:textDirection w:val="btLr"/>
                            </w:pPr>
                          </w:p>
                          <w:p w14:paraId="37957023" w14:textId="77777777" w:rsidR="00B12F87" w:rsidRDefault="00B12F87">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D2706B9" wp14:editId="4D39C372">
                      <wp:simplePos x="0" y="0"/>
                      <wp:positionH relativeFrom="column">
                        <wp:posOffset>-12699</wp:posOffset>
                      </wp:positionH>
                      <wp:positionV relativeFrom="paragraph">
                        <wp:posOffset>0</wp:posOffset>
                      </wp:positionV>
                      <wp:extent cx="100330" cy="100330"/>
                      <wp:effectExtent l="0" t="0" r="0" b="0"/>
                      <wp:wrapNone/>
                      <wp:docPr id="2" name="Rectangle 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8395B1" w14:textId="77777777" w:rsidR="00B12F87" w:rsidRDefault="00B12F87">
                                  <w:pPr>
                                    <w:textDirection w:val="btLr"/>
                                  </w:pPr>
                                </w:p>
                              </w:txbxContent>
                            </wps:txbx>
                            <wps:bodyPr spcFirstLastPara="1" wrap="square" lIns="91425" tIns="91425" rIns="91425" bIns="91425" anchor="ctr" anchorCtr="0">
                              <a:noAutofit/>
                            </wps:bodyPr>
                          </wps:wsp>
                        </a:graphicData>
                      </a:graphic>
                    </wp:anchor>
                  </w:drawing>
                </mc:Choice>
                <mc:Fallback>
                  <w:pict>
                    <v:rect w14:anchorId="2D2706B9" id="Rectangle 2" o:spid="_x0000_s1027" style="position:absolute;margin-left:-1pt;margin-top:0;width:7.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">
                      <v:stroke startarrowwidth="narrow" startarrowlength="short" endarrowwidth="narrow" endarrowlength="short"/>
                      <v:textbox inset="2.53958mm,2.53958mm,2.53958mm,2.53958mm">
                        <w:txbxContent>
                          <w:p w14:paraId="268395B1" w14:textId="77777777" w:rsidR="00B12F87" w:rsidRDefault="00B12F87">
                            <w:pPr>
                              <w:textDirection w:val="btLr"/>
                            </w:pPr>
                          </w:p>
                        </w:txbxContent>
                      </v:textbox>
                    </v:rect>
                  </w:pict>
                </mc:Fallback>
              </mc:AlternateContent>
            </w:r>
          </w:p>
          <w:p w14:paraId="11F21DC4" w14:textId="77777777" w:rsidR="00B12F87" w:rsidRDefault="00522EDD">
            <w:pPr>
              <w:pBdr>
                <w:top w:val="nil"/>
                <w:left w:val="nil"/>
                <w:bottom w:val="nil"/>
                <w:right w:val="nil"/>
                <w:between w:val="nil"/>
              </w:pBdr>
            </w:pPr>
            <w:r>
              <w:t xml:space="preserve">Mid-Term Evaluation Report </w:t>
            </w:r>
          </w:p>
          <w:p w14:paraId="106C91CB" w14:textId="77777777" w:rsidR="00B12F87" w:rsidRDefault="00522EDD">
            <w:pPr>
              <w:pBdr>
                <w:top w:val="nil"/>
                <w:left w:val="nil"/>
                <w:bottom w:val="nil"/>
                <w:right w:val="nil"/>
                <w:between w:val="nil"/>
              </w:pBdr>
            </w:pPr>
            <w:r>
              <w:t xml:space="preserve">      Yes         No    </w:t>
            </w:r>
            <w:r>
              <w:rPr>
                <w:noProof/>
              </w:rPr>
              <mc:AlternateContent>
                <mc:Choice Requires="wps">
                  <w:drawing>
                    <wp:anchor distT="0" distB="0" distL="114300" distR="114300" simplePos="0" relativeHeight="251660288" behindDoc="0" locked="0" layoutInCell="1" hidden="0" allowOverlap="1" wp14:anchorId="3C0BCDE5" wp14:editId="2BE6B018">
                      <wp:simplePos x="0" y="0"/>
                      <wp:positionH relativeFrom="column">
                        <wp:posOffset>495300</wp:posOffset>
                      </wp:positionH>
                      <wp:positionV relativeFrom="paragraph">
                        <wp:posOffset>12700</wp:posOffset>
                      </wp:positionV>
                      <wp:extent cx="138430" cy="138430"/>
                      <wp:effectExtent l="0" t="0" r="0" b="0"/>
                      <wp:wrapNone/>
                      <wp:docPr id="5" name="Rectangle 5"/>
                      <wp:cNvGraphicFramePr/>
                      <a:graphic xmlns:a="http://schemas.openxmlformats.org/drawingml/2006/main">
                        <a:graphicData uri="http://schemas.microsoft.com/office/word/2010/wordprocessingShape">
                          <wps:wsp>
                            <wps:cNvSpPr/>
                            <wps:spPr>
                              <a:xfrm>
                                <a:off x="5281548" y="3715548"/>
                                <a:ext cx="128905" cy="12890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DB79656" w14:textId="77777777" w:rsidR="00B12F87" w:rsidRDefault="00B12F87">
                                  <w:pPr>
                                    <w:ind w:hanging="2"/>
                                    <w:textDirection w:val="btLr"/>
                                  </w:pPr>
                                </w:p>
                                <w:p w14:paraId="670F4053" w14:textId="77777777" w:rsidR="00B12F87" w:rsidRDefault="00B12F87">
                                  <w:pPr>
                                    <w:textDirection w:val="btLr"/>
                                  </w:pPr>
                                </w:p>
                              </w:txbxContent>
                            </wps:txbx>
                            <wps:bodyPr spcFirstLastPara="1" wrap="square" lIns="91425" tIns="91425" rIns="91425" bIns="91425" anchor="ctr" anchorCtr="0">
                              <a:noAutofit/>
                            </wps:bodyPr>
                          </wps:wsp>
                        </a:graphicData>
                      </a:graphic>
                    </wp:anchor>
                  </w:drawing>
                </mc:Choice>
                <mc:Fallback>
                  <w:pict>
                    <v:rect w14:anchorId="3C0BCDE5" id="Rectangle 5" o:spid="_x0000_s1028" style="position:absolute;margin-left:39pt;margin-top:1pt;width:10.9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" fillcolor="black">
                      <v:stroke startarrowwidth="narrow" startarrowlength="short" endarrowwidth="narrow" endarrowlength="short"/>
                      <v:textbox inset="2.53958mm,2.53958mm,2.53958mm,2.53958mm">
                        <w:txbxContent>
                          <w:p w14:paraId="5DB79656" w14:textId="77777777" w:rsidR="00B12F87" w:rsidRDefault="00B12F87">
                            <w:pPr>
                              <w:ind w:hanging="2"/>
                              <w:textDirection w:val="btLr"/>
                            </w:pPr>
                          </w:p>
                          <w:p w14:paraId="670F4053" w14:textId="77777777" w:rsidR="00B12F87" w:rsidRDefault="00B12F87">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BFE63C2" wp14:editId="7945D78C">
                      <wp:simplePos x="0" y="0"/>
                      <wp:positionH relativeFrom="column">
                        <wp:posOffset>-12699</wp:posOffset>
                      </wp:positionH>
                      <wp:positionV relativeFrom="paragraph">
                        <wp:posOffset>12700</wp:posOffset>
                      </wp:positionV>
                      <wp:extent cx="100330" cy="100330"/>
                      <wp:effectExtent l="0" t="0" r="0" b="0"/>
                      <wp:wrapNone/>
                      <wp:docPr id="4" name="Rectangle 4"/>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5465B6" w14:textId="77777777" w:rsidR="00B12F87" w:rsidRDefault="00B12F87">
                                  <w:pPr>
                                    <w:textDirection w:val="btLr"/>
                                  </w:pPr>
                                </w:p>
                              </w:txbxContent>
                            </wps:txbx>
                            <wps:bodyPr spcFirstLastPara="1" wrap="square" lIns="91425" tIns="91425" rIns="91425" bIns="91425" anchor="ctr" anchorCtr="0">
                              <a:noAutofit/>
                            </wps:bodyPr>
                          </wps:wsp>
                        </a:graphicData>
                      </a:graphic>
                    </wp:anchor>
                  </w:drawing>
                </mc:Choice>
                <mc:Fallback>
                  <w:pict>
                    <v:rect w14:anchorId="4BFE63C2" id="Rectangle 4" o:spid="_x0000_s1029" style="position:absolute;margin-left:-1pt;margin-top:1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">
                      <v:stroke startarrowwidth="narrow" startarrowlength="short" endarrowwidth="narrow" endarrowlength="short"/>
                      <v:textbox inset="2.53958mm,2.53958mm,2.53958mm,2.53958mm">
                        <w:txbxContent>
                          <w:p w14:paraId="245465B6" w14:textId="77777777" w:rsidR="00B12F87" w:rsidRDefault="00B12F87">
                            <w:pPr>
                              <w:textDirection w:val="btLr"/>
                            </w:pPr>
                          </w:p>
                        </w:txbxContent>
                      </v:textbox>
                    </v:rect>
                  </w:pict>
                </mc:Fallback>
              </mc:AlternateContent>
            </w:r>
          </w:p>
        </w:tc>
        <w:tc>
          <w:tcPr>
            <w:tcW w:w="236" w:type="dxa"/>
            <w:vMerge/>
            <w:tcBorders>
              <w:left w:val="single" w:sz="4" w:space="0" w:color="000000"/>
              <w:right w:val="single" w:sz="4" w:space="0" w:color="000000"/>
            </w:tcBorders>
            <w:shd w:val="clear" w:color="auto" w:fill="auto"/>
          </w:tcPr>
          <w:p w14:paraId="3021C4F5" w14:textId="77777777" w:rsidR="00B12F87" w:rsidRDefault="00B12F87">
            <w:pPr>
              <w:widowControl w:val="0"/>
              <w:pBdr>
                <w:top w:val="nil"/>
                <w:left w:val="nil"/>
                <w:bottom w:val="nil"/>
                <w:right w:val="nil"/>
                <w:between w:val="nil"/>
              </w:pBdr>
              <w:spacing w:line="276" w:lineRule="auto"/>
            </w:pPr>
          </w:p>
        </w:tc>
        <w:tc>
          <w:tcPr>
            <w:tcW w:w="5272" w:type="dxa"/>
            <w:gridSpan w:val="2"/>
            <w:tcBorders>
              <w:left w:val="single" w:sz="4" w:space="0" w:color="000000"/>
              <w:bottom w:val="single" w:sz="4" w:space="0" w:color="000000"/>
              <w:right w:val="single" w:sz="4" w:space="0" w:color="000000"/>
            </w:tcBorders>
          </w:tcPr>
          <w:p w14:paraId="1A8DA4ED" w14:textId="77777777" w:rsidR="00B12F87" w:rsidRDefault="00522EDD">
            <w:pPr>
              <w:numPr>
                <w:ilvl w:val="0"/>
                <w:numId w:val="7"/>
              </w:numPr>
              <w:ind w:left="342"/>
            </w:pPr>
            <w:r>
              <w:t>Name: Kwabena Asante-Ntiamoah</w:t>
            </w:r>
          </w:p>
          <w:p w14:paraId="46FCDB3C" w14:textId="77777777" w:rsidR="00B12F87" w:rsidRDefault="00522EDD">
            <w:pPr>
              <w:numPr>
                <w:ilvl w:val="0"/>
                <w:numId w:val="7"/>
              </w:numPr>
              <w:ind w:left="342"/>
            </w:pPr>
            <w:r>
              <w:t>Title: UNFPA Rwanda Country Representative</w:t>
            </w:r>
          </w:p>
          <w:p w14:paraId="6D735D0B" w14:textId="77777777" w:rsidR="00B12F87" w:rsidRDefault="00522EDD">
            <w:pPr>
              <w:numPr>
                <w:ilvl w:val="0"/>
                <w:numId w:val="7"/>
              </w:numPr>
              <w:ind w:left="342"/>
            </w:pPr>
            <w:r>
              <w:t xml:space="preserve">Participating Organization (Lead): </w:t>
            </w:r>
            <w:r>
              <w:rPr>
                <w:b/>
              </w:rPr>
              <w:t>UNFPA</w:t>
            </w:r>
          </w:p>
          <w:p w14:paraId="7DC55D70" w14:textId="77777777" w:rsidR="00B12F87" w:rsidRDefault="00522EDD">
            <w:pPr>
              <w:numPr>
                <w:ilvl w:val="0"/>
                <w:numId w:val="7"/>
              </w:numPr>
              <w:pBdr>
                <w:top w:val="nil"/>
                <w:left w:val="nil"/>
                <w:bottom w:val="nil"/>
                <w:right w:val="nil"/>
                <w:between w:val="nil"/>
              </w:pBdr>
              <w:spacing w:after="120"/>
              <w:ind w:left="342"/>
              <w:jc w:val="both"/>
            </w:pPr>
            <w:r>
              <w:t>Email address: asante-ntiamoah@unfpa.org</w:t>
            </w:r>
          </w:p>
        </w:tc>
      </w:tr>
    </w:tbl>
    <w:p w14:paraId="37D43AA6" w14:textId="77777777" w:rsidR="00B12F87" w:rsidRDefault="00522EDD">
      <w:r>
        <w:br w:type="page"/>
      </w:r>
    </w:p>
    <w:p w14:paraId="63DAB331" w14:textId="77777777" w:rsidR="00B12F87" w:rsidRDefault="00B12F87">
      <w:pPr>
        <w:pStyle w:val="Heading1"/>
        <w:tabs>
          <w:tab w:val="left" w:pos="360"/>
        </w:tabs>
        <w:spacing w:line="276" w:lineRule="auto"/>
        <w:ind w:left="0" w:hanging="2"/>
        <w:rPr>
          <w:rFonts w:ascii="Times New Roman" w:eastAsia="Times New Roman" w:hAnsi="Times New Roman" w:cs="Times New Roman"/>
          <w:sz w:val="24"/>
          <w:szCs w:val="24"/>
          <w:u w:val="single"/>
        </w:rPr>
      </w:pPr>
    </w:p>
    <w:p w14:paraId="5819442D" w14:textId="77777777" w:rsidR="00B12F87" w:rsidRDefault="00522EDD">
      <w:pPr>
        <w:pStyle w:val="Heading1"/>
        <w:tabs>
          <w:tab w:val="left" w:pos="360"/>
        </w:tabs>
        <w:spacing w:line="276"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ACRONYMS AND ABBREVIATIONS</w:t>
      </w:r>
    </w:p>
    <w:p w14:paraId="5C596955" w14:textId="77777777" w:rsidR="00B12F87" w:rsidRDefault="00B12F87">
      <w:pPr>
        <w:spacing w:line="276" w:lineRule="auto"/>
        <w:ind w:hanging="2"/>
        <w:jc w:val="both"/>
      </w:pPr>
    </w:p>
    <w:p w14:paraId="6D2ACCCD" w14:textId="77777777" w:rsidR="00B12F87" w:rsidRDefault="00522EDD">
      <w:pPr>
        <w:tabs>
          <w:tab w:val="left" w:pos="360"/>
        </w:tabs>
        <w:spacing w:line="276" w:lineRule="auto"/>
        <w:ind w:hanging="2"/>
        <w:jc w:val="both"/>
      </w:pPr>
      <w:r>
        <w:t>CRVS</w:t>
      </w:r>
      <w:r>
        <w:tab/>
      </w:r>
      <w:r>
        <w:tab/>
      </w:r>
      <w:r>
        <w:tab/>
      </w:r>
      <w:r>
        <w:tab/>
        <w:t>Civil Registration and Vital Statistics</w:t>
      </w:r>
    </w:p>
    <w:p w14:paraId="1DFFB608" w14:textId="77777777" w:rsidR="00B12F87" w:rsidRDefault="00522EDD">
      <w:pPr>
        <w:tabs>
          <w:tab w:val="left" w:pos="360"/>
        </w:tabs>
        <w:spacing w:line="276" w:lineRule="auto"/>
        <w:ind w:hanging="2"/>
        <w:jc w:val="both"/>
      </w:pPr>
      <w:r>
        <w:t>DHS</w:t>
      </w:r>
      <w:r>
        <w:tab/>
      </w:r>
      <w:r>
        <w:tab/>
      </w:r>
      <w:r>
        <w:tab/>
      </w:r>
      <w:r>
        <w:tab/>
        <w:t>Demographic and Health Survey</w:t>
      </w:r>
    </w:p>
    <w:p w14:paraId="75F71790" w14:textId="77777777" w:rsidR="00B12F87" w:rsidRDefault="00522EDD">
      <w:pPr>
        <w:tabs>
          <w:tab w:val="left" w:pos="360"/>
        </w:tabs>
        <w:spacing w:line="276" w:lineRule="auto"/>
        <w:ind w:hanging="2"/>
        <w:jc w:val="both"/>
      </w:pPr>
      <w:r>
        <w:t>DP</w:t>
      </w:r>
      <w:r>
        <w:tab/>
      </w:r>
      <w:r>
        <w:tab/>
      </w:r>
      <w:r>
        <w:tab/>
      </w:r>
      <w:r>
        <w:tab/>
      </w:r>
      <w:r>
        <w:tab/>
        <w:t>Development Partner</w:t>
      </w:r>
    </w:p>
    <w:p w14:paraId="234FD42B" w14:textId="77777777" w:rsidR="00B12F87" w:rsidRDefault="00522EDD">
      <w:pPr>
        <w:tabs>
          <w:tab w:val="left" w:pos="360"/>
        </w:tabs>
        <w:spacing w:line="276" w:lineRule="auto"/>
        <w:ind w:hanging="2"/>
        <w:jc w:val="both"/>
      </w:pPr>
      <w:r>
        <w:t>EICV</w:t>
      </w:r>
      <w:r>
        <w:tab/>
      </w:r>
      <w:r>
        <w:tab/>
      </w:r>
      <w:r>
        <w:tab/>
      </w:r>
      <w:r>
        <w:tab/>
      </w:r>
      <w:proofErr w:type="spellStart"/>
      <w:r>
        <w:t>Enquete</w:t>
      </w:r>
      <w:proofErr w:type="spellEnd"/>
      <w:r>
        <w:t xml:space="preserve"> </w:t>
      </w:r>
      <w:proofErr w:type="spellStart"/>
      <w:r>
        <w:t>integrale</w:t>
      </w:r>
      <w:proofErr w:type="spellEnd"/>
      <w:r>
        <w:t xml:space="preserve"> sur les conditions de Vie des menages</w:t>
      </w:r>
    </w:p>
    <w:p w14:paraId="488B3BFB" w14:textId="77777777" w:rsidR="00B12F87" w:rsidRDefault="00522EDD">
      <w:pPr>
        <w:tabs>
          <w:tab w:val="left" w:pos="360"/>
        </w:tabs>
        <w:spacing w:line="276" w:lineRule="auto"/>
        <w:ind w:hanging="2"/>
        <w:jc w:val="both"/>
      </w:pPr>
      <w:r>
        <w:t>GIS</w:t>
      </w:r>
      <w:r>
        <w:tab/>
      </w:r>
      <w:r>
        <w:tab/>
      </w:r>
      <w:r>
        <w:tab/>
      </w:r>
      <w:r>
        <w:tab/>
        <w:t>Geographic Information System </w:t>
      </w:r>
    </w:p>
    <w:p w14:paraId="2088D52A" w14:textId="77777777" w:rsidR="00B12F87" w:rsidRDefault="00522EDD">
      <w:pPr>
        <w:tabs>
          <w:tab w:val="left" w:pos="360"/>
        </w:tabs>
        <w:spacing w:line="276" w:lineRule="auto"/>
        <w:ind w:hanging="2"/>
        <w:jc w:val="both"/>
      </w:pPr>
      <w:r>
        <w:t>GMIS</w:t>
      </w:r>
      <w:r>
        <w:tab/>
      </w:r>
      <w:r>
        <w:tab/>
      </w:r>
      <w:r>
        <w:tab/>
      </w:r>
      <w:r>
        <w:tab/>
        <w:t>Gender Management Information System</w:t>
      </w:r>
    </w:p>
    <w:p w14:paraId="3C6682F3" w14:textId="77777777" w:rsidR="00B12F87" w:rsidRDefault="00522EDD">
      <w:pPr>
        <w:tabs>
          <w:tab w:val="left" w:pos="360"/>
        </w:tabs>
        <w:spacing w:line="276" w:lineRule="auto"/>
        <w:ind w:hanging="2"/>
        <w:jc w:val="both"/>
      </w:pPr>
      <w:r>
        <w:t>GMO</w:t>
      </w:r>
      <w:r>
        <w:tab/>
      </w:r>
      <w:r>
        <w:tab/>
      </w:r>
      <w:r>
        <w:tab/>
      </w:r>
      <w:r>
        <w:tab/>
        <w:t>Gender Monitoring Office</w:t>
      </w:r>
    </w:p>
    <w:p w14:paraId="43BA8430" w14:textId="77777777" w:rsidR="00B12F87" w:rsidRDefault="00522EDD">
      <w:pPr>
        <w:tabs>
          <w:tab w:val="left" w:pos="360"/>
        </w:tabs>
        <w:spacing w:line="276" w:lineRule="auto"/>
        <w:ind w:hanging="2"/>
        <w:jc w:val="both"/>
      </w:pPr>
      <w:r>
        <w:t>JP</w:t>
      </w:r>
      <w:r>
        <w:tab/>
      </w:r>
      <w:r>
        <w:tab/>
      </w:r>
      <w:r>
        <w:tab/>
      </w:r>
      <w:r>
        <w:tab/>
      </w:r>
      <w:r>
        <w:tab/>
        <w:t>Joint Program</w:t>
      </w:r>
    </w:p>
    <w:p w14:paraId="656DEC18" w14:textId="77777777" w:rsidR="00B12F87" w:rsidRDefault="00522EDD">
      <w:pPr>
        <w:spacing w:line="276" w:lineRule="auto"/>
        <w:ind w:hanging="2"/>
        <w:jc w:val="both"/>
      </w:pPr>
      <w:r>
        <w:t>MINECOFIN</w:t>
      </w:r>
      <w:r>
        <w:tab/>
      </w:r>
      <w:r>
        <w:tab/>
      </w:r>
      <w:r>
        <w:tab/>
        <w:t xml:space="preserve">Ministry of Finance and Economic Planning </w:t>
      </w:r>
    </w:p>
    <w:p w14:paraId="45073992" w14:textId="77777777" w:rsidR="00B12F87" w:rsidRDefault="00522EDD">
      <w:pPr>
        <w:spacing w:line="276" w:lineRule="auto"/>
        <w:ind w:hanging="2"/>
        <w:jc w:val="both"/>
      </w:pPr>
      <w:r>
        <w:t>MPTF</w:t>
      </w:r>
      <w:r>
        <w:tab/>
      </w:r>
      <w:r>
        <w:tab/>
      </w:r>
      <w:r>
        <w:tab/>
      </w:r>
      <w:r>
        <w:tab/>
        <w:t xml:space="preserve">Multi Partner Trust Fund </w:t>
      </w:r>
    </w:p>
    <w:p w14:paraId="4138829C" w14:textId="0483030E" w:rsidR="00B12F87" w:rsidRDefault="00522EDD">
      <w:pPr>
        <w:tabs>
          <w:tab w:val="left" w:pos="360"/>
        </w:tabs>
        <w:spacing w:line="276" w:lineRule="auto"/>
        <w:ind w:hanging="2"/>
        <w:jc w:val="both"/>
      </w:pPr>
      <w:r>
        <w:t>NISR</w:t>
      </w:r>
      <w:r>
        <w:tab/>
      </w:r>
      <w:r>
        <w:tab/>
      </w:r>
      <w:r>
        <w:tab/>
      </w:r>
      <w:r>
        <w:tab/>
        <w:t>National Institute of Statistics in Rwanda</w:t>
      </w:r>
    </w:p>
    <w:p w14:paraId="3118EB95" w14:textId="136B6532" w:rsidR="003A3DF4" w:rsidRDefault="003A3DF4">
      <w:pPr>
        <w:tabs>
          <w:tab w:val="left" w:pos="360"/>
        </w:tabs>
        <w:spacing w:line="276" w:lineRule="auto"/>
        <w:ind w:hanging="2"/>
        <w:jc w:val="both"/>
      </w:pPr>
      <w:r>
        <w:t xml:space="preserve">NSDS                                      </w:t>
      </w:r>
      <w:r w:rsidRPr="003A3DF4">
        <w:t>N</w:t>
      </w:r>
      <w:r>
        <w:t xml:space="preserve">ational </w:t>
      </w:r>
      <w:r w:rsidRPr="003A3DF4">
        <w:t>S</w:t>
      </w:r>
      <w:r>
        <w:t xml:space="preserve">trategy for the </w:t>
      </w:r>
      <w:r w:rsidRPr="003A3DF4">
        <w:t>D</w:t>
      </w:r>
      <w:r>
        <w:t xml:space="preserve">evelopment of </w:t>
      </w:r>
      <w:r w:rsidRPr="003A3DF4">
        <w:t>S</w:t>
      </w:r>
      <w:r>
        <w:t>tatistics</w:t>
      </w:r>
      <w:r w:rsidRPr="003A3DF4">
        <w:t xml:space="preserve"> </w:t>
      </w:r>
    </w:p>
    <w:p w14:paraId="2FF77C14" w14:textId="77777777" w:rsidR="00B12F87" w:rsidRDefault="00522EDD">
      <w:pPr>
        <w:tabs>
          <w:tab w:val="left" w:pos="360"/>
        </w:tabs>
        <w:spacing w:line="276" w:lineRule="auto"/>
        <w:ind w:hanging="2"/>
        <w:jc w:val="both"/>
      </w:pPr>
      <w:r>
        <w:t>NST</w:t>
      </w:r>
      <w:r>
        <w:tab/>
      </w:r>
      <w:r>
        <w:tab/>
      </w:r>
      <w:r>
        <w:tab/>
      </w:r>
      <w:r>
        <w:tab/>
        <w:t>National Strategy for Transformation</w:t>
      </w:r>
    </w:p>
    <w:p w14:paraId="445FEA33" w14:textId="62359337" w:rsidR="00B12F87" w:rsidRDefault="00522EDD">
      <w:pPr>
        <w:tabs>
          <w:tab w:val="left" w:pos="360"/>
        </w:tabs>
        <w:spacing w:line="276" w:lineRule="auto"/>
        <w:ind w:hanging="2"/>
        <w:jc w:val="both"/>
      </w:pPr>
      <w:r>
        <w:t>PME</w:t>
      </w:r>
      <w:r>
        <w:tab/>
      </w:r>
      <w:r>
        <w:tab/>
      </w:r>
      <w:r>
        <w:tab/>
      </w:r>
      <w:r>
        <w:tab/>
      </w:r>
      <w:r w:rsidR="002F7BCE">
        <w:t>Planning Monitoring and Evaluation</w:t>
      </w:r>
    </w:p>
    <w:p w14:paraId="2EA885B0" w14:textId="77777777" w:rsidR="00B12F87" w:rsidRDefault="00522EDD">
      <w:pPr>
        <w:tabs>
          <w:tab w:val="left" w:pos="360"/>
        </w:tabs>
        <w:spacing w:line="276" w:lineRule="auto"/>
        <w:ind w:hanging="2"/>
        <w:jc w:val="both"/>
      </w:pPr>
      <w:r>
        <w:t>SDGs</w:t>
      </w:r>
      <w:r>
        <w:tab/>
      </w:r>
      <w:r>
        <w:tab/>
      </w:r>
      <w:r>
        <w:tab/>
      </w:r>
      <w:r>
        <w:tab/>
        <w:t>Sustainable Development Goals</w:t>
      </w:r>
    </w:p>
    <w:p w14:paraId="121D7EA4" w14:textId="77777777" w:rsidR="00B12F87" w:rsidRDefault="00522EDD">
      <w:pPr>
        <w:tabs>
          <w:tab w:val="left" w:pos="360"/>
        </w:tabs>
        <w:spacing w:line="276" w:lineRule="auto"/>
        <w:ind w:hanging="2"/>
        <w:jc w:val="both"/>
      </w:pPr>
      <w:r>
        <w:t>UNDAF</w:t>
      </w:r>
      <w:r>
        <w:tab/>
      </w:r>
      <w:r>
        <w:tab/>
      </w:r>
      <w:r>
        <w:tab/>
        <w:t>United Nations Development Assistance Framework</w:t>
      </w:r>
    </w:p>
    <w:p w14:paraId="10901AEB" w14:textId="77777777" w:rsidR="00B12F87" w:rsidRDefault="00522EDD">
      <w:pPr>
        <w:tabs>
          <w:tab w:val="left" w:pos="360"/>
        </w:tabs>
        <w:spacing w:line="276" w:lineRule="auto"/>
        <w:ind w:hanging="2"/>
        <w:jc w:val="both"/>
      </w:pPr>
      <w:r>
        <w:t>UNDAP</w:t>
      </w:r>
      <w:r>
        <w:tab/>
      </w:r>
      <w:r>
        <w:tab/>
      </w:r>
      <w:r>
        <w:tab/>
        <w:t>United Nations Development Assistance Plan</w:t>
      </w:r>
    </w:p>
    <w:p w14:paraId="03656BD6" w14:textId="77777777" w:rsidR="00B12F87" w:rsidRDefault="00522EDD">
      <w:pPr>
        <w:tabs>
          <w:tab w:val="left" w:pos="360"/>
        </w:tabs>
        <w:spacing w:line="276" w:lineRule="auto"/>
        <w:ind w:hanging="2"/>
        <w:jc w:val="both"/>
      </w:pPr>
      <w:r>
        <w:t>UNFPA</w:t>
      </w:r>
      <w:r>
        <w:tab/>
      </w:r>
      <w:r>
        <w:tab/>
      </w:r>
      <w:r>
        <w:tab/>
        <w:t>United Nations Population Fund</w:t>
      </w:r>
    </w:p>
    <w:p w14:paraId="11830960" w14:textId="77777777" w:rsidR="00211E67" w:rsidRDefault="00522EDD">
      <w:pPr>
        <w:tabs>
          <w:tab w:val="left" w:pos="360"/>
        </w:tabs>
        <w:spacing w:line="276" w:lineRule="auto"/>
        <w:ind w:hanging="2"/>
        <w:jc w:val="both"/>
      </w:pPr>
      <w:r>
        <w:t>UNICEF</w:t>
      </w:r>
      <w:r>
        <w:tab/>
      </w:r>
      <w:r>
        <w:tab/>
      </w:r>
      <w:r>
        <w:tab/>
        <w:t>United Nations Children's Fund</w:t>
      </w:r>
    </w:p>
    <w:p w14:paraId="64E6A8A3" w14:textId="5FA50EFE" w:rsidR="00B12F87" w:rsidRDefault="00211E67">
      <w:pPr>
        <w:tabs>
          <w:tab w:val="left" w:pos="360"/>
        </w:tabs>
        <w:spacing w:line="276" w:lineRule="auto"/>
        <w:ind w:hanging="2"/>
        <w:jc w:val="both"/>
      </w:pPr>
      <w:r>
        <w:t xml:space="preserve">WASH   </w:t>
      </w:r>
      <w:r w:rsidR="00522EDD">
        <w:tab/>
      </w:r>
      <w:r w:rsidR="00522EDD">
        <w:tab/>
      </w:r>
      <w:r>
        <w:t xml:space="preserve">            Water, Sanitation and Hygiene</w:t>
      </w:r>
    </w:p>
    <w:p w14:paraId="7FE06262" w14:textId="77777777" w:rsidR="00B12F87" w:rsidRDefault="00522EDD">
      <w:pPr>
        <w:tabs>
          <w:tab w:val="left" w:pos="360"/>
        </w:tabs>
        <w:spacing w:line="276" w:lineRule="auto"/>
        <w:ind w:hanging="2"/>
        <w:jc w:val="both"/>
      </w:pPr>
      <w:r>
        <w:t xml:space="preserve">WHO </w:t>
      </w:r>
      <w:r>
        <w:tab/>
      </w:r>
      <w:r>
        <w:tab/>
      </w:r>
      <w:r>
        <w:tab/>
      </w:r>
      <w:r>
        <w:tab/>
        <w:t>World Health Organization</w:t>
      </w:r>
    </w:p>
    <w:p w14:paraId="5E2B3C64" w14:textId="77777777" w:rsidR="00B12F87" w:rsidRDefault="00522EDD">
      <w:pPr>
        <w:tabs>
          <w:tab w:val="left" w:pos="360"/>
        </w:tabs>
        <w:spacing w:line="276" w:lineRule="auto"/>
        <w:ind w:hanging="2"/>
        <w:jc w:val="both"/>
      </w:pPr>
      <w:r>
        <w:t>UN WOMEN</w:t>
      </w:r>
      <w:r>
        <w:tab/>
      </w:r>
      <w:r>
        <w:tab/>
      </w:r>
      <w:r>
        <w:tab/>
        <w:t xml:space="preserve">United Nations Entity for Gender Equality and the Empowerment of Women </w:t>
      </w:r>
    </w:p>
    <w:p w14:paraId="3BB8ACA8" w14:textId="77777777" w:rsidR="00B12F87" w:rsidRDefault="00B12F87">
      <w:pPr>
        <w:tabs>
          <w:tab w:val="left" w:pos="360"/>
        </w:tabs>
        <w:spacing w:line="276" w:lineRule="auto"/>
        <w:ind w:hanging="2"/>
        <w:jc w:val="both"/>
      </w:pPr>
    </w:p>
    <w:p w14:paraId="36C48B30" w14:textId="77777777" w:rsidR="00B12F87" w:rsidRDefault="00B12F87">
      <w:pPr>
        <w:spacing w:line="276" w:lineRule="auto"/>
      </w:pPr>
    </w:p>
    <w:p w14:paraId="2D1C8854" w14:textId="77777777" w:rsidR="00B12F87" w:rsidRDefault="00B12F87">
      <w:pPr>
        <w:pStyle w:val="Heading1"/>
        <w:tabs>
          <w:tab w:val="left" w:pos="360"/>
        </w:tabs>
        <w:spacing w:line="276" w:lineRule="auto"/>
        <w:ind w:left="0"/>
        <w:jc w:val="center"/>
        <w:rPr>
          <w:rFonts w:ascii="Times New Roman" w:eastAsia="Times New Roman" w:hAnsi="Times New Roman" w:cs="Times New Roman"/>
          <w:sz w:val="24"/>
          <w:szCs w:val="24"/>
          <w:u w:val="single"/>
        </w:rPr>
      </w:pPr>
    </w:p>
    <w:p w14:paraId="3AA6DAD4" w14:textId="77777777" w:rsidR="00B12F87" w:rsidRDefault="00B12F87">
      <w:pPr>
        <w:spacing w:line="276" w:lineRule="auto"/>
      </w:pPr>
    </w:p>
    <w:p w14:paraId="2E25C877" w14:textId="77777777" w:rsidR="00B12F87" w:rsidRDefault="00B12F87">
      <w:pPr>
        <w:spacing w:line="276" w:lineRule="auto"/>
      </w:pPr>
    </w:p>
    <w:p w14:paraId="7A8841B6" w14:textId="77777777" w:rsidR="00B12F87" w:rsidRDefault="00B12F87">
      <w:pPr>
        <w:spacing w:line="276" w:lineRule="auto"/>
      </w:pPr>
    </w:p>
    <w:p w14:paraId="584DE411" w14:textId="77777777" w:rsidR="00B12F87" w:rsidRDefault="00B12F87">
      <w:pPr>
        <w:pStyle w:val="Heading1"/>
        <w:tabs>
          <w:tab w:val="left" w:pos="360"/>
        </w:tabs>
        <w:spacing w:line="276" w:lineRule="auto"/>
        <w:ind w:left="0"/>
        <w:jc w:val="center"/>
        <w:rPr>
          <w:rFonts w:ascii="Times New Roman" w:eastAsia="Times New Roman" w:hAnsi="Times New Roman" w:cs="Times New Roman"/>
          <w:sz w:val="24"/>
          <w:szCs w:val="24"/>
          <w:u w:val="single"/>
        </w:rPr>
      </w:pPr>
    </w:p>
    <w:p w14:paraId="3F33513E" w14:textId="77777777" w:rsidR="00B12F87" w:rsidRDefault="00522EDD">
      <w:pPr>
        <w:pStyle w:val="Heading1"/>
        <w:tabs>
          <w:tab w:val="left" w:pos="360"/>
        </w:tabs>
        <w:spacing w:line="276" w:lineRule="auto"/>
        <w:ind w:left="0"/>
        <w:jc w:val="center"/>
        <w:rPr>
          <w:rFonts w:ascii="Times New Roman" w:eastAsia="Times New Roman" w:hAnsi="Times New Roman" w:cs="Times New Roman"/>
          <w:sz w:val="24"/>
          <w:szCs w:val="24"/>
          <w:u w:val="single"/>
        </w:rPr>
      </w:pPr>
      <w:bookmarkStart w:id="1" w:name="_gjdgxs" w:colFirst="0" w:colLast="0"/>
      <w:bookmarkEnd w:id="1"/>
      <w:r>
        <w:br w:type="page"/>
      </w:r>
      <w:r>
        <w:rPr>
          <w:rFonts w:ascii="Times New Roman" w:eastAsia="Times New Roman" w:hAnsi="Times New Roman" w:cs="Times New Roman"/>
          <w:sz w:val="24"/>
          <w:szCs w:val="24"/>
          <w:u w:val="single"/>
        </w:rPr>
        <w:lastRenderedPageBreak/>
        <w:t>NARRATIVE REPORT FORMAT</w:t>
      </w:r>
    </w:p>
    <w:p w14:paraId="2EC09509" w14:textId="77777777" w:rsidR="00B12F87" w:rsidRDefault="00B12F87">
      <w:pPr>
        <w:spacing w:line="276" w:lineRule="auto"/>
      </w:pPr>
      <w:bookmarkStart w:id="2" w:name="_30j0zll" w:colFirst="0" w:colLast="0"/>
      <w:bookmarkEnd w:id="2"/>
    </w:p>
    <w:p w14:paraId="2D22481F" w14:textId="77777777" w:rsidR="00B12F87" w:rsidRDefault="00522EDD">
      <w:pPr>
        <w:spacing w:line="276" w:lineRule="auto"/>
        <w:jc w:val="both"/>
      </w:pPr>
      <w:r>
        <w:rPr>
          <w:b/>
        </w:rPr>
        <w:t>EXECUTIVE SUMMARY</w:t>
      </w:r>
      <w:r>
        <w:t xml:space="preserve"> </w:t>
      </w:r>
    </w:p>
    <w:p w14:paraId="17359C8A" w14:textId="77777777" w:rsidR="00B12F87" w:rsidRDefault="00B12F87">
      <w:pPr>
        <w:spacing w:line="276" w:lineRule="auto"/>
        <w:jc w:val="both"/>
      </w:pPr>
    </w:p>
    <w:p w14:paraId="7EC31459" w14:textId="454C3D24" w:rsidR="00B12F87" w:rsidRDefault="00522EDD">
      <w:pPr>
        <w:spacing w:line="276" w:lineRule="auto"/>
        <w:jc w:val="both"/>
      </w:pPr>
      <w:r>
        <w:t xml:space="preserve">The Joint </w:t>
      </w:r>
      <w:proofErr w:type="spellStart"/>
      <w:r>
        <w:t>Programme</w:t>
      </w:r>
      <w:proofErr w:type="spellEnd"/>
      <w:r>
        <w:t xml:space="preserve"> on Data is a </w:t>
      </w:r>
      <w:r w:rsidR="000F4601">
        <w:t>five-year</w:t>
      </w:r>
      <w:r>
        <w:t xml:space="preserve"> support to the National Institute of Statistics of Rwanda in line with the UNDAP II. It outlines the continued support of the UN Agencies in capacity building of the national and subnational institutions in conducting high quality data collection, data analysis and dissemination</w:t>
      </w:r>
      <w:r w:rsidR="00443E2A">
        <w:t>,</w:t>
      </w:r>
      <w:r>
        <w:t xml:space="preserve"> which are instrumental to tracking the progress in realizing the results as set in the National Strategy for Transformation (NST1) and </w:t>
      </w:r>
      <w:r w:rsidR="004932DB">
        <w:t xml:space="preserve">the SDGs agenda 2030 </w:t>
      </w:r>
      <w:r>
        <w:t xml:space="preserve">for evidence-based policy and decision making. </w:t>
      </w:r>
    </w:p>
    <w:p w14:paraId="1CF09FB5" w14:textId="77777777" w:rsidR="00B12F87" w:rsidRDefault="00B12F87">
      <w:pPr>
        <w:spacing w:line="276" w:lineRule="auto"/>
        <w:jc w:val="both"/>
      </w:pPr>
    </w:p>
    <w:p w14:paraId="562BA284" w14:textId="7B334099" w:rsidR="00B12F87" w:rsidRDefault="00522EDD">
      <w:pPr>
        <w:spacing w:line="276" w:lineRule="auto"/>
        <w:jc w:val="both"/>
      </w:pPr>
      <w:r>
        <w:t xml:space="preserve">Over the reporting period (January-December 2021), the Population and Housing Census (PHC) preparatory phases </w:t>
      </w:r>
      <w:proofErr w:type="gramStart"/>
      <w:r>
        <w:t>i.e.</w:t>
      </w:r>
      <w:proofErr w:type="gramEnd"/>
      <w:r>
        <w:t xml:space="preserve"> census mapping and the pilot census, were successfully conducted informing the PHC methodologies and tools.</w:t>
      </w:r>
      <w:r>
        <w:rPr>
          <w:b/>
        </w:rPr>
        <w:t xml:space="preserve"> </w:t>
      </w:r>
      <w:r>
        <w:t xml:space="preserve">Key achievements in 2021 also include the publication and dissemination of the Rwanda Demographic Health Survey (RDHS) 2019-2020 full thematic report and the Integrated Household Living Conditions Survey (EICV 6) 2019/2020 following the analysis of the collected data. This will </w:t>
      </w:r>
      <w:r>
        <w:rPr>
          <w:sz w:val="23"/>
          <w:szCs w:val="23"/>
        </w:rPr>
        <w:t xml:space="preserve">form the basis upon which further analysis will be undertaken including district profiles and the progress of various indexes, including SDG indicators and WASH Index. </w:t>
      </w:r>
      <w:r>
        <w:t xml:space="preserve">The capacity of NISR technical staff was strengthened to analyze the 2019-20 RDHS data in the framework of a multidimensional and monetary child poverty analysis as well. The Civil Registration and Vital Statistics (CRVS) system was strengthened through technical and financial support for the scale-up of verbal autopsy at the community level. Furthermore, the capacity of the Ministry of Health’s staff to monitor progress towards the </w:t>
      </w:r>
      <w:r w:rsidR="006F3905">
        <w:t>h</w:t>
      </w:r>
      <w:r>
        <w:t>ealth-related SDGs and other national health priorities was reinforced through the development of a methodology document for Health-SDGs monitoring. A gender thematic report from the 2020 Annual Labor Force Survey (May 2021) was published</w:t>
      </w:r>
      <w:r>
        <w:rPr>
          <w:b/>
        </w:rPr>
        <w:t xml:space="preserve"> </w:t>
      </w:r>
      <w:r>
        <w:t xml:space="preserve">with updated data on labor force participation rate of women and men, unemployment, unpaid care work, gender pay gap, and other economic activities by women and men. </w:t>
      </w:r>
    </w:p>
    <w:p w14:paraId="630691E5" w14:textId="77777777" w:rsidR="00B12F87" w:rsidRDefault="00B12F87">
      <w:pPr>
        <w:spacing w:line="276" w:lineRule="auto"/>
        <w:jc w:val="both"/>
      </w:pPr>
    </w:p>
    <w:p w14:paraId="0E17E645" w14:textId="77777777" w:rsidR="00B12F87" w:rsidRDefault="00B12F87">
      <w:pPr>
        <w:spacing w:line="276" w:lineRule="auto"/>
        <w:jc w:val="both"/>
      </w:pPr>
    </w:p>
    <w:p w14:paraId="45E9A402" w14:textId="77777777" w:rsidR="00B12F87" w:rsidRDefault="00B12F87">
      <w:pPr>
        <w:spacing w:line="276" w:lineRule="auto"/>
        <w:jc w:val="both"/>
      </w:pPr>
    </w:p>
    <w:p w14:paraId="2F45AA62" w14:textId="77777777" w:rsidR="00B12F87" w:rsidRDefault="00B12F87">
      <w:pPr>
        <w:spacing w:line="276" w:lineRule="auto"/>
        <w:jc w:val="both"/>
      </w:pPr>
    </w:p>
    <w:p w14:paraId="1EA63A49" w14:textId="77777777" w:rsidR="00B12F87" w:rsidRDefault="00B12F87">
      <w:pPr>
        <w:spacing w:line="276" w:lineRule="auto"/>
        <w:jc w:val="both"/>
      </w:pPr>
    </w:p>
    <w:p w14:paraId="6A16BD56" w14:textId="77777777" w:rsidR="00B12F87" w:rsidRDefault="00B12F87">
      <w:pPr>
        <w:spacing w:line="276" w:lineRule="auto"/>
        <w:jc w:val="both"/>
      </w:pPr>
    </w:p>
    <w:p w14:paraId="056A7CA3" w14:textId="77777777" w:rsidR="00B12F87" w:rsidRDefault="00B12F87">
      <w:pPr>
        <w:spacing w:line="276" w:lineRule="auto"/>
        <w:jc w:val="both"/>
      </w:pPr>
    </w:p>
    <w:p w14:paraId="613C3E5F" w14:textId="77777777" w:rsidR="00B12F87" w:rsidRDefault="00B12F87">
      <w:pPr>
        <w:spacing w:line="276" w:lineRule="auto"/>
        <w:jc w:val="both"/>
      </w:pPr>
    </w:p>
    <w:p w14:paraId="5F31B573" w14:textId="77777777" w:rsidR="00B12F87" w:rsidRDefault="00B12F87">
      <w:pPr>
        <w:spacing w:line="276" w:lineRule="auto"/>
        <w:jc w:val="both"/>
      </w:pPr>
    </w:p>
    <w:p w14:paraId="110AEF0C" w14:textId="77777777" w:rsidR="00B12F87" w:rsidRDefault="00B12F87">
      <w:pPr>
        <w:spacing w:line="276" w:lineRule="auto"/>
        <w:jc w:val="both"/>
      </w:pPr>
    </w:p>
    <w:p w14:paraId="6B8152E8" w14:textId="77777777" w:rsidR="00B12F87" w:rsidRDefault="00B12F87">
      <w:pPr>
        <w:spacing w:line="276" w:lineRule="auto"/>
        <w:jc w:val="both"/>
      </w:pPr>
    </w:p>
    <w:p w14:paraId="5B568D49" w14:textId="77777777" w:rsidR="00B12F87" w:rsidRDefault="00B12F87">
      <w:pPr>
        <w:spacing w:line="276" w:lineRule="auto"/>
        <w:jc w:val="both"/>
      </w:pPr>
    </w:p>
    <w:p w14:paraId="2276FEDD" w14:textId="77777777" w:rsidR="00B12F87" w:rsidRDefault="00B12F87">
      <w:pPr>
        <w:spacing w:line="276" w:lineRule="auto"/>
        <w:jc w:val="both"/>
      </w:pPr>
    </w:p>
    <w:p w14:paraId="4A1C39DA" w14:textId="77777777" w:rsidR="00B12F87" w:rsidRDefault="00B12F87">
      <w:pPr>
        <w:spacing w:line="276" w:lineRule="auto"/>
        <w:jc w:val="both"/>
      </w:pPr>
    </w:p>
    <w:p w14:paraId="37E44AAB" w14:textId="77777777" w:rsidR="00B12F87" w:rsidRDefault="00522EDD">
      <w:pPr>
        <w:pStyle w:val="Heading1"/>
        <w:numPr>
          <w:ilvl w:val="0"/>
          <w:numId w:val="6"/>
        </w:numPr>
        <w:tabs>
          <w:tab w:val="left" w:pos="360"/>
        </w:tabs>
        <w:spacing w:line="276" w:lineRule="auto"/>
        <w:ind w:left="36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Purpose</w:t>
      </w:r>
    </w:p>
    <w:p w14:paraId="4C11603B" w14:textId="77777777" w:rsidR="00B12F87" w:rsidRDefault="00B12F87">
      <w:pPr>
        <w:pBdr>
          <w:top w:val="nil"/>
          <w:left w:val="nil"/>
          <w:bottom w:val="nil"/>
          <w:right w:val="nil"/>
          <w:between w:val="nil"/>
        </w:pBdr>
        <w:spacing w:line="276" w:lineRule="auto"/>
        <w:ind w:left="720"/>
        <w:jc w:val="both"/>
      </w:pPr>
    </w:p>
    <w:p w14:paraId="51A596AB" w14:textId="77777777" w:rsidR="00B12F87" w:rsidRDefault="00522EDD">
      <w:pPr>
        <w:pBdr>
          <w:top w:val="nil"/>
          <w:left w:val="nil"/>
          <w:bottom w:val="nil"/>
          <w:right w:val="nil"/>
          <w:between w:val="nil"/>
        </w:pBdr>
        <w:spacing w:line="276" w:lineRule="auto"/>
        <w:ind w:hanging="2"/>
        <w:jc w:val="both"/>
      </w:pPr>
      <w:r>
        <w:t xml:space="preserve">The purpose of the Joint </w:t>
      </w:r>
      <w:proofErr w:type="spellStart"/>
      <w:r>
        <w:t>Programme</w:t>
      </w:r>
      <w:proofErr w:type="spellEnd"/>
      <w:r>
        <w:t xml:space="preserve"> on data is to increase the technical and financial capacity of Government institutions and civil society organizations at the national and subnational level to generate, disseminate and use quality disaggregated data aligned to the SDGs to inform policies and </w:t>
      </w:r>
      <w:proofErr w:type="spellStart"/>
      <w:r>
        <w:t>programmes</w:t>
      </w:r>
      <w:proofErr w:type="spellEnd"/>
      <w:r>
        <w:t xml:space="preserve"> in development and humanitarian settings. The Joint </w:t>
      </w:r>
      <w:proofErr w:type="spellStart"/>
      <w:r>
        <w:t>programme</w:t>
      </w:r>
      <w:proofErr w:type="spellEnd"/>
      <w:r>
        <w:t xml:space="preserve"> on data contributes to the achievement of the UNDAP II results 3: Accountable governance and in particular Outcome 6 and Output 1 with 2 indicators 6.1.2 and 6.1.3:</w:t>
      </w:r>
    </w:p>
    <w:p w14:paraId="5891F2CA" w14:textId="77777777" w:rsidR="00B12F87" w:rsidRDefault="00B12F87">
      <w:pPr>
        <w:pBdr>
          <w:top w:val="nil"/>
          <w:left w:val="nil"/>
          <w:bottom w:val="nil"/>
          <w:right w:val="nil"/>
          <w:between w:val="nil"/>
        </w:pBdr>
        <w:spacing w:line="276" w:lineRule="auto"/>
        <w:ind w:hanging="2"/>
        <w:jc w:val="both"/>
      </w:pPr>
    </w:p>
    <w:p w14:paraId="721C12F6" w14:textId="77777777" w:rsidR="00B12F87" w:rsidRDefault="00522EDD">
      <w:pPr>
        <w:pBdr>
          <w:top w:val="nil"/>
          <w:left w:val="nil"/>
          <w:bottom w:val="nil"/>
          <w:right w:val="nil"/>
          <w:between w:val="nil"/>
        </w:pBdr>
        <w:spacing w:line="276" w:lineRule="auto"/>
        <w:ind w:hanging="2"/>
        <w:jc w:val="both"/>
      </w:pPr>
      <w:r>
        <w:rPr>
          <w:i/>
          <w:u w:val="single"/>
        </w:rPr>
        <w:t>UNDAP Outcome 6:</w:t>
      </w:r>
      <w:r>
        <w:rPr>
          <w:b/>
          <w:i/>
        </w:rPr>
        <w:t xml:space="preserve"> </w:t>
      </w:r>
      <w:r>
        <w:t>By 2023, people in Rwanda participate more actively in democratic and development process and benefit from transparent and accountable public and private sector institutions that develop evidence-based policies and deliver quality services.</w:t>
      </w:r>
    </w:p>
    <w:p w14:paraId="3A105091" w14:textId="77777777" w:rsidR="00B12F87" w:rsidRDefault="00B12F87">
      <w:pPr>
        <w:pBdr>
          <w:top w:val="nil"/>
          <w:left w:val="nil"/>
          <w:bottom w:val="nil"/>
          <w:right w:val="nil"/>
          <w:between w:val="nil"/>
        </w:pBdr>
        <w:spacing w:line="276" w:lineRule="auto"/>
        <w:ind w:hanging="2"/>
        <w:jc w:val="both"/>
      </w:pPr>
    </w:p>
    <w:p w14:paraId="1EEFA56B" w14:textId="77777777" w:rsidR="00B12F87" w:rsidRDefault="00522EDD">
      <w:pPr>
        <w:pBdr>
          <w:top w:val="nil"/>
          <w:left w:val="nil"/>
          <w:bottom w:val="nil"/>
          <w:right w:val="nil"/>
          <w:between w:val="nil"/>
        </w:pBdr>
        <w:spacing w:line="276" w:lineRule="auto"/>
        <w:ind w:hanging="2"/>
        <w:jc w:val="both"/>
      </w:pPr>
      <w:r>
        <w:rPr>
          <w:u w:val="single"/>
        </w:rPr>
        <w:t>UNDAP II Outcome 6.1.</w:t>
      </w:r>
      <w:r>
        <w:t xml:space="preserve"> 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t>programmes</w:t>
      </w:r>
      <w:proofErr w:type="spellEnd"/>
      <w:r>
        <w:t xml:space="preserve"> in development and humanitarian settings.</w:t>
      </w:r>
    </w:p>
    <w:p w14:paraId="6AA9AC12" w14:textId="77777777" w:rsidR="00B12F87" w:rsidRDefault="00B12F87">
      <w:pPr>
        <w:pBdr>
          <w:top w:val="nil"/>
          <w:left w:val="nil"/>
          <w:bottom w:val="nil"/>
          <w:right w:val="nil"/>
          <w:between w:val="nil"/>
        </w:pBdr>
        <w:spacing w:line="276" w:lineRule="auto"/>
        <w:ind w:hanging="2"/>
        <w:jc w:val="both"/>
      </w:pPr>
    </w:p>
    <w:p w14:paraId="0A3B2335" w14:textId="77777777" w:rsidR="00B12F87" w:rsidRDefault="00522EDD">
      <w:pPr>
        <w:pBdr>
          <w:top w:val="nil"/>
          <w:left w:val="nil"/>
          <w:bottom w:val="nil"/>
          <w:right w:val="nil"/>
          <w:between w:val="nil"/>
        </w:pBdr>
        <w:spacing w:line="276" w:lineRule="auto"/>
        <w:ind w:hanging="2"/>
        <w:jc w:val="both"/>
      </w:pPr>
      <w:r>
        <w:t>By ‘Delivering as One’, UN agencies in Rwanda seek to strengthen national and sub-national capacities to provide high-quality policy advice and technical assistance and support the collection and analysis of disaggregated data. Considering the data requirement in SDGs, the key focus of the Joint program on data is to support key national data collection exercises including the 2022 Population and Housing Census, the Integrated Household and Living Conditions (EICV 2019/2020), Demographic and Health Survey 2019/2020 and the gender statistical reports.  Participating agencies are: UNFPA, UNICEF, WHO, and UN WOMEN.</w:t>
      </w:r>
    </w:p>
    <w:p w14:paraId="19C2549D" w14:textId="77777777" w:rsidR="00B12F87" w:rsidRDefault="00B12F87">
      <w:pPr>
        <w:pBdr>
          <w:top w:val="nil"/>
          <w:left w:val="nil"/>
          <w:bottom w:val="nil"/>
          <w:right w:val="nil"/>
          <w:between w:val="nil"/>
        </w:pBdr>
        <w:spacing w:line="276" w:lineRule="auto"/>
        <w:ind w:left="720"/>
        <w:jc w:val="both"/>
      </w:pPr>
    </w:p>
    <w:p w14:paraId="4F34D2E4" w14:textId="77777777" w:rsidR="00B12F87" w:rsidRDefault="00B12F87">
      <w:pPr>
        <w:pBdr>
          <w:top w:val="nil"/>
          <w:left w:val="nil"/>
          <w:bottom w:val="nil"/>
          <w:right w:val="nil"/>
          <w:between w:val="nil"/>
        </w:pBdr>
        <w:spacing w:line="276" w:lineRule="auto"/>
        <w:ind w:left="720"/>
        <w:jc w:val="both"/>
      </w:pPr>
      <w:bookmarkStart w:id="3" w:name="_1fob9te" w:colFirst="0" w:colLast="0"/>
      <w:bookmarkEnd w:id="3"/>
    </w:p>
    <w:p w14:paraId="388B5616" w14:textId="77777777" w:rsidR="00B12F87" w:rsidRDefault="00522EDD">
      <w:pPr>
        <w:pStyle w:val="Heading1"/>
        <w:numPr>
          <w:ilvl w:val="0"/>
          <w:numId w:val="6"/>
        </w:numPr>
        <w:tabs>
          <w:tab w:val="left" w:pos="360"/>
        </w:tabs>
        <w:spacing w:line="276" w:lineRule="auto"/>
        <w:ind w:left="36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w:t>
      </w:r>
    </w:p>
    <w:p w14:paraId="54725AFD" w14:textId="77777777" w:rsidR="00B12F87" w:rsidRDefault="00522EDD">
      <w:pPr>
        <w:spacing w:line="276" w:lineRule="auto"/>
      </w:pPr>
      <w:r>
        <w:t xml:space="preserve">During the reporting period, the Joint program on data collaborated with the National Institute of Statistics to reinforce sectoral Management Information Systems and administrative data systems (indicator 6.1.2) such as the Civil Registration and Vital Statistics (CRVS) system also providing Technical Assistance to NISR to monitor Sustainable Development Goals (SDGs) indicators for which data is available and monitored (indicator 6.1.3) to ensure those systems are fully functional and producing timely and quality data. The preparatory phases for the 2022 Population and Housing Census (PHC) </w:t>
      </w:r>
      <w:proofErr w:type="gramStart"/>
      <w:r>
        <w:t>is</w:t>
      </w:r>
      <w:proofErr w:type="gramEnd"/>
      <w:r>
        <w:t xml:space="preserve"> well on track, with the pilot census successfully conducted in 2021. </w:t>
      </w:r>
    </w:p>
    <w:p w14:paraId="42198350" w14:textId="5B239338" w:rsidR="00B12F87" w:rsidRDefault="00522EDD">
      <w:pPr>
        <w:spacing w:before="240" w:after="240" w:line="276" w:lineRule="auto"/>
        <w:ind w:hanging="2"/>
        <w:jc w:val="both"/>
      </w:pPr>
      <w:r>
        <w:t>Despite the challenging and complex environment created by COVID-19 pandemic</w:t>
      </w:r>
      <w:r w:rsidR="006F3905">
        <w:t>,</w:t>
      </w:r>
      <w:r>
        <w:t xml:space="preserve"> planned activities and allocated resources were implemented, despite some delays as highlighted below:</w:t>
      </w:r>
    </w:p>
    <w:p w14:paraId="66DF3D0C" w14:textId="56E931A0" w:rsidR="00B12F87" w:rsidRDefault="00B12F87">
      <w:pPr>
        <w:spacing w:line="276" w:lineRule="auto"/>
        <w:ind w:hanging="2"/>
        <w:jc w:val="both"/>
      </w:pPr>
    </w:p>
    <w:p w14:paraId="4B21AAB4" w14:textId="77777777" w:rsidR="000811B8" w:rsidRDefault="000811B8">
      <w:pPr>
        <w:spacing w:line="276" w:lineRule="auto"/>
        <w:ind w:hanging="2"/>
        <w:jc w:val="both"/>
      </w:pPr>
    </w:p>
    <w:p w14:paraId="1D35F63D" w14:textId="77777777" w:rsidR="00B12F87" w:rsidRDefault="00B12F87">
      <w:pPr>
        <w:spacing w:line="276" w:lineRule="auto"/>
        <w:ind w:hanging="2"/>
        <w:jc w:val="both"/>
      </w:pPr>
    </w:p>
    <w:p w14:paraId="3A3445D2" w14:textId="77777777" w:rsidR="00B12F87" w:rsidRDefault="00522EDD">
      <w:pPr>
        <w:spacing w:line="276" w:lineRule="auto"/>
        <w:ind w:hanging="2"/>
        <w:jc w:val="both"/>
      </w:pPr>
      <w:r>
        <w:rPr>
          <w:b/>
        </w:rPr>
        <w:lastRenderedPageBreak/>
        <w:t>Indicator 6.1.1: Number of main national data collection exercise supported</w:t>
      </w:r>
    </w:p>
    <w:p w14:paraId="026763F5" w14:textId="77777777" w:rsidR="00B12F87" w:rsidRDefault="00B12F87">
      <w:pPr>
        <w:spacing w:line="276" w:lineRule="auto"/>
      </w:pPr>
    </w:p>
    <w:p w14:paraId="5372593D" w14:textId="294A3540" w:rsidR="00B12F87" w:rsidRDefault="00522EDD">
      <w:pPr>
        <w:numPr>
          <w:ilvl w:val="0"/>
          <w:numId w:val="4"/>
        </w:numPr>
        <w:pBdr>
          <w:top w:val="nil"/>
          <w:left w:val="nil"/>
          <w:bottom w:val="nil"/>
          <w:right w:val="nil"/>
          <w:between w:val="nil"/>
        </w:pBdr>
        <w:spacing w:line="276" w:lineRule="auto"/>
        <w:jc w:val="both"/>
      </w:pPr>
      <w:r>
        <w:rPr>
          <w:b/>
        </w:rPr>
        <w:t xml:space="preserve">The Population and Housing Census (PHC) preparatory phases successfully conducted including the pilot census </w:t>
      </w:r>
    </w:p>
    <w:p w14:paraId="64D64B95" w14:textId="185C7FEB" w:rsidR="00B12F87" w:rsidRDefault="00522EDD">
      <w:pPr>
        <w:pBdr>
          <w:top w:val="nil"/>
          <w:left w:val="nil"/>
          <w:bottom w:val="nil"/>
          <w:right w:val="nil"/>
          <w:between w:val="nil"/>
        </w:pBdr>
        <w:spacing w:line="276" w:lineRule="auto"/>
        <w:jc w:val="both"/>
      </w:pPr>
      <w:r>
        <w:t xml:space="preserve">Throughout the year 2021, the UN continued working closely with the NISR in the preparation activities for the 2022 Rwanda Population and Housing Census (RPHC 2022) </w:t>
      </w:r>
      <w:proofErr w:type="gramStart"/>
      <w:r>
        <w:t>i.e.</w:t>
      </w:r>
      <w:proofErr w:type="gramEnd"/>
      <w:r>
        <w:t xml:space="preserve"> </w:t>
      </w:r>
      <w:proofErr w:type="spellStart"/>
      <w:r>
        <w:t>finalisation</w:t>
      </w:r>
      <w:proofErr w:type="spellEnd"/>
      <w:r>
        <w:t xml:space="preserve"> of the census mapping exercises and conduct of the pilot census. The main census is planned to take place from 16-30 August 2022. The pilot census was conducted between 16</w:t>
      </w:r>
      <w:r>
        <w:rPr>
          <w:vertAlign w:val="superscript"/>
        </w:rPr>
        <w:t>th</w:t>
      </w:r>
      <w:r>
        <w:t xml:space="preserve"> and 30</w:t>
      </w:r>
      <w:r>
        <w:rPr>
          <w:vertAlign w:val="superscript"/>
        </w:rPr>
        <w:t>th</w:t>
      </w:r>
      <w:r>
        <w:t xml:space="preserve"> September 2021 and covered 64,000 households and 272,000 resident persons</w:t>
      </w:r>
      <w:r w:rsidR="00A32D2C">
        <w:t>.</w:t>
      </w:r>
      <w:r>
        <w:t xml:space="preserve">  </w:t>
      </w:r>
      <w:r w:rsidR="00A32D2C">
        <w:t xml:space="preserve">The pilot </w:t>
      </w:r>
      <w:r>
        <w:t xml:space="preserve">used nearly all the techniques foreseen for the main census. UNFPA provided technical assistance in the form of a GIS Expert, Data Experts, Institutional Capacity Assessment </w:t>
      </w:r>
      <w:proofErr w:type="gramStart"/>
      <w:r>
        <w:t>Expert</w:t>
      </w:r>
      <w:proofErr w:type="gramEnd"/>
      <w:r>
        <w:t xml:space="preserve"> and a communications firm to support the development of a census communications strategy, all of which will contribute to strengthened capacity of NISR to successfully conduct the 2022 Census. Recommendations from the Capacity Needs Assessment were taken forward including through the procurement of 201 laptops and related software and accessories as part of the institutional strengthening of NISR</w:t>
      </w:r>
      <w:r w:rsidR="00A32D2C">
        <w:t>,</w:t>
      </w:r>
      <w:r>
        <w:t xml:space="preserve"> particularly with regards to data transmission and data analysis during and after the census. UNFPA further facilitated south-to-south learning between Rwanda and Ghana for experience and knowledge sharing between the 2 countries particularly with regards to conducting digital census.</w:t>
      </w:r>
      <w:r w:rsidR="00A32D2C">
        <w:t xml:space="preserve"> </w:t>
      </w:r>
      <w:r>
        <w:t xml:space="preserve">Under the leadership of the RC and UNFPA, the One UN continued its advocacy and resource </w:t>
      </w:r>
      <w:r w:rsidR="000F4601">
        <w:t>mobilization</w:t>
      </w:r>
      <w:r>
        <w:t xml:space="preserve"> efforts in support of the Census. This </w:t>
      </w:r>
      <w:proofErr w:type="gramStart"/>
      <w:r>
        <w:t>include</w:t>
      </w:r>
      <w:proofErr w:type="gramEnd"/>
      <w:r w:rsidR="00A32D2C">
        <w:t xml:space="preserve"> </w:t>
      </w:r>
      <w:r>
        <w:t xml:space="preserve">amongst Development Partners, both in-country and those without physical presence, and also co-convening Development Partners Meetings in partnership with MINECOFIN as part of the resource </w:t>
      </w:r>
      <w:r w:rsidR="000F4601">
        <w:t>mobilization</w:t>
      </w:r>
      <w:r>
        <w:t xml:space="preserve"> strategy for the census. </w:t>
      </w:r>
    </w:p>
    <w:p w14:paraId="0C1E7C7B" w14:textId="77777777" w:rsidR="00B12F87" w:rsidRDefault="00B12F87">
      <w:pPr>
        <w:pBdr>
          <w:top w:val="nil"/>
          <w:left w:val="nil"/>
          <w:bottom w:val="nil"/>
          <w:right w:val="nil"/>
          <w:between w:val="nil"/>
        </w:pBdr>
        <w:spacing w:line="276" w:lineRule="auto"/>
        <w:ind w:left="720"/>
        <w:jc w:val="both"/>
        <w:rPr>
          <w:highlight w:val="yellow"/>
        </w:rPr>
      </w:pPr>
    </w:p>
    <w:p w14:paraId="089A3D00" w14:textId="77777777" w:rsidR="00B12F87" w:rsidRDefault="00522EDD">
      <w:pPr>
        <w:numPr>
          <w:ilvl w:val="0"/>
          <w:numId w:val="4"/>
        </w:numPr>
        <w:pBdr>
          <w:top w:val="nil"/>
          <w:left w:val="nil"/>
          <w:bottom w:val="nil"/>
          <w:right w:val="nil"/>
          <w:between w:val="nil"/>
        </w:pBdr>
        <w:spacing w:line="276" w:lineRule="auto"/>
        <w:jc w:val="both"/>
      </w:pPr>
      <w:r>
        <w:rPr>
          <w:b/>
        </w:rPr>
        <w:t>Final reports of the 6</w:t>
      </w:r>
      <w:r>
        <w:rPr>
          <w:b/>
          <w:vertAlign w:val="superscript"/>
        </w:rPr>
        <w:t>th</w:t>
      </w:r>
      <w:r>
        <w:rPr>
          <w:b/>
        </w:rPr>
        <w:t xml:space="preserve"> Rwanda Demographic and Health Survey (RDHS6) and the 2019-2020 Integrated Household Living Conditions Survey (EICV) published and disseminated</w:t>
      </w:r>
    </w:p>
    <w:p w14:paraId="2022D2F6" w14:textId="4909E175" w:rsidR="00B12F87" w:rsidRPr="000811B8" w:rsidRDefault="00522EDD">
      <w:pPr>
        <w:pBdr>
          <w:top w:val="nil"/>
          <w:left w:val="nil"/>
          <w:bottom w:val="nil"/>
          <w:right w:val="nil"/>
          <w:between w:val="nil"/>
        </w:pBdr>
        <w:spacing w:line="276" w:lineRule="auto"/>
        <w:jc w:val="both"/>
      </w:pPr>
      <w:r w:rsidRPr="00211E67">
        <w:t xml:space="preserve">Key achievements in 2021 include the publication and dissemination of the RDHS 2019-2020 full thematic report and the Household Survey 2019-2020.  </w:t>
      </w:r>
      <w:r w:rsidRPr="000811B8">
        <w:t xml:space="preserve">Technical and financial support was provided to the process of developing, </w:t>
      </w:r>
      <w:proofErr w:type="gramStart"/>
      <w:r w:rsidRPr="000811B8">
        <w:t>implementing</w:t>
      </w:r>
      <w:proofErr w:type="gramEnd"/>
      <w:r w:rsidRPr="000811B8">
        <w:t xml:space="preserve"> and finalizing the RDHS 2019-2020 published in October 2021. The report forms the basis upon which further analysis will be undertaken including district profiles and the W</w:t>
      </w:r>
      <w:r w:rsidR="003923CF">
        <w:t>ater, Sanitation and Health (W</w:t>
      </w:r>
      <w:r w:rsidRPr="000811B8">
        <w:t>ASH</w:t>
      </w:r>
      <w:r w:rsidR="003923CF">
        <w:t>)</w:t>
      </w:r>
      <w:r w:rsidRPr="000811B8">
        <w:t xml:space="preserve"> Index</w:t>
      </w:r>
      <w:r w:rsidR="003923CF">
        <w:t>.</w:t>
      </w:r>
      <w:r w:rsidRPr="000811B8">
        <w:t xml:space="preserve"> P</w:t>
      </w:r>
      <w:r w:rsidR="002F7BCE" w:rsidRPr="000811B8">
        <w:t xml:space="preserve">lanning </w:t>
      </w:r>
      <w:r w:rsidRPr="000811B8">
        <w:t>M</w:t>
      </w:r>
      <w:r w:rsidR="002F7BCE" w:rsidRPr="000811B8">
        <w:t xml:space="preserve">onitoring and </w:t>
      </w:r>
      <w:r w:rsidRPr="000811B8">
        <w:t>E</w:t>
      </w:r>
      <w:r w:rsidR="002F7BCE" w:rsidRPr="000811B8">
        <w:t>valuation (PME)</w:t>
      </w:r>
      <w:r w:rsidRPr="000811B8">
        <w:t xml:space="preserve"> provided technical and financial support to NISR to build the capacity of national and sub-national government</w:t>
      </w:r>
      <w:r w:rsidR="00CC1ED2">
        <w:t>,</w:t>
      </w:r>
      <w:r w:rsidRPr="000811B8">
        <w:t xml:space="preserve"> CSO staff in data analysis, dissemination and data use targeting high school teachers, university lecturers</w:t>
      </w:r>
      <w:r w:rsidR="00CC1ED2">
        <w:t>,</w:t>
      </w:r>
      <w:r w:rsidRPr="000811B8">
        <w:t xml:space="preserve"> researchers, and students. </w:t>
      </w:r>
    </w:p>
    <w:p w14:paraId="7303F66A" w14:textId="77777777" w:rsidR="00B12F87" w:rsidRPr="000811B8" w:rsidRDefault="00B12F87">
      <w:pPr>
        <w:pBdr>
          <w:top w:val="nil"/>
          <w:left w:val="nil"/>
          <w:bottom w:val="nil"/>
          <w:right w:val="nil"/>
          <w:between w:val="nil"/>
        </w:pBdr>
        <w:spacing w:line="276" w:lineRule="auto"/>
        <w:jc w:val="both"/>
      </w:pPr>
    </w:p>
    <w:p w14:paraId="7A11328C" w14:textId="77777777" w:rsidR="00B12F87" w:rsidRPr="00211E67" w:rsidRDefault="00522EDD">
      <w:pPr>
        <w:numPr>
          <w:ilvl w:val="0"/>
          <w:numId w:val="4"/>
        </w:numPr>
        <w:pBdr>
          <w:top w:val="nil"/>
          <w:left w:val="nil"/>
          <w:bottom w:val="nil"/>
          <w:right w:val="nil"/>
          <w:between w:val="nil"/>
        </w:pBdr>
        <w:spacing w:line="276" w:lineRule="auto"/>
        <w:jc w:val="both"/>
      </w:pPr>
      <w:r w:rsidRPr="00211E67">
        <w:rPr>
          <w:b/>
        </w:rPr>
        <w:t>Gender statistical reports</w:t>
      </w:r>
      <w:r w:rsidRPr="00211E67">
        <w:t xml:space="preserve"> </w:t>
      </w:r>
    </w:p>
    <w:p w14:paraId="00CD1063" w14:textId="77777777" w:rsidR="00B12F87" w:rsidRPr="000811B8" w:rsidRDefault="00522EDD">
      <w:pPr>
        <w:pBdr>
          <w:top w:val="nil"/>
          <w:left w:val="nil"/>
          <w:bottom w:val="nil"/>
          <w:right w:val="nil"/>
          <w:between w:val="nil"/>
        </w:pBdr>
        <w:spacing w:line="276" w:lineRule="auto"/>
        <w:jc w:val="both"/>
      </w:pPr>
      <w:r w:rsidRPr="000811B8">
        <w:t xml:space="preserve">Under the 2030 Agenda for the Sustainable Development Goals (SDGs), Member States committed to ensure “no one will be left behind”, with gender equality established as a stand-alone goal and a central fundamental to achieving an inclusive and sustainable development agenda by 2030. Ensuring the translation of these commitments into effective action requires disaggregated data to address all the vulnerable groups, particularly women and girls. Within this framework, UN Women in partnership with the National Institute of Statistics of Rwanda (NISR) produced </w:t>
      </w:r>
      <w:r w:rsidRPr="000811B8">
        <w:rPr>
          <w:b/>
        </w:rPr>
        <w:t xml:space="preserve">a gender thematic report from the 2020 annual </w:t>
      </w:r>
      <w:proofErr w:type="spellStart"/>
      <w:r w:rsidRPr="000811B8">
        <w:rPr>
          <w:b/>
        </w:rPr>
        <w:t>labour</w:t>
      </w:r>
      <w:proofErr w:type="spellEnd"/>
      <w:r w:rsidRPr="000811B8">
        <w:rPr>
          <w:b/>
        </w:rPr>
        <w:t xml:space="preserve"> force survey (May 2021) </w:t>
      </w:r>
      <w:r w:rsidRPr="000811B8">
        <w:t xml:space="preserve">with updated data on </w:t>
      </w:r>
      <w:proofErr w:type="spellStart"/>
      <w:r w:rsidRPr="000811B8">
        <w:t>labour</w:t>
      </w:r>
      <w:proofErr w:type="spellEnd"/>
      <w:r w:rsidRPr="000811B8">
        <w:t xml:space="preserve"> force participation rate of women and men, unemployment, </w:t>
      </w:r>
      <w:r w:rsidRPr="000811B8">
        <w:lastRenderedPageBreak/>
        <w:t xml:space="preserve">unpaid care work, gender pay gap, and other economic activities by women and men. In addition, UN Women contributed to the data analysis of the 6th Demographic and health survey 2019/2020 </w:t>
      </w:r>
      <w:proofErr w:type="gramStart"/>
      <w:r w:rsidRPr="000811B8">
        <w:t>in particular the</w:t>
      </w:r>
      <w:proofErr w:type="gramEnd"/>
      <w:r w:rsidRPr="000811B8">
        <w:t xml:space="preserve"> domestic violence module, with data on physical, sexual and intimate partner violence, as well as its dissemination in December 2021. The findings from these publications help to inform policy making, planning and advocacy. </w:t>
      </w:r>
    </w:p>
    <w:p w14:paraId="55FA4C41" w14:textId="77777777" w:rsidR="00B12F87" w:rsidRPr="000811B8" w:rsidRDefault="00B12F87">
      <w:pPr>
        <w:pBdr>
          <w:top w:val="nil"/>
          <w:left w:val="nil"/>
          <w:bottom w:val="nil"/>
          <w:right w:val="nil"/>
          <w:between w:val="nil"/>
        </w:pBdr>
        <w:spacing w:line="276" w:lineRule="auto"/>
        <w:ind w:left="360"/>
        <w:jc w:val="both"/>
      </w:pPr>
    </w:p>
    <w:p w14:paraId="7E4C2C7B" w14:textId="77777777" w:rsidR="00B12F87" w:rsidRPr="000811B8" w:rsidRDefault="00522EDD">
      <w:pPr>
        <w:pBdr>
          <w:top w:val="nil"/>
          <w:left w:val="nil"/>
          <w:bottom w:val="nil"/>
          <w:right w:val="nil"/>
          <w:between w:val="nil"/>
        </w:pBdr>
        <w:spacing w:line="276" w:lineRule="auto"/>
        <w:ind w:hanging="2"/>
        <w:jc w:val="both"/>
      </w:pPr>
      <w:r w:rsidRPr="000811B8">
        <w:rPr>
          <w:b/>
        </w:rPr>
        <w:t>Indicator 6.1.2: Sectoral MISs and administrative data systems fully functional</w:t>
      </w:r>
    </w:p>
    <w:p w14:paraId="4B53724E" w14:textId="77777777" w:rsidR="00B12F87" w:rsidRPr="000811B8" w:rsidRDefault="00B12F87">
      <w:pPr>
        <w:pBdr>
          <w:top w:val="nil"/>
          <w:left w:val="nil"/>
          <w:bottom w:val="nil"/>
          <w:right w:val="nil"/>
          <w:between w:val="nil"/>
        </w:pBdr>
        <w:spacing w:line="276" w:lineRule="auto"/>
        <w:ind w:hanging="2"/>
        <w:jc w:val="both"/>
      </w:pPr>
    </w:p>
    <w:p w14:paraId="5B54EB7B" w14:textId="0B08ECC1" w:rsidR="00B12F87" w:rsidRPr="000811B8" w:rsidRDefault="00522EDD">
      <w:pPr>
        <w:numPr>
          <w:ilvl w:val="0"/>
          <w:numId w:val="4"/>
        </w:numPr>
        <w:pBdr>
          <w:top w:val="nil"/>
          <w:left w:val="nil"/>
          <w:bottom w:val="nil"/>
          <w:right w:val="nil"/>
          <w:between w:val="nil"/>
        </w:pBdr>
        <w:spacing w:line="276" w:lineRule="auto"/>
        <w:jc w:val="both"/>
      </w:pPr>
      <w:r w:rsidRPr="000811B8">
        <w:rPr>
          <w:b/>
        </w:rPr>
        <w:t>CRVS system strengthened.</w:t>
      </w:r>
    </w:p>
    <w:p w14:paraId="63DAC305" w14:textId="1B1B22B8" w:rsidR="00B12F87" w:rsidRPr="000811B8" w:rsidRDefault="00522EDD">
      <w:pPr>
        <w:pBdr>
          <w:top w:val="nil"/>
          <w:left w:val="nil"/>
          <w:bottom w:val="nil"/>
          <w:right w:val="nil"/>
          <w:between w:val="nil"/>
        </w:pBdr>
        <w:spacing w:line="276" w:lineRule="auto"/>
        <w:jc w:val="both"/>
        <w:rPr>
          <w:highlight w:val="yellow"/>
        </w:rPr>
      </w:pPr>
      <w:r w:rsidRPr="000811B8">
        <w:t xml:space="preserve">The Joint </w:t>
      </w:r>
      <w:proofErr w:type="spellStart"/>
      <w:r w:rsidRPr="000811B8">
        <w:t>Programme</w:t>
      </w:r>
      <w:proofErr w:type="spellEnd"/>
      <w:r w:rsidRPr="000811B8">
        <w:t xml:space="preserve"> on data continued supporting the strengthening and implementation of the key sectoral M</w:t>
      </w:r>
      <w:r w:rsidR="004932DB" w:rsidRPr="000811B8">
        <w:t xml:space="preserve">anagement Information </w:t>
      </w:r>
      <w:r w:rsidRPr="000811B8">
        <w:t>S</w:t>
      </w:r>
      <w:r w:rsidR="004932DB" w:rsidRPr="000811B8">
        <w:t>ystems</w:t>
      </w:r>
      <w:r w:rsidRPr="000811B8">
        <w:t xml:space="preserve"> and administrative data systems, such as the Civil Registration and Vital Statistics (CRVS) system. In 2021, the system was strengthened at the community level by scaling up Verbal Autopsy (VA) which is one of the two main sources for mortality-related information along with the Medical Certification of Causes of</w:t>
      </w:r>
      <w:r w:rsidR="00865301">
        <w:t xml:space="preserve"> </w:t>
      </w:r>
      <w:r w:rsidRPr="00865301">
        <w:t xml:space="preserve">Death (MCCOD) implemented at hospital level since 2018. </w:t>
      </w:r>
      <w:r w:rsidR="004932DB" w:rsidRPr="00865301">
        <w:t>T</w:t>
      </w:r>
      <w:r w:rsidRPr="00865301">
        <w:t xml:space="preserve">he </w:t>
      </w:r>
      <w:r w:rsidR="004932DB" w:rsidRPr="00865301">
        <w:t xml:space="preserve">latest </w:t>
      </w:r>
      <w:r w:rsidRPr="00275C0F">
        <w:t>CRV</w:t>
      </w:r>
      <w:r w:rsidRPr="00726B3C">
        <w:t>S system</w:t>
      </w:r>
      <w:r w:rsidR="004932DB" w:rsidRPr="000811B8">
        <w:t xml:space="preserve"> report</w:t>
      </w:r>
      <w:r w:rsidRPr="000811B8">
        <w:t xml:space="preserve"> registered 86% of births and 30% of deaths</w:t>
      </w:r>
      <w:r w:rsidRPr="00211E67">
        <w:rPr>
          <w:vertAlign w:val="superscript"/>
        </w:rPr>
        <w:footnoteReference w:id="2"/>
      </w:r>
      <w:r w:rsidRPr="00211E67">
        <w:t>. To improve mortality reporting, technical and financial assistance were provided to the Rwanda Biomedical Center (RBC) to integrate the WHO’s 2016 VA questionnaire into the national integrated C</w:t>
      </w:r>
      <w:r w:rsidRPr="000811B8">
        <w:t>RVS system and to procure 200 Android tablets to support VA scale-up in the community in 2021. NISR is also committed to strengthening the administrative data collection system including CRVS. The Vital statistics report 2020 was released in May 2021 and routine monitoring of CRVS continues to be improved; data collection to enable compilation of vital statistics annual report 2021 is regular with births registered at health facilities reaching 95% as of end of December 2021.</w:t>
      </w:r>
    </w:p>
    <w:p w14:paraId="5A7881E3" w14:textId="77777777" w:rsidR="00B12F87" w:rsidRPr="000811B8" w:rsidRDefault="00B12F87">
      <w:pPr>
        <w:spacing w:line="276" w:lineRule="auto"/>
        <w:jc w:val="both"/>
      </w:pPr>
    </w:p>
    <w:p w14:paraId="5C1BD0F5" w14:textId="23C2C09E" w:rsidR="00B12F87" w:rsidRPr="000811B8" w:rsidRDefault="00522EDD">
      <w:pPr>
        <w:numPr>
          <w:ilvl w:val="0"/>
          <w:numId w:val="4"/>
        </w:numPr>
        <w:pBdr>
          <w:top w:val="nil"/>
          <w:left w:val="nil"/>
          <w:bottom w:val="nil"/>
          <w:right w:val="nil"/>
          <w:between w:val="nil"/>
        </w:pBdr>
        <w:spacing w:line="276" w:lineRule="auto"/>
        <w:jc w:val="both"/>
      </w:pPr>
      <w:r w:rsidRPr="000811B8">
        <w:rPr>
          <w:b/>
        </w:rPr>
        <w:t>GMIS system strengthened.</w:t>
      </w:r>
    </w:p>
    <w:p w14:paraId="322C2BA2" w14:textId="77777777" w:rsidR="00B12F87" w:rsidRPr="000811B8" w:rsidRDefault="00522EDD">
      <w:pPr>
        <w:spacing w:line="276" w:lineRule="auto"/>
        <w:jc w:val="both"/>
      </w:pPr>
      <w:r w:rsidRPr="000811B8">
        <w:t>To increase availability and harmonization of gender data across the country, UN Women through MPTF funding has provided support to the Gender Monitoring Office to upgrade the Gender Management Information System (GMIS), including developing a handbook and training of Gender Monitoring Office (GMO) staff. The new features facilitate the view of the GMO parametric report by the public, the data interpretation and infographics, data upload and validation by responsible institutions. Technical staff including GMO and district statisticians were equipped with skills to effectively manage and maintain the system, including on data entry as well as report production and wider dissemination of the information on the public portal. </w:t>
      </w:r>
    </w:p>
    <w:p w14:paraId="6392BD84" w14:textId="77777777" w:rsidR="00B12F87" w:rsidRPr="000811B8" w:rsidRDefault="00B12F87">
      <w:pPr>
        <w:spacing w:line="276" w:lineRule="auto"/>
        <w:ind w:left="720"/>
        <w:jc w:val="both"/>
      </w:pPr>
    </w:p>
    <w:p w14:paraId="0F7D5EBA" w14:textId="77777777" w:rsidR="00B12F87" w:rsidRPr="000811B8" w:rsidRDefault="00522EDD">
      <w:pPr>
        <w:spacing w:line="276" w:lineRule="auto"/>
        <w:ind w:hanging="2"/>
        <w:jc w:val="both"/>
      </w:pPr>
      <w:r w:rsidRPr="000811B8">
        <w:rPr>
          <w:b/>
        </w:rPr>
        <w:t>Indicator 6.1.3: % of SDG indicators for which data is available and monitored</w:t>
      </w:r>
    </w:p>
    <w:p w14:paraId="57A7BD04" w14:textId="77777777" w:rsidR="00B12F87" w:rsidRPr="000811B8" w:rsidRDefault="00B12F87">
      <w:pPr>
        <w:pBdr>
          <w:top w:val="nil"/>
          <w:left w:val="nil"/>
          <w:bottom w:val="nil"/>
          <w:right w:val="nil"/>
          <w:between w:val="nil"/>
        </w:pBdr>
        <w:spacing w:line="276" w:lineRule="auto"/>
        <w:jc w:val="both"/>
      </w:pPr>
    </w:p>
    <w:p w14:paraId="590B2C2D" w14:textId="77777777" w:rsidR="00B12F87" w:rsidRPr="000811B8" w:rsidRDefault="00522EDD">
      <w:pPr>
        <w:numPr>
          <w:ilvl w:val="0"/>
          <w:numId w:val="5"/>
        </w:numPr>
        <w:pBdr>
          <w:top w:val="nil"/>
          <w:left w:val="nil"/>
          <w:bottom w:val="nil"/>
          <w:right w:val="nil"/>
          <w:between w:val="nil"/>
        </w:pBdr>
        <w:spacing w:line="276" w:lineRule="auto"/>
        <w:jc w:val="both"/>
      </w:pPr>
      <w:r w:rsidRPr="000811B8">
        <w:rPr>
          <w:b/>
        </w:rPr>
        <w:t>Monitoring of Health SDGs Indicators strengthened.</w:t>
      </w:r>
    </w:p>
    <w:p w14:paraId="1CAA9F81" w14:textId="4BC4A0B5" w:rsidR="00B12F87" w:rsidRPr="00211E67" w:rsidRDefault="00522EDD">
      <w:pPr>
        <w:pBdr>
          <w:top w:val="nil"/>
          <w:left w:val="nil"/>
          <w:bottom w:val="nil"/>
          <w:right w:val="nil"/>
          <w:between w:val="nil"/>
        </w:pBdr>
        <w:spacing w:line="276" w:lineRule="auto"/>
        <w:jc w:val="both"/>
      </w:pPr>
      <w:r w:rsidRPr="000811B8">
        <w:t xml:space="preserve">The Joint </w:t>
      </w:r>
      <w:proofErr w:type="spellStart"/>
      <w:r w:rsidRPr="000811B8">
        <w:t>Programme</w:t>
      </w:r>
      <w:proofErr w:type="spellEnd"/>
      <w:r w:rsidRPr="000811B8">
        <w:t xml:space="preserve"> on Data continuously provided technical assistance to further advance SDGs Monitoring in 2021. The capacity of Monitoring and Evaluation (M&amp;E) staff from the Ministry of Health (</w:t>
      </w:r>
      <w:proofErr w:type="spellStart"/>
      <w:r w:rsidRPr="000811B8">
        <w:t>MoH</w:t>
      </w:r>
      <w:proofErr w:type="spellEnd"/>
      <w:r w:rsidRPr="000811B8">
        <w:t xml:space="preserve">) to monitor progress towards the health-related SDGs and other national and subnational health priorities was strengthened through the development of a comprehensive metadata handbook for Health-SDGs </w:t>
      </w:r>
      <w:r w:rsidRPr="000811B8">
        <w:lastRenderedPageBreak/>
        <w:t>indicators in Rwanda. Furthermore, 70% of Health SDGs indicators had at least one data point to monitor these international health targets in 2020</w:t>
      </w:r>
      <w:r w:rsidRPr="00211E67">
        <w:rPr>
          <w:vertAlign w:val="superscript"/>
        </w:rPr>
        <w:footnoteReference w:id="3"/>
      </w:r>
      <w:r w:rsidRPr="00211E67">
        <w:t>.</w:t>
      </w:r>
    </w:p>
    <w:p w14:paraId="58B5D394" w14:textId="77777777" w:rsidR="00B12F87" w:rsidRPr="000811B8" w:rsidRDefault="00B12F87">
      <w:pPr>
        <w:pBdr>
          <w:top w:val="nil"/>
          <w:left w:val="nil"/>
          <w:bottom w:val="nil"/>
          <w:right w:val="nil"/>
          <w:between w:val="nil"/>
        </w:pBdr>
        <w:spacing w:line="276" w:lineRule="auto"/>
        <w:jc w:val="both"/>
      </w:pPr>
    </w:p>
    <w:p w14:paraId="5282CC0D" w14:textId="214CBE0D" w:rsidR="00B12F87" w:rsidRPr="000811B8" w:rsidRDefault="00522EDD">
      <w:pPr>
        <w:spacing w:line="276" w:lineRule="auto"/>
        <w:jc w:val="both"/>
      </w:pPr>
      <w:r w:rsidRPr="000811B8">
        <w:t>With UNICEF’s support, NISR in partnership with high schools conduct</w:t>
      </w:r>
      <w:r w:rsidR="00865301">
        <w:t>ed</w:t>
      </w:r>
      <w:r w:rsidRPr="000811B8">
        <w:t xml:space="preserve"> ‘Reading Data with Youth’ events in four high schools; these were attended by 208 youth (121 girls, 87 boys). In 2021, 31 journalists (7 female, 24 male) increased their knowledge and skills in evidence-based storytelling through NISR training with support from PME. University lecturers and researchers have improved their capacity in data analysis and evidence. This helped them to make better use of statistics in their teaching, </w:t>
      </w:r>
      <w:proofErr w:type="gramStart"/>
      <w:r w:rsidRPr="000811B8">
        <w:t>articles</w:t>
      </w:r>
      <w:proofErr w:type="gramEnd"/>
      <w:r w:rsidRPr="000811B8">
        <w:t xml:space="preserve"> and papers which, in turn, have the potential to inform policy and </w:t>
      </w:r>
      <w:proofErr w:type="spellStart"/>
      <w:r w:rsidRPr="000811B8">
        <w:t>programme</w:t>
      </w:r>
      <w:proofErr w:type="spellEnd"/>
      <w:r w:rsidRPr="000811B8">
        <w:t xml:space="preserve"> formulation. There has also been steady improvement in the quality of infographics and in 2021, NISR organized a coaching week for 30 university students (10 female, 20 male) working on trend analysis and data visualization</w:t>
      </w:r>
      <w:r w:rsidR="00275C0F">
        <w:t xml:space="preserve"> of national surveys,</w:t>
      </w:r>
      <w:r w:rsidRPr="000811B8">
        <w:t xml:space="preserve"> covering socioeconomic indicators including children. </w:t>
      </w:r>
    </w:p>
    <w:p w14:paraId="7EDAEF27" w14:textId="77777777" w:rsidR="00B12F87" w:rsidRPr="000811B8" w:rsidRDefault="00B12F87">
      <w:pPr>
        <w:spacing w:line="276" w:lineRule="auto"/>
        <w:jc w:val="both"/>
      </w:pPr>
    </w:p>
    <w:p w14:paraId="3015A29B" w14:textId="1823B199" w:rsidR="00B12F87" w:rsidRPr="000811B8" w:rsidRDefault="00275C0F">
      <w:pPr>
        <w:spacing w:line="276" w:lineRule="auto"/>
        <w:jc w:val="both"/>
      </w:pPr>
      <w:r>
        <w:t>As well, t</w:t>
      </w:r>
      <w:r w:rsidR="00522EDD" w:rsidRPr="000811B8">
        <w:t xml:space="preserve">he capacity of NISR to monitor the implementation of SDGs through administrative systems, data storage and analysis was strengthened. UNICEF supported NISR with a refresher training on the </w:t>
      </w:r>
      <w:r w:rsidR="00522EDD" w:rsidRPr="00211E67">
        <w:t xml:space="preserve">Multiple Overlapping Deprivation Analysis (MODA) approach </w:t>
      </w:r>
      <w:r w:rsidR="00522EDD" w:rsidRPr="000811B8">
        <w:t xml:space="preserve">through online and face-to-face sessions. This increased the capacity of </w:t>
      </w:r>
      <w:r w:rsidR="000811B8">
        <w:t>26</w:t>
      </w:r>
      <w:r w:rsidR="00462BDB">
        <w:t xml:space="preserve"> </w:t>
      </w:r>
      <w:r w:rsidR="00522EDD" w:rsidRPr="000811B8">
        <w:t>statisticians to continuously measure child poverty trends and other vulnerabilities facing Rwandan children through survey data. The MODA report will contribute to discussions on evidence-based planning and budget prioritization. These efforts have been supplemented by UNICEF support to strengthen the SDG monitoring framework through administrative systems, data analysis and data storage capacities.</w:t>
      </w:r>
    </w:p>
    <w:p w14:paraId="490BDC77" w14:textId="77777777" w:rsidR="00B12F87" w:rsidRPr="000811B8" w:rsidRDefault="00B12F87">
      <w:pPr>
        <w:spacing w:line="276" w:lineRule="auto"/>
        <w:jc w:val="both"/>
      </w:pPr>
    </w:p>
    <w:p w14:paraId="671597FF" w14:textId="51560C1B" w:rsidR="00B12F87" w:rsidRPr="00211E67" w:rsidRDefault="00522EDD">
      <w:pPr>
        <w:numPr>
          <w:ilvl w:val="0"/>
          <w:numId w:val="5"/>
        </w:numPr>
        <w:pBdr>
          <w:top w:val="nil"/>
          <w:left w:val="nil"/>
          <w:bottom w:val="nil"/>
          <w:right w:val="nil"/>
          <w:between w:val="nil"/>
        </w:pBdr>
        <w:spacing w:line="276" w:lineRule="auto"/>
        <w:jc w:val="both"/>
      </w:pPr>
      <w:r w:rsidRPr="000811B8">
        <w:t>Support provided in piloting the Global SDG Dashboard Initiative</w:t>
      </w:r>
      <w:r w:rsidRPr="00211E67">
        <w:rPr>
          <w:b/>
        </w:rPr>
        <w:t xml:space="preserve">. </w:t>
      </w:r>
    </w:p>
    <w:p w14:paraId="4274F883" w14:textId="688CA574" w:rsidR="00B12F87" w:rsidRPr="000811B8" w:rsidRDefault="00522EDD">
      <w:pPr>
        <w:pBdr>
          <w:top w:val="nil"/>
          <w:left w:val="nil"/>
          <w:bottom w:val="nil"/>
          <w:right w:val="nil"/>
          <w:between w:val="nil"/>
        </w:pBdr>
        <w:spacing w:line="276" w:lineRule="auto"/>
        <w:jc w:val="both"/>
      </w:pPr>
      <w:r w:rsidRPr="000811B8">
        <w:t xml:space="preserve">The review of all SDG indicators by NISR and DESA was initiated with an initial display of 23 indicators fully matching NISR and DESA indicators. Differences in methodologies between global data reported by custodian agencies and national data compiled by NISR was reviewed and clarified </w:t>
      </w:r>
      <w:proofErr w:type="gramStart"/>
      <w:r w:rsidRPr="000811B8">
        <w:t>on the basis of</w:t>
      </w:r>
      <w:proofErr w:type="gramEnd"/>
      <w:r w:rsidRPr="000811B8">
        <w:t xml:space="preserve"> the respective metadata analysis. This will provide the basis to undertake further analytical work to unpack the Finalized Official Report data collected to strengthen policy analysis and decision making through briefs and other strategic communications materials to improve policy dialogue and debates.</w:t>
      </w:r>
    </w:p>
    <w:p w14:paraId="1C6EA27E" w14:textId="77777777" w:rsidR="00B12F87" w:rsidRPr="000811B8" w:rsidRDefault="00B12F87">
      <w:pPr>
        <w:pBdr>
          <w:top w:val="nil"/>
          <w:left w:val="nil"/>
          <w:bottom w:val="nil"/>
          <w:right w:val="nil"/>
          <w:between w:val="nil"/>
        </w:pBdr>
        <w:spacing w:line="276" w:lineRule="auto"/>
        <w:jc w:val="both"/>
      </w:pPr>
    </w:p>
    <w:p w14:paraId="5B5C7AA3" w14:textId="2CF75B62" w:rsidR="00B12F87" w:rsidRDefault="00522EDD">
      <w:pPr>
        <w:pBdr>
          <w:top w:val="nil"/>
          <w:left w:val="nil"/>
          <w:bottom w:val="nil"/>
          <w:right w:val="nil"/>
          <w:between w:val="nil"/>
        </w:pBdr>
        <w:spacing w:line="276" w:lineRule="auto"/>
        <w:jc w:val="both"/>
      </w:pPr>
      <w:r w:rsidRPr="000811B8">
        <w:t>Furthermore, with the technical support from UN Women, UNICEF, WHO and UNFPA, a new portal/hub for SDGs indicators including the gender sensitive indicators with their metadata was developed on the NISR website to facilitate the monitoring and tracking the progress of the Sustainable Development Goals (SDGs). All the indicators have been updated with recent data showing Rwanda’s progress in implementing the 2030 Agenda for sustainable development in all areas.</w:t>
      </w:r>
    </w:p>
    <w:p w14:paraId="28797779" w14:textId="77777777" w:rsidR="000811B8" w:rsidRPr="000811B8" w:rsidRDefault="000811B8">
      <w:pPr>
        <w:pBdr>
          <w:top w:val="nil"/>
          <w:left w:val="nil"/>
          <w:bottom w:val="nil"/>
          <w:right w:val="nil"/>
          <w:between w:val="nil"/>
        </w:pBdr>
        <w:spacing w:line="276" w:lineRule="auto"/>
        <w:jc w:val="both"/>
      </w:pPr>
    </w:p>
    <w:p w14:paraId="05D9A845" w14:textId="77777777" w:rsidR="00B12F87" w:rsidRPr="000811B8" w:rsidRDefault="00B12F87">
      <w:pPr>
        <w:pBdr>
          <w:top w:val="nil"/>
          <w:left w:val="nil"/>
          <w:bottom w:val="nil"/>
          <w:right w:val="nil"/>
          <w:between w:val="nil"/>
        </w:pBdr>
        <w:spacing w:line="276" w:lineRule="auto"/>
        <w:ind w:left="720"/>
        <w:jc w:val="both"/>
        <w:rPr>
          <w:highlight w:val="yellow"/>
        </w:rPr>
      </w:pPr>
    </w:p>
    <w:p w14:paraId="0A190582" w14:textId="77777777" w:rsidR="00B12F87" w:rsidRPr="000811B8" w:rsidRDefault="00522EDD">
      <w:pPr>
        <w:widowControl w:val="0"/>
        <w:pBdr>
          <w:top w:val="nil"/>
          <w:left w:val="nil"/>
          <w:bottom w:val="nil"/>
          <w:right w:val="nil"/>
          <w:between w:val="nil"/>
        </w:pBdr>
        <w:spacing w:line="276" w:lineRule="auto"/>
        <w:ind w:hanging="2"/>
        <w:jc w:val="both"/>
        <w:rPr>
          <w:shd w:val="clear" w:color="auto" w:fill="F2F2F2"/>
        </w:rPr>
      </w:pPr>
      <w:r w:rsidRPr="000811B8">
        <w:rPr>
          <w:b/>
        </w:rPr>
        <w:lastRenderedPageBreak/>
        <w:t>Indicator 6.1.4:</w:t>
      </w:r>
      <w:r w:rsidRPr="000811B8">
        <w:t xml:space="preserve">  </w:t>
      </w:r>
      <w:r w:rsidRPr="000811B8">
        <w:rPr>
          <w:b/>
        </w:rPr>
        <w:t xml:space="preserve">Number of national development strategies and frameworks that have integrated the Demographic Dividend (DD) study recommendations. </w:t>
      </w:r>
      <w:r w:rsidRPr="000811B8">
        <w:rPr>
          <w:b/>
          <w:shd w:val="clear" w:color="auto" w:fill="F2F2F2"/>
        </w:rPr>
        <w:t>(</w:t>
      </w:r>
      <w:proofErr w:type="gramStart"/>
      <w:r w:rsidRPr="000811B8">
        <w:rPr>
          <w:b/>
          <w:shd w:val="clear" w:color="auto" w:fill="F2F2F2"/>
        </w:rPr>
        <w:t>completed</w:t>
      </w:r>
      <w:proofErr w:type="gramEnd"/>
      <w:r w:rsidRPr="000811B8">
        <w:rPr>
          <w:b/>
          <w:shd w:val="clear" w:color="auto" w:fill="F2F2F2"/>
        </w:rPr>
        <w:t>, see 2020 narrative report)</w:t>
      </w:r>
    </w:p>
    <w:p w14:paraId="7CF506AB" w14:textId="77777777" w:rsidR="00B12F87" w:rsidRPr="000811B8" w:rsidRDefault="00B12F87">
      <w:pPr>
        <w:pBdr>
          <w:top w:val="nil"/>
          <w:left w:val="nil"/>
          <w:bottom w:val="nil"/>
          <w:right w:val="nil"/>
          <w:between w:val="nil"/>
        </w:pBdr>
        <w:spacing w:line="276" w:lineRule="auto"/>
        <w:ind w:left="720"/>
        <w:jc w:val="both"/>
      </w:pPr>
    </w:p>
    <w:p w14:paraId="2DD9AD1C" w14:textId="77777777" w:rsidR="00B12F87" w:rsidRPr="000811B8" w:rsidRDefault="00522EDD">
      <w:pPr>
        <w:numPr>
          <w:ilvl w:val="0"/>
          <w:numId w:val="6"/>
        </w:numPr>
        <w:spacing w:line="276" w:lineRule="auto"/>
        <w:jc w:val="both"/>
      </w:pPr>
      <w:r w:rsidRPr="000811B8">
        <w:rPr>
          <w:b/>
        </w:rPr>
        <w:t>Challenges</w:t>
      </w:r>
    </w:p>
    <w:p w14:paraId="12D2DCD9" w14:textId="77777777" w:rsidR="00B12F87" w:rsidRPr="000811B8" w:rsidRDefault="00B12F87">
      <w:pPr>
        <w:spacing w:line="276" w:lineRule="auto"/>
        <w:jc w:val="both"/>
      </w:pPr>
    </w:p>
    <w:p w14:paraId="3E6F23DC" w14:textId="4B87459A" w:rsidR="00B12F87" w:rsidRPr="000811B8" w:rsidRDefault="00522EDD">
      <w:pPr>
        <w:pBdr>
          <w:top w:val="nil"/>
          <w:left w:val="nil"/>
          <w:bottom w:val="nil"/>
          <w:right w:val="nil"/>
          <w:between w:val="nil"/>
        </w:pBdr>
        <w:spacing w:line="276" w:lineRule="auto"/>
        <w:jc w:val="both"/>
      </w:pPr>
      <w:r w:rsidRPr="000811B8">
        <w:t xml:space="preserve">The implementation of innovative health information systems to monitor Health SDGs requires considerable resource mobilization. More efforts are also needed to strengthen coordination, monitoring and evaluation system for SDGs and in addressing the </w:t>
      </w:r>
      <w:r w:rsidR="004932DB" w:rsidRPr="000811B8">
        <w:t>prevailing data gaps across sectors</w:t>
      </w:r>
      <w:r w:rsidRPr="000811B8">
        <w:t>.</w:t>
      </w:r>
    </w:p>
    <w:p w14:paraId="48BF7D26" w14:textId="77777777" w:rsidR="00B12F87" w:rsidRPr="000811B8" w:rsidRDefault="00B12F87">
      <w:pPr>
        <w:pBdr>
          <w:top w:val="nil"/>
          <w:left w:val="nil"/>
          <w:bottom w:val="nil"/>
          <w:right w:val="nil"/>
          <w:between w:val="nil"/>
        </w:pBdr>
        <w:spacing w:line="276" w:lineRule="auto"/>
        <w:jc w:val="both"/>
      </w:pPr>
    </w:p>
    <w:p w14:paraId="7530E68E" w14:textId="77777777" w:rsidR="00B12F87" w:rsidRPr="000811B8" w:rsidRDefault="00522EDD">
      <w:pPr>
        <w:pBdr>
          <w:top w:val="nil"/>
          <w:left w:val="nil"/>
          <w:bottom w:val="nil"/>
          <w:right w:val="nil"/>
          <w:between w:val="nil"/>
        </w:pBdr>
        <w:spacing w:line="276" w:lineRule="auto"/>
        <w:jc w:val="both"/>
      </w:pPr>
      <w:r w:rsidRPr="000811B8">
        <w:t>Vital statistics, which include births and deaths, are linked to over 80% of the SDGs targets and therefore critical for SDGs monitoring. Mortality data are now collected in a standardized way at hospital level since 2018 in Rwanda. However, over 60% of deaths happen in the community</w:t>
      </w:r>
      <w:r w:rsidRPr="00211E67">
        <w:rPr>
          <w:vertAlign w:val="superscript"/>
        </w:rPr>
        <w:footnoteReference w:id="4"/>
      </w:r>
      <w:r w:rsidRPr="00211E67">
        <w:t>. The scale-up of the CRVS system has therefore started using verbal autopsy to strengthen mortality reporting in the community.</w:t>
      </w:r>
    </w:p>
    <w:p w14:paraId="7009C7ED" w14:textId="3280B8ED" w:rsidR="00B12F87" w:rsidRPr="000811B8" w:rsidRDefault="00522EDD">
      <w:pPr>
        <w:spacing w:before="240" w:after="240" w:line="276" w:lineRule="auto"/>
        <w:jc w:val="both"/>
      </w:pPr>
      <w:r w:rsidRPr="000811B8">
        <w:t>There have been delays in implementation caused by the challenges brought on by the COVID-19 pandemic</w:t>
      </w:r>
      <w:r w:rsidR="004932DB" w:rsidRPr="000811B8">
        <w:t>, with UN support</w:t>
      </w:r>
      <w:r w:rsidR="00726B3C">
        <w:t>,</w:t>
      </w:r>
      <w:r w:rsidR="004932DB" w:rsidRPr="000811B8">
        <w:t xml:space="preserve"> NISR invested heavily in the use of online surveys and remote management and monitoring of census preparatory activities to conduct a digital census</w:t>
      </w:r>
      <w:r w:rsidRPr="000811B8">
        <w:t xml:space="preserve">. </w:t>
      </w:r>
    </w:p>
    <w:p w14:paraId="533CC485" w14:textId="77777777" w:rsidR="00B12F87" w:rsidRPr="00211E67" w:rsidRDefault="00522EDD">
      <w:pPr>
        <w:numPr>
          <w:ilvl w:val="0"/>
          <w:numId w:val="6"/>
        </w:numPr>
        <w:spacing w:line="276" w:lineRule="auto"/>
        <w:jc w:val="both"/>
      </w:pPr>
      <w:r w:rsidRPr="00211E67">
        <w:rPr>
          <w:b/>
        </w:rPr>
        <w:t>Best Practices</w:t>
      </w:r>
    </w:p>
    <w:p w14:paraId="5D4BF6AF" w14:textId="2C60E8E4" w:rsidR="00B12F87" w:rsidRPr="000811B8" w:rsidRDefault="00522EDD">
      <w:pPr>
        <w:spacing w:before="120" w:after="240" w:line="276" w:lineRule="auto"/>
        <w:jc w:val="both"/>
      </w:pPr>
      <w:r w:rsidRPr="000811B8">
        <w:t xml:space="preserve">The partnership with NISR has expanded to reach other partners and has created synergy with the potential to leverage capacities and resources for a greater benefit for </w:t>
      </w:r>
      <w:r w:rsidR="004932DB" w:rsidRPr="000811B8">
        <w:t xml:space="preserve">population, particularly </w:t>
      </w:r>
      <w:r w:rsidRPr="000811B8">
        <w:t xml:space="preserve">children and women in Rwanda. Many universities, schools, media houses, the Rwanda Basic Education Board (REB) and government institutions are appreciating </w:t>
      </w:r>
      <w:r w:rsidR="004932DB" w:rsidRPr="000811B8">
        <w:t>the partnerships</w:t>
      </w:r>
      <w:r w:rsidRPr="000811B8">
        <w:t xml:space="preserve"> with </w:t>
      </w:r>
      <w:r w:rsidR="00726B3C">
        <w:t xml:space="preserve">the </w:t>
      </w:r>
      <w:r w:rsidRPr="000811B8">
        <w:t>UN in advancing evidence-based programming.</w:t>
      </w:r>
    </w:p>
    <w:p w14:paraId="464385A5" w14:textId="4A7A2BDD" w:rsidR="00B12F87" w:rsidRPr="000811B8" w:rsidRDefault="00522EDD">
      <w:pPr>
        <w:spacing w:before="120" w:after="240" w:line="276" w:lineRule="auto"/>
        <w:jc w:val="both"/>
      </w:pPr>
      <w:r w:rsidRPr="000811B8">
        <w:t xml:space="preserve">Tapping into regional expertise is good practice as always, UNFPA partnered with Economic Commission for Africa/African Centre for Statistics (ACS) to support NISR to streamline the digital census methodology and tools.  UNECA supported the provisions and settings of the dashboard in the </w:t>
      </w:r>
      <w:proofErr w:type="gramStart"/>
      <w:r w:rsidRPr="000811B8">
        <w:t>smartphones, and</w:t>
      </w:r>
      <w:proofErr w:type="gramEnd"/>
      <w:r w:rsidRPr="000811B8">
        <w:t xml:space="preserve"> worked with local Mara phones company to load the application from the factory. Rwanda will be the first country to use mobile phone technology for data collection. If successful, ECA will be sharing the tools with other countries in the region to fast track the 2020 round of censuses. </w:t>
      </w:r>
      <w:r w:rsidR="004932DB" w:rsidRPr="000811B8">
        <w:t>UNFPA availed funding</w:t>
      </w:r>
      <w:r w:rsidRPr="000811B8">
        <w:t xml:space="preserve"> for the knowledge transfer and training of enumerators in the use of the digital census dashboard.</w:t>
      </w:r>
    </w:p>
    <w:p w14:paraId="276ADE43" w14:textId="77777777" w:rsidR="00B12F87" w:rsidRPr="00211E67" w:rsidRDefault="00522EDD">
      <w:pPr>
        <w:tabs>
          <w:tab w:val="left" w:pos="360"/>
        </w:tabs>
        <w:spacing w:before="240" w:after="240" w:line="276" w:lineRule="auto"/>
        <w:jc w:val="both"/>
        <w:rPr>
          <w:b/>
        </w:rPr>
      </w:pPr>
      <w:r w:rsidRPr="00211E67">
        <w:rPr>
          <w:b/>
        </w:rPr>
        <w:t>V. Resources</w:t>
      </w:r>
    </w:p>
    <w:p w14:paraId="49DD8994" w14:textId="1CD3300C" w:rsidR="00B12F87" w:rsidRPr="000811B8" w:rsidRDefault="00522EDD">
      <w:pPr>
        <w:tabs>
          <w:tab w:val="left" w:pos="360"/>
        </w:tabs>
        <w:spacing w:before="240" w:after="240" w:line="276" w:lineRule="auto"/>
        <w:jc w:val="both"/>
      </w:pPr>
      <w:r w:rsidRPr="00726B3C">
        <w:rPr>
          <w:b/>
        </w:rPr>
        <w:t>Strengthened Partnership for Resource Mobili</w:t>
      </w:r>
      <w:r w:rsidR="00726B3C">
        <w:rPr>
          <w:b/>
        </w:rPr>
        <w:t>z</w:t>
      </w:r>
      <w:r w:rsidRPr="000811B8">
        <w:rPr>
          <w:b/>
        </w:rPr>
        <w:t>ation</w:t>
      </w:r>
      <w:r w:rsidRPr="000811B8">
        <w:t xml:space="preserve"> </w:t>
      </w:r>
    </w:p>
    <w:p w14:paraId="52F3D96B" w14:textId="5B8AE36B" w:rsidR="00B12F87" w:rsidRPr="000811B8" w:rsidRDefault="00522EDD">
      <w:pPr>
        <w:tabs>
          <w:tab w:val="left" w:pos="360"/>
        </w:tabs>
        <w:spacing w:before="240" w:after="240" w:line="276" w:lineRule="auto"/>
        <w:jc w:val="both"/>
      </w:pPr>
      <w:r w:rsidRPr="000811B8">
        <w:t xml:space="preserve">The funding received through the MPTF/SDG Fund in support of Data and Evidence-Generation remains critical and catalytic to ensure a coordinated and coherent UN support to reinforce sectoral MISs and </w:t>
      </w:r>
      <w:r w:rsidRPr="000811B8">
        <w:lastRenderedPageBreak/>
        <w:t xml:space="preserve">administrative data systems such as the CRVS and the 2022 Population and Housing Census. Funding from SIDA, administered by UNFPA, was used to support the census preparatory activities. As members of the </w:t>
      </w:r>
      <w:r w:rsidRPr="003A3DF4">
        <w:t>N</w:t>
      </w:r>
      <w:r w:rsidR="003A3DF4">
        <w:t xml:space="preserve">ational </w:t>
      </w:r>
      <w:r w:rsidRPr="003A3DF4">
        <w:t>S</w:t>
      </w:r>
      <w:r w:rsidR="003A3DF4">
        <w:t xml:space="preserve">trategy for the </w:t>
      </w:r>
      <w:r w:rsidRPr="003A3DF4">
        <w:t>D</w:t>
      </w:r>
      <w:r w:rsidR="003A3DF4">
        <w:t xml:space="preserve">evelopment of </w:t>
      </w:r>
      <w:r w:rsidRPr="003A3DF4">
        <w:t>S</w:t>
      </w:r>
      <w:r w:rsidR="003A3DF4">
        <w:t>tatistics</w:t>
      </w:r>
      <w:r w:rsidRPr="003A3DF4">
        <w:t xml:space="preserve"> </w:t>
      </w:r>
      <w:r w:rsidR="003A3DF4">
        <w:t xml:space="preserve">(NSDS) </w:t>
      </w:r>
      <w:r w:rsidRPr="003A3DF4">
        <w:t xml:space="preserve">steering committee, UN participating agencies in the JP on Data contribute to NISR’s NSDS3 strategy by providing technical expertise and financial resources (core and non-core resources) to amplify the UN contributions to the JP on Data generation and use of </w:t>
      </w:r>
      <w:proofErr w:type="gramStart"/>
      <w:r w:rsidRPr="003A3DF4">
        <w:t>evidence</w:t>
      </w:r>
      <w:r w:rsidR="003A3DF4">
        <w:t xml:space="preserve"> </w:t>
      </w:r>
      <w:r w:rsidRPr="003A3DF4">
        <w:t>based</w:t>
      </w:r>
      <w:proofErr w:type="gramEnd"/>
      <w:r w:rsidRPr="003A3DF4">
        <w:t xml:space="preserve"> planning for transformational governance. For example, the work with the Gender Monitoring Office to upgrade the Gender Management Information System (GMIS) or UNICEF supported refresher training on the Multiple Overlapping Deprivations Analysis (MODA) approach through online and face-to-face sessions were funded from </w:t>
      </w:r>
      <w:r w:rsidR="0028656B" w:rsidRPr="003A3DF4">
        <w:t>core resources</w:t>
      </w:r>
      <w:r w:rsidRPr="003A3DF4">
        <w:t xml:space="preserve">.  For 2022, there is still a funding gap for the dissemination of new evidence from DHS 2019/2020, the Household survey 2019/2020 and the upcoming 2022 Census reports at national and subnational level. There is also a need to supporting </w:t>
      </w:r>
      <w:proofErr w:type="spellStart"/>
      <w:r w:rsidRPr="003A3DF4">
        <w:t>GoR</w:t>
      </w:r>
      <w:proofErr w:type="spellEnd"/>
      <w:r w:rsidRPr="003A3DF4">
        <w:t xml:space="preserve"> initiatives for the secondary analyses of the available data as well as conducting s</w:t>
      </w:r>
      <w:r w:rsidRPr="000811B8">
        <w:t xml:space="preserve">pecific assessments and investment cases for key issues such as a comprehensive analysis of factors driving teenage pregnancies in Rwanda, a thematic analysis of older adult’s perspective on successful ageing and policies and priority interventions for healthy ageing to enhance social protection. The UN in Rwanda will work with </w:t>
      </w:r>
      <w:proofErr w:type="spellStart"/>
      <w:r w:rsidRPr="000811B8">
        <w:t>GoR</w:t>
      </w:r>
      <w:proofErr w:type="spellEnd"/>
      <w:r w:rsidRPr="000811B8">
        <w:t xml:space="preserve"> relevant sectors to determine the research agenda.   </w:t>
      </w:r>
    </w:p>
    <w:p w14:paraId="6FE8B1DD" w14:textId="77777777" w:rsidR="00B12F87" w:rsidRDefault="00B12F87">
      <w:pPr>
        <w:pBdr>
          <w:top w:val="nil"/>
          <w:left w:val="nil"/>
          <w:bottom w:val="nil"/>
          <w:right w:val="nil"/>
          <w:between w:val="nil"/>
        </w:pBdr>
        <w:tabs>
          <w:tab w:val="left" w:pos="360"/>
        </w:tabs>
        <w:spacing w:line="276" w:lineRule="auto"/>
        <w:jc w:val="both"/>
        <w:sectPr w:rsidR="00B12F87">
          <w:headerReference w:type="default" r:id="rId8"/>
          <w:footerReference w:type="default" r:id="rId9"/>
          <w:footerReference w:type="first" r:id="rId10"/>
          <w:pgSz w:w="12240" w:h="15840"/>
          <w:pgMar w:top="540" w:right="990" w:bottom="851" w:left="806" w:header="720" w:footer="418" w:gutter="0"/>
          <w:pgNumType w:start="1"/>
          <w:cols w:space="720"/>
        </w:sectPr>
      </w:pPr>
    </w:p>
    <w:p w14:paraId="4CFC5CE0" w14:textId="77777777" w:rsidR="00B12F87" w:rsidRDefault="00522EDD">
      <w:pPr>
        <w:pBdr>
          <w:top w:val="nil"/>
          <w:left w:val="nil"/>
          <w:bottom w:val="nil"/>
          <w:right w:val="nil"/>
          <w:between w:val="nil"/>
        </w:pBdr>
        <w:tabs>
          <w:tab w:val="left" w:pos="360"/>
        </w:tabs>
        <w:spacing w:line="276" w:lineRule="auto"/>
        <w:ind w:left="720"/>
        <w:jc w:val="both"/>
      </w:pPr>
      <w:r>
        <w:rPr>
          <w:noProof/>
        </w:rPr>
        <w:lastRenderedPageBreak/>
        <mc:AlternateContent>
          <mc:Choice Requires="wps">
            <w:drawing>
              <wp:anchor distT="0" distB="0" distL="114300" distR="114300" simplePos="0" relativeHeight="251662336" behindDoc="0" locked="0" layoutInCell="1" hidden="0" allowOverlap="1" wp14:anchorId="076B2068" wp14:editId="33C6E3B7">
                <wp:simplePos x="0" y="0"/>
                <wp:positionH relativeFrom="column">
                  <wp:posOffset>-520699</wp:posOffset>
                </wp:positionH>
                <wp:positionV relativeFrom="paragraph">
                  <wp:posOffset>-177799</wp:posOffset>
                </wp:positionV>
                <wp:extent cx="9455785" cy="300990"/>
                <wp:effectExtent l="0" t="0" r="0" b="0"/>
                <wp:wrapNone/>
                <wp:docPr id="1" name="Rectangle 1"/>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19A3E1AD" w14:textId="77777777" w:rsidR="00B12F87" w:rsidRDefault="00522EDD">
                            <w:pPr>
                              <w:jc w:val="center"/>
                              <w:textDirection w:val="btLr"/>
                            </w:pPr>
                            <w:r>
                              <w:rPr>
                                <w:rFonts w:ascii="Arial" w:eastAsia="Arial" w:hAnsi="Arial" w:cs="Arial"/>
                                <w:b/>
                                <w:color w:val="000000"/>
                              </w:rPr>
                              <w:t>ii) Indicator Based Performance Assessment:</w:t>
                            </w:r>
                          </w:p>
                          <w:p w14:paraId="3F155EE6" w14:textId="77777777" w:rsidR="00B12F87" w:rsidRDefault="00B12F87">
                            <w:pPr>
                              <w:textDirection w:val="btLr"/>
                            </w:pPr>
                          </w:p>
                        </w:txbxContent>
                      </wps:txbx>
                      <wps:bodyPr spcFirstLastPara="1" wrap="square" lIns="91425" tIns="45700" rIns="91425" bIns="45700" anchor="t" anchorCtr="0">
                        <a:noAutofit/>
                      </wps:bodyPr>
                    </wps:wsp>
                  </a:graphicData>
                </a:graphic>
              </wp:anchor>
            </w:drawing>
          </mc:Choice>
          <mc:Fallback>
            <w:pict>
              <v:rect w14:anchorId="076B2068" id="Rectangle 1" o:spid="_x0000_s1030" style="position:absolute;left:0;text-align:left;margin-left:-41pt;margin-top:-14pt;width:744.55pt;height:2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" fillcolor="#f2f2f2" strokecolor="#d8d8d8">
                <v:stroke startarrowwidth="narrow" startarrowlength="short" endarrowwidth="narrow" endarrowlength="short"/>
                <v:textbox inset="2.53958mm,1.2694mm,2.53958mm,1.2694mm">
                  <w:txbxContent>
                    <w:p w14:paraId="19A3E1AD" w14:textId="77777777" w:rsidR="00B12F87" w:rsidRDefault="00522EDD">
                      <w:pPr>
                        <w:jc w:val="center"/>
                        <w:textDirection w:val="btLr"/>
                      </w:pPr>
                      <w:r>
                        <w:rPr>
                          <w:rFonts w:ascii="Arial" w:eastAsia="Arial" w:hAnsi="Arial" w:cs="Arial"/>
                          <w:b/>
                          <w:color w:val="000000"/>
                        </w:rPr>
                        <w:t>ii) Indicator Based Performance Assessment:</w:t>
                      </w:r>
                    </w:p>
                    <w:p w14:paraId="3F155EE6" w14:textId="77777777" w:rsidR="00B12F87" w:rsidRDefault="00B12F87">
                      <w:pPr>
                        <w:textDirection w:val="btLr"/>
                      </w:pPr>
                    </w:p>
                  </w:txbxContent>
                </v:textbox>
              </v:rect>
            </w:pict>
          </mc:Fallback>
        </mc:AlternateContent>
      </w:r>
    </w:p>
    <w:p w14:paraId="0883E54E" w14:textId="77777777" w:rsidR="00B12F87" w:rsidRDefault="00B12F87">
      <w:pPr>
        <w:pBdr>
          <w:top w:val="nil"/>
          <w:left w:val="nil"/>
          <w:bottom w:val="nil"/>
          <w:right w:val="nil"/>
          <w:between w:val="nil"/>
        </w:pBdr>
        <w:spacing w:line="276" w:lineRule="auto"/>
        <w:jc w:val="both"/>
      </w:pPr>
    </w:p>
    <w:tbl>
      <w:tblPr>
        <w:tblStyle w:val="a1"/>
        <w:tblW w:w="141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3684"/>
        <w:gridCol w:w="3510"/>
        <w:gridCol w:w="2880"/>
      </w:tblGrid>
      <w:tr w:rsidR="00B12F87" w14:paraId="7AF1B955" w14:textId="77777777">
        <w:tc>
          <w:tcPr>
            <w:tcW w:w="4056" w:type="dxa"/>
            <w:tcBorders>
              <w:bottom w:val="single" w:sz="4" w:space="0" w:color="000000"/>
            </w:tcBorders>
          </w:tcPr>
          <w:p w14:paraId="47009257" w14:textId="77777777" w:rsidR="00B12F87" w:rsidRDefault="00B12F87">
            <w:pPr>
              <w:pBdr>
                <w:top w:val="nil"/>
                <w:left w:val="nil"/>
                <w:bottom w:val="nil"/>
                <w:right w:val="nil"/>
                <w:between w:val="nil"/>
              </w:pBdr>
              <w:spacing w:line="276" w:lineRule="auto"/>
              <w:jc w:val="both"/>
            </w:pPr>
          </w:p>
        </w:tc>
        <w:tc>
          <w:tcPr>
            <w:tcW w:w="3684" w:type="dxa"/>
            <w:tcBorders>
              <w:bottom w:val="single" w:sz="4" w:space="0" w:color="000000"/>
            </w:tcBorders>
          </w:tcPr>
          <w:p w14:paraId="7BFAE580" w14:textId="77777777" w:rsidR="00B12F87" w:rsidRDefault="00522EDD">
            <w:pPr>
              <w:spacing w:line="276" w:lineRule="auto"/>
            </w:pPr>
            <w:r>
              <w:rPr>
                <w:b/>
                <w:u w:val="single"/>
              </w:rPr>
              <w:t>Achieved</w:t>
            </w:r>
            <w:r>
              <w:rPr>
                <w:b/>
              </w:rPr>
              <w:t xml:space="preserve"> Indicator Targets</w:t>
            </w:r>
          </w:p>
        </w:tc>
        <w:tc>
          <w:tcPr>
            <w:tcW w:w="3510" w:type="dxa"/>
            <w:tcBorders>
              <w:bottom w:val="single" w:sz="4" w:space="0" w:color="000000"/>
            </w:tcBorders>
          </w:tcPr>
          <w:p w14:paraId="63434DCB" w14:textId="77777777" w:rsidR="00B12F87" w:rsidRDefault="00522EDD">
            <w:pPr>
              <w:spacing w:line="276" w:lineRule="auto"/>
            </w:pPr>
            <w:r>
              <w:rPr>
                <w:b/>
              </w:rPr>
              <w:t>Reasons for Variance with Planned Target (if any)</w:t>
            </w:r>
          </w:p>
        </w:tc>
        <w:tc>
          <w:tcPr>
            <w:tcW w:w="2880" w:type="dxa"/>
            <w:tcBorders>
              <w:bottom w:val="single" w:sz="4" w:space="0" w:color="000000"/>
            </w:tcBorders>
          </w:tcPr>
          <w:p w14:paraId="280C4CF9" w14:textId="77777777" w:rsidR="00B12F87" w:rsidRDefault="00522EDD">
            <w:pPr>
              <w:spacing w:line="276" w:lineRule="auto"/>
            </w:pPr>
            <w:r>
              <w:rPr>
                <w:b/>
              </w:rPr>
              <w:t>Source of Verification</w:t>
            </w:r>
          </w:p>
        </w:tc>
      </w:tr>
      <w:tr w:rsidR="00B12F87" w14:paraId="41E3697D" w14:textId="77777777">
        <w:tc>
          <w:tcPr>
            <w:tcW w:w="4056" w:type="dxa"/>
            <w:shd w:val="clear" w:color="auto" w:fill="D9D9D9"/>
          </w:tcPr>
          <w:p w14:paraId="265FD9A8" w14:textId="77777777" w:rsidR="00B12F87" w:rsidRDefault="00522EDD">
            <w:pPr>
              <w:spacing w:line="276" w:lineRule="auto"/>
              <w:ind w:hanging="2"/>
              <w:jc w:val="both"/>
            </w:pPr>
            <w:r>
              <w:rPr>
                <w:i/>
                <w:u w:val="single"/>
              </w:rPr>
              <w:t>Outcome 6:</w:t>
            </w:r>
            <w:r>
              <w:t xml:space="preserve"> By 2023, people in Rwanda participate more actively in democratic and development process and benefit from transparent and accountable public and private sector institutions that develop evidence-based policies and deliver quality services.</w:t>
            </w:r>
          </w:p>
          <w:p w14:paraId="462DCB89" w14:textId="77777777" w:rsidR="00B12F87" w:rsidRDefault="00B12F87">
            <w:pPr>
              <w:spacing w:line="276" w:lineRule="auto"/>
              <w:ind w:hanging="2"/>
              <w:jc w:val="both"/>
            </w:pPr>
          </w:p>
          <w:p w14:paraId="65E627E0" w14:textId="77777777" w:rsidR="00B12F87" w:rsidRDefault="00522EDD">
            <w:pPr>
              <w:spacing w:line="276" w:lineRule="auto"/>
            </w:pPr>
            <w:r>
              <w:rPr>
                <w:i/>
                <w:u w:val="single"/>
              </w:rPr>
              <w:t>Output 6.1.</w:t>
            </w:r>
            <w:r>
              <w:t xml:space="preserve"> 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t>programmes</w:t>
            </w:r>
            <w:proofErr w:type="spellEnd"/>
            <w:r>
              <w:t xml:space="preserve"> in development and humanitarian settings</w:t>
            </w:r>
          </w:p>
          <w:p w14:paraId="4994A5CD" w14:textId="77777777" w:rsidR="00B12F87" w:rsidRDefault="00B12F87">
            <w:pPr>
              <w:spacing w:line="276" w:lineRule="auto"/>
            </w:pPr>
          </w:p>
          <w:p w14:paraId="66A972C0" w14:textId="77777777" w:rsidR="00B12F87" w:rsidRDefault="00522EDD">
            <w:pPr>
              <w:spacing w:line="276" w:lineRule="auto"/>
              <w:ind w:hanging="2"/>
              <w:jc w:val="both"/>
            </w:pPr>
            <w:r>
              <w:rPr>
                <w:b/>
              </w:rPr>
              <w:t>Indicator 6.1.1:</w:t>
            </w:r>
          </w:p>
          <w:p w14:paraId="0DA42252" w14:textId="77777777" w:rsidR="00B12F87" w:rsidRDefault="00522EDD">
            <w:pPr>
              <w:spacing w:line="276" w:lineRule="auto"/>
              <w:ind w:hanging="2"/>
              <w:jc w:val="both"/>
            </w:pPr>
            <w:r>
              <w:t>Number of main national data collection exercise supported</w:t>
            </w:r>
          </w:p>
          <w:p w14:paraId="6CC54CD9" w14:textId="77777777" w:rsidR="00B12F87" w:rsidRDefault="00B12F87">
            <w:pPr>
              <w:spacing w:line="276" w:lineRule="auto"/>
              <w:ind w:hanging="2"/>
              <w:jc w:val="both"/>
            </w:pPr>
          </w:p>
          <w:p w14:paraId="68220F59" w14:textId="77777777" w:rsidR="00B12F87" w:rsidRDefault="00522EDD">
            <w:pPr>
              <w:spacing w:line="276" w:lineRule="auto"/>
              <w:ind w:hanging="2"/>
              <w:jc w:val="both"/>
            </w:pPr>
            <w:r>
              <w:rPr>
                <w:b/>
              </w:rPr>
              <w:lastRenderedPageBreak/>
              <w:t>Baseline</w:t>
            </w:r>
            <w:r>
              <w:t>: 4th PHC 2012, 2014/2015 RDHS, 2013/2014 EICV, gender statistics reports</w:t>
            </w:r>
          </w:p>
          <w:p w14:paraId="7DB3C689" w14:textId="77777777" w:rsidR="00B12F87" w:rsidRDefault="00B12F87">
            <w:pPr>
              <w:spacing w:line="276" w:lineRule="auto"/>
              <w:ind w:hanging="2"/>
              <w:jc w:val="both"/>
            </w:pPr>
          </w:p>
          <w:p w14:paraId="74D4639D" w14:textId="77777777" w:rsidR="00B12F87" w:rsidRDefault="00522EDD">
            <w:pPr>
              <w:spacing w:line="276" w:lineRule="auto"/>
            </w:pPr>
            <w:r>
              <w:rPr>
                <w:b/>
              </w:rPr>
              <w:t xml:space="preserve">Planned Target: </w:t>
            </w:r>
            <w:r>
              <w:t>5 (2022 Census Project Document; EICV; 2019/2020 RDHS, Gender statistical reports).</w:t>
            </w:r>
          </w:p>
        </w:tc>
        <w:tc>
          <w:tcPr>
            <w:tcW w:w="3684" w:type="dxa"/>
            <w:shd w:val="clear" w:color="auto" w:fill="D9D9D9"/>
          </w:tcPr>
          <w:p w14:paraId="12FE62F7" w14:textId="77777777" w:rsidR="00B12F87" w:rsidRDefault="00522EDD">
            <w:pPr>
              <w:pBdr>
                <w:top w:val="nil"/>
                <w:left w:val="nil"/>
                <w:bottom w:val="nil"/>
                <w:right w:val="nil"/>
                <w:between w:val="nil"/>
              </w:pBdr>
              <w:spacing w:line="276" w:lineRule="auto"/>
              <w:jc w:val="both"/>
            </w:pPr>
            <w:r>
              <w:lastRenderedPageBreak/>
              <w:t xml:space="preserve">The Pilot Census as one of the preparatory phases for 2022 Population and Housing Census (PHC) was successfully conducted and informed the methodologies of the PHC. </w:t>
            </w:r>
          </w:p>
          <w:p w14:paraId="44276AFB" w14:textId="77777777" w:rsidR="00B12F87" w:rsidRDefault="00B12F87">
            <w:pPr>
              <w:pBdr>
                <w:top w:val="nil"/>
                <w:left w:val="nil"/>
                <w:bottom w:val="nil"/>
                <w:right w:val="nil"/>
                <w:between w:val="nil"/>
              </w:pBdr>
              <w:spacing w:line="276" w:lineRule="auto"/>
              <w:jc w:val="both"/>
            </w:pPr>
          </w:p>
          <w:p w14:paraId="37400370" w14:textId="77777777" w:rsidR="00B12F87" w:rsidRDefault="00522EDD">
            <w:pPr>
              <w:pBdr>
                <w:top w:val="nil"/>
                <w:left w:val="nil"/>
                <w:bottom w:val="nil"/>
                <w:right w:val="nil"/>
                <w:between w:val="nil"/>
              </w:pBdr>
              <w:spacing w:line="276" w:lineRule="auto"/>
            </w:pPr>
            <w:r>
              <w:t xml:space="preserve">The 2019-2020 RDHS data analysis was successfully </w:t>
            </w:r>
            <w:proofErr w:type="gramStart"/>
            <w:r>
              <w:t>completed</w:t>
            </w:r>
            <w:proofErr w:type="gramEnd"/>
            <w:r>
              <w:t xml:space="preserve"> and the final report is available. </w:t>
            </w:r>
          </w:p>
          <w:p w14:paraId="2DD0BAE0" w14:textId="77777777" w:rsidR="00B12F87" w:rsidRDefault="00B12F87">
            <w:pPr>
              <w:pBdr>
                <w:top w:val="nil"/>
                <w:left w:val="nil"/>
                <w:bottom w:val="nil"/>
                <w:right w:val="nil"/>
                <w:between w:val="nil"/>
              </w:pBdr>
              <w:spacing w:line="276" w:lineRule="auto"/>
            </w:pPr>
          </w:p>
          <w:p w14:paraId="3B9DFF63" w14:textId="77777777" w:rsidR="00B12F87" w:rsidRDefault="00522EDD">
            <w:pPr>
              <w:pBdr>
                <w:top w:val="nil"/>
                <w:left w:val="nil"/>
                <w:bottom w:val="nil"/>
                <w:right w:val="nil"/>
                <w:between w:val="nil"/>
              </w:pBdr>
              <w:spacing w:line="276" w:lineRule="auto"/>
            </w:pPr>
            <w:r>
              <w:t>The final report of the 2019-2020 Integrated Household Living Conditions Survey (EICV) was published in April 2021.</w:t>
            </w:r>
          </w:p>
          <w:p w14:paraId="375B54E7" w14:textId="77777777" w:rsidR="00B12F87" w:rsidRDefault="00B12F87">
            <w:pPr>
              <w:pBdr>
                <w:top w:val="nil"/>
                <w:left w:val="nil"/>
                <w:bottom w:val="nil"/>
                <w:right w:val="nil"/>
                <w:between w:val="nil"/>
              </w:pBdr>
              <w:spacing w:line="276" w:lineRule="auto"/>
            </w:pPr>
          </w:p>
          <w:p w14:paraId="45D4F6E3" w14:textId="36D319A0" w:rsidR="00B12F87" w:rsidRDefault="00C73A02">
            <w:pPr>
              <w:pBdr>
                <w:top w:val="nil"/>
                <w:left w:val="nil"/>
                <w:bottom w:val="nil"/>
                <w:right w:val="nil"/>
                <w:between w:val="nil"/>
              </w:pBdr>
              <w:spacing w:line="276" w:lineRule="auto"/>
            </w:pPr>
            <w:hyperlink r:id="rId11">
              <w:r w:rsidR="00522EDD">
                <w:t>The Gender thematic report</w:t>
              </w:r>
            </w:hyperlink>
            <w:r w:rsidR="00522EDD">
              <w:t xml:space="preserve"> from the 2020 annual </w:t>
            </w:r>
            <w:proofErr w:type="spellStart"/>
            <w:r w:rsidR="00522EDD">
              <w:t>Labour</w:t>
            </w:r>
            <w:proofErr w:type="spellEnd"/>
            <w:r w:rsidR="00522EDD">
              <w:t xml:space="preserve"> Force survey is available. </w:t>
            </w:r>
          </w:p>
          <w:p w14:paraId="16103B8F" w14:textId="77777777" w:rsidR="00B12F87" w:rsidRDefault="00B12F87">
            <w:pPr>
              <w:pBdr>
                <w:top w:val="nil"/>
                <w:left w:val="nil"/>
                <w:bottom w:val="nil"/>
                <w:right w:val="nil"/>
                <w:between w:val="nil"/>
              </w:pBdr>
              <w:spacing w:line="276" w:lineRule="auto"/>
              <w:jc w:val="both"/>
            </w:pPr>
          </w:p>
        </w:tc>
        <w:tc>
          <w:tcPr>
            <w:tcW w:w="3510" w:type="dxa"/>
            <w:shd w:val="clear" w:color="auto" w:fill="D9D9D9"/>
          </w:tcPr>
          <w:p w14:paraId="07C98F4E" w14:textId="77777777" w:rsidR="00B12F87" w:rsidRDefault="00B12F87">
            <w:pPr>
              <w:pBdr>
                <w:top w:val="nil"/>
                <w:left w:val="nil"/>
                <w:bottom w:val="nil"/>
                <w:right w:val="nil"/>
                <w:between w:val="nil"/>
              </w:pBdr>
              <w:spacing w:line="276" w:lineRule="auto"/>
              <w:jc w:val="both"/>
            </w:pPr>
          </w:p>
        </w:tc>
        <w:tc>
          <w:tcPr>
            <w:tcW w:w="2880" w:type="dxa"/>
            <w:shd w:val="clear" w:color="auto" w:fill="D9D9D9"/>
          </w:tcPr>
          <w:p w14:paraId="5A8B5935" w14:textId="77777777" w:rsidR="00B12F87" w:rsidRDefault="00522EDD">
            <w:pPr>
              <w:pBdr>
                <w:top w:val="nil"/>
                <w:left w:val="nil"/>
                <w:bottom w:val="nil"/>
                <w:right w:val="nil"/>
                <w:between w:val="nil"/>
              </w:pBdr>
              <w:spacing w:line="276" w:lineRule="auto"/>
              <w:jc w:val="both"/>
            </w:pPr>
            <w:r>
              <w:t xml:space="preserve">NISR Website </w:t>
            </w:r>
          </w:p>
          <w:p w14:paraId="2EEA3719" w14:textId="77777777" w:rsidR="00B12F87" w:rsidRDefault="00B12F87">
            <w:pPr>
              <w:pBdr>
                <w:top w:val="nil"/>
                <w:left w:val="nil"/>
                <w:bottom w:val="nil"/>
                <w:right w:val="nil"/>
                <w:between w:val="nil"/>
              </w:pBdr>
              <w:spacing w:line="276" w:lineRule="auto"/>
            </w:pPr>
          </w:p>
          <w:p w14:paraId="6A5082AF" w14:textId="77777777" w:rsidR="00B12F87" w:rsidRDefault="00B12F87">
            <w:pPr>
              <w:pBdr>
                <w:top w:val="nil"/>
                <w:left w:val="nil"/>
                <w:bottom w:val="nil"/>
                <w:right w:val="nil"/>
                <w:between w:val="nil"/>
              </w:pBdr>
              <w:spacing w:line="276" w:lineRule="auto"/>
            </w:pPr>
          </w:p>
          <w:p w14:paraId="2DB27427" w14:textId="77777777" w:rsidR="00B12F87" w:rsidRDefault="00B12F87">
            <w:pPr>
              <w:pBdr>
                <w:top w:val="nil"/>
                <w:left w:val="nil"/>
                <w:bottom w:val="nil"/>
                <w:right w:val="nil"/>
                <w:between w:val="nil"/>
              </w:pBdr>
              <w:spacing w:line="276" w:lineRule="auto"/>
            </w:pPr>
          </w:p>
          <w:p w14:paraId="321ECA52" w14:textId="77777777" w:rsidR="00B12F87" w:rsidRDefault="00B12F87">
            <w:pPr>
              <w:pBdr>
                <w:top w:val="nil"/>
                <w:left w:val="nil"/>
                <w:bottom w:val="nil"/>
                <w:right w:val="nil"/>
                <w:between w:val="nil"/>
              </w:pBdr>
              <w:spacing w:line="276" w:lineRule="auto"/>
            </w:pPr>
          </w:p>
          <w:p w14:paraId="62447092" w14:textId="77777777" w:rsidR="00B12F87" w:rsidRDefault="00B12F87">
            <w:pPr>
              <w:pBdr>
                <w:top w:val="nil"/>
                <w:left w:val="nil"/>
                <w:bottom w:val="nil"/>
                <w:right w:val="nil"/>
                <w:between w:val="nil"/>
              </w:pBdr>
              <w:spacing w:line="276" w:lineRule="auto"/>
            </w:pPr>
          </w:p>
          <w:p w14:paraId="769F877F" w14:textId="77777777" w:rsidR="00B12F87" w:rsidRDefault="00B12F87">
            <w:pPr>
              <w:pBdr>
                <w:top w:val="nil"/>
                <w:left w:val="nil"/>
                <w:bottom w:val="nil"/>
                <w:right w:val="nil"/>
                <w:between w:val="nil"/>
              </w:pBdr>
              <w:spacing w:line="276" w:lineRule="auto"/>
            </w:pPr>
          </w:p>
          <w:p w14:paraId="611E1A02" w14:textId="77777777" w:rsidR="00B12F87" w:rsidRDefault="00C73A02">
            <w:pPr>
              <w:pBdr>
                <w:top w:val="nil"/>
                <w:left w:val="nil"/>
                <w:bottom w:val="nil"/>
                <w:right w:val="nil"/>
                <w:between w:val="nil"/>
              </w:pBdr>
              <w:spacing w:line="276" w:lineRule="auto"/>
            </w:pPr>
            <w:hyperlink r:id="rId12">
              <w:r w:rsidR="00522EDD">
                <w:rPr>
                  <w:u w:val="single"/>
                </w:rPr>
                <w:t>http://statistics.gov.rw/publication/1724</w:t>
              </w:r>
            </w:hyperlink>
          </w:p>
          <w:p w14:paraId="5AD896C4" w14:textId="77777777" w:rsidR="00B12F87" w:rsidRDefault="00B12F87">
            <w:pPr>
              <w:pBdr>
                <w:top w:val="nil"/>
                <w:left w:val="nil"/>
                <w:bottom w:val="nil"/>
                <w:right w:val="nil"/>
                <w:between w:val="nil"/>
              </w:pBdr>
              <w:spacing w:line="276" w:lineRule="auto"/>
              <w:jc w:val="both"/>
            </w:pPr>
          </w:p>
          <w:p w14:paraId="421CC774" w14:textId="77777777" w:rsidR="00B12F87" w:rsidRDefault="00B12F87">
            <w:pPr>
              <w:pBdr>
                <w:top w:val="nil"/>
                <w:left w:val="nil"/>
                <w:bottom w:val="nil"/>
                <w:right w:val="nil"/>
                <w:between w:val="nil"/>
              </w:pBdr>
              <w:spacing w:line="276" w:lineRule="auto"/>
              <w:jc w:val="both"/>
            </w:pPr>
          </w:p>
          <w:p w14:paraId="651C7658" w14:textId="77777777" w:rsidR="00B12F87" w:rsidRDefault="00522EDD">
            <w:pPr>
              <w:pBdr>
                <w:top w:val="nil"/>
                <w:left w:val="nil"/>
                <w:bottom w:val="nil"/>
                <w:right w:val="nil"/>
                <w:between w:val="nil"/>
              </w:pBdr>
              <w:spacing w:line="276" w:lineRule="auto"/>
              <w:jc w:val="both"/>
            </w:pPr>
            <w:r>
              <w:t>https://www.statistics.gov.rw/publication/rwanda-household-survey-20192020</w:t>
            </w:r>
          </w:p>
          <w:p w14:paraId="0FF4F992" w14:textId="77777777" w:rsidR="00B12F87" w:rsidRDefault="00B12F87">
            <w:pPr>
              <w:pBdr>
                <w:top w:val="nil"/>
                <w:left w:val="nil"/>
                <w:bottom w:val="nil"/>
                <w:right w:val="nil"/>
                <w:between w:val="nil"/>
              </w:pBdr>
              <w:spacing w:line="276" w:lineRule="auto"/>
              <w:jc w:val="both"/>
            </w:pPr>
          </w:p>
          <w:p w14:paraId="44170339" w14:textId="77777777" w:rsidR="00B12F87" w:rsidRDefault="00C73A02">
            <w:pPr>
              <w:pBdr>
                <w:top w:val="nil"/>
                <w:left w:val="nil"/>
                <w:bottom w:val="nil"/>
                <w:right w:val="nil"/>
                <w:between w:val="nil"/>
              </w:pBdr>
              <w:spacing w:line="276" w:lineRule="auto"/>
              <w:jc w:val="both"/>
            </w:pPr>
            <w:hyperlink r:id="rId13">
              <w:r w:rsidR="00522EDD">
                <w:rPr>
                  <w:u w:val="single"/>
                </w:rPr>
                <w:t>http://statistics.gov.rw/publication/labour-force-survey-2020-thematic-report-gender</w:t>
              </w:r>
            </w:hyperlink>
          </w:p>
        </w:tc>
      </w:tr>
      <w:tr w:rsidR="00B12F87" w14:paraId="0F784EEB" w14:textId="77777777">
        <w:trPr>
          <w:cantSplit/>
          <w:trHeight w:val="1470"/>
        </w:trPr>
        <w:tc>
          <w:tcPr>
            <w:tcW w:w="4056" w:type="dxa"/>
            <w:vMerge w:val="restart"/>
          </w:tcPr>
          <w:p w14:paraId="4C52BAB3" w14:textId="77777777" w:rsidR="00B12F87" w:rsidRDefault="00522EDD">
            <w:pPr>
              <w:pBdr>
                <w:top w:val="nil"/>
                <w:left w:val="nil"/>
                <w:bottom w:val="nil"/>
                <w:right w:val="nil"/>
                <w:between w:val="nil"/>
              </w:pBdr>
              <w:spacing w:line="276" w:lineRule="auto"/>
              <w:ind w:hanging="2"/>
              <w:jc w:val="both"/>
            </w:pPr>
            <w:r>
              <w:rPr>
                <w:b/>
              </w:rPr>
              <w:t>Indicator 6.1.2</w:t>
            </w:r>
            <w:r>
              <w:t>:</w:t>
            </w:r>
          </w:p>
          <w:p w14:paraId="1CD13A26" w14:textId="77777777" w:rsidR="00B12F87" w:rsidRDefault="00522EDD">
            <w:pPr>
              <w:pBdr>
                <w:top w:val="nil"/>
                <w:left w:val="nil"/>
                <w:bottom w:val="nil"/>
                <w:right w:val="nil"/>
                <w:between w:val="nil"/>
              </w:pBdr>
              <w:spacing w:line="276" w:lineRule="auto"/>
              <w:ind w:hanging="2"/>
              <w:jc w:val="both"/>
            </w:pPr>
            <w:r>
              <w:t>Sectoral MISs and administrative data systems fully functional.</w:t>
            </w:r>
          </w:p>
          <w:p w14:paraId="21B08478" w14:textId="77777777" w:rsidR="00B12F87" w:rsidRDefault="00B12F87">
            <w:pPr>
              <w:pBdr>
                <w:top w:val="nil"/>
                <w:left w:val="nil"/>
                <w:bottom w:val="nil"/>
                <w:right w:val="nil"/>
                <w:between w:val="nil"/>
              </w:pBdr>
              <w:spacing w:line="276" w:lineRule="auto"/>
              <w:ind w:hanging="2"/>
              <w:jc w:val="both"/>
            </w:pPr>
          </w:p>
          <w:p w14:paraId="0BD6C012" w14:textId="77777777" w:rsidR="00B12F87" w:rsidRDefault="00522EDD">
            <w:pPr>
              <w:pBdr>
                <w:top w:val="nil"/>
                <w:left w:val="nil"/>
                <w:bottom w:val="nil"/>
                <w:right w:val="nil"/>
                <w:between w:val="nil"/>
              </w:pBdr>
              <w:spacing w:line="276" w:lineRule="auto"/>
              <w:ind w:hanging="2"/>
              <w:jc w:val="both"/>
            </w:pPr>
            <w:r>
              <w:rPr>
                <w:b/>
              </w:rPr>
              <w:t>Baseline</w:t>
            </w:r>
            <w:r>
              <w:t>: No (CRVS, GMIS, HMIS and ID registration for refugees in place but not fully functional).</w:t>
            </w:r>
          </w:p>
          <w:p w14:paraId="48932929" w14:textId="77777777" w:rsidR="00B12F87" w:rsidRDefault="00B12F87">
            <w:pPr>
              <w:pBdr>
                <w:top w:val="nil"/>
                <w:left w:val="nil"/>
                <w:bottom w:val="nil"/>
                <w:right w:val="nil"/>
                <w:between w:val="nil"/>
              </w:pBdr>
              <w:spacing w:line="276" w:lineRule="auto"/>
              <w:ind w:hanging="2"/>
              <w:jc w:val="both"/>
            </w:pPr>
          </w:p>
          <w:p w14:paraId="509EF3B1" w14:textId="77777777" w:rsidR="00B12F87" w:rsidRDefault="00522EDD">
            <w:pPr>
              <w:spacing w:line="276" w:lineRule="auto"/>
            </w:pPr>
            <w:r>
              <w:rPr>
                <w:b/>
              </w:rPr>
              <w:t xml:space="preserve">Planned target: </w:t>
            </w:r>
            <w:r>
              <w:t>Yes (CRVS, GMIS, HMIS fully functional and producing timely, quality data, Refugees ID Registration fully functional).</w:t>
            </w:r>
          </w:p>
          <w:p w14:paraId="7CF7B96B" w14:textId="77777777" w:rsidR="00B12F87" w:rsidRDefault="00B12F87">
            <w:pPr>
              <w:pBdr>
                <w:top w:val="nil"/>
                <w:left w:val="nil"/>
                <w:bottom w:val="nil"/>
                <w:right w:val="nil"/>
                <w:between w:val="nil"/>
              </w:pBdr>
              <w:spacing w:line="276" w:lineRule="auto"/>
              <w:jc w:val="both"/>
            </w:pPr>
          </w:p>
        </w:tc>
        <w:tc>
          <w:tcPr>
            <w:tcW w:w="3684" w:type="dxa"/>
          </w:tcPr>
          <w:p w14:paraId="46914232" w14:textId="77777777" w:rsidR="00B12F87" w:rsidRDefault="00522EDD">
            <w:pPr>
              <w:pBdr>
                <w:top w:val="nil"/>
                <w:left w:val="nil"/>
                <w:bottom w:val="nil"/>
                <w:right w:val="nil"/>
                <w:between w:val="nil"/>
              </w:pBdr>
              <w:spacing w:line="276" w:lineRule="auto"/>
              <w:jc w:val="both"/>
            </w:pPr>
            <w:r>
              <w:t>The CRVS is functional at hospital level and the system registered 86% of births and 30% of deaths in 2020 countrywide.</w:t>
            </w:r>
          </w:p>
          <w:p w14:paraId="4DA5499C" w14:textId="77777777" w:rsidR="00B12F87" w:rsidRDefault="00B12F87">
            <w:pPr>
              <w:pBdr>
                <w:top w:val="nil"/>
                <w:left w:val="nil"/>
                <w:bottom w:val="nil"/>
                <w:right w:val="nil"/>
                <w:between w:val="nil"/>
              </w:pBdr>
              <w:spacing w:line="276" w:lineRule="auto"/>
            </w:pPr>
          </w:p>
        </w:tc>
        <w:tc>
          <w:tcPr>
            <w:tcW w:w="3510" w:type="dxa"/>
          </w:tcPr>
          <w:p w14:paraId="5905D085" w14:textId="77777777" w:rsidR="00B12F87" w:rsidRDefault="00522EDD">
            <w:pPr>
              <w:pBdr>
                <w:top w:val="nil"/>
                <w:left w:val="nil"/>
                <w:bottom w:val="nil"/>
                <w:right w:val="nil"/>
                <w:between w:val="nil"/>
              </w:pBdr>
              <w:spacing w:line="276" w:lineRule="auto"/>
              <w:jc w:val="both"/>
            </w:pPr>
            <w:r>
              <w:t xml:space="preserve">The high proportion of deaths (60%) occurring outside the hospitals requires the scale-up of techniques such as verbal autopsy to strengthen the CRVS system nationwide. </w:t>
            </w:r>
          </w:p>
        </w:tc>
        <w:tc>
          <w:tcPr>
            <w:tcW w:w="2880" w:type="dxa"/>
          </w:tcPr>
          <w:p w14:paraId="4F1D58E7" w14:textId="77777777" w:rsidR="00B12F87" w:rsidRDefault="00522EDD">
            <w:pPr>
              <w:pBdr>
                <w:top w:val="nil"/>
                <w:left w:val="nil"/>
                <w:bottom w:val="nil"/>
                <w:right w:val="nil"/>
                <w:between w:val="nil"/>
              </w:pBdr>
              <w:spacing w:line="276" w:lineRule="auto"/>
            </w:pPr>
            <w:r>
              <w:t xml:space="preserve">2020 NISR Vital Statistics </w:t>
            </w:r>
          </w:p>
          <w:bookmarkStart w:id="7" w:name="_3znysh7" w:colFirst="0" w:colLast="0"/>
          <w:bookmarkEnd w:id="7"/>
          <w:p w14:paraId="33E886E9" w14:textId="77777777" w:rsidR="00B12F87" w:rsidRDefault="00522EDD">
            <w:pPr>
              <w:pBdr>
                <w:top w:val="nil"/>
                <w:left w:val="nil"/>
                <w:bottom w:val="nil"/>
                <w:right w:val="nil"/>
                <w:between w:val="nil"/>
              </w:pBdr>
              <w:spacing w:line="276" w:lineRule="auto"/>
              <w:jc w:val="both"/>
            </w:pPr>
            <w:r>
              <w:fldChar w:fldCharType="begin"/>
            </w:r>
            <w:r>
              <w:instrText xml:space="preserve"> HYPERLINK "https://www.statistics.gov.rw/publication/1705" \h </w:instrText>
            </w:r>
            <w:r>
              <w:fldChar w:fldCharType="separate"/>
            </w:r>
            <w:r>
              <w:rPr>
                <w:u w:val="single"/>
              </w:rPr>
              <w:t>https://www.statistics.gov.rw/publication/1705</w:t>
            </w:r>
            <w:r>
              <w:rPr>
                <w:u w:val="single"/>
              </w:rPr>
              <w:fldChar w:fldCharType="end"/>
            </w:r>
            <w:r>
              <w:t xml:space="preserve"> </w:t>
            </w:r>
          </w:p>
          <w:p w14:paraId="7A8C6F2F" w14:textId="77777777" w:rsidR="00B12F87" w:rsidRDefault="00B12F87">
            <w:pPr>
              <w:pBdr>
                <w:top w:val="nil"/>
                <w:left w:val="nil"/>
                <w:bottom w:val="nil"/>
                <w:right w:val="nil"/>
                <w:between w:val="nil"/>
              </w:pBdr>
              <w:spacing w:line="276" w:lineRule="auto"/>
              <w:jc w:val="both"/>
            </w:pPr>
          </w:p>
          <w:p w14:paraId="78925668" w14:textId="77777777" w:rsidR="00B12F87" w:rsidRDefault="00B12F87">
            <w:pPr>
              <w:pBdr>
                <w:top w:val="nil"/>
                <w:left w:val="nil"/>
                <w:bottom w:val="nil"/>
                <w:right w:val="nil"/>
                <w:between w:val="nil"/>
              </w:pBdr>
              <w:spacing w:line="276" w:lineRule="auto"/>
              <w:jc w:val="both"/>
            </w:pPr>
          </w:p>
          <w:p w14:paraId="2109C932" w14:textId="77777777" w:rsidR="00B12F87" w:rsidRDefault="00B12F87">
            <w:pPr>
              <w:pBdr>
                <w:top w:val="nil"/>
                <w:left w:val="nil"/>
                <w:bottom w:val="nil"/>
                <w:right w:val="nil"/>
                <w:between w:val="nil"/>
              </w:pBdr>
              <w:spacing w:line="276" w:lineRule="auto"/>
            </w:pPr>
          </w:p>
        </w:tc>
      </w:tr>
      <w:tr w:rsidR="00B12F87" w14:paraId="60ABA898" w14:textId="77777777">
        <w:trPr>
          <w:cantSplit/>
          <w:trHeight w:val="1470"/>
        </w:trPr>
        <w:tc>
          <w:tcPr>
            <w:tcW w:w="4056" w:type="dxa"/>
            <w:vMerge/>
          </w:tcPr>
          <w:p w14:paraId="1578595A" w14:textId="77777777" w:rsidR="00B12F87" w:rsidRDefault="00B12F87">
            <w:pPr>
              <w:widowControl w:val="0"/>
              <w:pBdr>
                <w:top w:val="nil"/>
                <w:left w:val="nil"/>
                <w:bottom w:val="nil"/>
                <w:right w:val="nil"/>
                <w:between w:val="nil"/>
              </w:pBdr>
              <w:spacing w:line="276" w:lineRule="auto"/>
            </w:pPr>
          </w:p>
        </w:tc>
        <w:tc>
          <w:tcPr>
            <w:tcW w:w="3684" w:type="dxa"/>
          </w:tcPr>
          <w:p w14:paraId="45088C37" w14:textId="36941B57" w:rsidR="00B12F87" w:rsidRDefault="00522EDD">
            <w:pPr>
              <w:pBdr>
                <w:top w:val="nil"/>
                <w:left w:val="nil"/>
                <w:bottom w:val="nil"/>
                <w:right w:val="nil"/>
                <w:between w:val="nil"/>
              </w:pBdr>
              <w:spacing w:line="276" w:lineRule="auto"/>
              <w:jc w:val="both"/>
            </w:pPr>
            <w:r>
              <w:t xml:space="preserve"> GMIS is functional and strengthened in 2021, including developing a handbook and training of GMO staff to increase availability and harmonization of gender data across the country.</w:t>
            </w:r>
          </w:p>
        </w:tc>
        <w:tc>
          <w:tcPr>
            <w:tcW w:w="3510" w:type="dxa"/>
          </w:tcPr>
          <w:p w14:paraId="73F7EE7F" w14:textId="77777777" w:rsidR="00B12F87" w:rsidRDefault="00B12F87">
            <w:pPr>
              <w:pBdr>
                <w:top w:val="nil"/>
                <w:left w:val="nil"/>
                <w:bottom w:val="nil"/>
                <w:right w:val="nil"/>
                <w:between w:val="nil"/>
              </w:pBdr>
              <w:spacing w:line="276" w:lineRule="auto"/>
              <w:jc w:val="both"/>
            </w:pPr>
          </w:p>
        </w:tc>
        <w:tc>
          <w:tcPr>
            <w:tcW w:w="2880" w:type="dxa"/>
          </w:tcPr>
          <w:p w14:paraId="09857A26" w14:textId="77777777" w:rsidR="00B12F87" w:rsidRDefault="00B12F87">
            <w:pPr>
              <w:pBdr>
                <w:top w:val="nil"/>
                <w:left w:val="nil"/>
                <w:bottom w:val="nil"/>
                <w:right w:val="nil"/>
                <w:between w:val="nil"/>
              </w:pBdr>
              <w:spacing w:line="276" w:lineRule="auto"/>
            </w:pPr>
          </w:p>
        </w:tc>
      </w:tr>
      <w:tr w:rsidR="00B12F87" w14:paraId="409905BA" w14:textId="77777777">
        <w:trPr>
          <w:trHeight w:val="1368"/>
        </w:trPr>
        <w:tc>
          <w:tcPr>
            <w:tcW w:w="4056" w:type="dxa"/>
          </w:tcPr>
          <w:p w14:paraId="346FB02D" w14:textId="77777777" w:rsidR="00B12F87" w:rsidRDefault="00522EDD">
            <w:pPr>
              <w:spacing w:line="276" w:lineRule="auto"/>
              <w:ind w:hanging="2"/>
              <w:jc w:val="both"/>
            </w:pPr>
            <w:r>
              <w:rPr>
                <w:b/>
              </w:rPr>
              <w:t>Indicator 6.1.3:</w:t>
            </w:r>
            <w:r>
              <w:t xml:space="preserve"> % of SDG indicators for which data is available and monitored.</w:t>
            </w:r>
          </w:p>
          <w:p w14:paraId="3BC689D6" w14:textId="77777777" w:rsidR="00B12F87" w:rsidRDefault="00522EDD">
            <w:pPr>
              <w:spacing w:line="276" w:lineRule="auto"/>
              <w:ind w:hanging="2"/>
              <w:jc w:val="both"/>
            </w:pPr>
            <w:r>
              <w:rPr>
                <w:b/>
              </w:rPr>
              <w:t>Baseline</w:t>
            </w:r>
            <w:r>
              <w:t>: 23%</w:t>
            </w:r>
          </w:p>
          <w:p w14:paraId="4AA2A844" w14:textId="77777777" w:rsidR="00B12F87" w:rsidRDefault="00522EDD">
            <w:pPr>
              <w:spacing w:line="276" w:lineRule="auto"/>
              <w:ind w:hanging="2"/>
              <w:jc w:val="both"/>
            </w:pPr>
            <w:r>
              <w:rPr>
                <w:b/>
              </w:rPr>
              <w:t>Planned target:</w:t>
            </w:r>
            <w:r>
              <w:t xml:space="preserve"> 70%</w:t>
            </w:r>
          </w:p>
          <w:p w14:paraId="5D1E0428" w14:textId="77777777" w:rsidR="00B12F87" w:rsidRDefault="00B12F87">
            <w:pPr>
              <w:spacing w:line="276" w:lineRule="auto"/>
            </w:pPr>
          </w:p>
        </w:tc>
        <w:tc>
          <w:tcPr>
            <w:tcW w:w="3684" w:type="dxa"/>
          </w:tcPr>
          <w:p w14:paraId="639248FF" w14:textId="77777777" w:rsidR="00B12F87" w:rsidRDefault="00522EDD">
            <w:pPr>
              <w:pBdr>
                <w:top w:val="nil"/>
                <w:left w:val="nil"/>
                <w:bottom w:val="nil"/>
                <w:right w:val="nil"/>
                <w:between w:val="nil"/>
              </w:pBdr>
              <w:spacing w:line="276" w:lineRule="auto"/>
              <w:rPr>
                <w:u w:val="single"/>
              </w:rPr>
            </w:pPr>
            <w:r>
              <w:t xml:space="preserve">70% of indicators to monitor the </w:t>
            </w:r>
            <w:proofErr w:type="gramStart"/>
            <w:r>
              <w:t>Health</w:t>
            </w:r>
            <w:proofErr w:type="gramEnd"/>
            <w:r>
              <w:t>-related SDGs were available in 2020.</w:t>
            </w:r>
          </w:p>
        </w:tc>
        <w:tc>
          <w:tcPr>
            <w:tcW w:w="3510" w:type="dxa"/>
          </w:tcPr>
          <w:p w14:paraId="7E075000" w14:textId="77777777" w:rsidR="00B12F87" w:rsidRDefault="00522EDD">
            <w:pPr>
              <w:pBdr>
                <w:top w:val="nil"/>
                <w:left w:val="nil"/>
                <w:bottom w:val="nil"/>
                <w:right w:val="nil"/>
                <w:between w:val="nil"/>
              </w:pBdr>
              <w:spacing w:line="276" w:lineRule="auto"/>
              <w:jc w:val="both"/>
            </w:pPr>
            <w:r>
              <w:t xml:space="preserve">More efforts are still needed to strengthen coordination, monitoring and evaluation systems for SDGs and in addressing </w:t>
            </w:r>
            <w:proofErr w:type="gramStart"/>
            <w:r>
              <w:t>the  prevailing</w:t>
            </w:r>
            <w:proofErr w:type="gramEnd"/>
            <w:r>
              <w:t xml:space="preserve">  data  gaps  across  sectors.</w:t>
            </w:r>
          </w:p>
        </w:tc>
        <w:tc>
          <w:tcPr>
            <w:tcW w:w="2880" w:type="dxa"/>
          </w:tcPr>
          <w:p w14:paraId="79950961" w14:textId="77777777" w:rsidR="00B12F87" w:rsidRDefault="00522EDD">
            <w:pPr>
              <w:pBdr>
                <w:top w:val="nil"/>
                <w:left w:val="nil"/>
                <w:bottom w:val="nil"/>
                <w:right w:val="nil"/>
                <w:between w:val="nil"/>
              </w:pBdr>
              <w:spacing w:line="276" w:lineRule="auto"/>
              <w:jc w:val="both"/>
            </w:pPr>
            <w:r>
              <w:t xml:space="preserve">WHO SCORE </w:t>
            </w:r>
            <w:proofErr w:type="gramStart"/>
            <w:r>
              <w:t>report</w:t>
            </w:r>
            <w:proofErr w:type="gramEnd"/>
            <w:r>
              <w:t xml:space="preserve"> </w:t>
            </w:r>
          </w:p>
          <w:p w14:paraId="6595D854" w14:textId="77777777" w:rsidR="00B12F87" w:rsidRDefault="00C73A02">
            <w:pPr>
              <w:pBdr>
                <w:top w:val="nil"/>
                <w:left w:val="nil"/>
                <w:bottom w:val="nil"/>
                <w:right w:val="nil"/>
                <w:between w:val="nil"/>
              </w:pBdr>
              <w:spacing w:line="276" w:lineRule="auto"/>
            </w:pPr>
            <w:hyperlink r:id="rId14">
              <w:r w:rsidR="00522EDD">
                <w:rPr>
                  <w:u w:val="single"/>
                </w:rPr>
                <w:t>https://cdn.who.int/media/docs/default-source/documents/ddi/score/country-profiles/who_score_rwa_en.pdf?sfvrsn=87cc117c_13</w:t>
              </w:r>
            </w:hyperlink>
            <w:r w:rsidR="00522EDD">
              <w:t xml:space="preserve"> </w:t>
            </w:r>
          </w:p>
        </w:tc>
      </w:tr>
      <w:tr w:rsidR="00B12F87" w14:paraId="06B01BBB" w14:textId="77777777">
        <w:trPr>
          <w:trHeight w:val="1021"/>
        </w:trPr>
        <w:tc>
          <w:tcPr>
            <w:tcW w:w="4056" w:type="dxa"/>
          </w:tcPr>
          <w:p w14:paraId="497D8A09" w14:textId="77777777" w:rsidR="00B12F87" w:rsidRDefault="00522EDD">
            <w:pPr>
              <w:widowControl w:val="0"/>
              <w:pBdr>
                <w:top w:val="nil"/>
                <w:left w:val="nil"/>
                <w:bottom w:val="nil"/>
                <w:right w:val="nil"/>
                <w:between w:val="nil"/>
              </w:pBdr>
              <w:spacing w:line="276" w:lineRule="auto"/>
              <w:ind w:hanging="2"/>
              <w:jc w:val="both"/>
            </w:pPr>
            <w:r>
              <w:rPr>
                <w:b/>
              </w:rPr>
              <w:lastRenderedPageBreak/>
              <w:t>Indicator 6.1.4:</w:t>
            </w:r>
            <w:r>
              <w:t xml:space="preserve"> Number of national development strategies and frameworks that have integrated the Demographic Dividend (DD) study recommendations.</w:t>
            </w:r>
          </w:p>
          <w:p w14:paraId="70255076" w14:textId="77777777" w:rsidR="00B12F87" w:rsidRDefault="00522EDD">
            <w:pPr>
              <w:widowControl w:val="0"/>
              <w:pBdr>
                <w:top w:val="nil"/>
                <w:left w:val="nil"/>
                <w:bottom w:val="nil"/>
                <w:right w:val="nil"/>
                <w:between w:val="nil"/>
              </w:pBdr>
              <w:spacing w:line="276" w:lineRule="auto"/>
              <w:ind w:hanging="2"/>
              <w:jc w:val="both"/>
            </w:pPr>
            <w:r>
              <w:rPr>
                <w:b/>
              </w:rPr>
              <w:t xml:space="preserve">Baseline: </w:t>
            </w:r>
            <w:r>
              <w:t>0 (2017).</w:t>
            </w:r>
          </w:p>
          <w:p w14:paraId="628CACDC" w14:textId="77777777" w:rsidR="00B12F87" w:rsidRDefault="00522EDD">
            <w:pPr>
              <w:spacing w:line="276" w:lineRule="auto"/>
            </w:pPr>
            <w:r>
              <w:rPr>
                <w:b/>
              </w:rPr>
              <w:t xml:space="preserve">Planned targets: </w:t>
            </w:r>
            <w:r>
              <w:t>4 sector frameworks (HSSP, ESSP, NST1, PS DYE).</w:t>
            </w:r>
          </w:p>
        </w:tc>
        <w:tc>
          <w:tcPr>
            <w:tcW w:w="3684" w:type="dxa"/>
          </w:tcPr>
          <w:p w14:paraId="49D066A3" w14:textId="77777777" w:rsidR="00B12F87" w:rsidRDefault="00522EDD">
            <w:pPr>
              <w:pBdr>
                <w:top w:val="nil"/>
                <w:left w:val="nil"/>
                <w:bottom w:val="nil"/>
                <w:right w:val="nil"/>
                <w:between w:val="nil"/>
              </w:pBdr>
              <w:spacing w:line="276" w:lineRule="auto"/>
              <w:rPr>
                <w:u w:val="single"/>
              </w:rPr>
            </w:pPr>
            <w:r>
              <w:rPr>
                <w:u w:val="single"/>
              </w:rPr>
              <w:t xml:space="preserve">Completed in 2020 </w:t>
            </w:r>
          </w:p>
        </w:tc>
        <w:tc>
          <w:tcPr>
            <w:tcW w:w="3510" w:type="dxa"/>
          </w:tcPr>
          <w:p w14:paraId="5AFE5893" w14:textId="77777777" w:rsidR="00B12F87" w:rsidRDefault="00B12F87">
            <w:pPr>
              <w:pBdr>
                <w:top w:val="nil"/>
                <w:left w:val="nil"/>
                <w:bottom w:val="nil"/>
                <w:right w:val="nil"/>
                <w:between w:val="nil"/>
              </w:pBdr>
              <w:spacing w:line="276" w:lineRule="auto"/>
              <w:jc w:val="both"/>
            </w:pPr>
          </w:p>
        </w:tc>
        <w:tc>
          <w:tcPr>
            <w:tcW w:w="2880" w:type="dxa"/>
          </w:tcPr>
          <w:p w14:paraId="6A98E5AD" w14:textId="77777777" w:rsidR="00B12F87" w:rsidRDefault="00B12F87">
            <w:pPr>
              <w:pBdr>
                <w:top w:val="nil"/>
                <w:left w:val="nil"/>
                <w:bottom w:val="nil"/>
                <w:right w:val="nil"/>
                <w:between w:val="nil"/>
              </w:pBdr>
              <w:spacing w:line="276" w:lineRule="auto"/>
            </w:pPr>
          </w:p>
        </w:tc>
      </w:tr>
    </w:tbl>
    <w:p w14:paraId="550EA663" w14:textId="77777777" w:rsidR="00B12F87" w:rsidRDefault="00B12F87">
      <w:pPr>
        <w:pBdr>
          <w:top w:val="nil"/>
          <w:left w:val="nil"/>
          <w:bottom w:val="nil"/>
          <w:right w:val="nil"/>
          <w:between w:val="nil"/>
        </w:pBdr>
        <w:spacing w:line="276" w:lineRule="auto"/>
        <w:jc w:val="both"/>
      </w:pPr>
      <w:bookmarkStart w:id="8" w:name="_2et92p0" w:colFirst="0" w:colLast="0"/>
      <w:bookmarkEnd w:id="8"/>
    </w:p>
    <w:sectPr w:rsidR="00B12F87">
      <w:pgSz w:w="15840" w:h="12240" w:orient="landscape"/>
      <w:pgMar w:top="806" w:right="810" w:bottom="810" w:left="1354"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CDAE" w14:textId="77777777" w:rsidR="00C73A02" w:rsidRDefault="00C73A02">
      <w:r>
        <w:separator/>
      </w:r>
    </w:p>
  </w:endnote>
  <w:endnote w:type="continuationSeparator" w:id="0">
    <w:p w14:paraId="1ADFCB57" w14:textId="77777777" w:rsidR="00C73A02" w:rsidRDefault="00C7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FPA-Tex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5046" w14:textId="1D7EA734" w:rsidR="00B12F87" w:rsidRDefault="00522EDD">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D6F69">
      <w:rPr>
        <w:rFonts w:ascii="Arial" w:eastAsia="Arial" w:hAnsi="Arial" w:cs="Arial"/>
        <w:noProof/>
        <w:color w:val="000000"/>
        <w:sz w:val="18"/>
        <w:szCs w:val="18"/>
      </w:rPr>
      <w:t>13</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sidR="00FD6F69">
      <w:rPr>
        <w:noProof/>
        <w:color w:val="000000"/>
      </w:rPr>
      <w:t>13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6CA0" w14:textId="77777777" w:rsidR="00B12F87" w:rsidRDefault="00522EDD">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D301" w14:textId="77777777" w:rsidR="00C73A02" w:rsidRDefault="00C73A02">
      <w:r>
        <w:separator/>
      </w:r>
    </w:p>
  </w:footnote>
  <w:footnote w:type="continuationSeparator" w:id="0">
    <w:p w14:paraId="69B5E606" w14:textId="77777777" w:rsidR="00C73A02" w:rsidRDefault="00C73A02">
      <w:r>
        <w:continuationSeparator/>
      </w:r>
    </w:p>
  </w:footnote>
  <w:footnote w:id="1">
    <w:p w14:paraId="4B8DBDB3" w14:textId="77777777" w:rsidR="00B12F87" w:rsidRDefault="00522ED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Strategic Results, as formulated in the Strategic UN Planning Framework (</w:t>
      </w:r>
      <w:proofErr w:type="gramStart"/>
      <w:r>
        <w:rPr>
          <w:color w:val="000000"/>
          <w:sz w:val="20"/>
          <w:szCs w:val="20"/>
        </w:rPr>
        <w:t>e.g.</w:t>
      </w:r>
      <w:proofErr w:type="gramEnd"/>
      <w:r>
        <w:rPr>
          <w:color w:val="000000"/>
          <w:sz w:val="20"/>
          <w:szCs w:val="20"/>
        </w:rPr>
        <w:t xml:space="preserve"> UNDAF) or project document; </w:t>
      </w:r>
    </w:p>
    <w:bookmarkStart w:id="0" w:name="_tyjcwt" w:colFirst="0" w:colLast="0"/>
    <w:bookmarkEnd w:id="0"/>
  </w:footnote>
  <w:footnote w:id="2">
    <w:p w14:paraId="17B34EFA" w14:textId="77777777" w:rsidR="00B12F87" w:rsidRDefault="00522EDD">
      <w:pPr>
        <w:pBdr>
          <w:top w:val="nil"/>
          <w:left w:val="nil"/>
          <w:bottom w:val="nil"/>
          <w:right w:val="nil"/>
          <w:between w:val="nil"/>
        </w:pBdr>
        <w:rPr>
          <w:color w:val="00B050"/>
          <w:sz w:val="20"/>
          <w:szCs w:val="20"/>
        </w:rPr>
      </w:pPr>
      <w:bookmarkStart w:id="4" w:name="_tyjcwt" w:colFirst="0" w:colLast="0"/>
      <w:bookmarkEnd w:id="4"/>
      <w:r w:rsidRPr="000F4601">
        <w:rPr>
          <w:vertAlign w:val="superscript"/>
        </w:rPr>
        <w:footnoteRef/>
      </w:r>
      <w:r w:rsidRPr="000F4601">
        <w:rPr>
          <w:sz w:val="20"/>
          <w:szCs w:val="20"/>
        </w:rPr>
        <w:t xml:space="preserve"> </w:t>
      </w:r>
      <w:hyperlink r:id="rId1">
        <w:r w:rsidRPr="000F4601">
          <w:rPr>
            <w:sz w:val="20"/>
            <w:szCs w:val="20"/>
            <w:u w:val="single"/>
          </w:rPr>
          <w:t>Rwanda Vital Statistics Report - 2020 | National Institute of Statistics Rwanda</w:t>
        </w:r>
      </w:hyperlink>
    </w:p>
  </w:footnote>
  <w:footnote w:id="3">
    <w:p w14:paraId="54E98338" w14:textId="77777777" w:rsidR="00B12F87" w:rsidRDefault="00522EDD">
      <w:pPr>
        <w:pBdr>
          <w:top w:val="nil"/>
          <w:left w:val="nil"/>
          <w:bottom w:val="nil"/>
          <w:right w:val="nil"/>
          <w:between w:val="nil"/>
        </w:pBdr>
        <w:rPr>
          <w:color w:val="000000"/>
          <w:sz w:val="20"/>
          <w:szCs w:val="20"/>
        </w:rPr>
      </w:pPr>
      <w:r w:rsidRPr="000F4601">
        <w:rPr>
          <w:vertAlign w:val="superscript"/>
        </w:rPr>
        <w:footnoteRef/>
      </w:r>
      <w:r w:rsidRPr="000F4601">
        <w:rPr>
          <w:sz w:val="20"/>
          <w:szCs w:val="20"/>
        </w:rPr>
        <w:t xml:space="preserve"> </w:t>
      </w:r>
      <w:hyperlink r:id="rId2">
        <w:r w:rsidRPr="000F4601">
          <w:rPr>
            <w:sz w:val="20"/>
            <w:szCs w:val="20"/>
            <w:u w:val="single"/>
          </w:rPr>
          <w:t>https://cdn.who.int/media/docs/default-source/documents/ddi/score/country-profiles/who_score_rwa_en.pdf?sfvrsn=87cc117c_13</w:t>
        </w:r>
      </w:hyperlink>
      <w:r w:rsidRPr="000F4601">
        <w:rPr>
          <w:sz w:val="20"/>
          <w:szCs w:val="20"/>
        </w:rPr>
        <w:t xml:space="preserve"> </w:t>
      </w:r>
    </w:p>
    <w:bookmarkStart w:id="5" w:name="_3dy6vkm" w:colFirst="0" w:colLast="0"/>
    <w:bookmarkEnd w:id="5"/>
  </w:footnote>
  <w:footnote w:id="4">
    <w:p w14:paraId="1D5BD03D" w14:textId="77777777" w:rsidR="00B12F87" w:rsidRDefault="00522EDD">
      <w:pPr>
        <w:pBdr>
          <w:top w:val="nil"/>
          <w:left w:val="nil"/>
          <w:bottom w:val="nil"/>
          <w:right w:val="nil"/>
          <w:between w:val="nil"/>
        </w:pBdr>
        <w:rPr>
          <w:color w:val="000000"/>
          <w:sz w:val="20"/>
          <w:szCs w:val="20"/>
        </w:rPr>
      </w:pPr>
      <w:bookmarkStart w:id="6" w:name="_3dy6vkm" w:colFirst="0" w:colLast="0"/>
      <w:bookmarkEnd w:id="6"/>
      <w:r w:rsidRPr="000F4601">
        <w:rPr>
          <w:vertAlign w:val="superscript"/>
        </w:rPr>
        <w:footnoteRef/>
      </w:r>
      <w:r w:rsidRPr="000F4601">
        <w:rPr>
          <w:sz w:val="20"/>
          <w:szCs w:val="20"/>
        </w:rPr>
        <w:t xml:space="preserve"> </w:t>
      </w:r>
      <w:hyperlink r:id="rId3">
        <w:r w:rsidRPr="000F4601">
          <w:rPr>
            <w:sz w:val="20"/>
            <w:szCs w:val="20"/>
            <w:u w:val="single"/>
          </w:rPr>
          <w:t>Rwanda Vital Statistics Report - 2020 | National Institute of Statistics Rwanda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349" w14:textId="4440E4C5" w:rsidR="00B12F87" w:rsidRDefault="00CD4048">
    <w:r>
      <w:rPr>
        <w:noProof/>
      </w:rPr>
      <mc:AlternateContent>
        <mc:Choice Requires="wps">
          <w:drawing>
            <wp:anchor distT="0" distB="0" distL="114300" distR="114300" simplePos="0" relativeHeight="251659264" behindDoc="0" locked="0" layoutInCell="1" allowOverlap="1" wp14:anchorId="44833FDB" wp14:editId="530C8F1F">
              <wp:simplePos x="0" y="0"/>
              <wp:positionH relativeFrom="page">
                <wp:posOffset>552450</wp:posOffset>
              </wp:positionH>
              <wp:positionV relativeFrom="paragraph">
                <wp:posOffset>377825</wp:posOffset>
              </wp:positionV>
              <wp:extent cx="14859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7B14" w14:textId="77777777" w:rsidR="00CD4048" w:rsidRPr="00F61003" w:rsidRDefault="00CD4048" w:rsidP="00CD4048">
                          <w:pPr>
                            <w:widowControl w:val="0"/>
                            <w:autoSpaceDE w:val="0"/>
                            <w:autoSpaceDN w:val="0"/>
                            <w:adjustRightInd w:val="0"/>
                            <w:spacing w:after="240" w:line="220" w:lineRule="atLeast"/>
                            <w:rPr>
                              <w:rFonts w:ascii="UNFPA-Text" w:eastAsia="Calibri" w:hAnsi="UNFPA-Text" w:cs="UNFPA-Text"/>
                              <w:color w:val="F4851C"/>
                              <w:sz w:val="16"/>
                              <w:szCs w:val="16"/>
                            </w:rPr>
                          </w:pPr>
                          <w:r w:rsidRPr="00F61003">
                            <w:rPr>
                              <w:rFonts w:ascii="UNFPA-Text" w:eastAsia="Calibri" w:hAnsi="UNFPA-Text" w:cs="UNFPA-Text"/>
                              <w:color w:val="F4851C"/>
                              <w:sz w:val="16"/>
                              <w:szCs w:val="16"/>
                            </w:rPr>
                            <w:t xml:space="preserve">Ensuring rights and choices for all </w:t>
                          </w:r>
                          <w:r w:rsidRPr="00F61003">
                            <w:rPr>
                              <w:rFonts w:ascii="UNFPA-Text" w:eastAsia="Calibri" w:hAnsi="UNFPA-Text" w:cs="UNFPA-Text"/>
                              <w:b/>
                              <w:bCs/>
                              <w:color w:val="F4851C"/>
                              <w:sz w:val="16"/>
                              <w:szCs w:val="16"/>
                            </w:rPr>
                            <w:t xml:space="preserve">since 1969 </w:t>
                          </w:r>
                        </w:p>
                        <w:p w14:paraId="6E588FBF" w14:textId="77777777" w:rsidR="00CD4048" w:rsidRPr="00F61003" w:rsidRDefault="00CD4048" w:rsidP="00CD4048">
                          <w:pPr>
                            <w:widowControl w:val="0"/>
                            <w:autoSpaceDE w:val="0"/>
                            <w:autoSpaceDN w:val="0"/>
                            <w:adjustRightInd w:val="0"/>
                            <w:spacing w:after="240" w:line="220" w:lineRule="atLeast"/>
                            <w:rPr>
                              <w:rFonts w:ascii="Times Roman" w:eastAsia="Calibri" w:hAnsi="Times Roman" w:cs="Times Roman"/>
                              <w:color w:val="000000"/>
                              <w:sz w:val="16"/>
                              <w:szCs w:val="16"/>
                            </w:rPr>
                          </w:pPr>
                        </w:p>
                        <w:p w14:paraId="568F784A" w14:textId="77777777" w:rsidR="00CD4048" w:rsidRPr="00F61003" w:rsidRDefault="00CD4048" w:rsidP="00CD4048">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33FDB" id="_x0000_t202" coordsize="21600,21600" o:spt="202" path="m,l,21600r21600,l21600,xe">
              <v:stroke joinstyle="miter"/>
              <v:path gradientshapeok="t" o:connecttype="rect"/>
            </v:shapetype>
            <v:shape id="Text Box 9" o:spid="_x0000_s1031" type="#_x0000_t202" style="position:absolute;margin-left:43.5pt;margin-top:29.75pt;width:117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" filled="f" stroked="f">
              <v:textbox inset=",7.2pt,,7.2pt">
                <w:txbxContent>
                  <w:p w14:paraId="42A27B14" w14:textId="77777777" w:rsidR="00CD4048" w:rsidRPr="00F61003" w:rsidRDefault="00CD4048" w:rsidP="00CD4048">
                    <w:pPr>
                      <w:widowControl w:val="0"/>
                      <w:autoSpaceDE w:val="0"/>
                      <w:autoSpaceDN w:val="0"/>
                      <w:adjustRightInd w:val="0"/>
                      <w:spacing w:after="240" w:line="220" w:lineRule="atLeast"/>
                      <w:rPr>
                        <w:rFonts w:ascii="UNFPA-Text" w:eastAsia="Calibri" w:hAnsi="UNFPA-Text" w:cs="UNFPA-Text"/>
                        <w:color w:val="F4851C"/>
                        <w:sz w:val="16"/>
                        <w:szCs w:val="16"/>
                      </w:rPr>
                    </w:pPr>
                    <w:r w:rsidRPr="00F61003">
                      <w:rPr>
                        <w:rFonts w:ascii="UNFPA-Text" w:eastAsia="Calibri" w:hAnsi="UNFPA-Text" w:cs="UNFPA-Text"/>
                        <w:color w:val="F4851C"/>
                        <w:sz w:val="16"/>
                        <w:szCs w:val="16"/>
                      </w:rPr>
                      <w:t xml:space="preserve">Ensuring rights and choices for all </w:t>
                    </w:r>
                    <w:r w:rsidRPr="00F61003">
                      <w:rPr>
                        <w:rFonts w:ascii="UNFPA-Text" w:eastAsia="Calibri" w:hAnsi="UNFPA-Text" w:cs="UNFPA-Text"/>
                        <w:b/>
                        <w:bCs/>
                        <w:color w:val="F4851C"/>
                        <w:sz w:val="16"/>
                        <w:szCs w:val="16"/>
                      </w:rPr>
                      <w:t xml:space="preserve">since 1969 </w:t>
                    </w:r>
                  </w:p>
                  <w:p w14:paraId="6E588FBF" w14:textId="77777777" w:rsidR="00CD4048" w:rsidRPr="00F61003" w:rsidRDefault="00CD4048" w:rsidP="00CD4048">
                    <w:pPr>
                      <w:widowControl w:val="0"/>
                      <w:autoSpaceDE w:val="0"/>
                      <w:autoSpaceDN w:val="0"/>
                      <w:adjustRightInd w:val="0"/>
                      <w:spacing w:after="240" w:line="220" w:lineRule="atLeast"/>
                      <w:rPr>
                        <w:rFonts w:ascii="Times Roman" w:eastAsia="Calibri" w:hAnsi="Times Roman" w:cs="Times Roman"/>
                        <w:color w:val="000000"/>
                        <w:sz w:val="16"/>
                        <w:szCs w:val="16"/>
                      </w:rPr>
                    </w:pPr>
                  </w:p>
                  <w:p w14:paraId="568F784A" w14:textId="77777777" w:rsidR="00CD4048" w:rsidRPr="00F61003" w:rsidRDefault="00CD4048" w:rsidP="00CD4048">
                    <w:pPr>
                      <w:rPr>
                        <w:sz w:val="16"/>
                        <w:szCs w:val="16"/>
                      </w:rPr>
                    </w:pPr>
                  </w:p>
                </w:txbxContent>
              </v:textbox>
              <w10:wrap anchorx="page"/>
            </v:shape>
          </w:pict>
        </mc:Fallback>
      </mc:AlternateContent>
    </w:r>
    <w:r>
      <w:rPr>
        <w:noProof/>
        <w:color w:val="2B579A"/>
        <w:shd w:val="clear" w:color="auto" w:fill="E6E6E6"/>
      </w:rPr>
      <w:drawing>
        <wp:anchor distT="0" distB="0" distL="114300" distR="114300" simplePos="0" relativeHeight="251661312" behindDoc="1" locked="0" layoutInCell="1" allowOverlap="1" wp14:anchorId="406EE6C1" wp14:editId="54CA1306">
          <wp:simplePos x="0" y="0"/>
          <wp:positionH relativeFrom="column">
            <wp:posOffset>5626100</wp:posOffset>
          </wp:positionH>
          <wp:positionV relativeFrom="paragraph">
            <wp:posOffset>-114300</wp:posOffset>
          </wp:positionV>
          <wp:extent cx="619125" cy="1000125"/>
          <wp:effectExtent l="0" t="0" r="9525" b="9525"/>
          <wp:wrapNone/>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9125" cy="1000125"/>
                  </a:xfrm>
                  <a:prstGeom prst="rect">
                    <a:avLst/>
                  </a:prstGeom>
                  <a:ln/>
                </pic:spPr>
              </pic:pic>
            </a:graphicData>
          </a:graphic>
        </wp:anchor>
      </w:drawing>
    </w:r>
    <w:r>
      <w:rPr>
        <w:noProof/>
      </w:rPr>
      <w:drawing>
        <wp:anchor distT="0" distB="0" distL="114300" distR="114300" simplePos="0" relativeHeight="251658240" behindDoc="1" locked="0" layoutInCell="1" allowOverlap="1" wp14:anchorId="7A359151" wp14:editId="5D3CC459">
          <wp:simplePos x="0" y="0"/>
          <wp:positionH relativeFrom="column">
            <wp:posOffset>311785</wp:posOffset>
          </wp:positionH>
          <wp:positionV relativeFrom="paragraph">
            <wp:posOffset>-173355</wp:posOffset>
          </wp:positionV>
          <wp:extent cx="1028700" cy="613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EDD">
      <w:tab/>
    </w:r>
    <w:r w:rsidR="00522EDD">
      <w:tab/>
    </w:r>
    <w:r w:rsidR="00522EDD">
      <w:tab/>
    </w:r>
    <w:r>
      <w:tab/>
    </w:r>
    <w:r>
      <w:tab/>
    </w:r>
    <w:r>
      <w:tab/>
    </w:r>
    <w:r>
      <w:rPr>
        <w:rFonts w:ascii="Arial" w:hAnsi="Arial" w:cs="Arial"/>
        <w:noProof/>
        <w:color w:val="999999"/>
        <w:sz w:val="16"/>
        <w:szCs w:val="16"/>
      </w:rPr>
      <w:drawing>
        <wp:inline distT="0" distB="0" distL="0" distR="0" wp14:anchorId="16E7AF72" wp14:editId="514258BE">
          <wp:extent cx="1562100" cy="619375"/>
          <wp:effectExtent l="0" t="0" r="0" b="9525"/>
          <wp:docPr id="11" name="Picture 11" descr="New_UN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UNCT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5210" cy="624573"/>
                  </a:xfrm>
                  <a:prstGeom prst="rect">
                    <a:avLst/>
                  </a:prstGeom>
                  <a:noFill/>
                  <a:ln>
                    <a:noFill/>
                  </a:ln>
                </pic:spPr>
              </pic:pic>
            </a:graphicData>
          </a:graphic>
        </wp:inline>
      </w:drawing>
    </w:r>
    <w:r>
      <w:tab/>
    </w:r>
    <w:r>
      <w:tab/>
    </w:r>
  </w:p>
  <w:p w14:paraId="5FC6B9CF" w14:textId="1903DCF8" w:rsidR="00CD4048" w:rsidRDefault="00CD4048" w:rsidP="00CD4048">
    <w:pPr>
      <w:tabs>
        <w:tab w:val="left" w:pos="4620"/>
      </w:tabs>
    </w:pPr>
    <w:r>
      <w:tab/>
    </w:r>
  </w:p>
  <w:p w14:paraId="5D42EECA" w14:textId="0948F77A" w:rsidR="00CD4048" w:rsidRDefault="00CD4048" w:rsidP="00CD4048">
    <w:pPr>
      <w:tabs>
        <w:tab w:val="left" w:pos="8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BE1"/>
    <w:multiLevelType w:val="multilevel"/>
    <w:tmpl w:val="5D2846EE"/>
    <w:lvl w:ilvl="0">
      <w:start w:val="1"/>
      <w:numFmt w:val="upperRoman"/>
      <w:lvlText w:val="%1."/>
      <w:lvlJc w:val="left"/>
      <w:pPr>
        <w:ind w:left="72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F474F69"/>
    <w:multiLevelType w:val="multilevel"/>
    <w:tmpl w:val="7DD0FF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66401B"/>
    <w:multiLevelType w:val="multilevel"/>
    <w:tmpl w:val="35E275C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5B337B8"/>
    <w:multiLevelType w:val="multilevel"/>
    <w:tmpl w:val="7352B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1E91CEE"/>
    <w:multiLevelType w:val="multilevel"/>
    <w:tmpl w:val="335221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BDB526C"/>
    <w:multiLevelType w:val="multilevel"/>
    <w:tmpl w:val="62ACE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D9D3DC6"/>
    <w:multiLevelType w:val="multilevel"/>
    <w:tmpl w:val="128AB7E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87"/>
    <w:rsid w:val="000811B8"/>
    <w:rsid w:val="0009618A"/>
    <w:rsid w:val="000E1594"/>
    <w:rsid w:val="000F4601"/>
    <w:rsid w:val="0011200C"/>
    <w:rsid w:val="00157405"/>
    <w:rsid w:val="001A5530"/>
    <w:rsid w:val="00211E67"/>
    <w:rsid w:val="00275C0F"/>
    <w:rsid w:val="0028656B"/>
    <w:rsid w:val="002E5B03"/>
    <w:rsid w:val="002F7BCE"/>
    <w:rsid w:val="003831F0"/>
    <w:rsid w:val="003923CF"/>
    <w:rsid w:val="003A3DF4"/>
    <w:rsid w:val="00404E61"/>
    <w:rsid w:val="00443E2A"/>
    <w:rsid w:val="00462BDB"/>
    <w:rsid w:val="004932DB"/>
    <w:rsid w:val="00522EDD"/>
    <w:rsid w:val="00545F7D"/>
    <w:rsid w:val="005E3F01"/>
    <w:rsid w:val="006E2D62"/>
    <w:rsid w:val="006F3905"/>
    <w:rsid w:val="00726B3C"/>
    <w:rsid w:val="0079183E"/>
    <w:rsid w:val="00865301"/>
    <w:rsid w:val="008F662B"/>
    <w:rsid w:val="00951093"/>
    <w:rsid w:val="0099052E"/>
    <w:rsid w:val="009E1D31"/>
    <w:rsid w:val="00A2630E"/>
    <w:rsid w:val="00A32D2C"/>
    <w:rsid w:val="00A526EA"/>
    <w:rsid w:val="00AA49AC"/>
    <w:rsid w:val="00AA6651"/>
    <w:rsid w:val="00B12F87"/>
    <w:rsid w:val="00C20F4C"/>
    <w:rsid w:val="00C73A02"/>
    <w:rsid w:val="00CC1ED2"/>
    <w:rsid w:val="00CD4048"/>
    <w:rsid w:val="00DF7B88"/>
    <w:rsid w:val="00E44A5C"/>
    <w:rsid w:val="00FD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8F48"/>
  <w15:docId w15:val="{E457CB0B-720A-429F-B1E2-20CCFD5F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4320"/>
      <w:jc w:val="both"/>
      <w:outlineLvl w:val="0"/>
    </w:pPr>
    <w:rPr>
      <w:rFonts w:ascii="Arial" w:eastAsia="Arial" w:hAnsi="Arial" w:cs="Arial"/>
      <w:b/>
      <w:sz w:val="20"/>
      <w:szCs w:val="20"/>
    </w:rPr>
  </w:style>
  <w:style w:type="paragraph" w:styleId="Heading2">
    <w:name w:val="heading 2"/>
    <w:basedOn w:val="Normal"/>
    <w:next w:val="Normal"/>
    <w:pPr>
      <w:keepNext/>
      <w:outlineLvl w:val="1"/>
    </w:pPr>
    <w:rPr>
      <w: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B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32DB"/>
    <w:rPr>
      <w:b/>
      <w:bCs/>
    </w:rPr>
  </w:style>
  <w:style w:type="character" w:customStyle="1" w:styleId="CommentSubjectChar">
    <w:name w:val="Comment Subject Char"/>
    <w:basedOn w:val="CommentTextChar"/>
    <w:link w:val="CommentSubject"/>
    <w:uiPriority w:val="99"/>
    <w:semiHidden/>
    <w:rsid w:val="004932DB"/>
    <w:rPr>
      <w:b/>
      <w:bCs/>
      <w:sz w:val="20"/>
      <w:szCs w:val="20"/>
    </w:rPr>
  </w:style>
  <w:style w:type="character" w:styleId="Hyperlink">
    <w:name w:val="Hyperlink"/>
    <w:basedOn w:val="DefaultParagraphFont"/>
    <w:uiPriority w:val="99"/>
    <w:unhideWhenUsed/>
    <w:rsid w:val="00157405"/>
    <w:rPr>
      <w:color w:val="0000FF" w:themeColor="hyperlink"/>
      <w:u w:val="single"/>
    </w:rPr>
  </w:style>
  <w:style w:type="paragraph" w:styleId="Header">
    <w:name w:val="header"/>
    <w:basedOn w:val="Normal"/>
    <w:link w:val="HeaderChar"/>
    <w:uiPriority w:val="99"/>
    <w:unhideWhenUsed/>
    <w:rsid w:val="00CD4048"/>
    <w:pPr>
      <w:tabs>
        <w:tab w:val="center" w:pos="4680"/>
        <w:tab w:val="right" w:pos="9360"/>
      </w:tabs>
    </w:pPr>
  </w:style>
  <w:style w:type="character" w:customStyle="1" w:styleId="HeaderChar">
    <w:name w:val="Header Char"/>
    <w:basedOn w:val="DefaultParagraphFont"/>
    <w:link w:val="Header"/>
    <w:uiPriority w:val="99"/>
    <w:rsid w:val="00CD4048"/>
  </w:style>
  <w:style w:type="paragraph" w:styleId="Footer">
    <w:name w:val="footer"/>
    <w:basedOn w:val="Normal"/>
    <w:link w:val="FooterChar"/>
    <w:uiPriority w:val="99"/>
    <w:unhideWhenUsed/>
    <w:rsid w:val="00CD4048"/>
    <w:pPr>
      <w:tabs>
        <w:tab w:val="center" w:pos="4680"/>
        <w:tab w:val="right" w:pos="9360"/>
      </w:tabs>
    </w:pPr>
  </w:style>
  <w:style w:type="character" w:customStyle="1" w:styleId="FooterChar">
    <w:name w:val="Footer Char"/>
    <w:basedOn w:val="DefaultParagraphFont"/>
    <w:link w:val="Footer"/>
    <w:uiPriority w:val="99"/>
    <w:rsid w:val="00CD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atistics.gov.rw/publication/labour-force-survey-2020-thematic-report-ge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istics.gov.rw/publication/17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stics.gov.rw/publication/national-gender-statistics-report-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dn.who.int/media/docs/default-source/documents/ddi/score/country-profiles/who_score_rwa_en.pdf?sfvrsn=87cc117c_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ics.gov.rw/publication/1705" TargetMode="External"/><Relationship Id="rId2" Type="http://schemas.openxmlformats.org/officeDocument/2006/relationships/hyperlink" Target="https://cdn.who.int/media/docs/default-source/documents/ddi/score/country-profiles/who_score_rwa_en.pdf?sfvrsn=87cc117c_13" TargetMode="External"/><Relationship Id="rId1" Type="http://schemas.openxmlformats.org/officeDocument/2006/relationships/hyperlink" Target="https://www.statistics.gov.rw/publication/170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6CFB-3EA6-4484-B8AB-A14E3D35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MUBERUKA KANTENGWA</dc:creator>
  <cp:lastModifiedBy>Sibylle Kamikazi</cp:lastModifiedBy>
  <cp:revision>2</cp:revision>
  <dcterms:created xsi:type="dcterms:W3CDTF">2022-03-30T09:54:00Z</dcterms:created>
  <dcterms:modified xsi:type="dcterms:W3CDTF">2022-03-30T09:54:00Z</dcterms:modified>
</cp:coreProperties>
</file>