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A506A2A" w:rsidR="000F43A8" w:rsidRPr="00136BFF" w:rsidRDefault="00901329"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Pr="00C070E8">
        <w:rPr>
          <w:b/>
          <w:iCs/>
          <w:snapToGrid w:val="0"/>
          <w:szCs w:val="28"/>
          <w:lang w:val="fr-FR"/>
        </w:rPr>
        <w:t>GUINEE</w:t>
      </w:r>
    </w:p>
    <w:p w14:paraId="35B8BCCA" w14:textId="5ECB0CC2"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901329" w:rsidRPr="001948EA">
        <w:rPr>
          <w:b/>
          <w:bCs/>
          <w:caps/>
          <w:sz w:val="22"/>
          <w:szCs w:val="22"/>
          <w:lang w:val="fr-FR"/>
        </w:rPr>
        <w:t>RAPPORT :</w:t>
      </w:r>
      <w:r w:rsidRPr="001948EA">
        <w:rPr>
          <w:b/>
          <w:bCs/>
          <w:caps/>
          <w:sz w:val="22"/>
          <w:szCs w:val="22"/>
          <w:lang w:val="fr-FR"/>
        </w:rPr>
        <w:t xml:space="preserve"> </w:t>
      </w:r>
      <w:r w:rsidRPr="00A667F1">
        <w:rPr>
          <w:b/>
          <w:bCs/>
          <w:caps/>
          <w:sz w:val="22"/>
          <w:szCs w:val="22"/>
          <w:lang w:val="fr-FR"/>
        </w:rPr>
        <w:t>SEMESTRIEL</w:t>
      </w:r>
      <w:r w:rsidRPr="001948EA">
        <w:rPr>
          <w:b/>
          <w:bCs/>
          <w:caps/>
          <w:sz w:val="22"/>
          <w:szCs w:val="22"/>
          <w:lang w:val="fr-FR"/>
        </w:rPr>
        <w:t xml:space="preserve">, </w:t>
      </w:r>
      <w:r w:rsidRPr="00901329">
        <w:rPr>
          <w:b/>
          <w:bCs/>
          <w:caps/>
          <w:sz w:val="22"/>
          <w:szCs w:val="22"/>
          <w:lang w:val="fr-FR"/>
        </w:rPr>
        <w:t>annuEl</w:t>
      </w:r>
      <w:r w:rsidRPr="00A667F1">
        <w:rPr>
          <w:b/>
          <w:bCs/>
          <w:caps/>
          <w:sz w:val="22"/>
          <w:szCs w:val="22"/>
          <w:lang w:val="fr-FR"/>
        </w:rPr>
        <w:t xml:space="preserve"> O</w:t>
      </w:r>
      <w:r w:rsidRPr="001948EA">
        <w:rPr>
          <w:b/>
          <w:bCs/>
          <w:caps/>
          <w:sz w:val="22"/>
          <w:szCs w:val="22"/>
          <w:lang w:val="fr-FR"/>
        </w:rPr>
        <w:t>U</w:t>
      </w:r>
      <w:r w:rsidRPr="00A667F1">
        <w:rPr>
          <w:b/>
          <w:bCs/>
          <w:caps/>
          <w:sz w:val="22"/>
          <w:szCs w:val="22"/>
          <w:u w:val="single"/>
          <w:lang w:val="fr-FR"/>
        </w:rPr>
        <w:t xml:space="preserve"> FINAL</w:t>
      </w:r>
      <w:r w:rsidR="001948EA" w:rsidRPr="001948EA">
        <w:rPr>
          <w:b/>
          <w:bCs/>
          <w:caps/>
          <w:sz w:val="22"/>
          <w:szCs w:val="22"/>
          <w:lang w:val="fr-FR"/>
        </w:rPr>
        <w:t> </w:t>
      </w:r>
    </w:p>
    <w:p w14:paraId="0B2F56D8" w14:textId="71D0463A" w:rsidR="000554F8" w:rsidRDefault="00500587" w:rsidP="000F43A8">
      <w:pPr>
        <w:jc w:val="center"/>
        <w:rPr>
          <w:bCs/>
          <w:iCs/>
          <w:snapToGrid w:val="0"/>
          <w:szCs w:val="28"/>
        </w:rPr>
      </w:pPr>
      <w:r>
        <w:rPr>
          <w:b/>
          <w:bCs/>
          <w:caps/>
        </w:rPr>
        <w:t>ANNEE</w:t>
      </w:r>
      <w:r w:rsidR="000F43A8">
        <w:rPr>
          <w:b/>
          <w:bCs/>
          <w:caps/>
        </w:rPr>
        <w:t xml:space="preserve"> DE RAPPORT: </w:t>
      </w:r>
      <w:r w:rsidR="00901329" w:rsidRPr="00901329">
        <w:rPr>
          <w:b/>
          <w:iCs/>
          <w:snapToGrid w:val="0"/>
          <w:szCs w:val="28"/>
        </w:rPr>
        <w:t>202</w:t>
      </w:r>
      <w:r w:rsidR="00A667F1">
        <w:rPr>
          <w:b/>
          <w:iCs/>
          <w:snapToGrid w:val="0"/>
          <w:szCs w:val="28"/>
        </w:rPr>
        <w:t>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01329" w14:paraId="26E9F2DE" w14:textId="77777777" w:rsidTr="00F23D0F">
        <w:trPr>
          <w:trHeight w:val="422"/>
        </w:trPr>
        <w:tc>
          <w:tcPr>
            <w:tcW w:w="10080" w:type="dxa"/>
            <w:gridSpan w:val="2"/>
          </w:tcPr>
          <w:p w14:paraId="11EF4F5F" w14:textId="5DE8DF4D"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995A33"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995A33" w:rsidRPr="00DF0ECE">
              <w:rPr>
                <w:rFonts w:ascii="Times New Roman" w:hAnsi="Times New Roman" w:cs="Times New Roman"/>
                <w:sz w:val="24"/>
                <w:szCs w:val="24"/>
                <w:lang w:val="fr-FR"/>
              </w:rPr>
              <w:t>Projet d'Appui à l'Amélioration de la Gouvernance des Services de Police</w:t>
            </w:r>
          </w:p>
          <w:p w14:paraId="24C4A490" w14:textId="27D9DA4F" w:rsidR="00793DE6" w:rsidRPr="00426FE9" w:rsidRDefault="000F43A8" w:rsidP="000F43A8">
            <w:pPr>
              <w:rPr>
                <w:b/>
                <w:lang w:val="en-US"/>
              </w:rPr>
            </w:pPr>
            <w:proofErr w:type="spellStart"/>
            <w:r w:rsidRPr="00901329">
              <w:rPr>
                <w:b/>
                <w:lang w:val="en-US"/>
              </w:rPr>
              <w:t>Numéro</w:t>
            </w:r>
            <w:proofErr w:type="spellEnd"/>
            <w:r w:rsidRPr="00901329">
              <w:rPr>
                <w:b/>
                <w:lang w:val="en-US"/>
              </w:rPr>
              <w:t xml:space="preserve"> </w:t>
            </w:r>
            <w:proofErr w:type="spellStart"/>
            <w:r w:rsidRPr="00901329">
              <w:rPr>
                <w:b/>
                <w:lang w:val="en-US"/>
              </w:rPr>
              <w:t>Projet</w:t>
            </w:r>
            <w:proofErr w:type="spellEnd"/>
            <w:r w:rsidRPr="00901329">
              <w:rPr>
                <w:b/>
                <w:lang w:val="en-US"/>
              </w:rPr>
              <w:t xml:space="preserve"> / MPTF Gateway</w:t>
            </w:r>
            <w:r w:rsidR="00793DE6" w:rsidRPr="00901329">
              <w:rPr>
                <w:b/>
                <w:lang w:val="en-US"/>
              </w:rPr>
              <w:t xml:space="preserve">: </w:t>
            </w:r>
            <w:r w:rsidR="00901329" w:rsidRPr="00901329">
              <w:rPr>
                <w:b/>
                <w:lang w:val="en-US"/>
              </w:rPr>
              <w:t>PBF-IRF-289 - 001135</w:t>
            </w:r>
            <w:r w:rsidR="00901329">
              <w:rPr>
                <w:b/>
                <w:lang w:val="en-US"/>
              </w:rPr>
              <w:t>87</w:t>
            </w:r>
            <w:r w:rsidR="00A43B9C" w:rsidRPr="00901329">
              <w:rPr>
                <w:b/>
                <w:lang w:val="en-US"/>
              </w:rPr>
              <w:t xml:space="preserve">  </w:t>
            </w:r>
          </w:p>
        </w:tc>
      </w:tr>
      <w:tr w:rsidR="00A43B9C" w:rsidRPr="00330C84"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37DBB">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37DBB">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DCEEAEA"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995A33"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643B326D"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901329"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59908EC1" w14:textId="5F9CB35F" w:rsidR="00B91CE2" w:rsidRPr="00CF4321" w:rsidRDefault="00A43B9C" w:rsidP="00B91CE2">
            <w:pPr>
              <w:pStyle w:val="Textedebulles"/>
              <w:numPr>
                <w:ilvl w:val="12"/>
                <w:numId w:val="0"/>
              </w:numPr>
              <w:tabs>
                <w:tab w:val="left" w:pos="-720"/>
                <w:tab w:val="left" w:pos="4500"/>
              </w:tabs>
              <w:rPr>
                <w:rFonts w:ascii="Times New Roman" w:hAnsi="Times New Roman" w:cs="Times New Roman"/>
                <w:b/>
                <w:sz w:val="24"/>
                <w:szCs w:val="24"/>
                <w:lang w:val="fr-FR"/>
              </w:rPr>
            </w:pPr>
            <w:r w:rsidRPr="00B91CE2">
              <w:rPr>
                <w:rFonts w:ascii="Times New Roman" w:hAnsi="Times New Roman" w:cs="Times New Roman"/>
                <w:b/>
                <w:sz w:val="24"/>
                <w:szCs w:val="24"/>
                <w:lang w:val="fr-FR"/>
              </w:rPr>
              <w:t xml:space="preserve">   </w:t>
            </w:r>
            <w:r w:rsidR="00B91CE2">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00B91CE2" w:rsidRPr="001D7019">
              <w:rPr>
                <w:rFonts w:ascii="Times New Roman" w:hAnsi="Times New Roman" w:cs="Times New Roman"/>
                <w:b/>
                <w:sz w:val="24"/>
                <w:szCs w:val="24"/>
                <w:lang w:val="fr-FR"/>
              </w:rPr>
              <w:instrText xml:space="preserve"> FORMDROPDOWN </w:instrText>
            </w:r>
            <w:r w:rsidR="00937DBB">
              <w:rPr>
                <w:rFonts w:ascii="Times New Roman" w:hAnsi="Times New Roman" w:cs="Times New Roman"/>
                <w:b/>
                <w:sz w:val="24"/>
                <w:szCs w:val="24"/>
              </w:rPr>
            </w:r>
            <w:r w:rsidR="00937DBB">
              <w:rPr>
                <w:rFonts w:ascii="Times New Roman" w:hAnsi="Times New Roman" w:cs="Times New Roman"/>
                <w:b/>
                <w:sz w:val="24"/>
                <w:szCs w:val="24"/>
              </w:rPr>
              <w:fldChar w:fldCharType="separate"/>
            </w:r>
            <w:r w:rsidR="00B91CE2">
              <w:rPr>
                <w:rFonts w:ascii="Times New Roman" w:hAnsi="Times New Roman" w:cs="Times New Roman"/>
                <w:b/>
                <w:sz w:val="24"/>
                <w:szCs w:val="24"/>
              </w:rPr>
              <w:fldChar w:fldCharType="end"/>
            </w:r>
            <w:r w:rsidR="00B91CE2" w:rsidRPr="00CF4321">
              <w:rPr>
                <w:rFonts w:ascii="Times New Roman" w:hAnsi="Times New Roman" w:cs="Times New Roman"/>
                <w:b/>
                <w:sz w:val="24"/>
                <w:szCs w:val="24"/>
                <w:lang w:val="fr-FR"/>
              </w:rPr>
              <w:t xml:space="preserve">     PNUD (Agence coordinatrice)</w:t>
            </w:r>
          </w:p>
          <w:p w14:paraId="19C1664C" w14:textId="77777777" w:rsidR="00B91CE2" w:rsidRPr="00CF4321" w:rsidRDefault="00B91CE2" w:rsidP="00B91CE2">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1D7019">
              <w:rPr>
                <w:rFonts w:ascii="Times New Roman" w:hAnsi="Times New Roman" w:cs="Times New Roman"/>
                <w:b/>
                <w:sz w:val="24"/>
                <w:szCs w:val="24"/>
                <w:lang w:val="fr-FR"/>
              </w:rPr>
              <w:instrText xml:space="preserve"> FORMDROPDOWN </w:instrText>
            </w:r>
            <w:r w:rsidR="00937DBB">
              <w:rPr>
                <w:rFonts w:ascii="Times New Roman" w:hAnsi="Times New Roman" w:cs="Times New Roman"/>
                <w:b/>
                <w:sz w:val="24"/>
                <w:szCs w:val="24"/>
              </w:rPr>
            </w:r>
            <w:r w:rsidR="00937DB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CF4321">
              <w:rPr>
                <w:rFonts w:ascii="Times New Roman" w:hAnsi="Times New Roman" w:cs="Times New Roman"/>
                <w:b/>
                <w:sz w:val="24"/>
                <w:szCs w:val="24"/>
                <w:lang w:val="fr-FR"/>
              </w:rPr>
              <w:t xml:space="preserve">     ONU-HABITAT</w:t>
            </w:r>
            <w:r w:rsidRPr="001C4E7F">
              <w:rPr>
                <w:rFonts w:ascii="Times New Roman" w:hAnsi="Times New Roman" w:cs="Times New Roman"/>
                <w:sz w:val="24"/>
                <w:szCs w:val="24"/>
                <w:lang w:val="fr-FR"/>
              </w:rPr>
              <w:t>,</w:t>
            </w:r>
          </w:p>
          <w:p w14:paraId="0673E8AA" w14:textId="2A2D270F" w:rsidR="00A43B9C" w:rsidRPr="00426FE9" w:rsidRDefault="00A43B9C"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B91CE2">
              <w:rPr>
                <w:rFonts w:ascii="Times New Roman" w:hAnsi="Times New Roman" w:cs="Times New Roman"/>
                <w:b/>
                <w:sz w:val="24"/>
                <w:szCs w:val="24"/>
                <w:lang w:val="fr-FR"/>
              </w:rPr>
              <w:t xml:space="preserve">  </w:t>
            </w:r>
          </w:p>
        </w:tc>
      </w:tr>
      <w:tr w:rsidR="00793DE6" w:rsidRPr="00901329" w14:paraId="72CE853D" w14:textId="77777777" w:rsidTr="00F23D0F">
        <w:trPr>
          <w:trHeight w:val="368"/>
        </w:trPr>
        <w:tc>
          <w:tcPr>
            <w:tcW w:w="10080" w:type="dxa"/>
            <w:gridSpan w:val="2"/>
          </w:tcPr>
          <w:p w14:paraId="5C2804C5" w14:textId="5D2AD47A" w:rsidR="00793DE6" w:rsidRPr="00995A33" w:rsidRDefault="000F43A8" w:rsidP="00F23D0F">
            <w:pPr>
              <w:rPr>
                <w:b/>
                <w:bCs/>
                <w:iCs/>
                <w:lang w:val="fr-FR"/>
              </w:rPr>
            </w:pPr>
            <w:r w:rsidRPr="000F43A8">
              <w:rPr>
                <w:b/>
                <w:bCs/>
                <w:iCs/>
                <w:lang w:val="fr-FR"/>
              </w:rPr>
              <w:t xml:space="preserve">Date du premier transfert de </w:t>
            </w:r>
            <w:r w:rsidR="00995A33" w:rsidRPr="000F43A8">
              <w:rPr>
                <w:b/>
                <w:bCs/>
                <w:iCs/>
                <w:lang w:val="fr-FR"/>
              </w:rPr>
              <w:t>fonds :</w:t>
            </w:r>
            <w:r w:rsidR="00793DE6" w:rsidRPr="000F43A8">
              <w:rPr>
                <w:b/>
                <w:bCs/>
                <w:iCs/>
                <w:lang w:val="fr-FR"/>
              </w:rPr>
              <w:t xml:space="preserve"> </w:t>
            </w:r>
            <w:r w:rsidR="00995A33" w:rsidRPr="00995A33">
              <w:rPr>
                <w:bCs/>
                <w:iCs/>
                <w:snapToGrid w:val="0"/>
                <w:lang w:val="fr-FR"/>
              </w:rPr>
              <w:t>20 décembre 2018</w:t>
            </w:r>
          </w:p>
          <w:p w14:paraId="064BF427" w14:textId="560C898E" w:rsidR="004D141E" w:rsidRPr="000F43A8" w:rsidRDefault="000F43A8" w:rsidP="00F23D0F">
            <w:pPr>
              <w:rPr>
                <w:bCs/>
                <w:iCs/>
                <w:snapToGrid w:val="0"/>
                <w:lang w:val="fr-FR"/>
              </w:rPr>
            </w:pPr>
            <w:r w:rsidRPr="000F43A8">
              <w:rPr>
                <w:b/>
                <w:bCs/>
                <w:iCs/>
                <w:lang w:val="fr-FR"/>
              </w:rPr>
              <w:t xml:space="preserve">Date de fin de </w:t>
            </w:r>
            <w:r w:rsidR="00995A33" w:rsidRPr="000F43A8">
              <w:rPr>
                <w:b/>
                <w:bCs/>
                <w:iCs/>
                <w:lang w:val="fr-FR"/>
              </w:rPr>
              <w:t>projet :</w:t>
            </w:r>
            <w:r w:rsidR="00793DE6" w:rsidRPr="000F43A8">
              <w:rPr>
                <w:b/>
                <w:bCs/>
                <w:iCs/>
                <w:lang w:val="fr-FR"/>
              </w:rPr>
              <w:t xml:space="preserve"> </w:t>
            </w:r>
            <w:r w:rsidR="00995A33" w:rsidRPr="00995A33">
              <w:rPr>
                <w:bCs/>
                <w:iCs/>
                <w:snapToGrid w:val="0"/>
                <w:lang w:val="fr-FR"/>
              </w:rPr>
              <w:t xml:space="preserve">31 Octobre 2020     </w:t>
            </w:r>
            <w:r w:rsidR="0025220B" w:rsidRPr="000F43A8">
              <w:rPr>
                <w:bCs/>
                <w:iCs/>
                <w:snapToGrid w:val="0"/>
                <w:lang w:val="fr-FR"/>
              </w:rPr>
              <w:t xml:space="preserve">     </w:t>
            </w:r>
          </w:p>
          <w:p w14:paraId="2AE235F0" w14:textId="5F8D644A" w:rsidR="00793DE6" w:rsidRPr="002F2F7A" w:rsidRDefault="000F43A8" w:rsidP="000F43A8">
            <w:pPr>
              <w:rPr>
                <w:bCs/>
                <w:iCs/>
                <w:snapToGrid w:val="0"/>
                <w:lang w:val="fr-FR"/>
              </w:rPr>
            </w:pPr>
            <w:r w:rsidRPr="000F43A8">
              <w:rPr>
                <w:b/>
                <w:iCs/>
                <w:snapToGrid w:val="0"/>
                <w:lang w:val="fr-FR"/>
              </w:rPr>
              <w:t xml:space="preserve">Le projet est-il dans ces six derniers mois de mise en </w:t>
            </w:r>
            <w:r w:rsidR="00995A33" w:rsidRPr="000F43A8">
              <w:rPr>
                <w:b/>
                <w:iCs/>
                <w:snapToGrid w:val="0"/>
                <w:lang w:val="fr-FR"/>
              </w:rPr>
              <w:t>œuvre ?</w:t>
            </w:r>
            <w:r w:rsidR="0025220B" w:rsidRPr="000F43A8">
              <w:rPr>
                <w:bCs/>
                <w:iCs/>
                <w:snapToGrid w:val="0"/>
                <w:lang w:val="fr-FR"/>
              </w:rPr>
              <w:t xml:space="preserve"> </w:t>
            </w:r>
            <w:r w:rsidR="00995A33" w:rsidRPr="002F2F7A">
              <w:rPr>
                <w:bCs/>
                <w:iCs/>
                <w:snapToGrid w:val="0"/>
                <w:lang w:val="fr-FR"/>
              </w:rPr>
              <w:t>OUI</w:t>
            </w:r>
            <w:r w:rsidR="00995A33" w:rsidRPr="002F2F7A">
              <w:rPr>
                <w:bCs/>
                <w:iCs/>
                <w:snapToGrid w:val="0"/>
              </w:rPr>
              <w:t xml:space="preserve"> </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1FC53A23"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995A33">
              <w:rPr>
                <w:b/>
                <w:bCs/>
                <w:iCs/>
                <w:lang w:val="fr-FR"/>
              </w:rPr>
              <w:t>PBF</w:t>
            </w:r>
            <w:r w:rsidR="00995A33" w:rsidRPr="005D721B">
              <w:rPr>
                <w:b/>
                <w:bCs/>
                <w:iCs/>
                <w:lang w:val="fr-FR"/>
              </w:rPr>
              <w:t xml:space="preserve"> :</w:t>
            </w:r>
          </w:p>
          <w:p w14:paraId="100F4267" w14:textId="6D3BE406" w:rsidR="000F43A8" w:rsidRPr="005D721B" w:rsidRDefault="00A667F1"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937DBB">
              <w:rPr>
                <w:lang w:val="fr-FR"/>
              </w:rPr>
            </w:r>
            <w:r w:rsidR="00937DBB">
              <w:rPr>
                <w:lang w:val="fr-FR"/>
              </w:rPr>
              <w:fldChar w:fldCharType="separate"/>
            </w:r>
            <w:r>
              <w:rPr>
                <w:lang w:val="fr-FR"/>
              </w:rPr>
              <w:fldChar w:fldCharType="end"/>
            </w:r>
            <w:r w:rsidR="000F43A8" w:rsidRPr="005D721B">
              <w:rPr>
                <w:lang w:val="fr-FR"/>
              </w:rPr>
              <w:t xml:space="preserve"> Initiative de promotion du genre</w:t>
            </w:r>
          </w:p>
          <w:p w14:paraId="347330FA" w14:textId="294B2A92" w:rsidR="000F43A8" w:rsidRPr="005D721B" w:rsidRDefault="00D64F36"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937DBB">
              <w:rPr>
                <w:lang w:val="fr-FR"/>
              </w:rPr>
            </w:r>
            <w:r w:rsidR="00937DBB">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37DBB">
              <w:rPr>
                <w:lang w:val="fr-FR"/>
              </w:rPr>
            </w:r>
            <w:r w:rsidR="00937DBB">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37DBB">
              <w:rPr>
                <w:lang w:val="fr-FR"/>
              </w:rPr>
            </w:r>
            <w:r w:rsidR="00937DBB">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330C84" w14:paraId="65120CDF" w14:textId="77777777" w:rsidTr="00F23D0F">
        <w:trPr>
          <w:trHeight w:val="1124"/>
        </w:trPr>
        <w:tc>
          <w:tcPr>
            <w:tcW w:w="10080" w:type="dxa"/>
            <w:gridSpan w:val="2"/>
          </w:tcPr>
          <w:p w14:paraId="08D9EBF0" w14:textId="7A6B4D28"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995A33" w:rsidRPr="000F43A8">
              <w:rPr>
                <w:b/>
                <w:bCs/>
                <w:iCs/>
                <w:lang w:val="fr-FR"/>
              </w:rPr>
              <w:t>)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6321D8BF" w:rsidR="00793DE6" w:rsidRPr="007C7B57" w:rsidRDefault="00995A33" w:rsidP="00F23D0F">
            <w:pPr>
              <w:rPr>
                <w:iCs/>
                <w:lang w:val="fr-FR"/>
              </w:rPr>
            </w:pPr>
            <w:r w:rsidRPr="00995A33">
              <w:rPr>
                <w:bCs/>
                <w:iCs/>
                <w:snapToGrid w:val="0"/>
                <w:lang w:val="fr-FR"/>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Pr>
                <w:iCs/>
                <w:lang w:val="fr-FR"/>
              </w:rPr>
              <w:t>1 200 000</w:t>
            </w:r>
          </w:p>
          <w:p w14:paraId="52AEBA43" w14:textId="1AE185D4" w:rsidR="00995A33" w:rsidRPr="007C7B57" w:rsidRDefault="00C12D6A" w:rsidP="00995A33">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p>
          <w:p w14:paraId="0900B169" w14:textId="0B743DB4"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7AA2D079" w14:textId="204A09D8"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8D39BE">
              <w:rPr>
                <w:rFonts w:ascii="Times New Roman" w:hAnsi="Times New Roman" w:cs="Times New Roman"/>
                <w:sz w:val="24"/>
                <w:szCs w:val="24"/>
                <w:lang w:val="fr-FR"/>
              </w:rPr>
              <w:t xml:space="preserve">        </w:t>
            </w:r>
            <w:r w:rsidR="00995A33"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 </w:t>
            </w:r>
            <w:r w:rsidR="00995A33" w:rsidRPr="00995A33">
              <w:rPr>
                <w:rFonts w:ascii="Times New Roman" w:hAnsi="Times New Roman" w:cs="Times New Roman"/>
                <w:bCs/>
                <w:iCs/>
                <w:snapToGrid w:val="0"/>
                <w:sz w:val="24"/>
                <w:szCs w:val="24"/>
                <w:lang w:val="fr-FR"/>
              </w:rPr>
              <w:t>1</w:t>
            </w:r>
            <w:r w:rsidR="00995A33">
              <w:rPr>
                <w:rFonts w:ascii="Times New Roman" w:hAnsi="Times New Roman" w:cs="Times New Roman"/>
                <w:bCs/>
                <w:iCs/>
                <w:snapToGrid w:val="0"/>
                <w:sz w:val="24"/>
                <w:szCs w:val="24"/>
                <w:lang w:val="fr-FR"/>
              </w:rPr>
              <w:t> 200 000</w:t>
            </w:r>
            <w:r w:rsidR="00C12D6A" w:rsidRPr="007C7B57">
              <w:rPr>
                <w:rFonts w:ascii="Times New Roman" w:hAnsi="Times New Roman" w:cs="Times New Roman"/>
                <w:bCs/>
                <w:iCs/>
                <w:snapToGrid w:val="0"/>
                <w:sz w:val="24"/>
                <w:szCs w:val="24"/>
                <w:lang w:val="fr-FR"/>
              </w:rPr>
              <w:t xml:space="preserve"> </w:t>
            </w:r>
          </w:p>
          <w:p w14:paraId="5324AF29" w14:textId="79545199" w:rsidR="001C56B8" w:rsidRPr="00A667F1"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5305D1">
              <w:rPr>
                <w:rFonts w:ascii="Times New Roman" w:hAnsi="Times New Roman" w:cs="Times New Roman"/>
                <w:bCs/>
                <w:iCs/>
                <w:snapToGrid w:val="0"/>
                <w:sz w:val="24"/>
                <w:szCs w:val="24"/>
                <w:lang w:val="fr-FR"/>
              </w:rPr>
              <w:t>projet</w:t>
            </w:r>
            <w:r w:rsidR="005305D1"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A667F1" w:rsidRPr="00A667F1">
              <w:rPr>
                <w:rFonts w:ascii="Times New Roman" w:hAnsi="Times New Roman" w:cs="Times New Roman"/>
                <w:bCs/>
                <w:iCs/>
                <w:snapToGrid w:val="0"/>
                <w:sz w:val="24"/>
                <w:szCs w:val="24"/>
                <w:lang w:val="fr-FR"/>
              </w:rPr>
              <w:t>1</w:t>
            </w:r>
            <w:r w:rsidR="00A667F1">
              <w:rPr>
                <w:rFonts w:ascii="Times New Roman" w:hAnsi="Times New Roman" w:cs="Times New Roman"/>
                <w:bCs/>
                <w:iCs/>
                <w:snapToGrid w:val="0"/>
                <w:sz w:val="24"/>
                <w:szCs w:val="24"/>
                <w:lang w:val="fr-FR"/>
              </w:rPr>
              <w:t>00%</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5359BC3F" w:rsidR="00006EC0" w:rsidRPr="000F43A8" w:rsidRDefault="005305D1"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Pr="000F43A8">
              <w:rPr>
                <w:rFonts w:ascii="Times New Roman" w:hAnsi="Times New Roman" w:cs="Times New Roman"/>
                <w:b/>
                <w:bCs/>
                <w:sz w:val="24"/>
                <w:szCs w:val="24"/>
                <w:lang w:val="fr-FR"/>
              </w:rPr>
              <w:t>genre :</w:t>
            </w:r>
          </w:p>
          <w:p w14:paraId="70C2EA9C" w14:textId="6E0C1CEB" w:rsidR="00970F4C" w:rsidRPr="005305D1"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5305D1">
              <w:rPr>
                <w:lang w:val="fr-FR"/>
              </w:rPr>
              <w:t>femmes</w:t>
            </w:r>
            <w:r w:rsidR="005305D1" w:rsidRPr="000F43A8">
              <w:rPr>
                <w:lang w:val="fr-FR"/>
              </w:rPr>
              <w:t xml:space="preserve"> :</w:t>
            </w:r>
            <w:r w:rsidR="00970F4C" w:rsidRPr="000F43A8">
              <w:rPr>
                <w:lang w:val="fr-FR"/>
              </w:rPr>
              <w:t xml:space="preserve"> </w:t>
            </w:r>
            <w:r w:rsidR="005305D1" w:rsidRPr="005305D1">
              <w:rPr>
                <w:lang w:val="fr-FR"/>
              </w:rPr>
              <w:t>175</w:t>
            </w:r>
            <w:r w:rsidR="00D451E5">
              <w:rPr>
                <w:lang w:val="fr-FR"/>
              </w:rPr>
              <w:t> </w:t>
            </w:r>
            <w:r w:rsidR="005305D1" w:rsidRPr="005305D1">
              <w:rPr>
                <w:lang w:val="fr-FR"/>
              </w:rPr>
              <w:t>000</w:t>
            </w:r>
            <w:r w:rsidR="00D451E5">
              <w:rPr>
                <w:lang w:val="fr-FR"/>
              </w:rPr>
              <w:t xml:space="preserve"> USD</w:t>
            </w:r>
          </w:p>
          <w:p w14:paraId="00AF6414" w14:textId="34ED1293" w:rsidR="00006EC0" w:rsidRPr="005305D1"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5305D1">
              <w:rPr>
                <w:lang w:val="fr-FR"/>
              </w:rPr>
              <w:t>femmes</w:t>
            </w:r>
            <w:r w:rsidR="005305D1" w:rsidRPr="000F43A8">
              <w:rPr>
                <w:lang w:val="fr-FR"/>
              </w:rPr>
              <w:t xml:space="preserve"> :</w:t>
            </w:r>
            <w:r w:rsidR="00006EC0" w:rsidRPr="000F43A8">
              <w:rPr>
                <w:lang w:val="fr-FR"/>
              </w:rPr>
              <w:t xml:space="preserve"> </w:t>
            </w:r>
            <w:r w:rsidR="005305D1" w:rsidRPr="005305D1">
              <w:rPr>
                <w:lang w:val="fr-FR"/>
              </w:rPr>
              <w:t>175</w:t>
            </w:r>
            <w:r w:rsidR="00D451E5">
              <w:rPr>
                <w:lang w:val="fr-FR"/>
              </w:rPr>
              <w:t> </w:t>
            </w:r>
            <w:r w:rsidR="005305D1" w:rsidRPr="005305D1">
              <w:rPr>
                <w:lang w:val="fr-FR"/>
              </w:rPr>
              <w:t>000</w:t>
            </w:r>
            <w:r w:rsidR="00D451E5">
              <w:rPr>
                <w:lang w:val="fr-FR"/>
              </w:rPr>
              <w:t xml:space="preserve"> USD</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330C84" w14:paraId="0DF7F010" w14:textId="77777777" w:rsidTr="00F23D0F">
        <w:trPr>
          <w:trHeight w:val="1124"/>
        </w:trPr>
        <w:tc>
          <w:tcPr>
            <w:tcW w:w="10080" w:type="dxa"/>
            <w:gridSpan w:val="2"/>
          </w:tcPr>
          <w:p w14:paraId="0084A294" w14:textId="4802DE0E" w:rsidR="009B18EB" w:rsidRPr="000F43A8" w:rsidRDefault="000F43A8" w:rsidP="00F23D0F">
            <w:pPr>
              <w:rPr>
                <w:b/>
                <w:bCs/>
                <w:iCs/>
                <w:lang w:val="fr-FR"/>
              </w:rPr>
            </w:pPr>
            <w:r w:rsidRPr="000F43A8">
              <w:rPr>
                <w:b/>
                <w:bCs/>
                <w:iCs/>
                <w:lang w:val="fr-FR"/>
              </w:rPr>
              <w:t xml:space="preserve">Marquer de genre du </w:t>
            </w:r>
            <w:r w:rsidR="005305D1" w:rsidRPr="000F43A8">
              <w:rPr>
                <w:b/>
                <w:bCs/>
                <w:iCs/>
                <w:lang w:val="fr-FR"/>
              </w:rPr>
              <w:t>projet :</w:t>
            </w:r>
            <w:r w:rsidR="009B18EB" w:rsidRPr="000F43A8">
              <w:rPr>
                <w:b/>
                <w:bCs/>
                <w:iCs/>
                <w:lang w:val="fr-FR"/>
              </w:rPr>
              <w:t xml:space="preserve"> </w:t>
            </w:r>
            <w:r w:rsidR="005305D1" w:rsidRPr="002F2F7A">
              <w:rPr>
                <w:iCs/>
                <w:lang w:val="fr-FR"/>
              </w:rPr>
              <w:t>2</w:t>
            </w:r>
          </w:p>
          <w:p w14:paraId="7B5DB9E4" w14:textId="08074710" w:rsidR="009B18EB" w:rsidRPr="002F2F7A" w:rsidRDefault="000F43A8" w:rsidP="00F23D0F">
            <w:pPr>
              <w:rPr>
                <w:iCs/>
                <w:lang w:val="fr-FR"/>
              </w:rPr>
            </w:pPr>
            <w:r w:rsidRPr="000F43A8">
              <w:rPr>
                <w:b/>
                <w:bCs/>
                <w:iCs/>
                <w:lang w:val="fr-FR"/>
              </w:rPr>
              <w:t xml:space="preserve">Marquer de risque du </w:t>
            </w:r>
            <w:r w:rsidR="005305D1" w:rsidRPr="000F43A8">
              <w:rPr>
                <w:b/>
                <w:bCs/>
                <w:iCs/>
                <w:lang w:val="fr-FR"/>
              </w:rPr>
              <w:t>projet :</w:t>
            </w:r>
            <w:r w:rsidR="009B18EB" w:rsidRPr="000F43A8">
              <w:rPr>
                <w:b/>
                <w:bCs/>
                <w:iCs/>
                <w:lang w:val="fr-FR"/>
              </w:rPr>
              <w:t xml:space="preserve"> </w:t>
            </w:r>
            <w:r w:rsidR="005305D1" w:rsidRPr="002F2F7A">
              <w:rPr>
                <w:iCs/>
                <w:lang w:val="fr-FR"/>
              </w:rPr>
              <w:t>1</w:t>
            </w:r>
          </w:p>
          <w:p w14:paraId="55B14D86" w14:textId="272E561E"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5305D1">
              <w:rPr>
                <w:b/>
                <w:bCs/>
                <w:iCs/>
                <w:lang w:val="fr-FR"/>
              </w:rPr>
              <w:t>)</w:t>
            </w:r>
            <w:r w:rsidR="005305D1" w:rsidRPr="000F43A8">
              <w:rPr>
                <w:b/>
                <w:bCs/>
                <w:iCs/>
                <w:lang w:val="fr-FR"/>
              </w:rPr>
              <w:t xml:space="preserve"> :</w:t>
            </w:r>
            <w:r w:rsidR="009B18EB" w:rsidRPr="000F43A8">
              <w:rPr>
                <w:b/>
                <w:bCs/>
                <w:iCs/>
                <w:lang w:val="fr-FR"/>
              </w:rPr>
              <w:t xml:space="preserve"> </w:t>
            </w:r>
            <w:r w:rsidR="005305D1" w:rsidRPr="002F2F7A">
              <w:rPr>
                <w:iCs/>
                <w:lang w:val="fr-FR"/>
              </w:rPr>
              <w:t>1.1) Réforme du Secteur de la Sécurité.</w:t>
            </w:r>
          </w:p>
        </w:tc>
      </w:tr>
      <w:tr w:rsidR="00793DE6" w:rsidRPr="00330C84" w14:paraId="27192C5C" w14:textId="77777777" w:rsidTr="00F23D0F">
        <w:trPr>
          <w:trHeight w:val="1124"/>
        </w:trPr>
        <w:tc>
          <w:tcPr>
            <w:tcW w:w="10080" w:type="dxa"/>
            <w:gridSpan w:val="2"/>
          </w:tcPr>
          <w:p w14:paraId="7BC15C3E" w14:textId="1CD33756" w:rsidR="000F43A8" w:rsidRPr="00136BFF" w:rsidRDefault="000F43A8" w:rsidP="000F43A8">
            <w:pPr>
              <w:rPr>
                <w:b/>
                <w:bCs/>
                <w:sz w:val="22"/>
                <w:lang w:val="fr-FR"/>
              </w:rPr>
            </w:pPr>
            <w:r w:rsidRPr="00136BFF">
              <w:rPr>
                <w:b/>
                <w:bCs/>
                <w:sz w:val="22"/>
                <w:lang w:val="fr-FR"/>
              </w:rPr>
              <w:t xml:space="preserve">Préparation du </w:t>
            </w:r>
            <w:r w:rsidR="005305D1" w:rsidRPr="00136BFF">
              <w:rPr>
                <w:b/>
                <w:bCs/>
                <w:sz w:val="22"/>
                <w:lang w:val="fr-FR"/>
              </w:rPr>
              <w:t>rapport :</w:t>
            </w:r>
          </w:p>
          <w:p w14:paraId="43FCACD6" w14:textId="7B576AE9" w:rsidR="000F43A8" w:rsidRPr="00826923" w:rsidRDefault="000F43A8" w:rsidP="000F43A8">
            <w:pPr>
              <w:rPr>
                <w:lang w:val="fr-FR"/>
              </w:rPr>
            </w:pPr>
            <w:r w:rsidRPr="00826923">
              <w:rPr>
                <w:lang w:val="fr-FR"/>
              </w:rPr>
              <w:t xml:space="preserve">Rapport préparé </w:t>
            </w:r>
            <w:r w:rsidR="005305D1" w:rsidRPr="00826923">
              <w:rPr>
                <w:lang w:val="fr-FR"/>
              </w:rPr>
              <w:t>par :</w:t>
            </w:r>
            <w:r w:rsidRPr="00826923">
              <w:rPr>
                <w:lang w:val="fr-FR"/>
              </w:rPr>
              <w:t xml:space="preserve"> </w:t>
            </w:r>
            <w:r w:rsidR="005305D1">
              <w:rPr>
                <w:lang w:val="fr-FR"/>
              </w:rPr>
              <w:t>Konsa CAMARA</w:t>
            </w:r>
          </w:p>
          <w:p w14:paraId="4F7F6063" w14:textId="1DAEE0B2" w:rsidR="000F43A8" w:rsidRPr="00826923" w:rsidRDefault="000F43A8" w:rsidP="000F43A8">
            <w:pPr>
              <w:rPr>
                <w:lang w:val="fr-FR"/>
              </w:rPr>
            </w:pPr>
            <w:r w:rsidRPr="00826923">
              <w:rPr>
                <w:lang w:val="fr-FR"/>
              </w:rPr>
              <w:t xml:space="preserve">Rapport approuvé </w:t>
            </w:r>
            <w:r w:rsidR="005305D1" w:rsidRPr="00826923">
              <w:rPr>
                <w:lang w:val="fr-FR"/>
              </w:rPr>
              <w:t>par :</w:t>
            </w:r>
            <w:r w:rsidRPr="00826923">
              <w:rPr>
                <w:lang w:val="fr-FR"/>
              </w:rPr>
              <w:t xml:space="preserve"> </w:t>
            </w:r>
            <w:proofErr w:type="gramStart"/>
            <w:r w:rsidR="00A667F1">
              <w:rPr>
                <w:lang w:val="fr-FR"/>
              </w:rPr>
              <w:t>Mohamed  ABBA</w:t>
            </w:r>
            <w:proofErr w:type="gramEnd"/>
          </w:p>
          <w:p w14:paraId="64A19D37" w14:textId="7DD642CD" w:rsidR="000F43A8" w:rsidRPr="000F43A8" w:rsidRDefault="000F43A8" w:rsidP="000F43A8">
            <w:pPr>
              <w:rPr>
                <w:lang w:val="fr-FR"/>
              </w:rPr>
            </w:pPr>
            <w:r w:rsidRPr="00826923">
              <w:rPr>
                <w:lang w:val="fr-FR"/>
              </w:rPr>
              <w:t xml:space="preserve">Le Secrétariat PBF a-t-il revu le </w:t>
            </w:r>
            <w:r w:rsidR="005305D1" w:rsidRPr="00826923">
              <w:rPr>
                <w:lang w:val="fr-FR"/>
              </w:rPr>
              <w:t>rapport</w:t>
            </w:r>
            <w:r w:rsidR="005305D1" w:rsidRPr="00136BFF">
              <w:rPr>
                <w:sz w:val="22"/>
                <w:lang w:val="fr-FR"/>
              </w:rPr>
              <w:t xml:space="preserve"> :</w:t>
            </w:r>
            <w:r w:rsidRPr="00136BFF">
              <w:rPr>
                <w:sz w:val="22"/>
                <w:lang w:val="fr-FR"/>
              </w:rPr>
              <w:t xml:space="preserve"> </w:t>
            </w:r>
            <w:r w:rsidR="002E2811" w:rsidRPr="002F2F7A">
              <w:rPr>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60DDCC94"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BC2B79" w:rsidRPr="00F778A1">
        <w:rPr>
          <w:b/>
          <w:i/>
          <w:iCs/>
          <w:lang w:val="fr-FR"/>
        </w:rPr>
        <w:t>RAPPORT :</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44399B96" w:rsidR="00F778A1" w:rsidRPr="002E2811" w:rsidRDefault="00F778A1" w:rsidP="00F778A1">
      <w:pPr>
        <w:ind w:left="-810"/>
        <w:rPr>
          <w:i/>
          <w:iCs/>
          <w:lang w:val="fr-FR"/>
        </w:rPr>
      </w:pPr>
      <w:r w:rsidRPr="002E2811">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2F2F7A" w:rsidRPr="002E2811">
        <w:rPr>
          <w:i/>
          <w:iCs/>
          <w:lang w:val="fr-FR"/>
        </w:rPr>
        <w:t>) :</w:t>
      </w:r>
      <w:r w:rsidRPr="002E2811">
        <w:rPr>
          <w:i/>
          <w:iCs/>
          <w:lang w:val="fr-FR"/>
        </w:rPr>
        <w:t xml:space="preserve"> </w:t>
      </w:r>
    </w:p>
    <w:p w14:paraId="6BBE8402" w14:textId="647ABEFF" w:rsidR="00C46614" w:rsidRDefault="002E2811" w:rsidP="002E2811">
      <w:pPr>
        <w:ind w:left="-810"/>
        <w:jc w:val="both"/>
        <w:rPr>
          <w:lang w:val="fr-FR"/>
        </w:rPr>
      </w:pPr>
      <w:r>
        <w:rPr>
          <w:lang w:val="fr-FR"/>
        </w:rPr>
        <w:t xml:space="preserve">Durant </w:t>
      </w:r>
      <w:r w:rsidR="00A667F1">
        <w:rPr>
          <w:lang w:val="fr-FR"/>
        </w:rPr>
        <w:t>s</w:t>
      </w:r>
      <w:r w:rsidR="0069723E">
        <w:rPr>
          <w:lang w:val="fr-FR"/>
        </w:rPr>
        <w:t xml:space="preserve">es vingt-deux mois </w:t>
      </w:r>
      <w:r w:rsidR="002C22DF">
        <w:rPr>
          <w:lang w:val="fr-FR"/>
        </w:rPr>
        <w:t>d’exécution,</w:t>
      </w:r>
      <w:r w:rsidR="002F489A">
        <w:rPr>
          <w:lang w:val="fr-FR"/>
        </w:rPr>
        <w:t xml:space="preserve"> </w:t>
      </w:r>
      <w:r w:rsidR="00CA013A">
        <w:rPr>
          <w:lang w:val="fr-FR"/>
        </w:rPr>
        <w:t xml:space="preserve">le projet </w:t>
      </w:r>
      <w:r w:rsidR="002F489A">
        <w:rPr>
          <w:lang w:val="fr-FR"/>
        </w:rPr>
        <w:t>a</w:t>
      </w:r>
      <w:r w:rsidR="00A667F1">
        <w:rPr>
          <w:lang w:val="fr-FR"/>
        </w:rPr>
        <w:t xml:space="preserve"> développé </w:t>
      </w:r>
      <w:r w:rsidR="002C22DF">
        <w:rPr>
          <w:lang w:val="fr-FR"/>
        </w:rPr>
        <w:t>s</w:t>
      </w:r>
      <w:r w:rsidR="00A667F1">
        <w:rPr>
          <w:lang w:val="fr-FR"/>
        </w:rPr>
        <w:t>es activités autour de</w:t>
      </w:r>
      <w:r w:rsidR="002C22DF">
        <w:rPr>
          <w:lang w:val="fr-FR"/>
        </w:rPr>
        <w:t>s</w:t>
      </w:r>
      <w:r w:rsidR="00A667F1">
        <w:rPr>
          <w:lang w:val="fr-FR"/>
        </w:rPr>
        <w:t xml:space="preserve"> deux principaux résultats </w:t>
      </w:r>
      <w:r w:rsidR="003D0479">
        <w:rPr>
          <w:lang w:val="fr-FR"/>
        </w:rPr>
        <w:t xml:space="preserve">conformément au contenu du document </w:t>
      </w:r>
      <w:r w:rsidR="002C22DF">
        <w:rPr>
          <w:lang w:val="fr-FR"/>
        </w:rPr>
        <w:t>programme. Dans le cadre</w:t>
      </w:r>
      <w:r w:rsidR="002F489A">
        <w:rPr>
          <w:lang w:val="fr-FR"/>
        </w:rPr>
        <w:t xml:space="preserve"> </w:t>
      </w:r>
      <w:r w:rsidR="002C22DF">
        <w:rPr>
          <w:lang w:val="fr-FR"/>
        </w:rPr>
        <w:t xml:space="preserve">du renforcement des mécanismes de contrôle </w:t>
      </w:r>
      <w:r w:rsidR="006771E5">
        <w:rPr>
          <w:lang w:val="fr-FR"/>
        </w:rPr>
        <w:t xml:space="preserve">interne et externe, </w:t>
      </w:r>
      <w:r w:rsidR="00F6530C">
        <w:rPr>
          <w:lang w:val="fr-FR"/>
        </w:rPr>
        <w:t>l’accent a</w:t>
      </w:r>
      <w:r w:rsidR="006771E5">
        <w:rPr>
          <w:lang w:val="fr-FR"/>
        </w:rPr>
        <w:t xml:space="preserve"> été mis sur la </w:t>
      </w:r>
      <w:r w:rsidR="002C22DF">
        <w:rPr>
          <w:lang w:val="fr-FR"/>
        </w:rPr>
        <w:t xml:space="preserve">redevabilité </w:t>
      </w:r>
      <w:r w:rsidR="006771E5">
        <w:rPr>
          <w:lang w:val="fr-FR"/>
        </w:rPr>
        <w:t xml:space="preserve">des forces de police pour un meilleur ancrage de la culture de </w:t>
      </w:r>
      <w:r w:rsidR="00F6530C">
        <w:rPr>
          <w:lang w:val="fr-FR"/>
        </w:rPr>
        <w:t>contrôle. Il</w:t>
      </w:r>
      <w:r w:rsidR="006771E5">
        <w:rPr>
          <w:lang w:val="fr-FR"/>
        </w:rPr>
        <w:t xml:space="preserve"> s’est traduit </w:t>
      </w:r>
      <w:r w:rsidR="00F6530C">
        <w:rPr>
          <w:lang w:val="fr-FR"/>
        </w:rPr>
        <w:t xml:space="preserve">par </w:t>
      </w:r>
      <w:r w:rsidR="00071E9D">
        <w:rPr>
          <w:lang w:val="fr-FR"/>
        </w:rPr>
        <w:t>des missions</w:t>
      </w:r>
      <w:r w:rsidR="00F6530C">
        <w:rPr>
          <w:lang w:val="fr-FR"/>
        </w:rPr>
        <w:t xml:space="preserve"> d’évaluations des unités de police par l’inspection général des services de police et des contrôles parlementaires pour veiller à l’amélioration des rapports entre citoyens et Force de Défense et de Sécurité ainsi que l’évaluation des conditions de vie et de travail conformément aux ressources allouées aux différentes entités du secteur de </w:t>
      </w:r>
      <w:r w:rsidR="00071E9D">
        <w:rPr>
          <w:lang w:val="fr-FR"/>
        </w:rPr>
        <w:t xml:space="preserve">sécurité. Ces différentes missions se sont appuyées sur des outils d’inspections au total vingt-quatre et un manuel de procédure de contrôle parlementaire conçus à cet effet par le </w:t>
      </w:r>
      <w:r w:rsidR="00C46614">
        <w:rPr>
          <w:lang w:val="fr-FR"/>
        </w:rPr>
        <w:t>projet. A</w:t>
      </w:r>
      <w:r w:rsidR="00071E9D">
        <w:rPr>
          <w:lang w:val="fr-FR"/>
        </w:rPr>
        <w:t xml:space="preserve"> ces efforts s’ajoute l’opérationnalisation d’un observatoire de la sécurité urbaine qui facilite l</w:t>
      </w:r>
      <w:r w:rsidR="00C46614">
        <w:rPr>
          <w:lang w:val="fr-FR"/>
        </w:rPr>
        <w:t>’alerte dans les zones réputées violentes. Il a permis de prévenir les cas de violence sur les citoyens en période de manifestation ou de crise politique facteur d’aggravation des conflits intercommunautaire.</w:t>
      </w:r>
    </w:p>
    <w:p w14:paraId="5C95FBA2" w14:textId="38762670" w:rsidR="002E2811" w:rsidRDefault="00C46614" w:rsidP="00DE35F8">
      <w:pPr>
        <w:ind w:left="-810"/>
        <w:jc w:val="both"/>
        <w:rPr>
          <w:lang w:val="fr-FR"/>
        </w:rPr>
      </w:pPr>
      <w:r>
        <w:rPr>
          <w:lang w:val="fr-FR"/>
        </w:rPr>
        <w:t xml:space="preserve">En ce qui concerne le renforcement des capacités techniques et matérielles des services de </w:t>
      </w:r>
      <w:r w:rsidR="00AF397D">
        <w:rPr>
          <w:lang w:val="fr-FR"/>
        </w:rPr>
        <w:t xml:space="preserve">police, le projet a permis de conférer au contrôle interne un cadre légale clairement facilitant ainsi la lutte contre l’impunité des agents de police qui reste souvent de véritables sources de frustration et de révolte des citoyens. Dans les régions administratives de Labé et Mamou, on assiste de plus en plus à des poursuites contre les auteurs de violences basées sur le genre, plus d’une centaine de cas enregistré contre une vingtaine pour les années antérieures et cela grâce aux différentes formations et équipements reçus dans le cadre de l’outillage des services de sécurité. Au niveau de la police routière les raquettes et </w:t>
      </w:r>
      <w:r w:rsidR="00DE35F8">
        <w:rPr>
          <w:lang w:val="fr-FR"/>
        </w:rPr>
        <w:t>les mauvais comportements sur les usagers ont connus une certaine régression à la suite des formations offertes par le projet aux agents. La formation est devenue récurrente à la suite du soutien du pool de formateur qui facilite l’acquisition de connaissance à de nombreux agents qui ne disposaient d’aucune en matière de police routière. De façon innovante un mécanisme de sécurisation des recettes de la police routière a été mis en place pour parer à la corruption perceptible des agents de la routière</w:t>
      </w:r>
      <w:r w:rsidR="002E2811">
        <w:rPr>
          <w:lang w:val="fr-FR"/>
        </w:rPr>
        <w:t xml:space="preserve"> dans quatre communes de Conakry (Matam, Dixinn, </w:t>
      </w:r>
      <w:proofErr w:type="spellStart"/>
      <w:r w:rsidR="002E2811">
        <w:rPr>
          <w:lang w:val="fr-FR"/>
        </w:rPr>
        <w:t>Matoto</w:t>
      </w:r>
      <w:proofErr w:type="spellEnd"/>
      <w:r w:rsidR="002E2811">
        <w:rPr>
          <w:lang w:val="fr-FR"/>
        </w:rPr>
        <w:t xml:space="preserve"> et Ratoma) </w:t>
      </w:r>
      <w:r w:rsidR="00DE35F8">
        <w:rPr>
          <w:lang w:val="fr-FR"/>
        </w:rPr>
        <w:t xml:space="preserve">permettant ainsi le démarrage de </w:t>
      </w:r>
      <w:r w:rsidR="00C34E59">
        <w:rPr>
          <w:lang w:val="fr-FR"/>
        </w:rPr>
        <w:t xml:space="preserve">la culture de </w:t>
      </w:r>
      <w:r w:rsidR="002E2811">
        <w:rPr>
          <w:lang w:val="fr-FR"/>
        </w:rPr>
        <w:t xml:space="preserve">redevabilité et </w:t>
      </w:r>
      <w:r w:rsidR="00C34E59">
        <w:rPr>
          <w:lang w:val="fr-FR"/>
        </w:rPr>
        <w:t>de</w:t>
      </w:r>
      <w:r w:rsidR="002E2811">
        <w:rPr>
          <w:lang w:val="fr-FR"/>
        </w:rPr>
        <w:t xml:space="preserve"> transparence dans la gestion des recettes publiques provenant du secteur de sécurité</w:t>
      </w:r>
      <w:r w:rsidR="002F2F7A">
        <w:rPr>
          <w:lang w:val="fr-FR"/>
        </w:rPr>
        <w:t>. Ce</w:t>
      </w:r>
      <w:r w:rsidR="002F489A">
        <w:rPr>
          <w:lang w:val="fr-FR"/>
        </w:rPr>
        <w:t>tte opération</w:t>
      </w:r>
      <w:r w:rsidR="002F2F7A">
        <w:rPr>
          <w:lang w:val="fr-FR"/>
        </w:rPr>
        <w:t xml:space="preserve"> </w:t>
      </w:r>
      <w:r w:rsidR="002E2811">
        <w:rPr>
          <w:lang w:val="fr-FR"/>
        </w:rPr>
        <w:t>a été suivi</w:t>
      </w:r>
      <w:r w:rsidR="002F489A">
        <w:rPr>
          <w:lang w:val="fr-FR"/>
        </w:rPr>
        <w:t>e</w:t>
      </w:r>
      <w:r w:rsidR="002E2811">
        <w:rPr>
          <w:lang w:val="fr-FR"/>
        </w:rPr>
        <w:t xml:space="preserve"> de l’élaboration d</w:t>
      </w:r>
      <w:r w:rsidR="002F489A">
        <w:rPr>
          <w:lang w:val="fr-FR"/>
        </w:rPr>
        <w:t xml:space="preserve">e la </w:t>
      </w:r>
      <w:r w:rsidR="002E2811">
        <w:rPr>
          <w:lang w:val="fr-FR"/>
        </w:rPr>
        <w:t xml:space="preserve">stratégie de communication du </w:t>
      </w:r>
      <w:r w:rsidR="002F489A">
        <w:rPr>
          <w:lang w:val="fr-FR"/>
        </w:rPr>
        <w:t>M</w:t>
      </w:r>
      <w:r w:rsidR="002E2811">
        <w:rPr>
          <w:lang w:val="fr-FR"/>
        </w:rPr>
        <w:t xml:space="preserve">inistère de la Sécurité et de la Protection Civile </w:t>
      </w:r>
      <w:r w:rsidR="002F489A">
        <w:rPr>
          <w:lang w:val="fr-FR"/>
        </w:rPr>
        <w:t>pour</w:t>
      </w:r>
      <w:r w:rsidR="002E2811">
        <w:rPr>
          <w:lang w:val="fr-FR"/>
        </w:rPr>
        <w:t xml:space="preserve"> l’amélioration de la visibilité des actions de protection des citoyens et de leurs biens. </w:t>
      </w:r>
    </w:p>
    <w:p w14:paraId="00E35637" w14:textId="68C05661" w:rsidR="002E2811" w:rsidRDefault="002F489A" w:rsidP="002E2811">
      <w:pPr>
        <w:ind w:left="-810"/>
        <w:jc w:val="both"/>
        <w:rPr>
          <w:lang w:val="fr-FR"/>
        </w:rPr>
      </w:pPr>
      <w:r>
        <w:rPr>
          <w:lang w:val="fr-FR"/>
        </w:rPr>
        <w:t xml:space="preserve">Par ailleurs, </w:t>
      </w:r>
      <w:r w:rsidR="002B5196">
        <w:rPr>
          <w:lang w:val="fr-FR"/>
        </w:rPr>
        <w:t>d</w:t>
      </w:r>
      <w:r>
        <w:rPr>
          <w:lang w:val="fr-FR"/>
        </w:rPr>
        <w:t>ans</w:t>
      </w:r>
      <w:r w:rsidR="002B5196">
        <w:rPr>
          <w:lang w:val="fr-FR"/>
        </w:rPr>
        <w:t xml:space="preserve"> l</w:t>
      </w:r>
      <w:r>
        <w:rPr>
          <w:lang w:val="fr-FR"/>
        </w:rPr>
        <w:t>a lutte contre le</w:t>
      </w:r>
      <w:r w:rsidR="0084180D">
        <w:rPr>
          <w:lang w:val="fr-FR"/>
        </w:rPr>
        <w:t xml:space="preserve"> </w:t>
      </w:r>
      <w:r w:rsidR="002E2811">
        <w:rPr>
          <w:lang w:val="fr-FR"/>
        </w:rPr>
        <w:t>COVID19, il a été renforc</w:t>
      </w:r>
      <w:r w:rsidR="00A07C70">
        <w:rPr>
          <w:lang w:val="fr-FR"/>
        </w:rPr>
        <w:t>é</w:t>
      </w:r>
      <w:r w:rsidR="002E2811">
        <w:rPr>
          <w:lang w:val="fr-FR"/>
        </w:rPr>
        <w:t xml:space="preserve"> le système de remontée des plaintes des citoyens auprès de l’Inspection </w:t>
      </w:r>
      <w:r>
        <w:rPr>
          <w:lang w:val="fr-FR"/>
        </w:rPr>
        <w:t>G</w:t>
      </w:r>
      <w:r w:rsidR="002E2811">
        <w:rPr>
          <w:lang w:val="fr-FR"/>
        </w:rPr>
        <w:t xml:space="preserve">énérale des </w:t>
      </w:r>
      <w:r>
        <w:rPr>
          <w:lang w:val="fr-FR"/>
        </w:rPr>
        <w:t>S</w:t>
      </w:r>
      <w:r w:rsidR="002E2811">
        <w:rPr>
          <w:lang w:val="fr-FR"/>
        </w:rPr>
        <w:t xml:space="preserve">ervices de </w:t>
      </w:r>
      <w:r>
        <w:rPr>
          <w:lang w:val="fr-FR"/>
        </w:rPr>
        <w:t>S</w:t>
      </w:r>
      <w:r w:rsidR="002E2811">
        <w:rPr>
          <w:lang w:val="fr-FR"/>
        </w:rPr>
        <w:t xml:space="preserve">écurité pour lutter contre </w:t>
      </w:r>
      <w:r w:rsidR="002E2811">
        <w:rPr>
          <w:lang w:val="fr-FR"/>
        </w:rPr>
        <w:lastRenderedPageBreak/>
        <w:t xml:space="preserve">l’indiscipline et l’impunité des </w:t>
      </w:r>
      <w:r>
        <w:rPr>
          <w:lang w:val="fr-FR"/>
        </w:rPr>
        <w:t>policiers</w:t>
      </w:r>
      <w:r w:rsidR="002E2811">
        <w:rPr>
          <w:lang w:val="fr-FR"/>
        </w:rPr>
        <w:t xml:space="preserve"> pendant leur déploiement dans l’observation des </w:t>
      </w:r>
      <w:r w:rsidR="00BB2BB3">
        <w:rPr>
          <w:lang w:val="fr-FR"/>
        </w:rPr>
        <w:t>mesures</w:t>
      </w:r>
      <w:r w:rsidR="002E2811">
        <w:rPr>
          <w:lang w:val="fr-FR"/>
        </w:rPr>
        <w:t xml:space="preserve"> barrières</w:t>
      </w:r>
      <w:r w:rsidR="0084180D">
        <w:rPr>
          <w:lang w:val="fr-FR"/>
        </w:rPr>
        <w:t>. C</w:t>
      </w:r>
      <w:r w:rsidR="002E2811">
        <w:rPr>
          <w:lang w:val="fr-FR"/>
        </w:rPr>
        <w:t xml:space="preserve">eci a contribué substantiellement à atténuer les </w:t>
      </w:r>
      <w:r w:rsidR="002F2F7A">
        <w:rPr>
          <w:lang w:val="fr-FR"/>
        </w:rPr>
        <w:t xml:space="preserve">mauvais </w:t>
      </w:r>
      <w:r w:rsidR="002E2811">
        <w:rPr>
          <w:lang w:val="fr-FR"/>
        </w:rPr>
        <w:t xml:space="preserve">rapports entre les citoyens et les forces de défense et de sécurité. </w:t>
      </w:r>
      <w:r w:rsidR="0084180D">
        <w:rPr>
          <w:lang w:val="fr-FR"/>
        </w:rPr>
        <w:t>Aussi</w:t>
      </w:r>
      <w:r w:rsidR="00BB2BB3">
        <w:rPr>
          <w:lang w:val="fr-FR"/>
        </w:rPr>
        <w:t>,</w:t>
      </w:r>
      <w:r w:rsidR="0084180D">
        <w:rPr>
          <w:lang w:val="fr-FR"/>
        </w:rPr>
        <w:t xml:space="preserve"> </w:t>
      </w:r>
      <w:r w:rsidR="002E2811">
        <w:rPr>
          <w:lang w:val="fr-FR"/>
        </w:rPr>
        <w:t xml:space="preserve">plus de 225 membres des unités déployées ont été formés et équipés </w:t>
      </w:r>
      <w:r w:rsidR="00BB2BB3">
        <w:rPr>
          <w:lang w:val="fr-FR"/>
        </w:rPr>
        <w:t>de</w:t>
      </w:r>
      <w:r w:rsidR="002E2811">
        <w:rPr>
          <w:lang w:val="fr-FR"/>
        </w:rPr>
        <w:t xml:space="preserve"> kits sanitaires et matériels de protection pour une meilleure participation à la lutte contre </w:t>
      </w:r>
      <w:r w:rsidR="00BB2BB3">
        <w:rPr>
          <w:lang w:val="fr-FR"/>
        </w:rPr>
        <w:t>la</w:t>
      </w:r>
      <w:r w:rsidR="002E2811">
        <w:rPr>
          <w:lang w:val="fr-FR"/>
        </w:rPr>
        <w:t xml:space="preserve"> pandémie. </w:t>
      </w:r>
      <w:r w:rsidR="00A07C70">
        <w:rPr>
          <w:lang w:val="fr-FR"/>
        </w:rPr>
        <w:t>L</w:t>
      </w:r>
      <w:r w:rsidR="002E2811">
        <w:rPr>
          <w:lang w:val="fr-FR"/>
        </w:rPr>
        <w:t xml:space="preserve">e projet </w:t>
      </w:r>
      <w:r w:rsidR="00BB2BB3">
        <w:rPr>
          <w:lang w:val="fr-FR"/>
        </w:rPr>
        <w:t>s’</w:t>
      </w:r>
      <w:r w:rsidR="002E2811">
        <w:rPr>
          <w:lang w:val="fr-FR"/>
        </w:rPr>
        <w:t>est fortement impliqué dans les campagnes de sensibilisation et de formation des FDS dans le cadre de la prévention et la riposte en</w:t>
      </w:r>
      <w:r w:rsidR="00BB2BB3">
        <w:rPr>
          <w:lang w:val="fr-FR"/>
        </w:rPr>
        <w:t xml:space="preserve"> </w:t>
      </w:r>
      <w:r w:rsidR="002E2811">
        <w:rPr>
          <w:lang w:val="fr-FR"/>
        </w:rPr>
        <w:t>soutien</w:t>
      </w:r>
      <w:r w:rsidR="00BB2BB3">
        <w:rPr>
          <w:lang w:val="fr-FR"/>
        </w:rPr>
        <w:t xml:space="preserve"> à la réalisation du P</w:t>
      </w:r>
      <w:r w:rsidR="002E2811">
        <w:rPr>
          <w:lang w:val="fr-FR"/>
        </w:rPr>
        <w:t xml:space="preserve">lan </w:t>
      </w:r>
      <w:r w:rsidR="00BB2BB3">
        <w:rPr>
          <w:lang w:val="fr-FR"/>
        </w:rPr>
        <w:t>N</w:t>
      </w:r>
      <w:r w:rsidR="002E2811">
        <w:rPr>
          <w:lang w:val="fr-FR"/>
        </w:rPr>
        <w:t xml:space="preserve">ational de </w:t>
      </w:r>
      <w:r w:rsidR="00BB2BB3">
        <w:rPr>
          <w:lang w:val="fr-FR"/>
        </w:rPr>
        <w:t>R</w:t>
      </w:r>
      <w:r w:rsidR="002E2811">
        <w:rPr>
          <w:lang w:val="fr-FR"/>
        </w:rPr>
        <w:t xml:space="preserve">iposte contre la </w:t>
      </w:r>
      <w:r w:rsidR="00BB2BB3">
        <w:rPr>
          <w:lang w:val="fr-FR"/>
        </w:rPr>
        <w:t>COVID 19 à</w:t>
      </w:r>
      <w:r w:rsidR="002E2811">
        <w:rPr>
          <w:lang w:val="fr-FR"/>
        </w:rPr>
        <w:t xml:space="preserve"> travers des émissions télévisées, des formations des responsables </w:t>
      </w:r>
      <w:r w:rsidR="00BB2BB3">
        <w:rPr>
          <w:lang w:val="fr-FR"/>
        </w:rPr>
        <w:t xml:space="preserve">des </w:t>
      </w:r>
      <w:r w:rsidR="002E2811">
        <w:rPr>
          <w:lang w:val="fr-FR"/>
        </w:rPr>
        <w:t xml:space="preserve">services de santé et autres </w:t>
      </w:r>
      <w:r w:rsidR="00BB2BB3">
        <w:rPr>
          <w:lang w:val="fr-FR"/>
        </w:rPr>
        <w:t>sections</w:t>
      </w:r>
      <w:r w:rsidR="002E2811">
        <w:rPr>
          <w:lang w:val="fr-FR"/>
        </w:rPr>
        <w:t xml:space="preserve"> des FDS.</w:t>
      </w:r>
    </w:p>
    <w:p w14:paraId="598C116C" w14:textId="57AA534B" w:rsidR="00523FF4" w:rsidRDefault="00BB2BB3" w:rsidP="00523FF4">
      <w:pPr>
        <w:ind w:left="-810"/>
        <w:jc w:val="both"/>
        <w:rPr>
          <w:lang w:val="fr-FR"/>
        </w:rPr>
      </w:pPr>
      <w:r>
        <w:rPr>
          <w:lang w:val="fr-FR"/>
        </w:rPr>
        <w:t>En outre,</w:t>
      </w:r>
      <w:r w:rsidR="00A07C70">
        <w:rPr>
          <w:lang w:val="fr-FR"/>
        </w:rPr>
        <w:t xml:space="preserve"> </w:t>
      </w:r>
      <w:r w:rsidR="00523FF4">
        <w:rPr>
          <w:lang w:val="fr-FR"/>
        </w:rPr>
        <w:t xml:space="preserve">l’Observatoire de la </w:t>
      </w:r>
      <w:r>
        <w:rPr>
          <w:lang w:val="fr-FR"/>
        </w:rPr>
        <w:t>S</w:t>
      </w:r>
      <w:r w:rsidR="00523FF4">
        <w:rPr>
          <w:lang w:val="fr-FR"/>
        </w:rPr>
        <w:t xml:space="preserve">écurité </w:t>
      </w:r>
      <w:r>
        <w:rPr>
          <w:lang w:val="fr-FR"/>
        </w:rPr>
        <w:t>U</w:t>
      </w:r>
      <w:r w:rsidR="00523FF4">
        <w:rPr>
          <w:lang w:val="fr-FR"/>
        </w:rPr>
        <w:t xml:space="preserve">rbaine a été rendu opérationnel à </w:t>
      </w:r>
      <w:r w:rsidR="00CA013A">
        <w:rPr>
          <w:lang w:val="fr-FR"/>
        </w:rPr>
        <w:t>grâce à</w:t>
      </w:r>
      <w:r w:rsidR="00523FF4">
        <w:rPr>
          <w:lang w:val="fr-FR"/>
        </w:rPr>
        <w:t xml:space="preserve"> la formation et l’équipement de </w:t>
      </w:r>
      <w:r w:rsidR="0084180D">
        <w:rPr>
          <w:lang w:val="fr-FR"/>
        </w:rPr>
        <w:t>35</w:t>
      </w:r>
      <w:r>
        <w:rPr>
          <w:lang w:val="fr-FR"/>
        </w:rPr>
        <w:t xml:space="preserve"> </w:t>
      </w:r>
      <w:r w:rsidR="00523FF4">
        <w:rPr>
          <w:lang w:val="fr-FR"/>
        </w:rPr>
        <w:t xml:space="preserve">points focaux </w:t>
      </w:r>
      <w:r>
        <w:rPr>
          <w:lang w:val="fr-FR"/>
        </w:rPr>
        <w:t xml:space="preserve">de terrain </w:t>
      </w:r>
      <w:r w:rsidR="00523FF4">
        <w:rPr>
          <w:lang w:val="fr-FR"/>
        </w:rPr>
        <w:t xml:space="preserve">pour </w:t>
      </w:r>
      <w:r>
        <w:rPr>
          <w:lang w:val="fr-FR"/>
        </w:rPr>
        <w:t>la</w:t>
      </w:r>
      <w:r w:rsidR="00523FF4">
        <w:rPr>
          <w:lang w:val="fr-FR"/>
        </w:rPr>
        <w:t xml:space="preserve"> remonté des données sécuritaires </w:t>
      </w:r>
      <w:r>
        <w:rPr>
          <w:lang w:val="fr-FR"/>
        </w:rPr>
        <w:t>in situ.</w:t>
      </w:r>
      <w:r w:rsidR="00523FF4">
        <w:rPr>
          <w:lang w:val="fr-FR"/>
        </w:rPr>
        <w:t xml:space="preserve"> </w:t>
      </w:r>
    </w:p>
    <w:p w14:paraId="6D855491" w14:textId="4B8710E9" w:rsidR="00523FF4" w:rsidRDefault="00A07C70" w:rsidP="00523FF4">
      <w:pPr>
        <w:ind w:left="-810"/>
        <w:jc w:val="both"/>
        <w:rPr>
          <w:lang w:val="fr-FR"/>
        </w:rPr>
      </w:pPr>
      <w:r>
        <w:rPr>
          <w:lang w:val="fr-FR"/>
        </w:rPr>
        <w:t>Enfin</w:t>
      </w:r>
      <w:r w:rsidR="00BB2BB3">
        <w:rPr>
          <w:lang w:val="fr-FR"/>
        </w:rPr>
        <w:t xml:space="preserve">, </w:t>
      </w:r>
      <w:r w:rsidR="00CA013A">
        <w:rPr>
          <w:lang w:val="fr-FR"/>
        </w:rPr>
        <w:t>la conception et la réalisation</w:t>
      </w:r>
      <w:r w:rsidR="00523FF4" w:rsidRPr="00290917">
        <w:rPr>
          <w:lang w:val="fr-FR"/>
        </w:rPr>
        <w:t xml:space="preserve"> d’une stratégie de communication au MSPC</w:t>
      </w:r>
      <w:r w:rsidR="001A7401">
        <w:rPr>
          <w:lang w:val="fr-FR"/>
        </w:rPr>
        <w:t xml:space="preserve"> est</w:t>
      </w:r>
      <w:r w:rsidR="00523FF4" w:rsidRPr="00290917">
        <w:rPr>
          <w:lang w:val="fr-FR"/>
        </w:rPr>
        <w:t xml:space="preserve"> une avancée </w:t>
      </w:r>
      <w:r w:rsidR="001A7401">
        <w:rPr>
          <w:lang w:val="fr-FR"/>
        </w:rPr>
        <w:t xml:space="preserve">pour le </w:t>
      </w:r>
      <w:r w:rsidR="00523FF4" w:rsidRPr="00290917">
        <w:rPr>
          <w:lang w:val="fr-FR"/>
        </w:rPr>
        <w:t>département.</w:t>
      </w:r>
    </w:p>
    <w:p w14:paraId="702DD954" w14:textId="77777777" w:rsidR="00F778A1" w:rsidRPr="002E2811" w:rsidRDefault="00F778A1" w:rsidP="00523FF4">
      <w:pPr>
        <w:rPr>
          <w:lang w:val="fr-FR"/>
        </w:rPr>
      </w:pPr>
    </w:p>
    <w:p w14:paraId="29F76E31" w14:textId="472FA7B8" w:rsidR="00161D02" w:rsidRPr="00523FF4" w:rsidRDefault="00F778A1" w:rsidP="00627A1C">
      <w:pPr>
        <w:ind w:left="-810"/>
        <w:rPr>
          <w:i/>
          <w:iCs/>
          <w:lang w:val="fr-FR"/>
        </w:rPr>
      </w:pPr>
      <w:r w:rsidRPr="00523FF4">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523FF4">
        <w:rPr>
          <w:i/>
          <w:iCs/>
          <w:lang w:val="fr-FR"/>
        </w:rPr>
        <w:t>(</w:t>
      </w:r>
      <w:r w:rsidRPr="00523FF4">
        <w:rPr>
          <w:i/>
          <w:iCs/>
          <w:lang w:val="fr-FR"/>
        </w:rPr>
        <w:t>limite de 1000 caractères</w:t>
      </w:r>
      <w:r w:rsidR="00523FF4" w:rsidRPr="00523FF4">
        <w:rPr>
          <w:i/>
          <w:iCs/>
          <w:lang w:val="fr-FR"/>
        </w:rPr>
        <w:t>) :</w:t>
      </w:r>
      <w:r w:rsidR="00161D02" w:rsidRPr="00523FF4">
        <w:rPr>
          <w:i/>
          <w:iCs/>
          <w:lang w:val="fr-FR"/>
        </w:rPr>
        <w:t xml:space="preserve"> </w:t>
      </w:r>
    </w:p>
    <w:p w14:paraId="6ED9287B" w14:textId="77777777" w:rsidR="00504379" w:rsidRDefault="00504379" w:rsidP="00C34E59">
      <w:pPr>
        <w:jc w:val="both"/>
        <w:rPr>
          <w:lang w:val="fr-FR"/>
        </w:rPr>
      </w:pPr>
    </w:p>
    <w:p w14:paraId="55E1E8ED" w14:textId="5E293BA3" w:rsidR="00523FF4" w:rsidRDefault="00523FF4" w:rsidP="00523FF4">
      <w:pPr>
        <w:ind w:left="-810"/>
        <w:jc w:val="both"/>
        <w:rPr>
          <w:lang w:val="fr-FR"/>
        </w:rPr>
      </w:pPr>
      <w:r>
        <w:rPr>
          <w:lang w:val="fr-FR"/>
        </w:rPr>
        <w:t xml:space="preserve">Le projet étant clôturé le 31 </w:t>
      </w:r>
      <w:r w:rsidR="00C34E59">
        <w:rPr>
          <w:lang w:val="fr-FR"/>
        </w:rPr>
        <w:t>octobre</w:t>
      </w:r>
      <w:r>
        <w:rPr>
          <w:lang w:val="fr-FR"/>
        </w:rPr>
        <w:t xml:space="preserve"> 2020, l’évènement important prévu est principalement</w:t>
      </w:r>
      <w:r w:rsidR="00C34E59">
        <w:rPr>
          <w:lang w:val="fr-FR"/>
        </w:rPr>
        <w:t xml:space="preserve"> le comité de pilotage de fin du projet qui s’est tenu le 24 mai 2021</w:t>
      </w:r>
      <w:r>
        <w:rPr>
          <w:lang w:val="fr-FR"/>
        </w:rPr>
        <w:t xml:space="preserve"> </w:t>
      </w:r>
      <w:r w:rsidR="00C34E59">
        <w:rPr>
          <w:lang w:val="fr-FR"/>
        </w:rPr>
        <w:t>à la satisfaction de l’ensemble des acteurs par la présentation d’un rapport d’</w:t>
      </w:r>
      <w:r>
        <w:rPr>
          <w:lang w:val="fr-FR"/>
        </w:rPr>
        <w:t>évaluation finale</w:t>
      </w:r>
      <w:r w:rsidR="00C34E59">
        <w:rPr>
          <w:lang w:val="fr-FR"/>
        </w:rPr>
        <w:t xml:space="preserve"> et de perception</w:t>
      </w:r>
      <w:r>
        <w:rPr>
          <w:lang w:val="fr-FR"/>
        </w:rPr>
        <w:t xml:space="preserve"> </w:t>
      </w:r>
      <w:r w:rsidR="00C34E59">
        <w:rPr>
          <w:lang w:val="fr-FR"/>
        </w:rPr>
        <w:t>annotant les progrès et quelques points faibles qui persistent</w:t>
      </w:r>
      <w:r>
        <w:rPr>
          <w:lang w:val="fr-FR"/>
        </w:rPr>
        <w:t>.</w:t>
      </w:r>
    </w:p>
    <w:p w14:paraId="5DD65831" w14:textId="77777777" w:rsidR="00751C01" w:rsidRPr="00523FF4" w:rsidRDefault="00751C01" w:rsidP="00C34E59">
      <w:pPr>
        <w:ind w:right="-154"/>
        <w:rPr>
          <w:lang w:val="fr-FR"/>
        </w:rPr>
      </w:pPr>
    </w:p>
    <w:p w14:paraId="49A86CE3" w14:textId="77777777" w:rsidR="00F778A1" w:rsidRPr="00523FF4" w:rsidRDefault="00F778A1" w:rsidP="001A1E86">
      <w:pPr>
        <w:ind w:left="-810" w:right="-154"/>
        <w:rPr>
          <w:i/>
          <w:iCs/>
          <w:lang w:val="fr-FR"/>
        </w:rPr>
      </w:pPr>
      <w:r w:rsidRPr="00523FF4">
        <w:rPr>
          <w:i/>
          <w:iCs/>
          <w:lang w:val="fr-FR"/>
        </w:rPr>
        <w:t>POUR LES PROJETS DANS LES SIX DERNIERS MOIS DE MISE EN ŒUVRE :</w:t>
      </w:r>
    </w:p>
    <w:p w14:paraId="5D660B18" w14:textId="1BF2DACA" w:rsidR="008C782A" w:rsidRDefault="00476758" w:rsidP="001A1E86">
      <w:pPr>
        <w:ind w:left="-810" w:right="-154"/>
        <w:rPr>
          <w:i/>
          <w:iCs/>
          <w:lang w:val="fr-FR"/>
        </w:rPr>
      </w:pPr>
      <w:r w:rsidRPr="00523FF4">
        <w:rPr>
          <w:i/>
          <w:iCs/>
          <w:lang w:val="fr-FR"/>
        </w:rPr>
        <w:t>Résumez</w:t>
      </w:r>
      <w:r w:rsidR="00F778A1" w:rsidRPr="00523FF4">
        <w:rPr>
          <w:i/>
          <w:iCs/>
          <w:lang w:val="fr-FR"/>
        </w:rPr>
        <w:t xml:space="preserve"> </w:t>
      </w:r>
      <w:r w:rsidRPr="00523FF4">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523FF4">
        <w:rPr>
          <w:i/>
          <w:iCs/>
          <w:lang w:val="fr-FR"/>
        </w:rPr>
        <w:t xml:space="preserve"> </w:t>
      </w:r>
      <w:r w:rsidR="008C782A" w:rsidRPr="00523FF4">
        <w:rPr>
          <w:i/>
          <w:iCs/>
          <w:lang w:val="fr-FR"/>
        </w:rPr>
        <w:t>(</w:t>
      </w:r>
      <w:r w:rsidR="00523FF4" w:rsidRPr="00523FF4">
        <w:rPr>
          <w:i/>
          <w:iCs/>
          <w:lang w:val="fr-FR"/>
        </w:rPr>
        <w:t>Limite</w:t>
      </w:r>
      <w:r w:rsidRPr="00523FF4">
        <w:rPr>
          <w:i/>
          <w:iCs/>
          <w:lang w:val="fr-FR"/>
        </w:rPr>
        <w:t xml:space="preserve"> de 1500 caractères</w:t>
      </w:r>
      <w:r w:rsidR="00523FF4" w:rsidRPr="00523FF4">
        <w:rPr>
          <w:i/>
          <w:iCs/>
          <w:lang w:val="fr-FR"/>
        </w:rPr>
        <w:t>) :</w:t>
      </w:r>
      <w:r w:rsidR="008C782A" w:rsidRPr="00523FF4">
        <w:rPr>
          <w:i/>
          <w:iCs/>
          <w:lang w:val="fr-FR"/>
        </w:rPr>
        <w:t xml:space="preserve"> </w:t>
      </w:r>
    </w:p>
    <w:p w14:paraId="4EC044A2" w14:textId="77777777" w:rsidR="00504379" w:rsidRPr="00523FF4" w:rsidRDefault="00504379" w:rsidP="001A1E86">
      <w:pPr>
        <w:ind w:left="-810" w:right="-154"/>
        <w:rPr>
          <w:i/>
          <w:iCs/>
          <w:lang w:val="fr-FR"/>
        </w:rPr>
      </w:pPr>
    </w:p>
    <w:p w14:paraId="26A8C82C" w14:textId="66E465BB" w:rsidR="00523FF4" w:rsidRDefault="00523FF4" w:rsidP="00523FF4">
      <w:pPr>
        <w:ind w:left="-720"/>
        <w:jc w:val="both"/>
        <w:rPr>
          <w:lang w:val="fr-FR"/>
        </w:rPr>
      </w:pPr>
      <w:r w:rsidRPr="00504379">
        <w:rPr>
          <w:lang w:val="fr-FR"/>
        </w:rPr>
        <w:t xml:space="preserve">Le principal changement structurel et institutionnel auquel le projet a </w:t>
      </w:r>
      <w:r w:rsidR="00D451E5">
        <w:rPr>
          <w:lang w:val="fr-FR"/>
        </w:rPr>
        <w:t>contribué est la</w:t>
      </w:r>
      <w:r w:rsidR="001A7401">
        <w:rPr>
          <w:lang w:val="fr-FR"/>
        </w:rPr>
        <w:t xml:space="preserve"> redynamis</w:t>
      </w:r>
      <w:r w:rsidR="00D451E5">
        <w:rPr>
          <w:lang w:val="fr-FR"/>
        </w:rPr>
        <w:t xml:space="preserve">ation de </w:t>
      </w:r>
      <w:r w:rsidR="001A7401">
        <w:rPr>
          <w:lang w:val="fr-FR"/>
        </w:rPr>
        <w:t>l’IGSS e</w:t>
      </w:r>
      <w:r w:rsidRPr="00504379">
        <w:rPr>
          <w:lang w:val="fr-FR"/>
        </w:rPr>
        <w:t>t la mise en place d’une stratégie de communication au sein du Ministère de la Sécurité et de la Protection Civile</w:t>
      </w:r>
      <w:r w:rsidR="001A7401">
        <w:rPr>
          <w:lang w:val="fr-FR"/>
        </w:rPr>
        <w:t>. La stratégie</w:t>
      </w:r>
      <w:r w:rsidRPr="00504379">
        <w:rPr>
          <w:lang w:val="fr-FR"/>
        </w:rPr>
        <w:t xml:space="preserve"> a contribué à la réorganisation de la communication au </w:t>
      </w:r>
      <w:r w:rsidR="001A7401">
        <w:rPr>
          <w:lang w:val="fr-FR"/>
        </w:rPr>
        <w:t xml:space="preserve">sein </w:t>
      </w:r>
      <w:r w:rsidRPr="00504379">
        <w:rPr>
          <w:lang w:val="fr-FR"/>
        </w:rPr>
        <w:t>d</w:t>
      </w:r>
      <w:r w:rsidR="001A7401">
        <w:rPr>
          <w:lang w:val="fr-FR"/>
        </w:rPr>
        <w:t>udit</w:t>
      </w:r>
      <w:r w:rsidRPr="00504379">
        <w:rPr>
          <w:lang w:val="fr-FR"/>
        </w:rPr>
        <w:t xml:space="preserve"> département</w:t>
      </w:r>
      <w:r w:rsidR="00D451E5">
        <w:rPr>
          <w:lang w:val="fr-FR"/>
        </w:rPr>
        <w:t xml:space="preserve"> autour de la collecte et la diffusion à temps</w:t>
      </w:r>
      <w:r w:rsidR="00C55327">
        <w:rPr>
          <w:lang w:val="fr-FR"/>
        </w:rPr>
        <w:t xml:space="preserve"> des informations crédibles</w:t>
      </w:r>
      <w:r w:rsidRPr="00504379">
        <w:rPr>
          <w:lang w:val="fr-FR"/>
        </w:rPr>
        <w:t xml:space="preserve">. </w:t>
      </w:r>
      <w:r w:rsidR="00504379">
        <w:rPr>
          <w:lang w:val="fr-FR"/>
        </w:rPr>
        <w:t>En outre</w:t>
      </w:r>
      <w:r w:rsidR="001A7401">
        <w:rPr>
          <w:lang w:val="fr-FR"/>
        </w:rPr>
        <w:t>,</w:t>
      </w:r>
      <w:r w:rsidR="00504379">
        <w:rPr>
          <w:lang w:val="fr-FR"/>
        </w:rPr>
        <w:t xml:space="preserve"> i</w:t>
      </w:r>
      <w:r w:rsidRPr="00504379">
        <w:rPr>
          <w:lang w:val="fr-FR"/>
        </w:rPr>
        <w:t>l a été mis auprès du Bureau de Stratégie et de Développement</w:t>
      </w:r>
      <w:r w:rsidR="001A7401">
        <w:rPr>
          <w:lang w:val="fr-FR"/>
        </w:rPr>
        <w:t xml:space="preserve"> (BSD)</w:t>
      </w:r>
      <w:r w:rsidRPr="00504379">
        <w:rPr>
          <w:lang w:val="fr-FR"/>
        </w:rPr>
        <w:t xml:space="preserve">, un observatoire de la sécurité urbaine qui appui </w:t>
      </w:r>
      <w:r w:rsidR="001A7401">
        <w:rPr>
          <w:lang w:val="fr-FR"/>
        </w:rPr>
        <w:t xml:space="preserve">à </w:t>
      </w:r>
      <w:r w:rsidRPr="00504379">
        <w:rPr>
          <w:lang w:val="fr-FR"/>
        </w:rPr>
        <w:t xml:space="preserve">ce </w:t>
      </w:r>
      <w:r w:rsidR="001A7401">
        <w:rPr>
          <w:lang w:val="fr-FR"/>
        </w:rPr>
        <w:t>service pour</w:t>
      </w:r>
      <w:r w:rsidRPr="00504379">
        <w:rPr>
          <w:lang w:val="fr-FR"/>
        </w:rPr>
        <w:t xml:space="preserve"> l’orientation </w:t>
      </w:r>
      <w:r w:rsidR="001A7401">
        <w:rPr>
          <w:lang w:val="fr-FR"/>
        </w:rPr>
        <w:t xml:space="preserve">stratégique </w:t>
      </w:r>
      <w:r w:rsidRPr="00504379">
        <w:rPr>
          <w:lang w:val="fr-FR"/>
        </w:rPr>
        <w:t>de</w:t>
      </w:r>
      <w:r w:rsidR="001A7401">
        <w:rPr>
          <w:lang w:val="fr-FR"/>
        </w:rPr>
        <w:t>s</w:t>
      </w:r>
      <w:r w:rsidRPr="00504379">
        <w:rPr>
          <w:lang w:val="fr-FR"/>
        </w:rPr>
        <w:t xml:space="preserve"> décision</w:t>
      </w:r>
      <w:r w:rsidR="001A7401">
        <w:rPr>
          <w:lang w:val="fr-FR"/>
        </w:rPr>
        <w:t>s du management</w:t>
      </w:r>
      <w:r w:rsidRPr="00504379">
        <w:rPr>
          <w:lang w:val="fr-FR"/>
        </w:rPr>
        <w:t>.</w:t>
      </w:r>
    </w:p>
    <w:p w14:paraId="3D190355" w14:textId="77777777" w:rsidR="001A7401" w:rsidRPr="00504379" w:rsidRDefault="001A7401" w:rsidP="00523FF4">
      <w:pPr>
        <w:ind w:left="-720"/>
        <w:jc w:val="both"/>
        <w:rPr>
          <w:lang w:val="fr-FR"/>
        </w:rPr>
      </w:pPr>
    </w:p>
    <w:p w14:paraId="3413FDCD" w14:textId="4C0F025A" w:rsidR="00523FF4" w:rsidRPr="00504379" w:rsidRDefault="00504379" w:rsidP="00523FF4">
      <w:pPr>
        <w:ind w:left="-720"/>
        <w:jc w:val="both"/>
        <w:rPr>
          <w:lang w:val="fr-FR"/>
        </w:rPr>
      </w:pPr>
      <w:r w:rsidRPr="002A3227">
        <w:rPr>
          <w:lang w:val="fr-FR"/>
        </w:rPr>
        <w:t>Enfin</w:t>
      </w:r>
      <w:r w:rsidR="00523FF4" w:rsidRPr="002A3227">
        <w:rPr>
          <w:lang w:val="fr-FR"/>
        </w:rPr>
        <w:t xml:space="preserve">, </w:t>
      </w:r>
      <w:r w:rsidR="00E477D9" w:rsidRPr="002A3227">
        <w:rPr>
          <w:lang w:val="fr-FR"/>
        </w:rPr>
        <w:t>hormis l</w:t>
      </w:r>
      <w:r w:rsidR="00F95943" w:rsidRPr="002A3227">
        <w:rPr>
          <w:lang w:val="fr-FR"/>
        </w:rPr>
        <w:t xml:space="preserve">’observatoire de la sécurité urbaine directement intégré au bureau de stratégie et de développement </w:t>
      </w:r>
      <w:r w:rsidR="002A3227">
        <w:rPr>
          <w:lang w:val="fr-FR"/>
        </w:rPr>
        <w:t xml:space="preserve">du ministère de la sécurité et de la protection civile </w:t>
      </w:r>
      <w:r w:rsidR="00F95943" w:rsidRPr="002A3227">
        <w:rPr>
          <w:lang w:val="fr-FR"/>
        </w:rPr>
        <w:t>qui remonte</w:t>
      </w:r>
      <w:r w:rsidR="00E477D9" w:rsidRPr="002A3227">
        <w:rPr>
          <w:lang w:val="fr-FR"/>
        </w:rPr>
        <w:t xml:space="preserve"> </w:t>
      </w:r>
      <w:r w:rsidR="00F95943" w:rsidRPr="002A3227">
        <w:rPr>
          <w:lang w:val="fr-FR"/>
        </w:rPr>
        <w:t>l</w:t>
      </w:r>
      <w:r w:rsidR="00E477D9" w:rsidRPr="002A3227">
        <w:rPr>
          <w:lang w:val="fr-FR"/>
        </w:rPr>
        <w:t>es informations</w:t>
      </w:r>
      <w:r w:rsidR="00F95943" w:rsidRPr="002A3227">
        <w:rPr>
          <w:lang w:val="fr-FR"/>
        </w:rPr>
        <w:t xml:space="preserve"> sécuritaire de l’axe Hamdallaye -</w:t>
      </w:r>
      <w:proofErr w:type="spellStart"/>
      <w:r w:rsidR="00F95943" w:rsidRPr="002A3227">
        <w:rPr>
          <w:lang w:val="fr-FR"/>
        </w:rPr>
        <w:t>Kagbèlen</w:t>
      </w:r>
      <w:proofErr w:type="spellEnd"/>
      <w:r w:rsidR="00F95943" w:rsidRPr="002A3227">
        <w:rPr>
          <w:lang w:val="fr-FR"/>
        </w:rPr>
        <w:t xml:space="preserve"> à travers la collaboration de plusieurs services(sécurité et les services d’urgences des CHU) </w:t>
      </w:r>
      <w:r w:rsidR="00E477D9" w:rsidRPr="002A3227">
        <w:rPr>
          <w:lang w:val="fr-FR"/>
        </w:rPr>
        <w:t>, il</w:t>
      </w:r>
      <w:r w:rsidR="00523FF4" w:rsidRPr="002A3227">
        <w:rPr>
          <w:lang w:val="fr-FR"/>
        </w:rPr>
        <w:t xml:space="preserve"> est important de </w:t>
      </w:r>
      <w:r w:rsidR="00C55327" w:rsidRPr="002A3227">
        <w:rPr>
          <w:lang w:val="fr-FR"/>
        </w:rPr>
        <w:t>noter</w:t>
      </w:r>
      <w:r w:rsidR="00E477D9" w:rsidRPr="002A3227">
        <w:rPr>
          <w:lang w:val="fr-FR"/>
        </w:rPr>
        <w:t xml:space="preserve"> </w:t>
      </w:r>
      <w:r w:rsidR="00523FF4" w:rsidRPr="002A3227">
        <w:rPr>
          <w:lang w:val="fr-FR"/>
        </w:rPr>
        <w:t>l</w:t>
      </w:r>
      <w:r w:rsidR="00E477D9" w:rsidRPr="002A3227">
        <w:rPr>
          <w:lang w:val="fr-FR"/>
        </w:rPr>
        <w:t xml:space="preserve">a création </w:t>
      </w:r>
      <w:r w:rsidR="00C55327" w:rsidRPr="002A3227">
        <w:rPr>
          <w:lang w:val="fr-FR"/>
        </w:rPr>
        <w:t>d</w:t>
      </w:r>
      <w:r w:rsidR="00523FF4" w:rsidRPr="002A3227">
        <w:rPr>
          <w:lang w:val="fr-FR"/>
        </w:rPr>
        <w:t>’un</w:t>
      </w:r>
      <w:r w:rsidR="00E477D9" w:rsidRPr="002A3227">
        <w:rPr>
          <w:lang w:val="fr-FR"/>
        </w:rPr>
        <w:t xml:space="preserve"> </w:t>
      </w:r>
      <w:r w:rsidR="00523FF4" w:rsidRPr="002A3227">
        <w:rPr>
          <w:lang w:val="fr-FR"/>
        </w:rPr>
        <w:t xml:space="preserve">mécanisme de remontée </w:t>
      </w:r>
      <w:bookmarkStart w:id="1" w:name="_Hlk56614965"/>
      <w:r w:rsidR="00523FF4" w:rsidRPr="002A3227">
        <w:rPr>
          <w:lang w:val="fr-FR"/>
        </w:rPr>
        <w:t xml:space="preserve">des plaintes des citoyens </w:t>
      </w:r>
      <w:bookmarkEnd w:id="1"/>
      <w:r w:rsidR="00523FF4" w:rsidRPr="002A3227">
        <w:rPr>
          <w:lang w:val="fr-FR"/>
        </w:rPr>
        <w:t xml:space="preserve">à l’Inspection Générale des Services de Sécurité </w:t>
      </w:r>
      <w:r w:rsidR="00F95943" w:rsidRPr="002A3227">
        <w:rPr>
          <w:lang w:val="fr-FR"/>
        </w:rPr>
        <w:t>par le canal de deux consortium de la société civile (</w:t>
      </w:r>
      <w:r w:rsidR="002A3227" w:rsidRPr="002A3227">
        <w:rPr>
          <w:lang w:val="fr-FR"/>
        </w:rPr>
        <w:t xml:space="preserve">CONAD-DCF et CODDH) </w:t>
      </w:r>
      <w:r w:rsidR="00523FF4" w:rsidRPr="002A3227">
        <w:rPr>
          <w:lang w:val="fr-FR"/>
        </w:rPr>
        <w:t>pour l’aider dans sa lutte contre l’impunité</w:t>
      </w:r>
      <w:r w:rsidR="00C55327" w:rsidRPr="002A3227">
        <w:rPr>
          <w:lang w:val="fr-FR"/>
        </w:rPr>
        <w:t xml:space="preserve"> des agents de la police qui abuseraient </w:t>
      </w:r>
      <w:r w:rsidR="002A3227" w:rsidRPr="002A3227">
        <w:rPr>
          <w:lang w:val="fr-FR"/>
        </w:rPr>
        <w:t xml:space="preserve">des </w:t>
      </w:r>
      <w:r w:rsidR="00C55327" w:rsidRPr="002A3227">
        <w:rPr>
          <w:lang w:val="fr-FR"/>
        </w:rPr>
        <w:t>citoyen</w:t>
      </w:r>
      <w:r w:rsidR="002A3227" w:rsidRPr="002A3227">
        <w:rPr>
          <w:lang w:val="fr-FR"/>
        </w:rPr>
        <w:t xml:space="preserve"> </w:t>
      </w:r>
      <w:r w:rsidR="00C55327" w:rsidRPr="002A3227">
        <w:rPr>
          <w:lang w:val="fr-FR"/>
        </w:rPr>
        <w:t>.</w:t>
      </w:r>
      <w:r w:rsidR="00523FF4" w:rsidRPr="00504379">
        <w:rPr>
          <w:lang w:val="fr-FR"/>
        </w:rPr>
        <w:t xml:space="preserve"> </w:t>
      </w:r>
    </w:p>
    <w:p w14:paraId="40C6D250" w14:textId="77777777" w:rsidR="00476758" w:rsidRPr="00523FF4" w:rsidRDefault="00476758" w:rsidP="008C782A">
      <w:pPr>
        <w:ind w:left="-810"/>
        <w:rPr>
          <w:lang w:val="fr-FR"/>
        </w:rPr>
      </w:pPr>
    </w:p>
    <w:p w14:paraId="267F15F7" w14:textId="37C60C58" w:rsidR="008C782A" w:rsidRPr="00CC424E" w:rsidRDefault="00476758" w:rsidP="00476758">
      <w:pPr>
        <w:ind w:left="-810"/>
        <w:rPr>
          <w:i/>
          <w:iCs/>
          <w:lang w:val="fr-FR"/>
        </w:rPr>
      </w:pPr>
      <w:r w:rsidRPr="00CC424E">
        <w:rPr>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CC424E">
        <w:rPr>
          <w:i/>
          <w:iCs/>
          <w:lang w:val="fr-FR"/>
        </w:rPr>
        <w:t>weblinks</w:t>
      </w:r>
      <w:proofErr w:type="spellEnd"/>
      <w:r w:rsidRPr="00CC424E">
        <w:rPr>
          <w:i/>
          <w:iCs/>
          <w:lang w:val="fr-FR"/>
        </w:rPr>
        <w:t xml:space="preserve"> à la communication stratégique publiée. (</w:t>
      </w:r>
      <w:r w:rsidR="00CC424E" w:rsidRPr="00CC424E">
        <w:rPr>
          <w:i/>
          <w:iCs/>
          <w:lang w:val="fr-FR"/>
        </w:rPr>
        <w:t>Limite</w:t>
      </w:r>
      <w:r w:rsidRPr="00CC424E">
        <w:rPr>
          <w:i/>
          <w:iCs/>
          <w:lang w:val="fr-FR"/>
        </w:rPr>
        <w:t xml:space="preserve"> de 2000 caractères</w:t>
      </w:r>
      <w:r w:rsidR="00CC424E" w:rsidRPr="00CC424E">
        <w:rPr>
          <w:i/>
          <w:iCs/>
          <w:lang w:val="fr-FR"/>
        </w:rPr>
        <w:t>) :</w:t>
      </w:r>
    </w:p>
    <w:p w14:paraId="4AE2F688" w14:textId="77777777" w:rsidR="00504379" w:rsidRDefault="00504379" w:rsidP="00CC424E">
      <w:pPr>
        <w:ind w:left="-720"/>
        <w:jc w:val="both"/>
        <w:rPr>
          <w:lang w:val="fr-FR"/>
        </w:rPr>
      </w:pPr>
    </w:p>
    <w:p w14:paraId="36187472" w14:textId="2702F3A3" w:rsidR="00CC424E" w:rsidRDefault="00CC424E" w:rsidP="00CC424E">
      <w:pPr>
        <w:ind w:left="-720"/>
        <w:jc w:val="both"/>
        <w:rPr>
          <w:lang w:val="fr-FR"/>
        </w:rPr>
      </w:pPr>
      <w:r w:rsidRPr="0043403A">
        <w:rPr>
          <w:lang w:val="fr-FR"/>
        </w:rPr>
        <w:lastRenderedPageBreak/>
        <w:t>L’</w:t>
      </w:r>
      <w:r>
        <w:rPr>
          <w:lang w:val="fr-FR"/>
        </w:rPr>
        <w:t>a</w:t>
      </w:r>
      <w:r w:rsidRPr="0043403A">
        <w:rPr>
          <w:lang w:val="fr-FR"/>
        </w:rPr>
        <w:t xml:space="preserve">ncrage d’un mécanisme de remontée </w:t>
      </w:r>
      <w:r w:rsidRPr="00545C63">
        <w:rPr>
          <w:lang w:val="fr-FR"/>
        </w:rPr>
        <w:t xml:space="preserve">des plaintes des citoyens </w:t>
      </w:r>
      <w:r w:rsidRPr="0043403A">
        <w:rPr>
          <w:lang w:val="fr-FR"/>
        </w:rPr>
        <w:t xml:space="preserve">auprès de l’Inspection Générale des Services de Sécurité </w:t>
      </w:r>
      <w:r>
        <w:rPr>
          <w:lang w:val="fr-FR"/>
        </w:rPr>
        <w:t xml:space="preserve">a </w:t>
      </w:r>
      <w:r w:rsidRPr="0043403A">
        <w:rPr>
          <w:lang w:val="fr-FR"/>
        </w:rPr>
        <w:t>contribu</w:t>
      </w:r>
      <w:r>
        <w:rPr>
          <w:lang w:val="fr-FR"/>
        </w:rPr>
        <w:t>é</w:t>
      </w:r>
      <w:r w:rsidRPr="0043403A">
        <w:rPr>
          <w:lang w:val="fr-FR"/>
        </w:rPr>
        <w:t xml:space="preserve"> au rapprochement et à l’amélioration du climat de collaboration et de confiance entre les composantes civiles constituées de consortium d’ONG et les forces de sécurité.</w:t>
      </w:r>
    </w:p>
    <w:p w14:paraId="37496944" w14:textId="77777777" w:rsidR="00CE3E81" w:rsidRPr="0043403A" w:rsidRDefault="00CE3E81" w:rsidP="00CC424E">
      <w:pPr>
        <w:ind w:left="-720"/>
        <w:jc w:val="both"/>
        <w:rPr>
          <w:lang w:val="fr-FR"/>
        </w:rPr>
      </w:pPr>
    </w:p>
    <w:p w14:paraId="6337F9ED" w14:textId="4F6843B6" w:rsidR="00CC424E" w:rsidRPr="0043403A" w:rsidRDefault="00504379" w:rsidP="00CC424E">
      <w:pPr>
        <w:ind w:left="-720"/>
        <w:jc w:val="both"/>
        <w:rPr>
          <w:lang w:val="fr-FR"/>
        </w:rPr>
      </w:pPr>
      <w:bookmarkStart w:id="2" w:name="_Hlk56616053"/>
      <w:r>
        <w:rPr>
          <w:lang w:val="fr-FR"/>
        </w:rPr>
        <w:t>Dans ce sens l</w:t>
      </w:r>
      <w:r w:rsidR="00CC424E" w:rsidRPr="0043403A">
        <w:rPr>
          <w:lang w:val="fr-FR"/>
        </w:rPr>
        <w:t>a présidente de la CONAG-DCF affirme </w:t>
      </w:r>
      <w:r w:rsidR="00CC424E" w:rsidRPr="006402EB">
        <w:rPr>
          <w:i/>
          <w:iCs/>
          <w:lang w:val="fr-FR"/>
        </w:rPr>
        <w:t>:« </w:t>
      </w:r>
      <w:r w:rsidR="00C55327">
        <w:rPr>
          <w:i/>
          <w:iCs/>
          <w:lang w:val="fr-FR"/>
        </w:rPr>
        <w:t>…</w:t>
      </w:r>
      <w:r w:rsidR="00CC424E" w:rsidRPr="006402EB">
        <w:rPr>
          <w:i/>
          <w:iCs/>
          <w:lang w:val="fr-FR"/>
        </w:rPr>
        <w:t xml:space="preserve">Avant, j’étais habité par un sentiment de peur, de méfiance et de rejet des forces de défense et de sécurité, mais avec le mécanisme de remontée des plaintes qui m’a permis de collaborer avec les cadres de l’inspection des services de sécurité, je </w:t>
      </w:r>
      <w:r w:rsidR="00C55327" w:rsidRPr="006402EB">
        <w:rPr>
          <w:i/>
          <w:iCs/>
          <w:lang w:val="fr-FR"/>
        </w:rPr>
        <w:t>retrouve</w:t>
      </w:r>
      <w:r w:rsidR="00CC424E" w:rsidRPr="006402EB">
        <w:rPr>
          <w:i/>
          <w:iCs/>
          <w:lang w:val="fr-FR"/>
        </w:rPr>
        <w:t xml:space="preserve"> la confiance et comprends les voies de recours me rassurant ainsi dans le chantier de lutte contre l’impunité qui reste notre préoccupation majeure</w:t>
      </w:r>
      <w:r w:rsidR="00C55327">
        <w:rPr>
          <w:i/>
          <w:iCs/>
          <w:lang w:val="fr-FR"/>
        </w:rPr>
        <w:t>…</w:t>
      </w:r>
      <w:r w:rsidR="00CC424E" w:rsidRPr="006402EB">
        <w:rPr>
          <w:i/>
          <w:iCs/>
          <w:lang w:val="fr-FR"/>
        </w:rPr>
        <w:t> ».</w:t>
      </w:r>
    </w:p>
    <w:bookmarkEnd w:id="2"/>
    <w:p w14:paraId="14951660" w14:textId="77777777" w:rsidR="00F07502" w:rsidRDefault="00F07502" w:rsidP="00CC424E">
      <w:pPr>
        <w:ind w:left="-720"/>
        <w:jc w:val="both"/>
        <w:rPr>
          <w:lang w:val="fr-FR"/>
        </w:rPr>
      </w:pPr>
    </w:p>
    <w:p w14:paraId="757BE1FF" w14:textId="3276D9FA" w:rsidR="00CC424E" w:rsidRDefault="00CC424E" w:rsidP="00CC424E">
      <w:pPr>
        <w:ind w:left="-720"/>
        <w:jc w:val="both"/>
        <w:rPr>
          <w:lang w:val="fr-FR"/>
        </w:rPr>
      </w:pPr>
      <w:r w:rsidRPr="0043403A">
        <w:rPr>
          <w:lang w:val="fr-FR"/>
        </w:rPr>
        <w:t xml:space="preserve">Le Directeur </w:t>
      </w:r>
      <w:r w:rsidR="00C55327">
        <w:rPr>
          <w:lang w:val="fr-FR"/>
        </w:rPr>
        <w:t>G</w:t>
      </w:r>
      <w:r w:rsidRPr="0043403A">
        <w:rPr>
          <w:lang w:val="fr-FR"/>
        </w:rPr>
        <w:t xml:space="preserve">énéral </w:t>
      </w:r>
      <w:r w:rsidR="00C55327">
        <w:rPr>
          <w:lang w:val="fr-FR"/>
        </w:rPr>
        <w:t>A</w:t>
      </w:r>
      <w:r w:rsidRPr="0043403A">
        <w:rPr>
          <w:lang w:val="fr-FR"/>
        </w:rPr>
        <w:t>djoint du Bureau de Stratégie et de Développement</w:t>
      </w:r>
      <w:r w:rsidR="00C55327">
        <w:rPr>
          <w:lang w:val="fr-FR"/>
        </w:rPr>
        <w:t>,</w:t>
      </w:r>
      <w:r w:rsidRPr="0043403A">
        <w:rPr>
          <w:lang w:val="fr-FR"/>
        </w:rPr>
        <w:t xml:space="preserve"> dans la même lancée</w:t>
      </w:r>
      <w:r w:rsidR="00C55327">
        <w:rPr>
          <w:lang w:val="fr-FR"/>
        </w:rPr>
        <w:t>,</w:t>
      </w:r>
      <w:r w:rsidRPr="0043403A">
        <w:rPr>
          <w:lang w:val="fr-FR"/>
        </w:rPr>
        <w:t xml:space="preserve"> rassure que la remontée des données à travers l’observatoire, participe à l’orientation dans la prise de décision contre l’impunité dans les communes pilotes. </w:t>
      </w:r>
    </w:p>
    <w:p w14:paraId="2C99D8DE" w14:textId="55C2EFD0" w:rsidR="00CC424E" w:rsidRPr="0043403A" w:rsidRDefault="00CC424E" w:rsidP="00CC424E">
      <w:pPr>
        <w:ind w:left="-720"/>
        <w:jc w:val="both"/>
        <w:rPr>
          <w:lang w:val="fr-FR"/>
        </w:rPr>
      </w:pPr>
      <w:r>
        <w:rPr>
          <w:lang w:val="fr-FR"/>
        </w:rPr>
        <w:t>Par ailleurs</w:t>
      </w:r>
      <w:r w:rsidR="00C55327">
        <w:rPr>
          <w:lang w:val="fr-FR"/>
        </w:rPr>
        <w:t>,</w:t>
      </w:r>
      <w:r>
        <w:rPr>
          <w:lang w:val="fr-FR"/>
        </w:rPr>
        <w:t xml:space="preserve"> l</w:t>
      </w:r>
      <w:r w:rsidRPr="00545C63">
        <w:rPr>
          <w:lang w:val="fr-FR"/>
        </w:rPr>
        <w:t xml:space="preserve">e projet a contribué à la riposte contre le COVID19 par la formation en gestion des crises et catastrophes </w:t>
      </w:r>
      <w:r w:rsidR="00C55327">
        <w:rPr>
          <w:lang w:val="fr-FR"/>
        </w:rPr>
        <w:t xml:space="preserve">des agents, </w:t>
      </w:r>
      <w:r w:rsidRPr="00545C63">
        <w:rPr>
          <w:lang w:val="fr-FR"/>
        </w:rPr>
        <w:t>avec un accent sur les mesures barrières contre la pandémie</w:t>
      </w:r>
      <w:r w:rsidR="00F07502">
        <w:rPr>
          <w:lang w:val="fr-FR"/>
        </w:rPr>
        <w:t>. Ainsi, c’est</w:t>
      </w:r>
      <w:r w:rsidRPr="00545C63">
        <w:rPr>
          <w:lang w:val="fr-FR"/>
        </w:rPr>
        <w:t xml:space="preserve"> 225 </w:t>
      </w:r>
      <w:r w:rsidR="00F07502">
        <w:rPr>
          <w:lang w:val="fr-FR"/>
        </w:rPr>
        <w:t>o</w:t>
      </w:r>
      <w:r w:rsidRPr="00545C63">
        <w:rPr>
          <w:lang w:val="fr-FR"/>
        </w:rPr>
        <w:t>fficiers et agents des FDS</w:t>
      </w:r>
      <w:r w:rsidR="00F07502">
        <w:rPr>
          <w:lang w:val="fr-FR"/>
        </w:rPr>
        <w:t xml:space="preserve"> au moins, qui</w:t>
      </w:r>
      <w:r w:rsidRPr="00545C63">
        <w:rPr>
          <w:lang w:val="fr-FR"/>
        </w:rPr>
        <w:t xml:space="preserve"> contribuent à une sensibilisation </w:t>
      </w:r>
      <w:r w:rsidR="00F07502">
        <w:rPr>
          <w:lang w:val="fr-FR"/>
        </w:rPr>
        <w:t xml:space="preserve">au respect des directives de protection contre le COVID 19 </w:t>
      </w:r>
      <w:r w:rsidRPr="00545C63">
        <w:rPr>
          <w:lang w:val="fr-FR"/>
        </w:rPr>
        <w:t xml:space="preserve">dans différentes unités. Ce qui </w:t>
      </w:r>
      <w:r w:rsidR="00F07502">
        <w:rPr>
          <w:lang w:val="fr-FR"/>
        </w:rPr>
        <w:t>expliquerait</w:t>
      </w:r>
      <w:r w:rsidRPr="00545C63">
        <w:rPr>
          <w:lang w:val="fr-FR"/>
        </w:rPr>
        <w:t xml:space="preserve"> le faible taux d’infection dans les rangs</w:t>
      </w:r>
      <w:r w:rsidR="00F07502">
        <w:rPr>
          <w:lang w:val="fr-FR"/>
        </w:rPr>
        <w:t xml:space="preserve"> des FDS</w:t>
      </w:r>
      <w:r w:rsidRPr="00545C63">
        <w:rPr>
          <w:lang w:val="fr-FR"/>
        </w:rPr>
        <w:t>. Selon le Directeur de Services de Santé des Armées, sur un total de 1500 test</w:t>
      </w:r>
      <w:r w:rsidR="00F07502">
        <w:rPr>
          <w:lang w:val="fr-FR"/>
        </w:rPr>
        <w:t>s</w:t>
      </w:r>
      <w:r w:rsidRPr="00545C63">
        <w:rPr>
          <w:lang w:val="fr-FR"/>
        </w:rPr>
        <w:t xml:space="preserve"> effectués, </w:t>
      </w:r>
      <w:r w:rsidR="00F07502">
        <w:rPr>
          <w:lang w:val="fr-FR"/>
        </w:rPr>
        <w:t xml:space="preserve">ce ne sont que </w:t>
      </w:r>
      <w:r w:rsidRPr="00545C63">
        <w:rPr>
          <w:lang w:val="fr-FR"/>
        </w:rPr>
        <w:t xml:space="preserve">14 </w:t>
      </w:r>
      <w:r w:rsidR="00F07502">
        <w:rPr>
          <w:lang w:val="fr-FR"/>
        </w:rPr>
        <w:t>cas qui provenaient</w:t>
      </w:r>
      <w:r w:rsidRPr="00545C63">
        <w:rPr>
          <w:lang w:val="fr-FR"/>
        </w:rPr>
        <w:t xml:space="preserve"> des FDS.</w:t>
      </w:r>
      <w:r w:rsidRPr="0043403A">
        <w:rPr>
          <w:lang w:val="fr-FR"/>
        </w:rPr>
        <w:t xml:space="preserve">  </w:t>
      </w:r>
    </w:p>
    <w:p w14:paraId="16208936" w14:textId="77777777" w:rsidR="007712FB" w:rsidRPr="00CC424E"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408E1A76"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r w:rsidR="00CC424E" w:rsidRPr="005D15A3">
        <w:rPr>
          <w:i/>
          <w:lang w:val="fr-FR"/>
        </w:rPr>
        <w:t>juin :</w:t>
      </w:r>
      <w:r w:rsidRPr="005D15A3">
        <w:rPr>
          <w:i/>
          <w:lang w:val="fr-FR"/>
        </w:rPr>
        <w:t xml:space="preserve"> janvier-juin</w:t>
      </w:r>
      <w:r>
        <w:rPr>
          <w:i/>
          <w:lang w:val="fr-FR"/>
        </w:rPr>
        <w:t> ;</w:t>
      </w:r>
      <w:r w:rsidRPr="005D15A3">
        <w:rPr>
          <w:i/>
          <w:lang w:val="fr-FR"/>
        </w:rPr>
        <w:t xml:space="preserve"> pour les rapports de </w:t>
      </w:r>
      <w:r w:rsidR="00DD5DFB" w:rsidRPr="005D15A3">
        <w:rPr>
          <w:i/>
          <w:lang w:val="fr-FR"/>
        </w:rPr>
        <w:t>novembre :</w:t>
      </w:r>
      <w:r w:rsidRPr="005D15A3">
        <w:rPr>
          <w:i/>
          <w:lang w:val="fr-FR"/>
        </w:rPr>
        <w:t xml:space="preserve"> janvier-novembre</w:t>
      </w:r>
      <w:r>
        <w:rPr>
          <w:i/>
          <w:lang w:val="fr-FR"/>
        </w:rPr>
        <w:t> ;</w:t>
      </w:r>
      <w:r w:rsidRPr="005D15A3">
        <w:rPr>
          <w:i/>
          <w:lang w:val="fr-FR"/>
        </w:rPr>
        <w:t xml:space="preserve"> pour les rapports </w:t>
      </w:r>
      <w:r w:rsidR="006A7086" w:rsidRPr="005D15A3">
        <w:rPr>
          <w:i/>
          <w:lang w:val="fr-FR"/>
        </w:rPr>
        <w:t>finaux :</w:t>
      </w:r>
      <w:r w:rsidRPr="005D15A3">
        <w:rPr>
          <w:i/>
          <w:lang w:val="fr-FR"/>
        </w:rPr>
        <w:t xml:space="preserve">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46C29145" w14:textId="213D04E2" w:rsidR="006A7086" w:rsidRDefault="005D15A3" w:rsidP="00DD5DFB">
      <w:pPr>
        <w:ind w:left="-720"/>
        <w:jc w:val="both"/>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C65AB4" w:rsidRPr="00B65FF8">
        <w:rPr>
          <w:lang w:val="fr-FR"/>
        </w:rPr>
        <w:t xml:space="preserve">La redevabilité </w:t>
      </w:r>
      <w:bookmarkStart w:id="3" w:name="_Hlk56615832"/>
      <w:r w:rsidR="00C65AB4" w:rsidRPr="00B65FF8">
        <w:rPr>
          <w:lang w:val="fr-FR"/>
        </w:rPr>
        <w:t xml:space="preserve">et la transparence des services de police </w:t>
      </w:r>
      <w:bookmarkEnd w:id="3"/>
      <w:r w:rsidR="00C65AB4" w:rsidRPr="00B65FF8">
        <w:rPr>
          <w:lang w:val="fr-FR"/>
        </w:rPr>
        <w:t>sont améliorées à travers le renforcement des mécanismes de contrôle interne et externes</w:t>
      </w:r>
    </w:p>
    <w:p w14:paraId="31AD2E61" w14:textId="77777777" w:rsidR="00C65AB4" w:rsidRPr="00615EA3" w:rsidRDefault="00C65AB4" w:rsidP="00C65AB4">
      <w:pPr>
        <w:rPr>
          <w:b/>
          <w:lang w:val="fr-FR"/>
        </w:rPr>
      </w:pPr>
    </w:p>
    <w:p w14:paraId="5BD91AE0" w14:textId="77777777" w:rsidR="00C65AB4" w:rsidRPr="00615EA3" w:rsidRDefault="00C65AB4" w:rsidP="00C65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 xml:space="preserve"> :</w:t>
      </w:r>
      <w:r w:rsidRPr="00615EA3">
        <w:rPr>
          <w:b/>
          <w:lang w:val="fr-FR"/>
        </w:rPr>
        <w:t xml:space="preserve"> </w:t>
      </w:r>
      <w:r>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Pr="001D7019">
        <w:rPr>
          <w:rFonts w:ascii="Arial Narrow" w:hAnsi="Arial Narrow"/>
          <w:b/>
          <w:sz w:val="22"/>
          <w:szCs w:val="22"/>
          <w:lang w:val="fr-FR"/>
        </w:rPr>
        <w:instrText xml:space="preserve"> FORMDROPDOWN </w:instrText>
      </w:r>
      <w:r w:rsidR="00937DBB">
        <w:rPr>
          <w:rFonts w:ascii="Arial Narrow" w:hAnsi="Arial Narrow"/>
          <w:b/>
          <w:sz w:val="22"/>
          <w:szCs w:val="22"/>
        </w:rPr>
      </w:r>
      <w:r w:rsidR="00937DBB">
        <w:rPr>
          <w:rFonts w:ascii="Arial Narrow" w:hAnsi="Arial Narrow"/>
          <w:b/>
          <w:sz w:val="22"/>
          <w:szCs w:val="22"/>
        </w:rPr>
        <w:fldChar w:fldCharType="separate"/>
      </w:r>
      <w:r>
        <w:rPr>
          <w:rFonts w:ascii="Arial Narrow" w:hAnsi="Arial Narrow"/>
          <w:b/>
          <w:sz w:val="22"/>
          <w:szCs w:val="22"/>
        </w:rPr>
        <w:fldChar w:fldCharType="end"/>
      </w:r>
    </w:p>
    <w:p w14:paraId="2D1000D8" w14:textId="66EFF427" w:rsidR="00C65AB4" w:rsidRPr="00C65AB4" w:rsidRDefault="00C65AB4" w:rsidP="00C65AB4">
      <w:pPr>
        <w:ind w:left="-720"/>
        <w:jc w:val="both"/>
        <w:rPr>
          <w:i/>
          <w:lang w:val="fr-FR"/>
        </w:rPr>
      </w:pPr>
      <w:r w:rsidRPr="005D15A3">
        <w:rPr>
          <w:b/>
          <w:lang w:val="fr-FR"/>
        </w:rPr>
        <w:t xml:space="preserve">Résumé de </w:t>
      </w:r>
      <w:r w:rsidRPr="005D15A3">
        <w:rPr>
          <w:rFonts w:ascii="inherit" w:hAnsi="inherit"/>
          <w:b/>
          <w:bCs/>
          <w:color w:val="212121"/>
          <w:lang w:val="fr-FR"/>
        </w:rPr>
        <w:t>progrès</w:t>
      </w:r>
      <w:r w:rsidRPr="005D15A3">
        <w:rPr>
          <w:b/>
          <w:lang w:val="fr-FR"/>
        </w:rPr>
        <w:t xml:space="preserve"> : </w:t>
      </w:r>
      <w:r>
        <w:rPr>
          <w:rFonts w:ascii="inherit" w:hAnsi="inherit"/>
          <w:color w:val="212121"/>
          <w:lang w:val="fr-FR"/>
        </w:rPr>
        <w:t>(Limite de 3000 caractères)</w:t>
      </w:r>
    </w:p>
    <w:p w14:paraId="2B13040A" w14:textId="77777777" w:rsidR="00504379" w:rsidRDefault="00504379" w:rsidP="00DD5DFB">
      <w:pPr>
        <w:ind w:left="-720"/>
        <w:jc w:val="both"/>
        <w:rPr>
          <w:lang w:val="fr-FR"/>
        </w:rPr>
      </w:pPr>
    </w:p>
    <w:p w14:paraId="023875A2" w14:textId="43202420" w:rsidR="00DD5DFB" w:rsidRPr="00962071" w:rsidRDefault="00DD5DFB" w:rsidP="00DD5DFB">
      <w:pPr>
        <w:ind w:left="-720"/>
        <w:jc w:val="both"/>
        <w:rPr>
          <w:lang w:val="fr-FR"/>
        </w:rPr>
      </w:pPr>
      <w:r>
        <w:rPr>
          <w:lang w:val="fr-FR"/>
        </w:rPr>
        <w:t>Au compte du résultat1</w:t>
      </w:r>
      <w:r w:rsidR="00F07502">
        <w:rPr>
          <w:lang w:val="fr-FR"/>
        </w:rPr>
        <w:t>,</w:t>
      </w:r>
      <w:r>
        <w:rPr>
          <w:lang w:val="fr-FR"/>
        </w:rPr>
        <w:t xml:space="preserve"> axé sur l’amélioration de la redevabilité et </w:t>
      </w:r>
      <w:r w:rsidRPr="004C6AFA">
        <w:rPr>
          <w:lang w:val="fr-FR"/>
        </w:rPr>
        <w:t>la transparence des services de police</w:t>
      </w:r>
      <w:r>
        <w:rPr>
          <w:lang w:val="fr-FR"/>
        </w:rPr>
        <w:t xml:space="preserve">, on note un progrès considérable à travers le renforcement du mécanisme de remontée des plaintes des citoyens vers l’Inspection Générale des Services de Sécurité pour une meilleure </w:t>
      </w:r>
      <w:r>
        <w:rPr>
          <w:lang w:val="fr-FR"/>
        </w:rPr>
        <w:lastRenderedPageBreak/>
        <w:t>observation des comportements des forces de police pendant leurs déploiements dans le cadre du respect et de l’application des mesures barrières, comme l’atteste</w:t>
      </w:r>
      <w:r w:rsidRPr="001D7019">
        <w:rPr>
          <w:lang w:val="fr-FR"/>
        </w:rPr>
        <w:t xml:space="preserve"> </w:t>
      </w:r>
      <w:r>
        <w:rPr>
          <w:lang w:val="fr-FR"/>
        </w:rPr>
        <w:t>l</w:t>
      </w:r>
      <w:r w:rsidRPr="004C6AFA">
        <w:rPr>
          <w:lang w:val="fr-FR"/>
        </w:rPr>
        <w:t xml:space="preserve">a présidente de la CONAG-DCF </w:t>
      </w:r>
      <w:r w:rsidRPr="004244CE">
        <w:rPr>
          <w:i/>
          <w:iCs/>
          <w:color w:val="000000" w:themeColor="text1"/>
          <w:lang w:val="fr-FR"/>
        </w:rPr>
        <w:t>:« Avant, j’étais habité par un sentiment de peur, de méfiance et de rejet vis-à-vis des forces de défense et de sécurité, mais avec le mécanisme de remontée des plaintes qui m’a permis de collaborer avec les cadres de l’inspection des services de sécurité, je retrouve la confiance et comprends les voies de recours me rassurant ainsi dans le chantier de lutte contre l’impunité qui reste notre préoccupation majeure »</w:t>
      </w:r>
      <w:r w:rsidR="004244CE" w:rsidRPr="004244CE">
        <w:rPr>
          <w:i/>
          <w:iCs/>
          <w:color w:val="000000" w:themeColor="text1"/>
          <w:lang w:val="fr-FR"/>
        </w:rPr>
        <w:t xml:space="preserve">. </w:t>
      </w:r>
      <w:r w:rsidR="004244CE" w:rsidRPr="00962071">
        <w:rPr>
          <w:color w:val="000000" w:themeColor="text1"/>
          <w:lang w:val="fr-FR"/>
        </w:rPr>
        <w:t xml:space="preserve">Au deuxième trimestre de l’année 2020 près de dix dossiers furent traités par l’inspection par le biais des points focaux évoluant sur le terrain. </w:t>
      </w:r>
    </w:p>
    <w:p w14:paraId="0B749BBE" w14:textId="77777777" w:rsidR="005871A3" w:rsidRDefault="005871A3" w:rsidP="00DD5DFB">
      <w:pPr>
        <w:ind w:left="-720"/>
        <w:jc w:val="both"/>
        <w:rPr>
          <w:lang w:val="fr-FR"/>
        </w:rPr>
      </w:pPr>
    </w:p>
    <w:p w14:paraId="69010185" w14:textId="0CA27956" w:rsidR="00F07502" w:rsidRPr="00E42738" w:rsidRDefault="00DD5DFB" w:rsidP="00E34562">
      <w:pPr>
        <w:ind w:left="-720"/>
        <w:jc w:val="both"/>
        <w:rPr>
          <w:lang w:val="fr-FR"/>
        </w:rPr>
      </w:pPr>
      <w:r w:rsidRPr="00E42738">
        <w:rPr>
          <w:lang w:val="fr-FR"/>
        </w:rPr>
        <w:t>Aussi, en vue d’un meilleur fonctionnement du mécanisme</w:t>
      </w:r>
      <w:r w:rsidR="00F07502" w:rsidRPr="00E42738">
        <w:rPr>
          <w:lang w:val="fr-FR"/>
        </w:rPr>
        <w:t xml:space="preserve"> de remontée des plaintes</w:t>
      </w:r>
      <w:r w:rsidRPr="00E42738">
        <w:rPr>
          <w:lang w:val="fr-FR"/>
        </w:rPr>
        <w:t xml:space="preserve"> eu égard à la recrudescence des violences basées sur le genre, les capacités des points focaux </w:t>
      </w:r>
      <w:r w:rsidR="00F07502" w:rsidRPr="00E42738">
        <w:rPr>
          <w:lang w:val="fr-FR"/>
        </w:rPr>
        <w:t>de cet outil</w:t>
      </w:r>
      <w:r w:rsidRPr="00E42738">
        <w:rPr>
          <w:lang w:val="fr-FR"/>
        </w:rPr>
        <w:t xml:space="preserve"> au nombre de 35 ont été renforcées en vue de mieux combattre le </w:t>
      </w:r>
      <w:r w:rsidR="0023194B" w:rsidRPr="00E42738">
        <w:rPr>
          <w:lang w:val="fr-FR"/>
        </w:rPr>
        <w:t xml:space="preserve">phénomène. Ce renforcement a </w:t>
      </w:r>
      <w:r w:rsidR="00E34562" w:rsidRPr="00E42738">
        <w:rPr>
          <w:lang w:val="fr-FR"/>
        </w:rPr>
        <w:t>encouragé</w:t>
      </w:r>
      <w:r w:rsidR="0023194B" w:rsidRPr="00E42738">
        <w:rPr>
          <w:lang w:val="fr-FR"/>
        </w:rPr>
        <w:t xml:space="preserve"> à la </w:t>
      </w:r>
      <w:r w:rsidR="00E34562" w:rsidRPr="00E42738">
        <w:rPr>
          <w:lang w:val="fr-FR"/>
        </w:rPr>
        <w:t>dénonciation des cas auprès des services compétents dissuadant ainsi les futurs auteurs</w:t>
      </w:r>
      <w:r w:rsidR="00437461" w:rsidRPr="00E42738">
        <w:rPr>
          <w:lang w:val="fr-FR"/>
        </w:rPr>
        <w:t xml:space="preserve"> d’acte d’agression et rassure les population</w:t>
      </w:r>
      <w:r w:rsidR="00E42738">
        <w:rPr>
          <w:lang w:val="fr-FR"/>
        </w:rPr>
        <w:t>s</w:t>
      </w:r>
      <w:r w:rsidR="00437461" w:rsidRPr="00E42738">
        <w:rPr>
          <w:lang w:val="fr-FR"/>
        </w:rPr>
        <w:t xml:space="preserve"> sur l’objectif de lutte contre l’impunité</w:t>
      </w:r>
      <w:r w:rsidR="00E34562" w:rsidRPr="00E42738">
        <w:rPr>
          <w:lang w:val="fr-FR"/>
        </w:rPr>
        <w:t xml:space="preserve">. </w:t>
      </w:r>
      <w:r w:rsidR="0023194B" w:rsidRPr="00E42738">
        <w:rPr>
          <w:lang w:val="fr-FR"/>
        </w:rPr>
        <w:t xml:space="preserve"> </w:t>
      </w:r>
      <w:r w:rsidRPr="00E42738">
        <w:rPr>
          <w:lang w:val="fr-FR"/>
        </w:rPr>
        <w:t xml:space="preserve"> </w:t>
      </w:r>
    </w:p>
    <w:p w14:paraId="2CA99392" w14:textId="6E97347C" w:rsidR="00DD5DFB" w:rsidRDefault="00DD5DFB" w:rsidP="00DD5DFB">
      <w:pPr>
        <w:ind w:left="-720"/>
        <w:jc w:val="both"/>
        <w:rPr>
          <w:lang w:val="fr-FR"/>
        </w:rPr>
      </w:pPr>
      <w:r w:rsidRPr="00E42738">
        <w:rPr>
          <w:lang w:val="fr-FR"/>
        </w:rPr>
        <w:t xml:space="preserve">Au niveau de l’Inspection Générale des Services de Sécurité, il a été institué les contrôles inopinés et ceux périodiques pour l’ancrage de la culture de contrôle au sein des différentes unités ; cela a permis d’effectuer 14 missions d’inspections inopinées et 4 </w:t>
      </w:r>
      <w:r w:rsidR="005871A3" w:rsidRPr="00E42738">
        <w:rPr>
          <w:lang w:val="fr-FR"/>
        </w:rPr>
        <w:t xml:space="preserve">missions </w:t>
      </w:r>
      <w:r w:rsidRPr="00E42738">
        <w:rPr>
          <w:lang w:val="fr-FR"/>
        </w:rPr>
        <w:t xml:space="preserve">programmées </w:t>
      </w:r>
      <w:r w:rsidR="005871A3" w:rsidRPr="00E42738">
        <w:rPr>
          <w:lang w:val="fr-FR"/>
        </w:rPr>
        <w:t xml:space="preserve">qui ont permis d’observés </w:t>
      </w:r>
      <w:r w:rsidRPr="00E42738">
        <w:rPr>
          <w:lang w:val="fr-FR"/>
        </w:rPr>
        <w:t xml:space="preserve">plus de 60 cas d’irrégularité qui ont </w:t>
      </w:r>
      <w:r w:rsidR="005871A3" w:rsidRPr="00E42738">
        <w:rPr>
          <w:lang w:val="fr-FR"/>
        </w:rPr>
        <w:t xml:space="preserve">écopés des </w:t>
      </w:r>
      <w:r w:rsidRPr="00E42738">
        <w:rPr>
          <w:lang w:val="fr-FR"/>
        </w:rPr>
        <w:t>sanction</w:t>
      </w:r>
      <w:r w:rsidR="005871A3" w:rsidRPr="00E42738">
        <w:rPr>
          <w:lang w:val="fr-FR"/>
        </w:rPr>
        <w:t>s</w:t>
      </w:r>
      <w:r w:rsidRPr="00E42738">
        <w:rPr>
          <w:lang w:val="fr-FR"/>
        </w:rPr>
        <w:t xml:space="preserve"> disciplinaires allant du blâme aux avertissements.</w:t>
      </w:r>
    </w:p>
    <w:p w14:paraId="45657C58" w14:textId="77777777" w:rsidR="00F07502" w:rsidRPr="00290917" w:rsidRDefault="00F07502" w:rsidP="00DD5DFB">
      <w:pPr>
        <w:ind w:left="-720"/>
        <w:jc w:val="both"/>
        <w:rPr>
          <w:lang w:val="fr-FR"/>
        </w:rPr>
      </w:pPr>
    </w:p>
    <w:p w14:paraId="54BBBF6E" w14:textId="1BC0F544" w:rsidR="00627A1C" w:rsidRPr="00C65AB4" w:rsidRDefault="00DD5DFB" w:rsidP="00C65AB4">
      <w:pPr>
        <w:ind w:left="-720"/>
        <w:jc w:val="both"/>
        <w:rPr>
          <w:lang w:val="fr-FR"/>
        </w:rPr>
      </w:pPr>
      <w:r w:rsidRPr="00290917">
        <w:rPr>
          <w:lang w:val="fr-FR"/>
        </w:rPr>
        <w:t xml:space="preserve">Au niveau du parlement exerçant le contrôle externe, 4 grandes missions constituées </w:t>
      </w:r>
      <w:r w:rsidR="005871A3">
        <w:rPr>
          <w:lang w:val="fr-FR"/>
        </w:rPr>
        <w:t>d’au moins</w:t>
      </w:r>
      <w:r w:rsidRPr="00290917">
        <w:rPr>
          <w:lang w:val="fr-FR"/>
        </w:rPr>
        <w:t xml:space="preserve"> 14 parlementaires et assistants ont permis d’évaluer les rapports </w:t>
      </w:r>
      <w:proofErr w:type="spellStart"/>
      <w:r w:rsidRPr="00290917">
        <w:rPr>
          <w:lang w:val="fr-FR"/>
        </w:rPr>
        <w:t>civilo</w:t>
      </w:r>
      <w:proofErr w:type="spellEnd"/>
      <w:r w:rsidRPr="00290917">
        <w:rPr>
          <w:lang w:val="fr-FR"/>
        </w:rPr>
        <w:t>-militaires ainsi que les conditions de vie et de travail des forces</w:t>
      </w:r>
      <w:r>
        <w:rPr>
          <w:lang w:val="fr-FR"/>
        </w:rPr>
        <w:t xml:space="preserve"> de défense et de sécurité</w:t>
      </w:r>
      <w:r w:rsidRPr="00290917">
        <w:rPr>
          <w:lang w:val="fr-FR"/>
        </w:rPr>
        <w:t xml:space="preserve"> sur le terrain. Cette évaluation a permis d’établir les incohérences entre administrateurs civils et forces de sécurité dans le cadre de leurs déploiement</w:t>
      </w:r>
      <w:r>
        <w:rPr>
          <w:lang w:val="fr-FR"/>
        </w:rPr>
        <w:t>s</w:t>
      </w:r>
      <w:r w:rsidRPr="00290917">
        <w:rPr>
          <w:lang w:val="fr-FR"/>
        </w:rPr>
        <w:t xml:space="preserve"> dans les opérations de maintien de l’ordre.</w:t>
      </w:r>
      <w:r w:rsidR="005871A3">
        <w:rPr>
          <w:lang w:val="fr-FR"/>
        </w:rPr>
        <w:t xml:space="preserve"> Des corrections ont été proposées aux autorités concernées.</w:t>
      </w:r>
    </w:p>
    <w:p w14:paraId="65234986" w14:textId="77777777" w:rsidR="00504379" w:rsidRDefault="00504379" w:rsidP="00627A1C">
      <w:pPr>
        <w:ind w:left="-720"/>
        <w:rPr>
          <w:b/>
          <w:bCs/>
          <w:color w:val="000000"/>
          <w:lang w:val="fr-FR" w:eastAsia="en-US"/>
        </w:rPr>
      </w:pPr>
    </w:p>
    <w:p w14:paraId="41ABD3CD" w14:textId="138EB786" w:rsidR="00161D02" w:rsidRPr="00504379" w:rsidRDefault="005D15A3" w:rsidP="00627A1C">
      <w:pPr>
        <w:ind w:left="-720"/>
        <w:rPr>
          <w:i/>
          <w:iCs/>
          <w:lang w:val="fr-FR"/>
        </w:rPr>
      </w:pPr>
      <w:r w:rsidRPr="00504379">
        <w:rPr>
          <w:i/>
          <w:iCs/>
          <w:color w:val="000000"/>
          <w:lang w:val="fr-FR" w:eastAsia="en-US"/>
        </w:rPr>
        <w:t>Indiquez toute analyse supplémentaire sur la manière dont l'égalité entre les sexes et l'autonomisation des femmes et / ou l'inclusion</w:t>
      </w:r>
      <w:r w:rsidR="00675507" w:rsidRPr="00504379">
        <w:rPr>
          <w:i/>
          <w:iCs/>
          <w:color w:val="000000"/>
          <w:lang w:val="fr-FR" w:eastAsia="en-US"/>
        </w:rPr>
        <w:t xml:space="preserve"> </w:t>
      </w:r>
      <w:r w:rsidRPr="00504379">
        <w:rPr>
          <w:i/>
          <w:iCs/>
          <w:color w:val="000000"/>
          <w:lang w:val="fr-FR" w:eastAsia="en-US"/>
        </w:rPr>
        <w:t xml:space="preserve">et la réactivité </w:t>
      </w:r>
      <w:r w:rsidR="00675507" w:rsidRPr="00504379">
        <w:rPr>
          <w:i/>
          <w:iCs/>
          <w:color w:val="000000"/>
          <w:lang w:val="fr-FR" w:eastAsia="en-US"/>
        </w:rPr>
        <w:t>aux besoins des</w:t>
      </w:r>
      <w:r w:rsidRPr="00504379">
        <w:rPr>
          <w:i/>
          <w:iCs/>
          <w:color w:val="000000"/>
          <w:lang w:val="fr-FR" w:eastAsia="en-US"/>
        </w:rPr>
        <w:t xml:space="preserve"> jeunes ont été assurées dans le cadre de ce </w:t>
      </w:r>
      <w:r w:rsidR="006A7086" w:rsidRPr="00504379">
        <w:rPr>
          <w:i/>
          <w:iCs/>
          <w:color w:val="000000"/>
          <w:lang w:val="fr-FR" w:eastAsia="en-US"/>
        </w:rPr>
        <w:t>résultat</w:t>
      </w:r>
      <w:r w:rsidR="006A7086" w:rsidRPr="00504379">
        <w:rPr>
          <w:i/>
          <w:iCs/>
          <w:lang w:val="fr-FR"/>
        </w:rPr>
        <w:t xml:space="preserve"> :</w:t>
      </w:r>
      <w:r w:rsidR="00161D02" w:rsidRPr="00504379">
        <w:rPr>
          <w:i/>
          <w:iCs/>
          <w:lang w:val="fr-FR"/>
        </w:rPr>
        <w:t xml:space="preserve"> (</w:t>
      </w:r>
      <w:r w:rsidR="00675507" w:rsidRPr="00504379">
        <w:rPr>
          <w:rFonts w:ascii="inherit" w:hAnsi="inherit"/>
          <w:i/>
          <w:iCs/>
          <w:color w:val="212121"/>
          <w:lang w:val="fr-FR"/>
        </w:rPr>
        <w:t>Limite de 1000 caractères</w:t>
      </w:r>
      <w:r w:rsidR="00161D02" w:rsidRPr="00504379">
        <w:rPr>
          <w:i/>
          <w:iCs/>
          <w:lang w:val="fr-FR"/>
        </w:rPr>
        <w:t>)</w:t>
      </w:r>
    </w:p>
    <w:p w14:paraId="4751F7FC" w14:textId="77777777" w:rsidR="00504379" w:rsidRDefault="00504379" w:rsidP="006A7086">
      <w:pPr>
        <w:ind w:left="-720"/>
        <w:jc w:val="both"/>
        <w:rPr>
          <w:lang w:val="fr-FR"/>
        </w:rPr>
      </w:pPr>
    </w:p>
    <w:p w14:paraId="1E669EAF" w14:textId="02A797CC" w:rsidR="006A7086" w:rsidRPr="0043403A" w:rsidRDefault="006A7086" w:rsidP="006A7086">
      <w:pPr>
        <w:ind w:left="-720"/>
        <w:jc w:val="both"/>
        <w:rPr>
          <w:lang w:val="fr-FR"/>
        </w:rPr>
      </w:pPr>
      <w:r w:rsidRPr="0043403A">
        <w:rPr>
          <w:lang w:val="fr-FR"/>
        </w:rPr>
        <w:t>Le projet a intégré l’aspect genre dans l’essentiel des activités de</w:t>
      </w:r>
      <w:r w:rsidR="005871A3">
        <w:rPr>
          <w:lang w:val="fr-FR"/>
        </w:rPr>
        <w:t xml:space="preserve"> </w:t>
      </w:r>
      <w:r w:rsidRPr="0043403A">
        <w:rPr>
          <w:lang w:val="fr-FR"/>
        </w:rPr>
        <w:t>formation et de déploiement des points focaux et</w:t>
      </w:r>
      <w:r w:rsidR="002B4474">
        <w:rPr>
          <w:lang w:val="fr-FR"/>
        </w:rPr>
        <w:t xml:space="preserve"> autres</w:t>
      </w:r>
      <w:r w:rsidRPr="0043403A">
        <w:rPr>
          <w:lang w:val="fr-FR"/>
        </w:rPr>
        <w:t xml:space="preserve"> acteurs de l’observatoire de la sécurité urbaine</w:t>
      </w:r>
      <w:r w:rsidR="002B4474">
        <w:rPr>
          <w:lang w:val="fr-FR"/>
        </w:rPr>
        <w:t xml:space="preserve"> avec </w:t>
      </w:r>
      <w:r w:rsidRPr="0043403A">
        <w:rPr>
          <w:lang w:val="fr-FR"/>
        </w:rPr>
        <w:t>un total de 94</w:t>
      </w:r>
      <w:r w:rsidR="002B4474">
        <w:rPr>
          <w:lang w:val="fr-FR"/>
        </w:rPr>
        <w:t xml:space="preserve"> personnes</w:t>
      </w:r>
      <w:r w:rsidRPr="0043403A">
        <w:rPr>
          <w:lang w:val="fr-FR"/>
        </w:rPr>
        <w:t xml:space="preserve"> dont 50 Jeunes et 6 femmes</w:t>
      </w:r>
      <w:r w:rsidR="002B4474">
        <w:rPr>
          <w:lang w:val="fr-FR"/>
        </w:rPr>
        <w:t> ;</w:t>
      </w:r>
      <w:r w:rsidRPr="0043403A">
        <w:rPr>
          <w:lang w:val="fr-FR"/>
        </w:rPr>
        <w:t xml:space="preserve"> et le mécanisme de remontée des plaintes (34 jeunes et 12 femmes) qui travaillent en synergie avec les services de sécurité dans le cadre du contrôle.</w:t>
      </w:r>
    </w:p>
    <w:p w14:paraId="61E24FFA" w14:textId="329D5ACC" w:rsidR="006A7086" w:rsidRPr="0043403A" w:rsidRDefault="006A7086" w:rsidP="006A7086">
      <w:pPr>
        <w:ind w:left="-720"/>
        <w:jc w:val="both"/>
        <w:rPr>
          <w:lang w:val="fr-FR"/>
        </w:rPr>
      </w:pPr>
      <w:r w:rsidRPr="0043403A">
        <w:rPr>
          <w:lang w:val="fr-FR"/>
        </w:rPr>
        <w:t>La formation des points focaux sur les violences basées sur le genre dans le cadre du mécanisme</w:t>
      </w:r>
      <w:r w:rsidR="002B4474">
        <w:rPr>
          <w:lang w:val="fr-FR"/>
        </w:rPr>
        <w:t xml:space="preserve"> de remontée</w:t>
      </w:r>
      <w:r w:rsidRPr="0043403A">
        <w:rPr>
          <w:lang w:val="fr-FR"/>
        </w:rPr>
        <w:t xml:space="preserve"> a contribué fortement à la </w:t>
      </w:r>
      <w:r w:rsidR="002B4474">
        <w:rPr>
          <w:lang w:val="fr-FR"/>
        </w:rPr>
        <w:t xml:space="preserve">collecte </w:t>
      </w:r>
      <w:r w:rsidRPr="0043403A">
        <w:rPr>
          <w:lang w:val="fr-FR"/>
        </w:rPr>
        <w:t xml:space="preserve">des cas </w:t>
      </w:r>
      <w:r>
        <w:rPr>
          <w:lang w:val="fr-FR"/>
        </w:rPr>
        <w:t xml:space="preserve">de </w:t>
      </w:r>
      <w:r w:rsidRPr="00F247B1">
        <w:rPr>
          <w:lang w:val="fr-FR"/>
        </w:rPr>
        <w:t xml:space="preserve">violences basées sur le genre </w:t>
      </w:r>
      <w:r w:rsidRPr="0043403A">
        <w:rPr>
          <w:lang w:val="fr-FR"/>
        </w:rPr>
        <w:t>pour alimenter la base de données</w:t>
      </w:r>
      <w:r w:rsidR="002B4474">
        <w:rPr>
          <w:lang w:val="fr-FR"/>
        </w:rPr>
        <w:t xml:space="preserve"> des services (OPROGEM et autres.)</w:t>
      </w:r>
      <w:r w:rsidRPr="0043403A">
        <w:rPr>
          <w:lang w:val="fr-FR"/>
        </w:rPr>
        <w:t xml:space="preserve">. </w:t>
      </w:r>
    </w:p>
    <w:p w14:paraId="77E9478C" w14:textId="15A60DA8" w:rsidR="00161D02" w:rsidRPr="006A7086" w:rsidRDefault="00161D02" w:rsidP="00161D02">
      <w:pPr>
        <w:ind w:left="-720"/>
        <w:rPr>
          <w:b/>
          <w:lang w:val="fr-FR"/>
        </w:rPr>
      </w:pPr>
    </w:p>
    <w:p w14:paraId="7F1829E3" w14:textId="460CE70F" w:rsidR="006A7086" w:rsidRPr="006A7086" w:rsidRDefault="00675507" w:rsidP="006A7086">
      <w:pPr>
        <w:ind w:left="-720"/>
        <w:rPr>
          <w:b/>
          <w:bCs/>
          <w:lang w:val="fr-FR"/>
        </w:rPr>
      </w:pPr>
      <w:r w:rsidRPr="00615EA3">
        <w:rPr>
          <w:b/>
          <w:u w:val="single"/>
          <w:lang w:val="fr-FR"/>
        </w:rPr>
        <w:t xml:space="preserve">Résultat </w:t>
      </w:r>
      <w:r>
        <w:rPr>
          <w:b/>
          <w:u w:val="single"/>
          <w:lang w:val="fr-FR"/>
        </w:rPr>
        <w:t>2</w:t>
      </w:r>
      <w:r w:rsidR="00066FFE">
        <w:rPr>
          <w:b/>
          <w:u w:val="single"/>
          <w:lang w:val="fr-FR"/>
        </w:rPr>
        <w:t xml:space="preserve"> </w:t>
      </w:r>
      <w:r w:rsidRPr="00615EA3">
        <w:rPr>
          <w:b/>
          <w:u w:val="single"/>
          <w:lang w:val="fr-FR"/>
        </w:rPr>
        <w:t>:</w:t>
      </w:r>
      <w:r w:rsidRPr="00615EA3">
        <w:rPr>
          <w:b/>
          <w:lang w:val="fr-FR"/>
        </w:rPr>
        <w:t xml:space="preserve">  </w:t>
      </w:r>
      <w:r w:rsidR="006A7086" w:rsidRPr="006A7086">
        <w:rPr>
          <w:b/>
          <w:bCs/>
          <w:lang w:val="fr-FR"/>
        </w:rPr>
        <w:t>Les capacités Techniques et matérielles des services de polices sont renforcées</w:t>
      </w:r>
    </w:p>
    <w:p w14:paraId="521560B0" w14:textId="77777777" w:rsidR="00675507" w:rsidRPr="00615EA3" w:rsidRDefault="00675507" w:rsidP="006A7086">
      <w:pPr>
        <w:rPr>
          <w:b/>
          <w:lang w:val="fr-FR"/>
        </w:rPr>
      </w:pPr>
    </w:p>
    <w:p w14:paraId="192B211F" w14:textId="2BB62E9B"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C65AB4">
        <w:rPr>
          <w:rFonts w:ascii="inherit" w:hAnsi="inherit"/>
          <w:color w:val="212121"/>
          <w:lang w:val="fr-FR"/>
        </w:rPr>
        <w:t>résultat</w:t>
      </w:r>
      <w:r w:rsidR="00C65AB4" w:rsidRPr="009C39D0">
        <w:rPr>
          <w:rFonts w:ascii="inherit" w:hAnsi="inherit"/>
          <w:color w:val="212121"/>
          <w:lang w:val="fr-FR"/>
        </w:rPr>
        <w:t xml:space="preserve"> :</w:t>
      </w:r>
      <w:r w:rsidRPr="00615EA3">
        <w:rPr>
          <w:b/>
          <w:lang w:val="fr-FR"/>
        </w:rPr>
        <w:t xml:space="preserve"> </w:t>
      </w:r>
      <w:r w:rsidR="00C65AB4">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C65AB4" w:rsidRPr="001D7019">
        <w:rPr>
          <w:rFonts w:ascii="Arial Narrow" w:hAnsi="Arial Narrow"/>
          <w:b/>
          <w:sz w:val="22"/>
          <w:szCs w:val="22"/>
          <w:lang w:val="fr-FR"/>
        </w:rPr>
        <w:instrText xml:space="preserve"> FORMDROPDOWN </w:instrText>
      </w:r>
      <w:r w:rsidR="00937DBB">
        <w:rPr>
          <w:rFonts w:ascii="Arial Narrow" w:hAnsi="Arial Narrow"/>
          <w:b/>
          <w:sz w:val="22"/>
          <w:szCs w:val="22"/>
        </w:rPr>
      </w:r>
      <w:r w:rsidR="00937DBB">
        <w:rPr>
          <w:rFonts w:ascii="Arial Narrow" w:hAnsi="Arial Narrow"/>
          <w:b/>
          <w:sz w:val="22"/>
          <w:szCs w:val="22"/>
        </w:rPr>
        <w:fldChar w:fldCharType="separate"/>
      </w:r>
      <w:r w:rsidR="00C65AB4">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1FA6527E" w:rsidR="00675507" w:rsidRPr="005D15A3" w:rsidRDefault="00C65AB4"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4E8ABCB8" w14:textId="77777777" w:rsidR="00504379" w:rsidRDefault="00504379" w:rsidP="006A7086">
      <w:pPr>
        <w:ind w:left="-720"/>
        <w:jc w:val="both"/>
        <w:rPr>
          <w:lang w:val="fr-FR"/>
        </w:rPr>
      </w:pPr>
    </w:p>
    <w:p w14:paraId="0AFD9DB2" w14:textId="49F9AA49" w:rsidR="000D324E" w:rsidRPr="00E42738" w:rsidRDefault="006A7086" w:rsidP="006A7086">
      <w:pPr>
        <w:ind w:left="-720"/>
        <w:jc w:val="both"/>
        <w:rPr>
          <w:lang w:val="fr-FR"/>
        </w:rPr>
      </w:pPr>
      <w:r>
        <w:rPr>
          <w:lang w:val="fr-FR"/>
        </w:rPr>
        <w:t>Au terme de ce projet, on note globalement que ce résultat est atteint, c’est-à-dire que l</w:t>
      </w:r>
      <w:r w:rsidRPr="00E86194">
        <w:rPr>
          <w:lang w:val="fr-FR"/>
        </w:rPr>
        <w:t xml:space="preserve">es capacités </w:t>
      </w:r>
      <w:r w:rsidR="002B4474">
        <w:rPr>
          <w:lang w:val="fr-FR"/>
        </w:rPr>
        <w:t>t</w:t>
      </w:r>
      <w:r w:rsidRPr="00E86194">
        <w:rPr>
          <w:lang w:val="fr-FR"/>
        </w:rPr>
        <w:t>echniques et matérielles des services de polices sont renforcées</w:t>
      </w:r>
      <w:r>
        <w:rPr>
          <w:lang w:val="fr-FR"/>
        </w:rPr>
        <w:t>. En effet au</w:t>
      </w:r>
      <w:r w:rsidRPr="0043403A">
        <w:rPr>
          <w:lang w:val="fr-FR"/>
        </w:rPr>
        <w:t xml:space="preserve"> niveau de l’observatoire de la sécurité urbaine, les points focaux ont été formés et équipés, ce qui a </w:t>
      </w:r>
      <w:r w:rsidRPr="0043403A">
        <w:rPr>
          <w:lang w:val="fr-FR"/>
        </w:rPr>
        <w:lastRenderedPageBreak/>
        <w:t>favorisé le bon fonctionnement dudit observatoire à travers l</w:t>
      </w:r>
      <w:r w:rsidR="002B4474">
        <w:rPr>
          <w:lang w:val="fr-FR"/>
        </w:rPr>
        <w:t>a</w:t>
      </w:r>
      <w:r w:rsidRPr="0043403A">
        <w:rPr>
          <w:lang w:val="fr-FR"/>
        </w:rPr>
        <w:t xml:space="preserve"> remontée de</w:t>
      </w:r>
      <w:r w:rsidR="002B4474">
        <w:rPr>
          <w:lang w:val="fr-FR"/>
        </w:rPr>
        <w:t>s</w:t>
      </w:r>
      <w:r w:rsidRPr="0043403A">
        <w:rPr>
          <w:lang w:val="fr-FR"/>
        </w:rPr>
        <w:t xml:space="preserve"> données </w:t>
      </w:r>
      <w:r w:rsidRPr="00E42738">
        <w:rPr>
          <w:lang w:val="fr-FR"/>
        </w:rPr>
        <w:t xml:space="preserve">sécuritaires sur le </w:t>
      </w:r>
      <w:r w:rsidR="00DC07B6" w:rsidRPr="00E42738">
        <w:rPr>
          <w:lang w:val="fr-FR"/>
        </w:rPr>
        <w:t>terrain. Cet observatoire est constitué d’éléments des forces de police</w:t>
      </w:r>
      <w:r w:rsidR="00437461" w:rsidRPr="00E42738">
        <w:rPr>
          <w:lang w:val="fr-FR"/>
        </w:rPr>
        <w:t xml:space="preserve"> et de protection civile, des agents de la sécurité routière</w:t>
      </w:r>
      <w:r w:rsidR="00DC07B6" w:rsidRPr="00E42738">
        <w:rPr>
          <w:lang w:val="fr-FR"/>
        </w:rPr>
        <w:t xml:space="preserve"> et des</w:t>
      </w:r>
      <w:r w:rsidR="00437461" w:rsidRPr="00E42738">
        <w:rPr>
          <w:lang w:val="fr-FR"/>
        </w:rPr>
        <w:t xml:space="preserve"> éléments des services</w:t>
      </w:r>
      <w:r w:rsidR="00DC07B6" w:rsidRPr="00E42738">
        <w:rPr>
          <w:lang w:val="fr-FR"/>
        </w:rPr>
        <w:t xml:space="preserve"> d’urgence</w:t>
      </w:r>
      <w:r w:rsidR="00437461" w:rsidRPr="00E42738">
        <w:rPr>
          <w:lang w:val="fr-FR"/>
        </w:rPr>
        <w:t>s</w:t>
      </w:r>
      <w:r w:rsidR="00DC07B6" w:rsidRPr="00E42738">
        <w:rPr>
          <w:lang w:val="fr-FR"/>
        </w:rPr>
        <w:t xml:space="preserve"> d’hôpitaux recevant </w:t>
      </w:r>
      <w:r w:rsidR="00177FE4" w:rsidRPr="00E42738">
        <w:rPr>
          <w:lang w:val="fr-FR"/>
        </w:rPr>
        <w:t>différents cas</w:t>
      </w:r>
      <w:r w:rsidR="00DC07B6" w:rsidRPr="00E42738">
        <w:rPr>
          <w:lang w:val="fr-FR"/>
        </w:rPr>
        <w:t xml:space="preserve"> </w:t>
      </w:r>
      <w:r w:rsidR="00437461" w:rsidRPr="00E42738">
        <w:rPr>
          <w:lang w:val="fr-FR"/>
        </w:rPr>
        <w:t>non répertoriés par la police</w:t>
      </w:r>
      <w:r w:rsidR="00DC07B6" w:rsidRPr="00E42738">
        <w:rPr>
          <w:lang w:val="fr-FR"/>
        </w:rPr>
        <w:t>. Pour son fonctionnement, le</w:t>
      </w:r>
      <w:r w:rsidR="00437461" w:rsidRPr="00E42738">
        <w:rPr>
          <w:lang w:val="fr-FR"/>
        </w:rPr>
        <w:t>s données sont collectées sur</w:t>
      </w:r>
      <w:r w:rsidR="00DC07B6" w:rsidRPr="00E42738">
        <w:rPr>
          <w:lang w:val="fr-FR"/>
        </w:rPr>
        <w:t xml:space="preserve"> le </w:t>
      </w:r>
      <w:r w:rsidR="00437461" w:rsidRPr="00E42738">
        <w:rPr>
          <w:lang w:val="fr-FR"/>
        </w:rPr>
        <w:t xml:space="preserve">terrain </w:t>
      </w:r>
      <w:r w:rsidR="00177FE4" w:rsidRPr="00E42738">
        <w:rPr>
          <w:lang w:val="fr-FR"/>
        </w:rPr>
        <w:t>(hôpitaux, carrefour, route, quartier) et centralisées au niveau d’une unité centrale comportant une cellule d’analyse et d’exploitation qui oriente les services d’intervention conformément aux besoins. Ainsi la rapidité d’action des unités spécialisées commence à rassurer les citoyens dans certaines zones</w:t>
      </w:r>
      <w:r w:rsidR="000D324E" w:rsidRPr="00E42738">
        <w:rPr>
          <w:lang w:val="fr-FR"/>
        </w:rPr>
        <w:t>,</w:t>
      </w:r>
      <w:r w:rsidR="00177FE4" w:rsidRPr="00E42738">
        <w:rPr>
          <w:lang w:val="fr-FR"/>
        </w:rPr>
        <w:t xml:space="preserve"> éloignant les fauteurs</w:t>
      </w:r>
      <w:r w:rsidR="000D324E" w:rsidRPr="00E42738">
        <w:rPr>
          <w:lang w:val="fr-FR"/>
        </w:rPr>
        <w:t xml:space="preserve"> de </w:t>
      </w:r>
      <w:r w:rsidR="00E42738" w:rsidRPr="00E42738">
        <w:rPr>
          <w:lang w:val="fr-FR"/>
        </w:rPr>
        <w:t>troubles qui</w:t>
      </w:r>
      <w:r w:rsidR="00177FE4" w:rsidRPr="00E42738">
        <w:rPr>
          <w:lang w:val="fr-FR"/>
        </w:rPr>
        <w:t xml:space="preserve"> perturbent la quiétude des citoyens. </w:t>
      </w:r>
    </w:p>
    <w:p w14:paraId="7381FCEB" w14:textId="19BD3742" w:rsidR="006A7086" w:rsidRPr="00E42738" w:rsidRDefault="00177FE4" w:rsidP="006A7086">
      <w:pPr>
        <w:ind w:left="-720"/>
        <w:jc w:val="both"/>
        <w:rPr>
          <w:lang w:val="fr-FR"/>
        </w:rPr>
      </w:pPr>
      <w:r w:rsidRPr="00E42738">
        <w:rPr>
          <w:lang w:val="fr-FR"/>
        </w:rPr>
        <w:t xml:space="preserve"> </w:t>
      </w:r>
      <w:r w:rsidR="00437461" w:rsidRPr="00E42738">
        <w:rPr>
          <w:lang w:val="fr-FR"/>
        </w:rPr>
        <w:t>De</w:t>
      </w:r>
      <w:r w:rsidR="006A7086" w:rsidRPr="00E42738">
        <w:rPr>
          <w:lang w:val="fr-FR"/>
        </w:rPr>
        <w:t xml:space="preserve"> même, les capacités d’intervention de la police routière et l’Office de Protection du Genre</w:t>
      </w:r>
      <w:r w:rsidR="002B4474" w:rsidRPr="00E42738">
        <w:rPr>
          <w:lang w:val="fr-FR"/>
        </w:rPr>
        <w:t>,</w:t>
      </w:r>
      <w:r w:rsidR="006A7086" w:rsidRPr="00E42738">
        <w:rPr>
          <w:lang w:val="fr-FR"/>
        </w:rPr>
        <w:t xml:space="preserve"> de l’Enfance et des Mœurs</w:t>
      </w:r>
      <w:r w:rsidR="002B4474" w:rsidRPr="00E42738">
        <w:rPr>
          <w:lang w:val="fr-FR"/>
        </w:rPr>
        <w:t xml:space="preserve"> (OPROGEM)</w:t>
      </w:r>
      <w:r w:rsidR="006A7086" w:rsidRPr="00E42738">
        <w:rPr>
          <w:lang w:val="fr-FR"/>
        </w:rPr>
        <w:t xml:space="preserve"> </w:t>
      </w:r>
      <w:r w:rsidR="002B4474" w:rsidRPr="00E42738">
        <w:rPr>
          <w:lang w:val="fr-FR"/>
        </w:rPr>
        <w:t xml:space="preserve">ont été </w:t>
      </w:r>
      <w:r w:rsidR="006A7086" w:rsidRPr="00E42738">
        <w:rPr>
          <w:lang w:val="fr-FR"/>
        </w:rPr>
        <w:t>accrues</w:t>
      </w:r>
      <w:r w:rsidR="002B4474" w:rsidRPr="00E42738">
        <w:rPr>
          <w:lang w:val="fr-FR"/>
        </w:rPr>
        <w:t xml:space="preserve"> </w:t>
      </w:r>
      <w:r w:rsidR="006A7086" w:rsidRPr="00E42738">
        <w:rPr>
          <w:lang w:val="fr-FR"/>
        </w:rPr>
        <w:t>à travers un appui en matériel</w:t>
      </w:r>
      <w:r w:rsidR="002B4474" w:rsidRPr="00E42738">
        <w:rPr>
          <w:lang w:val="fr-FR"/>
        </w:rPr>
        <w:t xml:space="preserve">s </w:t>
      </w:r>
      <w:r w:rsidR="006A7086" w:rsidRPr="00E42738">
        <w:rPr>
          <w:lang w:val="fr-FR"/>
        </w:rPr>
        <w:t>bureautique</w:t>
      </w:r>
      <w:r w:rsidR="002B4474" w:rsidRPr="00E42738">
        <w:rPr>
          <w:lang w:val="fr-FR"/>
        </w:rPr>
        <w:t>s</w:t>
      </w:r>
      <w:r w:rsidR="006A7086" w:rsidRPr="00E42738">
        <w:rPr>
          <w:lang w:val="fr-FR"/>
        </w:rPr>
        <w:t xml:space="preserve"> </w:t>
      </w:r>
      <w:r w:rsidR="0017460D" w:rsidRPr="00E42738">
        <w:rPr>
          <w:lang w:val="fr-FR"/>
        </w:rPr>
        <w:t xml:space="preserve">pour un meilleur traitement des dossiers </w:t>
      </w:r>
      <w:r w:rsidR="006A7086" w:rsidRPr="00E42738">
        <w:rPr>
          <w:lang w:val="fr-FR"/>
        </w:rPr>
        <w:t xml:space="preserve">et la formation de 485 officiers et agents dans le cadre de l’exercice de leur </w:t>
      </w:r>
      <w:r w:rsidR="00FC4DA0" w:rsidRPr="00E42738">
        <w:rPr>
          <w:lang w:val="fr-FR"/>
        </w:rPr>
        <w:t>profession. Cette formation visait à rendre les agents plus professionnels et respectueux des citoyens qui sont régulièrement sujets de ra</w:t>
      </w:r>
      <w:r w:rsidR="007B688B" w:rsidRPr="00E42738">
        <w:rPr>
          <w:lang w:val="fr-FR"/>
        </w:rPr>
        <w:t>cket</w:t>
      </w:r>
      <w:r w:rsidR="00FC4DA0" w:rsidRPr="00E42738">
        <w:rPr>
          <w:lang w:val="fr-FR"/>
        </w:rPr>
        <w:t xml:space="preserve">, d’arbitraire, d’insolence et d’exactions de tout </w:t>
      </w:r>
      <w:r w:rsidR="007B688B" w:rsidRPr="00E42738">
        <w:rPr>
          <w:lang w:val="fr-FR"/>
        </w:rPr>
        <w:t>genre</w:t>
      </w:r>
      <w:r w:rsidR="00665DBB" w:rsidRPr="00E42738">
        <w:rPr>
          <w:lang w:val="fr-FR"/>
        </w:rPr>
        <w:t xml:space="preserve"> de la part des dits agents</w:t>
      </w:r>
      <w:r w:rsidR="007B688B" w:rsidRPr="00E42738">
        <w:rPr>
          <w:lang w:val="fr-FR"/>
        </w:rPr>
        <w:t xml:space="preserve"> engendrant</w:t>
      </w:r>
      <w:r w:rsidR="00FC4DA0" w:rsidRPr="00E42738">
        <w:rPr>
          <w:lang w:val="fr-FR"/>
        </w:rPr>
        <w:t xml:space="preserve"> ainsi des </w:t>
      </w:r>
      <w:r w:rsidR="00665DBB" w:rsidRPr="00E42738">
        <w:rPr>
          <w:lang w:val="fr-FR"/>
        </w:rPr>
        <w:t>frustrations et</w:t>
      </w:r>
      <w:r w:rsidR="00FC4DA0" w:rsidRPr="00E42738">
        <w:rPr>
          <w:lang w:val="fr-FR"/>
        </w:rPr>
        <w:t xml:space="preserve"> des conflits </w:t>
      </w:r>
      <w:r w:rsidR="007B688B" w:rsidRPr="00E42738">
        <w:rPr>
          <w:lang w:val="fr-FR"/>
        </w:rPr>
        <w:t>permanents avec</w:t>
      </w:r>
      <w:r w:rsidR="00FC4DA0" w:rsidRPr="00E42738">
        <w:rPr>
          <w:lang w:val="fr-FR"/>
        </w:rPr>
        <w:t xml:space="preserve"> </w:t>
      </w:r>
      <w:r w:rsidR="007B688B" w:rsidRPr="00E42738">
        <w:rPr>
          <w:lang w:val="fr-FR"/>
        </w:rPr>
        <w:t xml:space="preserve">cette corporation. Les conséquences de ces conflits peuvent </w:t>
      </w:r>
      <w:r w:rsidR="00665DBB" w:rsidRPr="00E42738">
        <w:rPr>
          <w:lang w:val="fr-FR"/>
        </w:rPr>
        <w:t xml:space="preserve">parfois </w:t>
      </w:r>
      <w:r w:rsidR="007B688B" w:rsidRPr="00E42738">
        <w:rPr>
          <w:lang w:val="fr-FR"/>
        </w:rPr>
        <w:t xml:space="preserve">s’étendre à tout une zone avec des dégâts matériels et </w:t>
      </w:r>
      <w:r w:rsidR="00665DBB" w:rsidRPr="00E42738">
        <w:rPr>
          <w:lang w:val="fr-FR"/>
        </w:rPr>
        <w:t>humains. Le projet agissant sur le savoir et savoir faire des officiers et agents apporte une des solutions au rétablissement de la confiance des citoyens à cette catégorie de la Police</w:t>
      </w:r>
      <w:r w:rsidR="0023194B" w:rsidRPr="00E42738">
        <w:rPr>
          <w:lang w:val="fr-FR"/>
        </w:rPr>
        <w:t xml:space="preserve"> et</w:t>
      </w:r>
      <w:r w:rsidR="00665DBB" w:rsidRPr="00E42738">
        <w:rPr>
          <w:lang w:val="fr-FR"/>
        </w:rPr>
        <w:t xml:space="preserve"> </w:t>
      </w:r>
      <w:r w:rsidR="0023194B" w:rsidRPr="00E42738">
        <w:rPr>
          <w:lang w:val="fr-FR"/>
        </w:rPr>
        <w:t>contribuant ainsi à l’apaisement du climat social</w:t>
      </w:r>
      <w:r w:rsidR="00665DBB" w:rsidRPr="00E42738">
        <w:rPr>
          <w:lang w:val="fr-FR"/>
        </w:rPr>
        <w:t>.</w:t>
      </w:r>
    </w:p>
    <w:p w14:paraId="5CD0C765" w14:textId="15733F31" w:rsidR="006A7086" w:rsidRPr="0043403A" w:rsidRDefault="006A7086" w:rsidP="006A7086">
      <w:pPr>
        <w:ind w:left="-720"/>
        <w:jc w:val="both"/>
        <w:rPr>
          <w:lang w:val="fr-FR"/>
        </w:rPr>
      </w:pPr>
      <w:r w:rsidRPr="00E42738">
        <w:rPr>
          <w:lang w:val="fr-FR"/>
        </w:rPr>
        <w:t>Aussi</w:t>
      </w:r>
      <w:r w:rsidR="002B4474" w:rsidRPr="00E42738">
        <w:rPr>
          <w:lang w:val="fr-FR"/>
        </w:rPr>
        <w:t>,</w:t>
      </w:r>
      <w:r w:rsidRPr="00E42738">
        <w:rPr>
          <w:lang w:val="fr-FR"/>
        </w:rPr>
        <w:t xml:space="preserve"> le renforcement des structures de contrôle internes s’est traduit par la révision du cadre </w:t>
      </w:r>
      <w:r w:rsidR="002B4474" w:rsidRPr="00E42738">
        <w:rPr>
          <w:lang w:val="fr-FR"/>
        </w:rPr>
        <w:t>règlementaire</w:t>
      </w:r>
      <w:r w:rsidRPr="00E42738">
        <w:rPr>
          <w:lang w:val="fr-FR"/>
        </w:rPr>
        <w:t xml:space="preserve"> et des outils de l’Inspection Générale des Services de Sécurité</w:t>
      </w:r>
      <w:r w:rsidR="00063D78" w:rsidRPr="00E42738">
        <w:rPr>
          <w:lang w:val="fr-FR"/>
        </w:rPr>
        <w:t xml:space="preserve"> (</w:t>
      </w:r>
      <w:r w:rsidR="0017460D" w:rsidRPr="00E42738">
        <w:rPr>
          <w:lang w:val="fr-FR"/>
        </w:rPr>
        <w:t xml:space="preserve">En exemple le projet décret </w:t>
      </w:r>
      <w:r w:rsidR="00241946" w:rsidRPr="00E42738">
        <w:rPr>
          <w:lang w:val="fr-FR"/>
        </w:rPr>
        <w:t>régissant l’inspection générale a été élaboré et validé, vingt-quatre outils de collecte d’information amendé et validé ainsi que deux fiches sur le suivi du maintien d’ordre élaborée</w:t>
      </w:r>
      <w:r w:rsidR="00063D78" w:rsidRPr="00E42738">
        <w:rPr>
          <w:lang w:val="fr-FR"/>
        </w:rPr>
        <w:t>)</w:t>
      </w:r>
      <w:r w:rsidRPr="00E42738">
        <w:rPr>
          <w:lang w:val="fr-FR"/>
        </w:rPr>
        <w:t>.</w:t>
      </w:r>
    </w:p>
    <w:p w14:paraId="507E49A1" w14:textId="67D7A650" w:rsidR="006A7086" w:rsidRPr="0043403A" w:rsidRDefault="006A7086" w:rsidP="006A7086">
      <w:pPr>
        <w:ind w:left="-720"/>
        <w:jc w:val="both"/>
        <w:rPr>
          <w:lang w:val="fr-FR"/>
        </w:rPr>
      </w:pPr>
      <w:r w:rsidRPr="0043403A">
        <w:rPr>
          <w:lang w:val="fr-FR"/>
        </w:rPr>
        <w:t xml:space="preserve">Par la suite, 25 cadres </w:t>
      </w:r>
      <w:r w:rsidR="00063D78">
        <w:rPr>
          <w:lang w:val="fr-FR"/>
        </w:rPr>
        <w:t xml:space="preserve">administratifs </w:t>
      </w:r>
      <w:r w:rsidRPr="0043403A">
        <w:rPr>
          <w:lang w:val="fr-FR"/>
        </w:rPr>
        <w:t>de l’inspection générale des services de sécurité ont été outillés sur les techniques de contrôle et d’audit</w:t>
      </w:r>
      <w:r w:rsidR="00063D78">
        <w:rPr>
          <w:lang w:val="fr-FR"/>
        </w:rPr>
        <w:t>,</w:t>
      </w:r>
      <w:r w:rsidRPr="0043403A">
        <w:rPr>
          <w:lang w:val="fr-FR"/>
        </w:rPr>
        <w:t xml:space="preserve"> pour assurer un contrôle permanent des services.</w:t>
      </w:r>
    </w:p>
    <w:p w14:paraId="17DB7A76" w14:textId="27559621" w:rsidR="006A7086" w:rsidRPr="0043403A" w:rsidRDefault="006A7086" w:rsidP="006A7086">
      <w:pPr>
        <w:ind w:left="-720"/>
        <w:jc w:val="both"/>
        <w:rPr>
          <w:lang w:val="fr-FR"/>
        </w:rPr>
      </w:pPr>
      <w:r>
        <w:rPr>
          <w:lang w:val="fr-FR"/>
        </w:rPr>
        <w:t>Par ailleurs</w:t>
      </w:r>
      <w:r w:rsidR="00063D78">
        <w:rPr>
          <w:lang w:val="fr-FR"/>
        </w:rPr>
        <w:t>,</w:t>
      </w:r>
      <w:r>
        <w:rPr>
          <w:lang w:val="fr-FR"/>
        </w:rPr>
        <w:t xml:space="preserve"> l</w:t>
      </w:r>
      <w:r w:rsidRPr="0043403A">
        <w:rPr>
          <w:lang w:val="fr-FR"/>
        </w:rPr>
        <w:t xml:space="preserve">es unités de sécurité déployées dans le cadre de la lutte contre le </w:t>
      </w:r>
      <w:r w:rsidR="00504379">
        <w:rPr>
          <w:lang w:val="fr-FR"/>
        </w:rPr>
        <w:t>COVID</w:t>
      </w:r>
      <w:r w:rsidRPr="0043403A">
        <w:rPr>
          <w:lang w:val="fr-FR"/>
        </w:rPr>
        <w:t>19 ont bénéficié de la formation et des équipements de protection pour empêcher les forces</w:t>
      </w:r>
      <w:r w:rsidR="00063D78">
        <w:rPr>
          <w:lang w:val="fr-FR"/>
        </w:rPr>
        <w:t xml:space="preserve"> de police de devenir</w:t>
      </w:r>
      <w:r w:rsidRPr="0043403A">
        <w:rPr>
          <w:lang w:val="fr-FR"/>
        </w:rPr>
        <w:t xml:space="preserve"> des vecteurs de propagation de la pandémie. </w:t>
      </w:r>
    </w:p>
    <w:p w14:paraId="51D5DD53" w14:textId="77777777" w:rsidR="00675507" w:rsidRPr="006A7086" w:rsidRDefault="00675507" w:rsidP="00C65AB4">
      <w:pPr>
        <w:rPr>
          <w:b/>
          <w:lang w:val="fr-FR"/>
        </w:rPr>
      </w:pPr>
    </w:p>
    <w:p w14:paraId="14989312" w14:textId="04B51530" w:rsidR="00675507" w:rsidRPr="004F6810" w:rsidRDefault="00675507" w:rsidP="00675507">
      <w:pPr>
        <w:ind w:left="-720"/>
        <w:rPr>
          <w:i/>
          <w:iCs/>
          <w:lang w:val="fr-FR"/>
        </w:rPr>
      </w:pPr>
      <w:r w:rsidRPr="004F6810">
        <w:rPr>
          <w:i/>
          <w:i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C65AB4" w:rsidRPr="004F6810">
        <w:rPr>
          <w:i/>
          <w:iCs/>
          <w:color w:val="000000"/>
          <w:lang w:val="fr-FR" w:eastAsia="en-US"/>
        </w:rPr>
        <w:t>résultat</w:t>
      </w:r>
      <w:r w:rsidR="00C65AB4" w:rsidRPr="004F6810">
        <w:rPr>
          <w:i/>
          <w:iCs/>
          <w:lang w:val="fr-FR"/>
        </w:rPr>
        <w:t xml:space="preserve"> :</w:t>
      </w:r>
      <w:r w:rsidRPr="004F6810">
        <w:rPr>
          <w:i/>
          <w:iCs/>
          <w:lang w:val="fr-FR"/>
        </w:rPr>
        <w:t xml:space="preserve"> (</w:t>
      </w:r>
      <w:r w:rsidRPr="004F6810">
        <w:rPr>
          <w:rFonts w:ascii="inherit" w:hAnsi="inherit"/>
          <w:i/>
          <w:iCs/>
          <w:color w:val="212121"/>
          <w:lang w:val="fr-FR"/>
        </w:rPr>
        <w:t>Limite de 1000 caractères</w:t>
      </w:r>
      <w:r w:rsidRPr="004F6810">
        <w:rPr>
          <w:i/>
          <w:iCs/>
          <w:lang w:val="fr-FR"/>
        </w:rPr>
        <w:t>)</w:t>
      </w:r>
    </w:p>
    <w:p w14:paraId="53E9BF73" w14:textId="77777777" w:rsidR="004F6810" w:rsidRDefault="004F6810" w:rsidP="00C65AB4">
      <w:pPr>
        <w:ind w:left="-720"/>
        <w:jc w:val="both"/>
        <w:rPr>
          <w:lang w:val="fr-FR"/>
        </w:rPr>
      </w:pPr>
    </w:p>
    <w:p w14:paraId="4B7BC643" w14:textId="0D694463" w:rsidR="00C65AB4" w:rsidRPr="0043403A" w:rsidRDefault="00C65AB4" w:rsidP="00C65AB4">
      <w:pPr>
        <w:ind w:left="-720"/>
        <w:jc w:val="both"/>
        <w:rPr>
          <w:lang w:val="fr-FR"/>
        </w:rPr>
      </w:pPr>
      <w:r w:rsidRPr="0043403A">
        <w:rPr>
          <w:lang w:val="fr-FR"/>
        </w:rPr>
        <w:t>La formation de 35 officiers de police judiciaire de l’OPPROGEM des régions administratives de Mamou et de Labé a</w:t>
      </w:r>
      <w:r w:rsidR="00063D78">
        <w:rPr>
          <w:lang w:val="fr-FR"/>
        </w:rPr>
        <w:t>,</w:t>
      </w:r>
      <w:r w:rsidRPr="0043403A">
        <w:rPr>
          <w:lang w:val="fr-FR"/>
        </w:rPr>
        <w:t xml:space="preserve"> contribué à la lutte contre les violences basées sur le genre </w:t>
      </w:r>
      <w:r w:rsidR="00063D78">
        <w:rPr>
          <w:lang w:val="fr-FR"/>
        </w:rPr>
        <w:t xml:space="preserve">dans ces régions </w:t>
      </w:r>
      <w:r w:rsidRPr="0043403A">
        <w:rPr>
          <w:lang w:val="fr-FR"/>
        </w:rPr>
        <w:t xml:space="preserve">à travers la qualification des faits. </w:t>
      </w:r>
    </w:p>
    <w:p w14:paraId="6671D8FF" w14:textId="165DE4E1" w:rsidR="00C65AB4" w:rsidRPr="0043403A" w:rsidRDefault="00C65AB4" w:rsidP="00C65AB4">
      <w:pPr>
        <w:ind w:left="-720"/>
        <w:jc w:val="both"/>
        <w:rPr>
          <w:lang w:val="fr-FR"/>
        </w:rPr>
      </w:pPr>
      <w:r w:rsidRPr="0043403A">
        <w:rPr>
          <w:lang w:val="fr-FR"/>
        </w:rPr>
        <w:t xml:space="preserve"> </w:t>
      </w:r>
      <w:r w:rsidR="00063D78">
        <w:rPr>
          <w:lang w:val="fr-FR"/>
        </w:rPr>
        <w:t>Il y</w:t>
      </w:r>
      <w:r w:rsidR="00962071">
        <w:rPr>
          <w:lang w:val="fr-FR"/>
        </w:rPr>
        <w:t>’</w:t>
      </w:r>
      <w:r w:rsidR="00063D78">
        <w:rPr>
          <w:lang w:val="fr-FR"/>
        </w:rPr>
        <w:t>a lieu d’indiqué, que l</w:t>
      </w:r>
      <w:r w:rsidRPr="0043403A">
        <w:rPr>
          <w:lang w:val="fr-FR"/>
        </w:rPr>
        <w:t>es équipements de soutien bureautique visent aussi à assurer un service de qualité au niveau de la Direction générale de l’OPROGEM pour un meilleur traitement et documentation des cas de VBG.</w:t>
      </w:r>
    </w:p>
    <w:p w14:paraId="389E949D" w14:textId="53EC69D4" w:rsidR="00C65AB4" w:rsidRPr="0043403A" w:rsidRDefault="00C65AB4" w:rsidP="00C65AB4">
      <w:pPr>
        <w:ind w:left="-720"/>
        <w:jc w:val="both"/>
        <w:rPr>
          <w:lang w:val="fr-FR"/>
        </w:rPr>
      </w:pPr>
      <w:r w:rsidRPr="0043403A">
        <w:rPr>
          <w:lang w:val="fr-FR"/>
        </w:rPr>
        <w:t>Les structures féminines comme la CONAG-DCF</w:t>
      </w:r>
      <w:r w:rsidR="00063D78">
        <w:rPr>
          <w:lang w:val="fr-FR"/>
        </w:rPr>
        <w:t>,</w:t>
      </w:r>
      <w:r w:rsidRPr="0043403A">
        <w:rPr>
          <w:lang w:val="fr-FR"/>
        </w:rPr>
        <w:t xml:space="preserve"> à travers les points focaux ont été formées et travaillent de concert avec les structures de</w:t>
      </w:r>
      <w:r w:rsidR="00063D78">
        <w:rPr>
          <w:lang w:val="fr-FR"/>
        </w:rPr>
        <w:t>s</w:t>
      </w:r>
      <w:r w:rsidRPr="0043403A">
        <w:rPr>
          <w:lang w:val="fr-FR"/>
        </w:rPr>
        <w:t xml:space="preserve"> force</w:t>
      </w:r>
      <w:r w:rsidR="00063D78">
        <w:rPr>
          <w:lang w:val="fr-FR"/>
        </w:rPr>
        <w:t>s</w:t>
      </w:r>
      <w:r w:rsidRPr="0043403A">
        <w:rPr>
          <w:lang w:val="fr-FR"/>
        </w:rPr>
        <w:t xml:space="preserve"> de sécurité dans le cadre de la protection du genre.</w:t>
      </w:r>
    </w:p>
    <w:p w14:paraId="3C4ECBD1" w14:textId="63F1BA0F" w:rsidR="00675507" w:rsidRPr="00C65AB4" w:rsidRDefault="00675507" w:rsidP="00675507">
      <w:pPr>
        <w:ind w:left="-720"/>
        <w:rPr>
          <w:b/>
          <w:lang w:val="fr-FR"/>
        </w:rPr>
      </w:pPr>
    </w:p>
    <w:p w14:paraId="35EDE632" w14:textId="77777777" w:rsidR="00627A1C" w:rsidRPr="00C65AB4" w:rsidRDefault="00627A1C" w:rsidP="00627A1C">
      <w:pPr>
        <w:ind w:left="-720"/>
        <w:rPr>
          <w:b/>
          <w:lang w:val="fr-FR"/>
        </w:rPr>
      </w:pPr>
    </w:p>
    <w:p w14:paraId="02A4DAC5" w14:textId="1E2365DF"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C65AB4" w:rsidRPr="00426FE9">
        <w:rPr>
          <w:b/>
          <w:lang w:val="fr-FR"/>
        </w:rPr>
        <w:t>NA</w:t>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937DBB">
        <w:rPr>
          <w:rFonts w:ascii="Arial Narrow" w:hAnsi="Arial Narrow"/>
          <w:b/>
          <w:sz w:val="22"/>
          <w:szCs w:val="22"/>
        </w:rPr>
      </w:r>
      <w:r w:rsidR="00937DBB">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266E66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BC2B79">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BC2B79" w:rsidRPr="00BC2B79">
        <w:rPr>
          <w:rFonts w:ascii="Arial Narrow" w:hAnsi="Arial Narrow"/>
          <w:b/>
          <w:sz w:val="22"/>
          <w:szCs w:val="22"/>
          <w:lang w:val="fr-FR"/>
        </w:rPr>
        <w:instrText xml:space="preserve"> FORMDROPDOWN </w:instrText>
      </w:r>
      <w:r w:rsidR="00937DBB">
        <w:rPr>
          <w:rFonts w:ascii="Arial Narrow" w:hAnsi="Arial Narrow"/>
          <w:b/>
          <w:sz w:val="22"/>
          <w:szCs w:val="22"/>
        </w:rPr>
      </w:r>
      <w:r w:rsidR="00937DBB">
        <w:rPr>
          <w:rFonts w:ascii="Arial Narrow" w:hAnsi="Arial Narrow"/>
          <w:b/>
          <w:sz w:val="22"/>
          <w:szCs w:val="22"/>
        </w:rPr>
        <w:fldChar w:fldCharType="separate"/>
      </w:r>
      <w:r w:rsidR="00BC2B79">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4042132A"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4B6B52" w:rsidRPr="005D15A3">
        <w:rPr>
          <w:b/>
          <w:bCs/>
          <w:color w:val="000000"/>
          <w:lang w:val="fr-FR" w:eastAsia="en-US"/>
        </w:rPr>
        <w:t>résultat</w:t>
      </w:r>
      <w:r w:rsidR="004B6B52"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330C84" w14:paraId="3278E054" w14:textId="77777777" w:rsidTr="007F7257">
        <w:tc>
          <w:tcPr>
            <w:tcW w:w="4230" w:type="dxa"/>
            <w:shd w:val="clear" w:color="auto" w:fill="auto"/>
          </w:tcPr>
          <w:p w14:paraId="1A9F4B35" w14:textId="68404F16" w:rsidR="007118F5" w:rsidRPr="005C7C0C" w:rsidRDefault="00426FE9" w:rsidP="00234A5E">
            <w:pPr>
              <w:rPr>
                <w:i/>
                <w:iCs/>
                <w:lang w:val="fr-FR"/>
              </w:rPr>
            </w:pPr>
            <w:r w:rsidRPr="005C7C0C">
              <w:rPr>
                <w:b/>
                <w:bCs/>
                <w:i/>
                <w:iCs/>
                <w:u w:val="single"/>
                <w:lang w:val="fr-FR"/>
              </w:rPr>
              <w:t>Suivi</w:t>
            </w:r>
            <w:r w:rsidRPr="005C7C0C">
              <w:rPr>
                <w:b/>
                <w:bCs/>
                <w:i/>
                <w:iCs/>
                <w:lang w:val="fr-FR"/>
              </w:rPr>
              <w:t xml:space="preserve"> :</w:t>
            </w:r>
            <w:r w:rsidR="00513612" w:rsidRPr="005C7C0C">
              <w:rPr>
                <w:b/>
                <w:bCs/>
                <w:i/>
                <w:iCs/>
                <w:lang w:val="fr-FR"/>
              </w:rPr>
              <w:t xml:space="preserve"> </w:t>
            </w:r>
            <w:r w:rsidR="00675507" w:rsidRPr="005C7C0C">
              <w:rPr>
                <w:i/>
                <w:iCs/>
                <w:lang w:val="fr-FR"/>
              </w:rPr>
              <w:t>Indiquez les activités de suivi conduites dans la période du rapport</w:t>
            </w:r>
            <w:r w:rsidR="007118F5" w:rsidRPr="005C7C0C">
              <w:rPr>
                <w:i/>
                <w:iCs/>
                <w:lang w:val="fr-FR"/>
              </w:rPr>
              <w:t xml:space="preserve"> (</w:t>
            </w:r>
            <w:r w:rsidR="00675507" w:rsidRPr="005C7C0C">
              <w:rPr>
                <w:i/>
                <w:iCs/>
                <w:lang w:val="fr-FR"/>
              </w:rPr>
              <w:t>Limite de 1000 caractères)</w:t>
            </w:r>
          </w:p>
          <w:p w14:paraId="2B8A2D92" w14:textId="5A60CECC" w:rsidR="00426FE9" w:rsidRPr="00447836" w:rsidRDefault="00426FE9" w:rsidP="00426FE9">
            <w:pPr>
              <w:rPr>
                <w:i/>
                <w:lang w:val="fr-FR"/>
              </w:rPr>
            </w:pPr>
            <w:r>
              <w:rPr>
                <w:i/>
                <w:lang w:val="fr-FR"/>
              </w:rPr>
              <w:t xml:space="preserve"> </w:t>
            </w:r>
          </w:p>
          <w:p w14:paraId="6F0316B9" w14:textId="5F2E7C82" w:rsidR="00426FE9" w:rsidRPr="00447836" w:rsidRDefault="00426FE9" w:rsidP="00426FE9">
            <w:pPr>
              <w:rPr>
                <w:i/>
                <w:lang w:val="fr-FR"/>
              </w:rPr>
            </w:pPr>
            <w:r w:rsidRPr="00447836">
              <w:rPr>
                <w:i/>
                <w:lang w:val="fr-FR"/>
              </w:rPr>
              <w:t xml:space="preserve"> </w:t>
            </w:r>
            <w:r>
              <w:rPr>
                <w:i/>
                <w:lang w:val="fr-FR"/>
              </w:rPr>
              <w:t xml:space="preserve">La </w:t>
            </w:r>
            <w:r w:rsidR="00063D78">
              <w:rPr>
                <w:i/>
                <w:lang w:val="fr-FR"/>
              </w:rPr>
              <w:t>réalisation</w:t>
            </w:r>
            <w:r w:rsidRPr="00447836">
              <w:rPr>
                <w:i/>
                <w:lang w:val="fr-FR"/>
              </w:rPr>
              <w:t xml:space="preserve"> de quatre réunions de </w:t>
            </w:r>
            <w:r w:rsidR="00063D78">
              <w:rPr>
                <w:i/>
                <w:lang w:val="fr-FR"/>
              </w:rPr>
              <w:t xml:space="preserve">comité de pilotage </w:t>
            </w:r>
            <w:r w:rsidR="00AC4F6A">
              <w:rPr>
                <w:i/>
                <w:lang w:val="fr-FR"/>
              </w:rPr>
              <w:t xml:space="preserve">avec </w:t>
            </w:r>
            <w:r w:rsidRPr="00447836">
              <w:rPr>
                <w:i/>
                <w:lang w:val="fr-FR"/>
              </w:rPr>
              <w:t xml:space="preserve">présentation des </w:t>
            </w:r>
            <w:r w:rsidR="00063D78">
              <w:rPr>
                <w:i/>
                <w:lang w:val="fr-FR"/>
              </w:rPr>
              <w:t>r</w:t>
            </w:r>
            <w:r w:rsidRPr="00447836">
              <w:rPr>
                <w:i/>
                <w:lang w:val="fr-FR"/>
              </w:rPr>
              <w:t>ésultats des activités</w:t>
            </w:r>
            <w:r>
              <w:rPr>
                <w:i/>
                <w:lang w:val="fr-FR"/>
              </w:rPr>
              <w:t>, les réunions de présentations de résultats</w:t>
            </w:r>
            <w:r w:rsidR="00AC4F6A">
              <w:rPr>
                <w:i/>
                <w:lang w:val="fr-FR"/>
              </w:rPr>
              <w:t xml:space="preserve"> lors des comités techniques,</w:t>
            </w:r>
            <w:r>
              <w:rPr>
                <w:i/>
                <w:lang w:val="fr-FR"/>
              </w:rPr>
              <w:t xml:space="preserve"> des </w:t>
            </w:r>
            <w:r w:rsidR="004D735E">
              <w:rPr>
                <w:i/>
                <w:lang w:val="fr-FR"/>
              </w:rPr>
              <w:t xml:space="preserve">rapports </w:t>
            </w:r>
            <w:r w:rsidR="00AC4F6A">
              <w:rPr>
                <w:i/>
                <w:lang w:val="fr-FR"/>
              </w:rPr>
              <w:t xml:space="preserve">techniques et financiers </w:t>
            </w:r>
            <w:r w:rsidR="004D735E">
              <w:rPr>
                <w:i/>
                <w:lang w:val="fr-FR"/>
              </w:rPr>
              <w:t>au</w:t>
            </w:r>
            <w:r>
              <w:rPr>
                <w:i/>
                <w:lang w:val="fr-FR"/>
              </w:rPr>
              <w:t xml:space="preserve"> secrétariat du PBF, les sessions de validation des études avec les différents acteurs</w:t>
            </w:r>
            <w:r w:rsidR="00AC4F6A">
              <w:rPr>
                <w:i/>
                <w:lang w:val="fr-FR"/>
              </w:rPr>
              <w:t xml:space="preserve"> en particulier de la partie nationale</w:t>
            </w:r>
            <w:r>
              <w:rPr>
                <w:i/>
                <w:lang w:val="fr-FR"/>
              </w:rPr>
              <w:t xml:space="preserve"> et des missions d’encadrement des activités sont essentiellement</w:t>
            </w:r>
            <w:r w:rsidR="004D735E">
              <w:rPr>
                <w:i/>
                <w:lang w:val="fr-FR"/>
              </w:rPr>
              <w:t xml:space="preserve"> les points d’ancrage des activités de suivi.</w:t>
            </w:r>
          </w:p>
          <w:p w14:paraId="7A657819" w14:textId="62A9EA30" w:rsidR="00997347" w:rsidRPr="00426FE9" w:rsidRDefault="006C1819" w:rsidP="00234A5E">
            <w:pPr>
              <w:rPr>
                <w:i/>
                <w:lang w:val="fr-FR"/>
              </w:rPr>
            </w:pPr>
            <w:r w:rsidRPr="00426FE9">
              <w:rPr>
                <w:i/>
                <w:lang w:val="fr-FR"/>
              </w:rPr>
              <w:t xml:space="preserve"> </w:t>
            </w:r>
          </w:p>
          <w:p w14:paraId="21BD62AD" w14:textId="77777777" w:rsidR="007118F5" w:rsidRPr="00426FE9" w:rsidRDefault="007118F5" w:rsidP="00234A5E">
            <w:pPr>
              <w:rPr>
                <w:lang w:val="fr-FR"/>
              </w:rPr>
            </w:pPr>
          </w:p>
        </w:tc>
        <w:tc>
          <w:tcPr>
            <w:tcW w:w="5940" w:type="dxa"/>
            <w:shd w:val="clear" w:color="auto" w:fill="auto"/>
          </w:tcPr>
          <w:p w14:paraId="797F499B" w14:textId="1E27BFD2" w:rsidR="00997347" w:rsidRPr="00675507" w:rsidRDefault="00675507" w:rsidP="00AD73D3">
            <w:pPr>
              <w:rPr>
                <w:lang w:val="fr-FR"/>
              </w:rPr>
            </w:pPr>
            <w:r w:rsidRPr="00675507">
              <w:rPr>
                <w:lang w:val="fr-FR"/>
              </w:rPr>
              <w:t xml:space="preserve">Est-ce que les indicateurs des résultats ont des bases de </w:t>
            </w:r>
            <w:r w:rsidR="00426FE9" w:rsidRPr="00675507">
              <w:rPr>
                <w:lang w:val="fr-FR"/>
              </w:rPr>
              <w:t>référe</w:t>
            </w:r>
            <w:r w:rsidR="00426FE9">
              <w:rPr>
                <w:lang w:val="fr-FR"/>
              </w:rPr>
              <w:t>nce</w:t>
            </w:r>
            <w:r w:rsidR="00426FE9" w:rsidRPr="00675507">
              <w:rPr>
                <w:lang w:val="fr-FR"/>
              </w:rPr>
              <w:t xml:space="preserve"> ?</w:t>
            </w:r>
            <w:r w:rsidR="007118F5" w:rsidRPr="00675507">
              <w:rPr>
                <w:lang w:val="fr-FR"/>
              </w:rPr>
              <w:t xml:space="preserve"> </w:t>
            </w:r>
            <w:r w:rsidR="00426FE9" w:rsidRPr="00426FE9">
              <w:rPr>
                <w:b/>
                <w:bCs/>
                <w:lang w:val="fr-FR"/>
              </w:rPr>
              <w:t>Ou</w:t>
            </w:r>
            <w:r w:rsidR="00426FE9">
              <w:rPr>
                <w:lang w:val="fr-FR"/>
              </w:rPr>
              <w:t>i</w:t>
            </w:r>
          </w:p>
          <w:p w14:paraId="2337B972" w14:textId="77777777" w:rsidR="007118F5" w:rsidRPr="00675507" w:rsidRDefault="007118F5" w:rsidP="00AD73D3">
            <w:pPr>
              <w:rPr>
                <w:lang w:val="fr-FR"/>
              </w:rPr>
            </w:pPr>
          </w:p>
          <w:p w14:paraId="2BD37B90" w14:textId="77777777" w:rsidR="007118F5" w:rsidRPr="00E10BD3" w:rsidRDefault="00675507" w:rsidP="00AD73D3">
            <w:pPr>
              <w:rPr>
                <w:b/>
                <w:bCs/>
                <w:lang w:val="fr-FR"/>
              </w:rPr>
            </w:pPr>
            <w:r w:rsidRPr="00675507">
              <w:rPr>
                <w:lang w:val="fr-FR"/>
              </w:rPr>
              <w:t xml:space="preserve">Le projet a-t-il lancé des enquêtes de perception ou d'autres collectes de données </w:t>
            </w:r>
            <w:r w:rsidR="00426FE9" w:rsidRPr="00675507">
              <w:rPr>
                <w:lang w:val="fr-FR"/>
              </w:rPr>
              <w:t>communautaires ?</w:t>
            </w:r>
            <w:r w:rsidR="007118F5" w:rsidRPr="00675507">
              <w:rPr>
                <w:lang w:val="fr-FR"/>
              </w:rPr>
              <w:t xml:space="preserve"> </w:t>
            </w:r>
            <w:r w:rsidR="00426FE9" w:rsidRPr="00E10BD3">
              <w:rPr>
                <w:b/>
                <w:bCs/>
                <w:lang w:val="fr-FR"/>
              </w:rPr>
              <w:t>Oui</w:t>
            </w:r>
          </w:p>
          <w:p w14:paraId="346FAC6F" w14:textId="357B7A61" w:rsidR="00426FE9" w:rsidRPr="00447836" w:rsidRDefault="00426FE9" w:rsidP="00426FE9">
            <w:pPr>
              <w:rPr>
                <w:i/>
                <w:lang w:val="fr-FR"/>
              </w:rPr>
            </w:pPr>
            <w:r w:rsidRPr="00447836">
              <w:rPr>
                <w:i/>
                <w:lang w:val="fr-FR"/>
              </w:rPr>
              <w:t xml:space="preserve">Deux études ont été menées dont </w:t>
            </w:r>
            <w:r w:rsidR="00063D78">
              <w:rPr>
                <w:i/>
                <w:lang w:val="fr-FR"/>
              </w:rPr>
              <w:t>la 1</w:t>
            </w:r>
            <w:r w:rsidR="00063D78" w:rsidRPr="00063D78">
              <w:rPr>
                <w:i/>
                <w:vertAlign w:val="superscript"/>
                <w:lang w:val="fr-FR"/>
              </w:rPr>
              <w:t>ère</w:t>
            </w:r>
            <w:r w:rsidR="00063D78">
              <w:rPr>
                <w:i/>
                <w:lang w:val="fr-FR"/>
              </w:rPr>
              <w:t xml:space="preserve"> sur la</w:t>
            </w:r>
            <w:r w:rsidRPr="00447836">
              <w:rPr>
                <w:i/>
                <w:lang w:val="fr-FR"/>
              </w:rPr>
              <w:t xml:space="preserve"> perception</w:t>
            </w:r>
            <w:r w:rsidR="00063D78">
              <w:rPr>
                <w:i/>
                <w:lang w:val="fr-FR"/>
              </w:rPr>
              <w:t xml:space="preserve"> des acteurs au</w:t>
            </w:r>
            <w:r>
              <w:rPr>
                <w:i/>
                <w:lang w:val="fr-FR"/>
              </w:rPr>
              <w:t xml:space="preserve"> démarrage du projet</w:t>
            </w:r>
            <w:r w:rsidRPr="00447836">
              <w:rPr>
                <w:i/>
                <w:lang w:val="fr-FR"/>
              </w:rPr>
              <w:t xml:space="preserve"> et l’autre sur les déterminants urbanistiques. Les rapports ont été présentés au département et au PBF</w:t>
            </w:r>
            <w:r>
              <w:rPr>
                <w:i/>
                <w:lang w:val="fr-FR"/>
              </w:rPr>
              <w:t xml:space="preserve">.A cette phase de clôture, </w:t>
            </w:r>
            <w:r w:rsidR="00323DE0">
              <w:rPr>
                <w:i/>
                <w:lang w:val="fr-FR"/>
              </w:rPr>
              <w:t xml:space="preserve">l’étude de perception de fin de projet a été mené et a permis </w:t>
            </w:r>
            <w:r>
              <w:rPr>
                <w:i/>
                <w:lang w:val="fr-FR"/>
              </w:rPr>
              <w:t xml:space="preserve">de mesurer </w:t>
            </w:r>
            <w:proofErr w:type="gramStart"/>
            <w:r>
              <w:rPr>
                <w:i/>
                <w:lang w:val="fr-FR"/>
              </w:rPr>
              <w:t>le</w:t>
            </w:r>
            <w:r w:rsidR="00323DE0">
              <w:rPr>
                <w:i/>
                <w:lang w:val="fr-FR"/>
              </w:rPr>
              <w:t>s</w:t>
            </w:r>
            <w:r>
              <w:rPr>
                <w:i/>
                <w:lang w:val="fr-FR"/>
              </w:rPr>
              <w:t xml:space="preserve"> progrès accompli</w:t>
            </w:r>
            <w:proofErr w:type="gramEnd"/>
            <w:r>
              <w:rPr>
                <w:i/>
                <w:lang w:val="fr-FR"/>
              </w:rPr>
              <w:t xml:space="preserve"> </w:t>
            </w:r>
            <w:r w:rsidR="00323DE0">
              <w:rPr>
                <w:i/>
                <w:lang w:val="fr-FR"/>
              </w:rPr>
              <w:t>par le projet.</w:t>
            </w:r>
            <w:r>
              <w:rPr>
                <w:i/>
                <w:lang w:val="fr-FR"/>
              </w:rPr>
              <w:t xml:space="preserve"> </w:t>
            </w:r>
          </w:p>
          <w:p w14:paraId="2BD200E3" w14:textId="13DD4CAE" w:rsidR="00426FE9" w:rsidRPr="00675507" w:rsidRDefault="00426FE9" w:rsidP="00AD73D3">
            <w:pPr>
              <w:rPr>
                <w:lang w:val="fr-FR"/>
              </w:rPr>
            </w:pPr>
          </w:p>
        </w:tc>
      </w:tr>
      <w:tr w:rsidR="006C1819" w:rsidRPr="00330C84" w14:paraId="36A88C83" w14:textId="77777777" w:rsidTr="007F7257">
        <w:tc>
          <w:tcPr>
            <w:tcW w:w="4230" w:type="dxa"/>
            <w:shd w:val="clear" w:color="auto" w:fill="auto"/>
          </w:tcPr>
          <w:p w14:paraId="6242C484" w14:textId="6B0EBD66" w:rsidR="006C1819" w:rsidRPr="005C7C0C" w:rsidRDefault="004D735E" w:rsidP="005F439F">
            <w:pPr>
              <w:rPr>
                <w:i/>
                <w:iCs/>
                <w:lang w:val="fr-FR"/>
              </w:rPr>
            </w:pPr>
            <w:r w:rsidRPr="005C7C0C">
              <w:rPr>
                <w:b/>
                <w:bCs/>
                <w:i/>
                <w:iCs/>
                <w:u w:val="single"/>
                <w:lang w:val="fr-FR"/>
              </w:rPr>
              <w:t>Evaluation :</w:t>
            </w:r>
            <w:r w:rsidR="006C1819" w:rsidRPr="005C7C0C">
              <w:rPr>
                <w:i/>
                <w:iCs/>
                <w:lang w:val="fr-FR"/>
              </w:rPr>
              <w:t xml:space="preserve"> </w:t>
            </w:r>
            <w:r w:rsidR="00675507" w:rsidRPr="005C7C0C">
              <w:rPr>
                <w:i/>
                <w:iCs/>
                <w:lang w:val="fr-FR"/>
              </w:rPr>
              <w:t xml:space="preserve">Est-ce qu’un exercice évaluatif a été conduit pendant la période du </w:t>
            </w:r>
            <w:r w:rsidRPr="005C7C0C">
              <w:rPr>
                <w:i/>
                <w:iCs/>
                <w:lang w:val="fr-FR"/>
              </w:rPr>
              <w:t>rapport ?</w:t>
            </w:r>
          </w:p>
          <w:p w14:paraId="3679D92A" w14:textId="5CCA20EC" w:rsidR="007118F5" w:rsidRPr="004D735E" w:rsidRDefault="004D735E" w:rsidP="007118F5">
            <w:pPr>
              <w:rPr>
                <w:b/>
                <w:bCs/>
              </w:rPr>
            </w:pPr>
            <w:proofErr w:type="spellStart"/>
            <w:r w:rsidRPr="004D735E">
              <w:rPr>
                <w:b/>
                <w:bCs/>
              </w:rPr>
              <w:t>Oui</w:t>
            </w:r>
            <w:proofErr w:type="spellEnd"/>
          </w:p>
        </w:tc>
        <w:tc>
          <w:tcPr>
            <w:tcW w:w="5940" w:type="dxa"/>
            <w:shd w:val="clear" w:color="auto" w:fill="auto"/>
          </w:tcPr>
          <w:p w14:paraId="7B8CF898" w14:textId="3C95EB93"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4D735E" w:rsidRPr="00675507">
              <w:rPr>
                <w:lang w:val="fr-FR"/>
              </w:rPr>
              <w:t>) :</w:t>
            </w:r>
            <w:r w:rsidR="004D141E" w:rsidRPr="00675507">
              <w:rPr>
                <w:lang w:val="fr-FR"/>
              </w:rPr>
              <w:t xml:space="preserve">  </w:t>
            </w:r>
            <w:r w:rsidR="004D735E">
              <w:rPr>
                <w:lang w:val="fr-FR"/>
              </w:rPr>
              <w:t>34</w:t>
            </w:r>
            <w:r w:rsidR="00AC4F6A">
              <w:rPr>
                <w:lang w:val="fr-FR"/>
              </w:rPr>
              <w:t> </w:t>
            </w:r>
            <w:r w:rsidR="004D735E">
              <w:rPr>
                <w:lang w:val="fr-FR"/>
              </w:rPr>
              <w:t>000</w:t>
            </w:r>
            <w:r w:rsidR="00AC4F6A">
              <w:rPr>
                <w:lang w:val="fr-FR"/>
              </w:rPr>
              <w:t xml:space="preserve"> USD</w:t>
            </w:r>
            <w:r w:rsidR="004D735E">
              <w:rPr>
                <w:lang w:val="fr-FR"/>
              </w:rPr>
              <w:t xml:space="preserve"> pour l’évaluation finale et 24 000 (étude</w:t>
            </w:r>
            <w:r w:rsidR="00AC4F6A">
              <w:rPr>
                <w:lang w:val="fr-FR"/>
              </w:rPr>
              <w:t>s</w:t>
            </w:r>
            <w:r w:rsidR="004D735E">
              <w:rPr>
                <w:lang w:val="fr-FR"/>
              </w:rPr>
              <w:t xml:space="preserve"> de perception)</w:t>
            </w:r>
            <w:r w:rsidR="00AC4F6A">
              <w:rPr>
                <w:lang w:val="fr-FR"/>
              </w:rPr>
              <w:t>.</w:t>
            </w:r>
          </w:p>
          <w:p w14:paraId="6A29E557" w14:textId="77777777" w:rsidR="004D141E" w:rsidRPr="00675507" w:rsidRDefault="004D141E" w:rsidP="00E76CA1">
            <w:pPr>
              <w:rPr>
                <w:lang w:val="fr-FR"/>
              </w:rPr>
            </w:pPr>
          </w:p>
          <w:p w14:paraId="09E414AE" w14:textId="739B97EE" w:rsidR="004D735E" w:rsidRDefault="00675507" w:rsidP="004D735E">
            <w:pPr>
              <w:jc w:val="both"/>
              <w:rPr>
                <w:lang w:val="fr-FR"/>
              </w:rPr>
            </w:pPr>
            <w:r w:rsidRPr="004F6810">
              <w:rPr>
                <w:i/>
                <w:iCs/>
                <w:lang w:val="fr-FR"/>
              </w:rPr>
              <w:t>Si le projet se termine dans les 6 prochains mois, décrire les préparatifs pour l’évaluation</w:t>
            </w:r>
            <w:r w:rsidR="00156C4C" w:rsidRPr="004F6810">
              <w:rPr>
                <w:i/>
                <w:iCs/>
                <w:lang w:val="fr-FR"/>
              </w:rPr>
              <w:t xml:space="preserve"> (</w:t>
            </w:r>
            <w:r w:rsidRPr="004F6810">
              <w:rPr>
                <w:i/>
                <w:iCs/>
                <w:lang w:val="fr-FR"/>
              </w:rPr>
              <w:t>Limite de 1500 caractères</w:t>
            </w:r>
            <w:r w:rsidR="004D735E" w:rsidRPr="004F6810">
              <w:rPr>
                <w:i/>
                <w:iCs/>
                <w:lang w:val="fr-FR"/>
              </w:rPr>
              <w:t>)</w:t>
            </w:r>
            <w:r w:rsidR="004D735E" w:rsidRPr="00675507">
              <w:rPr>
                <w:lang w:val="fr-FR"/>
              </w:rPr>
              <w:t xml:space="preserve"> :</w:t>
            </w:r>
            <w:r w:rsidR="004D141E" w:rsidRPr="00675507">
              <w:rPr>
                <w:lang w:val="fr-FR"/>
              </w:rPr>
              <w:t xml:space="preserve"> </w:t>
            </w:r>
          </w:p>
          <w:p w14:paraId="037280F0" w14:textId="21DD0D76" w:rsidR="004D735E" w:rsidRPr="00290917" w:rsidRDefault="004D735E" w:rsidP="004D735E">
            <w:pPr>
              <w:jc w:val="both"/>
              <w:rPr>
                <w:lang w:val="fr-FR"/>
              </w:rPr>
            </w:pPr>
            <w:r w:rsidRPr="00290917">
              <w:rPr>
                <w:lang w:val="fr-FR"/>
              </w:rPr>
              <w:lastRenderedPageBreak/>
              <w:t>Le recrutement d’un consultant international pour l’évaluation finale du projet est en cour</w:t>
            </w:r>
            <w:r>
              <w:rPr>
                <w:lang w:val="fr-FR"/>
              </w:rPr>
              <w:t>s</w:t>
            </w:r>
            <w:r w:rsidRPr="00290917">
              <w:rPr>
                <w:lang w:val="fr-FR"/>
              </w:rPr>
              <w:t xml:space="preserve"> </w:t>
            </w:r>
            <w:r>
              <w:rPr>
                <w:lang w:val="fr-FR"/>
              </w:rPr>
              <w:t>avec l’appel d’offre qui est lancé. Cette évaluation</w:t>
            </w:r>
            <w:r w:rsidRPr="00290917">
              <w:rPr>
                <w:lang w:val="fr-FR"/>
              </w:rPr>
              <w:t xml:space="preserve"> sera soutenu</w:t>
            </w:r>
            <w:r>
              <w:rPr>
                <w:lang w:val="fr-FR"/>
              </w:rPr>
              <w:t>e</w:t>
            </w:r>
            <w:r w:rsidRPr="00290917">
              <w:rPr>
                <w:lang w:val="fr-FR"/>
              </w:rPr>
              <w:t xml:space="preserve"> par une étude de perception dont le cabinet </w:t>
            </w:r>
            <w:r w:rsidR="00C5064F">
              <w:rPr>
                <w:lang w:val="fr-FR"/>
              </w:rPr>
              <w:t xml:space="preserve">a </w:t>
            </w:r>
            <w:r w:rsidRPr="00290917">
              <w:rPr>
                <w:lang w:val="fr-FR"/>
              </w:rPr>
              <w:t xml:space="preserve">déjà </w:t>
            </w:r>
            <w:r w:rsidR="00C5064F">
              <w:rPr>
                <w:lang w:val="fr-FR"/>
              </w:rPr>
              <w:t xml:space="preserve">entamé </w:t>
            </w:r>
            <w:r w:rsidR="005C7C0C">
              <w:rPr>
                <w:lang w:val="fr-FR"/>
              </w:rPr>
              <w:t>les travaux</w:t>
            </w:r>
            <w:r w:rsidR="00AC4F6A">
              <w:rPr>
                <w:lang w:val="fr-FR"/>
              </w:rPr>
              <w:t xml:space="preserve"> sur le terrain</w:t>
            </w:r>
            <w:r w:rsidR="00C5064F">
              <w:rPr>
                <w:lang w:val="fr-FR"/>
              </w:rPr>
              <w:t>.</w:t>
            </w:r>
          </w:p>
          <w:p w14:paraId="5AC922F2" w14:textId="77777777" w:rsidR="004D735E" w:rsidRDefault="004D735E" w:rsidP="004D735E">
            <w:pPr>
              <w:jc w:val="both"/>
              <w:rPr>
                <w:lang w:val="fr-FR"/>
              </w:rPr>
            </w:pPr>
          </w:p>
          <w:p w14:paraId="645019D6" w14:textId="714E7ABF" w:rsidR="004D141E" w:rsidRPr="00675507" w:rsidRDefault="004D141E" w:rsidP="00E76CA1">
            <w:pPr>
              <w:rPr>
                <w:lang w:val="fr-FR"/>
              </w:rPr>
            </w:pPr>
          </w:p>
          <w:p w14:paraId="6FFC21C6" w14:textId="77777777" w:rsidR="00156C4C" w:rsidRPr="00675507" w:rsidRDefault="00156C4C" w:rsidP="00E76CA1">
            <w:pPr>
              <w:rPr>
                <w:lang w:val="fr-FR"/>
              </w:rPr>
            </w:pPr>
          </w:p>
        </w:tc>
      </w:tr>
      <w:tr w:rsidR="00997347" w:rsidRPr="00330C84"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5C7C0C">
              <w:rPr>
                <w:b/>
                <w:bCs/>
                <w:i/>
                <w:iCs/>
                <w:u w:val="single"/>
                <w:lang w:val="fr-FR"/>
              </w:rPr>
              <w:lastRenderedPageBreak/>
              <w:t>Effets catalytiques (financiers</w:t>
            </w:r>
            <w:proofErr w:type="gramStart"/>
            <w:r w:rsidRPr="005C7C0C">
              <w:rPr>
                <w:b/>
                <w:bCs/>
                <w:i/>
                <w:iCs/>
                <w:u w:val="single"/>
                <w:lang w:val="fr-FR"/>
              </w:rPr>
              <w:t>)</w:t>
            </w:r>
            <w:r w:rsidR="00513612" w:rsidRPr="005C7C0C">
              <w:rPr>
                <w:b/>
                <w:bCs/>
                <w:i/>
                <w:iCs/>
                <w:lang w:val="fr-FR"/>
              </w:rPr>
              <w:t>:</w:t>
            </w:r>
            <w:proofErr w:type="gramEnd"/>
            <w:r w:rsidR="00513612" w:rsidRPr="005C7C0C">
              <w:rPr>
                <w:i/>
                <w:iCs/>
                <w:lang w:val="fr-FR"/>
              </w:rPr>
              <w:t xml:space="preserve"> </w:t>
            </w:r>
            <w:r w:rsidRPr="005C7C0C">
              <w:rPr>
                <w:i/>
                <w:iCs/>
                <w:lang w:val="fr-FR"/>
              </w:rPr>
              <w:t>Indiquez le nom de l'agent de financement et le montant du soutien financier non PBF supplémentaire qui a été obtenu par le proje</w:t>
            </w:r>
            <w:r w:rsidRPr="00675507">
              <w:rPr>
                <w:lang w:val="fr-FR"/>
              </w:rPr>
              <w:t>t.</w:t>
            </w:r>
          </w:p>
        </w:tc>
        <w:tc>
          <w:tcPr>
            <w:tcW w:w="5940" w:type="dxa"/>
            <w:shd w:val="clear" w:color="auto" w:fill="auto"/>
          </w:tcPr>
          <w:p w14:paraId="126E5036" w14:textId="52E46934" w:rsidR="00997347" w:rsidRPr="00C5064F" w:rsidRDefault="00675507" w:rsidP="00156C4C">
            <w:pPr>
              <w:rPr>
                <w:lang w:val="fr-FR"/>
              </w:rPr>
            </w:pPr>
            <w:r w:rsidRPr="00C5064F">
              <w:rPr>
                <w:lang w:val="fr-FR"/>
              </w:rPr>
              <w:t xml:space="preserve">Nom de </w:t>
            </w:r>
            <w:proofErr w:type="spellStart"/>
            <w:proofErr w:type="gramStart"/>
            <w:r w:rsidRPr="00C5064F">
              <w:rPr>
                <w:lang w:val="fr-FR"/>
              </w:rPr>
              <w:t>donnateur</w:t>
            </w:r>
            <w:proofErr w:type="spellEnd"/>
            <w:r w:rsidR="00156C4C" w:rsidRPr="00C5064F">
              <w:rPr>
                <w:lang w:val="fr-FR"/>
              </w:rPr>
              <w:t>:</w:t>
            </w:r>
            <w:proofErr w:type="gramEnd"/>
            <w:r w:rsidR="00156C4C" w:rsidRPr="00C5064F">
              <w:rPr>
                <w:lang w:val="fr-FR"/>
              </w:rPr>
              <w:t xml:space="preserve">    </w:t>
            </w:r>
            <w:r w:rsidR="00C5064F">
              <w:rPr>
                <w:lang w:val="fr-FR"/>
              </w:rPr>
              <w:t xml:space="preserve">         </w:t>
            </w:r>
            <w:r w:rsidR="00156C4C" w:rsidRPr="00C5064F">
              <w:rPr>
                <w:lang w:val="fr-FR"/>
              </w:rPr>
              <w:t xml:space="preserve"> </w:t>
            </w:r>
            <w:r w:rsidRPr="00C5064F">
              <w:rPr>
                <w:lang w:val="fr-FR"/>
              </w:rPr>
              <w:t>Montant ($)</w:t>
            </w:r>
            <w:r w:rsidR="00156C4C" w:rsidRPr="00C5064F">
              <w:rPr>
                <w:lang w:val="fr-FR"/>
              </w:rPr>
              <w:t>:</w:t>
            </w:r>
          </w:p>
          <w:p w14:paraId="1ADE0156" w14:textId="70175F06" w:rsidR="00C5064F" w:rsidRDefault="00C5064F" w:rsidP="00156C4C">
            <w:pPr>
              <w:rPr>
                <w:lang w:val="fr-FR"/>
              </w:rPr>
            </w:pPr>
            <w:r w:rsidRPr="00C5064F">
              <w:rPr>
                <w:lang w:val="fr-FR"/>
              </w:rPr>
              <w:t>Gouvernement de Guinée</w:t>
            </w:r>
            <w:r w:rsidR="00156C4C" w:rsidRPr="00C5064F">
              <w:rPr>
                <w:lang w:val="fr-FR"/>
              </w:rPr>
              <w:t xml:space="preserve"> </w:t>
            </w:r>
            <w:r>
              <w:rPr>
                <w:lang w:val="fr-FR"/>
              </w:rPr>
              <w:t xml:space="preserve">                    50 000</w:t>
            </w:r>
          </w:p>
          <w:p w14:paraId="2D07D5B3" w14:textId="776F5541" w:rsidR="00156C4C" w:rsidRDefault="00C5064F" w:rsidP="00156C4C">
            <w:pPr>
              <w:rPr>
                <w:lang w:val="fr-FR"/>
              </w:rPr>
            </w:pPr>
            <w:r>
              <w:rPr>
                <w:lang w:val="fr-FR"/>
              </w:rPr>
              <w:t>PNUD</w:t>
            </w:r>
            <w:r w:rsidR="00156C4C" w:rsidRPr="00C5064F">
              <w:rPr>
                <w:lang w:val="fr-FR"/>
              </w:rPr>
              <w:t xml:space="preserve">                      </w:t>
            </w:r>
            <w:r>
              <w:rPr>
                <w:lang w:val="fr-FR"/>
              </w:rPr>
              <w:t xml:space="preserve">                             25</w:t>
            </w:r>
            <w:r w:rsidR="00962071">
              <w:rPr>
                <w:lang w:val="fr-FR"/>
              </w:rPr>
              <w:t> </w:t>
            </w:r>
            <w:r w:rsidRPr="00962071">
              <w:rPr>
                <w:lang w:val="fr-FR"/>
              </w:rPr>
              <w:t>000</w:t>
            </w:r>
            <w:r w:rsidR="00962071">
              <w:rPr>
                <w:lang w:val="fr-FR"/>
              </w:rPr>
              <w:t xml:space="preserve"> : </w:t>
            </w:r>
            <w:r w:rsidR="00241946" w:rsidRPr="00962071">
              <w:rPr>
                <w:lang w:val="fr-FR"/>
              </w:rPr>
              <w:t>L’état guinéen pour soutenir le gap de la formation des quatre cents agents et officiers de la police routière a dans le cadre de la mise en œuvre de la stratégie nationale d’actions</w:t>
            </w:r>
            <w:r w:rsidR="00241946">
              <w:rPr>
                <w:lang w:val="fr-FR"/>
              </w:rPr>
              <w:t xml:space="preserve"> prioritaire débloqué près de cinq cents millions de franc guinéen.</w:t>
            </w:r>
          </w:p>
          <w:p w14:paraId="6337F8E4" w14:textId="6A6E3B14" w:rsidR="00241946" w:rsidRPr="00C5064F" w:rsidRDefault="00241946" w:rsidP="00156C4C">
            <w:pPr>
              <w:rPr>
                <w:lang w:val="fr-FR"/>
              </w:rPr>
            </w:pPr>
            <w:r>
              <w:rPr>
                <w:lang w:val="fr-FR"/>
              </w:rPr>
              <w:t>Au niveau du PNUD,</w:t>
            </w:r>
            <w:r w:rsidR="00962071">
              <w:rPr>
                <w:lang w:val="fr-FR"/>
              </w:rPr>
              <w:t xml:space="preserve"> </w:t>
            </w:r>
            <w:r>
              <w:rPr>
                <w:lang w:val="fr-FR"/>
              </w:rPr>
              <w:t xml:space="preserve">suite aux résultats de la formation des officiers de police judiciaire de l’OPROGEM à </w:t>
            </w:r>
            <w:r w:rsidR="00DD25E7">
              <w:rPr>
                <w:lang w:val="fr-FR"/>
              </w:rPr>
              <w:t>Labé</w:t>
            </w:r>
            <w:r>
              <w:rPr>
                <w:lang w:val="fr-FR"/>
              </w:rPr>
              <w:t xml:space="preserve">, et suite à la demande </w:t>
            </w:r>
            <w:r w:rsidR="00DD25E7">
              <w:rPr>
                <w:lang w:val="fr-FR"/>
              </w:rPr>
              <w:t xml:space="preserve">des autorités pour l’extension de cette formation aux autres </w:t>
            </w:r>
            <w:r w:rsidR="00962071">
              <w:rPr>
                <w:lang w:val="fr-FR"/>
              </w:rPr>
              <w:t>régions, le</w:t>
            </w:r>
            <w:r w:rsidR="00DD25E7">
              <w:rPr>
                <w:lang w:val="fr-FR"/>
              </w:rPr>
              <w:t xml:space="preserve"> fond </w:t>
            </w:r>
            <w:proofErr w:type="spellStart"/>
            <w:r w:rsidR="00DD25E7">
              <w:rPr>
                <w:lang w:val="fr-FR"/>
              </w:rPr>
              <w:t>track</w:t>
            </w:r>
            <w:proofErr w:type="spellEnd"/>
            <w:r w:rsidR="00DD25E7">
              <w:rPr>
                <w:lang w:val="fr-FR"/>
              </w:rPr>
              <w:t xml:space="preserve"> a supporté la formation de vingt autres officiers de police judiciaire de </w:t>
            </w:r>
            <w:proofErr w:type="gramStart"/>
            <w:r w:rsidR="00DD25E7">
              <w:rPr>
                <w:lang w:val="fr-FR"/>
              </w:rPr>
              <w:t>certains commissariat</w:t>
            </w:r>
            <w:proofErr w:type="gramEnd"/>
            <w:r w:rsidR="00DD25E7">
              <w:rPr>
                <w:lang w:val="fr-FR"/>
              </w:rPr>
              <w:t xml:space="preserve"> à hauteur de vingt-cinq mille dollars us.</w:t>
            </w:r>
          </w:p>
          <w:p w14:paraId="209E02B4" w14:textId="77777777" w:rsidR="00156C4C" w:rsidRPr="00C5064F" w:rsidRDefault="00156C4C" w:rsidP="00156C4C">
            <w:pPr>
              <w:rPr>
                <w:lang w:val="fr-FR"/>
              </w:rPr>
            </w:pPr>
          </w:p>
          <w:p w14:paraId="68DA8296" w14:textId="00BC6823" w:rsidR="00156C4C" w:rsidRPr="00241946" w:rsidRDefault="00156C4C" w:rsidP="00156C4C">
            <w:pPr>
              <w:rPr>
                <w:lang w:val="fr-FR"/>
              </w:rPr>
            </w:pPr>
            <w:r w:rsidRPr="00241946">
              <w:rPr>
                <w:lang w:val="fr-FR"/>
              </w:rPr>
              <w:t xml:space="preserve">                          </w:t>
            </w:r>
          </w:p>
          <w:p w14:paraId="21D0B479" w14:textId="77777777" w:rsidR="00156C4C" w:rsidRPr="00241946" w:rsidRDefault="00156C4C" w:rsidP="00156C4C">
            <w:pPr>
              <w:rPr>
                <w:lang w:val="fr-FR"/>
              </w:rPr>
            </w:pPr>
          </w:p>
          <w:p w14:paraId="5EA842B9" w14:textId="5E438698" w:rsidR="00156C4C" w:rsidRPr="00241946" w:rsidRDefault="00156C4C" w:rsidP="00156C4C">
            <w:pPr>
              <w:rPr>
                <w:lang w:val="fr-FR"/>
              </w:rPr>
            </w:pPr>
            <w:r w:rsidRPr="00241946">
              <w:rPr>
                <w:lang w:val="fr-FR"/>
              </w:rPr>
              <w:t xml:space="preserve">                          </w:t>
            </w:r>
          </w:p>
        </w:tc>
      </w:tr>
      <w:tr w:rsidR="002C187A" w:rsidRPr="00330C84" w14:paraId="04EF3772" w14:textId="77777777" w:rsidTr="007F7257">
        <w:tc>
          <w:tcPr>
            <w:tcW w:w="4230" w:type="dxa"/>
            <w:shd w:val="clear" w:color="auto" w:fill="auto"/>
          </w:tcPr>
          <w:p w14:paraId="493CE278" w14:textId="77777777" w:rsidR="002C187A" w:rsidRPr="00C5064F" w:rsidRDefault="00675507" w:rsidP="001A1E86">
            <w:pPr>
              <w:rPr>
                <w:i/>
                <w:iCs/>
                <w:lang w:val="fr-FR"/>
              </w:rPr>
            </w:pPr>
            <w:proofErr w:type="gramStart"/>
            <w:r w:rsidRPr="00675507">
              <w:rPr>
                <w:b/>
                <w:bCs/>
                <w:u w:val="single"/>
                <w:lang w:val="fr-FR"/>
              </w:rPr>
              <w:t>Autre</w:t>
            </w:r>
            <w:r w:rsidRPr="00675507">
              <w:rPr>
                <w:lang w:val="fr-FR"/>
              </w:rPr>
              <w:t>:</w:t>
            </w:r>
            <w:proofErr w:type="gramEnd"/>
            <w:r w:rsidRPr="00675507">
              <w:rPr>
                <w:lang w:val="fr-FR"/>
              </w:rPr>
              <w:t xml:space="preserve"> </w:t>
            </w:r>
            <w:r w:rsidRPr="00C5064F">
              <w:rPr>
                <w:i/>
                <w:iCs/>
                <w:lang w:val="fr-FR"/>
              </w:rPr>
              <w:t>Y a-t-il d'autres points concernant la mise en œuvre du projet que vous souhaitez partager, y compris sur les besoins en capacité des organisations bénéficiaires? (Limite de 1500 caractères)</w:t>
            </w:r>
          </w:p>
          <w:p w14:paraId="3FC8EBFD" w14:textId="7379ECA3"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0CEC489A" w14:textId="77777777" w:rsidR="002C187A" w:rsidRDefault="005C7C0C" w:rsidP="00E76CA1">
            <w:pPr>
              <w:rPr>
                <w:lang w:val="fr-FR"/>
              </w:rPr>
            </w:pPr>
            <w:r w:rsidRPr="005C7C0C">
              <w:rPr>
                <w:lang w:val="fr-FR"/>
              </w:rPr>
              <w:t>Le projet malgré les r</w:t>
            </w:r>
            <w:r>
              <w:rPr>
                <w:lang w:val="fr-FR"/>
              </w:rPr>
              <w:t>ésultats obtenus dans sa mise en œuvre</w:t>
            </w:r>
            <w:r w:rsidR="00AC4F6A">
              <w:rPr>
                <w:lang w:val="fr-FR"/>
              </w:rPr>
              <w:t>,</w:t>
            </w:r>
            <w:r>
              <w:rPr>
                <w:lang w:val="fr-FR"/>
              </w:rPr>
              <w:t xml:space="preserve"> n’a pu couvrir l’ensemble des besoins de formations et d’équipements des structures bénéficiaires</w:t>
            </w:r>
            <w:r w:rsidR="00AC4F6A">
              <w:rPr>
                <w:lang w:val="fr-FR"/>
              </w:rPr>
              <w:t xml:space="preserve">. Ce </w:t>
            </w:r>
            <w:r>
              <w:rPr>
                <w:lang w:val="fr-FR"/>
              </w:rPr>
              <w:t>qui</w:t>
            </w:r>
            <w:r w:rsidR="00AC4F6A">
              <w:rPr>
                <w:lang w:val="fr-FR"/>
              </w:rPr>
              <w:t>,</w:t>
            </w:r>
            <w:r>
              <w:rPr>
                <w:lang w:val="fr-FR"/>
              </w:rPr>
              <w:t xml:space="preserve"> pourrait entrainer après la clôture un recul dans </w:t>
            </w:r>
            <w:r w:rsidRPr="00C94B79">
              <w:rPr>
                <w:lang w:val="fr-FR"/>
              </w:rPr>
              <w:t>certaines prestations</w:t>
            </w:r>
            <w:r w:rsidR="00AC4F6A" w:rsidRPr="00C94B79">
              <w:rPr>
                <w:lang w:val="fr-FR"/>
              </w:rPr>
              <w:t xml:space="preserve"> (</w:t>
            </w:r>
            <w:r w:rsidR="00331B36" w:rsidRPr="00C94B79">
              <w:rPr>
                <w:lang w:val="fr-FR"/>
              </w:rPr>
              <w:t xml:space="preserve">si la formation au niveau de la police routière s’arrête par défaut de ressources, </w:t>
            </w:r>
            <w:r w:rsidR="00C94B79" w:rsidRPr="00C94B79">
              <w:rPr>
                <w:lang w:val="fr-FR"/>
              </w:rPr>
              <w:t>les fonctionnaires</w:t>
            </w:r>
            <w:r w:rsidR="00331B36" w:rsidRPr="00C94B79">
              <w:rPr>
                <w:lang w:val="fr-FR"/>
              </w:rPr>
              <w:t xml:space="preserve"> </w:t>
            </w:r>
            <w:r w:rsidR="00C94B79">
              <w:rPr>
                <w:lang w:val="fr-FR"/>
              </w:rPr>
              <w:t xml:space="preserve">nouvellement </w:t>
            </w:r>
            <w:r w:rsidR="00331B36" w:rsidRPr="00C94B79">
              <w:rPr>
                <w:lang w:val="fr-FR"/>
              </w:rPr>
              <w:t xml:space="preserve">affectés dans ces services pourront être facteurs de dégradation de l’image qui </w:t>
            </w:r>
            <w:r w:rsidR="00C94B79">
              <w:rPr>
                <w:lang w:val="fr-FR"/>
              </w:rPr>
              <w:t xml:space="preserve">est </w:t>
            </w:r>
            <w:r w:rsidR="00331B36" w:rsidRPr="00C94B79">
              <w:rPr>
                <w:lang w:val="fr-FR"/>
              </w:rPr>
              <w:t xml:space="preserve">en cours de construction par défaut de professionnalisme. Ce même constat est valable pour l’OPROGEM au niveau des OPJ. Pour </w:t>
            </w:r>
            <w:r w:rsidR="00C94B79" w:rsidRPr="00C94B79">
              <w:rPr>
                <w:lang w:val="fr-FR"/>
              </w:rPr>
              <w:t>l’inspection, la</w:t>
            </w:r>
            <w:r w:rsidR="00331B36" w:rsidRPr="00C94B79">
              <w:rPr>
                <w:lang w:val="fr-FR"/>
              </w:rPr>
              <w:t xml:space="preserve"> culture de contrôle ne saurait être ancré en vingt-deux mois </w:t>
            </w:r>
            <w:r w:rsidR="00C94B79" w:rsidRPr="00C94B79">
              <w:rPr>
                <w:lang w:val="fr-FR"/>
              </w:rPr>
              <w:t>d’exercice auprès</w:t>
            </w:r>
            <w:r w:rsidR="00331B36" w:rsidRPr="00C94B79">
              <w:rPr>
                <w:lang w:val="fr-FR"/>
              </w:rPr>
              <w:t xml:space="preserve"> des structures </w:t>
            </w:r>
            <w:r w:rsidR="00C94B79" w:rsidRPr="00C94B79">
              <w:rPr>
                <w:lang w:val="fr-FR"/>
              </w:rPr>
              <w:t>fragiles et sans ressources appropriées, il parait à cet effet de mesurer l’accompagnement sur une durée pouvant permettre d’imposer cette pratique à tous les niveaux</w:t>
            </w:r>
            <w:r w:rsidR="00C94B79">
              <w:rPr>
                <w:lang w:val="fr-FR"/>
              </w:rPr>
              <w:t>.</w:t>
            </w:r>
            <w:r w:rsidR="00AC4F6A" w:rsidRPr="00C94B79">
              <w:rPr>
                <w:lang w:val="fr-FR"/>
              </w:rPr>
              <w:t>)</w:t>
            </w:r>
          </w:p>
          <w:p w14:paraId="4187770E" w14:textId="7020761A" w:rsidR="00C94B79" w:rsidRPr="005C7C0C" w:rsidRDefault="00962071" w:rsidP="00E76CA1">
            <w:pPr>
              <w:rPr>
                <w:lang w:val="fr-FR"/>
              </w:rPr>
            </w:pPr>
            <w:r>
              <w:rPr>
                <w:lang w:val="fr-FR"/>
              </w:rPr>
              <w:t>Bref, il</w:t>
            </w:r>
            <w:r w:rsidR="00C94B79">
              <w:rPr>
                <w:lang w:val="fr-FR"/>
              </w:rPr>
              <w:t xml:space="preserve"> reste à date cinq </w:t>
            </w:r>
            <w:proofErr w:type="gramStart"/>
            <w:r w:rsidR="00C94B79">
              <w:rPr>
                <w:lang w:val="fr-FR"/>
              </w:rPr>
              <w:t>cent</w:t>
            </w:r>
            <w:proofErr w:type="gramEnd"/>
            <w:r w:rsidR="00C94B79">
              <w:rPr>
                <w:lang w:val="fr-FR"/>
              </w:rPr>
              <w:t xml:space="preserve"> agents non formés pour la police routière, soixante pour l’OPROGEM, près de vingt pour l’inspection.</w:t>
            </w:r>
          </w:p>
        </w:tc>
      </w:tr>
    </w:tbl>
    <w:p w14:paraId="682EBE58" w14:textId="77777777" w:rsidR="00673D6E" w:rsidRPr="005C7C0C" w:rsidRDefault="00673D6E" w:rsidP="00E76CA1">
      <w:pPr>
        <w:rPr>
          <w:b/>
          <w:lang w:val="fr-FR"/>
        </w:rPr>
      </w:pPr>
    </w:p>
    <w:p w14:paraId="64491D11" w14:textId="77777777" w:rsidR="00673D6E" w:rsidRPr="005C7C0C"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C2F5EE9" w:rsidR="00600B5F" w:rsidRPr="003107C9" w:rsidRDefault="00600B5F" w:rsidP="00600B5F">
      <w:pPr>
        <w:ind w:left="2160"/>
        <w:rPr>
          <w:lang w:val="fr-FR"/>
        </w:rPr>
      </w:pPr>
      <w:r w:rsidRPr="003107C9">
        <w:rPr>
          <w:lang w:val="fr-FR"/>
        </w:rPr>
        <w:t>$</w:t>
      </w:r>
      <w:r w:rsidR="005C7C0C">
        <w:t>115 000</w:t>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62EAC95C" w14:textId="77777777" w:rsidR="004F6810" w:rsidRDefault="004F6810" w:rsidP="00C83082">
      <w:pPr>
        <w:ind w:left="720"/>
        <w:rPr>
          <w:lang w:val="fr-FR"/>
        </w:rPr>
      </w:pPr>
    </w:p>
    <w:p w14:paraId="67B62A1C" w14:textId="460F150B" w:rsidR="00E673EA" w:rsidRDefault="005C7C0C" w:rsidP="00E673EA">
      <w:pPr>
        <w:ind w:left="720"/>
        <w:jc w:val="both"/>
        <w:rPr>
          <w:lang w:val="fr-FR"/>
        </w:rPr>
      </w:pPr>
      <w:r w:rsidRPr="00C83082">
        <w:rPr>
          <w:lang w:val="fr-FR"/>
        </w:rPr>
        <w:t xml:space="preserve">Le projet a connu une extension sans cout de </w:t>
      </w:r>
      <w:r w:rsidR="00E10BD3" w:rsidRPr="00C83082">
        <w:rPr>
          <w:lang w:val="fr-FR"/>
        </w:rPr>
        <w:t xml:space="preserve">quatre </w:t>
      </w:r>
      <w:r w:rsidR="00AC4F6A">
        <w:rPr>
          <w:lang w:val="fr-FR"/>
        </w:rPr>
        <w:t xml:space="preserve">(04) </w:t>
      </w:r>
      <w:r w:rsidR="00E10BD3" w:rsidRPr="00C83082">
        <w:rPr>
          <w:lang w:val="fr-FR"/>
        </w:rPr>
        <w:t>mois supplémentaires</w:t>
      </w:r>
      <w:r w:rsidR="00AC4F6A">
        <w:rPr>
          <w:lang w:val="fr-FR"/>
        </w:rPr>
        <w:t>. La clôture i</w:t>
      </w:r>
      <w:r w:rsidR="00C83082" w:rsidRPr="00C83082">
        <w:rPr>
          <w:lang w:val="fr-FR"/>
        </w:rPr>
        <w:t>nitialement</w:t>
      </w:r>
      <w:r w:rsidR="00C83082">
        <w:rPr>
          <w:lang w:val="fr-FR"/>
        </w:rPr>
        <w:t xml:space="preserve"> prévue pour fin juin</w:t>
      </w:r>
      <w:r w:rsidR="00AC4F6A">
        <w:rPr>
          <w:lang w:val="fr-FR"/>
        </w:rPr>
        <w:t xml:space="preserve"> 2020, </w:t>
      </w:r>
      <w:r w:rsidR="00C83082">
        <w:rPr>
          <w:lang w:val="fr-FR"/>
        </w:rPr>
        <w:t xml:space="preserve">a été </w:t>
      </w:r>
      <w:r w:rsidR="00D65AD3">
        <w:rPr>
          <w:lang w:val="fr-FR"/>
        </w:rPr>
        <w:t>repoussée</w:t>
      </w:r>
      <w:r w:rsidR="00C83082">
        <w:rPr>
          <w:lang w:val="fr-FR"/>
        </w:rPr>
        <w:t xml:space="preserve"> au 31 Octobre 2020</w:t>
      </w:r>
      <w:r w:rsidR="00E673EA">
        <w:rPr>
          <w:lang w:val="fr-FR"/>
        </w:rPr>
        <w:t>,</w:t>
      </w:r>
      <w:r w:rsidR="00AC4F6A">
        <w:rPr>
          <w:lang w:val="fr-FR"/>
        </w:rPr>
        <w:t xml:space="preserve"> ce qui a </w:t>
      </w:r>
      <w:r w:rsidR="00E673EA">
        <w:rPr>
          <w:lang w:val="fr-FR"/>
        </w:rPr>
        <w:t xml:space="preserve">permis la réalisation substantielle </w:t>
      </w:r>
      <w:r w:rsidR="00D65AD3">
        <w:rPr>
          <w:lang w:val="fr-FR"/>
        </w:rPr>
        <w:t>des formations</w:t>
      </w:r>
      <w:r w:rsidR="00E673EA" w:rsidRPr="00C83082">
        <w:rPr>
          <w:lang w:val="fr-FR"/>
        </w:rPr>
        <w:t xml:space="preserve"> </w:t>
      </w:r>
      <w:r w:rsidR="00E673EA">
        <w:rPr>
          <w:lang w:val="fr-FR"/>
        </w:rPr>
        <w:t xml:space="preserve">de l’ensemble des forces de défense et de sécurité contre la COVID19, la dotation en matériels de protection de certaines unités déployées dans le cadre de l’application des mesures barrières en place et lieu de </w:t>
      </w:r>
      <w:r w:rsidR="00AC4F6A">
        <w:rPr>
          <w:lang w:val="fr-FR"/>
        </w:rPr>
        <w:t>la réalisation des</w:t>
      </w:r>
      <w:r w:rsidR="00C83082">
        <w:rPr>
          <w:lang w:val="fr-FR"/>
        </w:rPr>
        <w:t xml:space="preserve"> activités initialement prévues pour la gestion des crises et catastrophes</w:t>
      </w:r>
      <w:r w:rsidR="00E673EA">
        <w:rPr>
          <w:lang w:val="fr-FR"/>
        </w:rPr>
        <w:t>.</w:t>
      </w:r>
    </w:p>
    <w:p w14:paraId="3DF1D480" w14:textId="77777777" w:rsidR="00E673EA" w:rsidRDefault="00E673EA" w:rsidP="00E673EA">
      <w:pPr>
        <w:ind w:left="720"/>
        <w:jc w:val="both"/>
        <w:rPr>
          <w:lang w:val="fr-FR"/>
        </w:rPr>
      </w:pPr>
    </w:p>
    <w:p w14:paraId="4B6F17C3" w14:textId="527A6E99" w:rsidR="00600B5F" w:rsidRDefault="002D6DA0" w:rsidP="00E673EA">
      <w:pPr>
        <w:ind w:left="720"/>
        <w:jc w:val="both"/>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06D4BA9D" w:rsidR="00600B5F" w:rsidRPr="00CB5499" w:rsidRDefault="00937DBB" w:rsidP="00600B5F">
      <w:pPr>
        <w:rPr>
          <w:lang w:val="fr-FR"/>
        </w:rPr>
      </w:pPr>
      <w:sdt>
        <w:sdtPr>
          <w:rPr>
            <w:lang w:val="fr-FR"/>
          </w:rPr>
          <w:id w:val="402566072"/>
          <w14:checkbox>
            <w14:checked w14:val="1"/>
            <w14:checkedState w14:val="2612" w14:font="MS Gothic"/>
            <w14:uncheckedState w14:val="2610" w14:font="MS Gothic"/>
          </w14:checkbox>
        </w:sdtPr>
        <w:sdtEndPr/>
        <w:sdtContent>
          <w:r w:rsidR="002C4DEF">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937DBB"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937DBB"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937DBB"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937DBB"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46F8E01F" w:rsidR="00600B5F" w:rsidRPr="002C4DEF" w:rsidRDefault="00937DBB" w:rsidP="00600B5F">
      <w:pPr>
        <w:rPr>
          <w:lang w:val="fr-FR"/>
        </w:rPr>
      </w:pPr>
      <w:sdt>
        <w:sdtPr>
          <w:rPr>
            <w:lang w:val="fr-FR"/>
          </w:rPr>
          <w:id w:val="810906333"/>
          <w14:checkbox>
            <w14:checked w14:val="1"/>
            <w14:checkedState w14:val="2612" w14:font="MS Gothic"/>
            <w14:uncheckedState w14:val="2610" w14:font="MS Gothic"/>
          </w14:checkbox>
        </w:sdtPr>
        <w:sdtEndPr/>
        <w:sdtContent>
          <w:r w:rsidR="00E673EA">
            <w:rPr>
              <w:rFonts w:ascii="MS Gothic" w:eastAsia="MS Gothic" w:hAnsi="MS Gothic" w:hint="eastAsia"/>
              <w:lang w:val="fr-FR"/>
            </w:rPr>
            <w:t>☒</w:t>
          </w:r>
        </w:sdtContent>
      </w:sdt>
      <w:r w:rsidR="00600B5F" w:rsidRPr="000B47FF">
        <w:rPr>
          <w:lang w:val="fr-FR"/>
        </w:rPr>
        <w:t xml:space="preserve"> </w:t>
      </w:r>
      <w:r w:rsidR="00970D92" w:rsidRPr="000B47FF">
        <w:rPr>
          <w:lang w:val="fr-FR"/>
        </w:rPr>
        <w:t>Autres</w:t>
      </w:r>
      <w:r w:rsidR="00600B5F" w:rsidRPr="000B47FF">
        <w:rPr>
          <w:lang w:val="fr-FR"/>
        </w:rPr>
        <w:t xml:space="preserve"> (</w:t>
      </w:r>
      <w:r w:rsidR="00970D92" w:rsidRPr="000B47FF">
        <w:rPr>
          <w:lang w:val="fr-FR"/>
        </w:rPr>
        <w:t xml:space="preserve">veuillez </w:t>
      </w:r>
      <w:r w:rsidR="00B82E71" w:rsidRPr="000B47FF">
        <w:rPr>
          <w:lang w:val="fr-FR"/>
        </w:rPr>
        <w:t>préciser</w:t>
      </w:r>
      <w:r w:rsidR="002C4DEF" w:rsidRPr="000B47FF">
        <w:rPr>
          <w:lang w:val="fr-FR"/>
        </w:rPr>
        <w:t>) :</w:t>
      </w:r>
      <w:r w:rsidR="00600B5F" w:rsidRPr="000B47FF">
        <w:rPr>
          <w:lang w:val="fr-FR"/>
        </w:rPr>
        <w:t xml:space="preserve"> </w:t>
      </w:r>
      <w:r w:rsidR="002C4DEF" w:rsidRPr="002C4DEF">
        <w:rPr>
          <w:lang w:val="fr-FR"/>
        </w:rPr>
        <w:t>Lutter c</w:t>
      </w:r>
      <w:r w:rsidR="002C4DEF">
        <w:rPr>
          <w:lang w:val="fr-FR"/>
        </w:rPr>
        <w:t xml:space="preserve">ontre les VBG et l’impunité en période de crise </w:t>
      </w:r>
    </w:p>
    <w:p w14:paraId="350CC976" w14:textId="77777777" w:rsidR="00600B5F" w:rsidRPr="000B47FF"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0258D50D" w:rsidR="00600B5F" w:rsidRDefault="002C4DEF" w:rsidP="004F6810">
      <w:pPr>
        <w:jc w:val="both"/>
        <w:rPr>
          <w:lang w:val="fr-FR"/>
        </w:rPr>
      </w:pPr>
      <w:r w:rsidRPr="002C4DEF">
        <w:rPr>
          <w:lang w:val="fr-FR"/>
        </w:rPr>
        <w:t>Les structures de veille s</w:t>
      </w:r>
      <w:r>
        <w:rPr>
          <w:lang w:val="fr-FR"/>
        </w:rPr>
        <w:t>ur le comportement des FDS lors de leurs déploiement pour l’observation des mesures barrières</w:t>
      </w:r>
      <w:r w:rsidR="00E673EA">
        <w:rPr>
          <w:lang w:val="fr-FR"/>
        </w:rPr>
        <w:t>,</w:t>
      </w:r>
      <w:r>
        <w:rPr>
          <w:lang w:val="fr-FR"/>
        </w:rPr>
        <w:t xml:space="preserve"> ont contribué à la sensibilisation pour atténuer les rapports entre populations et FDS</w:t>
      </w:r>
      <w:r w:rsidR="00BC2B79">
        <w:rPr>
          <w:lang w:val="fr-FR"/>
        </w:rPr>
        <w:t xml:space="preserve"> dans </w:t>
      </w:r>
      <w:r w:rsidR="00E673EA">
        <w:rPr>
          <w:lang w:val="fr-FR"/>
        </w:rPr>
        <w:t xml:space="preserve">plusieurs </w:t>
      </w:r>
      <w:r w:rsidR="00BC2B79">
        <w:rPr>
          <w:lang w:val="fr-FR"/>
        </w:rPr>
        <w:t>localité du pays. Les forces de sécurité formées pendant les différentes sessions</w:t>
      </w:r>
      <w:r w:rsidR="00E673EA">
        <w:rPr>
          <w:lang w:val="fr-FR"/>
        </w:rPr>
        <w:t>,</w:t>
      </w:r>
      <w:r w:rsidR="00BC2B79">
        <w:rPr>
          <w:lang w:val="fr-FR"/>
        </w:rPr>
        <w:t xml:space="preserve"> ont aussi largement contribué à la sensibilisation dans différentes unités faisant de celles-ci</w:t>
      </w:r>
      <w:r w:rsidR="00AB3625">
        <w:rPr>
          <w:lang w:val="fr-FR"/>
        </w:rPr>
        <w:t>,</w:t>
      </w:r>
      <w:r w:rsidR="00BC2B79">
        <w:rPr>
          <w:lang w:val="fr-FR"/>
        </w:rPr>
        <w:t xml:space="preserve"> les entités les moins affectées par la pandémie en </w:t>
      </w:r>
      <w:r w:rsidR="00E10BD3">
        <w:rPr>
          <w:lang w:val="fr-FR"/>
        </w:rPr>
        <w:t>Guinée.</w:t>
      </w:r>
      <w:r w:rsidR="00BC2B79">
        <w:rPr>
          <w:lang w:val="fr-FR"/>
        </w:rPr>
        <w:t xml:space="preserve"> </w:t>
      </w:r>
      <w:r>
        <w:rPr>
          <w:lang w:val="fr-FR"/>
        </w:rPr>
        <w:t xml:space="preserve"> Nous notons a</w:t>
      </w:r>
      <w:r w:rsidR="00BC2B79">
        <w:rPr>
          <w:lang w:val="fr-FR"/>
        </w:rPr>
        <w:t>uss</w:t>
      </w:r>
      <w:r>
        <w:rPr>
          <w:lang w:val="fr-FR"/>
        </w:rPr>
        <w:t>i une gestion apaisée d</w:t>
      </w:r>
      <w:r w:rsidR="00AB3625">
        <w:rPr>
          <w:lang w:val="fr-FR"/>
        </w:rPr>
        <w:t>u</w:t>
      </w:r>
      <w:r>
        <w:rPr>
          <w:lang w:val="fr-FR"/>
        </w:rPr>
        <w:t xml:space="preserve"> Covid19 </w:t>
      </w:r>
      <w:r w:rsidR="00AB3625">
        <w:rPr>
          <w:lang w:val="fr-FR"/>
        </w:rPr>
        <w:t>comparée à la crise</w:t>
      </w:r>
      <w:r>
        <w:rPr>
          <w:lang w:val="fr-FR"/>
        </w:rPr>
        <w:t xml:space="preserve"> Ebola en 2014. </w:t>
      </w:r>
    </w:p>
    <w:p w14:paraId="7591EF9C" w14:textId="77777777" w:rsidR="00AB3625" w:rsidRDefault="00AB3625" w:rsidP="004F6810">
      <w:pPr>
        <w:jc w:val="both"/>
        <w:rPr>
          <w:lang w:val="fr-FR"/>
        </w:rPr>
      </w:pPr>
    </w:p>
    <w:p w14:paraId="5DE82694" w14:textId="5713B8AC" w:rsidR="002C4DEF" w:rsidRPr="002C4DEF" w:rsidRDefault="002C4DEF" w:rsidP="004F6810">
      <w:pPr>
        <w:jc w:val="both"/>
        <w:rPr>
          <w:lang w:val="fr-FR"/>
        </w:rPr>
      </w:pPr>
      <w:r>
        <w:rPr>
          <w:lang w:val="fr-FR"/>
        </w:rPr>
        <w:t>Les cas de VBG ont connu une gestion efficace au niveau de l’OPROGEM</w:t>
      </w:r>
      <w:r w:rsidR="00A3307A">
        <w:rPr>
          <w:lang w:val="fr-FR"/>
        </w:rPr>
        <w:t xml:space="preserve"> par le bon établissement des procès-verbaux et le suivi à partir des </w:t>
      </w:r>
      <w:r w:rsidR="00AB3625">
        <w:rPr>
          <w:lang w:val="fr-FR"/>
        </w:rPr>
        <w:t>structures de santé (</w:t>
      </w:r>
      <w:r w:rsidR="00A3307A">
        <w:rPr>
          <w:lang w:val="fr-FR"/>
        </w:rPr>
        <w:t>hôpitaux</w:t>
      </w:r>
      <w:r w:rsidR="00AB3625">
        <w:rPr>
          <w:lang w:val="fr-FR"/>
        </w:rPr>
        <w:t xml:space="preserve"> et centres de santé)</w:t>
      </w:r>
      <w:r w:rsidR="00A3307A">
        <w:rPr>
          <w:lang w:val="fr-FR"/>
        </w:rPr>
        <w:t xml:space="preserve"> jusqu’aux tribunaux.</w:t>
      </w:r>
    </w:p>
    <w:p w14:paraId="22885BEA" w14:textId="77777777" w:rsidR="00600B5F" w:rsidRPr="002C4DEF" w:rsidRDefault="00600B5F" w:rsidP="00600B5F">
      <w:pPr>
        <w:ind w:left="2160"/>
        <w:rPr>
          <w:lang w:val="fr-FR"/>
        </w:rPr>
      </w:pPr>
    </w:p>
    <w:p w14:paraId="63ED12FA" w14:textId="77777777" w:rsidR="004E3B3E" w:rsidRPr="002C4DEF" w:rsidRDefault="004E3B3E" w:rsidP="0078600B">
      <w:pPr>
        <w:rPr>
          <w:lang w:val="fr-FR"/>
        </w:rPr>
        <w:sectPr w:rsidR="004E3B3E" w:rsidRPr="002C4DEF"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45792B01" w:rsidR="00675507"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4739336" w14:textId="70E37440" w:rsidR="00772BDC" w:rsidRDefault="00772BDC" w:rsidP="00675507">
      <w:pPr>
        <w:pStyle w:val="PrformatHTML"/>
        <w:shd w:val="clear" w:color="auto" w:fill="FFFFFF"/>
        <w:rPr>
          <w:rFonts w:ascii="inherit" w:hAnsi="inherit"/>
          <w:color w:val="212121"/>
          <w:sz w:val="22"/>
          <w:szCs w:val="22"/>
          <w:lang w:val="fr-FR"/>
        </w:rPr>
      </w:pPr>
    </w:p>
    <w:p w14:paraId="2BD70B10" w14:textId="77777777" w:rsidR="00772BDC" w:rsidRPr="005529F5" w:rsidRDefault="00772BDC" w:rsidP="00772BDC">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772BDC" w:rsidRPr="00330C84" w14:paraId="581DBBA5" w14:textId="77777777" w:rsidTr="00BB2BB3">
        <w:trPr>
          <w:tblHeader/>
        </w:trPr>
        <w:tc>
          <w:tcPr>
            <w:tcW w:w="1530" w:type="dxa"/>
          </w:tcPr>
          <w:p w14:paraId="73D0416C" w14:textId="77777777" w:rsidR="00772BDC" w:rsidRPr="008172EF" w:rsidRDefault="00772BDC" w:rsidP="00BB2BB3">
            <w:pPr>
              <w:jc w:val="center"/>
              <w:rPr>
                <w:b/>
                <w:sz w:val="22"/>
                <w:szCs w:val="22"/>
                <w:lang w:val="fr-FR" w:eastAsia="en-US"/>
              </w:rPr>
            </w:pPr>
          </w:p>
        </w:tc>
        <w:tc>
          <w:tcPr>
            <w:tcW w:w="2070" w:type="dxa"/>
            <w:shd w:val="clear" w:color="auto" w:fill="EEECE1"/>
          </w:tcPr>
          <w:p w14:paraId="176AB98F" w14:textId="77777777" w:rsidR="00772BDC" w:rsidRPr="008172EF" w:rsidRDefault="00772BDC" w:rsidP="00BB2BB3">
            <w:pPr>
              <w:jc w:val="center"/>
              <w:rPr>
                <w:b/>
                <w:sz w:val="22"/>
                <w:szCs w:val="22"/>
                <w:lang w:val="fr-FR" w:eastAsia="en-US"/>
              </w:rPr>
            </w:pPr>
            <w:r w:rsidRPr="008172EF">
              <w:rPr>
                <w:b/>
                <w:sz w:val="22"/>
                <w:szCs w:val="22"/>
                <w:lang w:val="fr-FR" w:eastAsia="en-US"/>
              </w:rPr>
              <w:t>Indicateurs</w:t>
            </w:r>
          </w:p>
        </w:tc>
        <w:tc>
          <w:tcPr>
            <w:tcW w:w="1530" w:type="dxa"/>
            <w:shd w:val="clear" w:color="auto" w:fill="EEECE1"/>
          </w:tcPr>
          <w:p w14:paraId="745D5706" w14:textId="77777777" w:rsidR="00772BDC" w:rsidRPr="008172EF" w:rsidRDefault="00772BDC" w:rsidP="00BB2BB3">
            <w:pPr>
              <w:jc w:val="center"/>
              <w:rPr>
                <w:b/>
                <w:sz w:val="22"/>
                <w:szCs w:val="22"/>
                <w:lang w:val="fr-FR" w:eastAsia="en-US"/>
              </w:rPr>
            </w:pPr>
            <w:r w:rsidRPr="008172EF">
              <w:rPr>
                <w:b/>
                <w:sz w:val="22"/>
                <w:szCs w:val="22"/>
                <w:lang w:val="fr-FR" w:eastAsia="en-US"/>
              </w:rPr>
              <w:t xml:space="preserve">Base de </w:t>
            </w:r>
            <w:proofErr w:type="gramStart"/>
            <w:r w:rsidRPr="008172EF">
              <w:rPr>
                <w:b/>
                <w:sz w:val="22"/>
                <w:szCs w:val="22"/>
                <w:lang w:val="fr-FR" w:eastAsia="en-US"/>
              </w:rPr>
              <w:t>donnée</w:t>
            </w:r>
            <w:proofErr w:type="gramEnd"/>
          </w:p>
        </w:tc>
        <w:tc>
          <w:tcPr>
            <w:tcW w:w="1620" w:type="dxa"/>
            <w:shd w:val="clear" w:color="auto" w:fill="EEECE1"/>
          </w:tcPr>
          <w:p w14:paraId="3BE0643C" w14:textId="77777777" w:rsidR="00772BDC" w:rsidRPr="008172EF" w:rsidRDefault="00772BDC" w:rsidP="00BB2BB3">
            <w:pPr>
              <w:jc w:val="center"/>
              <w:rPr>
                <w:b/>
                <w:sz w:val="22"/>
                <w:szCs w:val="22"/>
                <w:lang w:val="fr-FR" w:eastAsia="en-US"/>
              </w:rPr>
            </w:pPr>
            <w:r w:rsidRPr="008172EF">
              <w:rPr>
                <w:b/>
                <w:sz w:val="22"/>
                <w:szCs w:val="22"/>
                <w:lang w:val="fr-FR" w:eastAsia="en-US"/>
              </w:rPr>
              <w:t>Cible de fin de projet</w:t>
            </w:r>
          </w:p>
        </w:tc>
        <w:tc>
          <w:tcPr>
            <w:tcW w:w="2070" w:type="dxa"/>
          </w:tcPr>
          <w:p w14:paraId="2A7230BC" w14:textId="77777777" w:rsidR="00772BDC" w:rsidRPr="008172EF" w:rsidRDefault="00772BDC" w:rsidP="00BB2BB3">
            <w:pPr>
              <w:jc w:val="center"/>
              <w:rPr>
                <w:b/>
                <w:sz w:val="22"/>
                <w:szCs w:val="22"/>
                <w:lang w:val="fr-FR" w:eastAsia="en-US"/>
              </w:rPr>
            </w:pPr>
            <w:r w:rsidRPr="008172EF">
              <w:rPr>
                <w:b/>
                <w:sz w:val="22"/>
                <w:szCs w:val="22"/>
                <w:lang w:val="fr-FR" w:eastAsia="en-US"/>
              </w:rPr>
              <w:t xml:space="preserve">Etapes d’indicateur/ </w:t>
            </w:r>
            <w:proofErr w:type="spellStart"/>
            <w:r w:rsidRPr="008172EF">
              <w:rPr>
                <w:b/>
                <w:sz w:val="22"/>
                <w:szCs w:val="22"/>
                <w:lang w:val="fr-FR" w:eastAsia="en-US"/>
              </w:rPr>
              <w:t>milestone</w:t>
            </w:r>
            <w:proofErr w:type="spellEnd"/>
          </w:p>
        </w:tc>
        <w:tc>
          <w:tcPr>
            <w:tcW w:w="2070" w:type="dxa"/>
          </w:tcPr>
          <w:p w14:paraId="79C45517" w14:textId="77777777" w:rsidR="00772BDC" w:rsidRPr="008172EF" w:rsidRDefault="00772BDC" w:rsidP="00BB2BB3">
            <w:pPr>
              <w:jc w:val="center"/>
              <w:rPr>
                <w:b/>
                <w:sz w:val="22"/>
                <w:szCs w:val="22"/>
                <w:lang w:val="fr-FR" w:eastAsia="en-US"/>
              </w:rPr>
            </w:pPr>
            <w:r w:rsidRPr="008172EF">
              <w:rPr>
                <w:b/>
                <w:sz w:val="22"/>
                <w:szCs w:val="22"/>
                <w:lang w:val="fr-FR" w:eastAsia="en-US"/>
              </w:rPr>
              <w:t>Progrès actuel de l’indicateur</w:t>
            </w:r>
          </w:p>
        </w:tc>
        <w:tc>
          <w:tcPr>
            <w:tcW w:w="4140" w:type="dxa"/>
          </w:tcPr>
          <w:p w14:paraId="7C01476B" w14:textId="77777777" w:rsidR="00772BDC" w:rsidRPr="008172EF" w:rsidRDefault="00772BDC" w:rsidP="00BB2BB3">
            <w:pPr>
              <w:jc w:val="center"/>
              <w:rPr>
                <w:b/>
                <w:sz w:val="22"/>
                <w:szCs w:val="22"/>
                <w:lang w:val="fr-FR" w:eastAsia="en-US"/>
              </w:rPr>
            </w:pPr>
            <w:r w:rsidRPr="008172EF">
              <w:rPr>
                <w:b/>
                <w:sz w:val="22"/>
                <w:szCs w:val="22"/>
                <w:lang w:val="fr-FR" w:eastAsia="en-US"/>
              </w:rPr>
              <w:t>Raisons pour les retards ou changements</w:t>
            </w:r>
          </w:p>
        </w:tc>
      </w:tr>
      <w:tr w:rsidR="00772BDC" w:rsidRPr="00330C84" w14:paraId="5AC288CB" w14:textId="77777777" w:rsidTr="00BB2BB3">
        <w:trPr>
          <w:trHeight w:val="548"/>
        </w:trPr>
        <w:tc>
          <w:tcPr>
            <w:tcW w:w="1530" w:type="dxa"/>
            <w:vMerge w:val="restart"/>
          </w:tcPr>
          <w:p w14:paraId="07B498D0" w14:textId="77777777" w:rsidR="00772BDC" w:rsidRPr="008172EF" w:rsidRDefault="00772BDC" w:rsidP="00BB2BB3">
            <w:pPr>
              <w:rPr>
                <w:b/>
                <w:sz w:val="22"/>
                <w:szCs w:val="22"/>
                <w:lang w:val="fr-FR" w:eastAsia="en-US"/>
              </w:rPr>
            </w:pPr>
            <w:r w:rsidRPr="008172EF">
              <w:rPr>
                <w:b/>
                <w:sz w:val="22"/>
                <w:szCs w:val="22"/>
                <w:lang w:val="fr-FR" w:eastAsia="en-US"/>
              </w:rPr>
              <w:t>Résultat 1</w:t>
            </w:r>
          </w:p>
          <w:p w14:paraId="36571E4F" w14:textId="77777777" w:rsidR="00772BDC" w:rsidRPr="008172EF" w:rsidRDefault="00772BDC" w:rsidP="00BB2BB3">
            <w:pPr>
              <w:rPr>
                <w:b/>
                <w:sz w:val="22"/>
                <w:szCs w:val="22"/>
                <w:lang w:val="fr-FR" w:eastAsia="en-US"/>
              </w:rPr>
            </w:pPr>
            <w:r w:rsidRPr="008172EF">
              <w:rPr>
                <w:sz w:val="22"/>
                <w:szCs w:val="22"/>
                <w:lang w:val="fr-FR"/>
              </w:rPr>
              <w:t>La redevabilité et la transparence des services de police sont améliorées à travers le renforcement des mécanismes de contrôle interne et externes</w:t>
            </w:r>
          </w:p>
        </w:tc>
        <w:tc>
          <w:tcPr>
            <w:tcW w:w="2070" w:type="dxa"/>
            <w:shd w:val="clear" w:color="auto" w:fill="EEECE1"/>
          </w:tcPr>
          <w:p w14:paraId="47327FC3" w14:textId="77777777" w:rsidR="00772BDC" w:rsidRPr="008172EF" w:rsidRDefault="00772BDC" w:rsidP="00BB2BB3">
            <w:pPr>
              <w:jc w:val="both"/>
              <w:rPr>
                <w:sz w:val="22"/>
                <w:szCs w:val="22"/>
                <w:lang w:val="fr-FR" w:eastAsia="en-US"/>
              </w:rPr>
            </w:pPr>
            <w:r w:rsidRPr="008172EF">
              <w:rPr>
                <w:sz w:val="22"/>
                <w:szCs w:val="22"/>
                <w:lang w:val="fr-FR" w:eastAsia="en-US"/>
              </w:rPr>
              <w:t xml:space="preserve">Indicateur 1.1 : Niveau de confiance de la population dans les services de police  </w:t>
            </w:r>
          </w:p>
          <w:p w14:paraId="775C251E" w14:textId="77777777" w:rsidR="00772BDC" w:rsidRPr="008172EF" w:rsidRDefault="00772BDC" w:rsidP="00BB2BB3">
            <w:pPr>
              <w:jc w:val="both"/>
              <w:rPr>
                <w:sz w:val="22"/>
                <w:szCs w:val="22"/>
                <w:lang w:val="fr-FR" w:eastAsia="en-US"/>
              </w:rPr>
            </w:pPr>
            <w:r w:rsidRPr="008172EF">
              <w:rPr>
                <w:sz w:val="22"/>
                <w:szCs w:val="22"/>
                <w:lang w:val="fr-FR" w:eastAsia="en-US"/>
              </w:rPr>
              <w:t>.</w:t>
            </w:r>
          </w:p>
          <w:p w14:paraId="2508E277" w14:textId="77777777" w:rsidR="00772BDC" w:rsidRPr="008172EF" w:rsidRDefault="00772BDC" w:rsidP="00BB2BB3">
            <w:pPr>
              <w:rPr>
                <w:sz w:val="22"/>
                <w:szCs w:val="22"/>
                <w:lang w:val="fr-FR" w:eastAsia="en-US"/>
              </w:rPr>
            </w:pPr>
          </w:p>
          <w:p w14:paraId="60E4BEBA" w14:textId="77777777" w:rsidR="00772BDC" w:rsidRPr="008172EF" w:rsidRDefault="00772BDC" w:rsidP="00BB2BB3">
            <w:pPr>
              <w:jc w:val="both"/>
              <w:rPr>
                <w:sz w:val="22"/>
                <w:szCs w:val="22"/>
                <w:lang w:val="fr-FR" w:eastAsia="en-US"/>
              </w:rPr>
            </w:pPr>
          </w:p>
        </w:tc>
        <w:tc>
          <w:tcPr>
            <w:tcW w:w="1530" w:type="dxa"/>
            <w:shd w:val="clear" w:color="auto" w:fill="EEECE1"/>
          </w:tcPr>
          <w:p w14:paraId="4275DB0F" w14:textId="77777777" w:rsidR="00772BDC" w:rsidRPr="008172EF" w:rsidRDefault="00772BDC" w:rsidP="00BB2BB3">
            <w:pPr>
              <w:rPr>
                <w:sz w:val="22"/>
                <w:szCs w:val="22"/>
                <w:lang w:val="fr-FR" w:eastAsia="en-US"/>
              </w:rPr>
            </w:pPr>
            <w:r w:rsidRPr="008172EF">
              <w:rPr>
                <w:b/>
                <w:sz w:val="22"/>
                <w:szCs w:val="22"/>
                <w:lang w:val="fr-FR" w:eastAsia="en-US"/>
              </w:rPr>
              <w:t>4% (Enquête de perception des services de la police 2019).</w:t>
            </w:r>
          </w:p>
        </w:tc>
        <w:tc>
          <w:tcPr>
            <w:tcW w:w="1620" w:type="dxa"/>
            <w:shd w:val="clear" w:color="auto" w:fill="EEECE1"/>
          </w:tcPr>
          <w:p w14:paraId="3E61A118" w14:textId="77777777" w:rsidR="00772BDC" w:rsidRPr="008172EF" w:rsidRDefault="00772BDC" w:rsidP="00BB2BB3">
            <w:pPr>
              <w:rPr>
                <w:bCs/>
                <w:sz w:val="22"/>
                <w:szCs w:val="22"/>
                <w:lang w:val="fr-FR" w:eastAsia="en-US"/>
              </w:rPr>
            </w:pPr>
            <w:r w:rsidRPr="008172EF">
              <w:rPr>
                <w:bCs/>
                <w:sz w:val="22"/>
                <w:szCs w:val="22"/>
                <w:lang w:val="fr-FR" w:eastAsia="en-US"/>
              </w:rPr>
              <w:t>19%</w:t>
            </w:r>
          </w:p>
          <w:p w14:paraId="426DFCF8" w14:textId="77777777" w:rsidR="00772BDC" w:rsidRPr="008172EF" w:rsidRDefault="00772BDC" w:rsidP="00BB2BB3">
            <w:pPr>
              <w:rPr>
                <w:bCs/>
                <w:sz w:val="22"/>
                <w:szCs w:val="22"/>
                <w:lang w:val="fr-FR" w:eastAsia="en-US"/>
              </w:rPr>
            </w:pPr>
            <w:r w:rsidRPr="008172EF">
              <w:rPr>
                <w:bCs/>
                <w:sz w:val="22"/>
                <w:szCs w:val="22"/>
                <w:lang w:val="fr-FR" w:eastAsia="en-US"/>
              </w:rPr>
              <w:t xml:space="preserve">Amélioration de la confiance de +15 % </w:t>
            </w:r>
          </w:p>
          <w:p w14:paraId="108E9B7A" w14:textId="77777777" w:rsidR="00772BDC" w:rsidRPr="008172EF" w:rsidRDefault="00772BDC" w:rsidP="00BB2BB3">
            <w:pPr>
              <w:rPr>
                <w:sz w:val="22"/>
                <w:szCs w:val="22"/>
                <w:lang w:val="fr-FR"/>
              </w:rPr>
            </w:pPr>
            <w:r w:rsidRPr="008172EF">
              <w:rPr>
                <w:bCs/>
                <w:sz w:val="22"/>
                <w:szCs w:val="22"/>
                <w:lang w:val="fr-FR" w:eastAsia="en-US"/>
              </w:rPr>
              <w:t>Données désagrégées par sexe et tranches d’âge,</w:t>
            </w:r>
            <w:r w:rsidRPr="008172EF">
              <w:rPr>
                <w:b/>
                <w:sz w:val="22"/>
                <w:szCs w:val="22"/>
                <w:lang w:val="fr-FR" w:eastAsia="en-US"/>
              </w:rPr>
              <w:t xml:space="preserve">  </w:t>
            </w:r>
          </w:p>
        </w:tc>
        <w:tc>
          <w:tcPr>
            <w:tcW w:w="2070" w:type="dxa"/>
          </w:tcPr>
          <w:p w14:paraId="49EF4194" w14:textId="77777777" w:rsidR="00772BDC" w:rsidRPr="008172EF" w:rsidRDefault="00772BDC" w:rsidP="00BB2BB3">
            <w:pPr>
              <w:rPr>
                <w:bCs/>
                <w:sz w:val="22"/>
                <w:szCs w:val="22"/>
                <w:lang w:val="fr-FR"/>
              </w:rPr>
            </w:pPr>
            <w:r w:rsidRPr="008172EF">
              <w:rPr>
                <w:bCs/>
                <w:sz w:val="22"/>
                <w:szCs w:val="22"/>
                <w:lang w:val="fr-FR" w:eastAsia="en-US"/>
              </w:rPr>
              <w:t>NA</w:t>
            </w:r>
          </w:p>
        </w:tc>
        <w:tc>
          <w:tcPr>
            <w:tcW w:w="2070" w:type="dxa"/>
          </w:tcPr>
          <w:p w14:paraId="7AB3B5AF" w14:textId="25BABCCE" w:rsidR="00772BDC" w:rsidRPr="008172EF" w:rsidRDefault="00674AA9" w:rsidP="00BB2BB3">
            <w:pPr>
              <w:rPr>
                <w:bCs/>
                <w:sz w:val="22"/>
                <w:szCs w:val="22"/>
                <w:lang w:val="fr-FR"/>
              </w:rPr>
            </w:pPr>
            <w:r>
              <w:rPr>
                <w:bCs/>
                <w:sz w:val="22"/>
                <w:szCs w:val="22"/>
                <w:lang w:val="fr-FR" w:eastAsia="en-US"/>
              </w:rPr>
              <w:t>36%</w:t>
            </w:r>
          </w:p>
        </w:tc>
        <w:tc>
          <w:tcPr>
            <w:tcW w:w="4140" w:type="dxa"/>
          </w:tcPr>
          <w:p w14:paraId="5B4E027E" w14:textId="202A860F" w:rsidR="00772BDC" w:rsidRPr="008172EF" w:rsidRDefault="00674AA9" w:rsidP="00BB2BB3">
            <w:pPr>
              <w:rPr>
                <w:bCs/>
                <w:sz w:val="22"/>
                <w:szCs w:val="22"/>
                <w:lang w:val="fr-FR"/>
              </w:rPr>
            </w:pPr>
            <w:r>
              <w:rPr>
                <w:bCs/>
                <w:sz w:val="22"/>
                <w:szCs w:val="22"/>
                <w:lang w:val="fr-FR" w:eastAsia="en-US"/>
              </w:rPr>
              <w:t>Soit +17% d’amélioration pour une prévision de +15.</w:t>
            </w:r>
          </w:p>
        </w:tc>
      </w:tr>
      <w:tr w:rsidR="00772BDC" w:rsidRPr="00330C84" w14:paraId="300EE110" w14:textId="77777777" w:rsidTr="00BB2BB3">
        <w:trPr>
          <w:trHeight w:val="548"/>
        </w:trPr>
        <w:tc>
          <w:tcPr>
            <w:tcW w:w="1530" w:type="dxa"/>
            <w:vMerge/>
          </w:tcPr>
          <w:p w14:paraId="7406B899" w14:textId="77777777" w:rsidR="00772BDC" w:rsidRPr="008172EF" w:rsidRDefault="00772BDC" w:rsidP="00BB2BB3">
            <w:pPr>
              <w:rPr>
                <w:b/>
                <w:sz w:val="22"/>
                <w:szCs w:val="22"/>
                <w:lang w:val="fr-FR" w:eastAsia="en-US"/>
              </w:rPr>
            </w:pPr>
          </w:p>
        </w:tc>
        <w:tc>
          <w:tcPr>
            <w:tcW w:w="2070" w:type="dxa"/>
            <w:shd w:val="clear" w:color="auto" w:fill="EEECE1"/>
          </w:tcPr>
          <w:p w14:paraId="40E4B227" w14:textId="77777777" w:rsidR="00772BDC" w:rsidRPr="008172EF" w:rsidRDefault="00772BDC" w:rsidP="00BB2BB3">
            <w:pPr>
              <w:jc w:val="both"/>
              <w:rPr>
                <w:sz w:val="22"/>
                <w:szCs w:val="22"/>
                <w:lang w:val="fr-FR" w:eastAsia="en-US"/>
              </w:rPr>
            </w:pPr>
            <w:r w:rsidRPr="008172EF">
              <w:rPr>
                <w:sz w:val="22"/>
                <w:szCs w:val="22"/>
                <w:lang w:val="fr-FR" w:eastAsia="en-US"/>
              </w:rPr>
              <w:t>Indicateur 1.2 : Evolution du nombre de cas de mauvaises pratiques de la part des FDS signalées par les populations</w:t>
            </w:r>
          </w:p>
          <w:p w14:paraId="209363A7" w14:textId="77777777" w:rsidR="00772BDC" w:rsidRPr="008172EF" w:rsidRDefault="00772BDC" w:rsidP="00BB2BB3">
            <w:pPr>
              <w:rPr>
                <w:sz w:val="22"/>
                <w:szCs w:val="22"/>
                <w:lang w:val="fr-FR" w:eastAsia="en-US"/>
              </w:rPr>
            </w:pPr>
          </w:p>
          <w:p w14:paraId="5162BD35" w14:textId="77777777" w:rsidR="00772BDC" w:rsidRPr="008172EF" w:rsidRDefault="00772BDC" w:rsidP="00BB2BB3">
            <w:pPr>
              <w:jc w:val="both"/>
              <w:rPr>
                <w:sz w:val="22"/>
                <w:szCs w:val="22"/>
                <w:lang w:val="fr-FR" w:eastAsia="en-US"/>
              </w:rPr>
            </w:pPr>
          </w:p>
        </w:tc>
        <w:tc>
          <w:tcPr>
            <w:tcW w:w="1530" w:type="dxa"/>
            <w:shd w:val="clear" w:color="auto" w:fill="EEECE1"/>
          </w:tcPr>
          <w:p w14:paraId="5401754A" w14:textId="77777777" w:rsidR="00772BDC" w:rsidRPr="008172EF" w:rsidRDefault="00772BDC" w:rsidP="00BB2BB3">
            <w:pPr>
              <w:rPr>
                <w:b/>
                <w:sz w:val="22"/>
                <w:szCs w:val="22"/>
                <w:lang w:val="fr-FR" w:eastAsia="en-US"/>
              </w:rPr>
            </w:pPr>
            <w:r w:rsidRPr="008172EF">
              <w:rPr>
                <w:b/>
                <w:sz w:val="22"/>
                <w:szCs w:val="22"/>
                <w:lang w:val="fr-FR" w:eastAsia="en-US"/>
              </w:rPr>
              <w:t>60% (ne trouvent pas efficace les services de police</w:t>
            </w:r>
          </w:p>
          <w:p w14:paraId="56FD8C52" w14:textId="77777777" w:rsidR="00772BDC" w:rsidRPr="008172EF" w:rsidRDefault="00772BDC" w:rsidP="00BB2BB3">
            <w:pPr>
              <w:rPr>
                <w:sz w:val="22"/>
                <w:szCs w:val="22"/>
                <w:lang w:val="fr-FR"/>
              </w:rPr>
            </w:pPr>
            <w:r w:rsidRPr="008172EF">
              <w:rPr>
                <w:b/>
                <w:sz w:val="22"/>
                <w:szCs w:val="22"/>
                <w:lang w:val="fr-FR" w:eastAsia="en-US"/>
              </w:rPr>
              <w:t>(Enquête de perception des services de la police 2019)</w:t>
            </w:r>
          </w:p>
        </w:tc>
        <w:tc>
          <w:tcPr>
            <w:tcW w:w="1620" w:type="dxa"/>
            <w:shd w:val="clear" w:color="auto" w:fill="EEECE1"/>
          </w:tcPr>
          <w:p w14:paraId="57FD09F8" w14:textId="77777777" w:rsidR="00772BDC" w:rsidRPr="008172EF" w:rsidRDefault="00772BDC" w:rsidP="00BB2BB3">
            <w:pPr>
              <w:rPr>
                <w:sz w:val="22"/>
                <w:szCs w:val="22"/>
                <w:lang w:val="fr-FR"/>
              </w:rPr>
            </w:pPr>
            <w:r w:rsidRPr="008172EF">
              <w:rPr>
                <w:b/>
                <w:sz w:val="22"/>
                <w:szCs w:val="22"/>
                <w:lang w:val="fr-FR" w:eastAsia="en-US"/>
              </w:rPr>
              <w:t>45% (-15%) Cas</w:t>
            </w:r>
          </w:p>
        </w:tc>
        <w:tc>
          <w:tcPr>
            <w:tcW w:w="2070" w:type="dxa"/>
          </w:tcPr>
          <w:p w14:paraId="21744351" w14:textId="77777777" w:rsidR="00772BDC" w:rsidRPr="008172EF" w:rsidRDefault="00772BDC" w:rsidP="00BB2BB3">
            <w:pPr>
              <w:rPr>
                <w:sz w:val="22"/>
                <w:szCs w:val="22"/>
                <w:lang w:val="fr-FR"/>
              </w:rPr>
            </w:pPr>
            <w:r w:rsidRPr="008172EF">
              <w:rPr>
                <w:b/>
                <w:sz w:val="22"/>
                <w:szCs w:val="22"/>
                <w:lang w:val="fr-FR" w:eastAsia="en-US"/>
              </w:rPr>
              <w:t>NA</w:t>
            </w:r>
          </w:p>
        </w:tc>
        <w:tc>
          <w:tcPr>
            <w:tcW w:w="2070" w:type="dxa"/>
          </w:tcPr>
          <w:p w14:paraId="04473433" w14:textId="44B27D10" w:rsidR="00772BDC" w:rsidRPr="008172EF" w:rsidRDefault="004B1754" w:rsidP="00BB2BB3">
            <w:pPr>
              <w:rPr>
                <w:sz w:val="22"/>
                <w:szCs w:val="22"/>
                <w:lang w:val="fr-FR"/>
              </w:rPr>
            </w:pPr>
            <w:r>
              <w:rPr>
                <w:b/>
                <w:sz w:val="22"/>
                <w:szCs w:val="22"/>
                <w:lang w:val="fr-FR" w:eastAsia="en-US"/>
              </w:rPr>
              <w:t>40,67%</w:t>
            </w:r>
          </w:p>
        </w:tc>
        <w:tc>
          <w:tcPr>
            <w:tcW w:w="4140" w:type="dxa"/>
          </w:tcPr>
          <w:p w14:paraId="3AAA3DBA" w14:textId="06EA9D4B" w:rsidR="00772BDC" w:rsidRPr="008172EF" w:rsidRDefault="004B1754" w:rsidP="00BB2BB3">
            <w:pPr>
              <w:rPr>
                <w:bCs/>
                <w:sz w:val="22"/>
                <w:szCs w:val="22"/>
                <w:lang w:val="fr-FR"/>
              </w:rPr>
            </w:pPr>
            <w:r>
              <w:rPr>
                <w:bCs/>
                <w:sz w:val="22"/>
                <w:szCs w:val="22"/>
                <w:lang w:val="fr-FR" w:eastAsia="en-US"/>
              </w:rPr>
              <w:t xml:space="preserve">Soit -20% correspondant à un dépassement de l’objectif de </w:t>
            </w:r>
            <w:proofErr w:type="gramStart"/>
            <w:r>
              <w:rPr>
                <w:bCs/>
                <w:sz w:val="22"/>
                <w:szCs w:val="22"/>
                <w:lang w:val="fr-FR" w:eastAsia="en-US"/>
              </w:rPr>
              <w:t>cinq point</w:t>
            </w:r>
            <w:proofErr w:type="gramEnd"/>
            <w:r>
              <w:rPr>
                <w:bCs/>
                <w:sz w:val="22"/>
                <w:szCs w:val="22"/>
                <w:lang w:val="fr-FR" w:eastAsia="en-US"/>
              </w:rPr>
              <w:t xml:space="preserve"> après la mise en œuvre du projet </w:t>
            </w:r>
            <w:r w:rsidR="00873D72">
              <w:rPr>
                <w:bCs/>
                <w:sz w:val="22"/>
                <w:szCs w:val="22"/>
                <w:lang w:val="fr-FR" w:eastAsia="en-US"/>
              </w:rPr>
              <w:t>(40% contre une prévision de 45%)</w:t>
            </w:r>
          </w:p>
        </w:tc>
      </w:tr>
      <w:tr w:rsidR="00772BDC" w:rsidRPr="00330C84" w14:paraId="4BB81746" w14:textId="77777777" w:rsidTr="00BB2BB3">
        <w:trPr>
          <w:trHeight w:val="548"/>
        </w:trPr>
        <w:tc>
          <w:tcPr>
            <w:tcW w:w="1530" w:type="dxa"/>
            <w:vMerge/>
          </w:tcPr>
          <w:p w14:paraId="45DCEA25" w14:textId="77777777" w:rsidR="00772BDC" w:rsidRPr="008172EF" w:rsidRDefault="00772BDC" w:rsidP="00BB2BB3">
            <w:pPr>
              <w:rPr>
                <w:sz w:val="22"/>
                <w:szCs w:val="22"/>
                <w:lang w:val="fr-FR" w:eastAsia="en-US"/>
              </w:rPr>
            </w:pPr>
          </w:p>
        </w:tc>
        <w:tc>
          <w:tcPr>
            <w:tcW w:w="2070" w:type="dxa"/>
            <w:shd w:val="clear" w:color="auto" w:fill="EEECE1"/>
          </w:tcPr>
          <w:p w14:paraId="470F6448" w14:textId="77777777" w:rsidR="00772BDC" w:rsidRPr="008172EF" w:rsidRDefault="00772BDC" w:rsidP="00BB2BB3">
            <w:pPr>
              <w:jc w:val="both"/>
              <w:rPr>
                <w:sz w:val="22"/>
                <w:szCs w:val="22"/>
                <w:lang w:val="fr-FR" w:eastAsia="en-US"/>
              </w:rPr>
            </w:pPr>
            <w:r w:rsidRPr="008172EF">
              <w:rPr>
                <w:sz w:val="22"/>
                <w:szCs w:val="22"/>
                <w:lang w:val="fr-FR" w:eastAsia="en-US"/>
              </w:rPr>
              <w:t>Indicateur 1.3 : niveau de transparence et redevabilité perçu par les populations</w:t>
            </w:r>
          </w:p>
          <w:p w14:paraId="34870C01" w14:textId="77777777" w:rsidR="00772BDC" w:rsidRPr="008172EF" w:rsidRDefault="00772BDC" w:rsidP="00BB2BB3">
            <w:pPr>
              <w:rPr>
                <w:sz w:val="22"/>
                <w:szCs w:val="22"/>
                <w:lang w:val="fr-FR" w:eastAsia="en-US"/>
              </w:rPr>
            </w:pPr>
          </w:p>
          <w:p w14:paraId="3BE440C7" w14:textId="77777777" w:rsidR="00772BDC" w:rsidRPr="008172EF" w:rsidRDefault="00772BDC" w:rsidP="00BB2BB3">
            <w:pPr>
              <w:jc w:val="both"/>
              <w:rPr>
                <w:sz w:val="22"/>
                <w:szCs w:val="22"/>
                <w:lang w:val="fr-FR" w:eastAsia="en-US"/>
              </w:rPr>
            </w:pPr>
          </w:p>
        </w:tc>
        <w:tc>
          <w:tcPr>
            <w:tcW w:w="1530" w:type="dxa"/>
            <w:shd w:val="clear" w:color="auto" w:fill="EEECE1"/>
          </w:tcPr>
          <w:p w14:paraId="3E95F7E5" w14:textId="77777777" w:rsidR="00772BDC" w:rsidRPr="008172EF" w:rsidRDefault="00772BDC" w:rsidP="00BB2BB3">
            <w:pPr>
              <w:rPr>
                <w:sz w:val="22"/>
                <w:szCs w:val="22"/>
                <w:lang w:val="fr-FR"/>
              </w:rPr>
            </w:pPr>
            <w:r w:rsidRPr="008172EF">
              <w:rPr>
                <w:sz w:val="22"/>
                <w:szCs w:val="22"/>
                <w:lang w:val="fr-FR"/>
              </w:rPr>
              <w:t>Base de données : 55% font peu confiance à la police.</w:t>
            </w:r>
          </w:p>
          <w:p w14:paraId="1A53F1B9" w14:textId="77777777" w:rsidR="00772BDC" w:rsidRPr="008172EF" w:rsidRDefault="00772BDC" w:rsidP="00BB2BB3">
            <w:pPr>
              <w:rPr>
                <w:sz w:val="22"/>
                <w:szCs w:val="22"/>
                <w:lang w:val="fr-FR"/>
              </w:rPr>
            </w:pPr>
            <w:r w:rsidRPr="008172EF">
              <w:rPr>
                <w:b/>
                <w:sz w:val="22"/>
                <w:szCs w:val="22"/>
                <w:lang w:val="fr-FR" w:eastAsia="en-US"/>
              </w:rPr>
              <w:t>(Enquête de perception des services de la police 2019</w:t>
            </w:r>
            <w:r w:rsidRPr="008172EF">
              <w:rPr>
                <w:sz w:val="22"/>
                <w:szCs w:val="22"/>
                <w:lang w:val="fr-FR"/>
              </w:rPr>
              <w:t xml:space="preserve"> </w:t>
            </w:r>
          </w:p>
          <w:p w14:paraId="216CFE68" w14:textId="77777777" w:rsidR="00772BDC" w:rsidRPr="008172EF" w:rsidRDefault="00772BDC" w:rsidP="00BB2BB3">
            <w:pPr>
              <w:rPr>
                <w:sz w:val="22"/>
                <w:szCs w:val="22"/>
                <w:lang w:val="fr-FR"/>
              </w:rPr>
            </w:pPr>
          </w:p>
        </w:tc>
        <w:tc>
          <w:tcPr>
            <w:tcW w:w="1620" w:type="dxa"/>
            <w:shd w:val="clear" w:color="auto" w:fill="EEECE1"/>
          </w:tcPr>
          <w:p w14:paraId="6D689819" w14:textId="77777777" w:rsidR="00772BDC" w:rsidRPr="008172EF" w:rsidRDefault="00772BDC" w:rsidP="00BB2BB3">
            <w:pPr>
              <w:rPr>
                <w:sz w:val="22"/>
                <w:szCs w:val="22"/>
                <w:lang w:val="fr-FR"/>
              </w:rPr>
            </w:pPr>
            <w:r w:rsidRPr="008172EF">
              <w:rPr>
                <w:b/>
                <w:sz w:val="22"/>
                <w:szCs w:val="22"/>
                <w:lang w:val="fr-FR" w:eastAsia="en-US"/>
              </w:rPr>
              <w:t>40% (-15%) à la fin du projet.</w:t>
            </w:r>
          </w:p>
        </w:tc>
        <w:tc>
          <w:tcPr>
            <w:tcW w:w="2070" w:type="dxa"/>
          </w:tcPr>
          <w:p w14:paraId="609FD963" w14:textId="77777777" w:rsidR="00772BDC" w:rsidRPr="008172EF" w:rsidRDefault="00772BDC" w:rsidP="00BB2BB3">
            <w:pPr>
              <w:rPr>
                <w:sz w:val="22"/>
                <w:szCs w:val="22"/>
                <w:lang w:val="fr-FR"/>
              </w:rPr>
            </w:pPr>
            <w:r w:rsidRPr="008172EF">
              <w:rPr>
                <w:b/>
                <w:sz w:val="22"/>
                <w:szCs w:val="22"/>
                <w:lang w:val="fr-FR" w:eastAsia="en-US"/>
              </w:rPr>
              <w:t>NA</w:t>
            </w:r>
          </w:p>
        </w:tc>
        <w:tc>
          <w:tcPr>
            <w:tcW w:w="2070" w:type="dxa"/>
          </w:tcPr>
          <w:p w14:paraId="6F6390CA" w14:textId="19C8C421" w:rsidR="00772BDC" w:rsidRPr="008172EF" w:rsidRDefault="00873D72" w:rsidP="00BB2BB3">
            <w:pPr>
              <w:rPr>
                <w:sz w:val="22"/>
                <w:szCs w:val="22"/>
                <w:lang w:val="fr-FR"/>
              </w:rPr>
            </w:pPr>
            <w:r>
              <w:rPr>
                <w:b/>
                <w:sz w:val="22"/>
                <w:szCs w:val="22"/>
                <w:lang w:val="fr-FR" w:eastAsia="en-US"/>
              </w:rPr>
              <w:t>33,36%</w:t>
            </w:r>
          </w:p>
        </w:tc>
        <w:tc>
          <w:tcPr>
            <w:tcW w:w="4140" w:type="dxa"/>
          </w:tcPr>
          <w:p w14:paraId="59B68FD0" w14:textId="6E4F196B" w:rsidR="00772BDC" w:rsidRPr="00AB3625" w:rsidRDefault="00873D72" w:rsidP="00BB2BB3">
            <w:pPr>
              <w:rPr>
                <w:bCs/>
                <w:sz w:val="22"/>
                <w:szCs w:val="22"/>
                <w:lang w:val="fr-FR"/>
              </w:rPr>
            </w:pPr>
            <w:r>
              <w:rPr>
                <w:bCs/>
                <w:sz w:val="22"/>
                <w:szCs w:val="22"/>
                <w:lang w:val="fr-FR" w:eastAsia="en-US"/>
              </w:rPr>
              <w:t xml:space="preserve">Soit 21,64 de croissance du niveau de confiance pour un objectif </w:t>
            </w:r>
            <w:r w:rsidR="003E46D0">
              <w:rPr>
                <w:bCs/>
                <w:sz w:val="22"/>
                <w:szCs w:val="22"/>
                <w:lang w:val="fr-FR" w:eastAsia="en-US"/>
              </w:rPr>
              <w:t>de 15% à l’entame du projet.</w:t>
            </w:r>
          </w:p>
        </w:tc>
      </w:tr>
      <w:tr w:rsidR="00772BDC" w:rsidRPr="008172EF" w14:paraId="48EFD59B" w14:textId="77777777" w:rsidTr="00BB2BB3">
        <w:trPr>
          <w:trHeight w:val="548"/>
        </w:trPr>
        <w:tc>
          <w:tcPr>
            <w:tcW w:w="1530" w:type="dxa"/>
            <w:vMerge w:val="restart"/>
          </w:tcPr>
          <w:p w14:paraId="7061A3CE" w14:textId="77777777" w:rsidR="00772BDC" w:rsidRPr="008172EF" w:rsidRDefault="00772BDC" w:rsidP="00BB2BB3">
            <w:pPr>
              <w:rPr>
                <w:b/>
                <w:bCs/>
                <w:sz w:val="22"/>
                <w:szCs w:val="22"/>
                <w:lang w:val="fr-FR" w:eastAsia="en-US"/>
              </w:rPr>
            </w:pPr>
            <w:r w:rsidRPr="008172EF">
              <w:rPr>
                <w:b/>
                <w:bCs/>
                <w:sz w:val="22"/>
                <w:szCs w:val="22"/>
                <w:lang w:val="fr-FR" w:eastAsia="en-US"/>
              </w:rPr>
              <w:t>Produit 1.1</w:t>
            </w:r>
          </w:p>
          <w:p w14:paraId="6CD60BB2" w14:textId="77777777" w:rsidR="00772BDC" w:rsidRPr="008172EF" w:rsidRDefault="00772BDC" w:rsidP="00BB2BB3">
            <w:pPr>
              <w:rPr>
                <w:b/>
                <w:bCs/>
                <w:sz w:val="22"/>
                <w:szCs w:val="22"/>
                <w:lang w:val="fr-FR" w:eastAsia="en-US"/>
              </w:rPr>
            </w:pPr>
            <w:r w:rsidRPr="008172EF">
              <w:rPr>
                <w:b/>
                <w:bCs/>
                <w:sz w:val="22"/>
                <w:szCs w:val="22"/>
                <w:lang w:val="fr-FR" w:eastAsia="en-US"/>
              </w:rPr>
              <w:t>Le cadre légal révisé et la formation des membres des Inspections pour réaliser des missions de contrôle efficaces sur l’application des lois et le comportement des agents</w:t>
            </w:r>
          </w:p>
          <w:p w14:paraId="6A8BA139" w14:textId="77777777" w:rsidR="00772BDC" w:rsidRPr="008172EF" w:rsidRDefault="00772BDC" w:rsidP="00BB2BB3">
            <w:pPr>
              <w:rPr>
                <w:b/>
                <w:bCs/>
                <w:sz w:val="22"/>
                <w:szCs w:val="22"/>
                <w:lang w:val="fr-FR" w:eastAsia="en-US"/>
              </w:rPr>
            </w:pPr>
          </w:p>
          <w:p w14:paraId="09B507C3" w14:textId="77777777" w:rsidR="00772BDC" w:rsidRPr="008172EF" w:rsidRDefault="00772BDC" w:rsidP="00BB2BB3">
            <w:pPr>
              <w:rPr>
                <w:b/>
                <w:bCs/>
                <w:sz w:val="22"/>
                <w:szCs w:val="22"/>
                <w:lang w:val="fr-FR" w:eastAsia="en-US"/>
              </w:rPr>
            </w:pPr>
          </w:p>
        </w:tc>
        <w:tc>
          <w:tcPr>
            <w:tcW w:w="2070" w:type="dxa"/>
            <w:shd w:val="clear" w:color="auto" w:fill="EEECE1"/>
          </w:tcPr>
          <w:p w14:paraId="00F78794" w14:textId="77777777" w:rsidR="00772BDC" w:rsidRPr="008172EF" w:rsidRDefault="00772BDC" w:rsidP="00BB2BB3">
            <w:pPr>
              <w:jc w:val="both"/>
              <w:rPr>
                <w:sz w:val="22"/>
                <w:szCs w:val="22"/>
                <w:lang w:val="fr-FR" w:eastAsia="en-US"/>
              </w:rPr>
            </w:pPr>
            <w:r w:rsidRPr="008172EF">
              <w:rPr>
                <w:sz w:val="22"/>
                <w:szCs w:val="22"/>
                <w:lang w:val="fr-FR" w:eastAsia="en-US"/>
              </w:rPr>
              <w:t>Indicateur 1.1.1</w:t>
            </w:r>
          </w:p>
          <w:p w14:paraId="3318F409" w14:textId="77777777" w:rsidR="00772BDC" w:rsidRPr="008172EF" w:rsidRDefault="00772BDC" w:rsidP="00BB2BB3">
            <w:pPr>
              <w:jc w:val="both"/>
              <w:rPr>
                <w:sz w:val="22"/>
                <w:szCs w:val="22"/>
                <w:lang w:val="fr-FR" w:eastAsia="en-US"/>
              </w:rPr>
            </w:pPr>
            <w:r w:rsidRPr="008172EF">
              <w:rPr>
                <w:sz w:val="22"/>
                <w:szCs w:val="22"/>
                <w:lang w:val="fr-FR"/>
              </w:rPr>
              <w:t>Nombre de mission de contrôle et de spot-check sur la police routière</w:t>
            </w:r>
          </w:p>
        </w:tc>
        <w:tc>
          <w:tcPr>
            <w:tcW w:w="1530" w:type="dxa"/>
            <w:shd w:val="clear" w:color="auto" w:fill="EEECE1"/>
          </w:tcPr>
          <w:p w14:paraId="5F56CABF" w14:textId="77777777" w:rsidR="00772BDC" w:rsidRPr="008172EF" w:rsidRDefault="00772BDC" w:rsidP="00BB2BB3">
            <w:pPr>
              <w:rPr>
                <w:sz w:val="22"/>
                <w:szCs w:val="22"/>
                <w:lang w:val="fr-FR"/>
              </w:rPr>
            </w:pPr>
            <w:r w:rsidRPr="008172EF">
              <w:rPr>
                <w:b/>
                <w:sz w:val="22"/>
                <w:szCs w:val="22"/>
                <w:lang w:val="fr-FR" w:eastAsia="en-US"/>
              </w:rPr>
              <w:t>00</w:t>
            </w:r>
          </w:p>
        </w:tc>
        <w:tc>
          <w:tcPr>
            <w:tcW w:w="1620" w:type="dxa"/>
            <w:shd w:val="clear" w:color="auto" w:fill="EEECE1"/>
          </w:tcPr>
          <w:p w14:paraId="1FACDFB0" w14:textId="77777777" w:rsidR="00772BDC" w:rsidRPr="008172EF" w:rsidRDefault="00772BDC" w:rsidP="00BB2BB3">
            <w:pPr>
              <w:rPr>
                <w:sz w:val="22"/>
                <w:szCs w:val="22"/>
                <w:lang w:val="fr-FR"/>
              </w:rPr>
            </w:pPr>
            <w:r w:rsidRPr="008172EF">
              <w:rPr>
                <w:b/>
                <w:sz w:val="22"/>
                <w:szCs w:val="22"/>
                <w:lang w:val="fr-FR" w:eastAsia="en-US"/>
              </w:rPr>
              <w:t>14</w:t>
            </w:r>
          </w:p>
        </w:tc>
        <w:tc>
          <w:tcPr>
            <w:tcW w:w="2070" w:type="dxa"/>
          </w:tcPr>
          <w:p w14:paraId="460E1A16" w14:textId="77777777" w:rsidR="00772BDC" w:rsidRPr="008172EF" w:rsidRDefault="00772BDC" w:rsidP="00BB2BB3">
            <w:pPr>
              <w:rPr>
                <w:sz w:val="22"/>
                <w:szCs w:val="22"/>
                <w:lang w:val="fr-FR"/>
              </w:rPr>
            </w:pPr>
            <w:r w:rsidRPr="008172EF">
              <w:rPr>
                <w:b/>
                <w:sz w:val="22"/>
                <w:szCs w:val="22"/>
                <w:lang w:val="fr-FR" w:eastAsia="en-US"/>
              </w:rPr>
              <w:t>14</w:t>
            </w:r>
          </w:p>
        </w:tc>
        <w:tc>
          <w:tcPr>
            <w:tcW w:w="2070" w:type="dxa"/>
          </w:tcPr>
          <w:p w14:paraId="260B8BD8" w14:textId="77777777" w:rsidR="00772BDC" w:rsidRPr="008172EF" w:rsidRDefault="00772BDC" w:rsidP="00BB2BB3">
            <w:pPr>
              <w:rPr>
                <w:sz w:val="22"/>
                <w:szCs w:val="22"/>
                <w:lang w:val="fr-FR"/>
              </w:rPr>
            </w:pPr>
            <w:r w:rsidRPr="008172EF">
              <w:rPr>
                <w:b/>
                <w:sz w:val="22"/>
                <w:szCs w:val="22"/>
                <w:lang w:val="fr-FR" w:eastAsia="en-US"/>
              </w:rPr>
              <w:t>100%</w:t>
            </w:r>
          </w:p>
        </w:tc>
        <w:tc>
          <w:tcPr>
            <w:tcW w:w="4140" w:type="dxa"/>
          </w:tcPr>
          <w:p w14:paraId="2400ACBF" w14:textId="5EEACC6E" w:rsidR="00772BDC" w:rsidRPr="008172EF" w:rsidRDefault="00772BDC" w:rsidP="00BB2BB3">
            <w:pPr>
              <w:rPr>
                <w:sz w:val="22"/>
                <w:szCs w:val="22"/>
                <w:lang w:val="fr-FR"/>
              </w:rPr>
            </w:pPr>
            <w:r w:rsidRPr="008172EF">
              <w:rPr>
                <w:b/>
                <w:sz w:val="22"/>
                <w:szCs w:val="22"/>
                <w:lang w:val="fr-FR" w:eastAsia="en-US"/>
              </w:rPr>
              <w:t xml:space="preserve">Pas </w:t>
            </w:r>
            <w:r w:rsidR="00AB3625">
              <w:rPr>
                <w:b/>
                <w:sz w:val="22"/>
                <w:szCs w:val="22"/>
                <w:lang w:val="fr-FR" w:eastAsia="en-US"/>
              </w:rPr>
              <w:t xml:space="preserve">eu </w:t>
            </w:r>
            <w:r w:rsidRPr="008172EF">
              <w:rPr>
                <w:b/>
                <w:sz w:val="22"/>
                <w:szCs w:val="22"/>
                <w:lang w:val="fr-FR" w:eastAsia="en-US"/>
              </w:rPr>
              <w:t>de retard</w:t>
            </w:r>
          </w:p>
        </w:tc>
      </w:tr>
      <w:tr w:rsidR="00772BDC" w:rsidRPr="008172EF" w14:paraId="5B2D08D0" w14:textId="77777777" w:rsidTr="00BB2BB3">
        <w:trPr>
          <w:trHeight w:val="512"/>
        </w:trPr>
        <w:tc>
          <w:tcPr>
            <w:tcW w:w="1530" w:type="dxa"/>
            <w:vMerge/>
          </w:tcPr>
          <w:p w14:paraId="33E27A52" w14:textId="77777777" w:rsidR="00772BDC" w:rsidRPr="008172EF" w:rsidRDefault="00772BDC" w:rsidP="00BB2BB3">
            <w:pPr>
              <w:rPr>
                <w:b/>
                <w:sz w:val="22"/>
                <w:szCs w:val="22"/>
                <w:lang w:val="fr-FR" w:eastAsia="en-US"/>
              </w:rPr>
            </w:pPr>
          </w:p>
        </w:tc>
        <w:tc>
          <w:tcPr>
            <w:tcW w:w="2070" w:type="dxa"/>
            <w:shd w:val="clear" w:color="auto" w:fill="EEECE1"/>
          </w:tcPr>
          <w:p w14:paraId="127B5B8E" w14:textId="77777777" w:rsidR="00772BDC" w:rsidRPr="008172EF" w:rsidRDefault="00772BDC" w:rsidP="00BB2BB3">
            <w:pPr>
              <w:rPr>
                <w:sz w:val="22"/>
                <w:szCs w:val="22"/>
                <w:lang w:val="fr-FR" w:eastAsia="en-US"/>
              </w:rPr>
            </w:pPr>
            <w:r w:rsidRPr="008172EF">
              <w:rPr>
                <w:sz w:val="22"/>
                <w:szCs w:val="22"/>
                <w:lang w:val="fr-FR" w:eastAsia="en-US"/>
              </w:rPr>
              <w:t xml:space="preserve">Indicateur 1.1.2 : Nombre d’acteurs formés et qui maitrisent les outils de contrôle </w:t>
            </w:r>
          </w:p>
          <w:p w14:paraId="2174202B" w14:textId="77777777" w:rsidR="00772BDC" w:rsidRPr="008172EF" w:rsidRDefault="00772BDC" w:rsidP="00BB2BB3">
            <w:pPr>
              <w:rPr>
                <w:sz w:val="22"/>
                <w:szCs w:val="22"/>
                <w:lang w:val="fr-FR" w:eastAsia="en-US"/>
              </w:rPr>
            </w:pPr>
          </w:p>
          <w:p w14:paraId="7F02D354" w14:textId="77777777" w:rsidR="00772BDC" w:rsidRPr="008172EF" w:rsidRDefault="00772BDC" w:rsidP="00BB2BB3">
            <w:pPr>
              <w:jc w:val="both"/>
              <w:rPr>
                <w:sz w:val="22"/>
                <w:szCs w:val="22"/>
                <w:lang w:val="fr-FR" w:eastAsia="en-US"/>
              </w:rPr>
            </w:pPr>
          </w:p>
        </w:tc>
        <w:tc>
          <w:tcPr>
            <w:tcW w:w="1530" w:type="dxa"/>
            <w:shd w:val="clear" w:color="auto" w:fill="EEECE1"/>
          </w:tcPr>
          <w:p w14:paraId="2A72492F" w14:textId="77777777" w:rsidR="00772BDC" w:rsidRPr="008172EF" w:rsidRDefault="00772BDC" w:rsidP="00BB2BB3">
            <w:pPr>
              <w:rPr>
                <w:sz w:val="22"/>
                <w:szCs w:val="22"/>
                <w:lang w:val="fr-FR"/>
              </w:rPr>
            </w:pPr>
            <w:r w:rsidRPr="008172EF">
              <w:rPr>
                <w:b/>
                <w:sz w:val="22"/>
                <w:szCs w:val="22"/>
                <w:lang w:val="fr-FR" w:eastAsia="en-US"/>
              </w:rPr>
              <w:t>10</w:t>
            </w:r>
          </w:p>
        </w:tc>
        <w:tc>
          <w:tcPr>
            <w:tcW w:w="1620" w:type="dxa"/>
            <w:shd w:val="clear" w:color="auto" w:fill="EEECE1"/>
          </w:tcPr>
          <w:p w14:paraId="7D6E59BA" w14:textId="77777777" w:rsidR="00772BDC" w:rsidRPr="008172EF" w:rsidRDefault="00772BDC" w:rsidP="00BB2BB3">
            <w:pPr>
              <w:rPr>
                <w:sz w:val="22"/>
                <w:szCs w:val="22"/>
                <w:lang w:val="fr-FR"/>
              </w:rPr>
            </w:pPr>
            <w:r w:rsidRPr="008172EF">
              <w:rPr>
                <w:b/>
                <w:sz w:val="22"/>
                <w:szCs w:val="22"/>
                <w:lang w:val="fr-FR" w:eastAsia="en-US"/>
              </w:rPr>
              <w:t>25</w:t>
            </w:r>
          </w:p>
        </w:tc>
        <w:tc>
          <w:tcPr>
            <w:tcW w:w="2070" w:type="dxa"/>
          </w:tcPr>
          <w:p w14:paraId="0D75239E" w14:textId="77777777" w:rsidR="00772BDC" w:rsidRPr="008172EF" w:rsidRDefault="00772BDC" w:rsidP="00BB2BB3">
            <w:pPr>
              <w:rPr>
                <w:sz w:val="22"/>
                <w:szCs w:val="22"/>
                <w:lang w:val="fr-FR"/>
              </w:rPr>
            </w:pPr>
            <w:r w:rsidRPr="008172EF">
              <w:rPr>
                <w:b/>
                <w:sz w:val="22"/>
                <w:szCs w:val="22"/>
                <w:lang w:val="fr-FR" w:eastAsia="en-US"/>
              </w:rPr>
              <w:t>30</w:t>
            </w:r>
          </w:p>
        </w:tc>
        <w:tc>
          <w:tcPr>
            <w:tcW w:w="2070" w:type="dxa"/>
          </w:tcPr>
          <w:p w14:paraId="61E41F5E" w14:textId="77777777" w:rsidR="00772BDC" w:rsidRPr="008172EF" w:rsidRDefault="00772BDC" w:rsidP="00BB2BB3">
            <w:pPr>
              <w:rPr>
                <w:sz w:val="22"/>
                <w:szCs w:val="22"/>
                <w:lang w:val="fr-FR"/>
              </w:rPr>
            </w:pPr>
            <w:r w:rsidRPr="008172EF">
              <w:rPr>
                <w:b/>
                <w:sz w:val="22"/>
                <w:szCs w:val="22"/>
                <w:lang w:val="fr-FR" w:eastAsia="en-US"/>
              </w:rPr>
              <w:t>120%</w:t>
            </w:r>
          </w:p>
        </w:tc>
        <w:tc>
          <w:tcPr>
            <w:tcW w:w="4140" w:type="dxa"/>
          </w:tcPr>
          <w:p w14:paraId="0794311E" w14:textId="60593314" w:rsidR="00772BDC" w:rsidRPr="008172EF" w:rsidRDefault="00772BDC" w:rsidP="00BB2BB3">
            <w:pPr>
              <w:rPr>
                <w:sz w:val="22"/>
                <w:szCs w:val="22"/>
                <w:lang w:val="fr-FR"/>
              </w:rPr>
            </w:pPr>
            <w:r w:rsidRPr="008172EF">
              <w:rPr>
                <w:b/>
                <w:sz w:val="22"/>
                <w:szCs w:val="22"/>
                <w:lang w:val="fr-FR" w:eastAsia="en-US"/>
              </w:rPr>
              <w:t xml:space="preserve">Pas </w:t>
            </w:r>
            <w:r w:rsidR="00AB3625">
              <w:rPr>
                <w:b/>
                <w:sz w:val="22"/>
                <w:szCs w:val="22"/>
                <w:lang w:val="fr-FR" w:eastAsia="en-US"/>
              </w:rPr>
              <w:t xml:space="preserve">eu </w:t>
            </w:r>
            <w:r w:rsidRPr="008172EF">
              <w:rPr>
                <w:b/>
                <w:sz w:val="22"/>
                <w:szCs w:val="22"/>
                <w:lang w:val="fr-FR" w:eastAsia="en-US"/>
              </w:rPr>
              <w:t>de retard</w:t>
            </w:r>
          </w:p>
        </w:tc>
      </w:tr>
      <w:tr w:rsidR="00772BDC" w:rsidRPr="008172EF" w14:paraId="7172593A" w14:textId="77777777" w:rsidTr="00BB2BB3">
        <w:trPr>
          <w:trHeight w:val="440"/>
        </w:trPr>
        <w:tc>
          <w:tcPr>
            <w:tcW w:w="1530" w:type="dxa"/>
            <w:vMerge w:val="restart"/>
          </w:tcPr>
          <w:p w14:paraId="69B80740" w14:textId="77777777" w:rsidR="00772BDC" w:rsidRPr="008172EF" w:rsidRDefault="00772BDC" w:rsidP="00BB2BB3">
            <w:pPr>
              <w:rPr>
                <w:sz w:val="22"/>
                <w:szCs w:val="22"/>
                <w:lang w:val="fr-FR" w:eastAsia="en-US"/>
              </w:rPr>
            </w:pPr>
            <w:r w:rsidRPr="008172EF">
              <w:rPr>
                <w:sz w:val="22"/>
                <w:szCs w:val="22"/>
                <w:lang w:val="fr-FR" w:eastAsia="en-US"/>
              </w:rPr>
              <w:lastRenderedPageBreak/>
              <w:t>Produit 1.2</w:t>
            </w:r>
          </w:p>
          <w:p w14:paraId="53FB0D79" w14:textId="32A73983" w:rsidR="00772BDC" w:rsidRPr="008172EF" w:rsidRDefault="00772BDC" w:rsidP="00BB2BB3">
            <w:pPr>
              <w:rPr>
                <w:sz w:val="22"/>
                <w:szCs w:val="22"/>
                <w:lang w:val="fr-FR" w:eastAsia="en-US"/>
              </w:rPr>
            </w:pPr>
            <w:r w:rsidRPr="008172EF">
              <w:rPr>
                <w:sz w:val="22"/>
                <w:szCs w:val="22"/>
                <w:lang w:val="fr-FR" w:eastAsia="en-US"/>
              </w:rPr>
              <w:t xml:space="preserve">Un mécanisme de recueil de plainte et avis des populations est mis en place </w:t>
            </w:r>
            <w:r w:rsidR="00A3307A" w:rsidRPr="008172EF">
              <w:rPr>
                <w:sz w:val="22"/>
                <w:szCs w:val="22"/>
                <w:lang w:val="fr-FR"/>
              </w:rPr>
              <w:t xml:space="preserve">avec </w:t>
            </w:r>
            <w:r w:rsidR="00A3307A" w:rsidRPr="008172EF">
              <w:rPr>
                <w:sz w:val="22"/>
                <w:szCs w:val="22"/>
                <w:lang w:val="fr-FR" w:eastAsia="en-US"/>
              </w:rPr>
              <w:t>l’Inspection</w:t>
            </w:r>
            <w:r w:rsidRPr="008172EF">
              <w:rPr>
                <w:sz w:val="22"/>
                <w:szCs w:val="22"/>
                <w:lang w:val="fr-FR" w:eastAsia="en-US"/>
              </w:rPr>
              <w:t xml:space="preserve"> générale des services de sécurité</w:t>
            </w:r>
          </w:p>
        </w:tc>
        <w:tc>
          <w:tcPr>
            <w:tcW w:w="2070" w:type="dxa"/>
            <w:shd w:val="clear" w:color="auto" w:fill="EEECE1"/>
          </w:tcPr>
          <w:p w14:paraId="6140B206" w14:textId="77777777" w:rsidR="00772BDC" w:rsidRPr="008172EF" w:rsidRDefault="00772BDC" w:rsidP="00BB2BB3">
            <w:pPr>
              <w:jc w:val="both"/>
              <w:rPr>
                <w:sz w:val="22"/>
                <w:szCs w:val="22"/>
                <w:lang w:val="fr-FR" w:eastAsia="en-US"/>
              </w:rPr>
            </w:pPr>
            <w:r w:rsidRPr="008172EF">
              <w:rPr>
                <w:sz w:val="22"/>
                <w:szCs w:val="22"/>
                <w:lang w:val="fr-FR" w:eastAsia="en-US"/>
              </w:rPr>
              <w:t xml:space="preserve">Indicateur 1.2.1 : existence d’un système de remontée de données et de monitoring  </w:t>
            </w:r>
          </w:p>
          <w:p w14:paraId="09FA6C92" w14:textId="77777777" w:rsidR="00772BDC" w:rsidRPr="008172EF" w:rsidRDefault="00772BDC" w:rsidP="00BB2BB3">
            <w:pPr>
              <w:rPr>
                <w:sz w:val="22"/>
                <w:szCs w:val="22"/>
                <w:lang w:val="fr-FR" w:eastAsia="en-US"/>
              </w:rPr>
            </w:pPr>
          </w:p>
          <w:p w14:paraId="6723CF17" w14:textId="77777777" w:rsidR="00772BDC" w:rsidRPr="008172EF" w:rsidRDefault="00772BDC" w:rsidP="00BB2BB3">
            <w:pPr>
              <w:rPr>
                <w:sz w:val="22"/>
                <w:szCs w:val="22"/>
                <w:lang w:val="fr-FR" w:eastAsia="en-US"/>
              </w:rPr>
            </w:pPr>
          </w:p>
          <w:p w14:paraId="63CC8C15" w14:textId="77777777" w:rsidR="00772BDC" w:rsidRPr="008172EF" w:rsidRDefault="00772BDC" w:rsidP="00BB2BB3">
            <w:pPr>
              <w:jc w:val="both"/>
              <w:rPr>
                <w:sz w:val="22"/>
                <w:szCs w:val="22"/>
                <w:lang w:val="fr-FR" w:eastAsia="en-US"/>
              </w:rPr>
            </w:pPr>
          </w:p>
        </w:tc>
        <w:tc>
          <w:tcPr>
            <w:tcW w:w="1530" w:type="dxa"/>
            <w:shd w:val="clear" w:color="auto" w:fill="EEECE1"/>
          </w:tcPr>
          <w:p w14:paraId="3926DC98" w14:textId="77777777" w:rsidR="00772BDC" w:rsidRPr="008172EF" w:rsidRDefault="00772BDC" w:rsidP="00BB2BB3">
            <w:pPr>
              <w:rPr>
                <w:sz w:val="22"/>
                <w:szCs w:val="22"/>
                <w:lang w:val="fr-FR" w:eastAsia="en-US"/>
              </w:rPr>
            </w:pPr>
            <w:r w:rsidRPr="008172EF">
              <w:rPr>
                <w:sz w:val="22"/>
                <w:szCs w:val="22"/>
                <w:lang w:val="fr-FR" w:eastAsia="en-US"/>
              </w:rPr>
              <w:t xml:space="preserve">  00</w:t>
            </w:r>
          </w:p>
          <w:p w14:paraId="22E97A54" w14:textId="77777777" w:rsidR="00772BDC" w:rsidRPr="008172EF" w:rsidRDefault="00772BDC" w:rsidP="00BB2BB3">
            <w:pPr>
              <w:rPr>
                <w:sz w:val="22"/>
                <w:szCs w:val="22"/>
                <w:lang w:val="fr-FR" w:eastAsia="en-US"/>
              </w:rPr>
            </w:pPr>
          </w:p>
          <w:p w14:paraId="7206AA73" w14:textId="77777777" w:rsidR="00772BDC" w:rsidRPr="008172EF" w:rsidRDefault="00772BDC" w:rsidP="00BB2BB3">
            <w:pPr>
              <w:rPr>
                <w:sz w:val="22"/>
                <w:szCs w:val="22"/>
                <w:lang w:val="fr-FR"/>
              </w:rPr>
            </w:pPr>
          </w:p>
        </w:tc>
        <w:tc>
          <w:tcPr>
            <w:tcW w:w="1620" w:type="dxa"/>
            <w:shd w:val="clear" w:color="auto" w:fill="EEECE1"/>
          </w:tcPr>
          <w:p w14:paraId="04C5F7FD" w14:textId="77777777" w:rsidR="00772BDC" w:rsidRPr="008172EF" w:rsidRDefault="00772BDC" w:rsidP="00BB2BB3">
            <w:pPr>
              <w:rPr>
                <w:sz w:val="22"/>
                <w:szCs w:val="22"/>
                <w:lang w:val="fr-FR" w:eastAsia="en-US"/>
              </w:rPr>
            </w:pPr>
            <w:r w:rsidRPr="008172EF">
              <w:rPr>
                <w:sz w:val="22"/>
                <w:szCs w:val="22"/>
                <w:lang w:val="fr-FR" w:eastAsia="en-US"/>
              </w:rPr>
              <w:t>Cible : 1</w:t>
            </w:r>
          </w:p>
          <w:p w14:paraId="39C76247" w14:textId="77777777" w:rsidR="00772BDC" w:rsidRPr="008172EF" w:rsidRDefault="00772BDC" w:rsidP="00BB2BB3">
            <w:pPr>
              <w:rPr>
                <w:sz w:val="22"/>
                <w:szCs w:val="22"/>
                <w:lang w:val="fr-FR"/>
              </w:rPr>
            </w:pPr>
          </w:p>
        </w:tc>
        <w:tc>
          <w:tcPr>
            <w:tcW w:w="2070" w:type="dxa"/>
          </w:tcPr>
          <w:p w14:paraId="31120E91" w14:textId="77777777" w:rsidR="00772BDC" w:rsidRPr="008172EF" w:rsidRDefault="00772BDC" w:rsidP="00BB2BB3">
            <w:pPr>
              <w:rPr>
                <w:sz w:val="22"/>
                <w:szCs w:val="22"/>
                <w:lang w:val="fr-FR"/>
              </w:rPr>
            </w:pPr>
            <w:r w:rsidRPr="008172EF">
              <w:rPr>
                <w:b/>
                <w:sz w:val="22"/>
                <w:szCs w:val="22"/>
                <w:lang w:val="fr-FR" w:eastAsia="en-US"/>
              </w:rPr>
              <w:t>1</w:t>
            </w:r>
          </w:p>
        </w:tc>
        <w:tc>
          <w:tcPr>
            <w:tcW w:w="2070" w:type="dxa"/>
          </w:tcPr>
          <w:p w14:paraId="1CC5A32D" w14:textId="77777777" w:rsidR="00772BDC" w:rsidRPr="008172EF" w:rsidRDefault="00772BDC" w:rsidP="00BB2BB3">
            <w:pPr>
              <w:rPr>
                <w:sz w:val="22"/>
                <w:szCs w:val="22"/>
                <w:lang w:val="fr-FR"/>
              </w:rPr>
            </w:pPr>
            <w:r w:rsidRPr="008172EF">
              <w:rPr>
                <w:b/>
                <w:sz w:val="22"/>
                <w:szCs w:val="22"/>
                <w:lang w:val="fr-FR" w:eastAsia="en-US"/>
              </w:rPr>
              <w:t>100%</w:t>
            </w:r>
          </w:p>
        </w:tc>
        <w:tc>
          <w:tcPr>
            <w:tcW w:w="4140" w:type="dxa"/>
          </w:tcPr>
          <w:p w14:paraId="6511A84C" w14:textId="54774337" w:rsidR="00772BDC" w:rsidRPr="008172EF" w:rsidRDefault="003E46D0" w:rsidP="00BB2BB3">
            <w:pPr>
              <w:rPr>
                <w:sz w:val="22"/>
                <w:szCs w:val="22"/>
                <w:lang w:val="fr-FR"/>
              </w:rPr>
            </w:pPr>
            <w:r>
              <w:rPr>
                <w:sz w:val="22"/>
                <w:szCs w:val="22"/>
                <w:lang w:val="fr-FR"/>
              </w:rPr>
              <w:t>L’objectif atteint à 100%</w:t>
            </w:r>
          </w:p>
        </w:tc>
      </w:tr>
      <w:tr w:rsidR="00772BDC" w:rsidRPr="00330C84" w14:paraId="6B638538" w14:textId="77777777" w:rsidTr="00BB2BB3">
        <w:trPr>
          <w:trHeight w:val="467"/>
        </w:trPr>
        <w:tc>
          <w:tcPr>
            <w:tcW w:w="1530" w:type="dxa"/>
            <w:vMerge/>
          </w:tcPr>
          <w:p w14:paraId="4AD5FC4F" w14:textId="77777777" w:rsidR="00772BDC" w:rsidRPr="008172EF" w:rsidRDefault="00772BDC" w:rsidP="00BB2BB3">
            <w:pPr>
              <w:rPr>
                <w:b/>
                <w:sz w:val="22"/>
                <w:szCs w:val="22"/>
                <w:lang w:val="fr-FR" w:eastAsia="en-US"/>
              </w:rPr>
            </w:pPr>
          </w:p>
        </w:tc>
        <w:tc>
          <w:tcPr>
            <w:tcW w:w="2070" w:type="dxa"/>
            <w:shd w:val="clear" w:color="auto" w:fill="EEECE1"/>
          </w:tcPr>
          <w:p w14:paraId="0E3D2E75" w14:textId="77777777" w:rsidR="00772BDC" w:rsidRPr="008172EF" w:rsidRDefault="00772BDC" w:rsidP="00BB2BB3">
            <w:pPr>
              <w:jc w:val="both"/>
              <w:rPr>
                <w:sz w:val="22"/>
                <w:szCs w:val="22"/>
                <w:lang w:val="fr-FR" w:eastAsia="en-US"/>
              </w:rPr>
            </w:pPr>
            <w:r w:rsidRPr="008172EF">
              <w:rPr>
                <w:sz w:val="22"/>
                <w:szCs w:val="22"/>
                <w:lang w:val="fr-FR" w:eastAsia="en-US"/>
              </w:rPr>
              <w:t>Indicateur 1.2.2</w:t>
            </w:r>
          </w:p>
          <w:p w14:paraId="5C2BE41E" w14:textId="77777777" w:rsidR="00772BDC" w:rsidRPr="008172EF" w:rsidRDefault="00772BDC" w:rsidP="00BB2BB3">
            <w:pPr>
              <w:rPr>
                <w:sz w:val="22"/>
                <w:szCs w:val="22"/>
                <w:lang w:val="fr-FR" w:eastAsia="en-US"/>
              </w:rPr>
            </w:pPr>
            <w:r w:rsidRPr="008172EF">
              <w:rPr>
                <w:sz w:val="22"/>
                <w:szCs w:val="22"/>
                <w:lang w:val="fr-FR" w:eastAsia="en-US"/>
              </w:rPr>
              <w:t>Nombre de plaintes/rapports traités par l’IGSS / par les ONG par le biais du mécanisme 1.2</w:t>
            </w:r>
          </w:p>
          <w:p w14:paraId="1ADB33C9" w14:textId="77777777" w:rsidR="00772BDC" w:rsidRPr="008172EF" w:rsidRDefault="00772BDC" w:rsidP="00BB2BB3">
            <w:pPr>
              <w:jc w:val="both"/>
              <w:rPr>
                <w:sz w:val="22"/>
                <w:szCs w:val="22"/>
                <w:lang w:val="fr-FR" w:eastAsia="en-US"/>
              </w:rPr>
            </w:pPr>
          </w:p>
        </w:tc>
        <w:tc>
          <w:tcPr>
            <w:tcW w:w="1530" w:type="dxa"/>
            <w:shd w:val="clear" w:color="auto" w:fill="EEECE1"/>
          </w:tcPr>
          <w:p w14:paraId="665E542C" w14:textId="77777777" w:rsidR="00772BDC" w:rsidRPr="008172EF" w:rsidRDefault="00772BDC" w:rsidP="00BB2BB3">
            <w:pPr>
              <w:rPr>
                <w:sz w:val="22"/>
                <w:szCs w:val="22"/>
                <w:lang w:val="fr-FR"/>
              </w:rPr>
            </w:pPr>
            <w:r w:rsidRPr="008172EF">
              <w:rPr>
                <w:b/>
                <w:sz w:val="22"/>
                <w:szCs w:val="22"/>
                <w:lang w:val="fr-FR" w:eastAsia="en-US"/>
              </w:rPr>
              <w:t>00</w:t>
            </w:r>
          </w:p>
        </w:tc>
        <w:tc>
          <w:tcPr>
            <w:tcW w:w="1620" w:type="dxa"/>
            <w:shd w:val="clear" w:color="auto" w:fill="EEECE1"/>
          </w:tcPr>
          <w:p w14:paraId="4BD017FE" w14:textId="77777777" w:rsidR="00772BDC" w:rsidRPr="008172EF" w:rsidRDefault="00772BDC" w:rsidP="00BB2BB3">
            <w:pPr>
              <w:rPr>
                <w:sz w:val="22"/>
                <w:szCs w:val="22"/>
                <w:lang w:val="fr-FR"/>
              </w:rPr>
            </w:pPr>
            <w:r w:rsidRPr="008172EF">
              <w:rPr>
                <w:b/>
                <w:sz w:val="22"/>
                <w:szCs w:val="22"/>
                <w:lang w:val="fr-FR" w:eastAsia="en-US"/>
              </w:rPr>
              <w:t>70</w:t>
            </w:r>
          </w:p>
        </w:tc>
        <w:tc>
          <w:tcPr>
            <w:tcW w:w="2070" w:type="dxa"/>
          </w:tcPr>
          <w:p w14:paraId="0935365B" w14:textId="77777777" w:rsidR="00772BDC" w:rsidRPr="008172EF" w:rsidRDefault="00772BDC" w:rsidP="00BB2BB3">
            <w:pPr>
              <w:rPr>
                <w:sz w:val="22"/>
                <w:szCs w:val="22"/>
                <w:lang w:val="fr-FR"/>
              </w:rPr>
            </w:pPr>
            <w:r w:rsidRPr="008172EF">
              <w:rPr>
                <w:b/>
                <w:sz w:val="22"/>
                <w:szCs w:val="22"/>
                <w:lang w:val="fr-FR" w:eastAsia="en-US"/>
              </w:rPr>
              <w:t>35</w:t>
            </w:r>
          </w:p>
        </w:tc>
        <w:tc>
          <w:tcPr>
            <w:tcW w:w="2070" w:type="dxa"/>
          </w:tcPr>
          <w:p w14:paraId="5972F4AF" w14:textId="77777777" w:rsidR="00772BDC" w:rsidRPr="008172EF" w:rsidRDefault="00772BDC" w:rsidP="00BB2BB3">
            <w:pPr>
              <w:rPr>
                <w:sz w:val="22"/>
                <w:szCs w:val="22"/>
                <w:lang w:val="fr-FR"/>
              </w:rPr>
            </w:pPr>
            <w:r w:rsidRPr="008172EF">
              <w:rPr>
                <w:b/>
                <w:sz w:val="22"/>
                <w:szCs w:val="22"/>
                <w:lang w:val="fr-FR" w:eastAsia="en-US"/>
              </w:rPr>
              <w:t>50%</w:t>
            </w:r>
          </w:p>
        </w:tc>
        <w:tc>
          <w:tcPr>
            <w:tcW w:w="4140" w:type="dxa"/>
          </w:tcPr>
          <w:p w14:paraId="2A21BD2F" w14:textId="527677B8" w:rsidR="00772BDC" w:rsidRPr="008172EF" w:rsidRDefault="003E46D0" w:rsidP="00BB2BB3">
            <w:pPr>
              <w:rPr>
                <w:sz w:val="22"/>
                <w:szCs w:val="22"/>
                <w:lang w:val="fr-FR"/>
              </w:rPr>
            </w:pPr>
            <w:r>
              <w:rPr>
                <w:sz w:val="22"/>
                <w:szCs w:val="22"/>
                <w:lang w:val="fr-FR"/>
              </w:rPr>
              <w:t>L’objectif atteint à 50% contre 70% de prévision pour raison du mouvement du personnel de l’inspection</w:t>
            </w:r>
          </w:p>
        </w:tc>
      </w:tr>
      <w:tr w:rsidR="00772BDC" w:rsidRPr="00330C84" w14:paraId="637D5A7F" w14:textId="77777777" w:rsidTr="00BB2BB3">
        <w:trPr>
          <w:trHeight w:val="422"/>
        </w:trPr>
        <w:tc>
          <w:tcPr>
            <w:tcW w:w="1530" w:type="dxa"/>
            <w:vMerge/>
          </w:tcPr>
          <w:p w14:paraId="63FAAAAE" w14:textId="77777777" w:rsidR="00772BDC" w:rsidRPr="008172EF" w:rsidRDefault="00772BDC" w:rsidP="00BB2BB3">
            <w:pPr>
              <w:rPr>
                <w:sz w:val="22"/>
                <w:szCs w:val="22"/>
                <w:lang w:val="fr-FR" w:eastAsia="en-US"/>
              </w:rPr>
            </w:pPr>
          </w:p>
        </w:tc>
        <w:tc>
          <w:tcPr>
            <w:tcW w:w="2070" w:type="dxa"/>
            <w:shd w:val="clear" w:color="auto" w:fill="EEECE1"/>
          </w:tcPr>
          <w:p w14:paraId="2272C06F" w14:textId="77777777" w:rsidR="00772BDC" w:rsidRPr="008172EF" w:rsidRDefault="00772BDC" w:rsidP="00BB2BB3">
            <w:pPr>
              <w:jc w:val="both"/>
              <w:rPr>
                <w:sz w:val="22"/>
                <w:szCs w:val="22"/>
                <w:lang w:val="fr-FR" w:eastAsia="en-US"/>
              </w:rPr>
            </w:pPr>
            <w:r w:rsidRPr="008172EF">
              <w:rPr>
                <w:sz w:val="22"/>
                <w:szCs w:val="22"/>
                <w:lang w:val="fr-FR" w:eastAsia="en-US"/>
              </w:rPr>
              <w:t>Indicateur 1.2.3</w:t>
            </w:r>
          </w:p>
          <w:p w14:paraId="274D3965" w14:textId="77777777" w:rsidR="00772BDC" w:rsidRPr="008172EF" w:rsidRDefault="00772BDC" w:rsidP="00BB2BB3">
            <w:pPr>
              <w:rPr>
                <w:sz w:val="22"/>
                <w:szCs w:val="22"/>
                <w:lang w:val="fr-FR" w:eastAsia="en-US"/>
              </w:rPr>
            </w:pPr>
            <w:r w:rsidRPr="008172EF">
              <w:rPr>
                <w:sz w:val="22"/>
                <w:szCs w:val="22"/>
                <w:lang w:val="fr-FR" w:eastAsia="en-US"/>
              </w:rPr>
              <w:t xml:space="preserve">: Nombre d’ONG formées sur le mécanisme de remontée de données et l’utilisant </w:t>
            </w:r>
          </w:p>
          <w:p w14:paraId="589F8DB7" w14:textId="77777777" w:rsidR="00772BDC" w:rsidRPr="008172EF" w:rsidRDefault="00772BDC" w:rsidP="00BB2BB3">
            <w:pPr>
              <w:rPr>
                <w:color w:val="C00000"/>
                <w:sz w:val="22"/>
                <w:szCs w:val="22"/>
                <w:lang w:val="fr-FR" w:eastAsia="en-US"/>
              </w:rPr>
            </w:pPr>
            <w:r w:rsidRPr="008172EF">
              <w:rPr>
                <w:color w:val="C00000"/>
                <w:sz w:val="22"/>
                <w:szCs w:val="22"/>
                <w:lang w:val="fr-FR" w:eastAsia="en-US"/>
              </w:rPr>
              <w:t>(Réalisé)</w:t>
            </w:r>
          </w:p>
          <w:p w14:paraId="7C0C7DE4" w14:textId="77777777" w:rsidR="00772BDC" w:rsidRPr="008172EF" w:rsidRDefault="00772BDC" w:rsidP="00BB2BB3">
            <w:pPr>
              <w:rPr>
                <w:sz w:val="22"/>
                <w:szCs w:val="22"/>
                <w:lang w:val="fr-FR" w:eastAsia="en-US"/>
              </w:rPr>
            </w:pPr>
            <w:r w:rsidRPr="008172EF">
              <w:rPr>
                <w:sz w:val="22"/>
                <w:szCs w:val="22"/>
                <w:lang w:val="fr-FR" w:eastAsia="en-US"/>
              </w:rPr>
              <w:t>Base de données : 0</w:t>
            </w:r>
          </w:p>
          <w:p w14:paraId="0646A0EC" w14:textId="77777777" w:rsidR="00772BDC" w:rsidRPr="008172EF" w:rsidRDefault="00772BDC" w:rsidP="00BB2BB3">
            <w:pPr>
              <w:jc w:val="both"/>
              <w:rPr>
                <w:sz w:val="22"/>
                <w:szCs w:val="22"/>
                <w:lang w:val="fr-FR" w:eastAsia="en-US"/>
              </w:rPr>
            </w:pPr>
          </w:p>
        </w:tc>
        <w:tc>
          <w:tcPr>
            <w:tcW w:w="1530" w:type="dxa"/>
            <w:shd w:val="clear" w:color="auto" w:fill="EEECE1"/>
          </w:tcPr>
          <w:p w14:paraId="5E983268" w14:textId="77777777" w:rsidR="00772BDC" w:rsidRPr="008172EF" w:rsidRDefault="00772BDC" w:rsidP="00BB2BB3">
            <w:pPr>
              <w:rPr>
                <w:b/>
                <w:sz w:val="22"/>
                <w:szCs w:val="22"/>
                <w:lang w:val="fr-FR" w:eastAsia="en-US"/>
              </w:rPr>
            </w:pPr>
            <w:r w:rsidRPr="008172EF">
              <w:rPr>
                <w:b/>
                <w:sz w:val="22"/>
                <w:szCs w:val="22"/>
                <w:lang w:val="fr-FR" w:eastAsia="en-US"/>
              </w:rPr>
              <w:t>0</w:t>
            </w:r>
          </w:p>
        </w:tc>
        <w:tc>
          <w:tcPr>
            <w:tcW w:w="1620" w:type="dxa"/>
            <w:shd w:val="clear" w:color="auto" w:fill="EEECE1"/>
          </w:tcPr>
          <w:p w14:paraId="0FD2B439" w14:textId="77777777" w:rsidR="00772BDC" w:rsidRPr="008172EF" w:rsidRDefault="00772BDC" w:rsidP="00BB2BB3">
            <w:pPr>
              <w:rPr>
                <w:b/>
                <w:sz w:val="22"/>
                <w:szCs w:val="22"/>
                <w:lang w:val="fr-FR" w:eastAsia="en-US"/>
              </w:rPr>
            </w:pPr>
            <w:r w:rsidRPr="008172EF">
              <w:rPr>
                <w:b/>
                <w:sz w:val="22"/>
                <w:szCs w:val="22"/>
                <w:lang w:val="fr-FR" w:eastAsia="en-US"/>
              </w:rPr>
              <w:t>10</w:t>
            </w:r>
          </w:p>
        </w:tc>
        <w:tc>
          <w:tcPr>
            <w:tcW w:w="2070" w:type="dxa"/>
          </w:tcPr>
          <w:p w14:paraId="2158AC86" w14:textId="77777777" w:rsidR="00772BDC" w:rsidRPr="008172EF" w:rsidRDefault="00772BDC" w:rsidP="00BB2BB3">
            <w:pPr>
              <w:rPr>
                <w:b/>
                <w:sz w:val="22"/>
                <w:szCs w:val="22"/>
                <w:lang w:val="fr-FR" w:eastAsia="en-US"/>
              </w:rPr>
            </w:pPr>
            <w:r w:rsidRPr="008172EF">
              <w:rPr>
                <w:b/>
                <w:sz w:val="22"/>
                <w:szCs w:val="22"/>
                <w:lang w:val="fr-FR" w:eastAsia="en-US"/>
              </w:rPr>
              <w:t>10</w:t>
            </w:r>
          </w:p>
        </w:tc>
        <w:tc>
          <w:tcPr>
            <w:tcW w:w="2070" w:type="dxa"/>
          </w:tcPr>
          <w:p w14:paraId="61DF64E6" w14:textId="77777777" w:rsidR="00772BDC" w:rsidRPr="008172EF" w:rsidRDefault="00772BDC" w:rsidP="00BB2BB3">
            <w:pPr>
              <w:rPr>
                <w:b/>
                <w:sz w:val="22"/>
                <w:szCs w:val="22"/>
                <w:lang w:val="fr-FR" w:eastAsia="en-US"/>
              </w:rPr>
            </w:pPr>
            <w:r w:rsidRPr="008172EF">
              <w:rPr>
                <w:b/>
                <w:sz w:val="22"/>
                <w:szCs w:val="22"/>
                <w:lang w:val="fr-FR" w:eastAsia="en-US"/>
              </w:rPr>
              <w:t>100%</w:t>
            </w:r>
          </w:p>
        </w:tc>
        <w:tc>
          <w:tcPr>
            <w:tcW w:w="4140" w:type="dxa"/>
          </w:tcPr>
          <w:p w14:paraId="522EABB0" w14:textId="513E249C" w:rsidR="00772BDC" w:rsidRPr="008172EF" w:rsidRDefault="005045CB" w:rsidP="00BB2BB3">
            <w:pPr>
              <w:rPr>
                <w:b/>
                <w:sz w:val="22"/>
                <w:szCs w:val="22"/>
                <w:lang w:val="fr-FR" w:eastAsia="en-US"/>
              </w:rPr>
            </w:pPr>
            <w:r>
              <w:rPr>
                <w:b/>
                <w:sz w:val="22"/>
                <w:szCs w:val="22"/>
                <w:lang w:val="fr-FR" w:eastAsia="en-US"/>
              </w:rPr>
              <w:t xml:space="preserve">Toutes les ONG ciblés formés et opérationnelles </w:t>
            </w:r>
          </w:p>
        </w:tc>
      </w:tr>
      <w:tr w:rsidR="00772BDC" w:rsidRPr="00330C84" w14:paraId="0C5E7E0E" w14:textId="77777777" w:rsidTr="00BB2BB3">
        <w:trPr>
          <w:trHeight w:val="422"/>
        </w:trPr>
        <w:tc>
          <w:tcPr>
            <w:tcW w:w="1530" w:type="dxa"/>
            <w:vMerge w:val="restart"/>
          </w:tcPr>
          <w:p w14:paraId="5B05B8FD" w14:textId="77777777" w:rsidR="00772BDC" w:rsidRPr="008172EF" w:rsidRDefault="00772BDC" w:rsidP="00BB2BB3">
            <w:pPr>
              <w:rPr>
                <w:sz w:val="22"/>
                <w:szCs w:val="22"/>
                <w:lang w:val="fr-FR" w:eastAsia="en-US"/>
              </w:rPr>
            </w:pPr>
            <w:r w:rsidRPr="008172EF">
              <w:rPr>
                <w:sz w:val="22"/>
                <w:szCs w:val="22"/>
                <w:lang w:val="fr-FR" w:eastAsia="en-US"/>
              </w:rPr>
              <w:t>Produit 1.3</w:t>
            </w:r>
          </w:p>
          <w:p w14:paraId="0596AF9C" w14:textId="77777777" w:rsidR="00772BDC" w:rsidRPr="008172EF" w:rsidRDefault="00772BDC" w:rsidP="00BB2BB3">
            <w:pPr>
              <w:rPr>
                <w:b/>
                <w:sz w:val="22"/>
                <w:szCs w:val="22"/>
                <w:lang w:val="fr-FR" w:eastAsia="en-US"/>
              </w:rPr>
            </w:pPr>
            <w:r w:rsidRPr="008172EF">
              <w:rPr>
                <w:b/>
                <w:sz w:val="22"/>
                <w:szCs w:val="22"/>
                <w:lang w:val="fr-FR" w:eastAsia="en-US"/>
              </w:rPr>
              <w:lastRenderedPageBreak/>
              <w:t xml:space="preserve">Les missions de contrôle parlementaire sont réalisées sur l’application de la loi sur le maintien de l’ordre public et l’utilisation des ressources budgétaires </w:t>
            </w:r>
          </w:p>
          <w:p w14:paraId="00DBA428" w14:textId="77777777" w:rsidR="00772BDC" w:rsidRPr="008172EF" w:rsidRDefault="00772BDC" w:rsidP="00BB2BB3">
            <w:pPr>
              <w:rPr>
                <w:sz w:val="22"/>
                <w:szCs w:val="22"/>
                <w:lang w:val="fr-FR" w:eastAsia="en-US"/>
              </w:rPr>
            </w:pPr>
          </w:p>
        </w:tc>
        <w:tc>
          <w:tcPr>
            <w:tcW w:w="2070" w:type="dxa"/>
            <w:shd w:val="clear" w:color="auto" w:fill="EEECE1"/>
          </w:tcPr>
          <w:p w14:paraId="053533A7" w14:textId="77777777" w:rsidR="00772BDC" w:rsidRPr="008172EF" w:rsidRDefault="00772BDC" w:rsidP="00BB2BB3">
            <w:pPr>
              <w:rPr>
                <w:sz w:val="22"/>
                <w:szCs w:val="22"/>
                <w:lang w:val="fr-FR" w:eastAsia="en-US"/>
              </w:rPr>
            </w:pPr>
            <w:r w:rsidRPr="008172EF">
              <w:rPr>
                <w:sz w:val="22"/>
                <w:szCs w:val="22"/>
                <w:lang w:val="fr-FR" w:eastAsia="en-US"/>
              </w:rPr>
              <w:lastRenderedPageBreak/>
              <w:t xml:space="preserve">Indicateur 1.3.1 : Nombre de missions </w:t>
            </w:r>
            <w:r w:rsidRPr="008172EF">
              <w:rPr>
                <w:sz w:val="22"/>
                <w:szCs w:val="22"/>
                <w:lang w:val="fr-FR" w:eastAsia="en-US"/>
              </w:rPr>
              <w:lastRenderedPageBreak/>
              <w:t xml:space="preserve">de contrôle parlementaire </w:t>
            </w:r>
          </w:p>
          <w:p w14:paraId="650B4C15" w14:textId="77777777" w:rsidR="00772BDC" w:rsidRPr="008172EF" w:rsidRDefault="00772BDC" w:rsidP="00BB2BB3">
            <w:pPr>
              <w:rPr>
                <w:sz w:val="22"/>
                <w:szCs w:val="22"/>
                <w:lang w:val="fr-FR" w:eastAsia="en-US"/>
              </w:rPr>
            </w:pPr>
          </w:p>
          <w:p w14:paraId="7D72B2BA" w14:textId="77777777" w:rsidR="00772BDC" w:rsidRPr="008172EF" w:rsidRDefault="00772BDC" w:rsidP="00BB2BB3">
            <w:pPr>
              <w:rPr>
                <w:sz w:val="22"/>
                <w:szCs w:val="22"/>
                <w:lang w:val="fr-FR" w:eastAsia="en-US"/>
              </w:rPr>
            </w:pPr>
          </w:p>
          <w:p w14:paraId="343F7624" w14:textId="77777777" w:rsidR="00772BDC" w:rsidRPr="008172EF" w:rsidRDefault="00772BDC" w:rsidP="00BB2BB3">
            <w:pPr>
              <w:rPr>
                <w:sz w:val="22"/>
                <w:szCs w:val="22"/>
                <w:lang w:val="fr-FR" w:eastAsia="en-US"/>
              </w:rPr>
            </w:pPr>
          </w:p>
          <w:p w14:paraId="01A42490" w14:textId="77777777" w:rsidR="00772BDC" w:rsidRPr="008172EF" w:rsidRDefault="00772BDC" w:rsidP="00BB2BB3">
            <w:pPr>
              <w:jc w:val="both"/>
              <w:rPr>
                <w:sz w:val="22"/>
                <w:szCs w:val="22"/>
                <w:lang w:val="fr-FR" w:eastAsia="en-US"/>
              </w:rPr>
            </w:pPr>
          </w:p>
          <w:p w14:paraId="111B67DB" w14:textId="77777777" w:rsidR="00772BDC" w:rsidRPr="008172EF" w:rsidRDefault="00772BDC" w:rsidP="00BB2BB3">
            <w:pPr>
              <w:jc w:val="both"/>
              <w:rPr>
                <w:sz w:val="22"/>
                <w:szCs w:val="22"/>
                <w:lang w:val="fr-FR" w:eastAsia="en-US"/>
              </w:rPr>
            </w:pPr>
          </w:p>
          <w:p w14:paraId="636BF13C" w14:textId="77777777" w:rsidR="00772BDC" w:rsidRPr="008172EF" w:rsidRDefault="00772BDC" w:rsidP="00BB2BB3">
            <w:pPr>
              <w:jc w:val="both"/>
              <w:rPr>
                <w:sz w:val="22"/>
                <w:szCs w:val="22"/>
                <w:lang w:val="fr-FR" w:eastAsia="en-US"/>
              </w:rPr>
            </w:pPr>
          </w:p>
        </w:tc>
        <w:tc>
          <w:tcPr>
            <w:tcW w:w="1530" w:type="dxa"/>
            <w:shd w:val="clear" w:color="auto" w:fill="EEECE1"/>
          </w:tcPr>
          <w:p w14:paraId="3F126460" w14:textId="77777777" w:rsidR="00772BDC" w:rsidRPr="008172EF" w:rsidRDefault="00772BDC" w:rsidP="00BB2BB3">
            <w:pPr>
              <w:rPr>
                <w:sz w:val="22"/>
                <w:szCs w:val="22"/>
                <w:lang w:val="fr-FR"/>
              </w:rPr>
            </w:pPr>
            <w:r w:rsidRPr="008172EF">
              <w:rPr>
                <w:sz w:val="22"/>
                <w:szCs w:val="22"/>
                <w:lang w:val="fr-FR"/>
              </w:rPr>
              <w:lastRenderedPageBreak/>
              <w:t>02</w:t>
            </w:r>
          </w:p>
        </w:tc>
        <w:tc>
          <w:tcPr>
            <w:tcW w:w="1620" w:type="dxa"/>
            <w:shd w:val="clear" w:color="auto" w:fill="EEECE1"/>
          </w:tcPr>
          <w:p w14:paraId="3FA1834D" w14:textId="77777777" w:rsidR="00772BDC" w:rsidRPr="008172EF" w:rsidRDefault="00772BDC" w:rsidP="00BB2BB3">
            <w:pPr>
              <w:rPr>
                <w:sz w:val="22"/>
                <w:szCs w:val="22"/>
                <w:lang w:val="fr-FR"/>
              </w:rPr>
            </w:pPr>
            <w:r w:rsidRPr="008172EF">
              <w:rPr>
                <w:sz w:val="22"/>
                <w:szCs w:val="22"/>
                <w:lang w:val="fr-FR"/>
              </w:rPr>
              <w:t>(+2)</w:t>
            </w:r>
          </w:p>
        </w:tc>
        <w:tc>
          <w:tcPr>
            <w:tcW w:w="2070" w:type="dxa"/>
          </w:tcPr>
          <w:p w14:paraId="3237054E" w14:textId="77777777" w:rsidR="00772BDC" w:rsidRPr="008172EF" w:rsidRDefault="00772BDC" w:rsidP="00BB2BB3">
            <w:pPr>
              <w:rPr>
                <w:sz w:val="22"/>
                <w:szCs w:val="22"/>
                <w:lang w:val="fr-FR"/>
              </w:rPr>
            </w:pPr>
            <w:r w:rsidRPr="008172EF">
              <w:rPr>
                <w:sz w:val="22"/>
                <w:szCs w:val="22"/>
                <w:lang w:val="fr-FR"/>
              </w:rPr>
              <w:t>4</w:t>
            </w:r>
          </w:p>
        </w:tc>
        <w:tc>
          <w:tcPr>
            <w:tcW w:w="2070" w:type="dxa"/>
          </w:tcPr>
          <w:p w14:paraId="03D33D22" w14:textId="77777777" w:rsidR="00772BDC" w:rsidRPr="008172EF" w:rsidRDefault="00772BDC" w:rsidP="00BB2BB3">
            <w:pPr>
              <w:rPr>
                <w:sz w:val="22"/>
                <w:szCs w:val="22"/>
                <w:lang w:val="fr-FR"/>
              </w:rPr>
            </w:pPr>
            <w:r w:rsidRPr="008172EF">
              <w:rPr>
                <w:sz w:val="22"/>
                <w:szCs w:val="22"/>
                <w:lang w:val="fr-FR"/>
              </w:rPr>
              <w:t>100%</w:t>
            </w:r>
          </w:p>
        </w:tc>
        <w:tc>
          <w:tcPr>
            <w:tcW w:w="4140" w:type="dxa"/>
          </w:tcPr>
          <w:p w14:paraId="59DCF2E1" w14:textId="77777777" w:rsidR="00772BDC" w:rsidRPr="008172EF" w:rsidRDefault="00772BDC" w:rsidP="00BB2BB3">
            <w:pPr>
              <w:rPr>
                <w:sz w:val="22"/>
                <w:szCs w:val="22"/>
                <w:lang w:val="fr-FR"/>
              </w:rPr>
            </w:pPr>
            <w:r w:rsidRPr="008172EF">
              <w:rPr>
                <w:sz w:val="22"/>
                <w:szCs w:val="22"/>
                <w:lang w:val="fr-FR"/>
              </w:rPr>
              <w:t>Deux autres missions de contrôles se sont tenues</w:t>
            </w:r>
          </w:p>
        </w:tc>
      </w:tr>
      <w:tr w:rsidR="00772BDC" w:rsidRPr="00330C84" w14:paraId="582FEFD1" w14:textId="77777777" w:rsidTr="00BB2BB3">
        <w:trPr>
          <w:trHeight w:val="422"/>
        </w:trPr>
        <w:tc>
          <w:tcPr>
            <w:tcW w:w="1530" w:type="dxa"/>
            <w:vMerge/>
          </w:tcPr>
          <w:p w14:paraId="20168A2C" w14:textId="77777777" w:rsidR="00772BDC" w:rsidRPr="008172EF" w:rsidRDefault="00772BDC" w:rsidP="00BB2BB3">
            <w:pPr>
              <w:rPr>
                <w:b/>
                <w:sz w:val="22"/>
                <w:szCs w:val="22"/>
                <w:lang w:val="fr-FR" w:eastAsia="en-US"/>
              </w:rPr>
            </w:pPr>
          </w:p>
        </w:tc>
        <w:tc>
          <w:tcPr>
            <w:tcW w:w="2070" w:type="dxa"/>
            <w:shd w:val="clear" w:color="auto" w:fill="EEECE1"/>
          </w:tcPr>
          <w:p w14:paraId="1BBF7E79" w14:textId="77777777" w:rsidR="00772BDC" w:rsidRPr="008172EF" w:rsidRDefault="00772BDC" w:rsidP="00BB2BB3">
            <w:pPr>
              <w:rPr>
                <w:sz w:val="22"/>
                <w:szCs w:val="22"/>
                <w:lang w:val="fr-FR" w:eastAsia="en-US"/>
              </w:rPr>
            </w:pPr>
            <w:r w:rsidRPr="008172EF">
              <w:rPr>
                <w:sz w:val="22"/>
                <w:szCs w:val="22"/>
                <w:lang w:val="fr-FR" w:eastAsia="en-US"/>
              </w:rPr>
              <w:t>Indicateur 1.3.2 : Nombre de députés formés sur le guide de contrôle parlementaire des FDS</w:t>
            </w:r>
          </w:p>
          <w:p w14:paraId="1C639C2F" w14:textId="77777777" w:rsidR="00772BDC" w:rsidRPr="008172EF" w:rsidRDefault="00772BDC" w:rsidP="00BB2BB3">
            <w:pPr>
              <w:rPr>
                <w:sz w:val="22"/>
                <w:szCs w:val="22"/>
                <w:lang w:val="fr-FR" w:eastAsia="en-US"/>
              </w:rPr>
            </w:pPr>
          </w:p>
          <w:p w14:paraId="346B81B4" w14:textId="77777777" w:rsidR="00772BDC" w:rsidRPr="008172EF" w:rsidRDefault="00772BDC" w:rsidP="00BB2BB3">
            <w:pPr>
              <w:jc w:val="both"/>
              <w:rPr>
                <w:sz w:val="22"/>
                <w:szCs w:val="22"/>
                <w:lang w:val="fr-FR" w:eastAsia="en-US"/>
              </w:rPr>
            </w:pPr>
          </w:p>
        </w:tc>
        <w:tc>
          <w:tcPr>
            <w:tcW w:w="1530" w:type="dxa"/>
            <w:shd w:val="clear" w:color="auto" w:fill="EEECE1"/>
          </w:tcPr>
          <w:p w14:paraId="1B5BACEF" w14:textId="77777777" w:rsidR="00772BDC" w:rsidRPr="008172EF" w:rsidRDefault="00772BDC" w:rsidP="00BB2BB3">
            <w:pPr>
              <w:rPr>
                <w:sz w:val="22"/>
                <w:szCs w:val="22"/>
                <w:lang w:val="fr-FR"/>
              </w:rPr>
            </w:pPr>
            <w:r w:rsidRPr="008172EF">
              <w:rPr>
                <w:b/>
                <w:sz w:val="22"/>
                <w:szCs w:val="22"/>
                <w:lang w:val="fr-FR" w:eastAsia="en-US"/>
              </w:rPr>
              <w:t>00</w:t>
            </w:r>
          </w:p>
        </w:tc>
        <w:tc>
          <w:tcPr>
            <w:tcW w:w="1620" w:type="dxa"/>
            <w:shd w:val="clear" w:color="auto" w:fill="EEECE1"/>
          </w:tcPr>
          <w:p w14:paraId="27061ECC" w14:textId="77777777" w:rsidR="00772BDC" w:rsidRPr="008172EF" w:rsidRDefault="00772BDC" w:rsidP="00BB2BB3">
            <w:pPr>
              <w:rPr>
                <w:sz w:val="22"/>
                <w:szCs w:val="22"/>
                <w:lang w:val="fr-FR"/>
              </w:rPr>
            </w:pPr>
            <w:r w:rsidRPr="008172EF">
              <w:rPr>
                <w:b/>
                <w:sz w:val="22"/>
                <w:szCs w:val="22"/>
                <w:lang w:val="fr-FR" w:eastAsia="en-US"/>
              </w:rPr>
              <w:t>25</w:t>
            </w:r>
          </w:p>
        </w:tc>
        <w:tc>
          <w:tcPr>
            <w:tcW w:w="2070" w:type="dxa"/>
          </w:tcPr>
          <w:p w14:paraId="30D84703" w14:textId="5F241492" w:rsidR="00772BDC" w:rsidRPr="008172EF" w:rsidRDefault="00772BDC" w:rsidP="00BB2BB3">
            <w:pPr>
              <w:rPr>
                <w:sz w:val="22"/>
                <w:szCs w:val="22"/>
                <w:lang w:val="fr-FR"/>
              </w:rPr>
            </w:pPr>
            <w:r w:rsidRPr="008172EF">
              <w:rPr>
                <w:b/>
                <w:sz w:val="22"/>
                <w:szCs w:val="22"/>
                <w:lang w:val="fr-FR" w:eastAsia="en-US"/>
              </w:rPr>
              <w:t>1</w:t>
            </w:r>
            <w:r w:rsidR="00A3307A">
              <w:rPr>
                <w:b/>
                <w:sz w:val="22"/>
                <w:szCs w:val="22"/>
                <w:lang w:val="fr-FR" w:eastAsia="en-US"/>
              </w:rPr>
              <w:t>5</w:t>
            </w:r>
          </w:p>
        </w:tc>
        <w:tc>
          <w:tcPr>
            <w:tcW w:w="2070" w:type="dxa"/>
          </w:tcPr>
          <w:p w14:paraId="7428FBD4" w14:textId="4AA7E675" w:rsidR="00772BDC" w:rsidRPr="008172EF" w:rsidRDefault="00A3307A" w:rsidP="00BB2BB3">
            <w:pPr>
              <w:rPr>
                <w:sz w:val="22"/>
                <w:szCs w:val="22"/>
                <w:lang w:val="fr-FR"/>
              </w:rPr>
            </w:pPr>
            <w:r>
              <w:rPr>
                <w:sz w:val="22"/>
                <w:szCs w:val="22"/>
                <w:lang w:val="fr-FR"/>
              </w:rPr>
              <w:t xml:space="preserve">60 </w:t>
            </w:r>
            <w:r w:rsidR="00772BDC" w:rsidRPr="008172EF">
              <w:rPr>
                <w:sz w:val="22"/>
                <w:szCs w:val="22"/>
                <w:lang w:val="fr-FR"/>
              </w:rPr>
              <w:t>%</w:t>
            </w:r>
          </w:p>
        </w:tc>
        <w:tc>
          <w:tcPr>
            <w:tcW w:w="4140" w:type="dxa"/>
          </w:tcPr>
          <w:p w14:paraId="6351E7A1" w14:textId="6483D3BE" w:rsidR="00772BDC" w:rsidRPr="008172EF" w:rsidRDefault="0084122F" w:rsidP="00BB2BB3">
            <w:pPr>
              <w:rPr>
                <w:sz w:val="22"/>
                <w:szCs w:val="22"/>
                <w:lang w:val="fr-FR"/>
              </w:rPr>
            </w:pPr>
            <w:r>
              <w:rPr>
                <w:sz w:val="22"/>
                <w:szCs w:val="22"/>
                <w:lang w:val="fr-FR"/>
              </w:rPr>
              <w:t>Les activités se rapportant à la formation</w:t>
            </w:r>
            <w:r w:rsidR="00A3307A">
              <w:rPr>
                <w:sz w:val="22"/>
                <w:szCs w:val="22"/>
                <w:lang w:val="fr-FR"/>
              </w:rPr>
              <w:t xml:space="preserve"> et au déploiement </w:t>
            </w:r>
            <w:r>
              <w:rPr>
                <w:sz w:val="22"/>
                <w:szCs w:val="22"/>
                <w:lang w:val="fr-FR"/>
              </w:rPr>
              <w:t xml:space="preserve">des </w:t>
            </w:r>
            <w:r w:rsidR="00A3307A">
              <w:rPr>
                <w:sz w:val="22"/>
                <w:szCs w:val="22"/>
                <w:lang w:val="fr-FR"/>
              </w:rPr>
              <w:t>dix</w:t>
            </w:r>
            <w:r>
              <w:rPr>
                <w:sz w:val="22"/>
                <w:szCs w:val="22"/>
                <w:lang w:val="fr-FR"/>
              </w:rPr>
              <w:t xml:space="preserve"> </w:t>
            </w:r>
            <w:r w:rsidR="009A2C6C">
              <w:rPr>
                <w:sz w:val="22"/>
                <w:szCs w:val="22"/>
                <w:lang w:val="fr-FR"/>
              </w:rPr>
              <w:t>députés pour</w:t>
            </w:r>
            <w:r w:rsidR="00A3307A">
              <w:rPr>
                <w:sz w:val="22"/>
                <w:szCs w:val="22"/>
                <w:lang w:val="fr-FR"/>
              </w:rPr>
              <w:t xml:space="preserve"> le contrôle parlementaire </w:t>
            </w:r>
            <w:r>
              <w:rPr>
                <w:sz w:val="22"/>
                <w:szCs w:val="22"/>
                <w:lang w:val="fr-FR"/>
              </w:rPr>
              <w:t>se sont heurtées aux crises</w:t>
            </w:r>
            <w:r w:rsidR="00AB3625">
              <w:rPr>
                <w:sz w:val="22"/>
                <w:szCs w:val="22"/>
                <w:lang w:val="fr-FR"/>
              </w:rPr>
              <w:t xml:space="preserve"> sociales &amp;</w:t>
            </w:r>
            <w:r>
              <w:rPr>
                <w:sz w:val="22"/>
                <w:szCs w:val="22"/>
                <w:lang w:val="fr-FR"/>
              </w:rPr>
              <w:t xml:space="preserve"> politiques </w:t>
            </w:r>
            <w:r w:rsidR="00AB3625">
              <w:rPr>
                <w:sz w:val="22"/>
                <w:szCs w:val="22"/>
                <w:lang w:val="fr-FR"/>
              </w:rPr>
              <w:t>ainsi qu’</w:t>
            </w:r>
            <w:r>
              <w:rPr>
                <w:sz w:val="22"/>
                <w:szCs w:val="22"/>
                <w:lang w:val="fr-FR"/>
              </w:rPr>
              <w:t xml:space="preserve">au renouvellement de l’Assemblée Nationale. </w:t>
            </w:r>
          </w:p>
        </w:tc>
      </w:tr>
      <w:tr w:rsidR="00772BDC" w:rsidRPr="00330C84" w14:paraId="6F91D963" w14:textId="77777777" w:rsidTr="00BB2BB3">
        <w:trPr>
          <w:trHeight w:val="422"/>
        </w:trPr>
        <w:tc>
          <w:tcPr>
            <w:tcW w:w="1530" w:type="dxa"/>
            <w:vMerge w:val="restart"/>
          </w:tcPr>
          <w:p w14:paraId="42100715" w14:textId="77777777" w:rsidR="00772BDC" w:rsidRPr="008172EF" w:rsidRDefault="00772BDC" w:rsidP="00BB2BB3">
            <w:pPr>
              <w:rPr>
                <w:b/>
                <w:sz w:val="22"/>
                <w:szCs w:val="22"/>
                <w:lang w:val="fr-FR" w:eastAsia="en-US"/>
              </w:rPr>
            </w:pPr>
            <w:r w:rsidRPr="008172EF">
              <w:rPr>
                <w:b/>
                <w:sz w:val="22"/>
                <w:szCs w:val="22"/>
                <w:lang w:val="fr-FR" w:eastAsia="en-US"/>
              </w:rPr>
              <w:t>Résultat 2</w:t>
            </w:r>
          </w:p>
          <w:p w14:paraId="7BEC8884" w14:textId="77777777" w:rsidR="00772BDC" w:rsidRPr="008172EF" w:rsidRDefault="00772BDC" w:rsidP="00BB2BB3">
            <w:pPr>
              <w:rPr>
                <w:b/>
                <w:sz w:val="22"/>
                <w:szCs w:val="22"/>
                <w:lang w:val="fr-FR" w:eastAsia="en-US"/>
              </w:rPr>
            </w:pPr>
            <w:r w:rsidRPr="008172EF">
              <w:rPr>
                <w:b/>
                <w:sz w:val="22"/>
                <w:szCs w:val="22"/>
                <w:lang w:val="fr-FR" w:eastAsia="en-US"/>
              </w:rPr>
              <w:t xml:space="preserve">Les capacités techniques et matérielles des services de sécurités sont renforcées en vue d’améliorer l’offre de service et </w:t>
            </w:r>
            <w:r w:rsidRPr="008172EF">
              <w:rPr>
                <w:b/>
                <w:sz w:val="22"/>
                <w:szCs w:val="22"/>
                <w:lang w:val="fr-FR" w:eastAsia="en-US"/>
              </w:rPr>
              <w:lastRenderedPageBreak/>
              <w:t xml:space="preserve">l’image de la police l’image </w:t>
            </w:r>
          </w:p>
          <w:p w14:paraId="3C3E32A1" w14:textId="77777777" w:rsidR="00772BDC" w:rsidRPr="008172EF" w:rsidRDefault="00772BDC" w:rsidP="00BB2BB3">
            <w:pPr>
              <w:rPr>
                <w:b/>
                <w:sz w:val="22"/>
                <w:szCs w:val="22"/>
                <w:lang w:val="fr-FR" w:eastAsia="en-US"/>
              </w:rPr>
            </w:pPr>
          </w:p>
        </w:tc>
        <w:tc>
          <w:tcPr>
            <w:tcW w:w="2070" w:type="dxa"/>
            <w:shd w:val="clear" w:color="auto" w:fill="EEECE1"/>
          </w:tcPr>
          <w:p w14:paraId="39291BF0" w14:textId="77777777" w:rsidR="00772BDC" w:rsidRPr="008172EF" w:rsidRDefault="00772BDC" w:rsidP="00BB2BB3">
            <w:pPr>
              <w:jc w:val="both"/>
              <w:rPr>
                <w:sz w:val="22"/>
                <w:szCs w:val="22"/>
                <w:lang w:val="fr-FR" w:eastAsia="en-US"/>
              </w:rPr>
            </w:pPr>
            <w:r w:rsidRPr="008172EF">
              <w:rPr>
                <w:sz w:val="22"/>
                <w:szCs w:val="22"/>
                <w:lang w:val="fr-FR" w:eastAsia="en-US"/>
              </w:rPr>
              <w:lastRenderedPageBreak/>
              <w:t>Indicateur 2.1: Évolution de la perception de l’offre de service de la police par la population</w:t>
            </w:r>
          </w:p>
          <w:p w14:paraId="79218AAB" w14:textId="77777777" w:rsidR="00772BDC" w:rsidRPr="008172EF" w:rsidRDefault="00772BDC" w:rsidP="00BB2BB3">
            <w:pPr>
              <w:rPr>
                <w:sz w:val="22"/>
                <w:szCs w:val="22"/>
                <w:lang w:val="fr-FR" w:eastAsia="en-US"/>
              </w:rPr>
            </w:pPr>
          </w:p>
          <w:p w14:paraId="16D1C313" w14:textId="77777777" w:rsidR="00772BDC" w:rsidRPr="008172EF" w:rsidRDefault="00772BDC" w:rsidP="00BB2BB3">
            <w:pPr>
              <w:rPr>
                <w:sz w:val="22"/>
                <w:szCs w:val="22"/>
                <w:lang w:val="fr-FR" w:eastAsia="en-US"/>
              </w:rPr>
            </w:pPr>
            <w:r w:rsidRPr="008172EF">
              <w:rPr>
                <w:sz w:val="22"/>
                <w:szCs w:val="22"/>
                <w:lang w:val="fr-FR" w:eastAsia="en-US"/>
              </w:rPr>
              <w:t>Base de données : NA (enquête de perception en cours</w:t>
            </w:r>
          </w:p>
          <w:p w14:paraId="08357A9C" w14:textId="77777777" w:rsidR="00772BDC" w:rsidRPr="008172EF" w:rsidRDefault="00772BDC" w:rsidP="00BB2BB3">
            <w:pPr>
              <w:rPr>
                <w:sz w:val="22"/>
                <w:szCs w:val="22"/>
                <w:lang w:val="fr-FR" w:eastAsia="en-US"/>
              </w:rPr>
            </w:pPr>
          </w:p>
          <w:p w14:paraId="06AD69D3" w14:textId="77777777" w:rsidR="00772BDC" w:rsidRPr="008172EF" w:rsidRDefault="00772BDC" w:rsidP="00BB2BB3">
            <w:pPr>
              <w:rPr>
                <w:sz w:val="22"/>
                <w:szCs w:val="22"/>
                <w:lang w:val="fr-FR" w:eastAsia="en-US"/>
              </w:rPr>
            </w:pPr>
          </w:p>
        </w:tc>
        <w:tc>
          <w:tcPr>
            <w:tcW w:w="1530" w:type="dxa"/>
            <w:shd w:val="clear" w:color="auto" w:fill="EEECE1"/>
          </w:tcPr>
          <w:p w14:paraId="45C16B24" w14:textId="77777777" w:rsidR="00772BDC" w:rsidRPr="008172EF" w:rsidRDefault="00772BDC" w:rsidP="00BB2BB3">
            <w:pPr>
              <w:rPr>
                <w:sz w:val="22"/>
                <w:szCs w:val="22"/>
                <w:lang w:val="fr-FR" w:eastAsia="en-US"/>
              </w:rPr>
            </w:pPr>
            <w:r w:rsidRPr="008172EF">
              <w:rPr>
                <w:sz w:val="22"/>
                <w:szCs w:val="22"/>
                <w:lang w:val="fr-FR" w:eastAsia="en-US"/>
              </w:rPr>
              <w:t xml:space="preserve">4% </w:t>
            </w:r>
          </w:p>
          <w:p w14:paraId="2838135B" w14:textId="77777777" w:rsidR="00772BDC" w:rsidRPr="008172EF" w:rsidRDefault="00772BDC" w:rsidP="00BB2BB3">
            <w:pPr>
              <w:rPr>
                <w:sz w:val="22"/>
                <w:szCs w:val="22"/>
                <w:lang w:val="fr-FR" w:eastAsia="en-US"/>
              </w:rPr>
            </w:pPr>
            <w:r w:rsidRPr="008172EF">
              <w:rPr>
                <w:sz w:val="22"/>
                <w:szCs w:val="22"/>
                <w:lang w:val="fr-FR" w:eastAsia="en-US"/>
              </w:rPr>
              <w:t xml:space="preserve"> </w:t>
            </w:r>
            <w:proofErr w:type="gramStart"/>
            <w:r w:rsidRPr="008172EF">
              <w:rPr>
                <w:sz w:val="22"/>
                <w:szCs w:val="22"/>
                <w:lang w:val="fr-FR" w:eastAsia="en-US"/>
              </w:rPr>
              <w:t>font</w:t>
            </w:r>
            <w:proofErr w:type="gramEnd"/>
            <w:r w:rsidRPr="008172EF">
              <w:rPr>
                <w:sz w:val="22"/>
                <w:szCs w:val="22"/>
                <w:lang w:val="fr-FR" w:eastAsia="en-US"/>
              </w:rPr>
              <w:t xml:space="preserve"> totalement confiance à la police (Enquête de perception 2019)</w:t>
            </w:r>
          </w:p>
        </w:tc>
        <w:tc>
          <w:tcPr>
            <w:tcW w:w="1620" w:type="dxa"/>
            <w:shd w:val="clear" w:color="auto" w:fill="EEECE1"/>
          </w:tcPr>
          <w:p w14:paraId="0A4B4448" w14:textId="77777777" w:rsidR="00772BDC" w:rsidRPr="008172EF" w:rsidRDefault="00772BDC" w:rsidP="00BB2BB3">
            <w:pPr>
              <w:rPr>
                <w:sz w:val="22"/>
                <w:szCs w:val="22"/>
                <w:lang w:val="fr-FR" w:eastAsia="en-US"/>
              </w:rPr>
            </w:pPr>
            <w:r w:rsidRPr="008172EF">
              <w:rPr>
                <w:sz w:val="22"/>
                <w:szCs w:val="22"/>
                <w:lang w:val="fr-FR" w:eastAsia="en-US"/>
              </w:rPr>
              <w:t xml:space="preserve">Cible </w:t>
            </w:r>
          </w:p>
          <w:p w14:paraId="048736CE" w14:textId="77777777" w:rsidR="00772BDC" w:rsidRPr="008172EF" w:rsidRDefault="00772BDC" w:rsidP="00BB2BB3">
            <w:pPr>
              <w:rPr>
                <w:sz w:val="22"/>
                <w:szCs w:val="22"/>
                <w:lang w:val="fr-FR" w:eastAsia="en-US"/>
              </w:rPr>
            </w:pPr>
            <w:r w:rsidRPr="008172EF">
              <w:rPr>
                <w:sz w:val="22"/>
                <w:szCs w:val="22"/>
                <w:lang w:val="fr-FR" w:eastAsia="en-US"/>
              </w:rPr>
              <w:t>14%</w:t>
            </w:r>
          </w:p>
          <w:p w14:paraId="524E3C99" w14:textId="77777777" w:rsidR="00772BDC" w:rsidRPr="008172EF" w:rsidRDefault="00772BDC" w:rsidP="00BB2BB3">
            <w:pPr>
              <w:rPr>
                <w:sz w:val="22"/>
                <w:szCs w:val="22"/>
                <w:lang w:val="fr-FR" w:eastAsia="en-US"/>
              </w:rPr>
            </w:pPr>
            <w:r w:rsidRPr="008172EF">
              <w:rPr>
                <w:sz w:val="22"/>
                <w:szCs w:val="22"/>
                <w:lang w:val="fr-FR" w:eastAsia="en-US"/>
              </w:rPr>
              <w:t xml:space="preserve"> Amélioration de + 10 %</w:t>
            </w:r>
          </w:p>
          <w:p w14:paraId="1E77A987" w14:textId="77777777" w:rsidR="00772BDC" w:rsidRPr="008172EF" w:rsidRDefault="00772BDC" w:rsidP="00BB2BB3">
            <w:pPr>
              <w:rPr>
                <w:sz w:val="22"/>
                <w:szCs w:val="22"/>
                <w:lang w:val="fr-FR" w:eastAsia="en-US"/>
              </w:rPr>
            </w:pPr>
            <w:r w:rsidRPr="008172EF">
              <w:rPr>
                <w:sz w:val="22"/>
                <w:szCs w:val="22"/>
                <w:lang w:val="fr-FR" w:eastAsia="en-US"/>
              </w:rPr>
              <w:t xml:space="preserve">Données désagrégées par sexe et tranche d’âge </w:t>
            </w:r>
          </w:p>
          <w:p w14:paraId="6FAF61C1" w14:textId="77777777" w:rsidR="00772BDC" w:rsidRPr="008172EF" w:rsidRDefault="00772BDC" w:rsidP="00BB2BB3">
            <w:pPr>
              <w:rPr>
                <w:sz w:val="22"/>
                <w:szCs w:val="22"/>
                <w:lang w:val="fr-FR"/>
              </w:rPr>
            </w:pPr>
            <w:r w:rsidRPr="008172EF">
              <w:rPr>
                <w:sz w:val="22"/>
                <w:szCs w:val="22"/>
                <w:lang w:val="fr-FR" w:eastAsia="en-US"/>
              </w:rPr>
              <w:t>Données spécifiques sur la police routière</w:t>
            </w:r>
          </w:p>
        </w:tc>
        <w:tc>
          <w:tcPr>
            <w:tcW w:w="2070" w:type="dxa"/>
          </w:tcPr>
          <w:p w14:paraId="36460E6B" w14:textId="77777777" w:rsidR="00772BDC" w:rsidRPr="008172EF" w:rsidRDefault="00772BDC" w:rsidP="00BB2BB3">
            <w:pPr>
              <w:rPr>
                <w:sz w:val="22"/>
                <w:szCs w:val="22"/>
                <w:lang w:val="fr-FR"/>
              </w:rPr>
            </w:pPr>
            <w:r w:rsidRPr="008172EF">
              <w:rPr>
                <w:b/>
                <w:sz w:val="22"/>
                <w:szCs w:val="22"/>
                <w:lang w:val="fr-FR" w:eastAsia="en-US"/>
              </w:rPr>
              <w:t>NA</w:t>
            </w:r>
          </w:p>
        </w:tc>
        <w:tc>
          <w:tcPr>
            <w:tcW w:w="2070" w:type="dxa"/>
          </w:tcPr>
          <w:p w14:paraId="38A3E887" w14:textId="7C7D4945" w:rsidR="00772BDC" w:rsidRPr="008172EF" w:rsidRDefault="00323DE0" w:rsidP="00BB2BB3">
            <w:pPr>
              <w:rPr>
                <w:sz w:val="22"/>
                <w:szCs w:val="22"/>
                <w:lang w:val="fr-FR"/>
              </w:rPr>
            </w:pPr>
            <w:r>
              <w:rPr>
                <w:b/>
                <w:sz w:val="22"/>
                <w:szCs w:val="22"/>
                <w:lang w:val="fr-FR" w:eastAsia="en-US"/>
              </w:rPr>
              <w:t>1</w:t>
            </w:r>
            <w:r w:rsidR="006F443A">
              <w:rPr>
                <w:bCs/>
                <w:sz w:val="22"/>
                <w:szCs w:val="22"/>
                <w:lang w:val="fr-FR" w:eastAsia="en-US"/>
              </w:rPr>
              <w:t>7,99%</w:t>
            </w:r>
          </w:p>
        </w:tc>
        <w:tc>
          <w:tcPr>
            <w:tcW w:w="4140" w:type="dxa"/>
          </w:tcPr>
          <w:p w14:paraId="031C4BBA" w14:textId="08AF8578" w:rsidR="00772BDC" w:rsidRPr="00AB3625" w:rsidRDefault="005045CB" w:rsidP="00BB2BB3">
            <w:pPr>
              <w:rPr>
                <w:bCs/>
                <w:sz w:val="22"/>
                <w:szCs w:val="22"/>
                <w:lang w:val="fr-FR"/>
              </w:rPr>
            </w:pPr>
            <w:r>
              <w:rPr>
                <w:bCs/>
                <w:sz w:val="22"/>
                <w:szCs w:val="22"/>
                <w:lang w:val="fr-FR" w:eastAsia="en-US"/>
              </w:rPr>
              <w:t>17,99% font entièrement confiance contre un objectif recherché de 14</w:t>
            </w:r>
            <w:r w:rsidR="00323DE0">
              <w:rPr>
                <w:bCs/>
                <w:sz w:val="22"/>
                <w:szCs w:val="22"/>
                <w:lang w:val="fr-FR" w:eastAsia="en-US"/>
              </w:rPr>
              <w:t>% comparativement</w:t>
            </w:r>
            <w:r>
              <w:rPr>
                <w:bCs/>
                <w:sz w:val="22"/>
                <w:szCs w:val="22"/>
                <w:lang w:val="fr-FR" w:eastAsia="en-US"/>
              </w:rPr>
              <w:t xml:space="preserve"> </w:t>
            </w:r>
            <w:r w:rsidR="00323DE0">
              <w:rPr>
                <w:bCs/>
                <w:sz w:val="22"/>
                <w:szCs w:val="22"/>
                <w:lang w:val="fr-FR" w:eastAsia="en-US"/>
              </w:rPr>
              <w:t>aux</w:t>
            </w:r>
            <w:r>
              <w:rPr>
                <w:bCs/>
                <w:sz w:val="22"/>
                <w:szCs w:val="22"/>
                <w:lang w:val="fr-FR" w:eastAsia="en-US"/>
              </w:rPr>
              <w:t xml:space="preserve"> donnée</w:t>
            </w:r>
            <w:r w:rsidR="00323DE0">
              <w:rPr>
                <w:bCs/>
                <w:sz w:val="22"/>
                <w:szCs w:val="22"/>
                <w:lang w:val="fr-FR" w:eastAsia="en-US"/>
              </w:rPr>
              <w:t>s</w:t>
            </w:r>
            <w:r>
              <w:rPr>
                <w:bCs/>
                <w:sz w:val="22"/>
                <w:szCs w:val="22"/>
                <w:lang w:val="fr-FR" w:eastAsia="en-US"/>
              </w:rPr>
              <w:t xml:space="preserve"> de l’enquête de base 4</w:t>
            </w:r>
            <w:proofErr w:type="gramStart"/>
            <w:r w:rsidR="00323DE0">
              <w:rPr>
                <w:bCs/>
                <w:sz w:val="22"/>
                <w:szCs w:val="22"/>
                <w:lang w:val="fr-FR" w:eastAsia="en-US"/>
              </w:rPr>
              <w:t>%(</w:t>
            </w:r>
            <w:proofErr w:type="gramEnd"/>
            <w:r w:rsidR="00323DE0">
              <w:rPr>
                <w:bCs/>
                <w:sz w:val="22"/>
                <w:szCs w:val="22"/>
                <w:lang w:val="fr-FR" w:eastAsia="en-US"/>
              </w:rPr>
              <w:t>au</w:t>
            </w:r>
            <w:r>
              <w:rPr>
                <w:bCs/>
                <w:sz w:val="22"/>
                <w:szCs w:val="22"/>
                <w:lang w:val="fr-FR" w:eastAsia="en-US"/>
              </w:rPr>
              <w:t xml:space="preserve"> total 13% d’amélioration)</w:t>
            </w:r>
          </w:p>
        </w:tc>
      </w:tr>
      <w:tr w:rsidR="00772BDC" w:rsidRPr="00330C84" w14:paraId="431FF65F" w14:textId="77777777" w:rsidTr="00BB2BB3">
        <w:trPr>
          <w:trHeight w:val="422"/>
        </w:trPr>
        <w:tc>
          <w:tcPr>
            <w:tcW w:w="1530" w:type="dxa"/>
            <w:vMerge/>
          </w:tcPr>
          <w:p w14:paraId="494D9B5C" w14:textId="77777777" w:rsidR="00772BDC" w:rsidRPr="008172EF" w:rsidRDefault="00772BDC" w:rsidP="00BB2BB3">
            <w:pPr>
              <w:rPr>
                <w:sz w:val="22"/>
                <w:szCs w:val="22"/>
                <w:lang w:val="fr-FR" w:eastAsia="en-US"/>
              </w:rPr>
            </w:pPr>
          </w:p>
        </w:tc>
        <w:tc>
          <w:tcPr>
            <w:tcW w:w="2070" w:type="dxa"/>
            <w:shd w:val="clear" w:color="auto" w:fill="EEECE1"/>
          </w:tcPr>
          <w:p w14:paraId="414DF4A9" w14:textId="77777777" w:rsidR="00772BDC" w:rsidRPr="008172EF" w:rsidRDefault="00772BDC" w:rsidP="00BB2BB3">
            <w:pPr>
              <w:jc w:val="both"/>
              <w:rPr>
                <w:sz w:val="22"/>
                <w:szCs w:val="22"/>
                <w:lang w:val="fr-FR" w:eastAsia="en-US"/>
              </w:rPr>
            </w:pPr>
            <w:r w:rsidRPr="008172EF">
              <w:rPr>
                <w:sz w:val="22"/>
                <w:szCs w:val="22"/>
                <w:lang w:val="fr-FR" w:eastAsia="en-US"/>
              </w:rPr>
              <w:t>Indicateur 2.2</w:t>
            </w:r>
          </w:p>
          <w:p w14:paraId="66AFC1DF" w14:textId="77777777" w:rsidR="00772BDC" w:rsidRPr="008172EF" w:rsidRDefault="00772BDC" w:rsidP="00BB2BB3">
            <w:pPr>
              <w:rPr>
                <w:sz w:val="22"/>
                <w:szCs w:val="22"/>
                <w:lang w:val="fr-FR" w:eastAsia="en-US"/>
              </w:rPr>
            </w:pPr>
            <w:r w:rsidRPr="008172EF">
              <w:rPr>
                <w:sz w:val="22"/>
                <w:szCs w:val="22"/>
                <w:lang w:val="fr-FR" w:eastAsia="en-US"/>
              </w:rPr>
              <w:t>:  Évolution de la perception de l’image de la police par la population</w:t>
            </w:r>
          </w:p>
          <w:p w14:paraId="7FAD76FA" w14:textId="77777777" w:rsidR="00772BDC" w:rsidRPr="008172EF" w:rsidRDefault="00772BDC" w:rsidP="00BB2BB3">
            <w:pPr>
              <w:rPr>
                <w:sz w:val="22"/>
                <w:szCs w:val="22"/>
                <w:lang w:val="fr-FR" w:eastAsia="en-US"/>
              </w:rPr>
            </w:pPr>
          </w:p>
          <w:p w14:paraId="3CBA5566" w14:textId="77777777" w:rsidR="00772BDC" w:rsidRPr="008172EF" w:rsidRDefault="00772BDC" w:rsidP="00BB2BB3">
            <w:pPr>
              <w:rPr>
                <w:sz w:val="22"/>
                <w:szCs w:val="22"/>
                <w:lang w:val="fr-FR" w:eastAsia="en-US"/>
              </w:rPr>
            </w:pPr>
            <w:r w:rsidRPr="008172EF">
              <w:rPr>
                <w:sz w:val="22"/>
                <w:szCs w:val="22"/>
                <w:lang w:val="fr-FR" w:eastAsia="en-US"/>
              </w:rPr>
              <w:t>Base de données : NA (enquête de perception en cours)</w:t>
            </w:r>
          </w:p>
          <w:p w14:paraId="536AF834" w14:textId="77777777" w:rsidR="00772BDC" w:rsidRPr="008172EF" w:rsidRDefault="00772BDC" w:rsidP="00BB2BB3">
            <w:pPr>
              <w:rPr>
                <w:sz w:val="22"/>
                <w:szCs w:val="22"/>
                <w:lang w:val="fr-FR" w:eastAsia="en-US"/>
              </w:rPr>
            </w:pPr>
            <w:r w:rsidRPr="008172EF">
              <w:rPr>
                <w:sz w:val="22"/>
                <w:szCs w:val="22"/>
                <w:lang w:val="fr-FR" w:eastAsia="en-US"/>
              </w:rPr>
              <w:t>Cible : Amélioration de + 10 %</w:t>
            </w:r>
          </w:p>
          <w:p w14:paraId="49C0CE0A" w14:textId="77777777" w:rsidR="00772BDC" w:rsidRPr="008172EF" w:rsidRDefault="00772BDC" w:rsidP="00BB2BB3">
            <w:pPr>
              <w:rPr>
                <w:sz w:val="22"/>
                <w:szCs w:val="22"/>
                <w:lang w:val="fr-FR" w:eastAsia="en-US"/>
              </w:rPr>
            </w:pPr>
            <w:r w:rsidRPr="008172EF">
              <w:rPr>
                <w:sz w:val="22"/>
                <w:szCs w:val="22"/>
                <w:lang w:val="fr-FR" w:eastAsia="en-US"/>
              </w:rPr>
              <w:t xml:space="preserve">Données désagrégées par sexe et tranche d’âge </w:t>
            </w:r>
          </w:p>
          <w:p w14:paraId="04AD25BC" w14:textId="77777777" w:rsidR="00772BDC" w:rsidRPr="008172EF" w:rsidRDefault="00772BDC" w:rsidP="00BB2BB3">
            <w:pPr>
              <w:jc w:val="both"/>
              <w:rPr>
                <w:sz w:val="22"/>
                <w:szCs w:val="22"/>
                <w:lang w:val="fr-FR" w:eastAsia="en-US"/>
              </w:rPr>
            </w:pPr>
          </w:p>
        </w:tc>
        <w:tc>
          <w:tcPr>
            <w:tcW w:w="1530" w:type="dxa"/>
            <w:shd w:val="clear" w:color="auto" w:fill="EEECE1"/>
          </w:tcPr>
          <w:p w14:paraId="018D5772" w14:textId="538EC65C" w:rsidR="00772BDC" w:rsidRPr="008172EF" w:rsidRDefault="00442E9F" w:rsidP="00BB2BB3">
            <w:pPr>
              <w:rPr>
                <w:sz w:val="22"/>
                <w:szCs w:val="22"/>
                <w:lang w:val="fr-FR" w:eastAsia="en-US"/>
              </w:rPr>
            </w:pPr>
            <w:r>
              <w:rPr>
                <w:sz w:val="22"/>
                <w:szCs w:val="22"/>
                <w:lang w:val="fr-FR" w:eastAsia="en-US"/>
              </w:rPr>
              <w:t>38%</w:t>
            </w:r>
            <w:r w:rsidR="00772BDC" w:rsidRPr="008172EF">
              <w:rPr>
                <w:sz w:val="22"/>
                <w:szCs w:val="22"/>
                <w:lang w:val="fr-FR" w:eastAsia="en-US"/>
              </w:rPr>
              <w:t xml:space="preserve"> </w:t>
            </w:r>
          </w:p>
          <w:p w14:paraId="26606218" w14:textId="7C937376" w:rsidR="00772BDC" w:rsidRPr="008172EF" w:rsidRDefault="00772BDC" w:rsidP="00BB2BB3">
            <w:pPr>
              <w:rPr>
                <w:sz w:val="22"/>
                <w:szCs w:val="22"/>
                <w:lang w:val="fr-FR"/>
              </w:rPr>
            </w:pPr>
            <w:r w:rsidRPr="008172EF">
              <w:rPr>
                <w:sz w:val="22"/>
                <w:szCs w:val="22"/>
                <w:lang w:val="fr-FR" w:eastAsia="en-US"/>
              </w:rPr>
              <w:t xml:space="preserve"> </w:t>
            </w:r>
            <w:r w:rsidR="00442E9F">
              <w:rPr>
                <w:sz w:val="22"/>
                <w:szCs w:val="22"/>
                <w:lang w:val="fr-FR" w:eastAsia="en-US"/>
              </w:rPr>
              <w:t xml:space="preserve">Exprime être victime de réclamation d’argent </w:t>
            </w:r>
            <w:r w:rsidRPr="008172EF">
              <w:rPr>
                <w:sz w:val="22"/>
                <w:szCs w:val="22"/>
                <w:lang w:val="fr-FR" w:eastAsia="en-US"/>
              </w:rPr>
              <w:t>(Enquête de perception 2019)</w:t>
            </w:r>
          </w:p>
        </w:tc>
        <w:tc>
          <w:tcPr>
            <w:tcW w:w="1620" w:type="dxa"/>
            <w:shd w:val="clear" w:color="auto" w:fill="EEECE1"/>
          </w:tcPr>
          <w:p w14:paraId="5A9FF69B" w14:textId="77777777" w:rsidR="00772BDC" w:rsidRPr="008172EF" w:rsidRDefault="00772BDC" w:rsidP="00BB2BB3">
            <w:pPr>
              <w:rPr>
                <w:sz w:val="22"/>
                <w:szCs w:val="22"/>
                <w:lang w:val="fr-FR" w:eastAsia="en-US"/>
              </w:rPr>
            </w:pPr>
            <w:r w:rsidRPr="008172EF">
              <w:rPr>
                <w:sz w:val="22"/>
                <w:szCs w:val="22"/>
                <w:lang w:val="fr-FR" w:eastAsia="en-US"/>
              </w:rPr>
              <w:t xml:space="preserve">Cible </w:t>
            </w:r>
          </w:p>
          <w:p w14:paraId="45C46D04" w14:textId="77777777" w:rsidR="00772BDC" w:rsidRPr="008172EF" w:rsidRDefault="00772BDC" w:rsidP="00BB2BB3">
            <w:pPr>
              <w:rPr>
                <w:sz w:val="22"/>
                <w:szCs w:val="22"/>
                <w:lang w:val="fr-FR" w:eastAsia="en-US"/>
              </w:rPr>
            </w:pPr>
            <w:r w:rsidRPr="008172EF">
              <w:rPr>
                <w:sz w:val="22"/>
                <w:szCs w:val="22"/>
                <w:lang w:val="fr-FR" w:eastAsia="en-US"/>
              </w:rPr>
              <w:t>14%</w:t>
            </w:r>
          </w:p>
          <w:p w14:paraId="1B970660" w14:textId="77777777" w:rsidR="00772BDC" w:rsidRPr="008172EF" w:rsidRDefault="00772BDC" w:rsidP="00BB2BB3">
            <w:pPr>
              <w:rPr>
                <w:sz w:val="22"/>
                <w:szCs w:val="22"/>
                <w:lang w:val="fr-FR" w:eastAsia="en-US"/>
              </w:rPr>
            </w:pPr>
            <w:r w:rsidRPr="008172EF">
              <w:rPr>
                <w:sz w:val="22"/>
                <w:szCs w:val="22"/>
                <w:lang w:val="fr-FR" w:eastAsia="en-US"/>
              </w:rPr>
              <w:t xml:space="preserve"> Amélioration de + 10 %</w:t>
            </w:r>
          </w:p>
          <w:p w14:paraId="0BDC5523" w14:textId="77777777" w:rsidR="00772BDC" w:rsidRPr="008172EF" w:rsidRDefault="00772BDC" w:rsidP="00BB2BB3">
            <w:pPr>
              <w:rPr>
                <w:sz w:val="22"/>
                <w:szCs w:val="22"/>
                <w:lang w:val="fr-FR" w:eastAsia="en-US"/>
              </w:rPr>
            </w:pPr>
            <w:r w:rsidRPr="008172EF">
              <w:rPr>
                <w:sz w:val="22"/>
                <w:szCs w:val="22"/>
                <w:lang w:val="fr-FR" w:eastAsia="en-US"/>
              </w:rPr>
              <w:t xml:space="preserve">Données désagrégées par sexe et tranche d’âge </w:t>
            </w:r>
          </w:p>
          <w:p w14:paraId="1EBAE567" w14:textId="77777777" w:rsidR="00772BDC" w:rsidRPr="008172EF" w:rsidRDefault="00772BDC" w:rsidP="00BB2BB3">
            <w:pPr>
              <w:rPr>
                <w:sz w:val="22"/>
                <w:szCs w:val="22"/>
                <w:lang w:val="fr-FR"/>
              </w:rPr>
            </w:pPr>
            <w:r w:rsidRPr="008172EF">
              <w:rPr>
                <w:sz w:val="22"/>
                <w:szCs w:val="22"/>
                <w:lang w:val="fr-FR" w:eastAsia="en-US"/>
              </w:rPr>
              <w:t>Données spécifiques sur la police routière</w:t>
            </w:r>
          </w:p>
        </w:tc>
        <w:tc>
          <w:tcPr>
            <w:tcW w:w="2070" w:type="dxa"/>
          </w:tcPr>
          <w:p w14:paraId="02FF510D" w14:textId="77777777" w:rsidR="00772BDC" w:rsidRPr="008172EF" w:rsidRDefault="00772BDC" w:rsidP="00BB2BB3">
            <w:pPr>
              <w:rPr>
                <w:sz w:val="22"/>
                <w:szCs w:val="22"/>
                <w:lang w:val="fr-FR"/>
              </w:rPr>
            </w:pPr>
            <w:r w:rsidRPr="008172EF">
              <w:rPr>
                <w:b/>
                <w:sz w:val="22"/>
                <w:szCs w:val="22"/>
                <w:lang w:val="fr-FR" w:eastAsia="en-US"/>
              </w:rPr>
              <w:t>NA</w:t>
            </w:r>
          </w:p>
        </w:tc>
        <w:tc>
          <w:tcPr>
            <w:tcW w:w="2070" w:type="dxa"/>
          </w:tcPr>
          <w:p w14:paraId="17D50EC8" w14:textId="53A561F3" w:rsidR="00772BDC" w:rsidRPr="008172EF" w:rsidRDefault="00A44BC8" w:rsidP="00BB2BB3">
            <w:pPr>
              <w:rPr>
                <w:sz w:val="22"/>
                <w:szCs w:val="22"/>
                <w:lang w:val="fr-FR"/>
              </w:rPr>
            </w:pPr>
            <w:r>
              <w:rPr>
                <w:b/>
                <w:sz w:val="22"/>
                <w:szCs w:val="22"/>
                <w:lang w:val="fr-FR" w:eastAsia="en-US"/>
              </w:rPr>
              <w:t>24,55%</w:t>
            </w:r>
          </w:p>
        </w:tc>
        <w:tc>
          <w:tcPr>
            <w:tcW w:w="4140" w:type="dxa"/>
          </w:tcPr>
          <w:p w14:paraId="63A4C4D4" w14:textId="21BE0C53" w:rsidR="00772BDC" w:rsidRPr="00AB3625" w:rsidRDefault="00442E9F" w:rsidP="00BB2BB3">
            <w:pPr>
              <w:rPr>
                <w:bCs/>
                <w:sz w:val="22"/>
                <w:szCs w:val="22"/>
                <w:lang w:val="fr-FR"/>
              </w:rPr>
            </w:pPr>
            <w:r>
              <w:rPr>
                <w:bCs/>
                <w:sz w:val="22"/>
                <w:szCs w:val="22"/>
                <w:lang w:val="fr-FR" w:eastAsia="en-US"/>
              </w:rPr>
              <w:t xml:space="preserve">13,45% atteint </w:t>
            </w:r>
            <w:proofErr w:type="gramStart"/>
            <w:r>
              <w:rPr>
                <w:bCs/>
                <w:sz w:val="22"/>
                <w:szCs w:val="22"/>
                <w:lang w:val="fr-FR" w:eastAsia="en-US"/>
              </w:rPr>
              <w:t>suite à</w:t>
            </w:r>
            <w:proofErr w:type="gramEnd"/>
            <w:r>
              <w:rPr>
                <w:bCs/>
                <w:sz w:val="22"/>
                <w:szCs w:val="22"/>
                <w:lang w:val="fr-FR" w:eastAsia="en-US"/>
              </w:rPr>
              <w:t xml:space="preserve"> la mise en œuvre du projet contre un objectif de 14% </w:t>
            </w:r>
          </w:p>
        </w:tc>
      </w:tr>
      <w:tr w:rsidR="00772BDC" w:rsidRPr="008172EF" w14:paraId="0B219903" w14:textId="77777777" w:rsidTr="00BB2BB3">
        <w:trPr>
          <w:trHeight w:val="422"/>
        </w:trPr>
        <w:tc>
          <w:tcPr>
            <w:tcW w:w="1530" w:type="dxa"/>
            <w:vMerge w:val="restart"/>
          </w:tcPr>
          <w:p w14:paraId="3C3B6FEE" w14:textId="77777777" w:rsidR="00772BDC" w:rsidRPr="008172EF" w:rsidRDefault="00772BDC" w:rsidP="00BB2BB3">
            <w:pPr>
              <w:rPr>
                <w:b/>
                <w:bCs/>
                <w:sz w:val="22"/>
                <w:szCs w:val="22"/>
                <w:lang w:val="fr-FR" w:eastAsia="en-US"/>
              </w:rPr>
            </w:pPr>
            <w:r w:rsidRPr="008172EF">
              <w:rPr>
                <w:b/>
                <w:bCs/>
                <w:sz w:val="22"/>
                <w:szCs w:val="22"/>
                <w:lang w:val="fr-FR" w:eastAsia="en-US"/>
              </w:rPr>
              <w:t>Produit 2.1</w:t>
            </w:r>
          </w:p>
          <w:p w14:paraId="4F41D9FF" w14:textId="77777777" w:rsidR="00772BDC" w:rsidRPr="008172EF" w:rsidRDefault="00772BDC" w:rsidP="00BB2BB3">
            <w:pPr>
              <w:rPr>
                <w:b/>
                <w:sz w:val="22"/>
                <w:szCs w:val="22"/>
                <w:lang w:val="fr-FR" w:eastAsia="en-US"/>
              </w:rPr>
            </w:pPr>
            <w:r w:rsidRPr="008172EF">
              <w:rPr>
                <w:b/>
                <w:sz w:val="22"/>
                <w:szCs w:val="22"/>
                <w:lang w:val="fr-FR" w:eastAsia="en-US"/>
              </w:rPr>
              <w:t xml:space="preserve">Les capacités des cadres du Ministère de la Sécurité sont renforcées pour la mise en œuvre efficace de la politique et stratégie de </w:t>
            </w:r>
            <w:r w:rsidRPr="008172EF">
              <w:rPr>
                <w:b/>
                <w:sz w:val="22"/>
                <w:szCs w:val="22"/>
                <w:lang w:val="fr-FR" w:eastAsia="en-US"/>
              </w:rPr>
              <w:lastRenderedPageBreak/>
              <w:t>lutte contre l’insécurité.</w:t>
            </w:r>
          </w:p>
          <w:p w14:paraId="2C54F1FE" w14:textId="77777777" w:rsidR="00772BDC" w:rsidRPr="008172EF" w:rsidRDefault="00772BDC" w:rsidP="00BB2BB3">
            <w:pPr>
              <w:rPr>
                <w:b/>
                <w:sz w:val="22"/>
                <w:szCs w:val="22"/>
                <w:lang w:val="fr-FR" w:eastAsia="en-US"/>
              </w:rPr>
            </w:pPr>
          </w:p>
          <w:p w14:paraId="51D45565" w14:textId="77777777" w:rsidR="00772BDC" w:rsidRPr="008172EF" w:rsidRDefault="00772BDC" w:rsidP="00BB2BB3">
            <w:pPr>
              <w:rPr>
                <w:sz w:val="22"/>
                <w:szCs w:val="22"/>
                <w:lang w:val="fr-FR" w:eastAsia="en-US"/>
              </w:rPr>
            </w:pPr>
          </w:p>
          <w:p w14:paraId="59DCDF67" w14:textId="77777777" w:rsidR="00772BDC" w:rsidRPr="008172EF" w:rsidRDefault="00772BDC" w:rsidP="00BB2BB3">
            <w:pPr>
              <w:rPr>
                <w:b/>
                <w:sz w:val="22"/>
                <w:szCs w:val="22"/>
                <w:lang w:val="fr-FR" w:eastAsia="en-US"/>
              </w:rPr>
            </w:pPr>
          </w:p>
        </w:tc>
        <w:tc>
          <w:tcPr>
            <w:tcW w:w="2070" w:type="dxa"/>
            <w:shd w:val="clear" w:color="auto" w:fill="EEECE1"/>
          </w:tcPr>
          <w:p w14:paraId="097358D9" w14:textId="77777777" w:rsidR="00772BDC" w:rsidRPr="008172EF" w:rsidRDefault="00772BDC" w:rsidP="00BB2BB3">
            <w:pPr>
              <w:jc w:val="both"/>
              <w:rPr>
                <w:sz w:val="22"/>
                <w:szCs w:val="22"/>
                <w:lang w:val="fr-FR" w:eastAsia="en-US"/>
              </w:rPr>
            </w:pPr>
            <w:r w:rsidRPr="008172EF">
              <w:rPr>
                <w:sz w:val="22"/>
                <w:szCs w:val="22"/>
                <w:lang w:val="fr-FR" w:eastAsia="en-US"/>
              </w:rPr>
              <w:lastRenderedPageBreak/>
              <w:t>Indicateur 2.1.1:  Disponibilité d’une stratégie de communication pour le MSPC</w:t>
            </w:r>
          </w:p>
          <w:p w14:paraId="29243BEC" w14:textId="77777777" w:rsidR="00772BDC" w:rsidRPr="008172EF" w:rsidRDefault="00772BDC" w:rsidP="00BB2BB3">
            <w:pPr>
              <w:rPr>
                <w:sz w:val="22"/>
                <w:szCs w:val="22"/>
                <w:lang w:val="fr-FR" w:eastAsia="en-US"/>
              </w:rPr>
            </w:pPr>
          </w:p>
          <w:p w14:paraId="6E1BA453" w14:textId="77777777" w:rsidR="00772BDC" w:rsidRPr="008172EF" w:rsidRDefault="00772BDC" w:rsidP="00BB2BB3">
            <w:pPr>
              <w:rPr>
                <w:sz w:val="22"/>
                <w:szCs w:val="22"/>
                <w:lang w:val="fr-FR" w:eastAsia="en-US"/>
              </w:rPr>
            </w:pPr>
            <w:r w:rsidRPr="008172EF">
              <w:rPr>
                <w:sz w:val="22"/>
                <w:szCs w:val="22"/>
                <w:lang w:val="fr-FR" w:eastAsia="en-US"/>
              </w:rPr>
              <w:t>Base de données : XX</w:t>
            </w:r>
          </w:p>
          <w:p w14:paraId="357BEAF4" w14:textId="77777777" w:rsidR="00772BDC" w:rsidRPr="008172EF" w:rsidRDefault="00772BDC" w:rsidP="00BB2BB3">
            <w:pPr>
              <w:rPr>
                <w:sz w:val="22"/>
                <w:szCs w:val="22"/>
                <w:lang w:val="fr-FR" w:eastAsia="en-US"/>
              </w:rPr>
            </w:pPr>
          </w:p>
          <w:p w14:paraId="6DF17492" w14:textId="77777777" w:rsidR="00772BDC" w:rsidRPr="008172EF" w:rsidRDefault="00772BDC" w:rsidP="00BB2BB3">
            <w:pPr>
              <w:rPr>
                <w:sz w:val="22"/>
                <w:szCs w:val="22"/>
                <w:lang w:val="fr-FR" w:eastAsia="en-US"/>
              </w:rPr>
            </w:pPr>
            <w:r w:rsidRPr="008172EF">
              <w:rPr>
                <w:sz w:val="22"/>
                <w:szCs w:val="22"/>
                <w:lang w:val="fr-FR" w:eastAsia="en-US"/>
              </w:rPr>
              <w:t xml:space="preserve">Cible : 1 </w:t>
            </w:r>
          </w:p>
          <w:p w14:paraId="6311EE63" w14:textId="77777777" w:rsidR="00772BDC" w:rsidRPr="008172EF" w:rsidRDefault="00772BDC" w:rsidP="00BB2BB3">
            <w:pPr>
              <w:jc w:val="both"/>
              <w:rPr>
                <w:sz w:val="22"/>
                <w:szCs w:val="22"/>
                <w:lang w:val="fr-FR" w:eastAsia="en-US"/>
              </w:rPr>
            </w:pPr>
          </w:p>
        </w:tc>
        <w:tc>
          <w:tcPr>
            <w:tcW w:w="1530" w:type="dxa"/>
            <w:shd w:val="clear" w:color="auto" w:fill="EEECE1"/>
          </w:tcPr>
          <w:p w14:paraId="41F334CA" w14:textId="77777777" w:rsidR="00772BDC" w:rsidRPr="008172EF" w:rsidRDefault="00772BDC" w:rsidP="00BB2BB3">
            <w:pPr>
              <w:rPr>
                <w:sz w:val="22"/>
                <w:szCs w:val="22"/>
                <w:lang w:val="fr-FR"/>
              </w:rPr>
            </w:pPr>
            <w:r w:rsidRPr="008172EF">
              <w:rPr>
                <w:b/>
                <w:sz w:val="22"/>
                <w:szCs w:val="22"/>
                <w:lang w:val="fr-FR" w:eastAsia="en-US"/>
              </w:rPr>
              <w:t>0</w:t>
            </w:r>
          </w:p>
        </w:tc>
        <w:tc>
          <w:tcPr>
            <w:tcW w:w="1620" w:type="dxa"/>
            <w:shd w:val="clear" w:color="auto" w:fill="EEECE1"/>
          </w:tcPr>
          <w:p w14:paraId="2A3D07A5" w14:textId="77777777" w:rsidR="00772BDC" w:rsidRPr="008172EF" w:rsidRDefault="00772BDC" w:rsidP="00BB2BB3">
            <w:pPr>
              <w:rPr>
                <w:sz w:val="22"/>
                <w:szCs w:val="22"/>
                <w:lang w:val="fr-FR"/>
              </w:rPr>
            </w:pPr>
            <w:r w:rsidRPr="008172EF">
              <w:rPr>
                <w:b/>
                <w:sz w:val="22"/>
                <w:szCs w:val="22"/>
                <w:lang w:val="fr-FR" w:eastAsia="en-US"/>
              </w:rPr>
              <w:t>1</w:t>
            </w:r>
          </w:p>
        </w:tc>
        <w:tc>
          <w:tcPr>
            <w:tcW w:w="2070" w:type="dxa"/>
          </w:tcPr>
          <w:p w14:paraId="025B0BC1" w14:textId="77777777" w:rsidR="00772BDC" w:rsidRPr="008172EF" w:rsidRDefault="00772BDC" w:rsidP="00BB2BB3">
            <w:pPr>
              <w:rPr>
                <w:sz w:val="22"/>
                <w:szCs w:val="22"/>
                <w:lang w:val="fr-FR"/>
              </w:rPr>
            </w:pPr>
            <w:r w:rsidRPr="008172EF">
              <w:rPr>
                <w:b/>
                <w:sz w:val="22"/>
                <w:szCs w:val="22"/>
                <w:lang w:val="fr-FR" w:eastAsia="en-US"/>
              </w:rPr>
              <w:t>1</w:t>
            </w:r>
          </w:p>
        </w:tc>
        <w:tc>
          <w:tcPr>
            <w:tcW w:w="2070" w:type="dxa"/>
          </w:tcPr>
          <w:p w14:paraId="79DE912C" w14:textId="77777777" w:rsidR="00772BDC" w:rsidRPr="008172EF" w:rsidRDefault="00772BDC" w:rsidP="00BB2BB3">
            <w:pPr>
              <w:rPr>
                <w:sz w:val="22"/>
                <w:szCs w:val="22"/>
                <w:lang w:val="fr-FR"/>
              </w:rPr>
            </w:pPr>
            <w:r w:rsidRPr="008172EF">
              <w:rPr>
                <w:b/>
                <w:sz w:val="22"/>
                <w:szCs w:val="22"/>
                <w:lang w:val="fr-FR" w:eastAsia="en-US"/>
              </w:rPr>
              <w:t>100%</w:t>
            </w:r>
          </w:p>
        </w:tc>
        <w:tc>
          <w:tcPr>
            <w:tcW w:w="4140" w:type="dxa"/>
          </w:tcPr>
          <w:p w14:paraId="6A744FAD" w14:textId="50A00145" w:rsidR="00772BDC" w:rsidRPr="008172EF" w:rsidRDefault="00DF35A6" w:rsidP="00BB2BB3">
            <w:pPr>
              <w:rPr>
                <w:sz w:val="22"/>
                <w:szCs w:val="22"/>
                <w:lang w:val="fr-FR"/>
              </w:rPr>
            </w:pPr>
            <w:r>
              <w:rPr>
                <w:sz w:val="22"/>
                <w:szCs w:val="22"/>
                <w:lang w:val="fr-FR"/>
              </w:rPr>
              <w:t>Cible</w:t>
            </w:r>
            <w:r w:rsidR="00442E9F">
              <w:rPr>
                <w:sz w:val="22"/>
                <w:szCs w:val="22"/>
                <w:lang w:val="fr-FR"/>
              </w:rPr>
              <w:t xml:space="preserve"> entièrement atteint </w:t>
            </w:r>
          </w:p>
        </w:tc>
      </w:tr>
      <w:tr w:rsidR="00772BDC" w:rsidRPr="008172EF" w14:paraId="392B1E56" w14:textId="77777777" w:rsidTr="00262382">
        <w:trPr>
          <w:trHeight w:val="458"/>
        </w:trPr>
        <w:tc>
          <w:tcPr>
            <w:tcW w:w="1530" w:type="dxa"/>
            <w:vMerge/>
          </w:tcPr>
          <w:p w14:paraId="22F7B08E" w14:textId="77777777" w:rsidR="00772BDC" w:rsidRPr="008172EF" w:rsidRDefault="00772BDC" w:rsidP="00BB2BB3">
            <w:pPr>
              <w:rPr>
                <w:b/>
                <w:sz w:val="22"/>
                <w:szCs w:val="22"/>
                <w:lang w:val="fr-FR" w:eastAsia="en-US"/>
              </w:rPr>
            </w:pPr>
          </w:p>
        </w:tc>
        <w:tc>
          <w:tcPr>
            <w:tcW w:w="2070" w:type="dxa"/>
            <w:shd w:val="clear" w:color="auto" w:fill="D9D9D9" w:themeFill="background1" w:themeFillShade="D9"/>
          </w:tcPr>
          <w:p w14:paraId="133CEE5D" w14:textId="77777777" w:rsidR="00772BDC" w:rsidRPr="008172EF" w:rsidRDefault="00772BDC" w:rsidP="009A2C6C">
            <w:pPr>
              <w:jc w:val="both"/>
              <w:rPr>
                <w:sz w:val="22"/>
                <w:szCs w:val="22"/>
                <w:lang w:val="fr-FR" w:eastAsia="en-US"/>
              </w:rPr>
            </w:pPr>
            <w:r w:rsidRPr="008172EF">
              <w:rPr>
                <w:sz w:val="22"/>
                <w:szCs w:val="22"/>
                <w:lang w:val="fr-FR" w:eastAsia="en-US"/>
              </w:rPr>
              <w:t xml:space="preserve">Indicateur 2.1.2 : Nombre de séances </w:t>
            </w:r>
            <w:r w:rsidRPr="008172EF">
              <w:rPr>
                <w:sz w:val="22"/>
                <w:szCs w:val="22"/>
                <w:lang w:val="fr-FR" w:eastAsia="en-US"/>
              </w:rPr>
              <w:lastRenderedPageBreak/>
              <w:t>de sensibilisation et de vulgarisation des textes clés de la Police et PC, réforme</w:t>
            </w:r>
          </w:p>
          <w:p w14:paraId="239110CC" w14:textId="77777777" w:rsidR="00772BDC" w:rsidRPr="008172EF" w:rsidRDefault="00772BDC" w:rsidP="009A2C6C">
            <w:pPr>
              <w:jc w:val="both"/>
              <w:rPr>
                <w:sz w:val="22"/>
                <w:szCs w:val="22"/>
                <w:lang w:val="fr-FR" w:eastAsia="en-US"/>
              </w:rPr>
            </w:pPr>
          </w:p>
        </w:tc>
        <w:tc>
          <w:tcPr>
            <w:tcW w:w="1530" w:type="dxa"/>
            <w:shd w:val="clear" w:color="auto" w:fill="EEECE1"/>
          </w:tcPr>
          <w:p w14:paraId="0F3E1FA1" w14:textId="77777777" w:rsidR="00772BDC" w:rsidRPr="008172EF" w:rsidRDefault="00772BDC" w:rsidP="00BB2BB3">
            <w:pPr>
              <w:rPr>
                <w:sz w:val="22"/>
                <w:szCs w:val="22"/>
                <w:lang w:val="fr-FR"/>
              </w:rPr>
            </w:pPr>
            <w:r w:rsidRPr="008172EF">
              <w:rPr>
                <w:b/>
                <w:sz w:val="22"/>
                <w:szCs w:val="22"/>
                <w:lang w:val="fr-FR" w:eastAsia="en-US"/>
              </w:rPr>
              <w:lastRenderedPageBreak/>
              <w:t>1</w:t>
            </w:r>
          </w:p>
        </w:tc>
        <w:tc>
          <w:tcPr>
            <w:tcW w:w="1620" w:type="dxa"/>
            <w:shd w:val="clear" w:color="auto" w:fill="EEECE1"/>
          </w:tcPr>
          <w:p w14:paraId="5D501BD5" w14:textId="77777777" w:rsidR="00772BDC" w:rsidRPr="008172EF" w:rsidRDefault="00772BDC" w:rsidP="00BB2BB3">
            <w:pPr>
              <w:rPr>
                <w:sz w:val="22"/>
                <w:szCs w:val="22"/>
                <w:lang w:val="fr-FR"/>
              </w:rPr>
            </w:pPr>
            <w:r w:rsidRPr="008172EF">
              <w:rPr>
                <w:b/>
                <w:sz w:val="22"/>
                <w:szCs w:val="22"/>
                <w:lang w:val="fr-FR" w:eastAsia="en-US"/>
              </w:rPr>
              <w:t>5 (+4)</w:t>
            </w:r>
          </w:p>
        </w:tc>
        <w:tc>
          <w:tcPr>
            <w:tcW w:w="2070" w:type="dxa"/>
          </w:tcPr>
          <w:p w14:paraId="6548AAFF" w14:textId="77777777" w:rsidR="00772BDC" w:rsidRPr="008172EF" w:rsidRDefault="00772BDC" w:rsidP="00BB2BB3">
            <w:pPr>
              <w:rPr>
                <w:sz w:val="22"/>
                <w:szCs w:val="22"/>
                <w:lang w:val="fr-FR"/>
              </w:rPr>
            </w:pPr>
            <w:r w:rsidRPr="008172EF">
              <w:rPr>
                <w:b/>
                <w:sz w:val="22"/>
                <w:szCs w:val="22"/>
                <w:lang w:val="fr-FR" w:eastAsia="en-US"/>
              </w:rPr>
              <w:t>5</w:t>
            </w:r>
          </w:p>
        </w:tc>
        <w:tc>
          <w:tcPr>
            <w:tcW w:w="2070" w:type="dxa"/>
          </w:tcPr>
          <w:p w14:paraId="2FD4D2B4" w14:textId="77777777" w:rsidR="00772BDC" w:rsidRPr="008172EF" w:rsidRDefault="00772BDC" w:rsidP="00BB2BB3">
            <w:pPr>
              <w:rPr>
                <w:sz w:val="22"/>
                <w:szCs w:val="22"/>
                <w:lang w:val="fr-FR"/>
              </w:rPr>
            </w:pPr>
            <w:r w:rsidRPr="008172EF">
              <w:rPr>
                <w:b/>
                <w:sz w:val="22"/>
                <w:szCs w:val="22"/>
                <w:lang w:val="fr-FR" w:eastAsia="en-US"/>
              </w:rPr>
              <w:t>100%</w:t>
            </w:r>
          </w:p>
        </w:tc>
        <w:tc>
          <w:tcPr>
            <w:tcW w:w="4140" w:type="dxa"/>
          </w:tcPr>
          <w:p w14:paraId="12A4039B" w14:textId="77777777" w:rsidR="00772BDC" w:rsidRPr="008172EF" w:rsidRDefault="00772BDC" w:rsidP="00BB2BB3">
            <w:pPr>
              <w:rPr>
                <w:sz w:val="22"/>
                <w:szCs w:val="22"/>
                <w:lang w:val="fr-FR"/>
              </w:rPr>
            </w:pPr>
          </w:p>
        </w:tc>
      </w:tr>
      <w:tr w:rsidR="00772BDC" w:rsidRPr="00330C84" w14:paraId="7A16F019" w14:textId="77777777" w:rsidTr="00BB2BB3">
        <w:trPr>
          <w:trHeight w:val="512"/>
        </w:trPr>
        <w:tc>
          <w:tcPr>
            <w:tcW w:w="1530" w:type="dxa"/>
            <w:vMerge w:val="restart"/>
          </w:tcPr>
          <w:p w14:paraId="46379897" w14:textId="77777777" w:rsidR="00772BDC" w:rsidRPr="008172EF" w:rsidRDefault="00772BDC" w:rsidP="00BB2BB3">
            <w:pPr>
              <w:rPr>
                <w:b/>
                <w:sz w:val="22"/>
                <w:szCs w:val="22"/>
                <w:lang w:val="fr-FR" w:eastAsia="en-US"/>
              </w:rPr>
            </w:pPr>
          </w:p>
          <w:p w14:paraId="5DE5C068" w14:textId="77777777" w:rsidR="00772BDC" w:rsidRPr="008172EF" w:rsidRDefault="00772BDC" w:rsidP="00BB2BB3">
            <w:pPr>
              <w:rPr>
                <w:b/>
                <w:bCs/>
                <w:sz w:val="22"/>
                <w:szCs w:val="22"/>
                <w:lang w:val="fr-FR" w:eastAsia="en-US"/>
              </w:rPr>
            </w:pPr>
            <w:r w:rsidRPr="008172EF">
              <w:rPr>
                <w:b/>
                <w:bCs/>
                <w:sz w:val="22"/>
                <w:szCs w:val="22"/>
                <w:lang w:val="fr-FR" w:eastAsia="en-US"/>
              </w:rPr>
              <w:t>Produit 2.2</w:t>
            </w:r>
          </w:p>
          <w:p w14:paraId="521330AB" w14:textId="77777777" w:rsidR="00772BDC" w:rsidRPr="008172EF" w:rsidRDefault="00772BDC" w:rsidP="00BB2BB3">
            <w:pPr>
              <w:rPr>
                <w:b/>
                <w:sz w:val="22"/>
                <w:szCs w:val="22"/>
                <w:lang w:val="fr-FR" w:eastAsia="en-US"/>
              </w:rPr>
            </w:pPr>
            <w:r w:rsidRPr="008172EF">
              <w:rPr>
                <w:b/>
                <w:sz w:val="22"/>
                <w:szCs w:val="22"/>
                <w:lang w:val="fr-FR" w:eastAsia="en-US"/>
              </w:rPr>
              <w:t>L’amélioration des prestations et du comportement des agents de terrain de la police de circulation routière contribue à la restauration de la confiance avec le public.</w:t>
            </w:r>
          </w:p>
          <w:p w14:paraId="453EF69F" w14:textId="77777777" w:rsidR="00772BDC" w:rsidRPr="008172EF" w:rsidRDefault="00772BDC" w:rsidP="00BB2BB3">
            <w:pPr>
              <w:rPr>
                <w:b/>
                <w:sz w:val="22"/>
                <w:szCs w:val="22"/>
                <w:lang w:val="fr-FR" w:eastAsia="en-US"/>
              </w:rPr>
            </w:pPr>
          </w:p>
          <w:p w14:paraId="13B5F03E" w14:textId="77777777" w:rsidR="00772BDC" w:rsidRDefault="00772BDC" w:rsidP="00BB2BB3">
            <w:pPr>
              <w:rPr>
                <w:sz w:val="22"/>
                <w:szCs w:val="22"/>
                <w:lang w:val="fr-FR" w:eastAsia="en-US"/>
              </w:rPr>
            </w:pPr>
          </w:p>
          <w:p w14:paraId="14232C84" w14:textId="77777777" w:rsidR="002B390C" w:rsidRDefault="002B390C" w:rsidP="00BB2BB3">
            <w:pPr>
              <w:rPr>
                <w:sz w:val="22"/>
                <w:szCs w:val="22"/>
                <w:lang w:val="fr-FR" w:eastAsia="en-US"/>
              </w:rPr>
            </w:pPr>
          </w:p>
          <w:p w14:paraId="1B881E2F" w14:textId="45CE3DBC" w:rsidR="002B390C" w:rsidRPr="008172EF" w:rsidRDefault="002B390C" w:rsidP="00BB2BB3">
            <w:pPr>
              <w:rPr>
                <w:sz w:val="22"/>
                <w:szCs w:val="22"/>
                <w:lang w:val="fr-FR" w:eastAsia="en-US"/>
              </w:rPr>
            </w:pPr>
          </w:p>
        </w:tc>
        <w:tc>
          <w:tcPr>
            <w:tcW w:w="2070" w:type="dxa"/>
            <w:shd w:val="clear" w:color="auto" w:fill="EEECE1"/>
          </w:tcPr>
          <w:p w14:paraId="4FFAC48B" w14:textId="77777777" w:rsidR="00772BDC" w:rsidRPr="008172EF" w:rsidRDefault="00772BDC" w:rsidP="00BB2BB3">
            <w:pPr>
              <w:jc w:val="both"/>
              <w:rPr>
                <w:sz w:val="22"/>
                <w:szCs w:val="22"/>
                <w:lang w:val="fr-FR" w:eastAsia="en-US"/>
              </w:rPr>
            </w:pPr>
            <w:r w:rsidRPr="008172EF">
              <w:rPr>
                <w:sz w:val="22"/>
                <w:szCs w:val="22"/>
                <w:lang w:val="fr-FR" w:eastAsia="en-US"/>
              </w:rPr>
              <w:t>Indicateur 2.2.1</w:t>
            </w:r>
          </w:p>
          <w:p w14:paraId="6252EFAC" w14:textId="77777777" w:rsidR="00772BDC" w:rsidRPr="008172EF" w:rsidRDefault="00772BDC" w:rsidP="00BB2BB3">
            <w:pPr>
              <w:rPr>
                <w:sz w:val="22"/>
                <w:szCs w:val="22"/>
                <w:lang w:val="fr-FR" w:eastAsia="en-US"/>
              </w:rPr>
            </w:pPr>
            <w:r w:rsidRPr="008172EF">
              <w:rPr>
                <w:sz w:val="22"/>
                <w:szCs w:val="22"/>
                <w:lang w:val="fr-FR" w:eastAsia="en-US"/>
              </w:rPr>
              <w:t xml:space="preserve">Perception de la qualité de la prestation technique des agents de la routière </w:t>
            </w:r>
          </w:p>
          <w:p w14:paraId="22C177E5" w14:textId="77777777" w:rsidR="00772BDC" w:rsidRPr="008172EF" w:rsidRDefault="00772BDC" w:rsidP="00BB2BB3">
            <w:pPr>
              <w:rPr>
                <w:sz w:val="22"/>
                <w:szCs w:val="22"/>
                <w:lang w:val="fr-FR" w:eastAsia="en-US"/>
              </w:rPr>
            </w:pPr>
            <w:r w:rsidRPr="008172EF">
              <w:rPr>
                <w:sz w:val="22"/>
                <w:szCs w:val="22"/>
                <w:lang w:val="fr-FR" w:eastAsia="en-US"/>
              </w:rPr>
              <w:t xml:space="preserve"> </w:t>
            </w:r>
          </w:p>
          <w:p w14:paraId="732160EF" w14:textId="77777777" w:rsidR="00772BDC" w:rsidRPr="008172EF" w:rsidRDefault="00772BDC" w:rsidP="00BB2BB3">
            <w:pPr>
              <w:rPr>
                <w:sz w:val="22"/>
                <w:szCs w:val="22"/>
                <w:lang w:val="fr-FR" w:eastAsia="en-US"/>
              </w:rPr>
            </w:pPr>
          </w:p>
          <w:p w14:paraId="62909B5F" w14:textId="77777777" w:rsidR="00772BDC" w:rsidRPr="008172EF" w:rsidRDefault="00772BDC" w:rsidP="00BB2BB3">
            <w:pPr>
              <w:rPr>
                <w:sz w:val="22"/>
                <w:szCs w:val="22"/>
                <w:lang w:val="fr-FR" w:eastAsia="en-US"/>
              </w:rPr>
            </w:pPr>
            <w:r w:rsidRPr="008172EF">
              <w:rPr>
                <w:sz w:val="22"/>
                <w:szCs w:val="22"/>
                <w:lang w:val="fr-FR" w:eastAsia="en-US"/>
              </w:rPr>
              <w:t>Base de données : NA</w:t>
            </w:r>
          </w:p>
          <w:p w14:paraId="60A570BD" w14:textId="4F163A22" w:rsidR="00772BDC" w:rsidRPr="008172EF" w:rsidRDefault="00772BDC" w:rsidP="00BB2BB3">
            <w:pPr>
              <w:rPr>
                <w:sz w:val="22"/>
                <w:szCs w:val="22"/>
                <w:lang w:val="fr-FR" w:eastAsia="en-US"/>
              </w:rPr>
            </w:pPr>
            <w:r w:rsidRPr="008172EF">
              <w:rPr>
                <w:sz w:val="22"/>
                <w:szCs w:val="22"/>
                <w:lang w:val="fr-FR" w:eastAsia="en-US"/>
              </w:rPr>
              <w:t>Cible : Amélioration de 20% (</w:t>
            </w:r>
            <w:r w:rsidRPr="00772BDC">
              <w:rPr>
                <w:color w:val="000000" w:themeColor="text1"/>
                <w:sz w:val="22"/>
                <w:szCs w:val="22"/>
                <w:lang w:val="fr-FR" w:eastAsia="en-US"/>
              </w:rPr>
              <w:t>réalisé, étude de démarrage</w:t>
            </w:r>
            <w:r w:rsidRPr="008172EF">
              <w:rPr>
                <w:sz w:val="22"/>
                <w:szCs w:val="22"/>
                <w:lang w:val="fr-FR" w:eastAsia="en-US"/>
              </w:rPr>
              <w:t>)</w:t>
            </w:r>
          </w:p>
          <w:p w14:paraId="45E2EBB6" w14:textId="77777777" w:rsidR="00772BDC" w:rsidRPr="008172EF" w:rsidRDefault="00772BDC" w:rsidP="00BB2BB3">
            <w:pPr>
              <w:jc w:val="both"/>
              <w:rPr>
                <w:sz w:val="22"/>
                <w:szCs w:val="22"/>
                <w:lang w:val="fr-FR" w:eastAsia="en-US"/>
              </w:rPr>
            </w:pPr>
          </w:p>
        </w:tc>
        <w:tc>
          <w:tcPr>
            <w:tcW w:w="1530" w:type="dxa"/>
            <w:shd w:val="clear" w:color="auto" w:fill="EEECE1"/>
          </w:tcPr>
          <w:p w14:paraId="2D7971EC" w14:textId="77777777" w:rsidR="00772BDC" w:rsidRPr="008172EF" w:rsidRDefault="00772BDC" w:rsidP="00BB2BB3">
            <w:pPr>
              <w:rPr>
                <w:sz w:val="22"/>
                <w:szCs w:val="22"/>
                <w:lang w:val="fr-FR"/>
              </w:rPr>
            </w:pPr>
            <w:r w:rsidRPr="008172EF">
              <w:rPr>
                <w:b/>
                <w:sz w:val="22"/>
                <w:szCs w:val="22"/>
                <w:lang w:val="fr-FR" w:eastAsia="en-US"/>
              </w:rPr>
              <w:t>40% apprécient la prestation</w:t>
            </w:r>
          </w:p>
        </w:tc>
        <w:tc>
          <w:tcPr>
            <w:tcW w:w="1620" w:type="dxa"/>
            <w:shd w:val="clear" w:color="auto" w:fill="EEECE1"/>
          </w:tcPr>
          <w:p w14:paraId="2714252E" w14:textId="77777777" w:rsidR="00772BDC" w:rsidRPr="008172EF" w:rsidRDefault="00772BDC" w:rsidP="00BB2BB3">
            <w:pPr>
              <w:spacing w:line="480" w:lineRule="auto"/>
              <w:rPr>
                <w:sz w:val="22"/>
                <w:szCs w:val="22"/>
                <w:vertAlign w:val="subscript"/>
                <w:lang w:val="fr-FR"/>
              </w:rPr>
            </w:pPr>
            <w:r w:rsidRPr="008172EF">
              <w:rPr>
                <w:b/>
                <w:sz w:val="22"/>
                <w:szCs w:val="22"/>
                <w:lang w:val="fr-FR" w:eastAsia="en-US"/>
              </w:rPr>
              <w:t>60% (20%)</w:t>
            </w:r>
          </w:p>
        </w:tc>
        <w:tc>
          <w:tcPr>
            <w:tcW w:w="2070" w:type="dxa"/>
          </w:tcPr>
          <w:p w14:paraId="4AE32343" w14:textId="77777777" w:rsidR="00772BDC" w:rsidRPr="008172EF" w:rsidRDefault="00772BDC" w:rsidP="00BB2BB3">
            <w:pPr>
              <w:rPr>
                <w:sz w:val="22"/>
                <w:szCs w:val="22"/>
                <w:lang w:val="fr-FR"/>
              </w:rPr>
            </w:pPr>
            <w:r w:rsidRPr="008172EF">
              <w:rPr>
                <w:b/>
                <w:sz w:val="22"/>
                <w:szCs w:val="22"/>
                <w:lang w:val="fr-FR" w:eastAsia="en-US"/>
              </w:rPr>
              <w:t>NA</w:t>
            </w:r>
          </w:p>
        </w:tc>
        <w:tc>
          <w:tcPr>
            <w:tcW w:w="2070" w:type="dxa"/>
          </w:tcPr>
          <w:p w14:paraId="06CC9B1C" w14:textId="04A01EA6" w:rsidR="00772BDC" w:rsidRPr="008172EF" w:rsidRDefault="00442E9F" w:rsidP="00BB2BB3">
            <w:pPr>
              <w:rPr>
                <w:sz w:val="22"/>
                <w:szCs w:val="22"/>
                <w:lang w:val="fr-FR"/>
              </w:rPr>
            </w:pPr>
            <w:r>
              <w:rPr>
                <w:b/>
                <w:sz w:val="22"/>
                <w:szCs w:val="22"/>
                <w:lang w:val="fr-FR" w:eastAsia="en-US"/>
              </w:rPr>
              <w:t>42,55%</w:t>
            </w:r>
          </w:p>
        </w:tc>
        <w:tc>
          <w:tcPr>
            <w:tcW w:w="4140" w:type="dxa"/>
          </w:tcPr>
          <w:p w14:paraId="72672582" w14:textId="05880A7D" w:rsidR="00772BDC" w:rsidRPr="00AB3625" w:rsidRDefault="00442E9F" w:rsidP="00BB2BB3">
            <w:pPr>
              <w:rPr>
                <w:bCs/>
                <w:sz w:val="22"/>
                <w:szCs w:val="22"/>
                <w:lang w:val="fr-FR"/>
              </w:rPr>
            </w:pPr>
            <w:r>
              <w:rPr>
                <w:bCs/>
                <w:sz w:val="22"/>
                <w:szCs w:val="22"/>
                <w:lang w:val="fr-FR" w:eastAsia="en-US"/>
              </w:rPr>
              <w:t>Une amélioration de 2,55</w:t>
            </w:r>
            <w:r w:rsidR="00B04A09">
              <w:rPr>
                <w:bCs/>
                <w:sz w:val="22"/>
                <w:szCs w:val="22"/>
                <w:lang w:val="fr-FR" w:eastAsia="en-US"/>
              </w:rPr>
              <w:t>% contre une prévision de 20</w:t>
            </w:r>
            <w:proofErr w:type="gramStart"/>
            <w:r w:rsidR="00B04A09">
              <w:rPr>
                <w:bCs/>
                <w:sz w:val="22"/>
                <w:szCs w:val="22"/>
                <w:lang w:val="fr-FR" w:eastAsia="en-US"/>
              </w:rPr>
              <w:t>%</w:t>
            </w:r>
            <w:r w:rsidR="00772BDC" w:rsidRPr="00AB3625">
              <w:rPr>
                <w:bCs/>
                <w:sz w:val="22"/>
                <w:szCs w:val="22"/>
                <w:lang w:val="fr-FR" w:eastAsia="en-US"/>
              </w:rPr>
              <w:t>.</w:t>
            </w:r>
            <w:r w:rsidR="00B04A09">
              <w:rPr>
                <w:bCs/>
                <w:sz w:val="22"/>
                <w:szCs w:val="22"/>
                <w:lang w:val="fr-FR" w:eastAsia="en-US"/>
              </w:rPr>
              <w:t>Ce</w:t>
            </w:r>
            <w:proofErr w:type="gramEnd"/>
            <w:r w:rsidR="00B04A09">
              <w:rPr>
                <w:bCs/>
                <w:sz w:val="22"/>
                <w:szCs w:val="22"/>
                <w:lang w:val="fr-FR" w:eastAsia="en-US"/>
              </w:rPr>
              <w:t xml:space="preserve"> </w:t>
            </w:r>
            <w:proofErr w:type="spellStart"/>
            <w:r w:rsidR="00B04A09">
              <w:rPr>
                <w:bCs/>
                <w:sz w:val="22"/>
                <w:szCs w:val="22"/>
                <w:lang w:val="fr-FR" w:eastAsia="en-US"/>
              </w:rPr>
              <w:t>recule</w:t>
            </w:r>
            <w:proofErr w:type="spellEnd"/>
            <w:r w:rsidR="00B04A09">
              <w:rPr>
                <w:bCs/>
                <w:sz w:val="22"/>
                <w:szCs w:val="22"/>
                <w:lang w:val="fr-FR" w:eastAsia="en-US"/>
              </w:rPr>
              <w:t xml:space="preserve"> est liée aux manifestations politiques et crises du processus électoral.</w:t>
            </w:r>
          </w:p>
        </w:tc>
      </w:tr>
      <w:tr w:rsidR="00772BDC" w:rsidRPr="00330C84" w14:paraId="4EFA7CEC" w14:textId="77777777" w:rsidTr="00BB2BB3">
        <w:trPr>
          <w:trHeight w:val="458"/>
        </w:trPr>
        <w:tc>
          <w:tcPr>
            <w:tcW w:w="1530" w:type="dxa"/>
            <w:vMerge/>
          </w:tcPr>
          <w:p w14:paraId="5D05E34B" w14:textId="77777777" w:rsidR="00772BDC" w:rsidRPr="008172EF" w:rsidRDefault="00772BDC" w:rsidP="00BB2BB3">
            <w:pPr>
              <w:rPr>
                <w:b/>
                <w:sz w:val="22"/>
                <w:szCs w:val="22"/>
                <w:lang w:val="fr-FR" w:eastAsia="en-US"/>
              </w:rPr>
            </w:pPr>
          </w:p>
        </w:tc>
        <w:tc>
          <w:tcPr>
            <w:tcW w:w="2070" w:type="dxa"/>
            <w:shd w:val="clear" w:color="auto" w:fill="EEECE1"/>
          </w:tcPr>
          <w:p w14:paraId="45EDA9F5" w14:textId="77777777" w:rsidR="00772BDC" w:rsidRPr="008172EF" w:rsidRDefault="00772BDC" w:rsidP="00BB2BB3">
            <w:pPr>
              <w:rPr>
                <w:sz w:val="22"/>
                <w:szCs w:val="22"/>
                <w:lang w:val="fr-FR" w:eastAsia="en-US"/>
              </w:rPr>
            </w:pPr>
            <w:r w:rsidRPr="008172EF">
              <w:rPr>
                <w:sz w:val="22"/>
                <w:szCs w:val="22"/>
                <w:lang w:val="fr-FR" w:eastAsia="en-US"/>
              </w:rPr>
              <w:t xml:space="preserve">Indicateur 2.2.2 : Nombre d’agent de la police routière formés </w:t>
            </w:r>
          </w:p>
          <w:p w14:paraId="499E038E" w14:textId="77777777" w:rsidR="00772BDC" w:rsidRPr="008172EF" w:rsidRDefault="00772BDC" w:rsidP="00BB2BB3">
            <w:pPr>
              <w:rPr>
                <w:sz w:val="22"/>
                <w:szCs w:val="22"/>
                <w:lang w:val="fr-FR" w:eastAsia="en-US"/>
              </w:rPr>
            </w:pPr>
          </w:p>
          <w:p w14:paraId="4DFB3979" w14:textId="77777777" w:rsidR="00772BDC" w:rsidRPr="008172EF" w:rsidRDefault="00772BDC" w:rsidP="00BB2BB3">
            <w:pPr>
              <w:jc w:val="both"/>
              <w:rPr>
                <w:sz w:val="22"/>
                <w:szCs w:val="22"/>
                <w:lang w:val="fr-FR" w:eastAsia="en-US"/>
              </w:rPr>
            </w:pPr>
          </w:p>
        </w:tc>
        <w:tc>
          <w:tcPr>
            <w:tcW w:w="1530" w:type="dxa"/>
            <w:shd w:val="clear" w:color="auto" w:fill="EEECE1"/>
          </w:tcPr>
          <w:p w14:paraId="39D8BD76" w14:textId="77777777" w:rsidR="00772BDC" w:rsidRPr="008172EF" w:rsidRDefault="00772BDC" w:rsidP="00BB2BB3">
            <w:pPr>
              <w:rPr>
                <w:sz w:val="22"/>
                <w:szCs w:val="22"/>
                <w:lang w:val="fr-FR"/>
              </w:rPr>
            </w:pPr>
            <w:r w:rsidRPr="008172EF">
              <w:rPr>
                <w:b/>
                <w:sz w:val="22"/>
                <w:szCs w:val="22"/>
                <w:lang w:val="fr-FR" w:eastAsia="en-US"/>
              </w:rPr>
              <w:t>25</w:t>
            </w:r>
          </w:p>
        </w:tc>
        <w:tc>
          <w:tcPr>
            <w:tcW w:w="1620" w:type="dxa"/>
            <w:shd w:val="clear" w:color="auto" w:fill="EEECE1"/>
          </w:tcPr>
          <w:p w14:paraId="4AE91DED" w14:textId="77777777" w:rsidR="00772BDC" w:rsidRPr="008172EF" w:rsidRDefault="00772BDC" w:rsidP="00BB2BB3">
            <w:pPr>
              <w:rPr>
                <w:sz w:val="22"/>
                <w:szCs w:val="22"/>
                <w:lang w:val="fr-FR"/>
              </w:rPr>
            </w:pPr>
            <w:r w:rsidRPr="008172EF">
              <w:rPr>
                <w:b/>
                <w:sz w:val="22"/>
                <w:szCs w:val="22"/>
                <w:lang w:val="fr-FR" w:eastAsia="en-US"/>
              </w:rPr>
              <w:t>500 (+475)</w:t>
            </w:r>
          </w:p>
        </w:tc>
        <w:tc>
          <w:tcPr>
            <w:tcW w:w="2070" w:type="dxa"/>
          </w:tcPr>
          <w:p w14:paraId="6C2DE091" w14:textId="77777777" w:rsidR="00772BDC" w:rsidRPr="008172EF" w:rsidRDefault="00772BDC" w:rsidP="00BB2BB3">
            <w:pPr>
              <w:rPr>
                <w:sz w:val="22"/>
                <w:szCs w:val="22"/>
                <w:lang w:val="fr-FR"/>
              </w:rPr>
            </w:pPr>
            <w:r w:rsidRPr="008172EF">
              <w:rPr>
                <w:b/>
                <w:sz w:val="22"/>
                <w:szCs w:val="22"/>
                <w:lang w:val="fr-FR" w:eastAsia="en-US"/>
              </w:rPr>
              <w:t>400</w:t>
            </w:r>
          </w:p>
        </w:tc>
        <w:tc>
          <w:tcPr>
            <w:tcW w:w="2070" w:type="dxa"/>
          </w:tcPr>
          <w:p w14:paraId="370D01DA" w14:textId="77777777" w:rsidR="00772BDC" w:rsidRPr="008172EF" w:rsidRDefault="00772BDC" w:rsidP="00BB2BB3">
            <w:pPr>
              <w:rPr>
                <w:sz w:val="22"/>
                <w:szCs w:val="22"/>
                <w:lang w:val="fr-FR"/>
              </w:rPr>
            </w:pPr>
            <w:r w:rsidRPr="008172EF">
              <w:rPr>
                <w:b/>
                <w:sz w:val="22"/>
                <w:szCs w:val="22"/>
                <w:lang w:val="fr-FR" w:eastAsia="en-US"/>
              </w:rPr>
              <w:t>80%</w:t>
            </w:r>
          </w:p>
        </w:tc>
        <w:tc>
          <w:tcPr>
            <w:tcW w:w="4140" w:type="dxa"/>
          </w:tcPr>
          <w:p w14:paraId="090CE6AF" w14:textId="2402849E" w:rsidR="00772BDC" w:rsidRPr="008172EF" w:rsidRDefault="00B04A09" w:rsidP="00BB2BB3">
            <w:pPr>
              <w:rPr>
                <w:sz w:val="22"/>
                <w:szCs w:val="22"/>
                <w:lang w:val="fr-FR"/>
              </w:rPr>
            </w:pPr>
            <w:r>
              <w:rPr>
                <w:sz w:val="22"/>
                <w:szCs w:val="22"/>
                <w:lang w:val="fr-FR"/>
              </w:rPr>
              <w:t xml:space="preserve">Les autres agents non formés ne disposent d’aucun niveau </w:t>
            </w:r>
            <w:proofErr w:type="gramStart"/>
            <w:r>
              <w:rPr>
                <w:sz w:val="22"/>
                <w:szCs w:val="22"/>
                <w:lang w:val="fr-FR"/>
              </w:rPr>
              <w:t>académique .</w:t>
            </w:r>
            <w:proofErr w:type="gramEnd"/>
          </w:p>
        </w:tc>
      </w:tr>
      <w:tr w:rsidR="00772BDC" w:rsidRPr="00330C84" w14:paraId="3C2C7617" w14:textId="77777777" w:rsidTr="00BB2BB3">
        <w:trPr>
          <w:trHeight w:val="458"/>
        </w:trPr>
        <w:tc>
          <w:tcPr>
            <w:tcW w:w="1530" w:type="dxa"/>
            <w:vMerge w:val="restart"/>
          </w:tcPr>
          <w:p w14:paraId="7A975028" w14:textId="77777777" w:rsidR="00772BDC" w:rsidRPr="008172EF" w:rsidRDefault="00772BDC" w:rsidP="00BB2BB3">
            <w:pPr>
              <w:rPr>
                <w:b/>
                <w:sz w:val="22"/>
                <w:szCs w:val="22"/>
                <w:lang w:val="fr-FR" w:eastAsia="en-US"/>
              </w:rPr>
            </w:pPr>
          </w:p>
          <w:p w14:paraId="19EB1A5A" w14:textId="77777777" w:rsidR="00772BDC" w:rsidRPr="008172EF" w:rsidRDefault="00772BDC" w:rsidP="00BB2BB3">
            <w:pPr>
              <w:rPr>
                <w:b/>
                <w:bCs/>
                <w:sz w:val="22"/>
                <w:szCs w:val="22"/>
                <w:lang w:val="fr-FR" w:eastAsia="en-US"/>
              </w:rPr>
            </w:pPr>
            <w:r w:rsidRPr="008172EF">
              <w:rPr>
                <w:b/>
                <w:bCs/>
                <w:sz w:val="22"/>
                <w:szCs w:val="22"/>
                <w:lang w:val="fr-FR" w:eastAsia="en-US"/>
              </w:rPr>
              <w:t>Produit 2.3</w:t>
            </w:r>
          </w:p>
          <w:p w14:paraId="6B5EA012" w14:textId="77777777" w:rsidR="00772BDC" w:rsidRPr="008172EF" w:rsidRDefault="00772BDC" w:rsidP="00BB2BB3">
            <w:pPr>
              <w:rPr>
                <w:b/>
                <w:sz w:val="22"/>
                <w:szCs w:val="22"/>
                <w:lang w:val="fr-FR" w:eastAsia="en-US"/>
              </w:rPr>
            </w:pPr>
            <w:r w:rsidRPr="008172EF">
              <w:rPr>
                <w:b/>
                <w:sz w:val="22"/>
                <w:szCs w:val="22"/>
                <w:lang w:val="fr-FR" w:eastAsia="en-US"/>
              </w:rPr>
              <w:t xml:space="preserve">Les capacités des Cellules Genre dans les zones minières et en Moyenne guinée sont renforcées pour lutter contre les </w:t>
            </w:r>
            <w:proofErr w:type="gramStart"/>
            <w:r w:rsidRPr="008172EF">
              <w:rPr>
                <w:b/>
                <w:sz w:val="22"/>
                <w:szCs w:val="22"/>
                <w:lang w:val="fr-FR" w:eastAsia="en-US"/>
              </w:rPr>
              <w:t>VBG  (</w:t>
            </w:r>
            <w:proofErr w:type="gramEnd"/>
            <w:r w:rsidRPr="008172EF">
              <w:rPr>
                <w:b/>
                <w:sz w:val="22"/>
                <w:szCs w:val="22"/>
                <w:lang w:val="fr-FR" w:eastAsia="en-US"/>
              </w:rPr>
              <w:t>réalisé)</w:t>
            </w:r>
          </w:p>
          <w:p w14:paraId="282FC747" w14:textId="77777777" w:rsidR="00772BDC" w:rsidRPr="008172EF" w:rsidRDefault="00772BDC" w:rsidP="00BB2BB3">
            <w:pPr>
              <w:rPr>
                <w:sz w:val="22"/>
                <w:szCs w:val="22"/>
                <w:lang w:val="fr-FR" w:eastAsia="en-US"/>
              </w:rPr>
            </w:pPr>
          </w:p>
        </w:tc>
        <w:tc>
          <w:tcPr>
            <w:tcW w:w="2070" w:type="dxa"/>
            <w:shd w:val="clear" w:color="auto" w:fill="EEECE1"/>
          </w:tcPr>
          <w:p w14:paraId="4BFCC8A2" w14:textId="4F99B211" w:rsidR="00772BDC" w:rsidRPr="008172EF" w:rsidRDefault="002B390C" w:rsidP="00BB2BB3">
            <w:pPr>
              <w:jc w:val="both"/>
              <w:rPr>
                <w:sz w:val="22"/>
                <w:szCs w:val="22"/>
                <w:lang w:val="fr-FR" w:eastAsia="en-US"/>
              </w:rPr>
            </w:pPr>
            <w:r w:rsidRPr="008172EF">
              <w:rPr>
                <w:sz w:val="22"/>
                <w:szCs w:val="22"/>
                <w:lang w:val="fr-FR" w:eastAsia="en-US"/>
              </w:rPr>
              <w:t>Indicateur 2.3.1</w:t>
            </w:r>
          </w:p>
          <w:p w14:paraId="3BA9C086" w14:textId="77777777" w:rsidR="00772BDC" w:rsidRPr="008172EF" w:rsidRDefault="00772BDC" w:rsidP="00BB2BB3">
            <w:pPr>
              <w:rPr>
                <w:sz w:val="22"/>
                <w:szCs w:val="22"/>
                <w:lang w:val="fr-FR" w:eastAsia="en-US"/>
              </w:rPr>
            </w:pPr>
            <w:r w:rsidRPr="008172EF">
              <w:rPr>
                <w:sz w:val="22"/>
                <w:szCs w:val="22"/>
                <w:lang w:val="fr-FR" w:eastAsia="en-US"/>
              </w:rPr>
              <w:t>Nombre de plaintes faisant l’objet d’un suivi et d’un rapport</w:t>
            </w:r>
          </w:p>
          <w:p w14:paraId="7A4BAE11" w14:textId="77777777" w:rsidR="00772BDC" w:rsidRPr="008172EF" w:rsidRDefault="00772BDC" w:rsidP="00BB2BB3">
            <w:pPr>
              <w:jc w:val="both"/>
              <w:rPr>
                <w:sz w:val="22"/>
                <w:szCs w:val="22"/>
                <w:lang w:val="fr-FR" w:eastAsia="en-US"/>
              </w:rPr>
            </w:pPr>
          </w:p>
        </w:tc>
        <w:tc>
          <w:tcPr>
            <w:tcW w:w="1530" w:type="dxa"/>
            <w:shd w:val="clear" w:color="auto" w:fill="EEECE1"/>
          </w:tcPr>
          <w:p w14:paraId="4461B6C4" w14:textId="77777777" w:rsidR="00772BDC" w:rsidRPr="008172EF" w:rsidRDefault="00772BDC" w:rsidP="00BB2BB3">
            <w:pPr>
              <w:rPr>
                <w:sz w:val="22"/>
                <w:szCs w:val="22"/>
                <w:lang w:val="fr-FR"/>
              </w:rPr>
            </w:pPr>
            <w:r w:rsidRPr="008172EF">
              <w:rPr>
                <w:b/>
                <w:sz w:val="22"/>
                <w:szCs w:val="22"/>
                <w:lang w:val="fr-FR" w:eastAsia="en-US"/>
              </w:rPr>
              <w:t>10</w:t>
            </w:r>
          </w:p>
        </w:tc>
        <w:tc>
          <w:tcPr>
            <w:tcW w:w="1620" w:type="dxa"/>
            <w:shd w:val="clear" w:color="auto" w:fill="EEECE1"/>
          </w:tcPr>
          <w:p w14:paraId="73AD48F4" w14:textId="77777777" w:rsidR="00772BDC" w:rsidRPr="008172EF" w:rsidRDefault="00772BDC" w:rsidP="00BB2BB3">
            <w:pPr>
              <w:rPr>
                <w:sz w:val="22"/>
                <w:szCs w:val="22"/>
                <w:lang w:val="fr-FR"/>
              </w:rPr>
            </w:pPr>
            <w:r w:rsidRPr="008172EF">
              <w:rPr>
                <w:b/>
                <w:sz w:val="22"/>
                <w:szCs w:val="22"/>
                <w:lang w:val="fr-FR" w:eastAsia="en-US"/>
              </w:rPr>
              <w:t>100</w:t>
            </w:r>
          </w:p>
        </w:tc>
        <w:tc>
          <w:tcPr>
            <w:tcW w:w="2070" w:type="dxa"/>
          </w:tcPr>
          <w:p w14:paraId="59D4AAFB" w14:textId="2C48AA19" w:rsidR="00772BDC" w:rsidRPr="008172EF" w:rsidRDefault="002B390C" w:rsidP="00BB2BB3">
            <w:pPr>
              <w:rPr>
                <w:sz w:val="22"/>
                <w:szCs w:val="22"/>
                <w:lang w:val="fr-FR"/>
              </w:rPr>
            </w:pPr>
            <w:r>
              <w:rPr>
                <w:sz w:val="22"/>
                <w:szCs w:val="22"/>
                <w:lang w:val="fr-FR"/>
              </w:rPr>
              <w:t>60</w:t>
            </w:r>
          </w:p>
        </w:tc>
        <w:tc>
          <w:tcPr>
            <w:tcW w:w="2070" w:type="dxa"/>
          </w:tcPr>
          <w:p w14:paraId="4EB04037" w14:textId="228728D3" w:rsidR="00772BDC" w:rsidRPr="008172EF" w:rsidRDefault="002B390C" w:rsidP="00BB2BB3">
            <w:pPr>
              <w:rPr>
                <w:sz w:val="22"/>
                <w:szCs w:val="22"/>
                <w:lang w:val="fr-FR"/>
              </w:rPr>
            </w:pPr>
            <w:r>
              <w:rPr>
                <w:b/>
                <w:sz w:val="22"/>
                <w:szCs w:val="22"/>
                <w:lang w:val="fr-FR" w:eastAsia="en-US"/>
              </w:rPr>
              <w:t>70</w:t>
            </w:r>
            <w:r w:rsidR="00772BDC" w:rsidRPr="008172EF">
              <w:rPr>
                <w:b/>
                <w:sz w:val="22"/>
                <w:szCs w:val="22"/>
                <w:lang w:val="fr-FR" w:eastAsia="en-US"/>
              </w:rPr>
              <w:t>%</w:t>
            </w:r>
          </w:p>
        </w:tc>
        <w:tc>
          <w:tcPr>
            <w:tcW w:w="4140" w:type="dxa"/>
          </w:tcPr>
          <w:p w14:paraId="5A9C606F" w14:textId="2F846489" w:rsidR="00772BDC" w:rsidRPr="008172EF" w:rsidRDefault="002B390C" w:rsidP="00BB2BB3">
            <w:pPr>
              <w:rPr>
                <w:sz w:val="22"/>
                <w:szCs w:val="22"/>
                <w:lang w:val="fr-FR"/>
              </w:rPr>
            </w:pPr>
            <w:r>
              <w:rPr>
                <w:b/>
                <w:sz w:val="22"/>
                <w:szCs w:val="22"/>
                <w:lang w:val="fr-FR" w:eastAsia="en-US"/>
              </w:rPr>
              <w:t>Lenteur dans le montage des dossiers et faibles nombres des points focaux</w:t>
            </w:r>
            <w:r w:rsidR="00772BDC" w:rsidRPr="008172EF">
              <w:rPr>
                <w:b/>
                <w:sz w:val="22"/>
                <w:szCs w:val="22"/>
                <w:lang w:val="fr-FR" w:eastAsia="en-US"/>
              </w:rPr>
              <w:fldChar w:fldCharType="begin">
                <w:ffData>
                  <w:name w:val=""/>
                  <w:enabled/>
                  <w:calcOnExit w:val="0"/>
                  <w:textInput>
                    <w:maxLength w:val="300"/>
                  </w:textInput>
                </w:ffData>
              </w:fldChar>
            </w:r>
            <w:r w:rsidR="00772BDC" w:rsidRPr="008172EF">
              <w:rPr>
                <w:b/>
                <w:sz w:val="22"/>
                <w:szCs w:val="22"/>
                <w:lang w:val="fr-FR" w:eastAsia="en-US"/>
              </w:rPr>
              <w:instrText xml:space="preserve"> FORMTEXT </w:instrText>
            </w:r>
            <w:r w:rsidR="00772BDC" w:rsidRPr="008172EF">
              <w:rPr>
                <w:b/>
                <w:sz w:val="22"/>
                <w:szCs w:val="22"/>
                <w:lang w:val="fr-FR" w:eastAsia="en-US"/>
              </w:rPr>
            </w:r>
            <w:r w:rsidR="00772BDC" w:rsidRPr="008172EF">
              <w:rPr>
                <w:b/>
                <w:sz w:val="22"/>
                <w:szCs w:val="22"/>
                <w:lang w:val="fr-FR" w:eastAsia="en-US"/>
              </w:rPr>
              <w:fldChar w:fldCharType="separate"/>
            </w:r>
            <w:r w:rsidR="00772BDC" w:rsidRPr="008172EF">
              <w:rPr>
                <w:b/>
                <w:noProof/>
                <w:sz w:val="22"/>
                <w:szCs w:val="22"/>
                <w:lang w:val="fr-FR" w:eastAsia="en-US"/>
              </w:rPr>
              <w:t> </w:t>
            </w:r>
            <w:r w:rsidR="00772BDC" w:rsidRPr="008172EF">
              <w:rPr>
                <w:b/>
                <w:noProof/>
                <w:sz w:val="22"/>
                <w:szCs w:val="22"/>
                <w:lang w:val="fr-FR" w:eastAsia="en-US"/>
              </w:rPr>
              <w:t> </w:t>
            </w:r>
            <w:r w:rsidR="00772BDC" w:rsidRPr="008172EF">
              <w:rPr>
                <w:b/>
                <w:noProof/>
                <w:sz w:val="22"/>
                <w:szCs w:val="22"/>
                <w:lang w:val="fr-FR" w:eastAsia="en-US"/>
              </w:rPr>
              <w:t> </w:t>
            </w:r>
            <w:r w:rsidR="00772BDC" w:rsidRPr="008172EF">
              <w:rPr>
                <w:b/>
                <w:noProof/>
                <w:sz w:val="22"/>
                <w:szCs w:val="22"/>
                <w:lang w:val="fr-FR" w:eastAsia="en-US"/>
              </w:rPr>
              <w:t> </w:t>
            </w:r>
            <w:r w:rsidR="00772BDC" w:rsidRPr="008172EF">
              <w:rPr>
                <w:b/>
                <w:noProof/>
                <w:sz w:val="22"/>
                <w:szCs w:val="22"/>
                <w:lang w:val="fr-FR" w:eastAsia="en-US"/>
              </w:rPr>
              <w:t> </w:t>
            </w:r>
            <w:r w:rsidR="00772BDC" w:rsidRPr="008172EF">
              <w:rPr>
                <w:b/>
                <w:sz w:val="22"/>
                <w:szCs w:val="22"/>
                <w:lang w:val="fr-FR" w:eastAsia="en-US"/>
              </w:rPr>
              <w:fldChar w:fldCharType="end"/>
            </w:r>
          </w:p>
        </w:tc>
      </w:tr>
      <w:tr w:rsidR="00772BDC" w:rsidRPr="00330C84" w14:paraId="56D0C27F" w14:textId="77777777" w:rsidTr="00BB2BB3">
        <w:trPr>
          <w:trHeight w:val="458"/>
        </w:trPr>
        <w:tc>
          <w:tcPr>
            <w:tcW w:w="1530" w:type="dxa"/>
            <w:vMerge/>
          </w:tcPr>
          <w:p w14:paraId="10BB1C30" w14:textId="77777777" w:rsidR="00772BDC" w:rsidRPr="008172EF" w:rsidRDefault="00772BDC" w:rsidP="00BB2BB3">
            <w:pPr>
              <w:rPr>
                <w:b/>
                <w:sz w:val="22"/>
                <w:szCs w:val="22"/>
                <w:lang w:val="fr-FR" w:eastAsia="en-US"/>
              </w:rPr>
            </w:pPr>
          </w:p>
        </w:tc>
        <w:tc>
          <w:tcPr>
            <w:tcW w:w="2070" w:type="dxa"/>
            <w:shd w:val="clear" w:color="auto" w:fill="EEECE1"/>
          </w:tcPr>
          <w:p w14:paraId="75350A04" w14:textId="0C423494" w:rsidR="00772BDC" w:rsidRPr="008172EF" w:rsidRDefault="00772BDC" w:rsidP="00BB2BB3">
            <w:pPr>
              <w:jc w:val="both"/>
              <w:rPr>
                <w:sz w:val="22"/>
                <w:szCs w:val="22"/>
                <w:lang w:val="fr-FR" w:eastAsia="en-US"/>
              </w:rPr>
            </w:pPr>
            <w:r w:rsidRPr="008172EF">
              <w:rPr>
                <w:sz w:val="22"/>
                <w:szCs w:val="22"/>
                <w:lang w:val="fr-FR" w:eastAsia="en-US"/>
              </w:rPr>
              <w:t>Indicateur 2.3.2</w:t>
            </w:r>
          </w:p>
          <w:p w14:paraId="0ECE3E95" w14:textId="77777777" w:rsidR="00772BDC" w:rsidRPr="008172EF" w:rsidRDefault="00772BDC" w:rsidP="00BB2BB3">
            <w:pPr>
              <w:rPr>
                <w:sz w:val="22"/>
                <w:szCs w:val="22"/>
                <w:lang w:val="fr-FR" w:eastAsia="en-US"/>
              </w:rPr>
            </w:pPr>
            <w:r w:rsidRPr="008172EF">
              <w:rPr>
                <w:sz w:val="22"/>
                <w:szCs w:val="22"/>
                <w:lang w:val="fr-FR" w:eastAsia="en-US"/>
              </w:rPr>
              <w:t>: diminution du nombre de cas de retrait de plaintes en VBG</w:t>
            </w:r>
          </w:p>
          <w:p w14:paraId="194388D0" w14:textId="77777777" w:rsidR="00772BDC" w:rsidRPr="008172EF" w:rsidRDefault="00772BDC" w:rsidP="00BB2BB3">
            <w:pPr>
              <w:jc w:val="both"/>
              <w:rPr>
                <w:sz w:val="22"/>
                <w:szCs w:val="22"/>
                <w:lang w:val="fr-FR" w:eastAsia="en-US"/>
              </w:rPr>
            </w:pPr>
          </w:p>
        </w:tc>
        <w:tc>
          <w:tcPr>
            <w:tcW w:w="1530" w:type="dxa"/>
            <w:shd w:val="clear" w:color="auto" w:fill="EEECE1"/>
          </w:tcPr>
          <w:p w14:paraId="4EE44D42" w14:textId="77777777" w:rsidR="00772BDC" w:rsidRPr="008172EF" w:rsidRDefault="00772BDC" w:rsidP="00BB2BB3">
            <w:pPr>
              <w:rPr>
                <w:sz w:val="22"/>
                <w:szCs w:val="22"/>
                <w:lang w:val="fr-FR"/>
              </w:rPr>
            </w:pPr>
            <w:r w:rsidRPr="008172EF">
              <w:rPr>
                <w:b/>
                <w:sz w:val="22"/>
                <w:szCs w:val="22"/>
                <w:lang w:val="fr-FR" w:eastAsia="en-US"/>
              </w:rPr>
              <w:t>NA</w:t>
            </w:r>
          </w:p>
        </w:tc>
        <w:tc>
          <w:tcPr>
            <w:tcW w:w="1620" w:type="dxa"/>
            <w:shd w:val="clear" w:color="auto" w:fill="EEECE1"/>
          </w:tcPr>
          <w:p w14:paraId="2774B193" w14:textId="77777777" w:rsidR="00772BDC" w:rsidRPr="008172EF" w:rsidRDefault="00772BDC" w:rsidP="00BB2BB3">
            <w:pPr>
              <w:rPr>
                <w:sz w:val="22"/>
                <w:szCs w:val="22"/>
                <w:lang w:val="fr-FR"/>
              </w:rPr>
            </w:pPr>
            <w:r w:rsidRPr="008172EF">
              <w:rPr>
                <w:b/>
                <w:sz w:val="22"/>
                <w:szCs w:val="22"/>
                <w:lang w:val="fr-FR" w:eastAsia="en-US"/>
              </w:rPr>
              <w:t>-30%</w:t>
            </w:r>
          </w:p>
        </w:tc>
        <w:tc>
          <w:tcPr>
            <w:tcW w:w="2070" w:type="dxa"/>
          </w:tcPr>
          <w:p w14:paraId="42CD0AA7" w14:textId="77777777" w:rsidR="00772BDC" w:rsidRPr="008172EF" w:rsidRDefault="00772BDC" w:rsidP="00BB2BB3">
            <w:pPr>
              <w:rPr>
                <w:sz w:val="22"/>
                <w:szCs w:val="22"/>
                <w:lang w:val="fr-FR"/>
              </w:rPr>
            </w:pPr>
            <w:r w:rsidRPr="008172EF">
              <w:rPr>
                <w:b/>
                <w:sz w:val="22"/>
                <w:szCs w:val="22"/>
                <w:lang w:val="fr-FR" w:eastAsia="en-US"/>
              </w:rPr>
              <w:t>NA</w:t>
            </w:r>
          </w:p>
        </w:tc>
        <w:tc>
          <w:tcPr>
            <w:tcW w:w="2070" w:type="dxa"/>
          </w:tcPr>
          <w:p w14:paraId="4F1E6FA0" w14:textId="3A30D9F8" w:rsidR="00772BDC" w:rsidRPr="008172EF" w:rsidRDefault="00B04A09" w:rsidP="00BB2BB3">
            <w:pPr>
              <w:rPr>
                <w:sz w:val="22"/>
                <w:szCs w:val="22"/>
                <w:lang w:val="fr-FR"/>
              </w:rPr>
            </w:pPr>
            <w:r>
              <w:rPr>
                <w:b/>
                <w:sz w:val="22"/>
                <w:szCs w:val="22"/>
                <w:lang w:val="fr-FR" w:eastAsia="en-US"/>
              </w:rPr>
              <w:t>-10%</w:t>
            </w:r>
          </w:p>
        </w:tc>
        <w:tc>
          <w:tcPr>
            <w:tcW w:w="4140" w:type="dxa"/>
          </w:tcPr>
          <w:p w14:paraId="5DAD277D" w14:textId="2C68475B" w:rsidR="00772BDC" w:rsidRPr="008172EF" w:rsidRDefault="00B04A09" w:rsidP="00BB2BB3">
            <w:pPr>
              <w:rPr>
                <w:sz w:val="22"/>
                <w:szCs w:val="22"/>
                <w:lang w:val="fr-FR"/>
              </w:rPr>
            </w:pPr>
            <w:r>
              <w:rPr>
                <w:b/>
                <w:sz w:val="22"/>
                <w:szCs w:val="22"/>
                <w:lang w:val="fr-FR" w:eastAsia="en-US"/>
              </w:rPr>
              <w:t>Le projet n’a couvert que deux régions administratives sur 7.</w:t>
            </w:r>
          </w:p>
        </w:tc>
      </w:tr>
    </w:tbl>
    <w:p w14:paraId="21C2650B" w14:textId="77777777" w:rsidR="00772BDC" w:rsidRPr="002B390C" w:rsidRDefault="00772BDC" w:rsidP="00772BDC">
      <w:pPr>
        <w:jc w:val="both"/>
        <w:rPr>
          <w:b/>
          <w:lang w:val="fr-FR" w:eastAsia="en-US"/>
        </w:rPr>
      </w:pPr>
    </w:p>
    <w:p w14:paraId="60EFC232" w14:textId="68F9D73F" w:rsidR="00772BDC" w:rsidRDefault="00772BDC" w:rsidP="00675507">
      <w:pPr>
        <w:pStyle w:val="PrformatHTML"/>
        <w:shd w:val="clear" w:color="auto" w:fill="FFFFFF"/>
        <w:rPr>
          <w:rFonts w:ascii="inherit" w:hAnsi="inherit"/>
          <w:color w:val="212121"/>
          <w:sz w:val="22"/>
          <w:szCs w:val="22"/>
          <w:lang w:val="fr-FR"/>
        </w:rPr>
      </w:pPr>
    </w:p>
    <w:p w14:paraId="53C378FB" w14:textId="0D052102" w:rsidR="00772BDC" w:rsidRDefault="00772BDC" w:rsidP="00675507">
      <w:pPr>
        <w:pStyle w:val="PrformatHTML"/>
        <w:shd w:val="clear" w:color="auto" w:fill="FFFFFF"/>
        <w:rPr>
          <w:rFonts w:ascii="inherit" w:hAnsi="inherit"/>
          <w:color w:val="212121"/>
          <w:sz w:val="22"/>
          <w:szCs w:val="22"/>
          <w:lang w:val="fr-FR"/>
        </w:rPr>
      </w:pPr>
    </w:p>
    <w:p w14:paraId="18D00BD1" w14:textId="00620C59" w:rsidR="00772BDC" w:rsidRDefault="00772BDC" w:rsidP="00675507">
      <w:pPr>
        <w:pStyle w:val="PrformatHTML"/>
        <w:shd w:val="clear" w:color="auto" w:fill="FFFFFF"/>
        <w:rPr>
          <w:rFonts w:ascii="inherit" w:hAnsi="inherit"/>
          <w:color w:val="212121"/>
          <w:sz w:val="22"/>
          <w:szCs w:val="22"/>
          <w:lang w:val="fr-FR"/>
        </w:rPr>
      </w:pPr>
    </w:p>
    <w:p w14:paraId="4C806761" w14:textId="750AE527" w:rsidR="00772BDC" w:rsidRDefault="00772BDC" w:rsidP="00675507">
      <w:pPr>
        <w:pStyle w:val="PrformatHTML"/>
        <w:shd w:val="clear" w:color="auto" w:fill="FFFFFF"/>
        <w:rPr>
          <w:rFonts w:ascii="inherit" w:hAnsi="inherit"/>
          <w:color w:val="212121"/>
          <w:sz w:val="22"/>
          <w:szCs w:val="22"/>
          <w:lang w:val="fr-FR"/>
        </w:rPr>
      </w:pPr>
    </w:p>
    <w:p w14:paraId="3E060D7E" w14:textId="09406C39" w:rsidR="00772BDC" w:rsidRDefault="00772BDC" w:rsidP="00675507">
      <w:pPr>
        <w:pStyle w:val="PrformatHTML"/>
        <w:shd w:val="clear" w:color="auto" w:fill="FFFFFF"/>
        <w:rPr>
          <w:rFonts w:ascii="inherit" w:hAnsi="inherit"/>
          <w:color w:val="212121"/>
          <w:sz w:val="22"/>
          <w:szCs w:val="22"/>
          <w:lang w:val="fr-FR"/>
        </w:rPr>
      </w:pPr>
    </w:p>
    <w:p w14:paraId="07848B32" w14:textId="02DCB165" w:rsidR="00772BDC" w:rsidRDefault="00772BDC" w:rsidP="00675507">
      <w:pPr>
        <w:pStyle w:val="PrformatHTML"/>
        <w:shd w:val="clear" w:color="auto" w:fill="FFFFFF"/>
        <w:rPr>
          <w:rFonts w:ascii="inherit" w:hAnsi="inherit"/>
          <w:color w:val="212121"/>
          <w:sz w:val="22"/>
          <w:szCs w:val="22"/>
          <w:lang w:val="fr-FR"/>
        </w:rPr>
      </w:pPr>
    </w:p>
    <w:p w14:paraId="678E13F4" w14:textId="50A0748C" w:rsidR="00772BDC" w:rsidRDefault="00772BDC" w:rsidP="00675507">
      <w:pPr>
        <w:pStyle w:val="PrformatHTML"/>
        <w:shd w:val="clear" w:color="auto" w:fill="FFFFFF"/>
        <w:rPr>
          <w:rFonts w:ascii="inherit" w:hAnsi="inherit"/>
          <w:color w:val="212121"/>
          <w:sz w:val="22"/>
          <w:szCs w:val="22"/>
          <w:lang w:val="fr-FR"/>
        </w:rPr>
      </w:pPr>
    </w:p>
    <w:p w14:paraId="36A407D6" w14:textId="4DCD6293" w:rsidR="00772BDC" w:rsidRDefault="00772BDC" w:rsidP="00675507">
      <w:pPr>
        <w:pStyle w:val="PrformatHTML"/>
        <w:shd w:val="clear" w:color="auto" w:fill="FFFFFF"/>
        <w:rPr>
          <w:rFonts w:ascii="inherit" w:hAnsi="inherit"/>
          <w:color w:val="212121"/>
          <w:sz w:val="22"/>
          <w:szCs w:val="22"/>
          <w:lang w:val="fr-FR"/>
        </w:rPr>
      </w:pPr>
    </w:p>
    <w:p w14:paraId="5B4B8654" w14:textId="7B6D380D" w:rsidR="00772BDC" w:rsidRDefault="00772BDC" w:rsidP="00675507">
      <w:pPr>
        <w:pStyle w:val="PrformatHTML"/>
        <w:shd w:val="clear" w:color="auto" w:fill="FFFFFF"/>
        <w:rPr>
          <w:rFonts w:ascii="inherit" w:hAnsi="inherit"/>
          <w:color w:val="212121"/>
          <w:sz w:val="22"/>
          <w:szCs w:val="22"/>
          <w:lang w:val="fr-FR"/>
        </w:rPr>
      </w:pPr>
    </w:p>
    <w:p w14:paraId="280C4E60" w14:textId="7B2771E4" w:rsidR="00772BDC" w:rsidRDefault="00772BDC" w:rsidP="00675507">
      <w:pPr>
        <w:pStyle w:val="PrformatHTML"/>
        <w:shd w:val="clear" w:color="auto" w:fill="FFFFFF"/>
        <w:rPr>
          <w:rFonts w:ascii="inherit" w:hAnsi="inherit"/>
          <w:color w:val="212121"/>
          <w:sz w:val="22"/>
          <w:szCs w:val="22"/>
          <w:lang w:val="fr-FR"/>
        </w:rPr>
      </w:pPr>
    </w:p>
    <w:p w14:paraId="334940CC" w14:textId="1C47AD73" w:rsidR="00772BDC" w:rsidRDefault="00772BDC" w:rsidP="00675507">
      <w:pPr>
        <w:pStyle w:val="PrformatHTML"/>
        <w:shd w:val="clear" w:color="auto" w:fill="FFFFFF"/>
        <w:rPr>
          <w:rFonts w:ascii="inherit" w:hAnsi="inherit"/>
          <w:color w:val="212121"/>
          <w:sz w:val="22"/>
          <w:szCs w:val="22"/>
          <w:lang w:val="fr-FR"/>
        </w:rPr>
      </w:pPr>
    </w:p>
    <w:p w14:paraId="04D5D85E" w14:textId="1ADA3B7C" w:rsidR="00772BDC" w:rsidRDefault="00772BDC" w:rsidP="00675507">
      <w:pPr>
        <w:pStyle w:val="PrformatHTML"/>
        <w:shd w:val="clear" w:color="auto" w:fill="FFFFFF"/>
        <w:rPr>
          <w:rFonts w:ascii="inherit" w:hAnsi="inherit"/>
          <w:color w:val="212121"/>
          <w:sz w:val="22"/>
          <w:szCs w:val="22"/>
          <w:lang w:val="fr-FR"/>
        </w:rPr>
      </w:pPr>
    </w:p>
    <w:sectPr w:rsidR="00772BDC"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D6D9C" w14:textId="77777777" w:rsidR="00937DBB" w:rsidRDefault="00937DBB" w:rsidP="00E76CA1">
      <w:r>
        <w:separator/>
      </w:r>
    </w:p>
  </w:endnote>
  <w:endnote w:type="continuationSeparator" w:id="0">
    <w:p w14:paraId="359EE64E" w14:textId="77777777" w:rsidR="00937DBB" w:rsidRDefault="00937DB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177FE4" w:rsidRDefault="00177FE4">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177FE4" w:rsidRDefault="00177F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58731" w14:textId="77777777" w:rsidR="00937DBB" w:rsidRDefault="00937DBB" w:rsidP="00E76CA1">
      <w:r>
        <w:separator/>
      </w:r>
    </w:p>
  </w:footnote>
  <w:footnote w:type="continuationSeparator" w:id="0">
    <w:p w14:paraId="071543E0" w14:textId="77777777" w:rsidR="00937DBB" w:rsidRDefault="00937DBB"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177FE4" w:rsidRDefault="00177FE4">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63D78"/>
    <w:rsid w:val="00066FFE"/>
    <w:rsid w:val="00071E9D"/>
    <w:rsid w:val="000731D0"/>
    <w:rsid w:val="00075D98"/>
    <w:rsid w:val="0008134A"/>
    <w:rsid w:val="0008233D"/>
    <w:rsid w:val="00082738"/>
    <w:rsid w:val="00084F64"/>
    <w:rsid w:val="00091CFD"/>
    <w:rsid w:val="00092442"/>
    <w:rsid w:val="000A45F4"/>
    <w:rsid w:val="000A4660"/>
    <w:rsid w:val="000A51DA"/>
    <w:rsid w:val="000A6719"/>
    <w:rsid w:val="000B47FF"/>
    <w:rsid w:val="000B4E5C"/>
    <w:rsid w:val="000B7954"/>
    <w:rsid w:val="000C7EA0"/>
    <w:rsid w:val="000D324E"/>
    <w:rsid w:val="000D4F4B"/>
    <w:rsid w:val="000E05AE"/>
    <w:rsid w:val="000E6A96"/>
    <w:rsid w:val="000F05A2"/>
    <w:rsid w:val="000F13B1"/>
    <w:rsid w:val="000F43A8"/>
    <w:rsid w:val="00102C0E"/>
    <w:rsid w:val="00112741"/>
    <w:rsid w:val="00113D2B"/>
    <w:rsid w:val="00113EC4"/>
    <w:rsid w:val="00115FD1"/>
    <w:rsid w:val="00116449"/>
    <w:rsid w:val="0011666C"/>
    <w:rsid w:val="00121B2D"/>
    <w:rsid w:val="001307FA"/>
    <w:rsid w:val="00131824"/>
    <w:rsid w:val="00133BE0"/>
    <w:rsid w:val="00136B32"/>
    <w:rsid w:val="001444EE"/>
    <w:rsid w:val="00145766"/>
    <w:rsid w:val="001458E9"/>
    <w:rsid w:val="00153CD9"/>
    <w:rsid w:val="00156AFA"/>
    <w:rsid w:val="00156C4C"/>
    <w:rsid w:val="00157BF2"/>
    <w:rsid w:val="001607B2"/>
    <w:rsid w:val="0016088D"/>
    <w:rsid w:val="00161D02"/>
    <w:rsid w:val="001745E8"/>
    <w:rsid w:val="0017460D"/>
    <w:rsid w:val="00177FE4"/>
    <w:rsid w:val="0018095F"/>
    <w:rsid w:val="0018313E"/>
    <w:rsid w:val="0018446E"/>
    <w:rsid w:val="00185425"/>
    <w:rsid w:val="00186529"/>
    <w:rsid w:val="00192F1D"/>
    <w:rsid w:val="001948EA"/>
    <w:rsid w:val="00194D4C"/>
    <w:rsid w:val="00196AA8"/>
    <w:rsid w:val="001A1E86"/>
    <w:rsid w:val="001A3157"/>
    <w:rsid w:val="001A374F"/>
    <w:rsid w:val="001A4786"/>
    <w:rsid w:val="001A7401"/>
    <w:rsid w:val="001B1EAF"/>
    <w:rsid w:val="001B458D"/>
    <w:rsid w:val="001B4FC7"/>
    <w:rsid w:val="001B5D16"/>
    <w:rsid w:val="001B6DFD"/>
    <w:rsid w:val="001C4484"/>
    <w:rsid w:val="001C46E9"/>
    <w:rsid w:val="001C5691"/>
    <w:rsid w:val="001C56B8"/>
    <w:rsid w:val="001C5B82"/>
    <w:rsid w:val="001D1C14"/>
    <w:rsid w:val="001D52FB"/>
    <w:rsid w:val="001D575F"/>
    <w:rsid w:val="001D6683"/>
    <w:rsid w:val="001D67F9"/>
    <w:rsid w:val="001E660A"/>
    <w:rsid w:val="001F308A"/>
    <w:rsid w:val="0020130A"/>
    <w:rsid w:val="00205EB7"/>
    <w:rsid w:val="00205F7C"/>
    <w:rsid w:val="0020791D"/>
    <w:rsid w:val="002129DA"/>
    <w:rsid w:val="0021550A"/>
    <w:rsid w:val="00215F41"/>
    <w:rsid w:val="00217A2E"/>
    <w:rsid w:val="00217EB6"/>
    <w:rsid w:val="002247C2"/>
    <w:rsid w:val="0023194B"/>
    <w:rsid w:val="002322E6"/>
    <w:rsid w:val="00233827"/>
    <w:rsid w:val="002339FE"/>
    <w:rsid w:val="00234A5E"/>
    <w:rsid w:val="00236072"/>
    <w:rsid w:val="0023672E"/>
    <w:rsid w:val="00236AB3"/>
    <w:rsid w:val="00241946"/>
    <w:rsid w:val="002436F0"/>
    <w:rsid w:val="00245E73"/>
    <w:rsid w:val="00246135"/>
    <w:rsid w:val="00247F4E"/>
    <w:rsid w:val="00251E92"/>
    <w:rsid w:val="0025220B"/>
    <w:rsid w:val="00252B39"/>
    <w:rsid w:val="00254AC2"/>
    <w:rsid w:val="0025525B"/>
    <w:rsid w:val="00262382"/>
    <w:rsid w:val="00262C7A"/>
    <w:rsid w:val="0027242A"/>
    <w:rsid w:val="00272A58"/>
    <w:rsid w:val="002739E6"/>
    <w:rsid w:val="00273AD0"/>
    <w:rsid w:val="00280FEA"/>
    <w:rsid w:val="002822AF"/>
    <w:rsid w:val="00282BD9"/>
    <w:rsid w:val="00286F66"/>
    <w:rsid w:val="00287878"/>
    <w:rsid w:val="00291E27"/>
    <w:rsid w:val="002940E8"/>
    <w:rsid w:val="00296C15"/>
    <w:rsid w:val="002A1877"/>
    <w:rsid w:val="002A3227"/>
    <w:rsid w:val="002B0F98"/>
    <w:rsid w:val="002B3207"/>
    <w:rsid w:val="002B346A"/>
    <w:rsid w:val="002B351E"/>
    <w:rsid w:val="002B390C"/>
    <w:rsid w:val="002B4426"/>
    <w:rsid w:val="002B4474"/>
    <w:rsid w:val="002B5196"/>
    <w:rsid w:val="002B5F4F"/>
    <w:rsid w:val="002B740B"/>
    <w:rsid w:val="002C187A"/>
    <w:rsid w:val="002C20A8"/>
    <w:rsid w:val="002C22DF"/>
    <w:rsid w:val="002C4DEF"/>
    <w:rsid w:val="002C5DD0"/>
    <w:rsid w:val="002C7051"/>
    <w:rsid w:val="002D2FBB"/>
    <w:rsid w:val="002D4247"/>
    <w:rsid w:val="002D68D7"/>
    <w:rsid w:val="002D6DA0"/>
    <w:rsid w:val="002E10E6"/>
    <w:rsid w:val="002E1CED"/>
    <w:rsid w:val="002E2811"/>
    <w:rsid w:val="002E5250"/>
    <w:rsid w:val="002E61AA"/>
    <w:rsid w:val="002E6F58"/>
    <w:rsid w:val="002E745D"/>
    <w:rsid w:val="002F10F6"/>
    <w:rsid w:val="002F15D9"/>
    <w:rsid w:val="002F26EC"/>
    <w:rsid w:val="002F2F7A"/>
    <w:rsid w:val="002F42EA"/>
    <w:rsid w:val="002F489A"/>
    <w:rsid w:val="003040D8"/>
    <w:rsid w:val="0030455E"/>
    <w:rsid w:val="00305626"/>
    <w:rsid w:val="003107C9"/>
    <w:rsid w:val="00316D58"/>
    <w:rsid w:val="003212BB"/>
    <w:rsid w:val="00321C92"/>
    <w:rsid w:val="003235DF"/>
    <w:rsid w:val="00323ABC"/>
    <w:rsid w:val="00323DE0"/>
    <w:rsid w:val="00324A7C"/>
    <w:rsid w:val="00324FE5"/>
    <w:rsid w:val="00330C84"/>
    <w:rsid w:val="00331B36"/>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5283"/>
    <w:rsid w:val="003C5CC6"/>
    <w:rsid w:val="003D0007"/>
    <w:rsid w:val="003D0479"/>
    <w:rsid w:val="003D12C7"/>
    <w:rsid w:val="003D228B"/>
    <w:rsid w:val="003D4CD7"/>
    <w:rsid w:val="003D4D7C"/>
    <w:rsid w:val="003E46D0"/>
    <w:rsid w:val="003F08B1"/>
    <w:rsid w:val="003F21BE"/>
    <w:rsid w:val="003F36FB"/>
    <w:rsid w:val="003F660A"/>
    <w:rsid w:val="004017BD"/>
    <w:rsid w:val="00402083"/>
    <w:rsid w:val="004023AC"/>
    <w:rsid w:val="00402514"/>
    <w:rsid w:val="0040513F"/>
    <w:rsid w:val="00405DE7"/>
    <w:rsid w:val="00411A5F"/>
    <w:rsid w:val="00413EAF"/>
    <w:rsid w:val="00414097"/>
    <w:rsid w:val="00416827"/>
    <w:rsid w:val="004213AF"/>
    <w:rsid w:val="004244CE"/>
    <w:rsid w:val="00425AF8"/>
    <w:rsid w:val="00426FE9"/>
    <w:rsid w:val="00437461"/>
    <w:rsid w:val="00437FF5"/>
    <w:rsid w:val="00442E9F"/>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754"/>
    <w:rsid w:val="004B1E1E"/>
    <w:rsid w:val="004B5601"/>
    <w:rsid w:val="004B5B20"/>
    <w:rsid w:val="004B6B52"/>
    <w:rsid w:val="004C3DC3"/>
    <w:rsid w:val="004C4272"/>
    <w:rsid w:val="004C4F3B"/>
    <w:rsid w:val="004D141E"/>
    <w:rsid w:val="004D735E"/>
    <w:rsid w:val="004E33A8"/>
    <w:rsid w:val="004E3B3E"/>
    <w:rsid w:val="004E3BD7"/>
    <w:rsid w:val="004E6614"/>
    <w:rsid w:val="004F016F"/>
    <w:rsid w:val="004F6810"/>
    <w:rsid w:val="004F7D22"/>
    <w:rsid w:val="00500587"/>
    <w:rsid w:val="00504379"/>
    <w:rsid w:val="005045CB"/>
    <w:rsid w:val="00505758"/>
    <w:rsid w:val="005129DA"/>
    <w:rsid w:val="00513612"/>
    <w:rsid w:val="00513D8E"/>
    <w:rsid w:val="00515EEF"/>
    <w:rsid w:val="005174D6"/>
    <w:rsid w:val="0051786C"/>
    <w:rsid w:val="005208FF"/>
    <w:rsid w:val="00521468"/>
    <w:rsid w:val="005216B2"/>
    <w:rsid w:val="00523FF4"/>
    <w:rsid w:val="00526655"/>
    <w:rsid w:val="00526735"/>
    <w:rsid w:val="00526B32"/>
    <w:rsid w:val="005305D1"/>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871A3"/>
    <w:rsid w:val="00590937"/>
    <w:rsid w:val="0059166A"/>
    <w:rsid w:val="00592733"/>
    <w:rsid w:val="005932DC"/>
    <w:rsid w:val="00593B59"/>
    <w:rsid w:val="00595DBA"/>
    <w:rsid w:val="005A2661"/>
    <w:rsid w:val="005A26F8"/>
    <w:rsid w:val="005A56E0"/>
    <w:rsid w:val="005C187A"/>
    <w:rsid w:val="005C1FC7"/>
    <w:rsid w:val="005C4963"/>
    <w:rsid w:val="005C4BBA"/>
    <w:rsid w:val="005C68B4"/>
    <w:rsid w:val="005C7C0C"/>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3AF9"/>
    <w:rsid w:val="006142A6"/>
    <w:rsid w:val="0061467E"/>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45BE"/>
    <w:rsid w:val="006648F5"/>
    <w:rsid w:val="00664EA0"/>
    <w:rsid w:val="00665DBB"/>
    <w:rsid w:val="0067044E"/>
    <w:rsid w:val="00670D17"/>
    <w:rsid w:val="00671040"/>
    <w:rsid w:val="0067321D"/>
    <w:rsid w:val="006734B3"/>
    <w:rsid w:val="0067356E"/>
    <w:rsid w:val="00673D6E"/>
    <w:rsid w:val="00674AA9"/>
    <w:rsid w:val="00675507"/>
    <w:rsid w:val="006771E5"/>
    <w:rsid w:val="006811AD"/>
    <w:rsid w:val="006907EE"/>
    <w:rsid w:val="00691C2F"/>
    <w:rsid w:val="006947B7"/>
    <w:rsid w:val="006969E7"/>
    <w:rsid w:val="0069723E"/>
    <w:rsid w:val="006A07CA"/>
    <w:rsid w:val="006A207B"/>
    <w:rsid w:val="006A2E42"/>
    <w:rsid w:val="006A5032"/>
    <w:rsid w:val="006A5B0E"/>
    <w:rsid w:val="006A7086"/>
    <w:rsid w:val="006B4DED"/>
    <w:rsid w:val="006C171B"/>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43A"/>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C01"/>
    <w:rsid w:val="00751DAF"/>
    <w:rsid w:val="00753159"/>
    <w:rsid w:val="007569BB"/>
    <w:rsid w:val="00761508"/>
    <w:rsid w:val="007626C9"/>
    <w:rsid w:val="00764773"/>
    <w:rsid w:val="00764B9C"/>
    <w:rsid w:val="0076624E"/>
    <w:rsid w:val="007712FB"/>
    <w:rsid w:val="007717E2"/>
    <w:rsid w:val="00772BDC"/>
    <w:rsid w:val="007740D4"/>
    <w:rsid w:val="007756B0"/>
    <w:rsid w:val="00782959"/>
    <w:rsid w:val="00782E30"/>
    <w:rsid w:val="00785E5E"/>
    <w:rsid w:val="0078600B"/>
    <w:rsid w:val="00790676"/>
    <w:rsid w:val="00791410"/>
    <w:rsid w:val="007937AE"/>
    <w:rsid w:val="00793DE6"/>
    <w:rsid w:val="00793E8B"/>
    <w:rsid w:val="007958F2"/>
    <w:rsid w:val="007A1B5F"/>
    <w:rsid w:val="007A4D45"/>
    <w:rsid w:val="007A4F3E"/>
    <w:rsid w:val="007A5985"/>
    <w:rsid w:val="007A68D3"/>
    <w:rsid w:val="007A777F"/>
    <w:rsid w:val="007B10F6"/>
    <w:rsid w:val="007B1BE5"/>
    <w:rsid w:val="007B368E"/>
    <w:rsid w:val="007B5B14"/>
    <w:rsid w:val="007B5D05"/>
    <w:rsid w:val="007B688B"/>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171CF"/>
    <w:rsid w:val="00826923"/>
    <w:rsid w:val="00834556"/>
    <w:rsid w:val="0083461E"/>
    <w:rsid w:val="00834A9F"/>
    <w:rsid w:val="008364E5"/>
    <w:rsid w:val="00837B04"/>
    <w:rsid w:val="0084122F"/>
    <w:rsid w:val="0084180D"/>
    <w:rsid w:val="0084221C"/>
    <w:rsid w:val="0084393C"/>
    <w:rsid w:val="00847A89"/>
    <w:rsid w:val="00851BD6"/>
    <w:rsid w:val="00853068"/>
    <w:rsid w:val="00861669"/>
    <w:rsid w:val="008632DB"/>
    <w:rsid w:val="008640A5"/>
    <w:rsid w:val="00865821"/>
    <w:rsid w:val="00865AFA"/>
    <w:rsid w:val="00865FA0"/>
    <w:rsid w:val="008664A8"/>
    <w:rsid w:val="00866E96"/>
    <w:rsid w:val="00873D72"/>
    <w:rsid w:val="00874634"/>
    <w:rsid w:val="00875EA5"/>
    <w:rsid w:val="00881D4B"/>
    <w:rsid w:val="00891AE7"/>
    <w:rsid w:val="008A1155"/>
    <w:rsid w:val="008A3181"/>
    <w:rsid w:val="008B1B75"/>
    <w:rsid w:val="008B3518"/>
    <w:rsid w:val="008B5A12"/>
    <w:rsid w:val="008B7E23"/>
    <w:rsid w:val="008C782A"/>
    <w:rsid w:val="008D361A"/>
    <w:rsid w:val="008D39BE"/>
    <w:rsid w:val="008E1083"/>
    <w:rsid w:val="008E3872"/>
    <w:rsid w:val="008E729D"/>
    <w:rsid w:val="008F5112"/>
    <w:rsid w:val="008F6703"/>
    <w:rsid w:val="00900D78"/>
    <w:rsid w:val="00901329"/>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37DBB"/>
    <w:rsid w:val="00940ACD"/>
    <w:rsid w:val="00945925"/>
    <w:rsid w:val="00952DE4"/>
    <w:rsid w:val="00953C30"/>
    <w:rsid w:val="009568EF"/>
    <w:rsid w:val="00956B79"/>
    <w:rsid w:val="00962071"/>
    <w:rsid w:val="00965F6B"/>
    <w:rsid w:val="00970D92"/>
    <w:rsid w:val="00970F4C"/>
    <w:rsid w:val="0097130A"/>
    <w:rsid w:val="00974D94"/>
    <w:rsid w:val="009774FE"/>
    <w:rsid w:val="009832F8"/>
    <w:rsid w:val="009839DA"/>
    <w:rsid w:val="00985CF8"/>
    <w:rsid w:val="00985E49"/>
    <w:rsid w:val="00991418"/>
    <w:rsid w:val="00994476"/>
    <w:rsid w:val="00994B0E"/>
    <w:rsid w:val="00995A33"/>
    <w:rsid w:val="0099700D"/>
    <w:rsid w:val="00997347"/>
    <w:rsid w:val="009A012A"/>
    <w:rsid w:val="009A1CD3"/>
    <w:rsid w:val="009A2C6C"/>
    <w:rsid w:val="009A44A4"/>
    <w:rsid w:val="009A4A5D"/>
    <w:rsid w:val="009A5EEF"/>
    <w:rsid w:val="009B18EB"/>
    <w:rsid w:val="009B5D1A"/>
    <w:rsid w:val="009C153E"/>
    <w:rsid w:val="009C28DE"/>
    <w:rsid w:val="009C2C5E"/>
    <w:rsid w:val="009C6B10"/>
    <w:rsid w:val="009D0838"/>
    <w:rsid w:val="009D0C9F"/>
    <w:rsid w:val="009D10B2"/>
    <w:rsid w:val="009D2543"/>
    <w:rsid w:val="009D64E4"/>
    <w:rsid w:val="009E20F1"/>
    <w:rsid w:val="009E28A3"/>
    <w:rsid w:val="009E329B"/>
    <w:rsid w:val="009E38EA"/>
    <w:rsid w:val="009E5594"/>
    <w:rsid w:val="009F517D"/>
    <w:rsid w:val="009F6554"/>
    <w:rsid w:val="009F7F98"/>
    <w:rsid w:val="00A02F58"/>
    <w:rsid w:val="00A032AE"/>
    <w:rsid w:val="00A048D2"/>
    <w:rsid w:val="00A07C70"/>
    <w:rsid w:val="00A10DAC"/>
    <w:rsid w:val="00A31988"/>
    <w:rsid w:val="00A3307A"/>
    <w:rsid w:val="00A34FE2"/>
    <w:rsid w:val="00A35FDA"/>
    <w:rsid w:val="00A360E8"/>
    <w:rsid w:val="00A41736"/>
    <w:rsid w:val="00A4395F"/>
    <w:rsid w:val="00A43B9C"/>
    <w:rsid w:val="00A44BC8"/>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667F1"/>
    <w:rsid w:val="00A77540"/>
    <w:rsid w:val="00A81DF0"/>
    <w:rsid w:val="00A8266F"/>
    <w:rsid w:val="00A843B5"/>
    <w:rsid w:val="00A855EA"/>
    <w:rsid w:val="00A86B3F"/>
    <w:rsid w:val="00A86F4D"/>
    <w:rsid w:val="00A9067B"/>
    <w:rsid w:val="00A90E80"/>
    <w:rsid w:val="00A91FCD"/>
    <w:rsid w:val="00A95382"/>
    <w:rsid w:val="00A96579"/>
    <w:rsid w:val="00A9791E"/>
    <w:rsid w:val="00AA1DFA"/>
    <w:rsid w:val="00AA363D"/>
    <w:rsid w:val="00AA7C77"/>
    <w:rsid w:val="00AB1368"/>
    <w:rsid w:val="00AB3625"/>
    <w:rsid w:val="00AB37F4"/>
    <w:rsid w:val="00AB6561"/>
    <w:rsid w:val="00AB6BAD"/>
    <w:rsid w:val="00AC433F"/>
    <w:rsid w:val="00AC4B04"/>
    <w:rsid w:val="00AC4F6A"/>
    <w:rsid w:val="00AC5D55"/>
    <w:rsid w:val="00AC7088"/>
    <w:rsid w:val="00AD0A31"/>
    <w:rsid w:val="00AD1B06"/>
    <w:rsid w:val="00AD6104"/>
    <w:rsid w:val="00AD6C55"/>
    <w:rsid w:val="00AD73D3"/>
    <w:rsid w:val="00AE0D84"/>
    <w:rsid w:val="00AF2D89"/>
    <w:rsid w:val="00AF397D"/>
    <w:rsid w:val="00AF7DA4"/>
    <w:rsid w:val="00B00156"/>
    <w:rsid w:val="00B00EBD"/>
    <w:rsid w:val="00B0370E"/>
    <w:rsid w:val="00B03E68"/>
    <w:rsid w:val="00B04A09"/>
    <w:rsid w:val="00B05E35"/>
    <w:rsid w:val="00B124BD"/>
    <w:rsid w:val="00B12FB8"/>
    <w:rsid w:val="00B22390"/>
    <w:rsid w:val="00B244A1"/>
    <w:rsid w:val="00B24F72"/>
    <w:rsid w:val="00B27419"/>
    <w:rsid w:val="00B329B9"/>
    <w:rsid w:val="00B330C2"/>
    <w:rsid w:val="00B37406"/>
    <w:rsid w:val="00B37AFF"/>
    <w:rsid w:val="00B404DF"/>
    <w:rsid w:val="00B419C8"/>
    <w:rsid w:val="00B4227A"/>
    <w:rsid w:val="00B43B8D"/>
    <w:rsid w:val="00B43EEA"/>
    <w:rsid w:val="00B43F6D"/>
    <w:rsid w:val="00B442A2"/>
    <w:rsid w:val="00B46712"/>
    <w:rsid w:val="00B47CFB"/>
    <w:rsid w:val="00B56E87"/>
    <w:rsid w:val="00B6401E"/>
    <w:rsid w:val="00B652A1"/>
    <w:rsid w:val="00B702C0"/>
    <w:rsid w:val="00B735DD"/>
    <w:rsid w:val="00B737D1"/>
    <w:rsid w:val="00B7459B"/>
    <w:rsid w:val="00B749E2"/>
    <w:rsid w:val="00B74CE9"/>
    <w:rsid w:val="00B7553C"/>
    <w:rsid w:val="00B75C20"/>
    <w:rsid w:val="00B82635"/>
    <w:rsid w:val="00B82C51"/>
    <w:rsid w:val="00B82E71"/>
    <w:rsid w:val="00B87C16"/>
    <w:rsid w:val="00B91CE2"/>
    <w:rsid w:val="00B91F39"/>
    <w:rsid w:val="00BA4F96"/>
    <w:rsid w:val="00BA5D85"/>
    <w:rsid w:val="00BA6688"/>
    <w:rsid w:val="00BA6F4B"/>
    <w:rsid w:val="00BB2BB3"/>
    <w:rsid w:val="00BC1A5D"/>
    <w:rsid w:val="00BC2B79"/>
    <w:rsid w:val="00BC34D3"/>
    <w:rsid w:val="00BC4FF9"/>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34E59"/>
    <w:rsid w:val="00C41926"/>
    <w:rsid w:val="00C42FB9"/>
    <w:rsid w:val="00C46614"/>
    <w:rsid w:val="00C5064F"/>
    <w:rsid w:val="00C52BDA"/>
    <w:rsid w:val="00C55327"/>
    <w:rsid w:val="00C578BE"/>
    <w:rsid w:val="00C61129"/>
    <w:rsid w:val="00C6209B"/>
    <w:rsid w:val="00C640B2"/>
    <w:rsid w:val="00C65AB4"/>
    <w:rsid w:val="00C72CF8"/>
    <w:rsid w:val="00C74E37"/>
    <w:rsid w:val="00C83082"/>
    <w:rsid w:val="00C846A4"/>
    <w:rsid w:val="00C847EE"/>
    <w:rsid w:val="00C853D5"/>
    <w:rsid w:val="00C94B79"/>
    <w:rsid w:val="00C955F4"/>
    <w:rsid w:val="00C96336"/>
    <w:rsid w:val="00CA013A"/>
    <w:rsid w:val="00CA1B43"/>
    <w:rsid w:val="00CA6C99"/>
    <w:rsid w:val="00CB02F7"/>
    <w:rsid w:val="00CB25A2"/>
    <w:rsid w:val="00CB4B5C"/>
    <w:rsid w:val="00CB5499"/>
    <w:rsid w:val="00CC2015"/>
    <w:rsid w:val="00CC26EB"/>
    <w:rsid w:val="00CC424E"/>
    <w:rsid w:val="00CC59E5"/>
    <w:rsid w:val="00CD2F67"/>
    <w:rsid w:val="00CD3754"/>
    <w:rsid w:val="00CD5E04"/>
    <w:rsid w:val="00CD5E74"/>
    <w:rsid w:val="00CE0239"/>
    <w:rsid w:val="00CE132D"/>
    <w:rsid w:val="00CE3BEA"/>
    <w:rsid w:val="00CE3E81"/>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451E5"/>
    <w:rsid w:val="00D5552B"/>
    <w:rsid w:val="00D557FD"/>
    <w:rsid w:val="00D569A1"/>
    <w:rsid w:val="00D61557"/>
    <w:rsid w:val="00D632A3"/>
    <w:rsid w:val="00D64F36"/>
    <w:rsid w:val="00D65589"/>
    <w:rsid w:val="00D65AD3"/>
    <w:rsid w:val="00D65BB5"/>
    <w:rsid w:val="00D6788F"/>
    <w:rsid w:val="00D70EC5"/>
    <w:rsid w:val="00D755D9"/>
    <w:rsid w:val="00D76947"/>
    <w:rsid w:val="00D82C29"/>
    <w:rsid w:val="00D84A39"/>
    <w:rsid w:val="00D85131"/>
    <w:rsid w:val="00D8543B"/>
    <w:rsid w:val="00DA064C"/>
    <w:rsid w:val="00DA2795"/>
    <w:rsid w:val="00DA2CD8"/>
    <w:rsid w:val="00DA7B93"/>
    <w:rsid w:val="00DC07B6"/>
    <w:rsid w:val="00DC1151"/>
    <w:rsid w:val="00DC3579"/>
    <w:rsid w:val="00DC3612"/>
    <w:rsid w:val="00DC4D0A"/>
    <w:rsid w:val="00DC5066"/>
    <w:rsid w:val="00DD25E7"/>
    <w:rsid w:val="00DD5DFB"/>
    <w:rsid w:val="00DE2383"/>
    <w:rsid w:val="00DE35F8"/>
    <w:rsid w:val="00DF24B9"/>
    <w:rsid w:val="00DF35A6"/>
    <w:rsid w:val="00DF3624"/>
    <w:rsid w:val="00DF5EB7"/>
    <w:rsid w:val="00DF5FD1"/>
    <w:rsid w:val="00DF6A23"/>
    <w:rsid w:val="00E021C1"/>
    <w:rsid w:val="00E04A24"/>
    <w:rsid w:val="00E0564D"/>
    <w:rsid w:val="00E07987"/>
    <w:rsid w:val="00E104F1"/>
    <w:rsid w:val="00E10926"/>
    <w:rsid w:val="00E10BD3"/>
    <w:rsid w:val="00E13590"/>
    <w:rsid w:val="00E271E4"/>
    <w:rsid w:val="00E31B37"/>
    <w:rsid w:val="00E33CB7"/>
    <w:rsid w:val="00E34562"/>
    <w:rsid w:val="00E34912"/>
    <w:rsid w:val="00E3564C"/>
    <w:rsid w:val="00E35E72"/>
    <w:rsid w:val="00E41079"/>
    <w:rsid w:val="00E42721"/>
    <w:rsid w:val="00E42738"/>
    <w:rsid w:val="00E43490"/>
    <w:rsid w:val="00E44AF0"/>
    <w:rsid w:val="00E477D9"/>
    <w:rsid w:val="00E5082E"/>
    <w:rsid w:val="00E513CC"/>
    <w:rsid w:val="00E51A66"/>
    <w:rsid w:val="00E5415A"/>
    <w:rsid w:val="00E5487E"/>
    <w:rsid w:val="00E54C30"/>
    <w:rsid w:val="00E55349"/>
    <w:rsid w:val="00E55557"/>
    <w:rsid w:val="00E62ED2"/>
    <w:rsid w:val="00E658A1"/>
    <w:rsid w:val="00E671FC"/>
    <w:rsid w:val="00E673EA"/>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40E2"/>
    <w:rsid w:val="00EC5E6F"/>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0750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6530C"/>
    <w:rsid w:val="00F71684"/>
    <w:rsid w:val="00F75EBF"/>
    <w:rsid w:val="00F76C54"/>
    <w:rsid w:val="00F76F11"/>
    <w:rsid w:val="00F773B2"/>
    <w:rsid w:val="00F778A1"/>
    <w:rsid w:val="00F806F3"/>
    <w:rsid w:val="00F80B98"/>
    <w:rsid w:val="00F81B93"/>
    <w:rsid w:val="00F84319"/>
    <w:rsid w:val="00F858BA"/>
    <w:rsid w:val="00F86077"/>
    <w:rsid w:val="00F86697"/>
    <w:rsid w:val="00F90494"/>
    <w:rsid w:val="00F90BC0"/>
    <w:rsid w:val="00F92DC8"/>
    <w:rsid w:val="00F933A1"/>
    <w:rsid w:val="00F95943"/>
    <w:rsid w:val="00FA0393"/>
    <w:rsid w:val="00FA1F56"/>
    <w:rsid w:val="00FA2ECD"/>
    <w:rsid w:val="00FA49A7"/>
    <w:rsid w:val="00FA703B"/>
    <w:rsid w:val="00FB1CB1"/>
    <w:rsid w:val="00FB27F5"/>
    <w:rsid w:val="00FB5C17"/>
    <w:rsid w:val="00FC14D4"/>
    <w:rsid w:val="00FC1C72"/>
    <w:rsid w:val="00FC4DA0"/>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2965CEF3-FF82-491D-96F1-EBE0811F7661}">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5251</Words>
  <Characters>28882</Characters>
  <Application>Microsoft Office Word</Application>
  <DocSecurity>0</DocSecurity>
  <Lines>240</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Joachim Ouedraogo</cp:lastModifiedBy>
  <cp:revision>2</cp:revision>
  <cp:lastPrinted>2014-02-10T17:12:00Z</cp:lastPrinted>
  <dcterms:created xsi:type="dcterms:W3CDTF">2021-06-29T13:43:00Z</dcterms:created>
  <dcterms:modified xsi:type="dcterms:W3CDTF">2021-06-29T13:43:00Z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