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C7C5" w14:textId="77777777" w:rsidR="00E76CA1" w:rsidRPr="00627A1C" w:rsidRDefault="00527E52" w:rsidP="007C288F">
      <w:pPr>
        <w:rPr>
          <w:b/>
        </w:rPr>
      </w:pPr>
      <w:r>
        <w:rPr>
          <w:rFonts w:ascii="Arial Narrow" w:hAnsi="Arial Narrow"/>
          <w:b/>
          <w:noProof/>
          <w:sz w:val="22"/>
          <w:szCs w:val="22"/>
          <w:lang w:val="fr-FR" w:eastAsia="fr-FR"/>
        </w:rPr>
        <w:drawing>
          <wp:anchor distT="0" distB="0" distL="114300" distR="114300" simplePos="0" relativeHeight="251657728" behindDoc="0" locked="0" layoutInCell="1" allowOverlap="1" wp14:anchorId="5A84BC53" wp14:editId="3139AD38">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anchor>
        </w:drawing>
      </w:r>
      <w:r w:rsidR="00E97C4A" w:rsidRPr="00627A1C">
        <w:rPr>
          <w:b/>
        </w:rPr>
        <w:tab/>
      </w:r>
    </w:p>
    <w:p w14:paraId="1992D425"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30E1416B" w14:textId="7777777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915B27">
        <w:rPr>
          <w:bCs/>
          <w:iCs/>
          <w:snapToGrid w:val="0"/>
        </w:rPr>
        <w:fldChar w:fldCharType="begin">
          <w:ffData>
            <w:name w:val=""/>
            <w:enabled/>
            <w:calcOnExit w:val="0"/>
            <w:textInput>
              <w:default w:val="Guinea-Bissau "/>
              <w:format w:val="Primeira letra maiúscula"/>
            </w:textInput>
          </w:ffData>
        </w:fldChar>
      </w:r>
      <w:r w:rsidR="00867FED">
        <w:rPr>
          <w:bCs/>
          <w:iCs/>
          <w:snapToGrid w:val="0"/>
        </w:rPr>
        <w:instrText xml:space="preserve"> FORMTEXT </w:instrText>
      </w:r>
      <w:r w:rsidR="00915B27">
        <w:rPr>
          <w:bCs/>
          <w:iCs/>
          <w:snapToGrid w:val="0"/>
        </w:rPr>
      </w:r>
      <w:r w:rsidR="00915B27">
        <w:rPr>
          <w:bCs/>
          <w:iCs/>
          <w:snapToGrid w:val="0"/>
        </w:rPr>
        <w:fldChar w:fldCharType="separate"/>
      </w:r>
      <w:r w:rsidR="00867FED">
        <w:rPr>
          <w:bCs/>
          <w:iCs/>
          <w:noProof/>
          <w:snapToGrid w:val="0"/>
        </w:rPr>
        <w:t xml:space="preserve">Guinea-Bissau </w:t>
      </w:r>
      <w:r w:rsidR="00915B27">
        <w:rPr>
          <w:bCs/>
          <w:iCs/>
          <w:snapToGrid w:val="0"/>
        </w:rPr>
        <w:fldChar w:fldCharType="end"/>
      </w:r>
    </w:p>
    <w:p w14:paraId="4C9785A1" w14:textId="77777777" w:rsidR="008640A5" w:rsidRDefault="008640A5" w:rsidP="008364E5">
      <w:pPr>
        <w:jc w:val="center"/>
        <w:rPr>
          <w:b/>
          <w:bCs/>
          <w:caps/>
        </w:rPr>
      </w:pPr>
      <w:r w:rsidRPr="00627A1C">
        <w:rPr>
          <w:b/>
          <w:bCs/>
          <w:caps/>
        </w:rPr>
        <w:t xml:space="preserve">TYPE OF REPORT: </w:t>
      </w:r>
      <w:r w:rsidR="00793DE6" w:rsidRPr="00627A1C">
        <w:rPr>
          <w:b/>
          <w:bCs/>
          <w:caps/>
        </w:rPr>
        <w:t xml:space="preserve">semi-annual, </w:t>
      </w:r>
      <w:r w:rsidR="00793DE6" w:rsidRPr="0001530F">
        <w:rPr>
          <w:b/>
          <w:bCs/>
          <w:caps/>
          <w:u w:val="single"/>
        </w:rPr>
        <w:t>annual</w:t>
      </w:r>
      <w:r w:rsidRPr="00627A1C">
        <w:rPr>
          <w:b/>
          <w:bCs/>
          <w:caps/>
        </w:rPr>
        <w:t xml:space="preserve"> OR FINAL</w:t>
      </w:r>
      <w:r w:rsidR="008F6703" w:rsidRPr="00627A1C">
        <w:rPr>
          <w:b/>
          <w:bCs/>
          <w:caps/>
        </w:rPr>
        <w:t xml:space="preserve">: </w:t>
      </w:r>
    </w:p>
    <w:p w14:paraId="6BEE5092" w14:textId="6BD9753A" w:rsidR="00867FED" w:rsidRPr="00867FED" w:rsidRDefault="00040C2F" w:rsidP="008364E5">
      <w:pPr>
        <w:jc w:val="center"/>
        <w:rPr>
          <w:caps/>
        </w:rPr>
      </w:pPr>
      <w:r>
        <w:rPr>
          <w:caps/>
        </w:rPr>
        <w:t>ANNUAL</w:t>
      </w:r>
    </w:p>
    <w:p w14:paraId="3095DE23" w14:textId="573685D3" w:rsidR="00CB02F7" w:rsidRPr="00627A1C" w:rsidRDefault="007C288F" w:rsidP="00867FED">
      <w:pPr>
        <w:ind w:left="1440" w:firstLine="720"/>
        <w:rPr>
          <w:b/>
          <w:bCs/>
          <w:caps/>
        </w:rPr>
      </w:pPr>
      <w:r>
        <w:rPr>
          <w:b/>
          <w:bCs/>
          <w:caps/>
        </w:rPr>
        <w:t>YEAR</w:t>
      </w:r>
      <w:r w:rsidR="00793DE6" w:rsidRPr="00627A1C">
        <w:rPr>
          <w:b/>
          <w:bCs/>
          <w:caps/>
        </w:rPr>
        <w:t xml:space="preserve"> of report</w:t>
      </w:r>
      <w:r w:rsidR="00F05682" w:rsidRPr="00627A1C">
        <w:rPr>
          <w:b/>
          <w:bCs/>
          <w:caps/>
        </w:rPr>
        <w:t xml:space="preserve">: </w:t>
      </w:r>
      <w:r w:rsidR="0001530F">
        <w:rPr>
          <w:bCs/>
          <w:iCs/>
          <w:snapToGrid w:val="0"/>
        </w:rPr>
        <w:t>November 2021</w:t>
      </w:r>
    </w:p>
    <w:p w14:paraId="0077AA2D"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B57B8BA" w14:textId="77777777" w:rsidTr="00F23D0F">
        <w:trPr>
          <w:trHeight w:val="422"/>
        </w:trPr>
        <w:tc>
          <w:tcPr>
            <w:tcW w:w="10080" w:type="dxa"/>
            <w:gridSpan w:val="2"/>
          </w:tcPr>
          <w:p w14:paraId="09C84270" w14:textId="77777777" w:rsidR="00793DE6" w:rsidRPr="00627A1C" w:rsidRDefault="00793DE6" w:rsidP="00F23D0F">
            <w:pPr>
              <w:pStyle w:val="Textodebalo"/>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915B27">
              <w:rPr>
                <w:rFonts w:ascii="Times New Roman" w:hAnsi="Times New Roman" w:cs="Times New Roman"/>
                <w:bCs/>
                <w:iCs/>
                <w:snapToGrid w:val="0"/>
                <w:sz w:val="24"/>
                <w:szCs w:val="24"/>
              </w:rPr>
              <w:fldChar w:fldCharType="begin">
                <w:ffData>
                  <w:name w:val=""/>
                  <w:enabled/>
                  <w:calcOnExit w:val="0"/>
                  <w:textInput>
                    <w:default w:val="Strengthening the justice and security sector response to drug trafficking and transnational organized crime to reduce insecurity in Guinea-Bissau "/>
                    <w:format w:val="Primeira letra maiúscula"/>
                  </w:textInput>
                </w:ffData>
              </w:fldChar>
            </w:r>
            <w:r w:rsidR="00867FED">
              <w:rPr>
                <w:rFonts w:ascii="Times New Roman" w:hAnsi="Times New Roman" w:cs="Times New Roman"/>
                <w:bCs/>
                <w:iCs/>
                <w:snapToGrid w:val="0"/>
                <w:sz w:val="24"/>
                <w:szCs w:val="24"/>
              </w:rPr>
              <w:instrText xml:space="preserve"> FORMTEXT </w:instrText>
            </w:r>
            <w:r w:rsidR="00915B27">
              <w:rPr>
                <w:rFonts w:ascii="Times New Roman" w:hAnsi="Times New Roman" w:cs="Times New Roman"/>
                <w:bCs/>
                <w:iCs/>
                <w:snapToGrid w:val="0"/>
                <w:sz w:val="24"/>
                <w:szCs w:val="24"/>
              </w:rPr>
            </w:r>
            <w:r w:rsidR="00915B27">
              <w:rPr>
                <w:rFonts w:ascii="Times New Roman" w:hAnsi="Times New Roman" w:cs="Times New Roman"/>
                <w:bCs/>
                <w:iCs/>
                <w:snapToGrid w:val="0"/>
                <w:sz w:val="24"/>
                <w:szCs w:val="24"/>
              </w:rPr>
              <w:fldChar w:fldCharType="separate"/>
            </w:r>
            <w:r w:rsidR="00867FED">
              <w:rPr>
                <w:rFonts w:ascii="Times New Roman" w:hAnsi="Times New Roman" w:cs="Times New Roman"/>
                <w:bCs/>
                <w:iCs/>
                <w:noProof/>
                <w:snapToGrid w:val="0"/>
                <w:sz w:val="24"/>
                <w:szCs w:val="24"/>
              </w:rPr>
              <w:t xml:space="preserve">Strengthening the justice and security sector response to drug trafficking and transnational organized crime to reduce insecurity in Guinea-Bissau </w:t>
            </w:r>
            <w:r w:rsidR="00915B27">
              <w:rPr>
                <w:rFonts w:ascii="Times New Roman" w:hAnsi="Times New Roman" w:cs="Times New Roman"/>
                <w:bCs/>
                <w:iCs/>
                <w:snapToGrid w:val="0"/>
                <w:sz w:val="24"/>
                <w:szCs w:val="24"/>
              </w:rPr>
              <w:fldChar w:fldCharType="end"/>
            </w:r>
          </w:p>
          <w:p w14:paraId="62A97E1B" w14:textId="77777777" w:rsidR="00793DE6" w:rsidRPr="00627A1C" w:rsidRDefault="00793DE6" w:rsidP="00793DE6">
            <w:pPr>
              <w:rPr>
                <w:b/>
              </w:rPr>
            </w:pPr>
            <w:r w:rsidRPr="00627A1C">
              <w:rPr>
                <w:b/>
              </w:rPr>
              <w:t>Project Number from MPTF-O Gateway:</w:t>
            </w:r>
            <w:r w:rsidR="00867FED">
              <w:rPr>
                <w:b/>
              </w:rPr>
              <w:t xml:space="preserve"> </w:t>
            </w:r>
            <w:r w:rsidR="00915B27">
              <w:rPr>
                <w:b/>
              </w:rPr>
              <w:fldChar w:fldCharType="begin">
                <w:ffData>
                  <w:name w:val=""/>
                  <w:enabled/>
                  <w:calcOnExit w:val="0"/>
                  <w:textInput>
                    <w:default w:val="PRF"/>
                  </w:textInput>
                </w:ffData>
              </w:fldChar>
            </w:r>
            <w:r w:rsidR="00867FED">
              <w:rPr>
                <w:b/>
              </w:rPr>
              <w:instrText xml:space="preserve"> FORMTEXT </w:instrText>
            </w:r>
            <w:r w:rsidR="00915B27">
              <w:rPr>
                <w:b/>
              </w:rPr>
            </w:r>
            <w:r w:rsidR="00915B27">
              <w:rPr>
                <w:b/>
              </w:rPr>
              <w:fldChar w:fldCharType="separate"/>
            </w:r>
            <w:r w:rsidR="00867FED">
              <w:rPr>
                <w:b/>
                <w:noProof/>
              </w:rPr>
              <w:t>PRF</w:t>
            </w:r>
            <w:r w:rsidR="00915B27">
              <w:rPr>
                <w:b/>
              </w:rPr>
              <w:fldChar w:fldCharType="end"/>
            </w:r>
            <w:r w:rsidR="00A43B9C" w:rsidRPr="00627A1C">
              <w:rPr>
                <w:b/>
              </w:rPr>
              <w:t xml:space="preserve">  </w:t>
            </w:r>
            <w:r w:rsidR="00915B27">
              <w:rPr>
                <w:b/>
              </w:rPr>
              <w:fldChar w:fldCharType="begin">
                <w:ffData>
                  <w:name w:val="Text39"/>
                  <w:enabled/>
                  <w:calcOnExit w:val="0"/>
                  <w:textInput>
                    <w:default w:val="00119444"/>
                  </w:textInput>
                </w:ffData>
              </w:fldChar>
            </w:r>
            <w:bookmarkStart w:id="0" w:name="Text39"/>
            <w:r w:rsidR="00867FED">
              <w:rPr>
                <w:b/>
              </w:rPr>
              <w:instrText xml:space="preserve"> FORMTEXT </w:instrText>
            </w:r>
            <w:r w:rsidR="00915B27">
              <w:rPr>
                <w:b/>
              </w:rPr>
            </w:r>
            <w:r w:rsidR="00915B27">
              <w:rPr>
                <w:b/>
              </w:rPr>
              <w:fldChar w:fldCharType="separate"/>
            </w:r>
            <w:r w:rsidR="00867FED">
              <w:rPr>
                <w:b/>
                <w:noProof/>
              </w:rPr>
              <w:t>00119444</w:t>
            </w:r>
            <w:r w:rsidR="00915B27">
              <w:rPr>
                <w:b/>
              </w:rPr>
              <w:fldChar w:fldCharType="end"/>
            </w:r>
            <w:bookmarkEnd w:id="0"/>
          </w:p>
        </w:tc>
      </w:tr>
      <w:tr w:rsidR="00A43B9C" w:rsidRPr="00627A1C" w14:paraId="14E77E71" w14:textId="77777777" w:rsidTr="00A43B9C">
        <w:trPr>
          <w:trHeight w:val="422"/>
        </w:trPr>
        <w:tc>
          <w:tcPr>
            <w:tcW w:w="4163" w:type="dxa"/>
          </w:tcPr>
          <w:p w14:paraId="0F566A60" w14:textId="77777777" w:rsidR="00A43B9C" w:rsidRPr="00627A1C" w:rsidRDefault="00A43B9C" w:rsidP="00F23D0F">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013B9E33" w14:textId="40B6563A" w:rsidR="00A43B9C" w:rsidRPr="00627A1C" w:rsidRDefault="008F6655" w:rsidP="00F23D0F">
            <w:pPr>
              <w:tabs>
                <w:tab w:val="left" w:pos="0"/>
              </w:tabs>
              <w:suppressAutoHyphens/>
              <w:jc w:val="both"/>
              <w:rPr>
                <w:b/>
                <w:spacing w:val="-3"/>
              </w:rPr>
            </w:pPr>
            <w:r>
              <w:fldChar w:fldCharType="begin">
                <w:ffData>
                  <w:name w:val="Check1"/>
                  <w:enabled/>
                  <w:calcOnExit w:val="0"/>
                  <w:checkBox>
                    <w:sizeAuto/>
                    <w:default w:val="0"/>
                  </w:checkBox>
                </w:ffData>
              </w:fldChar>
            </w:r>
            <w:r>
              <w:instrText xml:space="preserve"> </w:instrText>
            </w:r>
            <w:bookmarkStart w:id="1" w:name="Check1"/>
            <w:r>
              <w:instrText xml:space="preserve">FORMCHECKBOX </w:instrText>
            </w:r>
            <w:r w:rsidR="004E7AB3">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6730BC47" w14:textId="77777777" w:rsidR="00A43B9C" w:rsidRPr="00627A1C" w:rsidRDefault="00915B27" w:rsidP="00F23D0F">
            <w:pPr>
              <w:tabs>
                <w:tab w:val="left" w:pos="0"/>
              </w:tabs>
              <w:suppressAutoHyphens/>
              <w:jc w:val="both"/>
              <w:rPr>
                <w:b/>
              </w:rPr>
            </w:pPr>
            <w:r w:rsidRPr="00627A1C">
              <w:fldChar w:fldCharType="begin">
                <w:ffData>
                  <w:name w:val="Check1"/>
                  <w:enabled/>
                  <w:calcOnExit w:val="0"/>
                  <w:checkBox>
                    <w:sizeAuto/>
                    <w:default w:val="0"/>
                  </w:checkBox>
                </w:ffData>
              </w:fldChar>
            </w:r>
            <w:r w:rsidR="00A43B9C" w:rsidRPr="00627A1C">
              <w:instrText xml:space="preserve"> FORMCHECKBOX </w:instrText>
            </w:r>
            <w:r w:rsidR="004E7AB3">
              <w:fldChar w:fldCharType="separate"/>
            </w:r>
            <w:r w:rsidRPr="00627A1C">
              <w:fldChar w:fldCharType="end"/>
            </w:r>
            <w:r w:rsidR="00A43B9C" w:rsidRPr="00627A1C">
              <w:tab/>
            </w:r>
            <w:r w:rsidR="00A43B9C" w:rsidRPr="00627A1C">
              <w:tab/>
              <w:t>Regional Trust Fund</w:t>
            </w:r>
            <w:r w:rsidR="00A43B9C" w:rsidRPr="00627A1C">
              <w:rPr>
                <w:b/>
              </w:rPr>
              <w:t xml:space="preserve"> </w:t>
            </w:r>
          </w:p>
          <w:p w14:paraId="53B3E103" w14:textId="77777777" w:rsidR="00A43B9C" w:rsidRPr="00627A1C" w:rsidRDefault="00A43B9C" w:rsidP="00F23D0F">
            <w:pPr>
              <w:tabs>
                <w:tab w:val="left" w:pos="0"/>
              </w:tabs>
              <w:suppressAutoHyphens/>
              <w:jc w:val="both"/>
              <w:rPr>
                <w:b/>
              </w:rPr>
            </w:pPr>
          </w:p>
          <w:p w14:paraId="4B41512B" w14:textId="45E4CEFD" w:rsidR="00A43B9C" w:rsidRPr="003B4401" w:rsidRDefault="00A43B9C" w:rsidP="003B4401">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915B27" w:rsidRPr="00627A1C">
              <w:rPr>
                <w:rFonts w:ascii="Times New Roman" w:hAnsi="Times New Roman" w:cs="Times New Roman"/>
                <w:bCs/>
                <w:iCs/>
                <w:snapToGrid w:val="0"/>
                <w:sz w:val="24"/>
                <w:szCs w:val="24"/>
              </w:rPr>
              <w:fldChar w:fldCharType="begin">
                <w:ffData>
                  <w:name w:val="Text11"/>
                  <w:enabled/>
                  <w:calcOnExit w:val="0"/>
                  <w:textInput>
                    <w:format w:val="Primeira letra maiúscula"/>
                  </w:textInput>
                </w:ffData>
              </w:fldChar>
            </w:r>
            <w:r w:rsidRPr="00627A1C">
              <w:rPr>
                <w:rFonts w:ascii="Times New Roman" w:hAnsi="Times New Roman" w:cs="Times New Roman"/>
                <w:bCs/>
                <w:iCs/>
                <w:snapToGrid w:val="0"/>
                <w:sz w:val="24"/>
                <w:szCs w:val="24"/>
              </w:rPr>
              <w:instrText xml:space="preserve"> FORMTEXT </w:instrText>
            </w:r>
            <w:r w:rsidR="00915B27" w:rsidRPr="00627A1C">
              <w:rPr>
                <w:rFonts w:ascii="Times New Roman" w:hAnsi="Times New Roman" w:cs="Times New Roman"/>
                <w:bCs/>
                <w:iCs/>
                <w:snapToGrid w:val="0"/>
                <w:sz w:val="24"/>
                <w:szCs w:val="24"/>
              </w:rPr>
            </w:r>
            <w:r w:rsidR="00915B27"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00915B27" w:rsidRPr="00627A1C">
              <w:rPr>
                <w:rFonts w:ascii="Times New Roman" w:hAnsi="Times New Roman" w:cs="Times New Roman"/>
                <w:bCs/>
                <w:iCs/>
                <w:snapToGrid w:val="0"/>
                <w:sz w:val="24"/>
                <w:szCs w:val="24"/>
              </w:rPr>
              <w:fldChar w:fldCharType="end"/>
            </w:r>
          </w:p>
        </w:tc>
        <w:tc>
          <w:tcPr>
            <w:tcW w:w="5917" w:type="dxa"/>
          </w:tcPr>
          <w:p w14:paraId="23D3C44D" w14:textId="77777777" w:rsidR="00A43B9C" w:rsidRPr="00627A1C" w:rsidRDefault="00A43B9C" w:rsidP="00A43B9C">
            <w:pPr>
              <w:rPr>
                <w:b/>
                <w:bCs/>
                <w:iCs/>
              </w:rPr>
            </w:pPr>
            <w:r w:rsidRPr="00627A1C">
              <w:rPr>
                <w:b/>
                <w:bCs/>
                <w:iCs/>
              </w:rPr>
              <w:t xml:space="preserve">Type and name of recipient organizations: </w:t>
            </w:r>
          </w:p>
          <w:p w14:paraId="0E1E841C" w14:textId="77777777" w:rsidR="00A43B9C" w:rsidRPr="00627A1C" w:rsidRDefault="00A43B9C" w:rsidP="00A43B9C">
            <w:pPr>
              <w:rPr>
                <w:b/>
                <w:bCs/>
                <w:iCs/>
              </w:rPr>
            </w:pPr>
          </w:p>
          <w:p w14:paraId="43BEDA3F" w14:textId="0733FA1B" w:rsidR="00A43B9C" w:rsidRPr="00627A1C" w:rsidRDefault="00A43B9C" w:rsidP="00A43B9C">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00F80E9D">
              <w:rPr>
                <w:rFonts w:ascii="Times New Roman" w:hAnsi="Times New Roman" w:cs="Times New Roman"/>
                <w:b/>
                <w:sz w:val="24"/>
                <w:szCs w:val="24"/>
              </w:rPr>
              <w:t>UNDP</w:t>
            </w:r>
            <w:r w:rsidRPr="00627A1C">
              <w:rPr>
                <w:rFonts w:ascii="Times New Roman" w:hAnsi="Times New Roman" w:cs="Times New Roman"/>
                <w:b/>
                <w:sz w:val="24"/>
                <w:szCs w:val="24"/>
              </w:rPr>
              <w:t xml:space="preserve">  (Convening Agency)</w:t>
            </w:r>
          </w:p>
          <w:p w14:paraId="0BC785F2" w14:textId="700EA103" w:rsidR="00A43B9C" w:rsidRPr="00627A1C" w:rsidRDefault="00A43B9C" w:rsidP="00A43B9C">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00F80E9D">
              <w:rPr>
                <w:rFonts w:ascii="Times New Roman" w:hAnsi="Times New Roman" w:cs="Times New Roman"/>
                <w:b/>
                <w:sz w:val="24"/>
                <w:szCs w:val="24"/>
              </w:rPr>
              <w:t>UNODC</w:t>
            </w:r>
          </w:p>
          <w:p w14:paraId="006A4D57" w14:textId="6BF6C625" w:rsidR="00A43B9C" w:rsidRPr="00627A1C" w:rsidRDefault="00A43B9C" w:rsidP="00A43B9C">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006C0E66">
              <w:rPr>
                <w:rFonts w:ascii="Times New Roman" w:hAnsi="Times New Roman" w:cs="Times New Roman"/>
                <w:b/>
                <w:sz w:val="24"/>
                <w:szCs w:val="24"/>
              </w:rPr>
              <w:t xml:space="preserve"> </w:t>
            </w:r>
            <w:r w:rsidR="00F80E9D">
              <w:rPr>
                <w:rFonts w:ascii="Times New Roman" w:hAnsi="Times New Roman" w:cs="Times New Roman"/>
                <w:b/>
                <w:sz w:val="24"/>
                <w:szCs w:val="24"/>
              </w:rPr>
              <w:t>IOM</w:t>
            </w:r>
          </w:p>
          <w:p w14:paraId="057C842E" w14:textId="7B3CF102" w:rsidR="00A43B9C" w:rsidRPr="00627A1C" w:rsidRDefault="006C0E66" w:rsidP="006C0E66">
            <w:pPr>
              <w:pStyle w:val="Textodebal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 </w:t>
            </w:r>
          </w:p>
        </w:tc>
      </w:tr>
      <w:tr w:rsidR="00793DE6" w:rsidRPr="00627A1C" w14:paraId="55FF0812" w14:textId="77777777" w:rsidTr="00F23D0F">
        <w:trPr>
          <w:trHeight w:val="368"/>
        </w:trPr>
        <w:tc>
          <w:tcPr>
            <w:tcW w:w="10080" w:type="dxa"/>
            <w:gridSpan w:val="2"/>
          </w:tcPr>
          <w:p w14:paraId="0FEA66D8" w14:textId="20A6587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6C0E66">
              <w:rPr>
                <w:bCs/>
                <w:iCs/>
                <w:snapToGrid w:val="0"/>
              </w:rPr>
              <w:t>02 Jan 2020</w:t>
            </w:r>
          </w:p>
          <w:p w14:paraId="2E7827A0" w14:textId="0D92F23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w:t>
            </w:r>
            <w:r w:rsidR="0025220B" w:rsidRPr="00627A1C">
              <w:rPr>
                <w:bCs/>
                <w:iCs/>
                <w:snapToGrid w:val="0"/>
              </w:rPr>
              <w:t xml:space="preserve">     </w:t>
            </w:r>
            <w:r w:rsidR="006C0E66">
              <w:rPr>
                <w:bCs/>
                <w:iCs/>
                <w:snapToGrid w:val="0"/>
              </w:rPr>
              <w:t xml:space="preserve"> 01 August 2022</w:t>
            </w:r>
          </w:p>
          <w:p w14:paraId="387AB1AD" w14:textId="7F1E3BB0" w:rsidR="00793DE6" w:rsidRPr="00627A1C" w:rsidRDefault="0025220B" w:rsidP="00793DE6">
            <w:pPr>
              <w:rPr>
                <w:b/>
                <w:bCs/>
                <w:iCs/>
              </w:rPr>
            </w:pPr>
            <w:r w:rsidRPr="00627A1C">
              <w:rPr>
                <w:b/>
                <w:iCs/>
                <w:snapToGrid w:val="0"/>
              </w:rPr>
              <w:t>Is the current project end date within 6 months?</w:t>
            </w:r>
            <w:r w:rsidRPr="00627A1C">
              <w:rPr>
                <w:bCs/>
                <w:iCs/>
                <w:snapToGrid w:val="0"/>
              </w:rPr>
              <w:t xml:space="preserve"> </w:t>
            </w:r>
            <w:r w:rsidR="00915B27">
              <w:rPr>
                <w:b/>
              </w:rPr>
              <w:fldChar w:fldCharType="begin">
                <w:ffData>
                  <w:name w:val=""/>
                  <w:enabled/>
                  <w:calcOnExit w:val="0"/>
                  <w:textInput>
                    <w:default w:val="No"/>
                  </w:textInput>
                </w:ffData>
              </w:fldChar>
            </w:r>
            <w:r w:rsidR="00867FED">
              <w:rPr>
                <w:b/>
              </w:rPr>
              <w:instrText xml:space="preserve"> FORMTEXT </w:instrText>
            </w:r>
            <w:r w:rsidR="00915B27">
              <w:rPr>
                <w:b/>
              </w:rPr>
            </w:r>
            <w:r w:rsidR="00915B27">
              <w:rPr>
                <w:b/>
              </w:rPr>
              <w:fldChar w:fldCharType="separate"/>
            </w:r>
            <w:r w:rsidR="00867FED">
              <w:rPr>
                <w:b/>
                <w:noProof/>
              </w:rPr>
              <w:t>No</w:t>
            </w:r>
            <w:r w:rsidR="00915B27">
              <w:rPr>
                <w:b/>
              </w:rPr>
              <w:fldChar w:fldCharType="end"/>
            </w:r>
          </w:p>
        </w:tc>
      </w:tr>
      <w:tr w:rsidR="00793DE6" w:rsidRPr="00627A1C" w14:paraId="347267C3" w14:textId="77777777" w:rsidTr="003B4401">
        <w:trPr>
          <w:trHeight w:val="1405"/>
        </w:trPr>
        <w:tc>
          <w:tcPr>
            <w:tcW w:w="10080" w:type="dxa"/>
            <w:gridSpan w:val="2"/>
          </w:tcPr>
          <w:p w14:paraId="33E58CA8"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0851D503" w14:textId="77777777" w:rsidR="00793DE6" w:rsidRPr="00627A1C" w:rsidRDefault="00915B27" w:rsidP="00F23D0F">
            <w:r w:rsidRPr="00627A1C">
              <w:fldChar w:fldCharType="begin">
                <w:ffData>
                  <w:name w:val=""/>
                  <w:enabled/>
                  <w:calcOnExit w:val="0"/>
                  <w:checkBox>
                    <w:sizeAuto/>
                    <w:default w:val="0"/>
                  </w:checkBox>
                </w:ffData>
              </w:fldChar>
            </w:r>
            <w:r w:rsidR="00793DE6" w:rsidRPr="00627A1C">
              <w:instrText xml:space="preserve"> FORMCHECKBOX </w:instrText>
            </w:r>
            <w:r w:rsidR="004E7AB3">
              <w:fldChar w:fldCharType="separate"/>
            </w:r>
            <w:r w:rsidRPr="00627A1C">
              <w:fldChar w:fldCharType="end"/>
            </w:r>
            <w:r w:rsidR="00793DE6" w:rsidRPr="00627A1C">
              <w:t xml:space="preserve"> Gender promotion initiative</w:t>
            </w:r>
          </w:p>
          <w:p w14:paraId="46658E9C" w14:textId="77777777" w:rsidR="00793DE6" w:rsidRPr="00627A1C" w:rsidRDefault="00915B27" w:rsidP="00F23D0F">
            <w:r w:rsidRPr="00627A1C">
              <w:fldChar w:fldCharType="begin">
                <w:ffData>
                  <w:name w:val=""/>
                  <w:enabled/>
                  <w:calcOnExit w:val="0"/>
                  <w:checkBox>
                    <w:sizeAuto/>
                    <w:default w:val="0"/>
                  </w:checkBox>
                </w:ffData>
              </w:fldChar>
            </w:r>
            <w:r w:rsidR="00793DE6" w:rsidRPr="00627A1C">
              <w:instrText xml:space="preserve"> FORMCHECKBOX </w:instrText>
            </w:r>
            <w:r w:rsidR="004E7AB3">
              <w:fldChar w:fldCharType="separate"/>
            </w:r>
            <w:r w:rsidRPr="00627A1C">
              <w:fldChar w:fldCharType="end"/>
            </w:r>
            <w:r w:rsidR="00793DE6" w:rsidRPr="00627A1C">
              <w:t xml:space="preserve"> Youth promotion initiative</w:t>
            </w:r>
          </w:p>
          <w:p w14:paraId="411CCB31" w14:textId="77777777" w:rsidR="00793DE6" w:rsidRPr="00627A1C" w:rsidRDefault="00915B27" w:rsidP="00F23D0F">
            <w:r>
              <w:fldChar w:fldCharType="begin">
                <w:ffData>
                  <w:name w:val=""/>
                  <w:enabled/>
                  <w:calcOnExit w:val="0"/>
                  <w:checkBox>
                    <w:sizeAuto/>
                    <w:default w:val="1"/>
                  </w:checkBox>
                </w:ffData>
              </w:fldChar>
            </w:r>
            <w:r w:rsidR="00867FED">
              <w:instrText xml:space="preserve"> FORMCHECKBOX </w:instrText>
            </w:r>
            <w:r w:rsidR="004E7AB3">
              <w:fldChar w:fldCharType="separate"/>
            </w:r>
            <w:r>
              <w:fldChar w:fldCharType="end"/>
            </w:r>
            <w:r w:rsidR="00793DE6" w:rsidRPr="00627A1C">
              <w:t xml:space="preserve"> Transition from UN or regional peacekeeping or special political missions</w:t>
            </w:r>
          </w:p>
          <w:p w14:paraId="469A9C7E" w14:textId="273D8B85" w:rsidR="00793DE6" w:rsidRPr="003B4401" w:rsidRDefault="00915B27" w:rsidP="00F23D0F">
            <w:r w:rsidRPr="00627A1C">
              <w:fldChar w:fldCharType="begin">
                <w:ffData>
                  <w:name w:val=""/>
                  <w:enabled/>
                  <w:calcOnExit w:val="0"/>
                  <w:checkBox>
                    <w:sizeAuto/>
                    <w:default w:val="0"/>
                  </w:checkBox>
                </w:ffData>
              </w:fldChar>
            </w:r>
            <w:r w:rsidR="00793DE6" w:rsidRPr="00627A1C">
              <w:instrText xml:space="preserve"> FORMCHECKBOX </w:instrText>
            </w:r>
            <w:r w:rsidR="004E7AB3">
              <w:fldChar w:fldCharType="separate"/>
            </w:r>
            <w:r w:rsidRPr="00627A1C">
              <w:fldChar w:fldCharType="end"/>
            </w:r>
            <w:r w:rsidR="00793DE6" w:rsidRPr="00627A1C">
              <w:t xml:space="preserve"> Cross-border or regional project</w:t>
            </w:r>
          </w:p>
        </w:tc>
      </w:tr>
      <w:tr w:rsidR="00793DE6" w:rsidRPr="00627A1C" w14:paraId="788C3BD5" w14:textId="77777777" w:rsidTr="00F23D0F">
        <w:trPr>
          <w:trHeight w:val="1124"/>
        </w:trPr>
        <w:tc>
          <w:tcPr>
            <w:tcW w:w="10080" w:type="dxa"/>
            <w:gridSpan w:val="2"/>
          </w:tcPr>
          <w:p w14:paraId="24038373" w14:textId="77777777" w:rsidR="00793DE6" w:rsidRPr="00627A1C" w:rsidRDefault="00793DE6" w:rsidP="00F23D0F">
            <w:pPr>
              <w:rPr>
                <w:b/>
                <w:bCs/>
                <w:iCs/>
              </w:rPr>
            </w:pPr>
            <w:r w:rsidRPr="00627A1C">
              <w:rPr>
                <w:b/>
                <w:bCs/>
                <w:iCs/>
              </w:rPr>
              <w:t xml:space="preserve">Total PBF approved project budget (by recipient organization): </w:t>
            </w:r>
          </w:p>
          <w:p w14:paraId="35D6A3ED" w14:textId="77777777" w:rsidR="00006EC0" w:rsidRPr="00627A1C" w:rsidRDefault="00006EC0" w:rsidP="00F23D0F">
            <w:pPr>
              <w:rPr>
                <w:b/>
                <w:iCs/>
                <w:snapToGrid w:val="0"/>
              </w:rPr>
            </w:pPr>
            <w:bookmarkStart w:id="2" w:name="_Hlk39507683"/>
            <w:r w:rsidRPr="00627A1C">
              <w:rPr>
                <w:b/>
                <w:iCs/>
                <w:snapToGrid w:val="0"/>
              </w:rPr>
              <w:t xml:space="preserve">Recipient Organization              Amount  </w:t>
            </w:r>
          </w:p>
          <w:p w14:paraId="065B8A13" w14:textId="77777777" w:rsidR="00006EC0" w:rsidRPr="00627A1C" w:rsidRDefault="00006EC0" w:rsidP="00F23D0F">
            <w:pPr>
              <w:rPr>
                <w:bCs/>
                <w:iCs/>
                <w:snapToGrid w:val="0"/>
              </w:rPr>
            </w:pPr>
          </w:p>
          <w:bookmarkEnd w:id="2"/>
          <w:p w14:paraId="00CCBF9E" w14:textId="77777777" w:rsidR="00793DE6" w:rsidRPr="00627A1C" w:rsidRDefault="00915B27" w:rsidP="00F23D0F">
            <w:pPr>
              <w:rPr>
                <w:iCs/>
              </w:rPr>
            </w:pPr>
            <w:r>
              <w:rPr>
                <w:bCs/>
                <w:iCs/>
                <w:snapToGrid w:val="0"/>
              </w:rPr>
              <w:fldChar w:fldCharType="begin">
                <w:ffData>
                  <w:name w:val=""/>
                  <w:enabled/>
                  <w:calcOnExit w:val="0"/>
                  <w:textInput>
                    <w:default w:val="UNDP"/>
                    <w:format w:val="Primeira letra maiúscula"/>
                  </w:textInput>
                </w:ffData>
              </w:fldChar>
            </w:r>
            <w:r w:rsidR="00867FED">
              <w:rPr>
                <w:bCs/>
                <w:iCs/>
                <w:snapToGrid w:val="0"/>
              </w:rPr>
              <w:instrText xml:space="preserve"> FORMTEXT </w:instrText>
            </w:r>
            <w:r>
              <w:rPr>
                <w:bCs/>
                <w:iCs/>
                <w:snapToGrid w:val="0"/>
              </w:rPr>
            </w:r>
            <w:r>
              <w:rPr>
                <w:bCs/>
                <w:iCs/>
                <w:snapToGrid w:val="0"/>
              </w:rPr>
              <w:fldChar w:fldCharType="separate"/>
            </w:r>
            <w:r w:rsidR="00867FED">
              <w:rPr>
                <w:bCs/>
                <w:iCs/>
                <w:noProof/>
                <w:snapToGrid w:val="0"/>
              </w:rPr>
              <w:t>UNDP</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fldChar w:fldCharType="begin">
                <w:ffData>
                  <w:name w:val="Text11"/>
                  <w:enabled/>
                  <w:calcOnExit w:val="0"/>
                  <w:textInput>
                    <w:type w:val="number"/>
                    <w:default w:val="963,000.00"/>
                    <w:format w:val="#,##0.00"/>
                  </w:textInput>
                </w:ffData>
              </w:fldChar>
            </w:r>
            <w:bookmarkStart w:id="3" w:name="Text11"/>
            <w:r w:rsidR="00867FED">
              <w:rPr>
                <w:bCs/>
                <w:iCs/>
                <w:snapToGrid w:val="0"/>
              </w:rPr>
              <w:instrText xml:space="preserve"> FORMTEXT </w:instrText>
            </w:r>
            <w:r>
              <w:rPr>
                <w:bCs/>
                <w:iCs/>
                <w:snapToGrid w:val="0"/>
              </w:rPr>
            </w:r>
            <w:r>
              <w:rPr>
                <w:bCs/>
                <w:iCs/>
                <w:snapToGrid w:val="0"/>
              </w:rPr>
              <w:fldChar w:fldCharType="separate"/>
            </w:r>
            <w:r w:rsidR="00867FED">
              <w:rPr>
                <w:bCs/>
                <w:iCs/>
                <w:noProof/>
                <w:snapToGrid w:val="0"/>
              </w:rPr>
              <w:t>963,000.00</w:t>
            </w:r>
            <w:r>
              <w:rPr>
                <w:bCs/>
                <w:iCs/>
                <w:snapToGrid w:val="0"/>
              </w:rPr>
              <w:fldChar w:fldCharType="end"/>
            </w:r>
            <w:bookmarkEnd w:id="3"/>
          </w:p>
          <w:p w14:paraId="49DFB32A" w14:textId="77777777" w:rsidR="00793DE6" w:rsidRPr="00627A1C" w:rsidRDefault="00915B27" w:rsidP="00F23D0F">
            <w:pPr>
              <w:pStyle w:val="Textodebalo"/>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ODC"/>
                    <w:format w:val="Primeira letra maiúscula"/>
                  </w:textInput>
                </w:ffData>
              </w:fldChar>
            </w:r>
            <w:r w:rsidR="00867FED">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867FED">
              <w:rPr>
                <w:rFonts w:ascii="Times New Roman" w:hAnsi="Times New Roman" w:cs="Times New Roman"/>
                <w:bCs/>
                <w:iCs/>
                <w:noProof/>
                <w:snapToGrid w:val="0"/>
                <w:sz w:val="24"/>
                <w:szCs w:val="24"/>
              </w:rPr>
              <w:t>UNODC</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802,500.00"/>
                    <w:format w:val="#,##0.00"/>
                  </w:textInput>
                </w:ffData>
              </w:fldChar>
            </w:r>
            <w:r w:rsidR="00867FED">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867FED">
              <w:rPr>
                <w:rFonts w:ascii="Times New Roman" w:hAnsi="Times New Roman" w:cs="Times New Roman"/>
                <w:bCs/>
                <w:iCs/>
                <w:noProof/>
                <w:snapToGrid w:val="0"/>
                <w:sz w:val="24"/>
                <w:szCs w:val="24"/>
              </w:rPr>
              <w:t>802,500.00</w:t>
            </w:r>
            <w:r>
              <w:rPr>
                <w:rFonts w:ascii="Times New Roman" w:hAnsi="Times New Roman" w:cs="Times New Roman"/>
                <w:bCs/>
                <w:iCs/>
                <w:snapToGrid w:val="0"/>
                <w:sz w:val="24"/>
                <w:szCs w:val="24"/>
              </w:rPr>
              <w:fldChar w:fldCharType="end"/>
            </w:r>
          </w:p>
          <w:p w14:paraId="25E936E4" w14:textId="77777777" w:rsidR="00793DE6" w:rsidRPr="00627A1C" w:rsidRDefault="00915B27" w:rsidP="00F23D0F">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
                  <w:enabled/>
                  <w:calcOnExit w:val="0"/>
                  <w:textInput>
                    <w:default w:val="IOM"/>
                    <w:format w:val="Primeira letra maiúscula"/>
                  </w:textInput>
                </w:ffData>
              </w:fldChar>
            </w:r>
            <w:r w:rsidR="00867FED">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867FED">
              <w:rPr>
                <w:rFonts w:ascii="Times New Roman" w:hAnsi="Times New Roman" w:cs="Times New Roman"/>
                <w:bCs/>
                <w:iCs/>
                <w:noProof/>
                <w:snapToGrid w:val="0"/>
                <w:sz w:val="24"/>
                <w:szCs w:val="24"/>
              </w:rPr>
              <w:t>IOM</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235,400.00"/>
                    <w:format w:val="#,##0.00"/>
                  </w:textInput>
                </w:ffData>
              </w:fldChar>
            </w:r>
            <w:r w:rsidR="00867FED">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867FED">
              <w:rPr>
                <w:rFonts w:ascii="Times New Roman" w:hAnsi="Times New Roman" w:cs="Times New Roman"/>
                <w:bCs/>
                <w:iCs/>
                <w:noProof/>
                <w:snapToGrid w:val="0"/>
                <w:sz w:val="24"/>
                <w:szCs w:val="24"/>
              </w:rPr>
              <w:t>235,400.00</w:t>
            </w:r>
            <w:r>
              <w:rPr>
                <w:rFonts w:ascii="Times New Roman" w:hAnsi="Times New Roman" w:cs="Times New Roman"/>
                <w:bCs/>
                <w:iCs/>
                <w:snapToGrid w:val="0"/>
                <w:sz w:val="24"/>
                <w:szCs w:val="24"/>
              </w:rPr>
              <w:fldChar w:fldCharType="end"/>
            </w:r>
          </w:p>
          <w:p w14:paraId="7EEB8597" w14:textId="77777777" w:rsidR="00C12D6A" w:rsidRPr="00627A1C" w:rsidRDefault="00C12D6A" w:rsidP="00C12D6A">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p>
          <w:p w14:paraId="2C70FDF9" w14:textId="77777777" w:rsidR="00793DE6" w:rsidRPr="00627A1C" w:rsidRDefault="00006EC0" w:rsidP="001A3157">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915B27">
              <w:rPr>
                <w:rFonts w:ascii="Times New Roman" w:hAnsi="Times New Roman" w:cs="Times New Roman"/>
                <w:bCs/>
                <w:iCs/>
                <w:snapToGrid w:val="0"/>
                <w:sz w:val="24"/>
                <w:szCs w:val="24"/>
              </w:rPr>
              <w:fldChar w:fldCharType="begin">
                <w:ffData>
                  <w:name w:val=""/>
                  <w:enabled/>
                  <w:calcOnExit w:val="0"/>
                  <w:textInput>
                    <w:type w:val="number"/>
                    <w:default w:val="2,000,900.00"/>
                    <w:format w:val="#,##0.00"/>
                  </w:textInput>
                </w:ffData>
              </w:fldChar>
            </w:r>
            <w:r w:rsidR="00027675">
              <w:rPr>
                <w:rFonts w:ascii="Times New Roman" w:hAnsi="Times New Roman" w:cs="Times New Roman"/>
                <w:bCs/>
                <w:iCs/>
                <w:snapToGrid w:val="0"/>
                <w:sz w:val="24"/>
                <w:szCs w:val="24"/>
              </w:rPr>
              <w:instrText xml:space="preserve"> FORMTEXT </w:instrText>
            </w:r>
            <w:r w:rsidR="00915B27">
              <w:rPr>
                <w:rFonts w:ascii="Times New Roman" w:hAnsi="Times New Roman" w:cs="Times New Roman"/>
                <w:bCs/>
                <w:iCs/>
                <w:snapToGrid w:val="0"/>
                <w:sz w:val="24"/>
                <w:szCs w:val="24"/>
              </w:rPr>
            </w:r>
            <w:r w:rsidR="00915B27">
              <w:rPr>
                <w:rFonts w:ascii="Times New Roman" w:hAnsi="Times New Roman" w:cs="Times New Roman"/>
                <w:bCs/>
                <w:iCs/>
                <w:snapToGrid w:val="0"/>
                <w:sz w:val="24"/>
                <w:szCs w:val="24"/>
              </w:rPr>
              <w:fldChar w:fldCharType="separate"/>
            </w:r>
            <w:r w:rsidR="00027675">
              <w:rPr>
                <w:rFonts w:ascii="Times New Roman" w:hAnsi="Times New Roman" w:cs="Times New Roman"/>
                <w:bCs/>
                <w:iCs/>
                <w:noProof/>
                <w:snapToGrid w:val="0"/>
                <w:sz w:val="24"/>
                <w:szCs w:val="24"/>
              </w:rPr>
              <w:t>2,000,900.00</w:t>
            </w:r>
            <w:r w:rsidR="00915B27">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05CC06B6" w14:textId="3202A734" w:rsidR="001C56B8" w:rsidRDefault="001C56B8" w:rsidP="001A3157">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541FAD" w:rsidRPr="00541FAD">
              <w:rPr>
                <w:rFonts w:ascii="Times New Roman" w:hAnsi="Times New Roman" w:cs="Times New Roman"/>
                <w:bCs/>
                <w:iCs/>
                <w:snapToGrid w:val="0"/>
                <w:sz w:val="24"/>
                <w:szCs w:val="24"/>
              </w:rPr>
              <w:t xml:space="preserve">50 </w:t>
            </w:r>
            <w:r w:rsidR="006C0E66" w:rsidRPr="00541FAD">
              <w:rPr>
                <w:rFonts w:ascii="Times New Roman" w:hAnsi="Times New Roman" w:cs="Times New Roman"/>
                <w:bCs/>
                <w:iCs/>
                <w:snapToGrid w:val="0"/>
                <w:sz w:val="24"/>
                <w:szCs w:val="24"/>
              </w:rPr>
              <w:t>%</w:t>
            </w:r>
          </w:p>
          <w:p w14:paraId="7F2A3201" w14:textId="77777777" w:rsidR="007C288F" w:rsidRPr="00826923" w:rsidRDefault="007C288F" w:rsidP="007C288F">
            <w:pPr>
              <w:pStyle w:val="Textodebal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10CD51EB" w14:textId="77777777" w:rsidR="00793DE6" w:rsidRPr="00627A1C" w:rsidRDefault="00793DE6" w:rsidP="001A3157">
            <w:pPr>
              <w:pStyle w:val="Textodebalo"/>
              <w:numPr>
                <w:ilvl w:val="12"/>
                <w:numId w:val="0"/>
              </w:numPr>
              <w:tabs>
                <w:tab w:val="left" w:pos="-720"/>
                <w:tab w:val="left" w:pos="4500"/>
              </w:tabs>
              <w:suppressAutoHyphens/>
              <w:rPr>
                <w:rFonts w:ascii="Times New Roman" w:hAnsi="Times New Roman" w:cs="Times New Roman"/>
                <w:sz w:val="24"/>
                <w:szCs w:val="24"/>
              </w:rPr>
            </w:pPr>
          </w:p>
          <w:p w14:paraId="4DA92DA0" w14:textId="75E5AA15" w:rsidR="00006EC0" w:rsidRPr="00627A1C" w:rsidRDefault="00006EC0" w:rsidP="00006EC0">
            <w:pPr>
              <w:pStyle w:val="Textodebal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6E4823F8" w14:textId="7777777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915B27">
              <w:fldChar w:fldCharType="begin">
                <w:ffData>
                  <w:name w:val="Text1"/>
                  <w:enabled/>
                  <w:calcOnExit w:val="0"/>
                  <w:textInput>
                    <w:type w:val="number"/>
                    <w:default w:val="$302,970.50"/>
                    <w:maxLength w:val="500"/>
                    <w:format w:val="$#,##0.00;($#,##0.00)"/>
                  </w:textInput>
                </w:ffData>
              </w:fldChar>
            </w:r>
            <w:bookmarkStart w:id="4" w:name="Text1"/>
            <w:r w:rsidR="00027675">
              <w:instrText xml:space="preserve"> FORMTEXT </w:instrText>
            </w:r>
            <w:r w:rsidR="00915B27">
              <w:fldChar w:fldCharType="separate"/>
            </w:r>
            <w:r w:rsidR="00027675">
              <w:rPr>
                <w:noProof/>
              </w:rPr>
              <w:t>$302,970.50</w:t>
            </w:r>
            <w:r w:rsidR="00915B27">
              <w:fldChar w:fldCharType="end"/>
            </w:r>
            <w:bookmarkEnd w:id="4"/>
          </w:p>
          <w:p w14:paraId="7C23CF08" w14:textId="77777777" w:rsidR="007F1111" w:rsidRDefault="00006EC0" w:rsidP="00006EC0">
            <w:r w:rsidRPr="00627A1C">
              <w:t>Amount expended to date on activities focussed on gender equality or women’s empowerment:</w:t>
            </w:r>
          </w:p>
          <w:p w14:paraId="6098E0EB" w14:textId="580721A4" w:rsidR="00006EC0" w:rsidRPr="00627A1C" w:rsidRDefault="00006EC0" w:rsidP="00006EC0">
            <w:r w:rsidRPr="00627A1C">
              <w:t xml:space="preserve"> </w:t>
            </w:r>
            <w:r w:rsidR="001D6BA5">
              <w:t>10</w:t>
            </w:r>
            <w:r w:rsidR="00541FAD" w:rsidRPr="00541FAD">
              <w:t>0</w:t>
            </w:r>
            <w:r w:rsidR="006C0E66" w:rsidRPr="00541FAD">
              <w:t> </w:t>
            </w:r>
            <w:r w:rsidR="001D6BA5">
              <w:t>9</w:t>
            </w:r>
            <w:r w:rsidR="006C0E66" w:rsidRPr="00541FAD">
              <w:t>00.00</w:t>
            </w:r>
            <w:r w:rsidR="007F1111" w:rsidRPr="00541FAD">
              <w:t xml:space="preserve"> </w:t>
            </w:r>
          </w:p>
          <w:p w14:paraId="63F99313" w14:textId="77777777" w:rsidR="00952DE4" w:rsidRPr="00627A1C" w:rsidRDefault="00952DE4" w:rsidP="001A3157">
            <w:pPr>
              <w:pStyle w:val="Textodebalo"/>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05F5F79A" w14:textId="77777777" w:rsidTr="00F23D0F">
        <w:trPr>
          <w:trHeight w:val="1124"/>
        </w:trPr>
        <w:tc>
          <w:tcPr>
            <w:tcW w:w="10080" w:type="dxa"/>
            <w:gridSpan w:val="2"/>
          </w:tcPr>
          <w:p w14:paraId="36E044DA" w14:textId="77777777" w:rsidR="009B18EB" w:rsidRPr="00627A1C" w:rsidRDefault="009B18EB" w:rsidP="00F23D0F">
            <w:pPr>
              <w:rPr>
                <w:b/>
                <w:bCs/>
                <w:iCs/>
              </w:rPr>
            </w:pPr>
            <w:r w:rsidRPr="00627A1C">
              <w:rPr>
                <w:b/>
                <w:bCs/>
                <w:iCs/>
              </w:rPr>
              <w:t xml:space="preserve">Project Gender Marker: </w:t>
            </w:r>
            <w:r w:rsidR="00915B27">
              <w:rPr>
                <w:b/>
              </w:rPr>
              <w:fldChar w:fldCharType="begin">
                <w:ffData>
                  <w:name w:val=""/>
                  <w:enabled/>
                  <w:calcOnExit w:val="0"/>
                  <w:textInput>
                    <w:default w:val="GM1"/>
                  </w:textInput>
                </w:ffData>
              </w:fldChar>
            </w:r>
            <w:r w:rsidR="00027675">
              <w:rPr>
                <w:b/>
              </w:rPr>
              <w:instrText xml:space="preserve"> FORMTEXT </w:instrText>
            </w:r>
            <w:r w:rsidR="00915B27">
              <w:rPr>
                <w:b/>
              </w:rPr>
            </w:r>
            <w:r w:rsidR="00915B27">
              <w:rPr>
                <w:b/>
              </w:rPr>
              <w:fldChar w:fldCharType="separate"/>
            </w:r>
            <w:r w:rsidR="00027675">
              <w:rPr>
                <w:b/>
                <w:noProof/>
              </w:rPr>
              <w:t>GM1</w:t>
            </w:r>
            <w:r w:rsidR="00915B27">
              <w:rPr>
                <w:b/>
              </w:rPr>
              <w:fldChar w:fldCharType="end"/>
            </w:r>
          </w:p>
          <w:p w14:paraId="54BE3D61" w14:textId="77777777" w:rsidR="009B18EB" w:rsidRPr="00627A1C" w:rsidRDefault="009B18EB" w:rsidP="00F23D0F">
            <w:pPr>
              <w:rPr>
                <w:b/>
                <w:bCs/>
                <w:iCs/>
              </w:rPr>
            </w:pPr>
            <w:r w:rsidRPr="00627A1C">
              <w:rPr>
                <w:b/>
                <w:bCs/>
                <w:iCs/>
              </w:rPr>
              <w:t xml:space="preserve">Project Risk Marker: </w:t>
            </w:r>
            <w:r w:rsidR="00915B27">
              <w:rPr>
                <w:b/>
              </w:rPr>
              <w:fldChar w:fldCharType="begin">
                <w:ffData>
                  <w:name w:val=""/>
                  <w:enabled/>
                  <w:calcOnExit w:val="0"/>
                  <w:textInput>
                    <w:default w:val="Medium"/>
                  </w:textInput>
                </w:ffData>
              </w:fldChar>
            </w:r>
            <w:r w:rsidR="00027675">
              <w:rPr>
                <w:b/>
              </w:rPr>
              <w:instrText xml:space="preserve"> FORMTEXT </w:instrText>
            </w:r>
            <w:r w:rsidR="00915B27">
              <w:rPr>
                <w:b/>
              </w:rPr>
            </w:r>
            <w:r w:rsidR="00915B27">
              <w:rPr>
                <w:b/>
              </w:rPr>
              <w:fldChar w:fldCharType="separate"/>
            </w:r>
            <w:r w:rsidR="00027675">
              <w:rPr>
                <w:b/>
                <w:noProof/>
              </w:rPr>
              <w:t>Medium</w:t>
            </w:r>
            <w:r w:rsidR="00915B27">
              <w:rPr>
                <w:b/>
              </w:rPr>
              <w:fldChar w:fldCharType="end"/>
            </w:r>
          </w:p>
          <w:p w14:paraId="21459871" w14:textId="070B5C04" w:rsidR="009B18EB" w:rsidRPr="00627A1C" w:rsidRDefault="003B4401" w:rsidP="003B4401">
            <w:pPr>
              <w:rPr>
                <w:b/>
                <w:bCs/>
                <w:iCs/>
              </w:rPr>
            </w:pPr>
            <w:r>
              <w:rPr>
                <w:b/>
                <w:bCs/>
                <w:iCs/>
              </w:rPr>
              <w:t>Project PBF focus area:1.2 RoL</w:t>
            </w:r>
          </w:p>
        </w:tc>
      </w:tr>
      <w:tr w:rsidR="00793DE6" w:rsidRPr="00627A1C" w14:paraId="7831CFC2" w14:textId="77777777" w:rsidTr="00F23D0F">
        <w:trPr>
          <w:trHeight w:val="1124"/>
        </w:trPr>
        <w:tc>
          <w:tcPr>
            <w:tcW w:w="10080" w:type="dxa"/>
            <w:gridSpan w:val="2"/>
          </w:tcPr>
          <w:p w14:paraId="48288C89" w14:textId="77777777" w:rsidR="00793DE6" w:rsidRPr="00627A1C" w:rsidRDefault="00793DE6" w:rsidP="00793DE6">
            <w:pPr>
              <w:rPr>
                <w:b/>
                <w:bCs/>
              </w:rPr>
            </w:pPr>
            <w:r w:rsidRPr="00627A1C">
              <w:rPr>
                <w:b/>
                <w:bCs/>
              </w:rPr>
              <w:t>Report preparation:</w:t>
            </w:r>
          </w:p>
          <w:p w14:paraId="56A44972" w14:textId="5BE10B72" w:rsidR="00793DE6" w:rsidRPr="002B68ED" w:rsidRDefault="00793DE6" w:rsidP="00793DE6">
            <w:pPr>
              <w:rPr>
                <w:lang w:val="en-US"/>
              </w:rPr>
            </w:pPr>
            <w:r w:rsidRPr="00627A1C">
              <w:t xml:space="preserve">Project report prepared by: </w:t>
            </w:r>
            <w:r w:rsidR="001D6BA5">
              <w:t xml:space="preserve">Bernardo Maria (Project Assistant) </w:t>
            </w:r>
          </w:p>
          <w:p w14:paraId="77A286E8" w14:textId="72702FF8" w:rsidR="00793DE6" w:rsidRPr="00627A1C" w:rsidRDefault="00793DE6" w:rsidP="00793DE6">
            <w:r w:rsidRPr="00627A1C">
              <w:t xml:space="preserve">Project report approved by: </w:t>
            </w:r>
            <w:r w:rsidR="0008140F">
              <w:fldChar w:fldCharType="begin">
                <w:ffData>
                  <w:name w:val="Text24"/>
                  <w:enabled/>
                  <w:calcOnExit w:val="0"/>
                  <w:textInput>
                    <w:default w:val="Oumar Diallo"/>
                  </w:textInput>
                </w:ffData>
              </w:fldChar>
            </w:r>
            <w:r w:rsidR="0008140F">
              <w:instrText xml:space="preserve"> </w:instrText>
            </w:r>
            <w:bookmarkStart w:id="5" w:name="Text24"/>
            <w:r w:rsidR="0008140F">
              <w:instrText xml:space="preserve">FORMTEXT </w:instrText>
            </w:r>
            <w:r w:rsidR="0008140F">
              <w:fldChar w:fldCharType="separate"/>
            </w:r>
            <w:r w:rsidR="0008140F">
              <w:rPr>
                <w:noProof/>
              </w:rPr>
              <w:t>Oumar Diallo</w:t>
            </w:r>
            <w:r w:rsidR="0008140F">
              <w:fldChar w:fldCharType="end"/>
            </w:r>
            <w:bookmarkEnd w:id="5"/>
            <w:r w:rsidR="00AC5426">
              <w:t xml:space="preserve"> </w:t>
            </w:r>
            <w:r w:rsidR="00AC5426" w:rsidRPr="002B68ED">
              <w:rPr>
                <w:lang w:val="en-US"/>
              </w:rPr>
              <w:t>(</w:t>
            </w:r>
            <w:r w:rsidR="002B68ED">
              <w:rPr>
                <w:lang w:val="en-US"/>
              </w:rPr>
              <w:t xml:space="preserve">Chief Technical Adviser/Rule of Law – UNDP Guinea-Bissau)  </w:t>
            </w:r>
          </w:p>
          <w:p w14:paraId="311E7316" w14:textId="5B6D0B83" w:rsidR="00793DE6" w:rsidRPr="00627A1C" w:rsidRDefault="00793DE6" w:rsidP="003B4401">
            <w:r w:rsidRPr="00627A1C">
              <w:t xml:space="preserve">Did PBF Secretariat </w:t>
            </w:r>
            <w:r w:rsidR="009B18EB" w:rsidRPr="00627A1C">
              <w:t xml:space="preserve">review </w:t>
            </w:r>
            <w:r w:rsidRPr="00627A1C">
              <w:t xml:space="preserve">the report: </w:t>
            </w:r>
            <w:r w:rsidR="003B4401">
              <w:t>Yes</w:t>
            </w:r>
          </w:p>
        </w:tc>
      </w:tr>
    </w:tbl>
    <w:p w14:paraId="29FC2B3B" w14:textId="54ED33DB"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4A1343AF"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01874D4"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2546C435"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26E1DAE8"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4197ABDB"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72A8C586" w14:textId="77777777" w:rsidR="004C4F3B" w:rsidRPr="0076698F" w:rsidRDefault="004C4F3B" w:rsidP="00A47DDA">
      <w:pPr>
        <w:ind w:hanging="810"/>
        <w:jc w:val="both"/>
        <w:rPr>
          <w:b/>
          <w:sz w:val="8"/>
          <w:szCs w:val="8"/>
        </w:rPr>
      </w:pPr>
    </w:p>
    <w:p w14:paraId="4FAEA522" w14:textId="77777777" w:rsidR="00985E49" w:rsidRPr="0076698F" w:rsidRDefault="00985E49" w:rsidP="00A47DDA">
      <w:pPr>
        <w:ind w:hanging="810"/>
        <w:jc w:val="both"/>
        <w:rPr>
          <w:b/>
          <w:sz w:val="8"/>
          <w:szCs w:val="8"/>
        </w:rPr>
      </w:pPr>
    </w:p>
    <w:p w14:paraId="7A01E22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54D6249" w14:textId="77777777" w:rsidR="00A02F58" w:rsidRPr="003B4401" w:rsidRDefault="00A02F58" w:rsidP="00206D45">
      <w:pPr>
        <w:rPr>
          <w:b/>
          <w:i/>
        </w:rPr>
      </w:pPr>
    </w:p>
    <w:p w14:paraId="74C050E0" w14:textId="77777777" w:rsidR="00D84A39" w:rsidRDefault="00411A5F" w:rsidP="007C304F">
      <w:pPr>
        <w:ind w:left="-810"/>
        <w:rPr>
          <w:i/>
        </w:rPr>
      </w:pPr>
      <w:r w:rsidRPr="003B4401">
        <w:rPr>
          <w:i/>
        </w:rPr>
        <w:t xml:space="preserve">Briefly </w:t>
      </w:r>
      <w:r w:rsidR="008364E5" w:rsidRPr="003B4401">
        <w:rPr>
          <w:i/>
        </w:rPr>
        <w:t>outline</w:t>
      </w:r>
      <w:r w:rsidR="007C304F" w:rsidRPr="003B4401">
        <w:rPr>
          <w:i/>
        </w:rPr>
        <w:t xml:space="preserve"> the</w:t>
      </w:r>
      <w:r w:rsidR="00F5504F" w:rsidRPr="003B4401">
        <w:rPr>
          <w:i/>
        </w:rPr>
        <w:t xml:space="preserve"> </w:t>
      </w:r>
      <w:r w:rsidR="00F5504F" w:rsidRPr="003B4401">
        <w:rPr>
          <w:b/>
          <w:bCs/>
          <w:i/>
        </w:rPr>
        <w:t>status of the</w:t>
      </w:r>
      <w:r w:rsidR="007C304F" w:rsidRPr="003B4401">
        <w:rPr>
          <w:b/>
          <w:bCs/>
          <w:i/>
        </w:rPr>
        <w:t xml:space="preserve"> project</w:t>
      </w:r>
      <w:r w:rsidR="007C304F" w:rsidRPr="003B4401">
        <w:rPr>
          <w:i/>
        </w:rPr>
        <w:t xml:space="preserve"> in terms of implementation cycle, including whether preliminary/preparatory activities have been completed</w:t>
      </w:r>
      <w:r w:rsidR="008364E5" w:rsidRPr="003B4401">
        <w:rPr>
          <w:i/>
        </w:rPr>
        <w:t xml:space="preserve"> (i.e. </w:t>
      </w:r>
      <w:r w:rsidR="009B18EB" w:rsidRPr="003B4401">
        <w:rPr>
          <w:i/>
        </w:rPr>
        <w:t>contracting of partners, staff recruitment</w:t>
      </w:r>
      <w:r w:rsidR="004D141E" w:rsidRPr="003B4401">
        <w:rPr>
          <w:i/>
        </w:rPr>
        <w:t>, etc.</w:t>
      </w:r>
      <w:r w:rsidR="008364E5" w:rsidRPr="003B4401">
        <w:rPr>
          <w:i/>
        </w:rPr>
        <w:t>)</w:t>
      </w:r>
      <w:r w:rsidR="004D141E" w:rsidRPr="003B4401">
        <w:rPr>
          <w:i/>
        </w:rPr>
        <w:t xml:space="preserve"> </w:t>
      </w:r>
      <w:r w:rsidR="006A07CA" w:rsidRPr="003B4401">
        <w:rPr>
          <w:i/>
        </w:rPr>
        <w:t>(1</w:t>
      </w:r>
      <w:r w:rsidR="00521468" w:rsidRPr="003B4401">
        <w:rPr>
          <w:i/>
        </w:rPr>
        <w:t>5</w:t>
      </w:r>
      <w:r w:rsidR="006A07CA" w:rsidRPr="003B4401">
        <w:rPr>
          <w:i/>
        </w:rPr>
        <w:t>00 character limit)</w:t>
      </w:r>
      <w:r w:rsidR="007C304F" w:rsidRPr="003B4401">
        <w:rPr>
          <w:i/>
        </w:rPr>
        <w:t xml:space="preserve">: </w:t>
      </w:r>
    </w:p>
    <w:p w14:paraId="3DAE62E2" w14:textId="77777777" w:rsidR="00113C12" w:rsidRDefault="00113C12" w:rsidP="00660D2D">
      <w:pPr>
        <w:pStyle w:val="SemEspaamento"/>
        <w:ind w:left="-851" w:right="-666"/>
        <w:jc w:val="both"/>
      </w:pPr>
    </w:p>
    <w:p w14:paraId="44BE9C66" w14:textId="7263F3B9" w:rsidR="00CF009F" w:rsidRDefault="00113C12" w:rsidP="00336887">
      <w:pPr>
        <w:pStyle w:val="SemEspaamento"/>
        <w:ind w:left="-851" w:right="-666"/>
        <w:jc w:val="both"/>
      </w:pPr>
      <w:r>
        <w:t>Despite the continued presence of the pandemic crisis related to COVID 19</w:t>
      </w:r>
      <w:r w:rsidR="00A26ACB">
        <w:t>, this year</w:t>
      </w:r>
      <w:r>
        <w:t xml:space="preserve"> has</w:t>
      </w:r>
      <w:r w:rsidR="00A26ACB">
        <w:t xml:space="preserve"> registered significant progress in the implementation of the project. The </w:t>
      </w:r>
      <w:r w:rsidR="00336887">
        <w:t xml:space="preserve">project is still being </w:t>
      </w:r>
      <w:r w:rsidR="00A81723">
        <w:t xml:space="preserve">impacted </w:t>
      </w:r>
      <w:r w:rsidR="00A26ACB">
        <w:t>by the pandemic</w:t>
      </w:r>
      <w:r w:rsidR="006343FE">
        <w:t>,</w:t>
      </w:r>
      <w:r w:rsidR="00A26ACB">
        <w:t xml:space="preserve"> which placed measures of spreading prevention and restricted holding me</w:t>
      </w:r>
      <w:r w:rsidR="00724AB1">
        <w:t>etings and workshops</w:t>
      </w:r>
      <w:r w:rsidR="00336887">
        <w:t xml:space="preserve">: </w:t>
      </w:r>
      <w:r w:rsidR="00724AB1">
        <w:t xml:space="preserve"> </w:t>
      </w:r>
      <w:r w:rsidR="00336887">
        <w:t>t</w:t>
      </w:r>
      <w:r w:rsidR="00724AB1">
        <w:t xml:space="preserve">he </w:t>
      </w:r>
      <w:r w:rsidR="00660D2D" w:rsidRPr="00660D2D">
        <w:t>implementation of collaborative mec</w:t>
      </w:r>
      <w:r w:rsidR="00724AB1">
        <w:t>hanisms between the different involved</w:t>
      </w:r>
      <w:r w:rsidR="00660D2D" w:rsidRPr="00660D2D">
        <w:t xml:space="preserve"> actors, through the organization of</w:t>
      </w:r>
      <w:r w:rsidR="000B6BC1">
        <w:t xml:space="preserve"> </w:t>
      </w:r>
      <w:r w:rsidR="00660D2D" w:rsidRPr="00660D2D">
        <w:t xml:space="preserve">meetings with national and international partners, trainings and the activities of sensitization and </w:t>
      </w:r>
      <w:r w:rsidR="00724AB1" w:rsidRPr="00724AB1">
        <w:t xml:space="preserve">the consultations </w:t>
      </w:r>
      <w:r w:rsidR="00660D2D" w:rsidRPr="00660D2D">
        <w:t>of civil society</w:t>
      </w:r>
      <w:r w:rsidR="00D17BD7">
        <w:t xml:space="preserve"> (activities </w:t>
      </w:r>
      <w:r w:rsidR="00573553">
        <w:t>1.3.1, 1.3.2, 1.3.3, 1.3.4 and 1.3.5</w:t>
      </w:r>
      <w:r w:rsidR="00D17BD7">
        <w:t>)</w:t>
      </w:r>
      <w:r w:rsidR="00660D2D" w:rsidRPr="00660D2D">
        <w:t xml:space="preserve">, </w:t>
      </w:r>
      <w:r w:rsidR="00724AB1">
        <w:t>have been relaunched with some delays</w:t>
      </w:r>
      <w:r w:rsidR="00F56DD9">
        <w:t>.</w:t>
      </w:r>
      <w:r w:rsidR="00724AB1">
        <w:t xml:space="preserve"> </w:t>
      </w:r>
      <w:r w:rsidR="00336887">
        <w:t xml:space="preserve">After a </w:t>
      </w:r>
      <w:r w:rsidR="00CC5263">
        <w:t>series</w:t>
      </w:r>
      <w:r w:rsidR="00CF009F">
        <w:t xml:space="preserve"> of consultations with the national partners and beneficiaries,</w:t>
      </w:r>
      <w:r w:rsidR="005C0F05">
        <w:t xml:space="preserve"> </w:t>
      </w:r>
      <w:r w:rsidR="00541FAD">
        <w:t>a 6</w:t>
      </w:r>
      <w:r w:rsidR="00CC5263">
        <w:t xml:space="preserve"> months No Cost Extension was elaborated, this allow the introduction of new activities such as </w:t>
      </w:r>
      <w:r w:rsidR="005C0F05" w:rsidRPr="00660D2D">
        <w:t>the construction of one outpost for the Judicial Police, in the Bafatá region</w:t>
      </w:r>
      <w:r w:rsidR="00955434">
        <w:t>,</w:t>
      </w:r>
      <w:r w:rsidR="005C0F05">
        <w:t xml:space="preserve"> as a key priority</w:t>
      </w:r>
      <w:r w:rsidR="00327869">
        <w:t xml:space="preserve"> </w:t>
      </w:r>
      <w:r w:rsidR="003923C1">
        <w:t>(</w:t>
      </w:r>
      <w:r w:rsidR="00327869">
        <w:t xml:space="preserve">activity </w:t>
      </w:r>
      <w:r w:rsidR="00443409">
        <w:t>1.2.6)</w:t>
      </w:r>
      <w:r w:rsidR="005C0F05" w:rsidRPr="00660D2D">
        <w:t>.</w:t>
      </w:r>
      <w:r w:rsidR="00CC5263">
        <w:t xml:space="preserve"> The NCE including a new work plan and revised budget </w:t>
      </w:r>
      <w:r w:rsidR="005D367E">
        <w:t xml:space="preserve">and </w:t>
      </w:r>
      <w:r w:rsidR="00CC5263">
        <w:t>indicators</w:t>
      </w:r>
      <w:r w:rsidR="002902A8">
        <w:t xml:space="preserve"> has been elaborated </w:t>
      </w:r>
      <w:r w:rsidR="004F1CBC">
        <w:t xml:space="preserve">in June, </w:t>
      </w:r>
      <w:r w:rsidR="00F455CE">
        <w:t>endor</w:t>
      </w:r>
      <w:r w:rsidR="004F1CBC">
        <w:t xml:space="preserve">sed by the National Authorities </w:t>
      </w:r>
      <w:r w:rsidR="002902A8">
        <w:t xml:space="preserve">and </w:t>
      </w:r>
      <w:r w:rsidR="004F1CBC">
        <w:t>formally</w:t>
      </w:r>
      <w:r w:rsidR="000B6BC1">
        <w:t xml:space="preserve"> </w:t>
      </w:r>
      <w:r w:rsidR="002902A8">
        <w:t>approved</w:t>
      </w:r>
      <w:r w:rsidR="00C760C0">
        <w:t xml:space="preserve"> by PBSO on</w:t>
      </w:r>
      <w:r w:rsidR="002902A8">
        <w:t xml:space="preserve"> 25 October 2021. </w:t>
      </w:r>
    </w:p>
    <w:p w14:paraId="63A27338" w14:textId="77777777" w:rsidR="0072698A" w:rsidRPr="0072698A" w:rsidRDefault="0072698A" w:rsidP="0072698A">
      <w:pPr>
        <w:pStyle w:val="SemEspaamento"/>
        <w:ind w:left="-851" w:right="-666"/>
        <w:jc w:val="both"/>
        <w:rPr>
          <w:sz w:val="4"/>
          <w:szCs w:val="4"/>
        </w:rPr>
      </w:pPr>
    </w:p>
    <w:p w14:paraId="6FFBF3B8" w14:textId="0BE38D00" w:rsidR="00B80B48" w:rsidRDefault="002902A8" w:rsidP="0072698A">
      <w:pPr>
        <w:pStyle w:val="SemEspaamento"/>
        <w:ind w:left="-851" w:right="-666"/>
        <w:jc w:val="both"/>
      </w:pPr>
      <w:r w:rsidRPr="002902A8">
        <w:t xml:space="preserve">With postponements caused mainly by the pandemic, the planned </w:t>
      </w:r>
      <w:r w:rsidR="00ED1601">
        <w:t>rehabilitation</w:t>
      </w:r>
      <w:r w:rsidRPr="002902A8">
        <w:t xml:space="preserve"> and improvements (the reinforcement of security in Bafatá detention facility, the installation of the third model police station in Gabu, </w:t>
      </w:r>
      <w:r w:rsidR="00F06E41">
        <w:t xml:space="preserve">and </w:t>
      </w:r>
      <w:r w:rsidRPr="002902A8">
        <w:t>the refurbishment of four border control services in the northern and the southern part of the country) also had their schedule affected.</w:t>
      </w:r>
      <w:r w:rsidR="0072698A">
        <w:t xml:space="preserve"> </w:t>
      </w:r>
      <w:r w:rsidR="005C0F05">
        <w:t xml:space="preserve">The bid is finalized, the </w:t>
      </w:r>
      <w:r w:rsidR="0049598C">
        <w:t xml:space="preserve">construction </w:t>
      </w:r>
      <w:r w:rsidR="005C0F05">
        <w:t xml:space="preserve">firms have been identified and the process was submitted to </w:t>
      </w:r>
      <w:r w:rsidR="0049598C">
        <w:t xml:space="preserve">UNDP </w:t>
      </w:r>
      <w:r w:rsidR="005C0F05">
        <w:t xml:space="preserve">Regional Office </w:t>
      </w:r>
      <w:r w:rsidR="002B68ED">
        <w:t xml:space="preserve">in October 2021 </w:t>
      </w:r>
      <w:r w:rsidR="005C0F05">
        <w:t>for their approbation</w:t>
      </w:r>
      <w:r w:rsidR="004B0A82">
        <w:t>. I</w:t>
      </w:r>
      <w:r w:rsidR="00CF14A0">
        <w:t xml:space="preserve">t is expected that the rehabilitation phase </w:t>
      </w:r>
      <w:r w:rsidR="00B80B48">
        <w:t>will start by the end of the year.</w:t>
      </w:r>
    </w:p>
    <w:p w14:paraId="4E46E73A" w14:textId="77777777" w:rsidR="00B80B48" w:rsidRPr="00B80B48" w:rsidRDefault="00B80B48" w:rsidP="005F3240">
      <w:pPr>
        <w:pStyle w:val="SemEspaamento"/>
        <w:ind w:left="0" w:right="-666"/>
        <w:jc w:val="both"/>
        <w:rPr>
          <w:sz w:val="4"/>
          <w:szCs w:val="4"/>
        </w:rPr>
      </w:pPr>
    </w:p>
    <w:p w14:paraId="0306E749" w14:textId="77777777" w:rsidR="00660D2D" w:rsidRPr="000D3A9B" w:rsidRDefault="00660D2D" w:rsidP="004A74C2">
      <w:pPr>
        <w:ind w:right="-666"/>
        <w:rPr>
          <w:bCs/>
          <w:iCs/>
          <w:sz w:val="4"/>
          <w:szCs w:val="4"/>
        </w:rPr>
      </w:pPr>
    </w:p>
    <w:p w14:paraId="73693C89" w14:textId="7BCCA4AE" w:rsidR="000D3A9B" w:rsidRPr="000D3A9B" w:rsidRDefault="000D3A9B" w:rsidP="004A74C2">
      <w:pPr>
        <w:pStyle w:val="SemEspaamento"/>
        <w:ind w:left="-851" w:right="-666"/>
        <w:jc w:val="both"/>
        <w:rPr>
          <w:lang w:val="en-US"/>
        </w:rPr>
      </w:pPr>
      <w:r w:rsidRPr="000D3A9B">
        <w:rPr>
          <w:lang w:val="en-US"/>
        </w:rPr>
        <w:t xml:space="preserve">An international consultant was recruited to replace the project manager who has resigned in July. Also, the project recruited an international UNV peacebuilding outreach specialist who will serve for both PBF </w:t>
      </w:r>
      <w:r w:rsidR="00516D66">
        <w:rPr>
          <w:lang w:val="en-US"/>
        </w:rPr>
        <w:t xml:space="preserve">transition </w:t>
      </w:r>
      <w:r w:rsidRPr="000D3A9B">
        <w:rPr>
          <w:lang w:val="en-US"/>
        </w:rPr>
        <w:t>project</w:t>
      </w:r>
      <w:r w:rsidR="00516D66">
        <w:rPr>
          <w:lang w:val="en-US"/>
        </w:rPr>
        <w:t>s</w:t>
      </w:r>
      <w:r w:rsidRPr="000D3A9B">
        <w:rPr>
          <w:lang w:val="en-US"/>
        </w:rPr>
        <w:t xml:space="preserve"> (Political stabilization and CDTOC). This has result</w:t>
      </w:r>
      <w:r w:rsidR="00516D66">
        <w:rPr>
          <w:lang w:val="en-US"/>
        </w:rPr>
        <w:t>ed in</w:t>
      </w:r>
      <w:r w:rsidRPr="000D3A9B">
        <w:rPr>
          <w:lang w:val="en-US"/>
        </w:rPr>
        <w:t xml:space="preserve"> a significant improvement of the communication on the activities, a bimensal Newsletter </w:t>
      </w:r>
      <w:r w:rsidR="00516D66">
        <w:rPr>
          <w:lang w:val="en-US"/>
        </w:rPr>
        <w:t>was</w:t>
      </w:r>
      <w:r w:rsidR="00516D66" w:rsidRPr="000D3A9B">
        <w:rPr>
          <w:lang w:val="en-US"/>
        </w:rPr>
        <w:t xml:space="preserve"> </w:t>
      </w:r>
      <w:r w:rsidRPr="000D3A9B">
        <w:rPr>
          <w:lang w:val="en-US"/>
        </w:rPr>
        <w:t>created for the PBF projects</w:t>
      </w:r>
      <w:r w:rsidR="00FA5E4C">
        <w:rPr>
          <w:lang w:val="en-US"/>
        </w:rPr>
        <w:t>’</w:t>
      </w:r>
      <w:r w:rsidRPr="000D3A9B">
        <w:rPr>
          <w:lang w:val="en-US"/>
        </w:rPr>
        <w:t xml:space="preserve"> activities and a contribution is provided to t</w:t>
      </w:r>
      <w:r w:rsidR="004A74C2">
        <w:rPr>
          <w:lang w:val="en-US"/>
        </w:rPr>
        <w:t xml:space="preserve">he office communication tools. </w:t>
      </w:r>
      <w:r w:rsidRPr="000D3A9B">
        <w:rPr>
          <w:lang w:val="en-US"/>
        </w:rPr>
        <w:t>The project team is now complete, and the project is being normally implemented.</w:t>
      </w:r>
    </w:p>
    <w:p w14:paraId="27443DDF" w14:textId="77777777" w:rsidR="000D3A9B" w:rsidRDefault="000D3A9B" w:rsidP="00627A1C">
      <w:pPr>
        <w:ind w:left="-810"/>
        <w:rPr>
          <w:i/>
          <w:color w:val="000000"/>
          <w:lang w:val="en-US" w:eastAsia="en-US"/>
        </w:rPr>
      </w:pPr>
    </w:p>
    <w:p w14:paraId="64221BCF" w14:textId="77777777" w:rsidR="00161D02" w:rsidRPr="00A52A66" w:rsidRDefault="00627A1C" w:rsidP="00A16274">
      <w:pPr>
        <w:ind w:left="-851" w:right="-666"/>
        <w:rPr>
          <w:i/>
        </w:rPr>
      </w:pPr>
      <w:r w:rsidRPr="00A52A66">
        <w:rPr>
          <w:i/>
          <w:color w:val="000000"/>
          <w:lang w:val="en-US" w:eastAsia="en-US"/>
        </w:rPr>
        <w:t>Please indicate any significant project-related events anticipated in the next six months, i.e. national dialogues, youth congresses, film screenings, etc.</w:t>
      </w:r>
      <w:r w:rsidRPr="00A52A66">
        <w:rPr>
          <w:i/>
        </w:rPr>
        <w:t xml:space="preserve">  </w:t>
      </w:r>
      <w:r w:rsidR="00161D02" w:rsidRPr="00A52A66">
        <w:rPr>
          <w:i/>
        </w:rPr>
        <w:t xml:space="preserve">(1000 character limit): </w:t>
      </w:r>
    </w:p>
    <w:p w14:paraId="0B91B2C3" w14:textId="2AB6E72B" w:rsidR="00161D02" w:rsidRDefault="00161D02" w:rsidP="00161D02">
      <w:pPr>
        <w:ind w:left="-810"/>
        <w:rPr>
          <w:sz w:val="4"/>
          <w:szCs w:val="4"/>
        </w:rPr>
      </w:pPr>
    </w:p>
    <w:p w14:paraId="63E50163" w14:textId="77777777" w:rsidR="000B649B" w:rsidRPr="000B649B" w:rsidRDefault="000B649B" w:rsidP="00161D02">
      <w:pPr>
        <w:ind w:left="-810"/>
        <w:rPr>
          <w:sz w:val="4"/>
          <w:szCs w:val="4"/>
        </w:rPr>
      </w:pPr>
    </w:p>
    <w:p w14:paraId="53EC0761" w14:textId="467AD93D" w:rsidR="00C445D9" w:rsidRPr="007A791F" w:rsidRDefault="00080CD9" w:rsidP="00A16274">
      <w:pPr>
        <w:pStyle w:val="SemEspaamento"/>
        <w:ind w:left="-851" w:right="-666"/>
        <w:jc w:val="both"/>
        <w:rPr>
          <w:lang w:val="en-US"/>
        </w:rPr>
      </w:pPr>
      <w:r w:rsidRPr="007A791F">
        <w:rPr>
          <w:lang w:val="en-US"/>
        </w:rPr>
        <w:t>The project will consolidate</w:t>
      </w:r>
      <w:r w:rsidR="000D3A9B" w:rsidRPr="007A791F">
        <w:rPr>
          <w:lang w:val="en-US"/>
        </w:rPr>
        <w:t xml:space="preserve"> </w:t>
      </w:r>
      <w:r w:rsidRPr="007A791F">
        <w:rPr>
          <w:lang w:val="en-US"/>
        </w:rPr>
        <w:t xml:space="preserve">the </w:t>
      </w:r>
      <w:r w:rsidR="002B68ED" w:rsidRPr="007A791F">
        <w:rPr>
          <w:lang w:val="en-US"/>
        </w:rPr>
        <w:t xml:space="preserve">second </w:t>
      </w:r>
      <w:r w:rsidRPr="007A791F">
        <w:rPr>
          <w:lang w:val="en-US"/>
        </w:rPr>
        <w:t xml:space="preserve">national dialogue on Drug </w:t>
      </w:r>
      <w:r w:rsidR="000D3A9B" w:rsidRPr="007A791F">
        <w:rPr>
          <w:lang w:val="en-US"/>
        </w:rPr>
        <w:t xml:space="preserve">Trafficking and Organized Crime </w:t>
      </w:r>
      <w:r w:rsidR="005D367E" w:rsidRPr="007A791F">
        <w:rPr>
          <w:lang w:val="en-US"/>
        </w:rPr>
        <w:t>with a debate at the Parliament</w:t>
      </w:r>
      <w:r w:rsidR="00327869" w:rsidRPr="007A791F">
        <w:rPr>
          <w:lang w:val="en-US"/>
        </w:rPr>
        <w:t xml:space="preserve"> in the first quarter 2022</w:t>
      </w:r>
      <w:r w:rsidR="000D3A9B" w:rsidRPr="007A791F">
        <w:rPr>
          <w:lang w:val="en-US"/>
        </w:rPr>
        <w:t>.</w:t>
      </w:r>
      <w:r w:rsidRPr="007A791F">
        <w:rPr>
          <w:lang w:val="en-US"/>
        </w:rPr>
        <w:t xml:space="preserve"> </w:t>
      </w:r>
      <w:r w:rsidR="00205AAB" w:rsidRPr="007A791F">
        <w:rPr>
          <w:lang w:val="en-US"/>
        </w:rPr>
        <w:t xml:space="preserve">The national authorities are planning to organize a National Dialogue on corruption with the approbation of the National Anti-corruption strategy supported by the project. </w:t>
      </w:r>
    </w:p>
    <w:p w14:paraId="225EA845" w14:textId="77777777" w:rsidR="00AA66F4" w:rsidRPr="007A791F" w:rsidRDefault="00AA66F4" w:rsidP="00A16274">
      <w:pPr>
        <w:pStyle w:val="SemEspaamento"/>
        <w:ind w:left="-851" w:right="-666"/>
        <w:jc w:val="both"/>
        <w:rPr>
          <w:lang w:val="en-US"/>
        </w:rPr>
      </w:pPr>
    </w:p>
    <w:p w14:paraId="2954A4EE" w14:textId="7F89ED86" w:rsidR="0076698F" w:rsidRPr="007A791F" w:rsidRDefault="00FA715E" w:rsidP="00A16274">
      <w:pPr>
        <w:pStyle w:val="SemEspaamento"/>
        <w:ind w:left="-851" w:right="-666"/>
        <w:jc w:val="both"/>
        <w:rPr>
          <w:lang w:val="en-US"/>
        </w:rPr>
      </w:pPr>
      <w:r w:rsidRPr="007A791F">
        <w:rPr>
          <w:lang w:val="en-US"/>
        </w:rPr>
        <w:t xml:space="preserve">At local level, in </w:t>
      </w:r>
      <w:r w:rsidR="00AA66F4" w:rsidRPr="007A791F">
        <w:rPr>
          <w:lang w:val="en-US"/>
        </w:rPr>
        <w:t>Gabu,</w:t>
      </w:r>
      <w:r w:rsidRPr="007A791F">
        <w:rPr>
          <w:lang w:val="en-US"/>
        </w:rPr>
        <w:t xml:space="preserve"> the project through the definition of a community policing model will favour the </w:t>
      </w:r>
      <w:r w:rsidR="00EF3E1B" w:rsidRPr="007A791F">
        <w:rPr>
          <w:lang w:val="en-US"/>
        </w:rPr>
        <w:t>discussion through</w:t>
      </w:r>
      <w:r w:rsidR="001D0B1C" w:rsidRPr="007A791F">
        <w:rPr>
          <w:lang w:val="en-US"/>
        </w:rPr>
        <w:t xml:space="preserve"> several training</w:t>
      </w:r>
      <w:r w:rsidR="00F70011" w:rsidRPr="007A791F">
        <w:rPr>
          <w:lang w:val="en-US"/>
        </w:rPr>
        <w:t>s</w:t>
      </w:r>
      <w:r w:rsidR="001D0B1C" w:rsidRPr="007A791F">
        <w:rPr>
          <w:lang w:val="en-US"/>
        </w:rPr>
        <w:t xml:space="preserve"> and enhance community network and community security</w:t>
      </w:r>
      <w:r w:rsidR="00C760C0" w:rsidRPr="007A791F">
        <w:rPr>
          <w:lang w:val="en-US"/>
        </w:rPr>
        <w:t>/Proximity Police</w:t>
      </w:r>
      <w:r w:rsidR="001D0B1C" w:rsidRPr="007A791F">
        <w:rPr>
          <w:lang w:val="en-US"/>
        </w:rPr>
        <w:t xml:space="preserve"> approach to the needs of vulnerable groups, including women, men, boys and girls. </w:t>
      </w:r>
    </w:p>
    <w:p w14:paraId="4E43159A" w14:textId="77777777" w:rsidR="00450F4E" w:rsidRPr="00627A1C" w:rsidRDefault="00450F4E" w:rsidP="000D3A9B">
      <w:pPr>
        <w:ind w:right="-154"/>
      </w:pPr>
    </w:p>
    <w:p w14:paraId="277DA3D7" w14:textId="711237A1"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62ED04E9" w14:textId="77777777" w:rsidR="00433487" w:rsidRPr="00627A1C" w:rsidRDefault="00433487" w:rsidP="001A1E86">
      <w:pPr>
        <w:ind w:left="-810" w:right="-154"/>
      </w:pPr>
    </w:p>
    <w:p w14:paraId="1A032E93" w14:textId="5D378373" w:rsidR="00411A5F" w:rsidRPr="00403419" w:rsidRDefault="00411A5F" w:rsidP="00D84A39">
      <w:pPr>
        <w:ind w:left="-810"/>
        <w:rPr>
          <w:sz w:val="8"/>
          <w:szCs w:val="8"/>
        </w:rPr>
      </w:pPr>
    </w:p>
    <w:p w14:paraId="08A1AB7E" w14:textId="77777777" w:rsidR="00181379" w:rsidRPr="00876AE1" w:rsidRDefault="00181379" w:rsidP="001F647B">
      <w:pPr>
        <w:pStyle w:val="SemEspaamento"/>
        <w:ind w:left="-851" w:right="42"/>
        <w:jc w:val="both"/>
        <w:rPr>
          <w:sz w:val="8"/>
          <w:szCs w:val="8"/>
        </w:rPr>
      </w:pPr>
    </w:p>
    <w:p w14:paraId="046781C4" w14:textId="77777777" w:rsidR="00DC6D2F" w:rsidRPr="00DC6D2F" w:rsidRDefault="00DC6D2F" w:rsidP="00DC6D2F">
      <w:pPr>
        <w:pStyle w:val="SemEspaamento"/>
        <w:ind w:left="-851" w:right="42"/>
        <w:jc w:val="both"/>
        <w:rPr>
          <w:sz w:val="4"/>
          <w:szCs w:val="4"/>
        </w:rPr>
      </w:pPr>
    </w:p>
    <w:p w14:paraId="31A2DE93" w14:textId="77777777" w:rsidR="00A02BFE" w:rsidRPr="00A02BFE" w:rsidRDefault="00A02BFE" w:rsidP="00A02BFE">
      <w:pPr>
        <w:pStyle w:val="SemEspaamento"/>
        <w:ind w:left="-851" w:right="42"/>
        <w:jc w:val="both"/>
        <w:rPr>
          <w:sz w:val="4"/>
          <w:szCs w:val="4"/>
        </w:rPr>
      </w:pPr>
    </w:p>
    <w:p w14:paraId="58BD3510" w14:textId="77777777" w:rsidR="002F2191" w:rsidRPr="00A52A66" w:rsidRDefault="002F2191" w:rsidP="002F2191"/>
    <w:p w14:paraId="57C3184A" w14:textId="3E5EC567" w:rsidR="00957873" w:rsidRDefault="008C782A">
      <w:pPr>
        <w:ind w:left="-810"/>
      </w:pPr>
      <w:r w:rsidRPr="00A52A66">
        <w:lastRenderedPageBreak/>
        <w:t xml:space="preserve">In a few sentences, explain </w:t>
      </w:r>
      <w:r w:rsidR="00A64A02" w:rsidRPr="00A52A66">
        <w:t xml:space="preserve">whether </w:t>
      </w:r>
      <w:r w:rsidRPr="00A52A66">
        <w:t xml:space="preserve">the project has </w:t>
      </w:r>
      <w:r w:rsidR="00A64A02" w:rsidRPr="00A52A66">
        <w:t>had a positive</w:t>
      </w:r>
      <w:r w:rsidRPr="00A52A66">
        <w:rPr>
          <w:b/>
          <w:bCs/>
        </w:rPr>
        <w:t xml:space="preserve"> human impact</w:t>
      </w:r>
      <w:r w:rsidR="00A64A02" w:rsidRPr="00A52A66">
        <w:t>.</w:t>
      </w:r>
      <w:r w:rsidRPr="00A52A66">
        <w:t xml:space="preserve"> </w:t>
      </w:r>
      <w:r w:rsidR="00A64A02" w:rsidRPr="00A52A66">
        <w:t>May include anecdotal stories about the project’s positive effect on the</w:t>
      </w:r>
      <w:r w:rsidRPr="00A52A66">
        <w:t xml:space="preserve"> </w:t>
      </w:r>
      <w:r w:rsidR="00A64A02" w:rsidRPr="00A52A66">
        <w:t xml:space="preserve">people’s </w:t>
      </w:r>
      <w:r w:rsidRPr="00A52A66">
        <w:t>lives</w:t>
      </w:r>
      <w:r w:rsidR="00A64A02" w:rsidRPr="00A52A66">
        <w:t>. Include</w:t>
      </w:r>
      <w:r w:rsidRPr="00A52A66">
        <w:t xml:space="preserve"> direct quotes</w:t>
      </w:r>
      <w:r w:rsidR="00793DE6" w:rsidRPr="00A52A66">
        <w:t xml:space="preserve"> </w:t>
      </w:r>
      <w:r w:rsidR="00A64A02" w:rsidRPr="00A52A66">
        <w:t>where possible</w:t>
      </w:r>
      <w:r w:rsidR="001B6DFD" w:rsidRPr="00A52A66">
        <w:t xml:space="preserve"> or weblinks to strategic communications pieces</w:t>
      </w:r>
      <w:r w:rsidR="00A64A02" w:rsidRPr="00A52A66">
        <w:t>.</w:t>
      </w:r>
      <w:r w:rsidRPr="00A52A66">
        <w:t xml:space="preserve"> (</w:t>
      </w:r>
      <w:r w:rsidR="001A3157" w:rsidRPr="00A52A66">
        <w:t>20</w:t>
      </w:r>
      <w:r w:rsidRPr="00A52A66">
        <w:t>00 character limit):</w:t>
      </w:r>
    </w:p>
    <w:p w14:paraId="4E49703A" w14:textId="77777777" w:rsidR="00A41596" w:rsidRPr="005F3240" w:rsidRDefault="00A41596">
      <w:pPr>
        <w:ind w:left="-810"/>
        <w:rPr>
          <w:sz w:val="8"/>
          <w:szCs w:val="8"/>
        </w:rPr>
      </w:pPr>
    </w:p>
    <w:p w14:paraId="1E1968D4" w14:textId="15E69C51" w:rsidR="00433487" w:rsidRPr="00A41596" w:rsidRDefault="00433487" w:rsidP="00A41596">
      <w:pPr>
        <w:pStyle w:val="SemEspaamento"/>
        <w:ind w:left="-851" w:right="42"/>
        <w:jc w:val="both"/>
      </w:pPr>
      <w:r>
        <w:t>The local cross-border protection actors (Entry Point Authorities, members of the Vigilance Committees, Children's Parliament, AMIC and SOS Children Talibés) created and supported by the project  facilitate surveillance, and production of the data on human trafficking collected at the national borders. To this end, positive results have already been seen, as the border surveillance committee of Cambadju, in Bafatá reported on 7 November 2021, through one of the donated phones, a possible case of illicit transportation of children that led to the interception of a group of 40 children (31 girls and 9 boys) who were being transported to Senegal and the arrest of 33 peop</w:t>
      </w:r>
      <w:r w:rsidR="00A41596">
        <w:t>le, presumably Koranic Masters.</w:t>
      </w:r>
      <w:r w:rsidR="005F3240">
        <w:t xml:space="preserve"> </w:t>
      </w:r>
      <w:r w:rsidRPr="00A41596">
        <w:rPr>
          <w:rFonts w:asciiTheme="minorHAnsi" w:hAnsiTheme="minorHAnsi"/>
        </w:rPr>
        <w:t xml:space="preserve">The data from these victims were entered in the reference file installed in the electronic devices delivered to the Migration and Borders Services so that later the </w:t>
      </w:r>
      <w:r w:rsidR="00C760C0">
        <w:rPr>
          <w:rFonts w:asciiTheme="minorHAnsi" w:hAnsiTheme="minorHAnsi"/>
        </w:rPr>
        <w:t>National Women and Children Institute (</w:t>
      </w:r>
      <w:r w:rsidRPr="00A41596">
        <w:rPr>
          <w:rFonts w:asciiTheme="minorHAnsi" w:hAnsiTheme="minorHAnsi"/>
        </w:rPr>
        <w:t>IMC</w:t>
      </w:r>
      <w:r w:rsidR="00C760C0">
        <w:rPr>
          <w:rFonts w:asciiTheme="minorHAnsi" w:hAnsiTheme="minorHAnsi"/>
        </w:rPr>
        <w:t>)</w:t>
      </w:r>
      <w:r w:rsidRPr="00A41596">
        <w:rPr>
          <w:rFonts w:asciiTheme="minorHAnsi" w:hAnsiTheme="minorHAnsi"/>
        </w:rPr>
        <w:t xml:space="preserve"> can compile and process this and other data from other borders</w:t>
      </w:r>
      <w:r w:rsidR="00C760C0">
        <w:rPr>
          <w:rFonts w:asciiTheme="minorHAnsi" w:hAnsiTheme="minorHAnsi"/>
        </w:rPr>
        <w:t>.</w:t>
      </w:r>
    </w:p>
    <w:p w14:paraId="54C7CF04" w14:textId="77777777" w:rsidR="00433487" w:rsidRPr="005F3240" w:rsidRDefault="00433487" w:rsidP="008165CA">
      <w:pPr>
        <w:ind w:left="-810"/>
        <w:rPr>
          <w:sz w:val="8"/>
          <w:szCs w:val="8"/>
        </w:rPr>
      </w:pPr>
    </w:p>
    <w:p w14:paraId="376682EF" w14:textId="2F46F347" w:rsidR="007849EF" w:rsidRPr="008165CA" w:rsidRDefault="007849EF" w:rsidP="00A41596">
      <w:pPr>
        <w:ind w:left="-851"/>
        <w:jc w:val="both"/>
        <w:rPr>
          <w:rFonts w:asciiTheme="minorHAnsi" w:hAnsiTheme="minorHAnsi"/>
          <w:sz w:val="22"/>
          <w:szCs w:val="22"/>
        </w:rPr>
      </w:pPr>
      <w:r w:rsidRPr="008165CA">
        <w:rPr>
          <w:rFonts w:asciiTheme="minorHAnsi" w:hAnsiTheme="minorHAnsi"/>
          <w:sz w:val="22"/>
          <w:szCs w:val="22"/>
        </w:rPr>
        <w:t xml:space="preserve">National seminar on financial investigation for law enforcement authorities (7 September 2021) </w:t>
      </w:r>
      <w:hyperlink r:id="rId14" w:history="1">
        <w:r w:rsidRPr="008165CA">
          <w:rPr>
            <w:rStyle w:val="Hiperligao"/>
            <w:rFonts w:asciiTheme="minorHAnsi" w:hAnsiTheme="minorHAnsi"/>
            <w:sz w:val="22"/>
            <w:szCs w:val="22"/>
          </w:rPr>
          <w:t>https://www.odemocratagb.com/?p=32808</w:t>
        </w:r>
      </w:hyperlink>
      <w:r w:rsidRPr="008165CA">
        <w:rPr>
          <w:rFonts w:asciiTheme="minorHAnsi" w:hAnsiTheme="minorHAnsi"/>
          <w:sz w:val="22"/>
          <w:szCs w:val="22"/>
        </w:rPr>
        <w:t>).</w:t>
      </w:r>
    </w:p>
    <w:p w14:paraId="6F5E28FE" w14:textId="77777777" w:rsidR="007849EF" w:rsidRDefault="007849EF" w:rsidP="00206D45">
      <w:pPr>
        <w:ind w:hanging="810"/>
        <w:jc w:val="both"/>
        <w:rPr>
          <w:rFonts w:asciiTheme="minorHAnsi" w:hAnsiTheme="minorHAnsi"/>
          <w:sz w:val="22"/>
          <w:szCs w:val="22"/>
        </w:rPr>
      </w:pPr>
    </w:p>
    <w:p w14:paraId="629B9182"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52A1254" w14:textId="77777777" w:rsidR="00F5504F" w:rsidRPr="00627A1C" w:rsidRDefault="00F5504F" w:rsidP="00323ABC">
      <w:pPr>
        <w:ind w:left="-720"/>
        <w:rPr>
          <w:b/>
          <w:u w:val="single"/>
        </w:rPr>
      </w:pPr>
    </w:p>
    <w:p w14:paraId="3A0DDBC9"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40B57B7F" w14:textId="77777777" w:rsidR="008364E5" w:rsidRPr="00627A1C" w:rsidRDefault="008364E5" w:rsidP="003D4CD7">
      <w:pPr>
        <w:ind w:left="-810"/>
        <w:rPr>
          <w:i/>
        </w:rPr>
      </w:pPr>
    </w:p>
    <w:p w14:paraId="0D4F89F0"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3F6B64A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16011172" w14:textId="77777777" w:rsidR="00287878" w:rsidRPr="00627A1C" w:rsidRDefault="00287878" w:rsidP="008364E5">
      <w:pPr>
        <w:rPr>
          <w:i/>
        </w:rPr>
      </w:pPr>
    </w:p>
    <w:p w14:paraId="4206ED6C"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1ECF2C1E" w14:textId="77777777" w:rsidR="003D4CD7" w:rsidRPr="00627A1C" w:rsidRDefault="003D4CD7" w:rsidP="0078600B">
      <w:pPr>
        <w:rPr>
          <w:b/>
          <w:u w:val="single"/>
        </w:rPr>
      </w:pPr>
    </w:p>
    <w:p w14:paraId="0CDC333F" w14:textId="77777777"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915B27">
        <w:rPr>
          <w:b/>
        </w:rPr>
        <w:fldChar w:fldCharType="begin">
          <w:ffData>
            <w:name w:val="Text33"/>
            <w:enabled/>
            <w:calcOnExit w:val="0"/>
            <w:textInput>
              <w:default w:val="Rule of Law and Security Institutions are able to more effectively prevent, investigate and prosecute drug trafficking and transnational organized crime, reducing the country’s sources of fragility "/>
            </w:textInput>
          </w:ffData>
        </w:fldChar>
      </w:r>
      <w:bookmarkStart w:id="6" w:name="Text33"/>
      <w:r w:rsidR="00C94F32">
        <w:rPr>
          <w:b/>
        </w:rPr>
        <w:instrText xml:space="preserve"> FORMTEXT </w:instrText>
      </w:r>
      <w:r w:rsidR="00915B27">
        <w:rPr>
          <w:b/>
        </w:rPr>
      </w:r>
      <w:r w:rsidR="00915B27">
        <w:rPr>
          <w:b/>
        </w:rPr>
        <w:fldChar w:fldCharType="separate"/>
      </w:r>
      <w:r w:rsidR="00C94F32">
        <w:rPr>
          <w:b/>
          <w:noProof/>
        </w:rPr>
        <w:t xml:space="preserve">Rule of Law and Security Institutions are able to more effectively prevent, investigate and prosecute drug trafficking and transnational organized crime, reducing the country’s sources of fragility </w:t>
      </w:r>
      <w:r w:rsidR="00915B27">
        <w:rPr>
          <w:b/>
        </w:rPr>
        <w:fldChar w:fldCharType="end"/>
      </w:r>
      <w:bookmarkEnd w:id="6"/>
    </w:p>
    <w:p w14:paraId="76A6C223" w14:textId="77777777" w:rsidR="00D3351A" w:rsidRPr="00627A1C" w:rsidRDefault="00D3351A" w:rsidP="00323ABC">
      <w:pPr>
        <w:ind w:left="-720"/>
        <w:rPr>
          <w:b/>
        </w:rPr>
      </w:pPr>
    </w:p>
    <w:p w14:paraId="7672B924" w14:textId="67B6EFD1"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381530">
        <w:rPr>
          <w:b/>
        </w:rPr>
        <w:t xml:space="preserve">Partially on track </w:t>
      </w:r>
    </w:p>
    <w:p w14:paraId="2A3580CE" w14:textId="77777777" w:rsidR="002E1CED" w:rsidRPr="00627A1C" w:rsidRDefault="002E1CED" w:rsidP="00323ABC">
      <w:pPr>
        <w:ind w:left="-720"/>
        <w:jc w:val="both"/>
        <w:rPr>
          <w:b/>
        </w:rPr>
      </w:pPr>
    </w:p>
    <w:p w14:paraId="619B39DF"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200563F5" w14:textId="77777777" w:rsidR="00627A1C" w:rsidRDefault="00627A1C" w:rsidP="00381530">
      <w:pPr>
        <w:rPr>
          <w:b/>
        </w:rPr>
      </w:pPr>
    </w:p>
    <w:p w14:paraId="68F27C0E" w14:textId="77777777" w:rsidR="00494661" w:rsidRPr="00494661" w:rsidRDefault="00494661" w:rsidP="00A41596">
      <w:pPr>
        <w:ind w:left="-851"/>
        <w:jc w:val="both"/>
        <w:rPr>
          <w:rFonts w:ascii="Calibri" w:eastAsia="Calibri" w:hAnsi="Calibri"/>
          <w:sz w:val="22"/>
          <w:szCs w:val="22"/>
          <w:lang w:eastAsia="en-US"/>
        </w:rPr>
      </w:pPr>
      <w:r w:rsidRPr="00494661">
        <w:rPr>
          <w:rFonts w:ascii="Calibri" w:eastAsia="Calibri" w:hAnsi="Calibri"/>
          <w:sz w:val="22"/>
          <w:szCs w:val="22"/>
          <w:lang w:eastAsia="en-US"/>
        </w:rPr>
        <w:t>During the period under review the project pursued its technical assistance, capacity building and awareness raising campaign, including in partnership with civil society organizations and national NGOs.  The project has contributed to create a favourable environment for collaboration between the population and the authorities and introduced key insights and examined trends into several issues concerning the drug trafficking and transnational organized crime, human trafficking, and combat corruption. This also allowed to promote a better understanding of these illicit issues and acknowledge mechanism in place to better combat and respond.</w:t>
      </w:r>
    </w:p>
    <w:p w14:paraId="38864193" w14:textId="77777777" w:rsidR="00A41596" w:rsidRPr="005F3240" w:rsidRDefault="00A41596" w:rsidP="005F3240">
      <w:pPr>
        <w:rPr>
          <w:rFonts w:ascii="Calibri" w:eastAsia="Calibri" w:hAnsi="Calibri"/>
          <w:sz w:val="8"/>
          <w:szCs w:val="8"/>
          <w:lang w:eastAsia="en-US"/>
        </w:rPr>
      </w:pPr>
    </w:p>
    <w:p w14:paraId="1BAF8B46" w14:textId="4BE4F2D1" w:rsidR="00494661" w:rsidRPr="008165CA" w:rsidRDefault="006463EB" w:rsidP="00A53E4F">
      <w:pPr>
        <w:ind w:left="-851"/>
        <w:rPr>
          <w:rFonts w:ascii="Calibri" w:eastAsia="Calibri" w:hAnsi="Calibri"/>
          <w:b/>
          <w:sz w:val="22"/>
          <w:szCs w:val="22"/>
          <w:lang w:eastAsia="en-US"/>
        </w:rPr>
      </w:pPr>
      <w:r>
        <w:rPr>
          <w:rFonts w:ascii="Calibri" w:eastAsia="Calibri" w:hAnsi="Calibri"/>
          <w:b/>
          <w:sz w:val="22"/>
          <w:szCs w:val="22"/>
          <w:lang w:eastAsia="en-US"/>
        </w:rPr>
        <w:t>(Output 1.1) S</w:t>
      </w:r>
      <w:r w:rsidR="00494661" w:rsidRPr="008165CA">
        <w:rPr>
          <w:rFonts w:ascii="Calibri" w:eastAsia="Calibri" w:hAnsi="Calibri"/>
          <w:b/>
          <w:sz w:val="22"/>
          <w:szCs w:val="22"/>
          <w:lang w:eastAsia="en-US"/>
        </w:rPr>
        <w:t>trategic and operational coordination capacity of the National security agencies and justice sector to prevent, investigate and prosecute drug trafficking and transnational crime, improved through:</w:t>
      </w:r>
    </w:p>
    <w:p w14:paraId="1B2E3EB7" w14:textId="77777777" w:rsidR="00A41596" w:rsidRPr="00A53E4F" w:rsidRDefault="00A41596" w:rsidP="00A41596">
      <w:pPr>
        <w:ind w:left="-851"/>
        <w:jc w:val="both"/>
        <w:rPr>
          <w:rFonts w:ascii="Calibri" w:eastAsia="Calibri" w:hAnsi="Calibri"/>
          <w:sz w:val="8"/>
          <w:szCs w:val="8"/>
          <w:lang w:eastAsia="en-US"/>
        </w:rPr>
      </w:pPr>
    </w:p>
    <w:p w14:paraId="6ADF3B84" w14:textId="77777777" w:rsidR="005F3240" w:rsidRDefault="00494661" w:rsidP="00A41596">
      <w:pPr>
        <w:ind w:left="-851"/>
        <w:jc w:val="both"/>
        <w:rPr>
          <w:rFonts w:ascii="Calibri" w:eastAsia="Calibri" w:hAnsi="Calibri"/>
          <w:sz w:val="22"/>
          <w:szCs w:val="22"/>
          <w:lang w:eastAsia="en-US"/>
        </w:rPr>
      </w:pPr>
      <w:r w:rsidRPr="00A41596">
        <w:rPr>
          <w:rFonts w:ascii="Calibri" w:eastAsia="Calibri" w:hAnsi="Calibri"/>
          <w:sz w:val="22"/>
          <w:szCs w:val="22"/>
          <w:lang w:eastAsia="en-US"/>
        </w:rPr>
        <w:t xml:space="preserve">An international consultant was hired to provide advisory and mentoring support to the Ministry of Justice and the Judicial Police for the implementation of several key legislative/regulatory components of Guinea-Bissau's National Integrated Strategic Plan against drug trafficking and organized crime. </w:t>
      </w:r>
    </w:p>
    <w:p w14:paraId="387ECAF5" w14:textId="10FB29F9" w:rsidR="00494661" w:rsidRDefault="00494661" w:rsidP="00A41596">
      <w:pPr>
        <w:ind w:left="-851"/>
        <w:jc w:val="both"/>
        <w:rPr>
          <w:rFonts w:ascii="Calibri" w:eastAsia="Calibri" w:hAnsi="Calibri"/>
          <w:sz w:val="22"/>
          <w:szCs w:val="22"/>
          <w:lang w:eastAsia="en-US"/>
        </w:rPr>
      </w:pPr>
      <w:r w:rsidRPr="00A41596">
        <w:rPr>
          <w:rFonts w:ascii="Calibri" w:eastAsia="Calibri" w:hAnsi="Calibri"/>
          <w:sz w:val="22"/>
          <w:szCs w:val="22"/>
          <w:lang w:eastAsia="en-US"/>
        </w:rPr>
        <w:lastRenderedPageBreak/>
        <w:t>A desk review of existing laws and regulations was undertaken in August, followed in September by a mission to Bissau for a series of consultations with the Ministry of Justice, the Judicial Police, CENTIF (Guinea-Bissau's Financial Intelligence Unit), and the General Prosecutor's Office. This will led to the development of a legislative roadmap centred on Drug Control, Anti-Money Laundering and broader Transnational Organized Crime-related provisions, due to serve as a contribution toward a wider programme of legislative reforms currently being devised by the Ministry of Justice. (Activity 1.1.1)</w:t>
      </w:r>
    </w:p>
    <w:p w14:paraId="5828BCF5" w14:textId="77777777" w:rsidR="00A41596" w:rsidRPr="00A41596" w:rsidRDefault="00A41596" w:rsidP="00A41596">
      <w:pPr>
        <w:ind w:left="-851"/>
        <w:jc w:val="both"/>
        <w:rPr>
          <w:rFonts w:ascii="Calibri" w:eastAsia="Calibri" w:hAnsi="Calibri"/>
          <w:sz w:val="8"/>
          <w:szCs w:val="8"/>
          <w:lang w:eastAsia="en-US"/>
        </w:rPr>
      </w:pPr>
    </w:p>
    <w:p w14:paraId="733CDA43" w14:textId="2905C11A" w:rsidR="00494661" w:rsidRPr="00A41596" w:rsidRDefault="00494661" w:rsidP="00A41596">
      <w:pPr>
        <w:ind w:left="-851"/>
        <w:jc w:val="both"/>
        <w:rPr>
          <w:rFonts w:ascii="Calibri" w:eastAsia="Calibri" w:hAnsi="Calibri"/>
          <w:sz w:val="22"/>
          <w:szCs w:val="22"/>
          <w:lang w:eastAsia="en-US"/>
        </w:rPr>
      </w:pPr>
      <w:r w:rsidRPr="00A41596">
        <w:rPr>
          <w:rFonts w:ascii="Calibri" w:eastAsia="Calibri" w:hAnsi="Calibri"/>
          <w:sz w:val="22"/>
          <w:szCs w:val="22"/>
          <w:lang w:eastAsia="en-US"/>
        </w:rPr>
        <w:t>The project has realized the census of 722 Talibés children in Bissau within twelve Koranic schools in Bissau between July and October 2021 and will be presented in the national and three regional conferences in November 2021. This census has contributed to the knowledge about the mobility and social situation of Talibés children in Koranic schools within Guinea-Bissau, thus allowing the Institute for Women and Children (IMC) to adopt protection strategies for these children. Actually, the so-called Talibé</w:t>
      </w:r>
      <w:r w:rsidR="007868BC" w:rsidRPr="00A41596">
        <w:rPr>
          <w:rFonts w:ascii="Calibri" w:eastAsia="Calibri" w:hAnsi="Calibri"/>
          <w:sz w:val="22"/>
          <w:szCs w:val="22"/>
          <w:lang w:eastAsia="en-US"/>
        </w:rPr>
        <w:t>s</w:t>
      </w:r>
      <w:r w:rsidRPr="00A41596">
        <w:rPr>
          <w:rFonts w:ascii="Calibri" w:eastAsia="Calibri" w:hAnsi="Calibri"/>
          <w:sz w:val="22"/>
          <w:szCs w:val="22"/>
          <w:lang w:eastAsia="en-US"/>
        </w:rPr>
        <w:t xml:space="preserve"> children are recruited in the communities, often by false Koranic masters, and taken to other countries with Senegal as the main destination where they are placed in a situation of begging to satisfy the purposes of their masters. The same situation occurred in 10 of the 22 existing Koranic schools in Bissau. These children have no rights such as the right to health, education, etc. and are exploited, physically and emotionally abused and subjected to degrading living conditions. Following this intervention, the project has supported the National Children's Parliament in their Parliamentary Journeys and advocacy training, enabling them to advocate to the Members of Parliament and the President of the Republic in favour of children's rights and in the fight against the begging to which </w:t>
      </w:r>
      <w:r w:rsidR="00A41596">
        <w:rPr>
          <w:rFonts w:ascii="Calibri" w:eastAsia="Calibri" w:hAnsi="Calibri"/>
          <w:sz w:val="22"/>
          <w:szCs w:val="22"/>
          <w:lang w:eastAsia="en-US"/>
        </w:rPr>
        <w:t>Talibés children are subjected (Activity 1.1.2).</w:t>
      </w:r>
    </w:p>
    <w:p w14:paraId="3BE85B18" w14:textId="77777777" w:rsidR="00185B72" w:rsidRPr="00A41596" w:rsidRDefault="00185B72" w:rsidP="00A41596">
      <w:pPr>
        <w:ind w:left="-851"/>
        <w:jc w:val="both"/>
        <w:rPr>
          <w:rFonts w:ascii="Calibri" w:eastAsia="Calibri" w:hAnsi="Calibri"/>
          <w:sz w:val="8"/>
          <w:szCs w:val="8"/>
          <w:lang w:eastAsia="en-US"/>
        </w:rPr>
      </w:pPr>
    </w:p>
    <w:p w14:paraId="20446755" w14:textId="069CD82E" w:rsidR="00494661" w:rsidRDefault="00494661" w:rsidP="00A41596">
      <w:pPr>
        <w:ind w:left="-851"/>
        <w:jc w:val="both"/>
        <w:rPr>
          <w:rFonts w:ascii="Calibri" w:eastAsia="Calibri" w:hAnsi="Calibri"/>
          <w:sz w:val="22"/>
          <w:szCs w:val="22"/>
          <w:lang w:eastAsia="en-US"/>
        </w:rPr>
      </w:pPr>
      <w:r w:rsidRPr="00A41596">
        <w:rPr>
          <w:rFonts w:ascii="Calibri" w:eastAsia="Calibri" w:hAnsi="Calibri"/>
          <w:sz w:val="22"/>
          <w:szCs w:val="22"/>
          <w:lang w:eastAsia="en-US"/>
        </w:rPr>
        <w:t xml:space="preserve">An international consultant has been recruited </w:t>
      </w:r>
      <w:r w:rsidR="000810D7">
        <w:rPr>
          <w:rFonts w:ascii="Calibri" w:eastAsia="Calibri" w:hAnsi="Calibri"/>
          <w:sz w:val="22"/>
          <w:szCs w:val="22"/>
          <w:lang w:eastAsia="en-US"/>
        </w:rPr>
        <w:t xml:space="preserve">in July 2021 </w:t>
      </w:r>
      <w:r w:rsidRPr="00A41596">
        <w:rPr>
          <w:rFonts w:ascii="Calibri" w:eastAsia="Calibri" w:hAnsi="Calibri"/>
          <w:sz w:val="22"/>
          <w:szCs w:val="22"/>
          <w:lang w:eastAsia="en-US"/>
        </w:rPr>
        <w:t>to assist with the implementation of the National Strategic Plan (2019-2021) to prevent and protect victims of hu</w:t>
      </w:r>
      <w:r w:rsidR="00A41596">
        <w:rPr>
          <w:rFonts w:ascii="Calibri" w:eastAsia="Calibri" w:hAnsi="Calibri"/>
          <w:sz w:val="22"/>
          <w:szCs w:val="22"/>
          <w:lang w:eastAsia="en-US"/>
        </w:rPr>
        <w:t>man trafficking</w:t>
      </w:r>
      <w:r w:rsidRPr="00A41596">
        <w:rPr>
          <w:rFonts w:ascii="Calibri" w:eastAsia="Calibri" w:hAnsi="Calibri"/>
          <w:sz w:val="22"/>
          <w:szCs w:val="22"/>
          <w:lang w:eastAsia="en-US"/>
        </w:rPr>
        <w:t>. With this consultancy it was possible to carry out a dialogue and sensitization work among 93 of Koranic Masters and their assistants, which facilitated the creation of 4 Associations of Koranic Masters mobilized against the harmful practices associated with child trafficking and begging, in Bissau, Bafata, Gabu and Buba (covering the regions of Quinara and Tombali)</w:t>
      </w:r>
      <w:r w:rsidR="00A41596">
        <w:rPr>
          <w:rFonts w:ascii="Calibri" w:eastAsia="Calibri" w:hAnsi="Calibri"/>
          <w:sz w:val="22"/>
          <w:szCs w:val="22"/>
          <w:lang w:eastAsia="en-US"/>
        </w:rPr>
        <w:t xml:space="preserve"> (Activity 1.1.2).</w:t>
      </w:r>
    </w:p>
    <w:p w14:paraId="284131DB" w14:textId="77777777" w:rsidR="00A41596" w:rsidRPr="00A41596" w:rsidRDefault="00A41596" w:rsidP="00A41596">
      <w:pPr>
        <w:ind w:left="-851"/>
        <w:jc w:val="both"/>
        <w:rPr>
          <w:rFonts w:ascii="Calibri" w:eastAsia="Calibri" w:hAnsi="Calibri"/>
          <w:sz w:val="8"/>
          <w:szCs w:val="8"/>
          <w:lang w:eastAsia="en-US"/>
        </w:rPr>
      </w:pPr>
    </w:p>
    <w:p w14:paraId="2736453E" w14:textId="66A8B9C3" w:rsidR="00A53E4F" w:rsidRDefault="00A53E4F" w:rsidP="00A41596">
      <w:pPr>
        <w:ind w:left="-851"/>
        <w:jc w:val="both"/>
        <w:rPr>
          <w:rFonts w:ascii="Calibri" w:eastAsia="Calibri" w:hAnsi="Calibri"/>
          <w:sz w:val="22"/>
          <w:szCs w:val="22"/>
          <w:lang w:eastAsia="en-US"/>
        </w:rPr>
      </w:pPr>
      <w:r w:rsidRPr="00A53E4F">
        <w:rPr>
          <w:rFonts w:ascii="Calibri" w:eastAsia="Calibri" w:hAnsi="Calibri"/>
          <w:sz w:val="22"/>
          <w:szCs w:val="22"/>
          <w:lang w:eastAsia="en-US"/>
        </w:rPr>
        <w:t>Also, consultations were held with the IMC to refine the scope of the project assistance toward the development of a National Strategy against Trafficking in Persons. At the request of the IMC, it was agreed the initial intention (dating back to the previous Government and IMC management) to extend that assistance through an international consultant should be revised to accommodate a national consultancy as well, and thus secure a greater degree of “localization”. Both consultancies, to support the development of a National Strategy against Trafficking in Persons, are expected to be initiated and rolled out within the first quarter of 2022 (Activity 1.1.2).</w:t>
      </w:r>
    </w:p>
    <w:p w14:paraId="680B30DD" w14:textId="77777777" w:rsidR="00A53E4F" w:rsidRPr="00A53E4F" w:rsidRDefault="00A53E4F" w:rsidP="00A41596">
      <w:pPr>
        <w:ind w:left="-851"/>
        <w:jc w:val="both"/>
        <w:rPr>
          <w:rFonts w:ascii="Calibri" w:eastAsia="Calibri" w:hAnsi="Calibri"/>
          <w:sz w:val="8"/>
          <w:szCs w:val="8"/>
          <w:lang w:eastAsia="en-US"/>
        </w:rPr>
      </w:pPr>
    </w:p>
    <w:p w14:paraId="7B3CFA26" w14:textId="77777777" w:rsidR="00494661" w:rsidRPr="00A41596" w:rsidRDefault="00494661" w:rsidP="00A41596">
      <w:pPr>
        <w:ind w:left="-851"/>
        <w:jc w:val="both"/>
        <w:rPr>
          <w:rFonts w:ascii="Calibri" w:eastAsia="Calibri" w:hAnsi="Calibri"/>
          <w:sz w:val="22"/>
          <w:szCs w:val="22"/>
          <w:lang w:eastAsia="en-US"/>
        </w:rPr>
      </w:pPr>
      <w:r w:rsidRPr="00A41596">
        <w:rPr>
          <w:rFonts w:ascii="Calibri" w:eastAsia="Calibri" w:hAnsi="Calibri"/>
          <w:sz w:val="22"/>
          <w:szCs w:val="22"/>
          <w:lang w:eastAsia="en-US"/>
        </w:rPr>
        <w:t>The project continued to provide mentoring assistance to the judicial police, both at senior management and operational level. Those interactions allowed the project to maintain a knowledge management follow on and provide tailor-made support.  Several IT materials, including a portable X-Ray for the Joint Airport Interdiction Task Force were provided to the Judicial Police to maintain some  form of autonomy vis-à-vis other entities also present on the airport platform. (Activity 1.1.4).</w:t>
      </w:r>
    </w:p>
    <w:p w14:paraId="0C9C7618" w14:textId="217767B3" w:rsidR="00494661" w:rsidRPr="003E4D77" w:rsidRDefault="00A41596" w:rsidP="00A41596">
      <w:pPr>
        <w:ind w:left="-851"/>
        <w:jc w:val="both"/>
        <w:rPr>
          <w:rFonts w:ascii="Calibri" w:eastAsia="Calibri" w:hAnsi="Calibri"/>
          <w:sz w:val="22"/>
          <w:szCs w:val="22"/>
          <w:lang w:val="en-US" w:eastAsia="en-US"/>
        </w:rPr>
      </w:pPr>
      <w:r w:rsidRPr="003E4D77">
        <w:rPr>
          <w:rFonts w:ascii="Calibri" w:eastAsia="Calibri" w:hAnsi="Calibri"/>
          <w:sz w:val="22"/>
          <w:szCs w:val="22"/>
          <w:lang w:val="en-US" w:eastAsia="en-US"/>
        </w:rPr>
        <w:t>References:</w:t>
      </w:r>
      <w:r w:rsidR="00494661" w:rsidRPr="003E4D77">
        <w:rPr>
          <w:rFonts w:ascii="Calibri" w:eastAsia="Calibri" w:hAnsi="Calibri"/>
          <w:sz w:val="22"/>
          <w:szCs w:val="22"/>
          <w:lang w:val="en-US" w:eastAsia="en-US"/>
        </w:rPr>
        <w:t>https://www.pjguinebissau.com/artigos/correio-de-droga-detido-pela-uncd/Drug seizures;</w:t>
      </w:r>
      <w:r w:rsidRPr="003E4D77">
        <w:rPr>
          <w:rFonts w:ascii="Calibri" w:eastAsia="Calibri" w:hAnsi="Calibri"/>
          <w:sz w:val="22"/>
          <w:szCs w:val="22"/>
          <w:lang w:val="en-US" w:eastAsia="en-US"/>
        </w:rPr>
        <w:t xml:space="preserve"> </w:t>
      </w:r>
      <w:r w:rsidR="00494661" w:rsidRPr="003E4D77">
        <w:rPr>
          <w:rFonts w:ascii="Calibri" w:eastAsia="Calibri" w:hAnsi="Calibri"/>
          <w:sz w:val="22"/>
          <w:szCs w:val="22"/>
          <w:lang w:val="en-US" w:eastAsia="en-US"/>
        </w:rPr>
        <w:t>https://www.pjguinebissau.com/artigos/pj-detem-guineense-com-110-capsulas-de-droga-no-estomago-no-aeroporto-de-bissau/</w:t>
      </w:r>
    </w:p>
    <w:p w14:paraId="7CD20176" w14:textId="77777777" w:rsidR="00A41596" w:rsidRPr="00A41596" w:rsidRDefault="00A41596" w:rsidP="00A41596">
      <w:pPr>
        <w:ind w:left="-851"/>
        <w:jc w:val="both"/>
        <w:rPr>
          <w:sz w:val="8"/>
          <w:szCs w:val="8"/>
        </w:rPr>
      </w:pPr>
    </w:p>
    <w:p w14:paraId="33B152FD" w14:textId="77777777" w:rsidR="0002307B" w:rsidRPr="00A41596" w:rsidRDefault="00494661" w:rsidP="00A41596">
      <w:pPr>
        <w:ind w:left="-851"/>
        <w:jc w:val="both"/>
        <w:rPr>
          <w:rFonts w:asciiTheme="minorHAnsi" w:hAnsiTheme="minorHAnsi"/>
          <w:sz w:val="22"/>
          <w:szCs w:val="22"/>
        </w:rPr>
      </w:pPr>
      <w:r w:rsidRPr="00A41596">
        <w:rPr>
          <w:rFonts w:asciiTheme="minorHAnsi" w:hAnsiTheme="minorHAnsi"/>
          <w:sz w:val="22"/>
          <w:szCs w:val="22"/>
        </w:rPr>
        <w:t>A workshop was organized in June 2021 with 19 participants including 4 women to support the conduct of a Self-Assessment Checklist (SACL) exercise to allow Guinea-Bissau finalizing a report due for submission to the UN Convention against Corruption (UNCAC) review mechanism. An Ethics and Integrity Manual has also been drafted and is currently being finalized. All core sections of the Self-Assessment Checklist (SACL) were completed by the end of this workshop. National counterparts were encouraged to complement with statistics and practical examples of initiatives taken/measures implemented, to further strengthen their document. (Activity 1.1.6)</w:t>
      </w:r>
    </w:p>
    <w:p w14:paraId="2376261D" w14:textId="77777777" w:rsidR="00A41596" w:rsidRPr="00A41596" w:rsidRDefault="00A41596" w:rsidP="00A41596">
      <w:pPr>
        <w:pStyle w:val="SemEspaamento"/>
        <w:ind w:left="-851" w:right="42"/>
        <w:jc w:val="both"/>
        <w:rPr>
          <w:sz w:val="12"/>
          <w:szCs w:val="12"/>
        </w:rPr>
      </w:pPr>
    </w:p>
    <w:p w14:paraId="7D52E8C2" w14:textId="28B9D074" w:rsidR="00811E5E" w:rsidRPr="00A41596" w:rsidRDefault="007002F3" w:rsidP="00A41596">
      <w:pPr>
        <w:pStyle w:val="SemEspaamento"/>
        <w:ind w:left="-851" w:right="42"/>
        <w:jc w:val="both"/>
        <w:rPr>
          <w:highlight w:val="yellow"/>
        </w:rPr>
      </w:pPr>
      <w:r w:rsidRPr="00A41596">
        <w:t>A team of consultant</w:t>
      </w:r>
      <w:r w:rsidR="00C069AA" w:rsidRPr="00A41596">
        <w:t>s</w:t>
      </w:r>
      <w:r w:rsidRPr="00A41596">
        <w:t xml:space="preserve"> (</w:t>
      </w:r>
      <w:r w:rsidR="0002307B" w:rsidRPr="00A41596">
        <w:t>an international and a national</w:t>
      </w:r>
      <w:r w:rsidRPr="00A41596">
        <w:t xml:space="preserve">) is </w:t>
      </w:r>
      <w:r w:rsidR="002665AD" w:rsidRPr="00A41596">
        <w:t>supporting the</w:t>
      </w:r>
      <w:r w:rsidR="0002307B" w:rsidRPr="00A41596">
        <w:t xml:space="preserve"> elaboration of a National Anti-Corruption Strategy</w:t>
      </w:r>
      <w:r w:rsidR="000810D7">
        <w:t xml:space="preserve"> in July 2021</w:t>
      </w:r>
      <w:r w:rsidR="0002307B" w:rsidRPr="00A41596">
        <w:t xml:space="preserve">. </w:t>
      </w:r>
      <w:r w:rsidR="00F51A31" w:rsidRPr="00A41596">
        <w:t xml:space="preserve">It’s a crucial step </w:t>
      </w:r>
      <w:r w:rsidR="0002307B" w:rsidRPr="00A41596">
        <w:t xml:space="preserve">to improve transparency and confidence within the rule of law institutions and the population in line with the national policies and international instruments. </w:t>
      </w:r>
      <w:r w:rsidR="002665AD" w:rsidRPr="00A41596">
        <w:t>A draft</w:t>
      </w:r>
      <w:r w:rsidR="0002307B" w:rsidRPr="00A41596">
        <w:t xml:space="preserve"> </w:t>
      </w:r>
      <w:r w:rsidRPr="00A41596">
        <w:t xml:space="preserve">of the strategy </w:t>
      </w:r>
      <w:r w:rsidR="0002307B" w:rsidRPr="00A41596">
        <w:t xml:space="preserve">is currently under review with national partners and </w:t>
      </w:r>
      <w:r w:rsidR="00B50D5E" w:rsidRPr="00A41596">
        <w:t xml:space="preserve">has been </w:t>
      </w:r>
      <w:r w:rsidR="0002307B" w:rsidRPr="00A41596">
        <w:lastRenderedPageBreak/>
        <w:t>validate</w:t>
      </w:r>
      <w:r w:rsidR="00B50D5E" w:rsidRPr="00A41596">
        <w:t>d</w:t>
      </w:r>
      <w:r w:rsidR="0002307B" w:rsidRPr="00A41596">
        <w:t xml:space="preserve"> through a workshop</w:t>
      </w:r>
      <w:r w:rsidR="000810D7">
        <w:t xml:space="preserve"> held on 9 November</w:t>
      </w:r>
      <w:r w:rsidR="0002307B" w:rsidRPr="00A41596">
        <w:t xml:space="preserve"> </w:t>
      </w:r>
      <w:r w:rsidR="000810D7">
        <w:t xml:space="preserve">2021 </w:t>
      </w:r>
      <w:r w:rsidR="00494661" w:rsidRPr="00A41596">
        <w:t>with the participation of representatives from the Government, judicial sector, security forces, CSO community leaders and traditional authorities</w:t>
      </w:r>
      <w:r w:rsidR="004A1D24" w:rsidRPr="00A41596">
        <w:t xml:space="preserve">. </w:t>
      </w:r>
      <w:r w:rsidR="00494661" w:rsidRPr="00A41596">
        <w:t>It is expected that the strategy will be approved by the government by the end of the year</w:t>
      </w:r>
      <w:r w:rsidR="00A41596">
        <w:t xml:space="preserve"> </w:t>
      </w:r>
      <w:r w:rsidR="0002307B" w:rsidRPr="00A41596">
        <w:t>(Activity 1.1.6)</w:t>
      </w:r>
      <w:r w:rsidR="00A41596">
        <w:t>.</w:t>
      </w:r>
    </w:p>
    <w:p w14:paraId="2341A6DA" w14:textId="77777777" w:rsidR="00A41596" w:rsidRPr="00A41596" w:rsidRDefault="00A41596" w:rsidP="00A41596">
      <w:pPr>
        <w:pStyle w:val="SemEspaamento"/>
        <w:ind w:left="-851" w:right="42"/>
        <w:jc w:val="both"/>
        <w:rPr>
          <w:sz w:val="8"/>
          <w:szCs w:val="8"/>
        </w:rPr>
      </w:pPr>
    </w:p>
    <w:p w14:paraId="6BE8D20A" w14:textId="3463DECF" w:rsidR="00811E5E" w:rsidRPr="00A41596" w:rsidRDefault="00F571C2" w:rsidP="00A41596">
      <w:pPr>
        <w:pStyle w:val="SemEspaamento"/>
        <w:ind w:left="-851" w:right="42"/>
        <w:jc w:val="both"/>
      </w:pPr>
      <w:r w:rsidRPr="00A41596">
        <w:t xml:space="preserve">In April 2021, </w:t>
      </w:r>
      <w:r w:rsidR="007002F3" w:rsidRPr="00A41596">
        <w:t xml:space="preserve">the </w:t>
      </w:r>
      <w:r w:rsidR="002665AD" w:rsidRPr="00A41596">
        <w:t>project supported</w:t>
      </w:r>
      <w:r w:rsidRPr="00A41596">
        <w:t xml:space="preserve"> the “Training of technicians from the General Inspection of Justice Services”, building capacity of inspectors from the Ministry of Justice to improve transparency and effectiveness in rule of law institutions (</w:t>
      </w:r>
      <w:r w:rsidR="006E01D5" w:rsidRPr="00A41596">
        <w:t>8</w:t>
      </w:r>
      <w:r w:rsidRPr="00A41596">
        <w:t xml:space="preserve"> </w:t>
      </w:r>
      <w:r w:rsidR="004852B7" w:rsidRPr="00A41596">
        <w:t xml:space="preserve">participants </w:t>
      </w:r>
      <w:r w:rsidR="00BD1485" w:rsidRPr="00A41596">
        <w:t xml:space="preserve">including </w:t>
      </w:r>
      <w:r w:rsidR="006E01D5" w:rsidRPr="00A41596">
        <w:t>3</w:t>
      </w:r>
      <w:r w:rsidR="00BD1485" w:rsidRPr="00A41596">
        <w:t xml:space="preserve"> Women </w:t>
      </w:r>
      <w:r w:rsidR="004852B7" w:rsidRPr="00A41596">
        <w:t>trained</w:t>
      </w:r>
      <w:r w:rsidRPr="00A41596">
        <w:t xml:space="preserve"> by CENFOJ specialists). (Activity 1.1.7) </w:t>
      </w:r>
    </w:p>
    <w:p w14:paraId="4D78E6E5" w14:textId="77777777" w:rsidR="00DF020F" w:rsidRDefault="00DF020F" w:rsidP="00B209C9">
      <w:pPr>
        <w:pStyle w:val="SemEspaamento"/>
        <w:ind w:left="-851" w:right="42"/>
        <w:jc w:val="both"/>
        <w:rPr>
          <w:b/>
        </w:rPr>
      </w:pPr>
    </w:p>
    <w:p w14:paraId="2BC90ACB" w14:textId="17D08905" w:rsidR="00B209C9" w:rsidRPr="00CA085B" w:rsidRDefault="007F6AF1" w:rsidP="00CA085B">
      <w:pPr>
        <w:pStyle w:val="SemEspaamento"/>
        <w:ind w:left="-851" w:right="42"/>
        <w:jc w:val="both"/>
        <w:rPr>
          <w:b/>
        </w:rPr>
      </w:pPr>
      <w:r>
        <w:rPr>
          <w:b/>
        </w:rPr>
        <w:t>(Outpu</w:t>
      </w:r>
      <w:r w:rsidR="006463EB">
        <w:rPr>
          <w:b/>
        </w:rPr>
        <w:t>t 1.2) C</w:t>
      </w:r>
      <w:r w:rsidR="00B209C9" w:rsidRPr="00444154">
        <w:rPr>
          <w:b/>
        </w:rPr>
        <w:t>apacity of the Security and justic</w:t>
      </w:r>
      <w:r w:rsidR="00444154" w:rsidRPr="00444154">
        <w:rPr>
          <w:b/>
        </w:rPr>
        <w:t xml:space="preserve">e sector institutions to effectively </w:t>
      </w:r>
      <w:r w:rsidR="00B209C9" w:rsidRPr="00444154">
        <w:rPr>
          <w:b/>
        </w:rPr>
        <w:t xml:space="preserve">investigate, </w:t>
      </w:r>
      <w:r w:rsidR="00444154" w:rsidRPr="00444154">
        <w:rPr>
          <w:b/>
        </w:rPr>
        <w:t>prosecute and</w:t>
      </w:r>
      <w:r w:rsidR="00B209C9" w:rsidRPr="00444154">
        <w:rPr>
          <w:b/>
        </w:rPr>
        <w:t xml:space="preserve"> </w:t>
      </w:r>
      <w:r w:rsidR="00444154" w:rsidRPr="00444154">
        <w:rPr>
          <w:b/>
        </w:rPr>
        <w:t>adjudicate drug trafficking/transnational organized crime cases strengthened</w:t>
      </w:r>
      <w:r w:rsidR="00444154">
        <w:rPr>
          <w:b/>
        </w:rPr>
        <w:t xml:space="preserve"> </w:t>
      </w:r>
      <w:r w:rsidR="00923726">
        <w:rPr>
          <w:b/>
        </w:rPr>
        <w:t>by means of</w:t>
      </w:r>
      <w:r>
        <w:rPr>
          <w:b/>
        </w:rPr>
        <w:t>:</w:t>
      </w:r>
    </w:p>
    <w:p w14:paraId="5E977E73" w14:textId="2F480DBA" w:rsidR="007002F3" w:rsidRDefault="006460F1" w:rsidP="00B209C9">
      <w:pPr>
        <w:pStyle w:val="SemEspaamento"/>
        <w:ind w:left="-851" w:right="42"/>
        <w:jc w:val="both"/>
      </w:pPr>
      <w:r>
        <w:t xml:space="preserve">Two </w:t>
      </w:r>
      <w:r w:rsidR="007002F3">
        <w:t>trainings session</w:t>
      </w:r>
      <w:r w:rsidR="007A05C2">
        <w:t>s</w:t>
      </w:r>
      <w:r w:rsidR="007002F3">
        <w:t xml:space="preserve"> were organised </w:t>
      </w:r>
      <w:r w:rsidR="00A50892">
        <w:t xml:space="preserve">by the </w:t>
      </w:r>
      <w:r w:rsidR="00C76DAA" w:rsidRPr="00C76DAA">
        <w:t>Judiciary Police to combat money laundering, transnational crime and corruption</w:t>
      </w:r>
      <w:r w:rsidR="00772380">
        <w:t>, on</w:t>
      </w:r>
      <w:r>
        <w:t xml:space="preserve"> May 2021</w:t>
      </w:r>
      <w:r w:rsidR="00C76DAA" w:rsidRPr="00C76DAA">
        <w:t xml:space="preserve"> </w:t>
      </w:r>
      <w:r w:rsidR="00373EE8">
        <w:t xml:space="preserve">to inspectors, sub-inspectors and agents from Judiciary Police with </w:t>
      </w:r>
      <w:r w:rsidR="007A05C2">
        <w:t>40</w:t>
      </w:r>
      <w:r w:rsidR="007A05C2" w:rsidRPr="00C76DAA">
        <w:t xml:space="preserve"> </w:t>
      </w:r>
      <w:r w:rsidR="00C76DAA" w:rsidRPr="00C76DAA">
        <w:t>participants</w:t>
      </w:r>
      <w:r w:rsidR="00373EE8">
        <w:t xml:space="preserve"> </w:t>
      </w:r>
      <w:r w:rsidR="00C76DAA" w:rsidRPr="00C76DAA">
        <w:t xml:space="preserve">in </w:t>
      </w:r>
      <w:r>
        <w:t>total</w:t>
      </w:r>
      <w:r w:rsidR="007A05C2">
        <w:t xml:space="preserve"> including 7 </w:t>
      </w:r>
      <w:r w:rsidR="00373EE8">
        <w:t>women</w:t>
      </w:r>
      <w:r w:rsidR="00C76DAA" w:rsidRPr="00C76DAA">
        <w:t>, trained by Public Ministry and Jud</w:t>
      </w:r>
      <w:r w:rsidR="00C76DAA">
        <w:t xml:space="preserve">iciary Police specialists. </w:t>
      </w:r>
      <w:r w:rsidR="00A50892" w:rsidRPr="00A50892">
        <w:t>Training or</w:t>
      </w:r>
      <w:r w:rsidR="00C604F4">
        <w:t xml:space="preserve">ganized by the Judicial Police </w:t>
      </w:r>
      <w:r w:rsidR="00A50892" w:rsidRPr="00A50892">
        <w:t>allowed an internal reorganization of the services to better combat corruption. As a consequence, several cases related to corruption were</w:t>
      </w:r>
      <w:r w:rsidR="00A50892">
        <w:t xml:space="preserve"> investigated during this year.</w:t>
      </w:r>
      <w:r w:rsidR="00A50892" w:rsidRPr="00A50892">
        <w:t xml:space="preserve"> This coincides with the use of </w:t>
      </w:r>
      <w:r w:rsidR="00A50892">
        <w:t xml:space="preserve">investigation </w:t>
      </w:r>
      <w:r w:rsidR="00C604F4">
        <w:t>equipment as X-Ray detection material</w:t>
      </w:r>
      <w:r w:rsidR="00A50892" w:rsidRPr="00A50892">
        <w:t>, provided by the project to the JP to enhance their investigation capacities</w:t>
      </w:r>
      <w:r w:rsidR="00A41596">
        <w:t xml:space="preserve"> </w:t>
      </w:r>
      <w:r w:rsidR="00A41596" w:rsidRPr="00A41596">
        <w:t>(Activity 1.2.3)</w:t>
      </w:r>
      <w:r w:rsidR="00A50892" w:rsidRPr="00A50892">
        <w:t>.</w:t>
      </w:r>
    </w:p>
    <w:p w14:paraId="11412E43" w14:textId="77777777" w:rsidR="00A41596" w:rsidRPr="00A41596" w:rsidRDefault="00A41596" w:rsidP="00B209C9">
      <w:pPr>
        <w:pStyle w:val="SemEspaamento"/>
        <w:ind w:left="-851" w:right="42"/>
        <w:jc w:val="both"/>
        <w:rPr>
          <w:sz w:val="8"/>
          <w:szCs w:val="8"/>
        </w:rPr>
      </w:pPr>
    </w:p>
    <w:p w14:paraId="5665B197" w14:textId="0F21C727" w:rsidR="00C76DAA" w:rsidRDefault="007002F3" w:rsidP="00B209C9">
      <w:pPr>
        <w:pStyle w:val="SemEspaamento"/>
        <w:ind w:left="-851" w:right="42"/>
        <w:jc w:val="both"/>
      </w:pPr>
      <w:r>
        <w:t xml:space="preserve">Related to training, </w:t>
      </w:r>
      <w:r w:rsidR="00A41596">
        <w:t>in collaboration with t</w:t>
      </w:r>
      <w:r>
        <w:t>he Portuguese Embassy a training</w:t>
      </w:r>
      <w:r w:rsidR="006460F1">
        <w:t xml:space="preserve"> </w:t>
      </w:r>
      <w:r w:rsidR="00494661">
        <w:t xml:space="preserve">was organized </w:t>
      </w:r>
      <w:r w:rsidR="006460F1">
        <w:t>on November</w:t>
      </w:r>
      <w:r w:rsidR="00C57C53">
        <w:t xml:space="preserve"> 2021 for 80 participants</w:t>
      </w:r>
      <w:r>
        <w:t xml:space="preserve"> </w:t>
      </w:r>
      <w:r w:rsidR="00C57C53">
        <w:t>(</w:t>
      </w:r>
      <w:r w:rsidR="006460F1">
        <w:t>including 6</w:t>
      </w:r>
      <w:r w:rsidR="00C57C53">
        <w:t xml:space="preserve"> women) of </w:t>
      </w:r>
      <w:r>
        <w:t>the Public Order police (POP)</w:t>
      </w:r>
      <w:r w:rsidR="00C57C53">
        <w:t xml:space="preserve"> and National Guard (GN) </w:t>
      </w:r>
      <w:r>
        <w:t>by providing technical material</w:t>
      </w:r>
      <w:r w:rsidR="00B84139">
        <w:t>s</w:t>
      </w:r>
      <w:r w:rsidR="007F3129">
        <w:t xml:space="preserve"> as</w:t>
      </w:r>
      <w:r>
        <w:t xml:space="preserve"> handbook registers that should be used in the police station within the country </w:t>
      </w:r>
      <w:r w:rsidR="00C57C53">
        <w:t xml:space="preserve">for their daily reporting duties in the service to population </w:t>
      </w:r>
      <w:r>
        <w:t>(Activity 1.2.3).</w:t>
      </w:r>
      <w:r w:rsidR="00B84139">
        <w:t xml:space="preserve"> </w:t>
      </w:r>
    </w:p>
    <w:p w14:paraId="0C986A87" w14:textId="77777777" w:rsidR="00A41596" w:rsidRPr="00A41596" w:rsidRDefault="00A41596" w:rsidP="00A576CB">
      <w:pPr>
        <w:pStyle w:val="SemEspaamento"/>
        <w:ind w:left="-851" w:right="42"/>
        <w:jc w:val="both"/>
        <w:rPr>
          <w:sz w:val="8"/>
          <w:szCs w:val="8"/>
        </w:rPr>
      </w:pPr>
    </w:p>
    <w:p w14:paraId="72C46820" w14:textId="08D04AA0" w:rsidR="00A50892" w:rsidRDefault="00B209C9" w:rsidP="00A576CB">
      <w:pPr>
        <w:pStyle w:val="SemEspaamento"/>
        <w:ind w:left="-851" w:right="42"/>
        <w:jc w:val="both"/>
      </w:pPr>
      <w:r w:rsidRPr="00B209C9">
        <w:t>With the aim of strengthening the presence of the state in s</w:t>
      </w:r>
      <w:r>
        <w:t xml:space="preserve">trategic spots in the country, </w:t>
      </w:r>
      <w:r w:rsidR="007002F3">
        <w:t xml:space="preserve">the </w:t>
      </w:r>
      <w:r w:rsidR="002665AD">
        <w:t xml:space="preserve">project </w:t>
      </w:r>
      <w:r w:rsidR="002665AD" w:rsidRPr="00B209C9">
        <w:t>supported</w:t>
      </w:r>
      <w:r w:rsidRPr="00B209C9">
        <w:t xml:space="preserve"> the extension of Interpol's communication service in the port of Bissau, </w:t>
      </w:r>
      <w:r w:rsidR="00385120">
        <w:t>launch</w:t>
      </w:r>
      <w:r w:rsidRPr="00B209C9">
        <w:t>ed on April 2021, as part of the Government of Guinea Bissau's and UN agencies efforts to improve its fight against crime</w:t>
      </w:r>
      <w:r w:rsidR="00A50892">
        <w:t>, and strengthening the presence of the State in strategic spots in the country</w:t>
      </w:r>
      <w:r w:rsidR="00C76DAA">
        <w:t>.</w:t>
      </w:r>
      <w:r w:rsidR="00A576CB" w:rsidRPr="00A576CB">
        <w:t xml:space="preserve"> </w:t>
      </w:r>
      <w:r w:rsidR="003C4C29">
        <w:t xml:space="preserve">This initiative </w:t>
      </w:r>
      <w:r w:rsidR="007A05C2">
        <w:t xml:space="preserve">was </w:t>
      </w:r>
      <w:r w:rsidR="003C4C29">
        <w:t>praised by the Ministry of Just</w:t>
      </w:r>
      <w:r w:rsidR="007A05C2">
        <w:t xml:space="preserve">ice and the Ministry of Interior. </w:t>
      </w:r>
      <w:r w:rsidR="007A05C2" w:rsidRPr="007A05C2">
        <w:t xml:space="preserve">The purchase of office equipment </w:t>
      </w:r>
      <w:r w:rsidR="007A05C2">
        <w:t xml:space="preserve">by the project </w:t>
      </w:r>
      <w:r w:rsidR="003C4C29">
        <w:t xml:space="preserve">allowed </w:t>
      </w:r>
      <w:r w:rsidR="007A05C2">
        <w:t xml:space="preserve">efficiency and </w:t>
      </w:r>
      <w:r w:rsidR="003C4C29">
        <w:t>better control of maritime</w:t>
      </w:r>
      <w:r w:rsidR="007A05C2">
        <w:t xml:space="preserve"> transports </w:t>
      </w:r>
      <w:r w:rsidR="003C4C29">
        <w:t xml:space="preserve">and strengthened the accountability of this service </w:t>
      </w:r>
      <w:r w:rsidR="00C76DAA">
        <w:t>(A</w:t>
      </w:r>
      <w:r w:rsidRPr="00B209C9">
        <w:t>ctivity 1.2.3)</w:t>
      </w:r>
    </w:p>
    <w:p w14:paraId="4E3B7AA2" w14:textId="77777777" w:rsidR="00A41596" w:rsidRPr="00A41596" w:rsidRDefault="00A41596" w:rsidP="00834120">
      <w:pPr>
        <w:pStyle w:val="SemEspaamento"/>
        <w:ind w:left="-851" w:right="42"/>
        <w:jc w:val="both"/>
        <w:rPr>
          <w:sz w:val="8"/>
          <w:szCs w:val="8"/>
        </w:rPr>
      </w:pPr>
    </w:p>
    <w:p w14:paraId="16FF5709" w14:textId="01BE1BDA" w:rsidR="005451D1" w:rsidRDefault="007002F3" w:rsidP="00834120">
      <w:pPr>
        <w:pStyle w:val="SemEspaamento"/>
        <w:ind w:left="-851" w:right="42"/>
        <w:jc w:val="both"/>
      </w:pPr>
      <w:r>
        <w:t>A</w:t>
      </w:r>
      <w:r w:rsidR="00C76DAA">
        <w:t xml:space="preserve">dvisory and mentoring support </w:t>
      </w:r>
      <w:r w:rsidR="008E769E">
        <w:t xml:space="preserve">is being provided through the project </w:t>
      </w:r>
      <w:r w:rsidR="00C76DAA">
        <w:t>to the Judicial Police both at senior management and operational levels in terms of capacity sharing</w:t>
      </w:r>
      <w:r w:rsidR="00452F6D">
        <w:t xml:space="preserve">, trust-building </w:t>
      </w:r>
      <w:r w:rsidR="00452F6D" w:rsidRPr="00452F6D">
        <w:t>around actual investigations, solidarity / partnership with an institution facing powerful adverse forces</w:t>
      </w:r>
      <w:r w:rsidR="00452F6D">
        <w:t>.</w:t>
      </w:r>
      <w:r w:rsidR="00C76DAA">
        <w:t xml:space="preserve"> Those directly contributed to the maintenance of solid relations of trust</w:t>
      </w:r>
      <w:r w:rsidR="005451D1" w:rsidRPr="005451D1">
        <w:t xml:space="preserve"> providing advisory assistance, and when relevant/feasible, operational support</w:t>
      </w:r>
      <w:r w:rsidR="00C76DAA">
        <w:t xml:space="preserve"> with national counterparts</w:t>
      </w:r>
      <w:r w:rsidR="005451D1">
        <w:t xml:space="preserve"> -</w:t>
      </w:r>
      <w:r w:rsidR="005451D1" w:rsidRPr="005451D1">
        <w:t xml:space="preserve"> all of that ought to be regarded as results. </w:t>
      </w:r>
      <w:r w:rsidR="005451D1">
        <w:t xml:space="preserve">In </w:t>
      </w:r>
      <w:r w:rsidR="00C76DAA">
        <w:t>several instances</w:t>
      </w:r>
      <w:r w:rsidR="005451D1">
        <w:t xml:space="preserve">, these actions have </w:t>
      </w:r>
      <w:r w:rsidR="00C76DAA">
        <w:t xml:space="preserve">directly influenced important investigative decisions. </w:t>
      </w:r>
      <w:r w:rsidR="00834120">
        <w:t>For example, t</w:t>
      </w:r>
      <w:r w:rsidR="005451D1">
        <w:t xml:space="preserve">he </w:t>
      </w:r>
      <w:r w:rsidR="0090794F">
        <w:t xml:space="preserve">ongoing drug seizure </w:t>
      </w:r>
      <w:r w:rsidR="005451D1">
        <w:t>o</w:t>
      </w:r>
      <w:r w:rsidR="005451D1" w:rsidRPr="005451D1">
        <w:t>peration</w:t>
      </w:r>
      <w:r w:rsidR="005451D1">
        <w:t>s</w:t>
      </w:r>
      <w:r w:rsidR="005451D1" w:rsidRPr="005451D1">
        <w:t>, while not in itself attributable to specific project interventions, should be understood as an indication of a persistent organization ethos, a sense of duty, and a form of audacity which clearly illustrat</w:t>
      </w:r>
      <w:r w:rsidR="00834120">
        <w:t>e a unique form of resilience. Re</w:t>
      </w:r>
      <w:r w:rsidR="005451D1" w:rsidRPr="005451D1">
        <w:t xml:space="preserve">silience which, over and above the capacity and courage </w:t>
      </w:r>
      <w:r w:rsidR="00834120">
        <w:t>of the judiciary police staff, the project cooperation</w:t>
      </w:r>
      <w:r w:rsidR="005451D1" w:rsidRPr="005451D1">
        <w:t xml:space="preserve"> and solid relations of</w:t>
      </w:r>
      <w:r w:rsidR="00A41596">
        <w:t xml:space="preserve"> trust do contribute to bolster </w:t>
      </w:r>
      <w:r w:rsidR="005451D1" w:rsidRPr="005451D1">
        <w:t xml:space="preserve">(Activity </w:t>
      </w:r>
      <w:r w:rsidR="00834120" w:rsidRPr="005451D1">
        <w:t>1.2.3)</w:t>
      </w:r>
      <w:r w:rsidR="005451D1" w:rsidRPr="005451D1">
        <w:t>.</w:t>
      </w:r>
    </w:p>
    <w:p w14:paraId="615CDE9C" w14:textId="77777777" w:rsidR="00C76DAA" w:rsidRPr="00C76DAA" w:rsidRDefault="00C76DAA" w:rsidP="00C76DAA">
      <w:pPr>
        <w:pStyle w:val="SemEspaamento"/>
        <w:ind w:left="-851" w:right="42"/>
        <w:jc w:val="both"/>
        <w:rPr>
          <w:sz w:val="4"/>
          <w:szCs w:val="4"/>
        </w:rPr>
      </w:pPr>
    </w:p>
    <w:p w14:paraId="3894CA37" w14:textId="47B45FBD" w:rsidR="00B209C9" w:rsidRDefault="00C76DAA" w:rsidP="00C76DAA">
      <w:pPr>
        <w:pStyle w:val="SemEspaamento"/>
        <w:ind w:left="-851" w:right="42"/>
        <w:jc w:val="both"/>
      </w:pPr>
      <w:r>
        <w:t xml:space="preserve">Regarding </w:t>
      </w:r>
      <w:r w:rsidR="00FA5453">
        <w:t xml:space="preserve">the </w:t>
      </w:r>
      <w:r>
        <w:t>construction and rehabilitation,</w:t>
      </w:r>
      <w:r w:rsidR="000014F4">
        <w:t xml:space="preserve"> the biding process is closed, two</w:t>
      </w:r>
      <w:r>
        <w:t xml:space="preserve"> firm</w:t>
      </w:r>
      <w:r w:rsidR="000014F4">
        <w:t>s have</w:t>
      </w:r>
      <w:r>
        <w:t xml:space="preserve"> been identified to realize the works.  </w:t>
      </w:r>
      <w:r w:rsidR="008E769E">
        <w:t xml:space="preserve">Now </w:t>
      </w:r>
      <w:r w:rsidR="00B84139">
        <w:t xml:space="preserve">that </w:t>
      </w:r>
      <w:r w:rsidR="008E769E">
        <w:t xml:space="preserve">the No Cost Extension </w:t>
      </w:r>
      <w:r w:rsidR="00FA5453">
        <w:t>is approved</w:t>
      </w:r>
      <w:r w:rsidR="008E769E">
        <w:t xml:space="preserve">, </w:t>
      </w:r>
      <w:r>
        <w:t>it is expected that the works start by the end of this year. (Activity 1.2.4, 1.2.5 and 1.2.6)</w:t>
      </w:r>
      <w:r w:rsidR="00A41596">
        <w:t>.</w:t>
      </w:r>
    </w:p>
    <w:p w14:paraId="622C51CD" w14:textId="77777777" w:rsidR="004B0A82" w:rsidRPr="00CA085B" w:rsidRDefault="004B0A82" w:rsidP="00327869">
      <w:pPr>
        <w:pStyle w:val="SemEspaamento"/>
        <w:ind w:left="0" w:right="42"/>
        <w:jc w:val="both"/>
        <w:rPr>
          <w:sz w:val="8"/>
          <w:szCs w:val="8"/>
          <w:highlight w:val="yellow"/>
        </w:rPr>
      </w:pPr>
    </w:p>
    <w:p w14:paraId="75D635DA" w14:textId="22B61EDA" w:rsidR="001C204A" w:rsidRPr="001C204A" w:rsidRDefault="007F6AF1" w:rsidP="00385120">
      <w:pPr>
        <w:ind w:left="-851"/>
        <w:rPr>
          <w:rFonts w:asciiTheme="minorHAnsi" w:hAnsiTheme="minorHAnsi"/>
          <w:b/>
          <w:sz w:val="4"/>
          <w:szCs w:val="4"/>
        </w:rPr>
      </w:pPr>
      <w:r>
        <w:rPr>
          <w:rFonts w:asciiTheme="minorHAnsi" w:hAnsiTheme="minorHAnsi"/>
          <w:b/>
          <w:sz w:val="22"/>
          <w:szCs w:val="22"/>
        </w:rPr>
        <w:t xml:space="preserve">(Output 1.3) </w:t>
      </w:r>
      <w:r w:rsidR="00494661">
        <w:rPr>
          <w:rFonts w:asciiTheme="minorHAnsi" w:hAnsiTheme="minorHAnsi"/>
          <w:b/>
          <w:sz w:val="22"/>
          <w:szCs w:val="22"/>
        </w:rPr>
        <w:t>I</w:t>
      </w:r>
      <w:r w:rsidR="00385120" w:rsidRPr="00923726">
        <w:rPr>
          <w:rFonts w:asciiTheme="minorHAnsi" w:hAnsiTheme="minorHAnsi"/>
          <w:b/>
          <w:sz w:val="22"/>
          <w:szCs w:val="22"/>
        </w:rPr>
        <w:t xml:space="preserve">mproved Democratic governance and civilian oversight, over the security practices and institutions responsible, to combat </w:t>
      </w:r>
      <w:r w:rsidR="00385120">
        <w:rPr>
          <w:rFonts w:asciiTheme="minorHAnsi" w:hAnsiTheme="minorHAnsi"/>
          <w:b/>
          <w:sz w:val="22"/>
          <w:szCs w:val="22"/>
        </w:rPr>
        <w:t xml:space="preserve">drug trafficking </w:t>
      </w:r>
      <w:r w:rsidR="00385120" w:rsidRPr="00923726">
        <w:rPr>
          <w:rFonts w:asciiTheme="minorHAnsi" w:hAnsiTheme="minorHAnsi"/>
          <w:b/>
          <w:sz w:val="22"/>
          <w:szCs w:val="22"/>
        </w:rPr>
        <w:t>and transnational organized crime</w:t>
      </w:r>
      <w:r w:rsidR="00002F1D">
        <w:rPr>
          <w:rFonts w:asciiTheme="minorHAnsi" w:hAnsiTheme="minorHAnsi"/>
          <w:b/>
          <w:sz w:val="22"/>
          <w:szCs w:val="22"/>
        </w:rPr>
        <w:t>:</w:t>
      </w:r>
    </w:p>
    <w:p w14:paraId="7C845B8C" w14:textId="103273FC" w:rsidR="00C604F4" w:rsidRDefault="00C604F4" w:rsidP="00C47BB5">
      <w:pPr>
        <w:pStyle w:val="SemEspaamento"/>
        <w:ind w:left="-851" w:right="42"/>
        <w:jc w:val="both"/>
      </w:pPr>
      <w:r w:rsidRPr="00C604F4">
        <w:t>The mobilization of communities and civil society organizations (among which women’s, youth and volunteers’ networks) with local partn</w:t>
      </w:r>
      <w:r w:rsidR="00862601">
        <w:t>ers involved in social concerns has been very large. H</w:t>
      </w:r>
      <w:r w:rsidRPr="00C604F4">
        <w:t>eightened population’ interest in favour of response to drug trafficking and organized crime issues was realized</w:t>
      </w:r>
      <w:r w:rsidR="00CB1ADE">
        <w:t xml:space="preserve"> through </w:t>
      </w:r>
      <w:r w:rsidRPr="00C604F4">
        <w:t xml:space="preserve">in collaboration with two national NGOs, namely </w:t>
      </w:r>
      <w:r w:rsidRPr="00AD359A">
        <w:rPr>
          <w:i/>
        </w:rPr>
        <w:t>Liga Guineense dos Direitos Humanos</w:t>
      </w:r>
      <w:r w:rsidRPr="00C604F4">
        <w:t xml:space="preserve"> (LGDH or LIGA) and the </w:t>
      </w:r>
      <w:r w:rsidRPr="00AD359A">
        <w:rPr>
          <w:i/>
        </w:rPr>
        <w:t>Observatorio Guineense da Drog</w:t>
      </w:r>
      <w:r w:rsidR="00862601" w:rsidRPr="00AD359A">
        <w:rPr>
          <w:i/>
        </w:rPr>
        <w:t>a e do Toxicodependencia</w:t>
      </w:r>
      <w:r w:rsidR="00862601">
        <w:t xml:space="preserve"> (OGDT) </w:t>
      </w:r>
      <w:r w:rsidR="00862601" w:rsidRPr="00862601">
        <w:t xml:space="preserve">on awareness raising and prevention </w:t>
      </w:r>
      <w:r w:rsidR="00862601">
        <w:t xml:space="preserve">around the </w:t>
      </w:r>
      <w:r w:rsidR="00862601" w:rsidRPr="00862601">
        <w:t xml:space="preserve">different initiatives </w:t>
      </w:r>
      <w:r w:rsidR="00862601">
        <w:t xml:space="preserve">as </w:t>
      </w:r>
      <w:r w:rsidR="00862601" w:rsidRPr="00862601">
        <w:t xml:space="preserve">radio campaigns and interactive information/awareness sessions as well </w:t>
      </w:r>
      <w:r w:rsidR="00CA085B">
        <w:t xml:space="preserve">as advisory/coaching sessions </w:t>
      </w:r>
      <w:r w:rsidR="00862601" w:rsidRPr="00862601">
        <w:t>(Activity 1.3.1, 1.3.3 and 1.3.5)</w:t>
      </w:r>
      <w:r w:rsidR="00CA085B">
        <w:t>.</w:t>
      </w:r>
    </w:p>
    <w:p w14:paraId="30D56375" w14:textId="413D7665" w:rsidR="00C604F4" w:rsidRDefault="00C604F4" w:rsidP="00C604F4">
      <w:pPr>
        <w:pStyle w:val="SemEspaamento"/>
        <w:ind w:left="-851" w:right="42"/>
        <w:jc w:val="both"/>
      </w:pPr>
      <w:r w:rsidRPr="00C604F4">
        <w:lastRenderedPageBreak/>
        <w:t>Thematic presentations and interactive sessions with Members of the National Parliament (Assembleia Nacional Popular</w:t>
      </w:r>
      <w:r w:rsidR="003172B1">
        <w:t>- ANP</w:t>
      </w:r>
      <w:r w:rsidRPr="00C604F4">
        <w:t xml:space="preserve">) have been introduced on the occasion of the International Day against drug Abuse and </w:t>
      </w:r>
      <w:r w:rsidR="005F3240" w:rsidRPr="00C604F4">
        <w:t>illicit</w:t>
      </w:r>
      <w:r w:rsidRPr="00C604F4">
        <w:t xml:space="preserve"> trafficking on 26 June</w:t>
      </w:r>
      <w:r>
        <w:t xml:space="preserve"> 2021</w:t>
      </w:r>
      <w:r w:rsidR="00C83A74">
        <w:t xml:space="preserve"> (Activity 1.3.1).</w:t>
      </w:r>
    </w:p>
    <w:p w14:paraId="43D5A2E0" w14:textId="77777777" w:rsidR="001C204A" w:rsidRPr="001C204A" w:rsidRDefault="001C204A" w:rsidP="00B209C9">
      <w:pPr>
        <w:pStyle w:val="SemEspaamento"/>
        <w:ind w:left="-851" w:right="42"/>
        <w:jc w:val="both"/>
        <w:rPr>
          <w:sz w:val="4"/>
          <w:szCs w:val="4"/>
          <w:highlight w:val="yellow"/>
        </w:rPr>
      </w:pPr>
    </w:p>
    <w:p w14:paraId="7FC94450" w14:textId="1508FD9F" w:rsidR="00C76DAA" w:rsidRDefault="008E769E" w:rsidP="00F86DD5">
      <w:pPr>
        <w:pStyle w:val="SemEspaamento"/>
        <w:ind w:left="-851" w:right="42"/>
        <w:jc w:val="both"/>
      </w:pPr>
      <w:r>
        <w:t xml:space="preserve">The project </w:t>
      </w:r>
      <w:r w:rsidR="001C204A" w:rsidRPr="001C204A">
        <w:t xml:space="preserve">in collaboration with Global Initiative are engaged with ENDA Santé </w:t>
      </w:r>
      <w:r w:rsidR="00456064">
        <w:t xml:space="preserve">and </w:t>
      </w:r>
      <w:r w:rsidR="001C204A" w:rsidRPr="001C204A">
        <w:t>have pursued during the period the activities related to the community implication in awareness campaign on the risk of drug trafficking and transnational organized crime</w:t>
      </w:r>
      <w:r w:rsidR="001C204A">
        <w:t xml:space="preserve">, </w:t>
      </w:r>
      <w:r w:rsidR="001C204A" w:rsidRPr="001C204A">
        <w:t xml:space="preserve">and consumption money laundering to, through capacity building actions, communication for </w:t>
      </w:r>
      <w:r w:rsidR="00456064" w:rsidRPr="001C204A">
        <w:t>behavioural</w:t>
      </w:r>
      <w:r w:rsidR="001C204A" w:rsidRPr="001C204A">
        <w:t xml:space="preserve"> change and to improve the socio-legal environment. Community engagement and surveillance actions were developed with awareness sessions engaging women, youth, and volunteers’ networks</w:t>
      </w:r>
      <w:r w:rsidR="006E0512">
        <w:t>, including f</w:t>
      </w:r>
      <w:r w:rsidR="006E0512" w:rsidRPr="006E0512">
        <w:t>ive community dialogues' workshops with 100 influential and opinion leaders on combating money laundering and on risk reduction policies in minimizing damage related to drug trafficking and consumption</w:t>
      </w:r>
      <w:r w:rsidR="006E0512">
        <w:t xml:space="preserve"> </w:t>
      </w:r>
      <w:r w:rsidR="001C204A" w:rsidRPr="001C204A">
        <w:t>in the regions of Bissau, Bubaq</w:t>
      </w:r>
      <w:r w:rsidR="006E0512">
        <w:t>ue, Gabu, Buba and Sao Domingos</w:t>
      </w:r>
      <w:r w:rsidR="00433BBD">
        <w:t xml:space="preserve">, in </w:t>
      </w:r>
      <w:r w:rsidR="00057C99">
        <w:t>April 2021</w:t>
      </w:r>
      <w:r w:rsidR="009A00AD">
        <w:t xml:space="preserve">. </w:t>
      </w:r>
      <w:r w:rsidR="004F289D">
        <w:t>The National NGO ENDA Santé also strengthen c</w:t>
      </w:r>
      <w:r w:rsidR="00BC29AA" w:rsidRPr="00BC29AA">
        <w:t>apacity through training of 28 participants incl</w:t>
      </w:r>
      <w:r w:rsidR="00057C99">
        <w:t xml:space="preserve">uding 11 women/39% </w:t>
      </w:r>
      <w:r w:rsidR="00BC29AA" w:rsidRPr="00BC29AA">
        <w:t xml:space="preserve">with 15 journalists, 5 influential leaders and 8 CSO leaders in preventing, identifying and combating money laundering </w:t>
      </w:r>
      <w:r w:rsidR="001C204A" w:rsidRPr="001C204A">
        <w:t>(Activity 1.3.5)</w:t>
      </w:r>
      <w:r w:rsidR="00AD359A">
        <w:t>.</w:t>
      </w:r>
    </w:p>
    <w:p w14:paraId="55BCF73F" w14:textId="77777777" w:rsidR="009A00AD" w:rsidRPr="009A00AD" w:rsidRDefault="009A00AD" w:rsidP="00F86DD5">
      <w:pPr>
        <w:pStyle w:val="SemEspaamento"/>
        <w:ind w:left="-851" w:right="42"/>
        <w:jc w:val="both"/>
        <w:rPr>
          <w:sz w:val="4"/>
          <w:szCs w:val="4"/>
        </w:rPr>
      </w:pPr>
    </w:p>
    <w:p w14:paraId="45AD9488" w14:textId="18092DCA" w:rsidR="003E4D77" w:rsidRDefault="008E769E" w:rsidP="00C83A74">
      <w:pPr>
        <w:ind w:left="-851"/>
        <w:jc w:val="both"/>
        <w:rPr>
          <w:rFonts w:asciiTheme="minorHAnsi" w:hAnsiTheme="minorHAnsi"/>
          <w:sz w:val="22"/>
          <w:szCs w:val="22"/>
        </w:rPr>
      </w:pPr>
      <w:r>
        <w:rPr>
          <w:rFonts w:asciiTheme="minorHAnsi" w:hAnsiTheme="minorHAnsi"/>
          <w:sz w:val="22"/>
          <w:szCs w:val="22"/>
        </w:rPr>
        <w:t>A</w:t>
      </w:r>
      <w:r w:rsidR="00E25D74" w:rsidRPr="00E25D74">
        <w:rPr>
          <w:rFonts w:asciiTheme="minorHAnsi" w:hAnsiTheme="minorHAnsi"/>
          <w:sz w:val="22"/>
          <w:szCs w:val="22"/>
        </w:rPr>
        <w:t xml:space="preserve"> national consultancy was conducted </w:t>
      </w:r>
      <w:r w:rsidR="009B2E0C">
        <w:rPr>
          <w:rFonts w:asciiTheme="minorHAnsi" w:hAnsiTheme="minorHAnsi"/>
          <w:sz w:val="22"/>
          <w:szCs w:val="22"/>
        </w:rPr>
        <w:t xml:space="preserve">in July 2021 </w:t>
      </w:r>
      <w:r w:rsidR="00E25D74" w:rsidRPr="00E25D74">
        <w:rPr>
          <w:rFonts w:asciiTheme="minorHAnsi" w:hAnsiTheme="minorHAnsi"/>
          <w:sz w:val="22"/>
          <w:szCs w:val="22"/>
        </w:rPr>
        <w:t xml:space="preserve">that identified three Women and Children protection networks composed of Civil Society NGOs in the regions of Bafata, Gabu, Quinara and Tombali - which represent a high level of incidence regarding human trafficking (THB) especially for children - that will allow the creation of an early warning, detection, prevention, and follow-up system for possible cases of human trafficking. </w:t>
      </w:r>
      <w:r w:rsidR="00EB4222" w:rsidRPr="00EB4222">
        <w:rPr>
          <w:rFonts w:asciiTheme="minorHAnsi" w:hAnsiTheme="minorHAnsi"/>
          <w:sz w:val="22"/>
          <w:szCs w:val="22"/>
        </w:rPr>
        <w:t>The main results of the consultancy are that 3 regional networks for prevention and protection of Women a</w:t>
      </w:r>
      <w:r w:rsidR="003E4D77">
        <w:rPr>
          <w:rFonts w:asciiTheme="minorHAnsi" w:hAnsiTheme="minorHAnsi"/>
          <w:sz w:val="22"/>
          <w:szCs w:val="22"/>
        </w:rPr>
        <w:t>nd Children were identified, n</w:t>
      </w:r>
      <w:r w:rsidR="00EB4222" w:rsidRPr="00EB4222">
        <w:rPr>
          <w:rFonts w:asciiTheme="minorHAnsi" w:hAnsiTheme="minorHAnsi"/>
          <w:sz w:val="22"/>
          <w:szCs w:val="22"/>
        </w:rPr>
        <w:t xml:space="preserve">amely the protection networks of Bafatá, Gabú and Quinará/Tombali. Currently, the networks are not operational due to a lack of logistical, financial, and internal coordination resources for the pursuit of their objectives. In other words, after the closure of the projects </w:t>
      </w:r>
      <w:r w:rsidR="00EB4222" w:rsidRPr="00EB4222">
        <w:rPr>
          <w:rFonts w:asciiTheme="minorHAnsi" w:hAnsiTheme="minorHAnsi"/>
          <w:i/>
          <w:sz w:val="22"/>
          <w:szCs w:val="22"/>
        </w:rPr>
        <w:t>Bambaram di Mininu</w:t>
      </w:r>
      <w:r w:rsidR="00EB4222" w:rsidRPr="00EB4222">
        <w:rPr>
          <w:rFonts w:asciiTheme="minorHAnsi" w:hAnsiTheme="minorHAnsi"/>
          <w:sz w:val="22"/>
          <w:szCs w:val="22"/>
        </w:rPr>
        <w:t xml:space="preserve"> imp</w:t>
      </w:r>
      <w:r w:rsidR="003E4D77">
        <w:rPr>
          <w:rFonts w:asciiTheme="minorHAnsi" w:hAnsiTheme="minorHAnsi"/>
          <w:sz w:val="22"/>
          <w:szCs w:val="22"/>
        </w:rPr>
        <w:t>lemented by the NGO FEC i</w:t>
      </w:r>
      <w:r w:rsidR="00EB4222">
        <w:rPr>
          <w:rFonts w:asciiTheme="minorHAnsi" w:hAnsiTheme="minorHAnsi"/>
          <w:sz w:val="22"/>
          <w:szCs w:val="22"/>
        </w:rPr>
        <w:t xml:space="preserve">n 2014, </w:t>
      </w:r>
      <w:r w:rsidR="00EB4222" w:rsidRPr="00EB4222">
        <w:rPr>
          <w:rFonts w:asciiTheme="minorHAnsi" w:hAnsiTheme="minorHAnsi"/>
          <w:sz w:val="22"/>
          <w:szCs w:val="22"/>
        </w:rPr>
        <w:t xml:space="preserve">that created them, the networks were left without dynamics, disjointed and without financial and logistical means to ensure their operation, especially in terms of travel and the holding of consultation meetings. </w:t>
      </w:r>
    </w:p>
    <w:p w14:paraId="14F67DCD" w14:textId="77777777" w:rsidR="00AD359A" w:rsidRPr="00AD359A" w:rsidRDefault="00AD359A" w:rsidP="00C83A74">
      <w:pPr>
        <w:ind w:left="-851"/>
        <w:jc w:val="both"/>
        <w:rPr>
          <w:rFonts w:asciiTheme="minorHAnsi" w:hAnsiTheme="minorHAnsi"/>
          <w:sz w:val="8"/>
          <w:szCs w:val="8"/>
        </w:rPr>
      </w:pPr>
    </w:p>
    <w:p w14:paraId="553C6AD1" w14:textId="2F27EDB7" w:rsidR="00EB4222" w:rsidRPr="00EB4222" w:rsidRDefault="00EB4222" w:rsidP="00C83A74">
      <w:pPr>
        <w:ind w:left="-851"/>
        <w:jc w:val="both"/>
        <w:rPr>
          <w:rFonts w:asciiTheme="minorHAnsi" w:hAnsiTheme="minorHAnsi"/>
          <w:sz w:val="22"/>
          <w:szCs w:val="22"/>
        </w:rPr>
      </w:pPr>
      <w:r w:rsidRPr="00EB4222">
        <w:rPr>
          <w:rFonts w:asciiTheme="minorHAnsi" w:hAnsiTheme="minorHAnsi"/>
          <w:sz w:val="22"/>
          <w:szCs w:val="22"/>
        </w:rPr>
        <w:t>As such, and as a result of this work, these three networks have been revitalized so that they can function in an independent and sustainable manner.</w:t>
      </w:r>
      <w:r w:rsidRPr="00EB4222">
        <w:t xml:space="preserve"> </w:t>
      </w:r>
      <w:r w:rsidRPr="00EB4222">
        <w:rPr>
          <w:rFonts w:asciiTheme="minorHAnsi" w:hAnsiTheme="minorHAnsi"/>
          <w:sz w:val="22"/>
          <w:szCs w:val="22"/>
        </w:rPr>
        <w:t>A multidisciplinary and specialized intervention methodology was created, in the areas of legal, psychological and social support, respecting the scope of intervention of each partner entity, as well as providing the appropriate referral of victims to other support services previously identified through a rotating coordination for a period of 2 years, starting with the Access to Justice Centers in the three intervention areas (CAJ of Bafatá, Gabú and Buba). Thus, with effective coordination, which has never existed before, the network's work can be carried out using the human and logistical resources available to the</w:t>
      </w:r>
      <w:r w:rsidR="00C83A74">
        <w:rPr>
          <w:rFonts w:asciiTheme="minorHAnsi" w:hAnsiTheme="minorHAnsi"/>
          <w:sz w:val="22"/>
          <w:szCs w:val="22"/>
        </w:rPr>
        <w:t xml:space="preserve"> member institutions themselves </w:t>
      </w:r>
      <w:r w:rsidR="00C83A74" w:rsidRPr="00C83A74">
        <w:rPr>
          <w:rFonts w:asciiTheme="minorHAnsi" w:hAnsiTheme="minorHAnsi"/>
          <w:sz w:val="22"/>
          <w:szCs w:val="22"/>
        </w:rPr>
        <w:t>(Activity 1.3.4).</w:t>
      </w:r>
    </w:p>
    <w:p w14:paraId="1AB8BBAD" w14:textId="2BDC721C" w:rsidR="00EB4222" w:rsidRPr="00C83A74" w:rsidRDefault="00EB4222" w:rsidP="00EB4222">
      <w:pPr>
        <w:ind w:left="-851"/>
        <w:jc w:val="both"/>
        <w:rPr>
          <w:rFonts w:asciiTheme="minorHAnsi" w:hAnsiTheme="minorHAnsi"/>
          <w:sz w:val="8"/>
          <w:szCs w:val="8"/>
        </w:rPr>
      </w:pPr>
    </w:p>
    <w:p w14:paraId="79F41565" w14:textId="79E8C97D" w:rsidR="009B2E0C" w:rsidRDefault="00EB4222" w:rsidP="00EB4222">
      <w:pPr>
        <w:ind w:left="-851"/>
        <w:jc w:val="both"/>
        <w:rPr>
          <w:rFonts w:asciiTheme="minorHAnsi" w:hAnsiTheme="minorHAnsi"/>
          <w:sz w:val="22"/>
          <w:szCs w:val="22"/>
        </w:rPr>
      </w:pPr>
      <w:r w:rsidRPr="00EB4222">
        <w:rPr>
          <w:rFonts w:asciiTheme="minorHAnsi" w:hAnsiTheme="minorHAnsi"/>
          <w:sz w:val="22"/>
          <w:szCs w:val="22"/>
        </w:rPr>
        <w:t xml:space="preserve">Thus, 3 workshops were held (Bafatá, Gabú and Buba) during the months of October and November, bringing together 75 representatives </w:t>
      </w:r>
      <w:r w:rsidR="00185B72">
        <w:rPr>
          <w:rFonts w:asciiTheme="minorHAnsi" w:hAnsiTheme="minorHAnsi"/>
          <w:sz w:val="22"/>
          <w:szCs w:val="22"/>
        </w:rPr>
        <w:t xml:space="preserve">including 35 women </w:t>
      </w:r>
      <w:r w:rsidRPr="00EB4222">
        <w:rPr>
          <w:rFonts w:asciiTheme="minorHAnsi" w:hAnsiTheme="minorHAnsi"/>
          <w:sz w:val="22"/>
          <w:szCs w:val="22"/>
        </w:rPr>
        <w:t>of the NGOs that make up each network,</w:t>
      </w:r>
      <w:r w:rsidR="00580D52">
        <w:rPr>
          <w:rFonts w:asciiTheme="minorHAnsi" w:hAnsiTheme="minorHAnsi"/>
          <w:sz w:val="22"/>
          <w:szCs w:val="22"/>
        </w:rPr>
        <w:t xml:space="preserve"> from</w:t>
      </w:r>
      <w:r w:rsidR="00580D52" w:rsidRPr="00580D52">
        <w:t xml:space="preserve"> </w:t>
      </w:r>
      <w:r w:rsidR="00580D52" w:rsidRPr="00580D52">
        <w:rPr>
          <w:rFonts w:asciiTheme="minorHAnsi" w:hAnsiTheme="minorHAnsi"/>
          <w:sz w:val="22"/>
          <w:szCs w:val="22"/>
        </w:rPr>
        <w:t>34 institutions (15 state institutions, 10 civil society institutions, 6 religiou</w:t>
      </w:r>
      <w:r w:rsidR="00185B72">
        <w:rPr>
          <w:rFonts w:asciiTheme="minorHAnsi" w:hAnsiTheme="minorHAnsi"/>
          <w:sz w:val="22"/>
          <w:szCs w:val="22"/>
        </w:rPr>
        <w:t>s institutions, and 3 shelters)</w:t>
      </w:r>
      <w:r w:rsidR="00AD359A">
        <w:rPr>
          <w:rFonts w:asciiTheme="minorHAnsi" w:hAnsiTheme="minorHAnsi"/>
          <w:sz w:val="22"/>
          <w:szCs w:val="22"/>
        </w:rPr>
        <w:t xml:space="preserve">. </w:t>
      </w:r>
      <w:r w:rsidR="00580D52">
        <w:rPr>
          <w:rFonts w:asciiTheme="minorHAnsi" w:hAnsiTheme="minorHAnsi"/>
          <w:sz w:val="22"/>
          <w:szCs w:val="22"/>
        </w:rPr>
        <w:t xml:space="preserve">It is important to </w:t>
      </w:r>
      <w:r w:rsidRPr="00EB4222">
        <w:rPr>
          <w:rFonts w:asciiTheme="minorHAnsi" w:hAnsiTheme="minorHAnsi"/>
          <w:sz w:val="22"/>
          <w:szCs w:val="22"/>
        </w:rPr>
        <w:t>highlight the fact that the Women's Associations from each of the 4 Regions involved were represented. Henceforth, these networks are duly restructured and empowered to properly implement the "National Referral Mechanisms for Victims of Human Trafficking" adopted by IMC through the National Committee for Combat</w:t>
      </w:r>
      <w:r w:rsidR="00C83A74">
        <w:rPr>
          <w:rFonts w:asciiTheme="minorHAnsi" w:hAnsiTheme="minorHAnsi"/>
          <w:sz w:val="22"/>
          <w:szCs w:val="22"/>
        </w:rPr>
        <w:t xml:space="preserve">ing Trafficking in Human Beings </w:t>
      </w:r>
      <w:r>
        <w:rPr>
          <w:rFonts w:asciiTheme="minorHAnsi" w:hAnsiTheme="minorHAnsi"/>
          <w:sz w:val="22"/>
          <w:szCs w:val="22"/>
        </w:rPr>
        <w:t>(Activity 1.3.4)</w:t>
      </w:r>
      <w:r w:rsidR="00C83A74">
        <w:rPr>
          <w:rFonts w:asciiTheme="minorHAnsi" w:hAnsiTheme="minorHAnsi"/>
          <w:sz w:val="22"/>
          <w:szCs w:val="22"/>
        </w:rPr>
        <w:t>.</w:t>
      </w:r>
    </w:p>
    <w:p w14:paraId="1DA222FD" w14:textId="47BF1BFC" w:rsidR="009B2E0C" w:rsidRPr="00C83A74" w:rsidRDefault="00264D6B" w:rsidP="00580D52">
      <w:pPr>
        <w:ind w:left="-851"/>
        <w:jc w:val="both"/>
        <w:rPr>
          <w:sz w:val="8"/>
          <w:szCs w:val="8"/>
        </w:rPr>
      </w:pPr>
      <w:r w:rsidRPr="00264D6B">
        <w:t xml:space="preserve"> </w:t>
      </w:r>
    </w:p>
    <w:p w14:paraId="330139DA" w14:textId="02C54829" w:rsidR="009B2E0C" w:rsidRDefault="009B2E0C" w:rsidP="00E25D74">
      <w:pPr>
        <w:ind w:left="-851"/>
        <w:jc w:val="both"/>
        <w:rPr>
          <w:rFonts w:asciiTheme="minorHAnsi" w:hAnsiTheme="minorHAnsi"/>
          <w:sz w:val="22"/>
          <w:szCs w:val="22"/>
        </w:rPr>
      </w:pPr>
      <w:r>
        <w:rPr>
          <w:rFonts w:asciiTheme="minorHAnsi" w:hAnsiTheme="minorHAnsi"/>
          <w:sz w:val="22"/>
          <w:szCs w:val="22"/>
        </w:rPr>
        <w:t xml:space="preserve">The promotion of </w:t>
      </w:r>
      <w:r w:rsidR="00E25D74" w:rsidRPr="00E25D74">
        <w:rPr>
          <w:rFonts w:asciiTheme="minorHAnsi" w:hAnsiTheme="minorHAnsi"/>
          <w:sz w:val="22"/>
          <w:szCs w:val="22"/>
        </w:rPr>
        <w:t>awareness campaign</w:t>
      </w:r>
      <w:r>
        <w:rPr>
          <w:rFonts w:asciiTheme="minorHAnsi" w:hAnsiTheme="minorHAnsi"/>
          <w:sz w:val="22"/>
          <w:szCs w:val="22"/>
        </w:rPr>
        <w:t>s</w:t>
      </w:r>
      <w:r w:rsidR="00E25D74" w:rsidRPr="00E25D74">
        <w:rPr>
          <w:rFonts w:asciiTheme="minorHAnsi" w:hAnsiTheme="minorHAnsi"/>
          <w:sz w:val="22"/>
          <w:szCs w:val="22"/>
        </w:rPr>
        <w:t xml:space="preserve"> </w:t>
      </w:r>
      <w:r>
        <w:rPr>
          <w:rFonts w:asciiTheme="minorHAnsi" w:hAnsiTheme="minorHAnsi"/>
          <w:sz w:val="22"/>
          <w:szCs w:val="22"/>
        </w:rPr>
        <w:t xml:space="preserve">in regard to </w:t>
      </w:r>
      <w:r w:rsidR="00E25D74" w:rsidRPr="00E25D74">
        <w:rPr>
          <w:rFonts w:asciiTheme="minorHAnsi" w:hAnsiTheme="minorHAnsi"/>
          <w:sz w:val="22"/>
          <w:szCs w:val="22"/>
        </w:rPr>
        <w:t>children's rights and human trafficking in connection with begging in the eastern and southern regions of the country with the following target groups: Children's Parliament, Communities with higher incidence of child trafficking cases, Associations of Koranic Masters and Community Radios</w:t>
      </w:r>
      <w:r>
        <w:rPr>
          <w:rFonts w:asciiTheme="minorHAnsi" w:hAnsiTheme="minorHAnsi"/>
          <w:sz w:val="22"/>
          <w:szCs w:val="22"/>
        </w:rPr>
        <w:t>;</w:t>
      </w:r>
      <w:r w:rsidRPr="009B2E0C">
        <w:t xml:space="preserve"> </w:t>
      </w:r>
      <w:r w:rsidRPr="009B2E0C">
        <w:rPr>
          <w:rFonts w:asciiTheme="minorHAnsi" w:hAnsiTheme="minorHAnsi"/>
          <w:sz w:val="22"/>
          <w:szCs w:val="22"/>
        </w:rPr>
        <w:t>has increased accountability, allowing a different perspective and initiating a change in the perception of threats and social ch</w:t>
      </w:r>
      <w:r w:rsidR="00C83A74">
        <w:rPr>
          <w:rFonts w:asciiTheme="minorHAnsi" w:hAnsiTheme="minorHAnsi"/>
          <w:sz w:val="22"/>
          <w:szCs w:val="22"/>
        </w:rPr>
        <w:t>allenges within the communities</w:t>
      </w:r>
      <w:r w:rsidR="00C83A74" w:rsidRPr="00C83A74">
        <w:t xml:space="preserve"> </w:t>
      </w:r>
      <w:r w:rsidR="00C83A74" w:rsidRPr="00C83A74">
        <w:rPr>
          <w:rFonts w:asciiTheme="minorHAnsi" w:hAnsiTheme="minorHAnsi"/>
          <w:sz w:val="22"/>
          <w:szCs w:val="22"/>
        </w:rPr>
        <w:t>(Activity 1.3.5)</w:t>
      </w:r>
      <w:r w:rsidR="00C83A74">
        <w:rPr>
          <w:rFonts w:asciiTheme="minorHAnsi" w:hAnsiTheme="minorHAnsi"/>
          <w:sz w:val="22"/>
          <w:szCs w:val="22"/>
        </w:rPr>
        <w:t>.</w:t>
      </w:r>
    </w:p>
    <w:p w14:paraId="5D6BD8BD" w14:textId="77777777" w:rsidR="009B2E0C" w:rsidRPr="00580D52" w:rsidRDefault="009B2E0C" w:rsidP="00E25D74">
      <w:pPr>
        <w:ind w:left="-851"/>
        <w:jc w:val="both"/>
        <w:rPr>
          <w:rFonts w:asciiTheme="minorHAnsi" w:hAnsiTheme="minorHAnsi"/>
          <w:sz w:val="8"/>
          <w:szCs w:val="8"/>
        </w:rPr>
      </w:pPr>
    </w:p>
    <w:p w14:paraId="4E6F32AD" w14:textId="0731B518" w:rsidR="00D17A6F" w:rsidRPr="00E25D74" w:rsidRDefault="00E25D74" w:rsidP="00E25D74">
      <w:pPr>
        <w:ind w:left="-851"/>
        <w:jc w:val="both"/>
        <w:rPr>
          <w:rFonts w:asciiTheme="minorHAnsi" w:hAnsiTheme="minorHAnsi"/>
          <w:sz w:val="22"/>
          <w:szCs w:val="22"/>
        </w:rPr>
      </w:pPr>
      <w:r w:rsidRPr="00E25D74">
        <w:rPr>
          <w:rFonts w:asciiTheme="minorHAnsi" w:hAnsiTheme="minorHAnsi"/>
          <w:sz w:val="22"/>
          <w:szCs w:val="22"/>
        </w:rPr>
        <w:t xml:space="preserve">Following the work with the </w:t>
      </w:r>
      <w:r w:rsidRPr="00DD2EFD">
        <w:rPr>
          <w:rFonts w:asciiTheme="minorHAnsi" w:hAnsiTheme="minorHAnsi"/>
          <w:i/>
          <w:iCs/>
          <w:sz w:val="22"/>
          <w:szCs w:val="22"/>
        </w:rPr>
        <w:t>Associação dos Mestres Corânicos</w:t>
      </w:r>
      <w:r w:rsidRPr="00E25D74">
        <w:rPr>
          <w:rFonts w:asciiTheme="minorHAnsi" w:hAnsiTheme="minorHAnsi"/>
          <w:sz w:val="22"/>
          <w:szCs w:val="22"/>
        </w:rPr>
        <w:t xml:space="preserve">, </w:t>
      </w:r>
      <w:r w:rsidR="00580D52" w:rsidRPr="00580D52">
        <w:rPr>
          <w:rFonts w:asciiTheme="minorHAnsi" w:hAnsiTheme="minorHAnsi"/>
          <w:sz w:val="22"/>
          <w:szCs w:val="22"/>
        </w:rPr>
        <w:t>8 awareness raising activities were also carried out in the communities that have a higher incidence of human trafficking cases (on the same theme) where 259 people were sensitized in focus groups within the east (Bafata and Gabu) and south regions (Quinara and Tombali), in eight communities divided into 85 community with religious leaders. Among the attendees 79</w:t>
      </w:r>
      <w:r w:rsidR="00C83A74">
        <w:rPr>
          <w:rFonts w:asciiTheme="minorHAnsi" w:hAnsiTheme="minorHAnsi"/>
          <w:sz w:val="22"/>
          <w:szCs w:val="22"/>
        </w:rPr>
        <w:t xml:space="preserve"> were women and 95 young people </w:t>
      </w:r>
      <w:r w:rsidR="00580D52" w:rsidRPr="00580D52">
        <w:rPr>
          <w:rFonts w:asciiTheme="minorHAnsi" w:hAnsiTheme="minorHAnsi"/>
          <w:sz w:val="22"/>
          <w:szCs w:val="22"/>
        </w:rPr>
        <w:t>(Activity 1.3.5)</w:t>
      </w:r>
      <w:r w:rsidR="00C83A74">
        <w:rPr>
          <w:rFonts w:asciiTheme="minorHAnsi" w:hAnsiTheme="minorHAnsi"/>
          <w:sz w:val="22"/>
          <w:szCs w:val="22"/>
        </w:rPr>
        <w:t>.</w:t>
      </w:r>
    </w:p>
    <w:p w14:paraId="3374F1A6" w14:textId="77777777" w:rsidR="00D17A6F" w:rsidRPr="005317C3" w:rsidRDefault="00D17A6F" w:rsidP="005317C3">
      <w:pPr>
        <w:pStyle w:val="SemEspaamento"/>
        <w:ind w:left="0" w:right="42"/>
        <w:jc w:val="both"/>
        <w:rPr>
          <w:sz w:val="4"/>
          <w:szCs w:val="4"/>
        </w:rPr>
      </w:pPr>
    </w:p>
    <w:p w14:paraId="18FD0747" w14:textId="77777777" w:rsidR="00C83A74" w:rsidRDefault="00C83A74" w:rsidP="00002F1D">
      <w:pPr>
        <w:ind w:left="-851"/>
        <w:jc w:val="both"/>
        <w:rPr>
          <w:rFonts w:asciiTheme="minorHAnsi" w:hAnsiTheme="minorHAnsi"/>
          <w:sz w:val="22"/>
          <w:szCs w:val="22"/>
        </w:rPr>
      </w:pPr>
    </w:p>
    <w:p w14:paraId="67F1A5C1" w14:textId="1E514B59" w:rsidR="00417D48" w:rsidRDefault="00DB2B41" w:rsidP="00002F1D">
      <w:pPr>
        <w:ind w:left="-851"/>
        <w:jc w:val="both"/>
        <w:rPr>
          <w:rFonts w:asciiTheme="minorHAnsi" w:hAnsiTheme="minorHAnsi"/>
          <w:sz w:val="22"/>
          <w:szCs w:val="22"/>
        </w:rPr>
      </w:pPr>
      <w:r>
        <w:rPr>
          <w:rFonts w:asciiTheme="minorHAnsi" w:hAnsiTheme="minorHAnsi"/>
          <w:sz w:val="22"/>
          <w:szCs w:val="22"/>
        </w:rPr>
        <w:lastRenderedPageBreak/>
        <w:t xml:space="preserve">The </w:t>
      </w:r>
      <w:r w:rsidR="002665AD">
        <w:rPr>
          <w:rFonts w:asciiTheme="minorHAnsi" w:hAnsiTheme="minorHAnsi"/>
          <w:sz w:val="22"/>
          <w:szCs w:val="22"/>
        </w:rPr>
        <w:t>project</w:t>
      </w:r>
      <w:r w:rsidR="00877FC6">
        <w:rPr>
          <w:rFonts w:asciiTheme="minorHAnsi" w:hAnsiTheme="minorHAnsi"/>
          <w:sz w:val="22"/>
          <w:szCs w:val="22"/>
        </w:rPr>
        <w:t>,</w:t>
      </w:r>
      <w:r w:rsidR="002665AD">
        <w:rPr>
          <w:rFonts w:asciiTheme="minorHAnsi" w:hAnsiTheme="minorHAnsi"/>
          <w:sz w:val="22"/>
          <w:szCs w:val="22"/>
        </w:rPr>
        <w:t xml:space="preserve"> </w:t>
      </w:r>
      <w:r w:rsidR="002665AD" w:rsidRPr="00E25D74">
        <w:rPr>
          <w:rFonts w:asciiTheme="minorHAnsi" w:hAnsiTheme="minorHAnsi"/>
          <w:sz w:val="22"/>
          <w:szCs w:val="22"/>
        </w:rPr>
        <w:t>in</w:t>
      </w:r>
      <w:r w:rsidR="00381530" w:rsidRPr="00E25D74">
        <w:rPr>
          <w:rFonts w:asciiTheme="minorHAnsi" w:hAnsiTheme="minorHAnsi"/>
          <w:sz w:val="22"/>
          <w:szCs w:val="22"/>
        </w:rPr>
        <w:t xml:space="preserve"> partnership with the Institute for Women and Children</w:t>
      </w:r>
      <w:r w:rsidR="00415C95">
        <w:rPr>
          <w:rFonts w:asciiTheme="minorHAnsi" w:hAnsiTheme="minorHAnsi"/>
          <w:sz w:val="22"/>
          <w:szCs w:val="22"/>
        </w:rPr>
        <w:t xml:space="preserve"> (IMC)</w:t>
      </w:r>
      <w:r w:rsidR="00381530" w:rsidRPr="00E25D74">
        <w:rPr>
          <w:rFonts w:asciiTheme="minorHAnsi" w:hAnsiTheme="minorHAnsi"/>
          <w:sz w:val="22"/>
          <w:szCs w:val="22"/>
        </w:rPr>
        <w:t xml:space="preserve"> and the Children's Parliament, </w:t>
      </w:r>
      <w:r w:rsidR="00877FC6">
        <w:rPr>
          <w:rFonts w:asciiTheme="minorHAnsi" w:hAnsiTheme="minorHAnsi"/>
          <w:sz w:val="22"/>
          <w:szCs w:val="22"/>
        </w:rPr>
        <w:t>is</w:t>
      </w:r>
      <w:r w:rsidR="00877FC6" w:rsidRPr="00E25D74">
        <w:rPr>
          <w:rFonts w:asciiTheme="minorHAnsi" w:hAnsiTheme="minorHAnsi"/>
          <w:sz w:val="22"/>
          <w:szCs w:val="22"/>
        </w:rPr>
        <w:t xml:space="preserve"> </w:t>
      </w:r>
      <w:r w:rsidR="00381530" w:rsidRPr="00E25D74">
        <w:rPr>
          <w:rFonts w:asciiTheme="minorHAnsi" w:hAnsiTheme="minorHAnsi"/>
          <w:sz w:val="22"/>
          <w:szCs w:val="22"/>
        </w:rPr>
        <w:t>implementing a set of training activities,</w:t>
      </w:r>
      <w:r w:rsidR="00450155">
        <w:rPr>
          <w:rFonts w:asciiTheme="minorHAnsi" w:hAnsiTheme="minorHAnsi"/>
          <w:sz w:val="22"/>
          <w:szCs w:val="22"/>
        </w:rPr>
        <w:t xml:space="preserve"> in </w:t>
      </w:r>
      <w:r w:rsidR="00580D52">
        <w:rPr>
          <w:rFonts w:asciiTheme="minorHAnsi" w:hAnsiTheme="minorHAnsi"/>
          <w:sz w:val="22"/>
          <w:szCs w:val="22"/>
        </w:rPr>
        <w:t>June 2021</w:t>
      </w:r>
      <w:r w:rsidR="00450155">
        <w:rPr>
          <w:rFonts w:asciiTheme="minorHAnsi" w:hAnsiTheme="minorHAnsi"/>
          <w:sz w:val="22"/>
          <w:szCs w:val="22"/>
        </w:rPr>
        <w:t xml:space="preserve">, </w:t>
      </w:r>
      <w:r w:rsidR="00381530" w:rsidRPr="00E25D74">
        <w:rPr>
          <w:rFonts w:asciiTheme="minorHAnsi" w:hAnsiTheme="minorHAnsi"/>
          <w:sz w:val="22"/>
          <w:szCs w:val="22"/>
        </w:rPr>
        <w:t xml:space="preserve">involving about 60 young people (12 to 17 years old), in the Northern, Southern and Eastern provinces, on the harmful practices surrounding child trafficking, its warning and protection mechanisms, and the consequences of child begging with the regional structures of the Children's </w:t>
      </w:r>
      <w:r w:rsidR="00E25D74" w:rsidRPr="00E25D74">
        <w:rPr>
          <w:rFonts w:asciiTheme="minorHAnsi" w:hAnsiTheme="minorHAnsi"/>
          <w:sz w:val="22"/>
          <w:szCs w:val="22"/>
        </w:rPr>
        <w:t>Parliament Organization</w:t>
      </w:r>
      <w:r w:rsidR="00381530" w:rsidRPr="00E25D74">
        <w:rPr>
          <w:rFonts w:asciiTheme="minorHAnsi" w:hAnsiTheme="minorHAnsi"/>
          <w:sz w:val="22"/>
          <w:szCs w:val="22"/>
        </w:rPr>
        <w:t xml:space="preserve">. </w:t>
      </w:r>
      <w:r w:rsidR="00E25D74" w:rsidRPr="00E25D74">
        <w:rPr>
          <w:rFonts w:asciiTheme="minorHAnsi" w:hAnsiTheme="minorHAnsi"/>
          <w:sz w:val="22"/>
          <w:szCs w:val="22"/>
        </w:rPr>
        <w:t>These activities have been also implemented in partnership with the Guinean Association for the Fight against Illegal Migration and Trafficking in Human Beings (AGLUCOMI-TSH)</w:t>
      </w:r>
      <w:r w:rsidR="00417D48" w:rsidRPr="00417D48">
        <w:t xml:space="preserve"> </w:t>
      </w:r>
      <w:r w:rsidR="00417D48" w:rsidRPr="00417D48">
        <w:rPr>
          <w:rFonts w:asciiTheme="minorHAnsi" w:hAnsiTheme="minorHAnsi"/>
          <w:sz w:val="22"/>
          <w:szCs w:val="22"/>
        </w:rPr>
        <w:t>An advocacy session held by the National Children's Parliament was supported by the project where it was possible to raise awareness about the issue of begging of children and trafficking of children to neighbouring countries with the Nation's Deputies and the President of the Republic. The President has used this speech of protection against Talib</w:t>
      </w:r>
      <w:r w:rsidR="00417D48">
        <w:rPr>
          <w:rFonts w:asciiTheme="minorHAnsi" w:hAnsiTheme="minorHAnsi"/>
          <w:sz w:val="22"/>
          <w:szCs w:val="22"/>
        </w:rPr>
        <w:t xml:space="preserve">es </w:t>
      </w:r>
      <w:r w:rsidR="00417D48" w:rsidRPr="00417D48">
        <w:rPr>
          <w:rFonts w:asciiTheme="minorHAnsi" w:hAnsiTheme="minorHAnsi"/>
          <w:sz w:val="22"/>
          <w:szCs w:val="22"/>
        </w:rPr>
        <w:t>children in public rallies.</w:t>
      </w:r>
      <w:r w:rsidR="00E25D74" w:rsidRPr="00E25D74">
        <w:rPr>
          <w:rFonts w:asciiTheme="minorHAnsi" w:hAnsiTheme="minorHAnsi"/>
          <w:sz w:val="22"/>
          <w:szCs w:val="22"/>
        </w:rPr>
        <w:t xml:space="preserve"> </w:t>
      </w:r>
      <w:r w:rsidR="00002F1D">
        <w:rPr>
          <w:rFonts w:asciiTheme="minorHAnsi" w:hAnsiTheme="minorHAnsi"/>
          <w:sz w:val="22"/>
          <w:szCs w:val="22"/>
        </w:rPr>
        <w:t>(Activity 1.3.5</w:t>
      </w:r>
      <w:r w:rsidR="007E46CB">
        <w:rPr>
          <w:rFonts w:asciiTheme="minorHAnsi" w:hAnsiTheme="minorHAnsi"/>
          <w:sz w:val="22"/>
          <w:szCs w:val="22"/>
        </w:rPr>
        <w:t>)</w:t>
      </w:r>
      <w:r w:rsidR="00DC1B2E">
        <w:rPr>
          <w:rFonts w:asciiTheme="minorHAnsi" w:hAnsiTheme="minorHAnsi"/>
          <w:sz w:val="22"/>
          <w:szCs w:val="22"/>
        </w:rPr>
        <w:t>.</w:t>
      </w:r>
    </w:p>
    <w:p w14:paraId="375682FC" w14:textId="77777777" w:rsidR="00417D48" w:rsidRPr="00C83A74" w:rsidRDefault="00417D48" w:rsidP="00C83A74">
      <w:pPr>
        <w:jc w:val="both"/>
        <w:rPr>
          <w:rFonts w:asciiTheme="minorHAnsi" w:hAnsiTheme="minorHAnsi"/>
          <w:sz w:val="8"/>
          <w:szCs w:val="8"/>
        </w:rPr>
      </w:pPr>
    </w:p>
    <w:p w14:paraId="6F115EC0" w14:textId="545CB5CB" w:rsidR="000E7142" w:rsidRPr="000E7142" w:rsidRDefault="000E7142" w:rsidP="00C83A74">
      <w:pPr>
        <w:ind w:left="-851"/>
        <w:jc w:val="both"/>
        <w:rPr>
          <w:rFonts w:asciiTheme="minorHAnsi" w:hAnsiTheme="minorHAnsi"/>
          <w:sz w:val="22"/>
          <w:szCs w:val="22"/>
        </w:rPr>
      </w:pPr>
      <w:r w:rsidRPr="000E7142">
        <w:rPr>
          <w:rFonts w:asciiTheme="minorHAnsi" w:hAnsiTheme="minorHAnsi"/>
          <w:sz w:val="22"/>
          <w:szCs w:val="22"/>
        </w:rPr>
        <w:t>Close to 2300 radio spots on national coverage and community radio and 1 radio debate with specialists have been realized by the National NGO ENDA Sante during the period March-November 2021. Different messages on Money Laundering (BC) and risk  reduction and harm minimization (RdRMD) linked to drug consumption and trafficking have been broadcasted within the national radio and communities radio in Can</w:t>
      </w:r>
      <w:r w:rsidR="00417D48">
        <w:rPr>
          <w:rFonts w:asciiTheme="minorHAnsi" w:hAnsiTheme="minorHAnsi"/>
          <w:sz w:val="22"/>
          <w:szCs w:val="22"/>
        </w:rPr>
        <w:t>c</w:t>
      </w:r>
      <w:r w:rsidRPr="000E7142">
        <w:rPr>
          <w:rFonts w:asciiTheme="minorHAnsi" w:hAnsiTheme="minorHAnsi"/>
          <w:sz w:val="22"/>
          <w:szCs w:val="22"/>
        </w:rPr>
        <w:t xml:space="preserve">hungo (north west), Gabu (east) and Buba and Bijagos Islands (south) </w:t>
      </w:r>
      <w:r w:rsidR="00A53E4F" w:rsidRPr="00A53E4F">
        <w:rPr>
          <w:rFonts w:asciiTheme="minorHAnsi" w:hAnsiTheme="minorHAnsi"/>
          <w:sz w:val="22"/>
          <w:szCs w:val="22"/>
        </w:rPr>
        <w:t>(Activity 1.3.5)</w:t>
      </w:r>
      <w:r w:rsidR="00A53E4F">
        <w:rPr>
          <w:rFonts w:asciiTheme="minorHAnsi" w:hAnsiTheme="minorHAnsi"/>
          <w:sz w:val="22"/>
          <w:szCs w:val="22"/>
        </w:rPr>
        <w:t>.</w:t>
      </w:r>
    </w:p>
    <w:p w14:paraId="22C054EC" w14:textId="77777777" w:rsidR="00A53E4F" w:rsidRPr="00A53E4F" w:rsidRDefault="00A53E4F" w:rsidP="00C83A74">
      <w:pPr>
        <w:ind w:left="-851"/>
        <w:jc w:val="both"/>
        <w:rPr>
          <w:rFonts w:asciiTheme="minorHAnsi" w:hAnsiTheme="minorHAnsi"/>
          <w:sz w:val="8"/>
          <w:szCs w:val="8"/>
        </w:rPr>
      </w:pPr>
    </w:p>
    <w:p w14:paraId="60CBC5D9" w14:textId="03B71C2B" w:rsidR="00923726" w:rsidRPr="000E7142" w:rsidRDefault="000E7142" w:rsidP="00C83A74">
      <w:pPr>
        <w:ind w:left="-851"/>
        <w:jc w:val="both"/>
        <w:rPr>
          <w:rFonts w:asciiTheme="minorHAnsi" w:hAnsiTheme="minorHAnsi"/>
          <w:sz w:val="22"/>
          <w:szCs w:val="22"/>
        </w:rPr>
      </w:pPr>
      <w:r w:rsidRPr="000E7142">
        <w:rPr>
          <w:rFonts w:asciiTheme="minorHAnsi" w:hAnsiTheme="minorHAnsi"/>
          <w:sz w:val="22"/>
          <w:szCs w:val="22"/>
        </w:rPr>
        <w:t>Introduced by the Guinean Drug and Drug Addiction Observatory (OGDT), the radio program for sensitization and prevention of drug use called «Social Forum – extension of the 2nd Edition» in communication for the change of mentality, behavior and attitude, with a view to strengthening and positively influencing the transmission of knowledge, encouraging good practices is broadcasted on national radio once a week during 1 hour in November and September 2021. This programme focus on awareness raising and prevention of drug trafficking and consumption with a view to increase the level of knowledge and the perception of public opinion , in general, on the risks, consequences and threats that the country faces in terms of human rights and in the consolidation of a democratic rule of law. (Activity 1.3.5)</w:t>
      </w:r>
      <w:r w:rsidR="00A53E4F">
        <w:rPr>
          <w:rFonts w:asciiTheme="minorHAnsi" w:hAnsiTheme="minorHAnsi"/>
          <w:sz w:val="22"/>
          <w:szCs w:val="22"/>
        </w:rPr>
        <w:t>.</w:t>
      </w:r>
    </w:p>
    <w:p w14:paraId="54D5CAB3" w14:textId="77777777" w:rsidR="000E7142" w:rsidRDefault="000E7142" w:rsidP="000E7142">
      <w:pPr>
        <w:ind w:left="-720"/>
        <w:rPr>
          <w:b/>
        </w:rPr>
      </w:pPr>
    </w:p>
    <w:p w14:paraId="09D8823A" w14:textId="77777777" w:rsidR="00161D02" w:rsidRPr="00AF6AA2" w:rsidRDefault="00627A1C" w:rsidP="00627A1C">
      <w:pPr>
        <w:ind w:left="-720"/>
        <w:rPr>
          <w:b/>
        </w:rPr>
      </w:pPr>
      <w:r w:rsidRPr="00AF6AA2">
        <w:rPr>
          <w:b/>
          <w:bCs/>
          <w:color w:val="000000"/>
          <w:lang w:val="en-US" w:eastAsia="en-US"/>
        </w:rPr>
        <w:t>Indicate any additional analysis on how Gender Equality and Women’s Empowerment and/or Youth Inclusion and Responsiveness has been ensured under this Outcome</w:t>
      </w:r>
      <w:r w:rsidR="00161D02" w:rsidRPr="00AF6AA2">
        <w:rPr>
          <w:b/>
        </w:rPr>
        <w:t xml:space="preserve">: </w:t>
      </w:r>
      <w:r w:rsidR="00161D02" w:rsidRPr="00AF6AA2">
        <w:rPr>
          <w:i/>
        </w:rPr>
        <w:t>(1000 character limit)</w:t>
      </w:r>
    </w:p>
    <w:p w14:paraId="30A8A7AB" w14:textId="77777777" w:rsidR="00323ABC" w:rsidRPr="00412473" w:rsidRDefault="00323ABC" w:rsidP="007E4FA1">
      <w:pPr>
        <w:rPr>
          <w:b/>
          <w:sz w:val="8"/>
          <w:szCs w:val="8"/>
        </w:rPr>
      </w:pPr>
    </w:p>
    <w:p w14:paraId="1216B5E0" w14:textId="6DF3D595" w:rsidR="00002F1D" w:rsidRDefault="00DB2B41" w:rsidP="005F3240">
      <w:pPr>
        <w:pStyle w:val="SemEspaamento"/>
        <w:ind w:left="-851" w:right="-99"/>
        <w:jc w:val="both"/>
      </w:pPr>
      <w:r>
        <w:t>The project</w:t>
      </w:r>
      <w:r w:rsidRPr="00381530">
        <w:t xml:space="preserve"> </w:t>
      </w:r>
      <w:r w:rsidR="00381530" w:rsidRPr="00381530">
        <w:t>supported the National Children's Parliament, which is a structure comprising 102 child parliamentarians representing all regions of the country, in its advocacy, communication and awareness-raising activities for the promotion of children's rights and the adoption of legal instruments on children's rights</w:t>
      </w:r>
      <w:r w:rsidR="00002F1D">
        <w:t>.</w:t>
      </w:r>
    </w:p>
    <w:p w14:paraId="27A11D01" w14:textId="77777777" w:rsidR="00412473" w:rsidRPr="00412473" w:rsidRDefault="00412473" w:rsidP="00412473">
      <w:pPr>
        <w:pStyle w:val="SemEspaamento"/>
        <w:ind w:left="-851" w:right="-99"/>
        <w:jc w:val="both"/>
        <w:rPr>
          <w:sz w:val="8"/>
          <w:szCs w:val="8"/>
        </w:rPr>
      </w:pPr>
    </w:p>
    <w:p w14:paraId="421997CE" w14:textId="5F8482F4" w:rsidR="00C253BB" w:rsidRDefault="00002F1D" w:rsidP="00412473">
      <w:pPr>
        <w:pStyle w:val="SemEspaamento"/>
        <w:ind w:left="-851" w:right="-99"/>
        <w:jc w:val="both"/>
      </w:pPr>
      <w:r>
        <w:t>During the awareness raising sessions i</w:t>
      </w:r>
      <w:r w:rsidR="00C253BB">
        <w:t>mplemented by the National NGOs</w:t>
      </w:r>
      <w:r w:rsidR="0025067A">
        <w:t xml:space="preserve"> in </w:t>
      </w:r>
      <w:r w:rsidR="00443409">
        <w:t>April 2021</w:t>
      </w:r>
      <w:r w:rsidR="00C253BB">
        <w:t>, tailor gender sensitive messaging in relation to prevention of human and drug trafficking were also addressed.</w:t>
      </w:r>
      <w:r w:rsidR="00264D6B" w:rsidRPr="00264D6B">
        <w:t xml:space="preserve"> </w:t>
      </w:r>
      <w:r w:rsidR="00264D6B">
        <w:t>The communities requested more information sessions for longer periods of time, so that more information can be availed and ensuring that there is still time for dis</w:t>
      </w:r>
      <w:r w:rsidR="00412473">
        <w:t xml:space="preserve">cussions of any emerging issues. </w:t>
      </w:r>
      <w:r w:rsidR="00DB2B41">
        <w:t xml:space="preserve">On another side </w:t>
      </w:r>
      <w:r w:rsidR="00C253BB">
        <w:t>the security community and proximity police will be address</w:t>
      </w:r>
      <w:r w:rsidR="0025067A">
        <w:t>ed</w:t>
      </w:r>
      <w:r w:rsidR="00C253BB">
        <w:t xml:space="preserve"> through a gender sensi</w:t>
      </w:r>
      <w:r w:rsidR="00AA011F">
        <w:t>tive perspective</w:t>
      </w:r>
      <w:r w:rsidR="0025067A">
        <w:t>,</w:t>
      </w:r>
      <w:r w:rsidR="00AA011F">
        <w:t xml:space="preserve"> including vu</w:t>
      </w:r>
      <w:r w:rsidR="00C253BB">
        <w:t>lnerable people, in provided services</w:t>
      </w:r>
      <w:r w:rsidR="00AA011F">
        <w:t>.</w:t>
      </w:r>
    </w:p>
    <w:p w14:paraId="79A0C48C" w14:textId="77777777" w:rsidR="00412473" w:rsidRPr="00412473" w:rsidRDefault="00412473" w:rsidP="00412473">
      <w:pPr>
        <w:pStyle w:val="SemEspaamento"/>
        <w:ind w:left="-851" w:right="42"/>
        <w:jc w:val="both"/>
        <w:rPr>
          <w:sz w:val="8"/>
          <w:szCs w:val="8"/>
        </w:rPr>
      </w:pPr>
    </w:p>
    <w:p w14:paraId="6B9318BE" w14:textId="1BE4B616" w:rsidR="00433487" w:rsidRPr="00412473" w:rsidRDefault="00433487" w:rsidP="00412473">
      <w:pPr>
        <w:pStyle w:val="SemEspaamento"/>
        <w:ind w:left="-851" w:right="42"/>
        <w:jc w:val="both"/>
      </w:pPr>
      <w:r>
        <w:t>As a result of the creation of  local cross-border protection actors (Entry Point Authorities, members of the Vigilance Committees, Children's Parliament, AMIC and SOS Children Talibés</w:t>
      </w:r>
      <w:r w:rsidR="00AD359A">
        <w:t>) a</w:t>
      </w:r>
      <w:r>
        <w:t xml:space="preserve"> group of 40 children (31 girls and 9 boys) who were being transported to Senegal were </w:t>
      </w:r>
      <w:r w:rsidR="005F3240">
        <w:t>intercepted in</w:t>
      </w:r>
      <w:r w:rsidR="007868BC">
        <w:t xml:space="preserve"> </w:t>
      </w:r>
      <w:r w:rsidR="00AD359A">
        <w:t xml:space="preserve">7 </w:t>
      </w:r>
      <w:r w:rsidR="007868BC">
        <w:t>November 2021</w:t>
      </w:r>
      <w:r>
        <w:t xml:space="preserve"> and 33 people, presumably Koranic Masters arrested</w:t>
      </w:r>
      <w:r w:rsidR="00412473">
        <w:t>.</w:t>
      </w:r>
      <w:r w:rsidR="00AD359A">
        <w:t xml:space="preserve"> </w:t>
      </w:r>
      <w:r w:rsidRPr="00412473">
        <w:rPr>
          <w:rFonts w:asciiTheme="minorHAnsi" w:hAnsiTheme="minorHAnsi"/>
        </w:rPr>
        <w:t>The data from these victims were entered in the reference file installed in the electronic devices delivered to the Migration and Borders Services so that later the IMC can compile and process this and other data from other borders</w:t>
      </w:r>
      <w:r w:rsidR="00412473">
        <w:rPr>
          <w:rFonts w:asciiTheme="minorHAnsi" w:hAnsiTheme="minorHAnsi"/>
        </w:rPr>
        <w:t>.</w:t>
      </w:r>
    </w:p>
    <w:p w14:paraId="5F484719" w14:textId="77777777" w:rsidR="00433487" w:rsidRPr="00381530" w:rsidRDefault="00433487" w:rsidP="00381530">
      <w:pPr>
        <w:pStyle w:val="SemEspaamento"/>
        <w:ind w:left="-709" w:right="-99"/>
        <w:jc w:val="both"/>
      </w:pPr>
    </w:p>
    <w:p w14:paraId="0A4130DB" w14:textId="77777777" w:rsidR="00D17A6F" w:rsidRDefault="00D17A6F" w:rsidP="00206D45">
      <w:pPr>
        <w:rPr>
          <w:b/>
        </w:rPr>
      </w:pPr>
    </w:p>
    <w:p w14:paraId="6AE289CD" w14:textId="77777777" w:rsidR="00412473" w:rsidRDefault="00412473" w:rsidP="00206D45">
      <w:pPr>
        <w:ind w:hanging="810"/>
        <w:jc w:val="both"/>
        <w:rPr>
          <w:b/>
        </w:rPr>
      </w:pPr>
    </w:p>
    <w:p w14:paraId="0FCD6088" w14:textId="77777777" w:rsidR="00412473" w:rsidRDefault="00412473" w:rsidP="00206D45">
      <w:pPr>
        <w:ind w:hanging="810"/>
        <w:jc w:val="both"/>
        <w:rPr>
          <w:b/>
        </w:rPr>
      </w:pPr>
    </w:p>
    <w:p w14:paraId="54FCF9FA" w14:textId="77777777" w:rsidR="00412473" w:rsidRDefault="00412473" w:rsidP="00206D45">
      <w:pPr>
        <w:ind w:hanging="810"/>
        <w:jc w:val="both"/>
        <w:rPr>
          <w:b/>
        </w:rPr>
      </w:pPr>
    </w:p>
    <w:p w14:paraId="080ECAFC" w14:textId="77777777" w:rsidR="00412473" w:rsidRDefault="00412473" w:rsidP="00206D45">
      <w:pPr>
        <w:ind w:hanging="810"/>
        <w:jc w:val="both"/>
        <w:rPr>
          <w:b/>
        </w:rPr>
      </w:pPr>
    </w:p>
    <w:p w14:paraId="3A8DCCE3" w14:textId="77777777" w:rsidR="00412473" w:rsidRDefault="00412473" w:rsidP="00206D45">
      <w:pPr>
        <w:ind w:hanging="810"/>
        <w:jc w:val="both"/>
        <w:rPr>
          <w:b/>
        </w:rPr>
      </w:pPr>
    </w:p>
    <w:p w14:paraId="010A30D7" w14:textId="77777777" w:rsidR="00997347" w:rsidRPr="00206D45" w:rsidRDefault="00206D45" w:rsidP="00206D45">
      <w:pPr>
        <w:ind w:hanging="810"/>
        <w:jc w:val="both"/>
        <w:rPr>
          <w:b/>
          <w:u w:val="single"/>
        </w:rPr>
      </w:pPr>
      <w:r w:rsidRPr="00206D45">
        <w:rPr>
          <w:b/>
          <w:u w:val="single"/>
        </w:rPr>
        <w:lastRenderedPageBreak/>
        <w:t xml:space="preserve">PART III: CROSS-CUTTING ISSUES </w:t>
      </w:r>
    </w:p>
    <w:p w14:paraId="7F006A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4"/>
        <w:gridCol w:w="3996"/>
      </w:tblGrid>
      <w:tr w:rsidR="00997347" w:rsidRPr="00627A1C" w14:paraId="6AB96D21" w14:textId="77777777" w:rsidTr="00412473">
        <w:tc>
          <w:tcPr>
            <w:tcW w:w="6174" w:type="dxa"/>
            <w:shd w:val="clear" w:color="auto" w:fill="auto"/>
          </w:tcPr>
          <w:p w14:paraId="0D872A29" w14:textId="00528014" w:rsidR="007118F5" w:rsidRPr="001E7CAD" w:rsidRDefault="003D4CD7" w:rsidP="00234A5E">
            <w:r w:rsidRPr="002665AD">
              <w:rPr>
                <w:b/>
                <w:bCs/>
                <w:u w:val="single"/>
              </w:rPr>
              <w:t>M</w:t>
            </w:r>
            <w:r w:rsidR="006C1819" w:rsidRPr="002665AD">
              <w:rPr>
                <w:b/>
                <w:bCs/>
                <w:u w:val="single"/>
              </w:rPr>
              <w:t>onitoring</w:t>
            </w:r>
            <w:r w:rsidR="00513612" w:rsidRPr="002665AD">
              <w:rPr>
                <w:b/>
                <w:bCs/>
              </w:rPr>
              <w:t>:</w:t>
            </w:r>
            <w:r w:rsidR="00513612" w:rsidRPr="00627A1C">
              <w:rPr>
                <w:b/>
                <w:bCs/>
              </w:rPr>
              <w:t xml:space="preserve"> </w:t>
            </w:r>
            <w:r w:rsidR="007118F5" w:rsidRPr="00627A1C">
              <w:t>Please list monitoring activities undertaken in the reportin</w:t>
            </w:r>
            <w:r w:rsidR="001E7CAD">
              <w:t>g period (1000 character limit)</w:t>
            </w:r>
          </w:p>
          <w:p w14:paraId="1BF75691" w14:textId="5A13D3B4" w:rsidR="009B718E" w:rsidRPr="009B718E" w:rsidRDefault="009B718E" w:rsidP="009B718E">
            <w:pPr>
              <w:jc w:val="both"/>
              <w:rPr>
                <w:rFonts w:asciiTheme="minorHAnsi" w:hAnsiTheme="minorHAnsi"/>
                <w:sz w:val="22"/>
                <w:szCs w:val="22"/>
              </w:rPr>
            </w:pPr>
            <w:r>
              <w:rPr>
                <w:rFonts w:asciiTheme="minorHAnsi" w:hAnsiTheme="minorHAnsi"/>
                <w:sz w:val="22"/>
                <w:szCs w:val="22"/>
              </w:rPr>
              <w:t xml:space="preserve">- </w:t>
            </w:r>
            <w:r w:rsidRPr="009B718E">
              <w:rPr>
                <w:rFonts w:asciiTheme="minorHAnsi" w:hAnsiTheme="minorHAnsi"/>
                <w:sz w:val="22"/>
                <w:szCs w:val="22"/>
              </w:rPr>
              <w:t>Monitoring and coordination meetings between the receiving agencies have been held periodically since July 2020;</w:t>
            </w:r>
            <w:r w:rsidR="009E573C">
              <w:rPr>
                <w:rFonts w:asciiTheme="minorHAnsi" w:hAnsiTheme="minorHAnsi"/>
                <w:sz w:val="22"/>
                <w:szCs w:val="22"/>
              </w:rPr>
              <w:t xml:space="preserve"> on regular basis (</w:t>
            </w:r>
            <w:r w:rsidR="00433487">
              <w:rPr>
                <w:rFonts w:asciiTheme="minorHAnsi" w:hAnsiTheme="minorHAnsi"/>
                <w:sz w:val="22"/>
                <w:szCs w:val="22"/>
              </w:rPr>
              <w:t>the committee used to meet weekly</w:t>
            </w:r>
            <w:r w:rsidR="001F459A">
              <w:rPr>
                <w:rFonts w:asciiTheme="minorHAnsi" w:hAnsiTheme="minorHAnsi"/>
                <w:sz w:val="22"/>
                <w:szCs w:val="22"/>
              </w:rPr>
              <w:t xml:space="preserve">, however this has been intereupted with the delay for the approval of the NCE).   </w:t>
            </w:r>
          </w:p>
          <w:p w14:paraId="5030FC74" w14:textId="4BBCAB77" w:rsidR="009B718E" w:rsidRPr="009B718E" w:rsidRDefault="009B718E" w:rsidP="009B718E">
            <w:pPr>
              <w:jc w:val="both"/>
              <w:rPr>
                <w:rFonts w:asciiTheme="minorHAnsi" w:hAnsiTheme="minorHAnsi"/>
                <w:sz w:val="22"/>
                <w:szCs w:val="22"/>
              </w:rPr>
            </w:pPr>
            <w:r>
              <w:rPr>
                <w:rFonts w:asciiTheme="minorHAnsi" w:hAnsiTheme="minorHAnsi"/>
                <w:sz w:val="22"/>
                <w:szCs w:val="22"/>
              </w:rPr>
              <w:t xml:space="preserve"> - </w:t>
            </w:r>
            <w:r w:rsidRPr="009B718E">
              <w:rPr>
                <w:rFonts w:asciiTheme="minorHAnsi" w:hAnsiTheme="minorHAnsi"/>
                <w:sz w:val="22"/>
                <w:szCs w:val="22"/>
              </w:rPr>
              <w:t xml:space="preserve">Monitoring meetings were also held with PBF secretariat periodically and a meeting with PBSO were held in 12 April 2021; </w:t>
            </w:r>
          </w:p>
          <w:p w14:paraId="23FC579A" w14:textId="38AC37BE" w:rsidR="00B3491F" w:rsidRPr="00B3491F" w:rsidRDefault="009B718E" w:rsidP="00B3491F">
            <w:pPr>
              <w:jc w:val="both"/>
              <w:rPr>
                <w:rFonts w:asciiTheme="minorHAnsi" w:hAnsiTheme="minorHAnsi"/>
                <w:sz w:val="22"/>
                <w:szCs w:val="22"/>
              </w:rPr>
            </w:pPr>
            <w:r>
              <w:rPr>
                <w:rFonts w:asciiTheme="minorHAnsi" w:hAnsiTheme="minorHAnsi"/>
                <w:sz w:val="22"/>
                <w:szCs w:val="22"/>
              </w:rPr>
              <w:t xml:space="preserve">- </w:t>
            </w:r>
            <w:r w:rsidRPr="009B718E">
              <w:rPr>
                <w:rFonts w:asciiTheme="minorHAnsi" w:hAnsiTheme="minorHAnsi"/>
                <w:sz w:val="22"/>
                <w:szCs w:val="22"/>
              </w:rPr>
              <w:t>Meetings of monitoring and for activities implementation with national partners were held;</w:t>
            </w:r>
            <w:r w:rsidR="00B3491F">
              <w:t xml:space="preserve"> </w:t>
            </w:r>
            <w:r w:rsidR="00B3491F">
              <w:rPr>
                <w:rFonts w:asciiTheme="minorHAnsi" w:hAnsiTheme="minorHAnsi"/>
                <w:sz w:val="22"/>
                <w:szCs w:val="22"/>
              </w:rPr>
              <w:t>Various consultations with the D</w:t>
            </w:r>
            <w:r w:rsidR="00B3491F" w:rsidRPr="00B3491F">
              <w:rPr>
                <w:rFonts w:asciiTheme="minorHAnsi" w:hAnsiTheme="minorHAnsi"/>
                <w:sz w:val="22"/>
                <w:szCs w:val="22"/>
              </w:rPr>
              <w:t>irector of the National Guard and the Police</w:t>
            </w:r>
            <w:r w:rsidR="00B3491F">
              <w:rPr>
                <w:rFonts w:asciiTheme="minorHAnsi" w:hAnsiTheme="minorHAnsi"/>
                <w:sz w:val="22"/>
                <w:szCs w:val="22"/>
              </w:rPr>
              <w:t xml:space="preserve"> Public Order</w:t>
            </w:r>
            <w:r w:rsidR="00B3491F" w:rsidRPr="00B3491F">
              <w:rPr>
                <w:rFonts w:asciiTheme="minorHAnsi" w:hAnsiTheme="minorHAnsi"/>
                <w:sz w:val="22"/>
                <w:szCs w:val="22"/>
              </w:rPr>
              <w:t xml:space="preserve"> allowed to introduce the next stages of the project and to clarify the expectations and the objectives sought</w:t>
            </w:r>
            <w:r w:rsidR="00303C65">
              <w:rPr>
                <w:rFonts w:asciiTheme="minorHAnsi" w:hAnsiTheme="minorHAnsi"/>
                <w:sz w:val="22"/>
                <w:szCs w:val="22"/>
              </w:rPr>
              <w:t xml:space="preserve"> related to the on-going rehabilitation process</w:t>
            </w:r>
            <w:r w:rsidR="00B3491F" w:rsidRPr="00B3491F">
              <w:rPr>
                <w:rFonts w:asciiTheme="minorHAnsi" w:hAnsiTheme="minorHAnsi"/>
                <w:sz w:val="22"/>
                <w:szCs w:val="22"/>
              </w:rPr>
              <w:t>.</w:t>
            </w:r>
          </w:p>
          <w:p w14:paraId="73345F92" w14:textId="24D3B4E4" w:rsidR="00B3491F" w:rsidRPr="00B3491F" w:rsidRDefault="00B3491F" w:rsidP="009E573C">
            <w:pPr>
              <w:jc w:val="both"/>
              <w:rPr>
                <w:rFonts w:asciiTheme="minorHAnsi" w:hAnsiTheme="minorHAnsi"/>
                <w:sz w:val="22"/>
                <w:szCs w:val="22"/>
              </w:rPr>
            </w:pPr>
            <w:r w:rsidRPr="00B3491F">
              <w:rPr>
                <w:rFonts w:asciiTheme="minorHAnsi" w:hAnsiTheme="minorHAnsi"/>
                <w:sz w:val="22"/>
                <w:szCs w:val="22"/>
              </w:rPr>
              <w:t xml:space="preserve">As part of the preparation of the consultations </w:t>
            </w:r>
            <w:r>
              <w:rPr>
                <w:rFonts w:asciiTheme="minorHAnsi" w:hAnsiTheme="minorHAnsi"/>
                <w:sz w:val="22"/>
                <w:szCs w:val="22"/>
              </w:rPr>
              <w:t>to define the</w:t>
            </w:r>
            <w:r w:rsidRPr="00B3491F">
              <w:rPr>
                <w:rFonts w:asciiTheme="minorHAnsi" w:hAnsiTheme="minorHAnsi"/>
                <w:sz w:val="22"/>
                <w:szCs w:val="22"/>
              </w:rPr>
              <w:t xml:space="preserve"> strategy</w:t>
            </w:r>
            <w:r>
              <w:rPr>
                <w:rFonts w:asciiTheme="minorHAnsi" w:hAnsiTheme="minorHAnsi"/>
                <w:sz w:val="22"/>
                <w:szCs w:val="22"/>
              </w:rPr>
              <w:t xml:space="preserve"> for Community security  and Proximity Police </w:t>
            </w:r>
            <w:r w:rsidRPr="00B3491F">
              <w:rPr>
                <w:rFonts w:asciiTheme="minorHAnsi" w:hAnsiTheme="minorHAnsi"/>
                <w:sz w:val="22"/>
                <w:szCs w:val="22"/>
              </w:rPr>
              <w:t xml:space="preserve">, the </w:t>
            </w:r>
            <w:r>
              <w:rPr>
                <w:rFonts w:asciiTheme="minorHAnsi" w:hAnsiTheme="minorHAnsi"/>
                <w:sz w:val="22"/>
                <w:szCs w:val="22"/>
              </w:rPr>
              <w:t xml:space="preserve">different </w:t>
            </w:r>
            <w:r w:rsidRPr="00B3491F">
              <w:rPr>
                <w:rFonts w:asciiTheme="minorHAnsi" w:hAnsiTheme="minorHAnsi"/>
                <w:sz w:val="22"/>
                <w:szCs w:val="22"/>
              </w:rPr>
              <w:t xml:space="preserve">meetings with the POP </w:t>
            </w:r>
            <w:r>
              <w:rPr>
                <w:rFonts w:asciiTheme="minorHAnsi" w:hAnsiTheme="minorHAnsi"/>
                <w:sz w:val="22"/>
                <w:szCs w:val="22"/>
              </w:rPr>
              <w:t xml:space="preserve">senior management and personnel facilitated the comprehension of </w:t>
            </w:r>
            <w:r w:rsidRPr="00B3491F">
              <w:rPr>
                <w:rFonts w:asciiTheme="minorHAnsi" w:hAnsiTheme="minorHAnsi"/>
                <w:sz w:val="22"/>
                <w:szCs w:val="22"/>
              </w:rPr>
              <w:t xml:space="preserve"> the challenges and expectations in terms of improving relations</w:t>
            </w:r>
            <w:r>
              <w:rPr>
                <w:rFonts w:asciiTheme="minorHAnsi" w:hAnsiTheme="minorHAnsi"/>
                <w:sz w:val="22"/>
                <w:szCs w:val="22"/>
              </w:rPr>
              <w:t>hips</w:t>
            </w:r>
            <w:r w:rsidRPr="00B3491F">
              <w:rPr>
                <w:rFonts w:asciiTheme="minorHAnsi" w:hAnsiTheme="minorHAnsi"/>
                <w:sz w:val="22"/>
                <w:szCs w:val="22"/>
              </w:rPr>
              <w:t xml:space="preserve"> with the population and also to </w:t>
            </w:r>
          </w:p>
          <w:p w14:paraId="19FE10FE" w14:textId="5F680056" w:rsidR="009B718E" w:rsidRPr="009B718E" w:rsidRDefault="009E573C" w:rsidP="009E573C">
            <w:pPr>
              <w:jc w:val="both"/>
              <w:rPr>
                <w:rFonts w:asciiTheme="minorHAnsi" w:hAnsiTheme="minorHAnsi"/>
                <w:sz w:val="22"/>
                <w:szCs w:val="22"/>
              </w:rPr>
            </w:pPr>
            <w:r w:rsidRPr="009E573C">
              <w:rPr>
                <w:rFonts w:asciiTheme="minorHAnsi" w:hAnsiTheme="minorHAnsi"/>
                <w:sz w:val="22"/>
                <w:szCs w:val="22"/>
              </w:rPr>
              <w:t>better tackle the expected outcome and</w:t>
            </w:r>
            <w:r w:rsidR="00AD359A">
              <w:rPr>
                <w:rFonts w:asciiTheme="minorHAnsi" w:hAnsiTheme="minorHAnsi"/>
                <w:sz w:val="22"/>
                <w:szCs w:val="22"/>
              </w:rPr>
              <w:t xml:space="preserve"> </w:t>
            </w:r>
            <w:r w:rsidRPr="009E573C">
              <w:rPr>
                <w:rFonts w:asciiTheme="minorHAnsi" w:hAnsiTheme="minorHAnsi"/>
                <w:sz w:val="22"/>
                <w:szCs w:val="22"/>
              </w:rPr>
              <w:t>respond to the needed support in the preparation of the work allowing the development of the strategy.</w:t>
            </w:r>
          </w:p>
          <w:p w14:paraId="70165294" w14:textId="4A2647F1" w:rsidR="009B718E" w:rsidRPr="009B718E" w:rsidRDefault="009B718E" w:rsidP="009B718E">
            <w:pPr>
              <w:jc w:val="both"/>
              <w:rPr>
                <w:rFonts w:asciiTheme="minorHAnsi" w:hAnsiTheme="minorHAnsi"/>
                <w:sz w:val="22"/>
                <w:szCs w:val="22"/>
              </w:rPr>
            </w:pPr>
            <w:r>
              <w:rPr>
                <w:rFonts w:asciiTheme="minorHAnsi" w:hAnsiTheme="minorHAnsi"/>
                <w:sz w:val="22"/>
                <w:szCs w:val="22"/>
              </w:rPr>
              <w:t xml:space="preserve"> - </w:t>
            </w:r>
            <w:r w:rsidRPr="00810253">
              <w:rPr>
                <w:rFonts w:asciiTheme="minorHAnsi" w:hAnsiTheme="minorHAnsi"/>
                <w:sz w:val="22"/>
                <w:szCs w:val="22"/>
              </w:rPr>
              <w:t xml:space="preserve">An </w:t>
            </w:r>
            <w:r w:rsidRPr="00810253">
              <w:rPr>
                <w:rFonts w:asciiTheme="minorHAnsi" w:hAnsiTheme="minorHAnsi"/>
                <w:sz w:val="22"/>
                <w:szCs w:val="22"/>
                <w:shd w:val="clear" w:color="auto" w:fill="FFFFFF" w:themeFill="background1"/>
              </w:rPr>
              <w:t>M&amp;E plan has being outlined</w:t>
            </w:r>
            <w:r w:rsidRPr="009B718E">
              <w:rPr>
                <w:rFonts w:asciiTheme="minorHAnsi" w:hAnsiTheme="minorHAnsi"/>
                <w:sz w:val="22"/>
                <w:szCs w:val="22"/>
              </w:rPr>
              <w:t xml:space="preserve"> with the support of PBF Secretariat, and a consu</w:t>
            </w:r>
            <w:r w:rsidR="00810253">
              <w:rPr>
                <w:rFonts w:asciiTheme="minorHAnsi" w:hAnsiTheme="minorHAnsi"/>
                <w:sz w:val="22"/>
                <w:szCs w:val="22"/>
              </w:rPr>
              <w:t xml:space="preserve">ltancy hiring process for </w:t>
            </w:r>
            <w:r w:rsidR="00A77178">
              <w:rPr>
                <w:rFonts w:asciiTheme="minorHAnsi" w:hAnsiTheme="minorHAnsi"/>
                <w:sz w:val="22"/>
                <w:szCs w:val="22"/>
              </w:rPr>
              <w:t xml:space="preserve">collecting </w:t>
            </w:r>
            <w:r w:rsidR="00810253">
              <w:rPr>
                <w:rFonts w:asciiTheme="minorHAnsi" w:hAnsiTheme="minorHAnsi"/>
                <w:sz w:val="22"/>
                <w:szCs w:val="22"/>
              </w:rPr>
              <w:t>baseline is pending;</w:t>
            </w:r>
            <w:r w:rsidRPr="009B718E">
              <w:rPr>
                <w:rFonts w:asciiTheme="minorHAnsi" w:hAnsiTheme="minorHAnsi"/>
                <w:sz w:val="22"/>
                <w:szCs w:val="22"/>
              </w:rPr>
              <w:t xml:space="preserve"> </w:t>
            </w:r>
          </w:p>
          <w:p w14:paraId="10AD5799" w14:textId="506C6790" w:rsidR="007118F5" w:rsidRPr="00AA011F" w:rsidRDefault="009B718E" w:rsidP="00AA011F">
            <w:pPr>
              <w:jc w:val="both"/>
              <w:rPr>
                <w:rFonts w:asciiTheme="minorHAnsi" w:hAnsiTheme="minorHAnsi"/>
                <w:sz w:val="22"/>
                <w:szCs w:val="22"/>
              </w:rPr>
            </w:pPr>
            <w:r>
              <w:rPr>
                <w:rFonts w:asciiTheme="minorHAnsi" w:hAnsiTheme="minorHAnsi"/>
                <w:sz w:val="22"/>
                <w:szCs w:val="22"/>
              </w:rPr>
              <w:t xml:space="preserve">- </w:t>
            </w:r>
            <w:r w:rsidRPr="009B718E">
              <w:rPr>
                <w:rFonts w:asciiTheme="minorHAnsi" w:hAnsiTheme="minorHAnsi"/>
                <w:sz w:val="22"/>
                <w:szCs w:val="22"/>
              </w:rPr>
              <w:t xml:space="preserve">The team is </w:t>
            </w:r>
            <w:r w:rsidRPr="002665AD">
              <w:rPr>
                <w:rFonts w:asciiTheme="minorHAnsi" w:hAnsiTheme="minorHAnsi"/>
                <w:sz w:val="22"/>
                <w:szCs w:val="22"/>
              </w:rPr>
              <w:t>planning to collect information</w:t>
            </w:r>
            <w:r w:rsidRPr="009B718E">
              <w:rPr>
                <w:rFonts w:asciiTheme="minorHAnsi" w:hAnsiTheme="minorHAnsi"/>
                <w:sz w:val="22"/>
                <w:szCs w:val="22"/>
              </w:rPr>
              <w:t xml:space="preserve"> on the percentage of Drug trafficking and TOC-related cases investigated, prosecuted and adjudicated, in line with due process principles.</w:t>
            </w:r>
          </w:p>
        </w:tc>
        <w:tc>
          <w:tcPr>
            <w:tcW w:w="3996" w:type="dxa"/>
            <w:shd w:val="clear" w:color="auto" w:fill="auto"/>
          </w:tcPr>
          <w:p w14:paraId="650641FA" w14:textId="18F913BD" w:rsidR="00997347" w:rsidRPr="00627A1C" w:rsidRDefault="007118F5" w:rsidP="00AD73D3">
            <w:r w:rsidRPr="00627A1C">
              <w:t>Do out</w:t>
            </w:r>
            <w:r w:rsidR="00D17A6F">
              <w:t>come indicators have baselines?.............Partially</w:t>
            </w:r>
          </w:p>
          <w:p w14:paraId="3C1DF2E8" w14:textId="77777777" w:rsidR="007118F5" w:rsidRPr="00627A1C" w:rsidRDefault="007118F5" w:rsidP="00AD73D3"/>
          <w:p w14:paraId="63FC7503" w14:textId="767EA83C" w:rsidR="007118F5" w:rsidRDefault="007118F5" w:rsidP="00AD73D3">
            <w:r w:rsidRPr="00627A1C">
              <w:t>Has the project launched perception surveys or other community-based data collection?</w:t>
            </w:r>
            <w:r w:rsidR="00D17A6F">
              <w:t>.................</w:t>
            </w:r>
            <w:r w:rsidR="001E7CAD">
              <w:t>....</w:t>
            </w:r>
            <w:r w:rsidR="00D17A6F">
              <w:t xml:space="preserve">No </w:t>
            </w:r>
          </w:p>
          <w:p w14:paraId="6721DFE9" w14:textId="77777777" w:rsidR="00CC6EDB" w:rsidRDefault="00CC6EDB" w:rsidP="00AD73D3"/>
          <w:p w14:paraId="1997D619" w14:textId="77777777" w:rsidR="00CC6EDB" w:rsidRDefault="00CC6EDB" w:rsidP="00AD73D3"/>
          <w:p w14:paraId="70FD387F" w14:textId="77777777" w:rsidR="00CC6EDB" w:rsidRDefault="00CC6EDB" w:rsidP="00AD73D3"/>
          <w:p w14:paraId="3D6D61EA" w14:textId="77777777" w:rsidR="00CC6EDB" w:rsidRDefault="00CC6EDB" w:rsidP="00AD73D3"/>
          <w:p w14:paraId="28521890" w14:textId="77777777" w:rsidR="00CC6EDB" w:rsidRDefault="00CC6EDB" w:rsidP="00AD73D3"/>
          <w:p w14:paraId="70851BE2" w14:textId="77777777" w:rsidR="00CC6EDB" w:rsidRDefault="00CC6EDB" w:rsidP="00AD73D3"/>
          <w:p w14:paraId="3D8BA98F" w14:textId="77777777" w:rsidR="00CC6EDB" w:rsidRDefault="00CC6EDB" w:rsidP="00AD73D3"/>
          <w:p w14:paraId="71F54DE0" w14:textId="552115A6" w:rsidR="00CC6EDB" w:rsidRPr="00627A1C" w:rsidRDefault="00CC6EDB" w:rsidP="00991ACD"/>
        </w:tc>
      </w:tr>
      <w:tr w:rsidR="006C1819" w:rsidRPr="00627A1C" w14:paraId="16054114" w14:textId="77777777" w:rsidTr="00412473">
        <w:trPr>
          <w:trHeight w:val="1461"/>
        </w:trPr>
        <w:tc>
          <w:tcPr>
            <w:tcW w:w="6174" w:type="dxa"/>
            <w:shd w:val="clear" w:color="auto" w:fill="auto"/>
          </w:tcPr>
          <w:p w14:paraId="669C7469"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1B2ACFCA" w14:textId="3A963F52" w:rsidR="007118F5" w:rsidRPr="00627A1C" w:rsidRDefault="00D17A6F" w:rsidP="007118F5">
            <w:r>
              <w:t>No</w:t>
            </w:r>
          </w:p>
        </w:tc>
        <w:tc>
          <w:tcPr>
            <w:tcW w:w="3996" w:type="dxa"/>
            <w:shd w:val="clear" w:color="auto" w:fill="auto"/>
          </w:tcPr>
          <w:p w14:paraId="3EBDFDEB" w14:textId="44164AF9" w:rsidR="004D141E" w:rsidRPr="00627A1C" w:rsidRDefault="004D141E" w:rsidP="00E76CA1">
            <w:r w:rsidRPr="00627A1C">
              <w:t>Evaluation budget</w:t>
            </w:r>
            <w:r w:rsidR="007118F5" w:rsidRPr="00627A1C">
              <w:t xml:space="preserve"> (response required)</w:t>
            </w:r>
            <w:r w:rsidRPr="00627A1C">
              <w:t xml:space="preserve">:  </w:t>
            </w:r>
            <w:r w:rsidR="00AA011F" w:rsidRPr="002665AD">
              <w:t xml:space="preserve">USD </w:t>
            </w:r>
            <w:r w:rsidR="00057C99">
              <w:t>5</w:t>
            </w:r>
            <w:r w:rsidR="001E7CAD" w:rsidRPr="002665AD">
              <w:t>0 </w:t>
            </w:r>
            <w:r w:rsidR="00AA011F" w:rsidRPr="002665AD">
              <w:t>000</w:t>
            </w:r>
            <w:r w:rsidR="001E7CAD" w:rsidRPr="002665AD">
              <w:t xml:space="preserve"> </w:t>
            </w:r>
          </w:p>
          <w:p w14:paraId="19C2E888"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915B27" w:rsidRPr="00627A1C">
              <w:fldChar w:fldCharType="begin">
                <w:ffData>
                  <w:name w:val="Text45"/>
                  <w:enabled/>
                  <w:calcOnExit w:val="0"/>
                  <w:textInput>
                    <w:maxLength w:val="15000"/>
                    <w:format w:val="Primeira letra maiúscula"/>
                  </w:textInput>
                </w:ffData>
              </w:fldChar>
            </w:r>
            <w:bookmarkStart w:id="7" w:name="Text45"/>
            <w:r w:rsidR="00156C4C" w:rsidRPr="00627A1C">
              <w:instrText xml:space="preserve"> FORMTEXT </w:instrText>
            </w:r>
            <w:r w:rsidR="00915B27"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915B27" w:rsidRPr="00627A1C">
              <w:fldChar w:fldCharType="end"/>
            </w:r>
            <w:bookmarkEnd w:id="7"/>
          </w:p>
          <w:p w14:paraId="655F59CF" w14:textId="6690DEB6" w:rsidR="00D17A6F" w:rsidRPr="00810253" w:rsidRDefault="001E7CAD" w:rsidP="00412473">
            <w:pPr>
              <w:jc w:val="both"/>
              <w:rPr>
                <w:rFonts w:asciiTheme="minorHAnsi" w:hAnsiTheme="minorHAnsi"/>
                <w:sz w:val="22"/>
                <w:szCs w:val="22"/>
                <w:highlight w:val="yellow"/>
              </w:rPr>
            </w:pPr>
            <w:r w:rsidRPr="00810253">
              <w:rPr>
                <w:rFonts w:asciiTheme="minorHAnsi" w:hAnsiTheme="minorHAnsi"/>
                <w:sz w:val="22"/>
                <w:szCs w:val="22"/>
              </w:rPr>
              <w:t>The term of reference for the final evaluation according to the UNDP guidelines will be establish in the beginning of next year as the project ends by 1</w:t>
            </w:r>
            <w:r w:rsidRPr="00810253">
              <w:rPr>
                <w:rFonts w:asciiTheme="minorHAnsi" w:hAnsiTheme="minorHAnsi"/>
                <w:sz w:val="22"/>
                <w:szCs w:val="22"/>
                <w:vertAlign w:val="superscript"/>
              </w:rPr>
              <w:t>st</w:t>
            </w:r>
            <w:r w:rsidRPr="00810253">
              <w:rPr>
                <w:rFonts w:asciiTheme="minorHAnsi" w:hAnsiTheme="minorHAnsi"/>
                <w:sz w:val="22"/>
                <w:szCs w:val="22"/>
              </w:rPr>
              <w:t xml:space="preserve"> August 2021</w:t>
            </w:r>
          </w:p>
        </w:tc>
      </w:tr>
      <w:tr w:rsidR="00997347" w:rsidRPr="00627A1C" w14:paraId="18651E7B" w14:textId="77777777" w:rsidTr="00412473">
        <w:tc>
          <w:tcPr>
            <w:tcW w:w="6174" w:type="dxa"/>
            <w:shd w:val="clear" w:color="auto" w:fill="auto"/>
          </w:tcPr>
          <w:p w14:paraId="629E5ECD"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3996" w:type="dxa"/>
            <w:shd w:val="clear" w:color="auto" w:fill="auto"/>
          </w:tcPr>
          <w:p w14:paraId="70A7C3B3" w14:textId="77777777" w:rsidR="00997347" w:rsidRPr="00627A1C" w:rsidRDefault="00156C4C" w:rsidP="00156C4C">
            <w:r w:rsidRPr="00627A1C">
              <w:t>Name of funder:          Amount:</w:t>
            </w:r>
          </w:p>
          <w:p w14:paraId="6F0B9313" w14:textId="06B65AE9" w:rsidR="00156C4C" w:rsidRPr="00627A1C" w:rsidRDefault="00AA011F" w:rsidP="00156C4C">
            <w:r>
              <w:t>GI TOC</w:t>
            </w:r>
            <w:r w:rsidRPr="002665AD">
              <w:t xml:space="preserve">/      </w:t>
            </w:r>
            <w:r w:rsidR="00156C4C" w:rsidRPr="002665AD">
              <w:t xml:space="preserve"> </w:t>
            </w:r>
            <w:r w:rsidRPr="002665AD">
              <w:t>USD 25 000</w:t>
            </w:r>
          </w:p>
          <w:p w14:paraId="5BF31B24" w14:textId="27DD5388" w:rsidR="00156C4C" w:rsidRPr="00627A1C" w:rsidRDefault="00156C4C" w:rsidP="003E4D77"/>
        </w:tc>
      </w:tr>
      <w:tr w:rsidR="002C187A" w:rsidRPr="00627A1C" w14:paraId="6F99D6BC" w14:textId="77777777" w:rsidTr="00412473">
        <w:tc>
          <w:tcPr>
            <w:tcW w:w="6174" w:type="dxa"/>
            <w:shd w:val="clear" w:color="auto" w:fill="auto"/>
          </w:tcPr>
          <w:p w14:paraId="7A4F0575"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8985627" w14:textId="77777777" w:rsidR="002C187A" w:rsidRPr="00627A1C" w:rsidRDefault="002C187A" w:rsidP="009A1CD3">
            <w:pPr>
              <w:rPr>
                <w:b/>
                <w:bCs/>
                <w:u w:val="single"/>
              </w:rPr>
            </w:pPr>
          </w:p>
        </w:tc>
        <w:tc>
          <w:tcPr>
            <w:tcW w:w="3996" w:type="dxa"/>
            <w:shd w:val="clear" w:color="auto" w:fill="auto"/>
          </w:tcPr>
          <w:p w14:paraId="272DE4D8" w14:textId="77777777" w:rsidR="007118F5" w:rsidRPr="00627A1C" w:rsidRDefault="007118F5" w:rsidP="00E76CA1"/>
          <w:p w14:paraId="26B101AB" w14:textId="57008001" w:rsidR="002C187A" w:rsidRPr="00627A1C" w:rsidRDefault="002C187A" w:rsidP="00E76CA1"/>
        </w:tc>
      </w:tr>
    </w:tbl>
    <w:p w14:paraId="1522BFC2" w14:textId="72CF9877" w:rsidR="00810253" w:rsidRDefault="00AA011F" w:rsidP="00E76CA1">
      <w:pPr>
        <w:rPr>
          <w:b/>
        </w:rPr>
      </w:pPr>
      <w:r>
        <w:rPr>
          <w:b/>
        </w:rPr>
        <w:t xml:space="preserve"> </w:t>
      </w:r>
    </w:p>
    <w:p w14:paraId="7128594C" w14:textId="77777777" w:rsidR="00810253" w:rsidRPr="00627A1C" w:rsidRDefault="00810253" w:rsidP="00E76CA1">
      <w:pPr>
        <w:rPr>
          <w:b/>
        </w:rPr>
      </w:pPr>
    </w:p>
    <w:p w14:paraId="6EB440ED" w14:textId="77777777" w:rsidR="00412473" w:rsidRDefault="00412473" w:rsidP="00D17A6F">
      <w:pPr>
        <w:jc w:val="both"/>
        <w:rPr>
          <w:b/>
          <w:u w:val="single"/>
        </w:rPr>
      </w:pPr>
    </w:p>
    <w:p w14:paraId="142BB850" w14:textId="77777777" w:rsidR="00412473" w:rsidRDefault="00412473" w:rsidP="00D17A6F">
      <w:pPr>
        <w:jc w:val="both"/>
        <w:rPr>
          <w:b/>
          <w:u w:val="single"/>
        </w:rPr>
      </w:pPr>
    </w:p>
    <w:p w14:paraId="4714F180" w14:textId="77777777" w:rsidR="003E4D77" w:rsidRDefault="003E4D77" w:rsidP="00D17A6F">
      <w:pPr>
        <w:jc w:val="both"/>
        <w:rPr>
          <w:b/>
          <w:u w:val="single"/>
        </w:rPr>
      </w:pPr>
    </w:p>
    <w:p w14:paraId="098185E8" w14:textId="77777777" w:rsidR="003E4D77" w:rsidRDefault="003E4D77" w:rsidP="00D17A6F">
      <w:pPr>
        <w:jc w:val="both"/>
        <w:rPr>
          <w:b/>
          <w:u w:val="single"/>
        </w:rPr>
      </w:pPr>
    </w:p>
    <w:p w14:paraId="5EFE8DBE" w14:textId="5AFC438F" w:rsidR="004E3B3E" w:rsidRDefault="00D17A6F" w:rsidP="00D17A6F">
      <w:pPr>
        <w:jc w:val="both"/>
        <w:rPr>
          <w:b/>
          <w:u w:val="single"/>
        </w:rPr>
      </w:pPr>
      <w:r w:rsidRPr="00206D45">
        <w:rPr>
          <w:b/>
          <w:u w:val="single"/>
        </w:rPr>
        <w:t>PART IV:</w:t>
      </w:r>
      <w:r>
        <w:rPr>
          <w:b/>
          <w:u w:val="single"/>
        </w:rPr>
        <w:t xml:space="preserve"> COVID -19</w:t>
      </w:r>
    </w:p>
    <w:p w14:paraId="48FAD6EB" w14:textId="77777777" w:rsidR="003E4D77" w:rsidRDefault="003E4D77" w:rsidP="00D17A6F">
      <w:pPr>
        <w:jc w:val="both"/>
        <w:rPr>
          <w:bCs/>
          <w:lang w:val="en-US" w:eastAsia="en-US"/>
        </w:rPr>
      </w:pPr>
    </w:p>
    <w:p w14:paraId="5DCECFE2" w14:textId="11DBCFAE" w:rsidR="00D17A6F" w:rsidRPr="009B718E" w:rsidRDefault="00D17A6F" w:rsidP="00D17A6F">
      <w:pPr>
        <w:jc w:val="both"/>
        <w:rPr>
          <w:bCs/>
          <w:lang w:val="en-US" w:eastAsia="en-US"/>
        </w:rPr>
      </w:pPr>
      <w:r w:rsidRPr="009B718E">
        <w:rPr>
          <w:bCs/>
          <w:lang w:val="en-US" w:eastAsia="en-US"/>
        </w:rPr>
        <w:t xml:space="preserve">Please respond to these questions if the project underwent any monetary or non- monetary adjustments due to the COVID-19 pandemic.  </w:t>
      </w:r>
    </w:p>
    <w:p w14:paraId="6209F8BA" w14:textId="38BAFE7C" w:rsidR="00D17A6F" w:rsidRPr="009B718E" w:rsidRDefault="00D17A6F" w:rsidP="00D17A6F">
      <w:pPr>
        <w:jc w:val="both"/>
        <w:rPr>
          <w:bCs/>
          <w:lang w:val="en-US" w:eastAsia="en-US"/>
        </w:rPr>
      </w:pPr>
      <w:r w:rsidRPr="009B718E">
        <w:rPr>
          <w:bCs/>
          <w:lang w:val="en-US" w:eastAsia="en-US"/>
        </w:rPr>
        <w:t xml:space="preserve">  </w:t>
      </w:r>
    </w:p>
    <w:p w14:paraId="78E47439" w14:textId="44D859F2" w:rsidR="009B718E" w:rsidRPr="009B718E" w:rsidRDefault="00D17A6F" w:rsidP="009B718E">
      <w:pPr>
        <w:pStyle w:val="PargrafodaLista"/>
        <w:numPr>
          <w:ilvl w:val="0"/>
          <w:numId w:val="48"/>
        </w:numPr>
        <w:jc w:val="both"/>
        <w:rPr>
          <w:bCs/>
          <w:lang w:val="en-US" w:eastAsia="en-US"/>
        </w:rPr>
      </w:pPr>
      <w:r w:rsidRPr="009B718E">
        <w:rPr>
          <w:bCs/>
          <w:lang w:val="en-US" w:eastAsia="en-US"/>
        </w:rPr>
        <w:t xml:space="preserve">Monetary adjustments: Please indicate the total amount in USD of adjustments due to COVID-19: </w:t>
      </w:r>
    </w:p>
    <w:p w14:paraId="49583208" w14:textId="77777777" w:rsidR="009B718E" w:rsidRDefault="009B718E" w:rsidP="009B718E">
      <w:pPr>
        <w:jc w:val="both"/>
        <w:rPr>
          <w:rFonts w:asciiTheme="minorHAnsi" w:hAnsiTheme="minorHAnsi"/>
          <w:bCs/>
          <w:sz w:val="22"/>
          <w:szCs w:val="22"/>
          <w:lang w:val="en-US" w:eastAsia="en-US"/>
        </w:rPr>
      </w:pPr>
    </w:p>
    <w:p w14:paraId="3397D96E" w14:textId="3F14E016" w:rsidR="00D17A6F" w:rsidRDefault="00D17A6F" w:rsidP="009B718E">
      <w:pPr>
        <w:jc w:val="both"/>
        <w:rPr>
          <w:rFonts w:asciiTheme="minorHAnsi" w:hAnsiTheme="minorHAnsi"/>
          <w:bCs/>
          <w:sz w:val="22"/>
          <w:szCs w:val="22"/>
          <w:lang w:val="en-US" w:eastAsia="en-US"/>
        </w:rPr>
      </w:pPr>
      <w:r w:rsidRPr="009B718E">
        <w:rPr>
          <w:rFonts w:asciiTheme="minorHAnsi" w:hAnsiTheme="minorHAnsi"/>
          <w:bCs/>
          <w:sz w:val="22"/>
          <w:szCs w:val="22"/>
          <w:lang w:val="en-US" w:eastAsia="en-US"/>
        </w:rPr>
        <w:t>An adjustment of 5,000 USD was authorized in the budget for carrying out activities related to COVID (“Support in the implementation of the</w:t>
      </w:r>
      <w:r w:rsidR="00810253" w:rsidRPr="00810253">
        <w:t xml:space="preserve"> </w:t>
      </w:r>
      <w:r w:rsidR="00810253" w:rsidRPr="00810253">
        <w:rPr>
          <w:rFonts w:asciiTheme="minorHAnsi" w:hAnsiTheme="minorHAnsi"/>
          <w:bCs/>
          <w:sz w:val="22"/>
          <w:szCs w:val="22"/>
          <w:lang w:val="en-US" w:eastAsia="en-US"/>
        </w:rPr>
        <w:t xml:space="preserve">Institute for Women and Children (IMC) </w:t>
      </w:r>
      <w:r w:rsidRPr="009B718E">
        <w:rPr>
          <w:rFonts w:asciiTheme="minorHAnsi" w:hAnsiTheme="minorHAnsi"/>
          <w:bCs/>
          <w:sz w:val="22"/>
          <w:szCs w:val="22"/>
          <w:lang w:val="en-US" w:eastAsia="en-US"/>
        </w:rPr>
        <w:t xml:space="preserve">  emergency plan vis-à-vis COVID 19 was made”).      </w:t>
      </w:r>
    </w:p>
    <w:p w14:paraId="581CF54D" w14:textId="77777777" w:rsidR="009B718E" w:rsidRPr="009B718E" w:rsidRDefault="009B718E" w:rsidP="009B718E">
      <w:pPr>
        <w:jc w:val="both"/>
        <w:rPr>
          <w:rFonts w:asciiTheme="minorHAnsi" w:hAnsiTheme="minorHAnsi"/>
          <w:bCs/>
          <w:sz w:val="22"/>
          <w:szCs w:val="22"/>
          <w:lang w:val="en-US" w:eastAsia="en-US"/>
        </w:rPr>
      </w:pPr>
    </w:p>
    <w:p w14:paraId="637D0CFA" w14:textId="070E2476" w:rsidR="00D17A6F" w:rsidRPr="009B718E" w:rsidRDefault="00D17A6F" w:rsidP="009B718E">
      <w:pPr>
        <w:pStyle w:val="PargrafodaLista"/>
        <w:numPr>
          <w:ilvl w:val="0"/>
          <w:numId w:val="48"/>
        </w:numPr>
        <w:jc w:val="both"/>
        <w:rPr>
          <w:bCs/>
          <w:lang w:val="en-US" w:eastAsia="en-US"/>
        </w:rPr>
      </w:pPr>
      <w:r w:rsidRPr="009B718E">
        <w:rPr>
          <w:bCs/>
          <w:lang w:val="en-US" w:eastAsia="en-US"/>
        </w:rPr>
        <w:t xml:space="preserve">Non-monetary adjustments: Please indicate any adjustments to the project which did not have any financial implications:  </w:t>
      </w:r>
      <w:r w:rsidR="00196A5B">
        <w:rPr>
          <w:bCs/>
          <w:lang w:val="en-US" w:eastAsia="en-US"/>
        </w:rPr>
        <w:t>Due to the COVID 19 pandemic, the project has taken protective measures regarding the number of participants taking pa</w:t>
      </w:r>
      <w:r w:rsidR="00057C99">
        <w:rPr>
          <w:bCs/>
          <w:lang w:val="en-US" w:eastAsia="en-US"/>
        </w:rPr>
        <w:t xml:space="preserve">rt of the </w:t>
      </w:r>
      <w:r w:rsidR="00196A5B">
        <w:rPr>
          <w:bCs/>
          <w:lang w:val="en-US" w:eastAsia="en-US"/>
        </w:rPr>
        <w:t>awareness raising</w:t>
      </w:r>
      <w:r w:rsidR="00057C99">
        <w:rPr>
          <w:bCs/>
          <w:lang w:val="en-US" w:eastAsia="en-US"/>
        </w:rPr>
        <w:t xml:space="preserve">, training, consultations </w:t>
      </w:r>
      <w:r w:rsidR="00196A5B">
        <w:rPr>
          <w:bCs/>
          <w:lang w:val="en-US" w:eastAsia="en-US"/>
        </w:rPr>
        <w:t xml:space="preserve"> sessions with a maximum limited number of twenty-five participants</w:t>
      </w:r>
      <w:r w:rsidR="00057C99">
        <w:rPr>
          <w:bCs/>
          <w:lang w:val="en-US" w:eastAsia="en-US"/>
        </w:rPr>
        <w:t xml:space="preserve"> for each sessions</w:t>
      </w:r>
      <w:r w:rsidR="00196A5B">
        <w:rPr>
          <w:bCs/>
          <w:lang w:val="en-US" w:eastAsia="en-US"/>
        </w:rPr>
        <w:t xml:space="preserve">. </w:t>
      </w:r>
      <w:r w:rsidRPr="009B718E">
        <w:rPr>
          <w:bCs/>
          <w:lang w:val="en-US" w:eastAsia="en-US"/>
        </w:rPr>
        <w:t xml:space="preserve">  </w:t>
      </w:r>
    </w:p>
    <w:p w14:paraId="25FF2C6E" w14:textId="77777777" w:rsidR="009B718E" w:rsidRPr="009B718E" w:rsidRDefault="009B718E" w:rsidP="009B718E">
      <w:pPr>
        <w:pStyle w:val="PargrafodaLista"/>
        <w:jc w:val="both"/>
        <w:rPr>
          <w:bCs/>
          <w:lang w:val="en-US" w:eastAsia="en-US"/>
        </w:rPr>
      </w:pPr>
    </w:p>
    <w:p w14:paraId="4F67BF9E" w14:textId="04E4BE32" w:rsidR="00D17A6F" w:rsidRPr="009B718E" w:rsidRDefault="00D17A6F" w:rsidP="009B718E">
      <w:pPr>
        <w:pStyle w:val="PargrafodaLista"/>
        <w:numPr>
          <w:ilvl w:val="0"/>
          <w:numId w:val="48"/>
        </w:numPr>
        <w:jc w:val="both"/>
        <w:rPr>
          <w:bCs/>
          <w:lang w:val="en-US" w:eastAsia="en-US"/>
        </w:rPr>
      </w:pPr>
      <w:r w:rsidRPr="009B718E">
        <w:rPr>
          <w:bCs/>
          <w:lang w:val="en-US" w:eastAsia="en-US"/>
        </w:rPr>
        <w:t xml:space="preserve">Please select all categories which describe the adjustments made to the project (and include details in general sections of this report):  </w:t>
      </w:r>
    </w:p>
    <w:p w14:paraId="57842DFA" w14:textId="77777777" w:rsidR="009B718E" w:rsidRPr="009B718E" w:rsidRDefault="009B718E" w:rsidP="009B718E">
      <w:pPr>
        <w:pStyle w:val="PargrafodaLista"/>
        <w:jc w:val="both"/>
        <w:rPr>
          <w:bCs/>
          <w:lang w:val="en-US" w:eastAsia="en-US"/>
        </w:rPr>
      </w:pPr>
    </w:p>
    <w:p w14:paraId="1BCA3CDB" w14:textId="77777777" w:rsidR="009B718E" w:rsidRDefault="00D17A6F" w:rsidP="00D17A6F">
      <w:pPr>
        <w:jc w:val="both"/>
        <w:rPr>
          <w:bCs/>
          <w:lang w:val="en-US" w:eastAsia="en-US"/>
        </w:rPr>
      </w:pPr>
      <w:r w:rsidRPr="009B718E">
        <w:rPr>
          <w:rFonts w:ascii="Segoe UI Symbol" w:hAnsi="Segoe UI Symbol" w:cs="Segoe UI Symbol"/>
          <w:bCs/>
          <w:lang w:val="en-US" w:eastAsia="en-US"/>
        </w:rPr>
        <w:t>☐</w:t>
      </w:r>
      <w:r w:rsidRPr="009B718E">
        <w:rPr>
          <w:bCs/>
          <w:lang w:val="en-US" w:eastAsia="en-US"/>
        </w:rPr>
        <w:t xml:space="preserve"> Reinforce crisis management capacities and communications      </w:t>
      </w:r>
    </w:p>
    <w:p w14:paraId="2E8A45BE" w14:textId="77777777" w:rsidR="009B718E" w:rsidRDefault="00D17A6F" w:rsidP="00D17A6F">
      <w:pPr>
        <w:jc w:val="both"/>
        <w:rPr>
          <w:bCs/>
          <w:lang w:val="en-US" w:eastAsia="en-US"/>
        </w:rPr>
      </w:pPr>
      <w:r w:rsidRPr="009B718E">
        <w:rPr>
          <w:bCs/>
          <w:lang w:val="en-US" w:eastAsia="en-US"/>
        </w:rPr>
        <w:t xml:space="preserve"> </w:t>
      </w:r>
    </w:p>
    <w:p w14:paraId="254A1FD1" w14:textId="0F06E74A" w:rsidR="009B718E" w:rsidRDefault="009B718E" w:rsidP="00D17A6F">
      <w:pPr>
        <w:jc w:val="both"/>
        <w:rPr>
          <w:bCs/>
          <w:lang w:val="en-US" w:eastAsia="en-US"/>
        </w:rPr>
      </w:pPr>
      <w:r w:rsidRPr="009B718E">
        <w:rPr>
          <w:rFonts w:ascii="Segoe UI Symbol" w:hAnsi="Segoe UI Symbol" w:cs="Segoe UI Symbol"/>
          <w:bCs/>
          <w:lang w:val="en-US" w:eastAsia="en-US"/>
        </w:rPr>
        <w:t>☐</w:t>
      </w:r>
      <w:r>
        <w:rPr>
          <w:rFonts w:ascii="Segoe UI Symbol" w:hAnsi="Segoe UI Symbol" w:cs="Segoe UI Symbol"/>
          <w:bCs/>
          <w:lang w:val="en-US" w:eastAsia="en-US"/>
        </w:rPr>
        <w:t xml:space="preserve"> </w:t>
      </w:r>
      <w:r w:rsidR="00D17A6F" w:rsidRPr="009B718E">
        <w:rPr>
          <w:bCs/>
          <w:lang w:val="en-US" w:eastAsia="en-US"/>
        </w:rPr>
        <w:t xml:space="preserve">Ensure inclusive and equitable response and recovery </w:t>
      </w:r>
    </w:p>
    <w:p w14:paraId="2609D0C7" w14:textId="77777777" w:rsidR="009B718E" w:rsidRDefault="009B718E" w:rsidP="00D17A6F">
      <w:pPr>
        <w:jc w:val="both"/>
        <w:rPr>
          <w:bCs/>
          <w:lang w:val="en-US" w:eastAsia="en-US"/>
        </w:rPr>
      </w:pPr>
    </w:p>
    <w:p w14:paraId="619B3430" w14:textId="77777777" w:rsidR="009B718E" w:rsidRDefault="00D17A6F" w:rsidP="00D17A6F">
      <w:pPr>
        <w:jc w:val="both"/>
        <w:rPr>
          <w:bCs/>
          <w:lang w:val="en-US" w:eastAsia="en-US"/>
        </w:rPr>
      </w:pPr>
      <w:r w:rsidRPr="009B718E">
        <w:rPr>
          <w:rFonts w:ascii="Segoe UI Symbol" w:hAnsi="Segoe UI Symbol" w:cs="Segoe UI Symbol"/>
          <w:bCs/>
          <w:lang w:val="en-US" w:eastAsia="en-US"/>
        </w:rPr>
        <w:t>☐</w:t>
      </w:r>
      <w:r w:rsidRPr="009B718E">
        <w:rPr>
          <w:bCs/>
          <w:lang w:val="en-US" w:eastAsia="en-US"/>
        </w:rPr>
        <w:t xml:space="preserve"> Strengthen inter-community social cohesion and border management </w:t>
      </w:r>
    </w:p>
    <w:p w14:paraId="72520528" w14:textId="77777777" w:rsidR="009B718E" w:rsidRDefault="009B718E" w:rsidP="00D17A6F">
      <w:pPr>
        <w:jc w:val="both"/>
        <w:rPr>
          <w:bCs/>
          <w:lang w:val="en-US" w:eastAsia="en-US"/>
        </w:rPr>
      </w:pPr>
    </w:p>
    <w:p w14:paraId="5A2EE058" w14:textId="1A2E03BC" w:rsidR="00D17A6F" w:rsidRDefault="00D17A6F" w:rsidP="00D17A6F">
      <w:pPr>
        <w:jc w:val="both"/>
        <w:rPr>
          <w:bCs/>
          <w:lang w:val="en-US" w:eastAsia="en-US"/>
        </w:rPr>
      </w:pPr>
      <w:r w:rsidRPr="009B718E">
        <w:rPr>
          <w:rFonts w:ascii="Segoe UI Symbol" w:hAnsi="Segoe UI Symbol" w:cs="Segoe UI Symbol"/>
          <w:bCs/>
          <w:lang w:val="en-US" w:eastAsia="en-US"/>
        </w:rPr>
        <w:t>☐</w:t>
      </w:r>
      <w:r w:rsidRPr="009B718E">
        <w:rPr>
          <w:bCs/>
          <w:lang w:val="en-US" w:eastAsia="en-US"/>
        </w:rPr>
        <w:t xml:space="preserve"> Counter hate speech and stigmatization and address trauma  </w:t>
      </w:r>
    </w:p>
    <w:p w14:paraId="4F9CC2C5" w14:textId="77777777" w:rsidR="009B718E" w:rsidRPr="009B718E" w:rsidRDefault="009B718E" w:rsidP="00D17A6F">
      <w:pPr>
        <w:jc w:val="both"/>
        <w:rPr>
          <w:bCs/>
          <w:lang w:val="en-US" w:eastAsia="en-US"/>
        </w:rPr>
      </w:pPr>
    </w:p>
    <w:p w14:paraId="4BE8E77E" w14:textId="77777777" w:rsidR="009B718E" w:rsidRDefault="00D17A6F" w:rsidP="00D17A6F">
      <w:pPr>
        <w:jc w:val="both"/>
        <w:rPr>
          <w:bCs/>
          <w:lang w:val="en-US" w:eastAsia="en-US"/>
        </w:rPr>
      </w:pPr>
      <w:r w:rsidRPr="009B718E">
        <w:rPr>
          <w:rFonts w:ascii="Segoe UI Symbol" w:hAnsi="Segoe UI Symbol" w:cs="Segoe UI Symbol"/>
          <w:bCs/>
          <w:lang w:val="en-US" w:eastAsia="en-US"/>
        </w:rPr>
        <w:t>☐</w:t>
      </w:r>
      <w:r w:rsidRPr="009B718E">
        <w:rPr>
          <w:bCs/>
          <w:lang w:val="en-US" w:eastAsia="en-US"/>
        </w:rPr>
        <w:t xml:space="preserve"> Support the SG’s call for a global ceasefire </w:t>
      </w:r>
    </w:p>
    <w:p w14:paraId="5111AF98" w14:textId="77777777" w:rsidR="009B718E" w:rsidRDefault="009B718E" w:rsidP="00D17A6F">
      <w:pPr>
        <w:jc w:val="both"/>
        <w:rPr>
          <w:bCs/>
          <w:lang w:val="en-US" w:eastAsia="en-US"/>
        </w:rPr>
      </w:pPr>
    </w:p>
    <w:p w14:paraId="536188E7" w14:textId="4105A424" w:rsidR="00D17A6F" w:rsidRPr="009B718E" w:rsidRDefault="00D17A6F" w:rsidP="00D17A6F">
      <w:pPr>
        <w:jc w:val="both"/>
        <w:rPr>
          <w:bCs/>
          <w:lang w:val="en-US" w:eastAsia="en-US"/>
        </w:rPr>
      </w:pPr>
      <w:r w:rsidRPr="009B718E">
        <w:rPr>
          <w:rFonts w:ascii="Segoe UI Symbol" w:hAnsi="Segoe UI Symbol" w:cs="Segoe UI Symbol"/>
          <w:bCs/>
          <w:lang w:val="en-US" w:eastAsia="en-US"/>
        </w:rPr>
        <w:t>☐</w:t>
      </w:r>
      <w:r w:rsidRPr="009B718E">
        <w:rPr>
          <w:bCs/>
          <w:lang w:val="en-US" w:eastAsia="en-US"/>
        </w:rPr>
        <w:t xml:space="preserve"> Other (please describe):        </w:t>
      </w:r>
    </w:p>
    <w:p w14:paraId="5FCDE633" w14:textId="77777777" w:rsidR="00D17A6F" w:rsidRPr="009B718E" w:rsidRDefault="00D17A6F" w:rsidP="00D17A6F">
      <w:pPr>
        <w:jc w:val="both"/>
        <w:rPr>
          <w:bCs/>
          <w:lang w:val="en-US" w:eastAsia="en-US"/>
        </w:rPr>
      </w:pPr>
      <w:r w:rsidRPr="009B718E">
        <w:rPr>
          <w:bCs/>
          <w:lang w:val="en-US" w:eastAsia="en-US"/>
        </w:rPr>
        <w:t xml:space="preserve">If relevant, please share a COVID-19 success story of this project (i.e. how adjustments of this project made a difference and contributed to a positive response to the pandemic/prevented tensions or violence related to the pandemic etc.)  </w:t>
      </w:r>
    </w:p>
    <w:p w14:paraId="1076CAFA" w14:textId="77777777" w:rsidR="009B718E" w:rsidRDefault="009B718E" w:rsidP="00D17A6F">
      <w:pPr>
        <w:jc w:val="both"/>
        <w:rPr>
          <w:bCs/>
          <w:lang w:val="en-US" w:eastAsia="en-US"/>
        </w:rPr>
      </w:pPr>
    </w:p>
    <w:p w14:paraId="7440158D" w14:textId="6FD5757A" w:rsidR="00D17A6F" w:rsidRPr="009B718E" w:rsidRDefault="00D17A6F" w:rsidP="00D17A6F">
      <w:pPr>
        <w:jc w:val="both"/>
        <w:rPr>
          <w:rFonts w:asciiTheme="minorHAnsi" w:hAnsiTheme="minorHAnsi"/>
          <w:bCs/>
          <w:sz w:val="22"/>
          <w:szCs w:val="22"/>
          <w:lang w:val="en-US" w:eastAsia="en-US"/>
        </w:rPr>
        <w:sectPr w:rsidR="00D17A6F" w:rsidRPr="009B718E" w:rsidSect="00AA011F">
          <w:pgSz w:w="11906" w:h="16838"/>
          <w:pgMar w:top="709" w:right="1700" w:bottom="1440" w:left="1800" w:header="720" w:footer="720" w:gutter="0"/>
          <w:cols w:space="720"/>
          <w:docGrid w:linePitch="360"/>
        </w:sectPr>
      </w:pPr>
      <w:r w:rsidRPr="009B718E">
        <w:rPr>
          <w:rFonts w:asciiTheme="minorHAnsi" w:hAnsiTheme="minorHAnsi"/>
          <w:bCs/>
          <w:sz w:val="22"/>
          <w:szCs w:val="22"/>
          <w:lang w:val="en-US" w:eastAsia="en-US"/>
        </w:rPr>
        <w:t xml:space="preserve">No </w:t>
      </w:r>
      <w:r w:rsidR="002F42B8">
        <w:rPr>
          <w:rFonts w:asciiTheme="minorHAnsi" w:hAnsiTheme="minorHAnsi"/>
          <w:bCs/>
          <w:sz w:val="22"/>
          <w:szCs w:val="22"/>
          <w:lang w:val="en-US" w:eastAsia="en-US"/>
        </w:rPr>
        <w:t xml:space="preserve">particular </w:t>
      </w:r>
      <w:r w:rsidRPr="009B718E">
        <w:rPr>
          <w:rFonts w:asciiTheme="minorHAnsi" w:hAnsiTheme="minorHAnsi"/>
          <w:bCs/>
          <w:sz w:val="22"/>
          <w:szCs w:val="22"/>
          <w:lang w:val="en-US" w:eastAsia="en-US"/>
        </w:rPr>
        <w:t>adjustments to the project were made. The activities below are within the proje</w:t>
      </w:r>
      <w:r w:rsidR="002F42B8">
        <w:rPr>
          <w:rFonts w:asciiTheme="minorHAnsi" w:hAnsiTheme="minorHAnsi"/>
          <w:bCs/>
          <w:sz w:val="22"/>
          <w:szCs w:val="22"/>
          <w:lang w:val="en-US" w:eastAsia="en-US"/>
        </w:rPr>
        <w:t>ct, but are related to the caution of the pandemic COVID-19.</w:t>
      </w:r>
    </w:p>
    <w:p w14:paraId="2D1544E8" w14:textId="77777777" w:rsidR="001D1FD9" w:rsidRPr="00206D45" w:rsidRDefault="001D1FD9" w:rsidP="001D1FD9">
      <w:pPr>
        <w:ind w:firstLine="990"/>
        <w:jc w:val="both"/>
        <w:rPr>
          <w:b/>
          <w:u w:val="single"/>
        </w:rPr>
      </w:pPr>
      <w:r w:rsidRPr="00206D45">
        <w:rPr>
          <w:b/>
          <w:u w:val="single"/>
        </w:rPr>
        <w:lastRenderedPageBreak/>
        <w:t>PART V: INDICATOR BASED PERFORMANCE ASSESSMENT</w:t>
      </w:r>
    </w:p>
    <w:p w14:paraId="24014070" w14:textId="77777777" w:rsidR="001D1FD9" w:rsidRDefault="001D1FD9" w:rsidP="001D1FD9">
      <w:pPr>
        <w:jc w:val="both"/>
        <w:rPr>
          <w:b/>
          <w:i/>
          <w:lang w:val="en-US" w:eastAsia="en-US"/>
        </w:rPr>
      </w:pPr>
    </w:p>
    <w:p w14:paraId="4BB64C04" w14:textId="5706E269" w:rsidR="001D1FD9" w:rsidRDefault="001D1FD9" w:rsidP="00D571EF">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p w14:paraId="1DCF9DF9" w14:textId="77777777" w:rsidR="00511566" w:rsidRPr="00D571EF" w:rsidRDefault="00511566" w:rsidP="00D571EF">
      <w:pPr>
        <w:jc w:val="both"/>
        <w:rPr>
          <w:bCs/>
          <w:lang w:val="en-US" w:eastAsia="en-US"/>
        </w:rPr>
      </w:pPr>
    </w:p>
    <w:tbl>
      <w:tblPr>
        <w:tblW w:w="1538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2313"/>
        <w:gridCol w:w="1843"/>
        <w:gridCol w:w="2126"/>
        <w:gridCol w:w="1276"/>
        <w:gridCol w:w="2835"/>
        <w:gridCol w:w="3197"/>
      </w:tblGrid>
      <w:tr w:rsidR="001D1FD9" w:rsidRPr="00627A1C" w14:paraId="0EEE17F6" w14:textId="77777777" w:rsidTr="00131DC2">
        <w:trPr>
          <w:tblHeader/>
        </w:trPr>
        <w:tc>
          <w:tcPr>
            <w:tcW w:w="1799" w:type="dxa"/>
          </w:tcPr>
          <w:p w14:paraId="44ADABC2" w14:textId="77777777" w:rsidR="00DE53F3" w:rsidRDefault="00DE53F3" w:rsidP="002F42B8">
            <w:pPr>
              <w:jc w:val="center"/>
              <w:rPr>
                <w:b/>
                <w:lang w:val="en-US" w:eastAsia="en-US"/>
              </w:rPr>
            </w:pPr>
            <w:r>
              <w:rPr>
                <w:b/>
                <w:lang w:val="en-US" w:eastAsia="en-US"/>
              </w:rPr>
              <w:t>Outcome/</w:t>
            </w:r>
          </w:p>
          <w:p w14:paraId="2B8F1E5B" w14:textId="67A21C0A" w:rsidR="001D1FD9" w:rsidRPr="00627A1C" w:rsidRDefault="00DE53F3" w:rsidP="002F42B8">
            <w:pPr>
              <w:jc w:val="center"/>
              <w:rPr>
                <w:b/>
                <w:lang w:val="en-US" w:eastAsia="en-US"/>
              </w:rPr>
            </w:pPr>
            <w:r>
              <w:rPr>
                <w:b/>
                <w:lang w:val="en-US" w:eastAsia="en-US"/>
              </w:rPr>
              <w:t>Outputs</w:t>
            </w:r>
          </w:p>
        </w:tc>
        <w:tc>
          <w:tcPr>
            <w:tcW w:w="2313" w:type="dxa"/>
            <w:shd w:val="clear" w:color="auto" w:fill="EEECE1"/>
          </w:tcPr>
          <w:p w14:paraId="2C8C47ED" w14:textId="77777777" w:rsidR="001D1FD9" w:rsidRPr="00627A1C" w:rsidRDefault="001D1FD9" w:rsidP="002F42B8">
            <w:pPr>
              <w:jc w:val="center"/>
              <w:rPr>
                <w:b/>
                <w:lang w:val="en-US" w:eastAsia="en-US"/>
              </w:rPr>
            </w:pPr>
            <w:r w:rsidRPr="00627A1C">
              <w:rPr>
                <w:b/>
                <w:lang w:val="en-US" w:eastAsia="en-US"/>
              </w:rPr>
              <w:t>Performance Indicators</w:t>
            </w:r>
          </w:p>
        </w:tc>
        <w:tc>
          <w:tcPr>
            <w:tcW w:w="1843" w:type="dxa"/>
            <w:shd w:val="clear" w:color="auto" w:fill="EEECE1"/>
          </w:tcPr>
          <w:p w14:paraId="1CB011C9" w14:textId="77777777" w:rsidR="001D1FD9" w:rsidRPr="00627A1C" w:rsidRDefault="001D1FD9" w:rsidP="002F42B8">
            <w:pPr>
              <w:jc w:val="center"/>
              <w:rPr>
                <w:b/>
                <w:lang w:val="en-US" w:eastAsia="en-US"/>
              </w:rPr>
            </w:pPr>
            <w:r w:rsidRPr="00627A1C">
              <w:rPr>
                <w:b/>
                <w:lang w:val="en-US" w:eastAsia="en-US"/>
              </w:rPr>
              <w:t>Indicator Baseline</w:t>
            </w:r>
          </w:p>
        </w:tc>
        <w:tc>
          <w:tcPr>
            <w:tcW w:w="2126" w:type="dxa"/>
            <w:shd w:val="clear" w:color="auto" w:fill="EEECE1"/>
          </w:tcPr>
          <w:p w14:paraId="29A718D3" w14:textId="77777777" w:rsidR="001D1FD9" w:rsidRPr="00627A1C" w:rsidRDefault="001D1FD9" w:rsidP="002F42B8">
            <w:pPr>
              <w:jc w:val="center"/>
              <w:rPr>
                <w:b/>
                <w:lang w:val="en-US" w:eastAsia="en-US"/>
              </w:rPr>
            </w:pPr>
            <w:r w:rsidRPr="00627A1C">
              <w:rPr>
                <w:b/>
                <w:lang w:val="en-US" w:eastAsia="en-US"/>
              </w:rPr>
              <w:t>End of project Indicator Target</w:t>
            </w:r>
          </w:p>
        </w:tc>
        <w:tc>
          <w:tcPr>
            <w:tcW w:w="1276" w:type="dxa"/>
          </w:tcPr>
          <w:p w14:paraId="0A70111A" w14:textId="77777777" w:rsidR="001D1FD9" w:rsidRPr="00627A1C" w:rsidRDefault="001D1FD9" w:rsidP="002F42B8">
            <w:pPr>
              <w:jc w:val="center"/>
              <w:rPr>
                <w:b/>
                <w:lang w:val="en-US" w:eastAsia="en-US"/>
              </w:rPr>
            </w:pPr>
            <w:r w:rsidRPr="00627A1C">
              <w:rPr>
                <w:b/>
                <w:lang w:val="en-US" w:eastAsia="en-US"/>
              </w:rPr>
              <w:t>Indicator Milestone</w:t>
            </w:r>
          </w:p>
        </w:tc>
        <w:tc>
          <w:tcPr>
            <w:tcW w:w="2835" w:type="dxa"/>
          </w:tcPr>
          <w:p w14:paraId="084CB9A3" w14:textId="77777777" w:rsidR="001D1FD9" w:rsidRPr="00627A1C" w:rsidRDefault="001D1FD9" w:rsidP="002F42B8">
            <w:pPr>
              <w:jc w:val="center"/>
              <w:rPr>
                <w:b/>
                <w:lang w:val="en-US" w:eastAsia="en-US"/>
              </w:rPr>
            </w:pPr>
            <w:r w:rsidRPr="00627A1C">
              <w:rPr>
                <w:b/>
                <w:lang w:val="en-US" w:eastAsia="en-US"/>
              </w:rPr>
              <w:t>Current indicator progress</w:t>
            </w:r>
          </w:p>
        </w:tc>
        <w:tc>
          <w:tcPr>
            <w:tcW w:w="3197" w:type="dxa"/>
          </w:tcPr>
          <w:p w14:paraId="027A559F" w14:textId="77777777" w:rsidR="001D1FD9" w:rsidRPr="00627A1C" w:rsidRDefault="001D1FD9" w:rsidP="002F42B8">
            <w:pPr>
              <w:jc w:val="center"/>
              <w:rPr>
                <w:b/>
                <w:lang w:val="en-US" w:eastAsia="en-US"/>
              </w:rPr>
            </w:pPr>
            <w:r w:rsidRPr="00627A1C">
              <w:rPr>
                <w:b/>
                <w:lang w:val="en-US" w:eastAsia="en-US"/>
              </w:rPr>
              <w:t>Reasons for Variance/ Delay</w:t>
            </w:r>
          </w:p>
          <w:p w14:paraId="2A33591B" w14:textId="77777777" w:rsidR="001D1FD9" w:rsidRPr="00627A1C" w:rsidRDefault="001D1FD9" w:rsidP="002F42B8">
            <w:pPr>
              <w:jc w:val="center"/>
              <w:rPr>
                <w:b/>
                <w:lang w:val="en-US" w:eastAsia="en-US"/>
              </w:rPr>
            </w:pPr>
            <w:r w:rsidRPr="00627A1C">
              <w:rPr>
                <w:b/>
                <w:lang w:val="en-US" w:eastAsia="en-US"/>
              </w:rPr>
              <w:t>(if any)</w:t>
            </w:r>
          </w:p>
        </w:tc>
      </w:tr>
      <w:tr w:rsidR="00511566" w:rsidRPr="00627A1C" w14:paraId="6F344299" w14:textId="77777777" w:rsidTr="00131DC2">
        <w:trPr>
          <w:trHeight w:val="548"/>
        </w:trPr>
        <w:tc>
          <w:tcPr>
            <w:tcW w:w="1799" w:type="dxa"/>
            <w:vMerge w:val="restart"/>
          </w:tcPr>
          <w:p w14:paraId="5F19F6DB" w14:textId="77777777" w:rsidR="00511566" w:rsidRDefault="00511566" w:rsidP="001856C9">
            <w:pPr>
              <w:jc w:val="both"/>
              <w:rPr>
                <w:b/>
                <w:sz w:val="22"/>
                <w:szCs w:val="22"/>
                <w:lang w:val="en-US" w:eastAsia="en-US"/>
              </w:rPr>
            </w:pPr>
            <w:r w:rsidRPr="00A565DE">
              <w:rPr>
                <w:b/>
                <w:sz w:val="22"/>
                <w:szCs w:val="22"/>
                <w:lang w:val="en-US" w:eastAsia="en-US"/>
              </w:rPr>
              <w:t>Outcome 1</w:t>
            </w:r>
          </w:p>
          <w:p w14:paraId="6B4ED30A" w14:textId="77777777" w:rsidR="00511566" w:rsidRPr="00A565DE" w:rsidRDefault="00511566" w:rsidP="001856C9">
            <w:pPr>
              <w:jc w:val="both"/>
              <w:rPr>
                <w:b/>
                <w:sz w:val="8"/>
                <w:szCs w:val="8"/>
                <w:lang w:val="en-US" w:eastAsia="en-US"/>
              </w:rPr>
            </w:pPr>
          </w:p>
          <w:p w14:paraId="02201C22" w14:textId="62480E1E" w:rsidR="00511566" w:rsidRPr="005C5D8C" w:rsidRDefault="00511566" w:rsidP="001856C9">
            <w:pPr>
              <w:jc w:val="both"/>
              <w:rPr>
                <w:b/>
                <w:sz w:val="20"/>
                <w:szCs w:val="20"/>
                <w:lang w:val="en-US" w:eastAsia="en-US"/>
              </w:rPr>
            </w:pPr>
            <w:r w:rsidRPr="00A565DE">
              <w:rPr>
                <w:b/>
                <w:sz w:val="20"/>
                <w:szCs w:val="20"/>
                <w:lang w:val="en-US" w:eastAsia="en-US"/>
              </w:rPr>
              <w:t>Rule of Law and Security Institutions are able to more effectively prevent, investigate and prosecute drug trafficking and transnational organized crime, reducing the country’s sources of fragility</w:t>
            </w:r>
          </w:p>
        </w:tc>
        <w:tc>
          <w:tcPr>
            <w:tcW w:w="2313" w:type="dxa"/>
            <w:shd w:val="clear" w:color="auto" w:fill="EEECE1"/>
          </w:tcPr>
          <w:p w14:paraId="59C9A4A0" w14:textId="5F104462" w:rsidR="00511566" w:rsidRPr="005C5D8C" w:rsidRDefault="00511566" w:rsidP="00BB0374">
            <w:pPr>
              <w:jc w:val="both"/>
              <w:rPr>
                <w:sz w:val="20"/>
                <w:szCs w:val="20"/>
                <w:lang w:val="en-US" w:eastAsia="en-US"/>
              </w:rPr>
            </w:pPr>
            <w:r>
              <w:rPr>
                <w:b/>
                <w:sz w:val="20"/>
                <w:szCs w:val="20"/>
                <w:lang w:val="en-US" w:eastAsia="en-US"/>
              </w:rPr>
              <w:t>Indicator 1.1</w:t>
            </w:r>
            <w:r w:rsidRPr="005C5D8C">
              <w:rPr>
                <w:b/>
                <w:sz w:val="20"/>
                <w:szCs w:val="20"/>
                <w:lang w:val="en-US" w:eastAsia="en-US"/>
              </w:rPr>
              <w:t>-</w:t>
            </w:r>
            <w:r w:rsidRPr="005C5D8C">
              <w:rPr>
                <w:sz w:val="20"/>
                <w:szCs w:val="20"/>
                <w:lang w:val="en-US" w:eastAsia="en-US"/>
              </w:rPr>
              <w:t xml:space="preserve"> Percentage of Drug trafficking and transnational organized crime (TOC) related cases investigated, prosecuted, and adjudicated, in line with due process principles </w:t>
            </w:r>
          </w:p>
        </w:tc>
        <w:tc>
          <w:tcPr>
            <w:tcW w:w="1843" w:type="dxa"/>
            <w:shd w:val="clear" w:color="auto" w:fill="EEECE1"/>
          </w:tcPr>
          <w:p w14:paraId="2C88CF85" w14:textId="649D8D2A" w:rsidR="00511566" w:rsidRDefault="00511566" w:rsidP="00BB0374">
            <w:pPr>
              <w:jc w:val="both"/>
              <w:rPr>
                <w:bCs/>
                <w:noProof/>
                <w:sz w:val="20"/>
                <w:szCs w:val="20"/>
                <w:lang w:val="en-US" w:eastAsia="en-US"/>
              </w:rPr>
            </w:pPr>
            <w:r>
              <w:rPr>
                <w:bCs/>
                <w:noProof/>
                <w:sz w:val="20"/>
                <w:szCs w:val="20"/>
                <w:lang w:val="en-US" w:eastAsia="en-US"/>
              </w:rPr>
              <w:t>Two major drug cases investigated, prosecuted and adjudicated in 2019</w:t>
            </w:r>
          </w:p>
          <w:p w14:paraId="178DE37B" w14:textId="77777777" w:rsidR="00511566" w:rsidRPr="00627A1C" w:rsidRDefault="00511566" w:rsidP="00BB0374">
            <w:pPr>
              <w:jc w:val="both"/>
              <w:rPr>
                <w:lang w:val="en-US" w:eastAsia="en-US"/>
              </w:rPr>
            </w:pPr>
          </w:p>
        </w:tc>
        <w:tc>
          <w:tcPr>
            <w:tcW w:w="2126" w:type="dxa"/>
            <w:shd w:val="clear" w:color="auto" w:fill="EEECE1"/>
          </w:tcPr>
          <w:p w14:paraId="44F5CEB7" w14:textId="77777777" w:rsidR="00511566" w:rsidRPr="00D571EF" w:rsidRDefault="00511566" w:rsidP="00BB0374">
            <w:pPr>
              <w:jc w:val="both"/>
              <w:rPr>
                <w:sz w:val="20"/>
                <w:szCs w:val="20"/>
              </w:rPr>
            </w:pPr>
            <w:r w:rsidRPr="00D571EF">
              <w:rPr>
                <w:sz w:val="20"/>
                <w:szCs w:val="20"/>
              </w:rPr>
              <w:t xml:space="preserve">75% of DTOC cases are investigated, prosecuted and adjudicated, in line with due process principles </w:t>
            </w:r>
          </w:p>
          <w:p w14:paraId="395CA812" w14:textId="250816B4" w:rsidR="00511566" w:rsidRPr="00627A1C" w:rsidRDefault="00511566" w:rsidP="00BB0374">
            <w:pPr>
              <w:jc w:val="both"/>
            </w:pPr>
            <w:r>
              <w:t xml:space="preserve">  </w:t>
            </w:r>
          </w:p>
        </w:tc>
        <w:tc>
          <w:tcPr>
            <w:tcW w:w="1276" w:type="dxa"/>
          </w:tcPr>
          <w:p w14:paraId="32A891D5" w14:textId="38BE4CCC" w:rsidR="00511566" w:rsidRPr="00627A1C" w:rsidRDefault="00511566" w:rsidP="002F42B8">
            <w:pPr>
              <w:rPr>
                <w:b/>
                <w:lang w:val="en-US" w:eastAsia="en-US"/>
              </w:rPr>
            </w:pPr>
          </w:p>
        </w:tc>
        <w:tc>
          <w:tcPr>
            <w:tcW w:w="2835" w:type="dxa"/>
          </w:tcPr>
          <w:p w14:paraId="07EF6350" w14:textId="51B0DF0F" w:rsidR="00511566" w:rsidRPr="00A66D37" w:rsidRDefault="00511566" w:rsidP="002F42B8">
            <w:pPr>
              <w:rPr>
                <w:lang w:val="en-US"/>
              </w:rPr>
            </w:pPr>
          </w:p>
        </w:tc>
        <w:tc>
          <w:tcPr>
            <w:tcW w:w="3197" w:type="dxa"/>
          </w:tcPr>
          <w:p w14:paraId="05C199C1" w14:textId="326F82B4" w:rsidR="00511566" w:rsidRPr="00D92BBB" w:rsidRDefault="006D76EF" w:rsidP="006D76EF">
            <w:pPr>
              <w:jc w:val="both"/>
              <w:rPr>
                <w:bCs/>
                <w:noProof/>
                <w:sz w:val="20"/>
                <w:szCs w:val="20"/>
                <w:lang w:val="en-US" w:eastAsia="en-US"/>
              </w:rPr>
            </w:pPr>
            <w:r w:rsidRPr="006D76EF">
              <w:rPr>
                <w:bCs/>
                <w:noProof/>
                <w:sz w:val="20"/>
                <w:szCs w:val="20"/>
                <w:lang w:val="en-US" w:eastAsia="en-US"/>
              </w:rPr>
              <w:t>Baselines studies delayed due to consultancy pending hiring process</w:t>
            </w:r>
            <w:r w:rsidR="00B62863">
              <w:rPr>
                <w:bCs/>
                <w:noProof/>
                <w:sz w:val="20"/>
                <w:szCs w:val="20"/>
                <w:lang w:val="en-US" w:eastAsia="en-US"/>
              </w:rPr>
              <w:t>.</w:t>
            </w:r>
            <w:r w:rsidR="001F459A">
              <w:rPr>
                <w:bCs/>
                <w:noProof/>
                <w:sz w:val="20"/>
                <w:szCs w:val="20"/>
                <w:lang w:val="en-US" w:eastAsia="en-US"/>
              </w:rPr>
              <w:t>The work is expected t</w:t>
            </w:r>
            <w:r w:rsidR="00412473">
              <w:rPr>
                <w:bCs/>
                <w:noProof/>
                <w:sz w:val="20"/>
                <w:szCs w:val="20"/>
                <w:lang w:val="en-US" w:eastAsia="en-US"/>
              </w:rPr>
              <w:t xml:space="preserve">o start at the beginning of next </w:t>
            </w:r>
            <w:r w:rsidR="001F459A">
              <w:rPr>
                <w:bCs/>
                <w:noProof/>
                <w:sz w:val="20"/>
                <w:szCs w:val="20"/>
                <w:lang w:val="en-US" w:eastAsia="en-US"/>
              </w:rPr>
              <w:t>year</w:t>
            </w:r>
            <w:r w:rsidR="00412473">
              <w:rPr>
                <w:bCs/>
                <w:noProof/>
                <w:sz w:val="20"/>
                <w:szCs w:val="20"/>
                <w:lang w:val="en-US" w:eastAsia="en-US"/>
              </w:rPr>
              <w:t xml:space="preserve"> 2022.</w:t>
            </w:r>
          </w:p>
        </w:tc>
      </w:tr>
      <w:tr w:rsidR="00511566" w:rsidRPr="00627A1C" w14:paraId="4930B43B" w14:textId="77777777" w:rsidTr="00131DC2">
        <w:trPr>
          <w:trHeight w:val="2770"/>
        </w:trPr>
        <w:tc>
          <w:tcPr>
            <w:tcW w:w="1799" w:type="dxa"/>
            <w:vMerge/>
            <w:tcBorders>
              <w:bottom w:val="double" w:sz="4" w:space="0" w:color="auto"/>
            </w:tcBorders>
          </w:tcPr>
          <w:p w14:paraId="42EBDE58" w14:textId="77777777" w:rsidR="00511566" w:rsidRPr="00627A1C" w:rsidRDefault="00511566" w:rsidP="002F42B8">
            <w:pPr>
              <w:rPr>
                <w:b/>
                <w:lang w:val="en-US" w:eastAsia="en-US"/>
              </w:rPr>
            </w:pPr>
          </w:p>
        </w:tc>
        <w:tc>
          <w:tcPr>
            <w:tcW w:w="2313" w:type="dxa"/>
            <w:tcBorders>
              <w:bottom w:val="double" w:sz="4" w:space="0" w:color="auto"/>
            </w:tcBorders>
            <w:shd w:val="clear" w:color="auto" w:fill="EEECE1"/>
          </w:tcPr>
          <w:p w14:paraId="555E34EE" w14:textId="77777777" w:rsidR="00511566" w:rsidRDefault="00511566" w:rsidP="00BB0374">
            <w:pPr>
              <w:jc w:val="both"/>
              <w:rPr>
                <w:sz w:val="20"/>
                <w:szCs w:val="20"/>
                <w:lang w:val="en-US" w:eastAsia="en-US"/>
              </w:rPr>
            </w:pPr>
            <w:r w:rsidRPr="00203AA3">
              <w:rPr>
                <w:b/>
                <w:sz w:val="20"/>
                <w:szCs w:val="20"/>
                <w:lang w:val="en-US" w:eastAsia="en-US"/>
              </w:rPr>
              <w:t>Indicator 1.2-</w:t>
            </w:r>
            <w:r w:rsidRPr="00203AA3">
              <w:rPr>
                <w:sz w:val="20"/>
                <w:szCs w:val="20"/>
                <w:lang w:val="en-US" w:eastAsia="en-US"/>
              </w:rPr>
              <w:t xml:space="preserve"> Perception of beneficiary groups from the national counterpart, trained and\or mentored under the project, which report increased capacity to prevent and investigate drug trafficking and transnational organized crime (TOC).</w:t>
            </w:r>
          </w:p>
          <w:p w14:paraId="18CFCEF9" w14:textId="77777777" w:rsidR="00511566" w:rsidRDefault="00511566" w:rsidP="00BB0374">
            <w:pPr>
              <w:jc w:val="both"/>
              <w:rPr>
                <w:sz w:val="20"/>
                <w:szCs w:val="20"/>
                <w:lang w:val="en-US" w:eastAsia="en-US"/>
              </w:rPr>
            </w:pPr>
          </w:p>
          <w:p w14:paraId="7743E252" w14:textId="77777777" w:rsidR="00511566" w:rsidRDefault="00511566" w:rsidP="00BB0374">
            <w:pPr>
              <w:jc w:val="both"/>
              <w:rPr>
                <w:sz w:val="20"/>
                <w:szCs w:val="20"/>
                <w:lang w:val="en-US" w:eastAsia="en-US"/>
              </w:rPr>
            </w:pPr>
          </w:p>
          <w:p w14:paraId="024E6904" w14:textId="77777777" w:rsidR="00511566" w:rsidRDefault="00511566" w:rsidP="00BB0374">
            <w:pPr>
              <w:jc w:val="both"/>
              <w:rPr>
                <w:sz w:val="20"/>
                <w:szCs w:val="20"/>
                <w:lang w:val="en-US" w:eastAsia="en-US"/>
              </w:rPr>
            </w:pPr>
          </w:p>
          <w:p w14:paraId="151F706F" w14:textId="77777777" w:rsidR="00511566" w:rsidRDefault="00511566" w:rsidP="00BB0374">
            <w:pPr>
              <w:jc w:val="both"/>
              <w:rPr>
                <w:sz w:val="20"/>
                <w:szCs w:val="20"/>
                <w:lang w:val="en-US" w:eastAsia="en-US"/>
              </w:rPr>
            </w:pPr>
          </w:p>
          <w:p w14:paraId="72290BB8" w14:textId="77777777" w:rsidR="00511566" w:rsidRDefault="00511566" w:rsidP="00BB0374">
            <w:pPr>
              <w:jc w:val="both"/>
              <w:rPr>
                <w:sz w:val="20"/>
                <w:szCs w:val="20"/>
                <w:lang w:val="en-US" w:eastAsia="en-US"/>
              </w:rPr>
            </w:pPr>
          </w:p>
          <w:p w14:paraId="2BB387EF" w14:textId="77777777" w:rsidR="00511566" w:rsidRDefault="00511566" w:rsidP="00BB0374">
            <w:pPr>
              <w:jc w:val="both"/>
              <w:rPr>
                <w:sz w:val="20"/>
                <w:szCs w:val="20"/>
                <w:lang w:val="en-US" w:eastAsia="en-US"/>
              </w:rPr>
            </w:pPr>
          </w:p>
          <w:p w14:paraId="207EB057" w14:textId="66BD2293" w:rsidR="00511566" w:rsidRPr="00203AA3" w:rsidRDefault="00511566" w:rsidP="00BB0374">
            <w:pPr>
              <w:jc w:val="both"/>
              <w:rPr>
                <w:sz w:val="20"/>
                <w:szCs w:val="20"/>
                <w:lang w:val="en-US" w:eastAsia="en-US"/>
              </w:rPr>
            </w:pPr>
          </w:p>
        </w:tc>
        <w:tc>
          <w:tcPr>
            <w:tcW w:w="1843" w:type="dxa"/>
            <w:tcBorders>
              <w:bottom w:val="double" w:sz="4" w:space="0" w:color="auto"/>
            </w:tcBorders>
            <w:shd w:val="clear" w:color="auto" w:fill="EEECE1"/>
          </w:tcPr>
          <w:p w14:paraId="3049A938" w14:textId="77777777" w:rsidR="00511566" w:rsidRDefault="00511566" w:rsidP="00BB0374">
            <w:pPr>
              <w:jc w:val="both"/>
              <w:rPr>
                <w:bCs/>
                <w:noProof/>
                <w:sz w:val="20"/>
                <w:szCs w:val="20"/>
                <w:lang w:val="en-US" w:eastAsia="en-US"/>
              </w:rPr>
            </w:pPr>
            <w:r w:rsidRPr="00203AA3">
              <w:rPr>
                <w:bCs/>
                <w:noProof/>
                <w:sz w:val="20"/>
                <w:szCs w:val="20"/>
                <w:lang w:val="en-US" w:eastAsia="en-US"/>
              </w:rPr>
              <w:t>To be collected</w:t>
            </w:r>
          </w:p>
          <w:p w14:paraId="373FBADE" w14:textId="5F2C98D1" w:rsidR="00511566" w:rsidRPr="00203AA3" w:rsidRDefault="00511566" w:rsidP="00BB0374">
            <w:pPr>
              <w:jc w:val="both"/>
              <w:rPr>
                <w:sz w:val="20"/>
                <w:szCs w:val="20"/>
              </w:rPr>
            </w:pPr>
            <w:r>
              <w:rPr>
                <w:bCs/>
                <w:noProof/>
                <w:sz w:val="20"/>
                <w:szCs w:val="20"/>
                <w:lang w:val="en-US" w:eastAsia="en-US"/>
              </w:rPr>
              <w:t>(TBC</w:t>
            </w:r>
          </w:p>
        </w:tc>
        <w:tc>
          <w:tcPr>
            <w:tcW w:w="2126" w:type="dxa"/>
            <w:tcBorders>
              <w:bottom w:val="double" w:sz="4" w:space="0" w:color="auto"/>
            </w:tcBorders>
            <w:shd w:val="clear" w:color="auto" w:fill="EEECE1"/>
          </w:tcPr>
          <w:p w14:paraId="759753E6" w14:textId="1993D2B3" w:rsidR="00511566" w:rsidRPr="00203AA3" w:rsidRDefault="00511566" w:rsidP="00BB0374">
            <w:pPr>
              <w:jc w:val="both"/>
              <w:rPr>
                <w:sz w:val="20"/>
                <w:szCs w:val="20"/>
              </w:rPr>
            </w:pPr>
            <w:r w:rsidRPr="00203AA3">
              <w:rPr>
                <w:sz w:val="20"/>
                <w:szCs w:val="20"/>
              </w:rPr>
              <w:t>75% of beneficiary groups from the national counterpart, trained and\or mentored under the project, report increased capacity  to prevent and investigate DTOC</w:t>
            </w:r>
          </w:p>
          <w:p w14:paraId="22F0B882" w14:textId="497A8821" w:rsidR="00511566" w:rsidRPr="00203AA3" w:rsidRDefault="00511566" w:rsidP="00BB0374">
            <w:pPr>
              <w:jc w:val="both"/>
              <w:rPr>
                <w:sz w:val="20"/>
                <w:szCs w:val="20"/>
              </w:rPr>
            </w:pPr>
            <w:r w:rsidRPr="00203AA3">
              <w:rPr>
                <w:sz w:val="20"/>
                <w:szCs w:val="20"/>
              </w:rPr>
              <w:t xml:space="preserve">  </w:t>
            </w:r>
          </w:p>
        </w:tc>
        <w:tc>
          <w:tcPr>
            <w:tcW w:w="1276" w:type="dxa"/>
            <w:tcBorders>
              <w:bottom w:val="double" w:sz="4" w:space="0" w:color="auto"/>
            </w:tcBorders>
          </w:tcPr>
          <w:p w14:paraId="07E30F3F" w14:textId="7794F60A" w:rsidR="00511566" w:rsidRPr="00627A1C" w:rsidRDefault="00511566" w:rsidP="002F42B8">
            <w:pPr>
              <w:rPr>
                <w:b/>
                <w:lang w:val="en-US" w:eastAsia="en-US"/>
              </w:rPr>
            </w:pPr>
          </w:p>
        </w:tc>
        <w:tc>
          <w:tcPr>
            <w:tcW w:w="2835" w:type="dxa"/>
            <w:tcBorders>
              <w:bottom w:val="double" w:sz="4" w:space="0" w:color="auto"/>
            </w:tcBorders>
          </w:tcPr>
          <w:p w14:paraId="2CCCAA52" w14:textId="096A2030" w:rsidR="00511566" w:rsidRPr="00D92BBB" w:rsidRDefault="00511566" w:rsidP="002F42B8">
            <w:pPr>
              <w:rPr>
                <w:bCs/>
              </w:rPr>
            </w:pPr>
          </w:p>
        </w:tc>
        <w:tc>
          <w:tcPr>
            <w:tcW w:w="3197" w:type="dxa"/>
            <w:tcBorders>
              <w:bottom w:val="double" w:sz="4" w:space="0" w:color="auto"/>
            </w:tcBorders>
          </w:tcPr>
          <w:p w14:paraId="42AEDBBD" w14:textId="1D2845CB" w:rsidR="00511566" w:rsidRPr="00D92BBB" w:rsidRDefault="006D76EF" w:rsidP="006D76EF">
            <w:pPr>
              <w:jc w:val="both"/>
              <w:rPr>
                <w:bCs/>
                <w:noProof/>
                <w:sz w:val="20"/>
                <w:szCs w:val="20"/>
                <w:lang w:val="en-US" w:eastAsia="en-US"/>
              </w:rPr>
            </w:pPr>
            <w:r w:rsidRPr="006D76EF">
              <w:rPr>
                <w:bCs/>
                <w:noProof/>
                <w:sz w:val="20"/>
                <w:szCs w:val="20"/>
                <w:lang w:val="en-US" w:eastAsia="en-US"/>
              </w:rPr>
              <w:t>Baselines studies delayed due to consultancy pending hiring process</w:t>
            </w:r>
            <w:r w:rsidR="001F459A">
              <w:rPr>
                <w:bCs/>
                <w:noProof/>
                <w:sz w:val="20"/>
                <w:szCs w:val="20"/>
                <w:lang w:val="en-US" w:eastAsia="en-US"/>
              </w:rPr>
              <w:t xml:space="preserve"> The work is expected t</w:t>
            </w:r>
            <w:r w:rsidR="00412473">
              <w:rPr>
                <w:bCs/>
                <w:noProof/>
                <w:sz w:val="20"/>
                <w:szCs w:val="20"/>
                <w:lang w:val="en-US" w:eastAsia="en-US"/>
              </w:rPr>
              <w:t xml:space="preserve">o start at the beginning of next </w:t>
            </w:r>
            <w:r w:rsidR="001F459A">
              <w:rPr>
                <w:bCs/>
                <w:noProof/>
                <w:sz w:val="20"/>
                <w:szCs w:val="20"/>
                <w:lang w:val="en-US" w:eastAsia="en-US"/>
              </w:rPr>
              <w:t>year</w:t>
            </w:r>
            <w:r w:rsidR="00412473">
              <w:rPr>
                <w:bCs/>
                <w:noProof/>
                <w:sz w:val="20"/>
                <w:szCs w:val="20"/>
                <w:lang w:val="en-US" w:eastAsia="en-US"/>
              </w:rPr>
              <w:t xml:space="preserve"> 2022.</w:t>
            </w:r>
          </w:p>
        </w:tc>
      </w:tr>
      <w:tr w:rsidR="008458E3" w:rsidRPr="00627A1C" w14:paraId="0B368590" w14:textId="77777777" w:rsidTr="00131DC2">
        <w:trPr>
          <w:trHeight w:val="548"/>
        </w:trPr>
        <w:tc>
          <w:tcPr>
            <w:tcW w:w="1799" w:type="dxa"/>
            <w:vMerge w:val="restart"/>
            <w:tcBorders>
              <w:top w:val="double" w:sz="4" w:space="0" w:color="auto"/>
            </w:tcBorders>
          </w:tcPr>
          <w:p w14:paraId="6190D9C5" w14:textId="77777777" w:rsidR="00511566" w:rsidRDefault="00511566" w:rsidP="00463B92">
            <w:pPr>
              <w:rPr>
                <w:b/>
                <w:sz w:val="22"/>
                <w:szCs w:val="22"/>
                <w:lang w:val="en-US" w:eastAsia="en-US"/>
              </w:rPr>
            </w:pPr>
          </w:p>
          <w:p w14:paraId="54C45D13" w14:textId="77777777" w:rsidR="008458E3" w:rsidRDefault="008458E3" w:rsidP="00463B92">
            <w:pPr>
              <w:rPr>
                <w:b/>
                <w:sz w:val="22"/>
                <w:szCs w:val="22"/>
                <w:lang w:val="en-US" w:eastAsia="en-US"/>
              </w:rPr>
            </w:pPr>
            <w:r w:rsidRPr="00A565DE">
              <w:rPr>
                <w:b/>
                <w:sz w:val="22"/>
                <w:szCs w:val="22"/>
                <w:lang w:val="en-US" w:eastAsia="en-US"/>
              </w:rPr>
              <w:t>Output 1.1</w:t>
            </w:r>
          </w:p>
          <w:p w14:paraId="25F962C4" w14:textId="77777777" w:rsidR="00A565DE" w:rsidRPr="00A565DE" w:rsidRDefault="00A565DE" w:rsidP="00463B92">
            <w:pPr>
              <w:rPr>
                <w:b/>
                <w:sz w:val="8"/>
                <w:szCs w:val="8"/>
                <w:lang w:val="en-US" w:eastAsia="en-US"/>
              </w:rPr>
            </w:pPr>
          </w:p>
          <w:p w14:paraId="30388183" w14:textId="4C33ADC2" w:rsidR="008458E3" w:rsidRPr="00627A1C" w:rsidRDefault="00A565DE" w:rsidP="00A565DE">
            <w:pPr>
              <w:jc w:val="both"/>
              <w:rPr>
                <w:b/>
                <w:lang w:val="en-US" w:eastAsia="en-US"/>
              </w:rPr>
            </w:pPr>
            <w:r w:rsidRPr="00A565DE">
              <w:rPr>
                <w:b/>
                <w:sz w:val="20"/>
                <w:szCs w:val="20"/>
                <w:lang w:val="en-US" w:eastAsia="en-US"/>
              </w:rPr>
              <w:t>National security agencies and justice sectors improve their strategic and operational coordination capacity to prevent, investigate and prosecute drug trafficking and transnational organized crime.</w:t>
            </w:r>
          </w:p>
        </w:tc>
        <w:tc>
          <w:tcPr>
            <w:tcW w:w="2313" w:type="dxa"/>
            <w:tcBorders>
              <w:top w:val="double" w:sz="4" w:space="0" w:color="auto"/>
            </w:tcBorders>
            <w:shd w:val="clear" w:color="auto" w:fill="EEECE1"/>
          </w:tcPr>
          <w:p w14:paraId="6F2655CC" w14:textId="77777777" w:rsidR="00511566" w:rsidRDefault="00511566" w:rsidP="00BB0374">
            <w:pPr>
              <w:jc w:val="both"/>
              <w:rPr>
                <w:b/>
                <w:sz w:val="20"/>
                <w:szCs w:val="20"/>
              </w:rPr>
            </w:pPr>
          </w:p>
          <w:p w14:paraId="1A33AC3B" w14:textId="6B0C46BC" w:rsidR="008458E3" w:rsidRPr="00203AA3" w:rsidRDefault="008458E3" w:rsidP="00BB0374">
            <w:pPr>
              <w:jc w:val="both"/>
              <w:rPr>
                <w:sz w:val="20"/>
                <w:szCs w:val="20"/>
                <w:lang w:val="en-US" w:eastAsia="en-US"/>
              </w:rPr>
            </w:pPr>
            <w:r w:rsidRPr="00203AA3">
              <w:rPr>
                <w:b/>
                <w:sz w:val="20"/>
                <w:szCs w:val="20"/>
              </w:rPr>
              <w:t>Indicator 1.1.1</w:t>
            </w:r>
            <w:r w:rsidRPr="00203AA3">
              <w:rPr>
                <w:sz w:val="20"/>
                <w:szCs w:val="20"/>
              </w:rPr>
              <w:t xml:space="preserve"> A National Plan to fight DTOC is developed, endorsed and at least partially  implemented with UNODC assistance </w:t>
            </w:r>
          </w:p>
        </w:tc>
        <w:tc>
          <w:tcPr>
            <w:tcW w:w="1843" w:type="dxa"/>
            <w:tcBorders>
              <w:top w:val="double" w:sz="4" w:space="0" w:color="auto"/>
            </w:tcBorders>
            <w:shd w:val="clear" w:color="auto" w:fill="EEECE1"/>
          </w:tcPr>
          <w:p w14:paraId="28891CC3" w14:textId="77777777" w:rsidR="00511566" w:rsidRDefault="00511566" w:rsidP="00BB0374">
            <w:pPr>
              <w:jc w:val="both"/>
              <w:rPr>
                <w:sz w:val="20"/>
                <w:szCs w:val="20"/>
              </w:rPr>
            </w:pPr>
          </w:p>
          <w:p w14:paraId="4B6318D2" w14:textId="69D6081B" w:rsidR="008458E3" w:rsidRPr="00203AA3" w:rsidRDefault="008458E3" w:rsidP="00BB0374">
            <w:pPr>
              <w:jc w:val="both"/>
              <w:rPr>
                <w:sz w:val="20"/>
                <w:szCs w:val="20"/>
              </w:rPr>
            </w:pPr>
            <w:r w:rsidRPr="00203AA3">
              <w:rPr>
                <w:sz w:val="20"/>
                <w:szCs w:val="20"/>
              </w:rPr>
              <w:t xml:space="preserve">Absence of an up-to-date integrated and inclusive National Plan to fight DTOC  </w:t>
            </w:r>
          </w:p>
        </w:tc>
        <w:tc>
          <w:tcPr>
            <w:tcW w:w="2126" w:type="dxa"/>
            <w:tcBorders>
              <w:top w:val="double" w:sz="4" w:space="0" w:color="auto"/>
            </w:tcBorders>
            <w:shd w:val="clear" w:color="auto" w:fill="EEECE1"/>
          </w:tcPr>
          <w:p w14:paraId="74CD3947" w14:textId="77777777" w:rsidR="00511566" w:rsidRDefault="00511566" w:rsidP="00BB0374">
            <w:pPr>
              <w:jc w:val="both"/>
              <w:rPr>
                <w:sz w:val="20"/>
                <w:szCs w:val="20"/>
              </w:rPr>
            </w:pPr>
          </w:p>
          <w:p w14:paraId="33BC0269" w14:textId="05DD656F" w:rsidR="008458E3" w:rsidRPr="00463B92" w:rsidRDefault="008458E3" w:rsidP="00BB0374">
            <w:pPr>
              <w:jc w:val="both"/>
              <w:rPr>
                <w:sz w:val="20"/>
                <w:szCs w:val="20"/>
              </w:rPr>
            </w:pPr>
            <w:r w:rsidRPr="00463B92">
              <w:rPr>
                <w:sz w:val="20"/>
                <w:szCs w:val="20"/>
              </w:rPr>
              <w:t>A National Plan is developed with all the national stakeholders including CSO,</w:t>
            </w:r>
            <w:r>
              <w:rPr>
                <w:sz w:val="20"/>
                <w:szCs w:val="20"/>
              </w:rPr>
              <w:t xml:space="preserve"> </w:t>
            </w:r>
            <w:r w:rsidRPr="00463B92">
              <w:rPr>
                <w:sz w:val="20"/>
                <w:szCs w:val="20"/>
              </w:rPr>
              <w:t xml:space="preserve">endorsed by the national authorities  and at least  partially implemented  </w:t>
            </w:r>
          </w:p>
        </w:tc>
        <w:tc>
          <w:tcPr>
            <w:tcW w:w="1276" w:type="dxa"/>
            <w:tcBorders>
              <w:top w:val="double" w:sz="4" w:space="0" w:color="auto"/>
            </w:tcBorders>
          </w:tcPr>
          <w:p w14:paraId="296813E4" w14:textId="77777777" w:rsidR="00511566" w:rsidRDefault="00511566" w:rsidP="00BB0374">
            <w:pPr>
              <w:jc w:val="both"/>
              <w:rPr>
                <w:sz w:val="20"/>
                <w:szCs w:val="20"/>
                <w:lang w:val="en-US" w:eastAsia="en-US"/>
              </w:rPr>
            </w:pPr>
          </w:p>
          <w:p w14:paraId="4EB552FB" w14:textId="062449B3" w:rsidR="008458E3" w:rsidRPr="00BB0374" w:rsidRDefault="008458E3" w:rsidP="00BB0374">
            <w:pPr>
              <w:jc w:val="both"/>
              <w:rPr>
                <w:sz w:val="20"/>
                <w:szCs w:val="20"/>
                <w:lang w:val="en-US" w:eastAsia="en-US"/>
              </w:rPr>
            </w:pPr>
          </w:p>
        </w:tc>
        <w:tc>
          <w:tcPr>
            <w:tcW w:w="2835" w:type="dxa"/>
            <w:tcBorders>
              <w:top w:val="double" w:sz="4" w:space="0" w:color="auto"/>
            </w:tcBorders>
          </w:tcPr>
          <w:p w14:paraId="46D533A2" w14:textId="3F7F8EDE" w:rsidR="008458E3" w:rsidRPr="00102D9F" w:rsidRDefault="00AA6540" w:rsidP="007849EF">
            <w:pPr>
              <w:jc w:val="both"/>
              <w:rPr>
                <w:bCs/>
                <w:noProof/>
                <w:sz w:val="20"/>
                <w:szCs w:val="20"/>
                <w:lang w:val="en-US" w:eastAsia="en-US"/>
              </w:rPr>
            </w:pPr>
            <w:r w:rsidRPr="00AA6540">
              <w:rPr>
                <w:bCs/>
                <w:noProof/>
                <w:sz w:val="20"/>
                <w:szCs w:val="20"/>
                <w:lang w:val="en-US" w:eastAsia="en-US"/>
              </w:rPr>
              <w:t>The ‘Integrated National Plan to Combat Drug Trafficking, Organized Crime and Risk Reduction’</w:t>
            </w:r>
            <w:r w:rsidR="00102D9F">
              <w:rPr>
                <w:bCs/>
                <w:noProof/>
                <w:sz w:val="20"/>
                <w:szCs w:val="20"/>
                <w:lang w:val="en-US" w:eastAsia="en-US"/>
              </w:rPr>
              <w:t xml:space="preserve"> </w:t>
            </w:r>
            <w:r w:rsidRPr="00AA6540">
              <w:rPr>
                <w:bCs/>
                <w:noProof/>
                <w:sz w:val="20"/>
                <w:szCs w:val="20"/>
                <w:lang w:val="en-US" w:eastAsia="en-US"/>
              </w:rPr>
              <w:t>was finalized and its broad lines officially presented in December 2019 and formally adopted by the  Council of Ministers on  18 February 2020, as well as under the current Government.</w:t>
            </w:r>
          </w:p>
        </w:tc>
        <w:tc>
          <w:tcPr>
            <w:tcW w:w="3197" w:type="dxa"/>
            <w:tcBorders>
              <w:top w:val="double" w:sz="4" w:space="0" w:color="auto"/>
            </w:tcBorders>
          </w:tcPr>
          <w:p w14:paraId="7C2AA630" w14:textId="782F0D27" w:rsidR="00E97DD0" w:rsidRPr="00412473" w:rsidRDefault="00412473" w:rsidP="007849EF">
            <w:pPr>
              <w:jc w:val="both"/>
              <w:rPr>
                <w:b/>
                <w:sz w:val="20"/>
                <w:szCs w:val="20"/>
              </w:rPr>
            </w:pPr>
            <w:r w:rsidRPr="00412473">
              <w:rPr>
                <w:b/>
              </w:rPr>
              <w:t>-</w:t>
            </w:r>
            <w:r w:rsidR="00AA6540" w:rsidRPr="00412473">
              <w:rPr>
                <w:b/>
              </w:rPr>
              <w:t xml:space="preserve"> </w:t>
            </w:r>
          </w:p>
        </w:tc>
      </w:tr>
      <w:tr w:rsidR="008458E3" w:rsidRPr="00627A1C" w14:paraId="190EFF0A" w14:textId="77777777" w:rsidTr="00131DC2">
        <w:trPr>
          <w:trHeight w:val="1681"/>
        </w:trPr>
        <w:tc>
          <w:tcPr>
            <w:tcW w:w="1799" w:type="dxa"/>
            <w:vMerge/>
          </w:tcPr>
          <w:p w14:paraId="45AE9E2F" w14:textId="77777777" w:rsidR="008458E3" w:rsidRPr="00627A1C" w:rsidRDefault="008458E3" w:rsidP="002F42B8">
            <w:pPr>
              <w:rPr>
                <w:b/>
                <w:lang w:val="en-US" w:eastAsia="en-US"/>
              </w:rPr>
            </w:pPr>
          </w:p>
        </w:tc>
        <w:tc>
          <w:tcPr>
            <w:tcW w:w="2313" w:type="dxa"/>
            <w:shd w:val="clear" w:color="auto" w:fill="EEECE1"/>
          </w:tcPr>
          <w:p w14:paraId="673B6D9A" w14:textId="232CC4A5" w:rsidR="008458E3" w:rsidRPr="00203AA3" w:rsidRDefault="008458E3" w:rsidP="00BB0374">
            <w:pPr>
              <w:jc w:val="both"/>
              <w:rPr>
                <w:sz w:val="20"/>
                <w:szCs w:val="20"/>
                <w:lang w:val="en-US" w:eastAsia="en-US"/>
              </w:rPr>
            </w:pPr>
            <w:r w:rsidRPr="00203AA3">
              <w:rPr>
                <w:b/>
                <w:sz w:val="20"/>
                <w:szCs w:val="20"/>
                <w:lang w:val="en-US" w:eastAsia="en-US"/>
              </w:rPr>
              <w:t>Indicator 1.1.2</w:t>
            </w:r>
            <w:r>
              <w:rPr>
                <w:b/>
                <w:sz w:val="20"/>
                <w:szCs w:val="20"/>
                <w:lang w:val="en-US" w:eastAsia="en-US"/>
              </w:rPr>
              <w:t xml:space="preserve"> </w:t>
            </w:r>
            <w:r w:rsidRPr="00203AA3">
              <w:rPr>
                <w:sz w:val="20"/>
                <w:szCs w:val="20"/>
                <w:lang w:val="en-US" w:eastAsia="en-US"/>
              </w:rPr>
              <w:t xml:space="preserve">One National Strategic Plan to prevent and protect victims of human trafficking finalized and at least partially implemented </w:t>
            </w:r>
          </w:p>
        </w:tc>
        <w:tc>
          <w:tcPr>
            <w:tcW w:w="1843" w:type="dxa"/>
            <w:shd w:val="clear" w:color="auto" w:fill="EEECE1"/>
          </w:tcPr>
          <w:p w14:paraId="6DE89624" w14:textId="3B2B754B" w:rsidR="008458E3" w:rsidRPr="00203AA3" w:rsidRDefault="008458E3" w:rsidP="00BB0374">
            <w:pPr>
              <w:jc w:val="both"/>
              <w:rPr>
                <w:sz w:val="20"/>
                <w:szCs w:val="20"/>
              </w:rPr>
            </w:pPr>
            <w:r>
              <w:rPr>
                <w:sz w:val="20"/>
                <w:szCs w:val="20"/>
              </w:rPr>
              <w:t>National Emergency Plan to prevent  and protect victims of human trafficking adopted on 11 June 2020</w:t>
            </w:r>
          </w:p>
        </w:tc>
        <w:tc>
          <w:tcPr>
            <w:tcW w:w="2126" w:type="dxa"/>
            <w:shd w:val="clear" w:color="auto" w:fill="EEECE1"/>
          </w:tcPr>
          <w:p w14:paraId="0ED4E42F" w14:textId="59F9E9D6" w:rsidR="008458E3" w:rsidRPr="00203AA3" w:rsidRDefault="008458E3" w:rsidP="00BB0374">
            <w:pPr>
              <w:jc w:val="both"/>
              <w:rPr>
                <w:sz w:val="20"/>
                <w:szCs w:val="20"/>
              </w:rPr>
            </w:pPr>
            <w:r>
              <w:rPr>
                <w:sz w:val="20"/>
                <w:szCs w:val="20"/>
              </w:rPr>
              <w:t>Full-fledged National Strategic Plan to prevent and protect victims of human trafficking drafted</w:t>
            </w:r>
          </w:p>
        </w:tc>
        <w:tc>
          <w:tcPr>
            <w:tcW w:w="1276" w:type="dxa"/>
          </w:tcPr>
          <w:p w14:paraId="1842915B" w14:textId="38192C1E" w:rsidR="008458E3" w:rsidRPr="00627A1C" w:rsidRDefault="008458E3" w:rsidP="002F42B8">
            <w:pPr>
              <w:rPr>
                <w:b/>
                <w:lang w:val="en-US" w:eastAsia="en-US"/>
              </w:rPr>
            </w:pPr>
          </w:p>
        </w:tc>
        <w:tc>
          <w:tcPr>
            <w:tcW w:w="2835" w:type="dxa"/>
          </w:tcPr>
          <w:p w14:paraId="036A3D1D" w14:textId="48472686" w:rsidR="008458E3" w:rsidRPr="00381BA1" w:rsidRDefault="00381BA1" w:rsidP="00381BA1">
            <w:pPr>
              <w:jc w:val="both"/>
              <w:rPr>
                <w:bCs/>
                <w:noProof/>
                <w:sz w:val="18"/>
                <w:szCs w:val="18"/>
                <w:lang w:val="en-US" w:eastAsia="en-US"/>
              </w:rPr>
            </w:pPr>
            <w:r w:rsidRPr="00381BA1">
              <w:rPr>
                <w:bCs/>
                <w:noProof/>
                <w:sz w:val="18"/>
                <w:szCs w:val="18"/>
                <w:lang w:val="en-US" w:eastAsia="en-US"/>
              </w:rPr>
              <w:t xml:space="preserve">An international consultant has been recruited between July and August by IOM to assist </w:t>
            </w:r>
            <w:r>
              <w:rPr>
                <w:bCs/>
                <w:noProof/>
                <w:sz w:val="18"/>
                <w:szCs w:val="18"/>
                <w:lang w:val="en-US" w:eastAsia="en-US"/>
              </w:rPr>
              <w:t xml:space="preserve">the National Institute for Women and Children (IMC) </w:t>
            </w:r>
            <w:r w:rsidRPr="00381BA1">
              <w:rPr>
                <w:bCs/>
                <w:noProof/>
                <w:sz w:val="18"/>
                <w:szCs w:val="18"/>
                <w:lang w:val="en-US" w:eastAsia="en-US"/>
              </w:rPr>
              <w:t>with the implementation of the National Strategic Plan (2019-2021) to prevent and protect victims of hu</w:t>
            </w:r>
            <w:r>
              <w:rPr>
                <w:bCs/>
                <w:noProof/>
                <w:sz w:val="18"/>
                <w:szCs w:val="18"/>
                <w:lang w:val="en-US" w:eastAsia="en-US"/>
              </w:rPr>
              <w:t>man trafficking.</w:t>
            </w:r>
          </w:p>
        </w:tc>
        <w:tc>
          <w:tcPr>
            <w:tcW w:w="3197" w:type="dxa"/>
          </w:tcPr>
          <w:p w14:paraId="1DB738E9" w14:textId="40187EB7" w:rsidR="008458E3" w:rsidRPr="00AA6540" w:rsidRDefault="00412473" w:rsidP="002F42B8">
            <w:pPr>
              <w:rPr>
                <w:sz w:val="20"/>
                <w:szCs w:val="20"/>
              </w:rPr>
            </w:pPr>
            <w:r>
              <w:rPr>
                <w:sz w:val="20"/>
                <w:szCs w:val="20"/>
              </w:rPr>
              <w:t>-</w:t>
            </w:r>
          </w:p>
        </w:tc>
      </w:tr>
      <w:tr w:rsidR="008458E3" w:rsidRPr="00627A1C" w14:paraId="4EA3033D" w14:textId="77777777" w:rsidTr="00131DC2">
        <w:trPr>
          <w:trHeight w:val="63"/>
        </w:trPr>
        <w:tc>
          <w:tcPr>
            <w:tcW w:w="1799" w:type="dxa"/>
            <w:vMerge/>
          </w:tcPr>
          <w:p w14:paraId="6F5AE58B" w14:textId="77777777" w:rsidR="008458E3" w:rsidRPr="00027675" w:rsidRDefault="008458E3" w:rsidP="002F42B8">
            <w:pPr>
              <w:rPr>
                <w:lang w:val="en-US" w:eastAsia="en-US"/>
              </w:rPr>
            </w:pPr>
          </w:p>
        </w:tc>
        <w:tc>
          <w:tcPr>
            <w:tcW w:w="2313" w:type="dxa"/>
            <w:shd w:val="clear" w:color="auto" w:fill="EEECE1"/>
          </w:tcPr>
          <w:p w14:paraId="0D24E735" w14:textId="3A12C206" w:rsidR="008458E3" w:rsidRPr="00BB0374" w:rsidRDefault="008458E3" w:rsidP="00BB0374">
            <w:pPr>
              <w:jc w:val="both"/>
              <w:rPr>
                <w:bCs/>
                <w:noProof/>
                <w:sz w:val="20"/>
                <w:szCs w:val="20"/>
                <w:lang w:val="en-US" w:eastAsia="en-US"/>
              </w:rPr>
            </w:pPr>
            <w:r w:rsidRPr="00BB0374">
              <w:rPr>
                <w:b/>
                <w:bCs/>
                <w:noProof/>
                <w:sz w:val="20"/>
                <w:szCs w:val="20"/>
                <w:lang w:val="en-US" w:eastAsia="en-US"/>
              </w:rPr>
              <w:t>Indicator 1.1.3</w:t>
            </w:r>
            <w:r>
              <w:rPr>
                <w:bCs/>
                <w:noProof/>
                <w:sz w:val="20"/>
                <w:szCs w:val="20"/>
                <w:lang w:val="en-US" w:eastAsia="en-US"/>
              </w:rPr>
              <w:t xml:space="preserve"> Number of cooperation mechanism and justice implemented or enhanced at national regional and international level </w:t>
            </w:r>
          </w:p>
          <w:p w14:paraId="5BC68A55" w14:textId="0F268622" w:rsidR="008458E3" w:rsidRPr="00BB0374" w:rsidRDefault="008458E3" w:rsidP="00BB0374">
            <w:pPr>
              <w:jc w:val="both"/>
              <w:rPr>
                <w:bCs/>
                <w:noProof/>
                <w:sz w:val="20"/>
                <w:szCs w:val="20"/>
                <w:lang w:val="en-US" w:eastAsia="en-US"/>
              </w:rPr>
            </w:pPr>
          </w:p>
        </w:tc>
        <w:tc>
          <w:tcPr>
            <w:tcW w:w="1843" w:type="dxa"/>
            <w:shd w:val="clear" w:color="auto" w:fill="EEECE1"/>
          </w:tcPr>
          <w:p w14:paraId="6358DD8A" w14:textId="77777777" w:rsidR="008458E3" w:rsidRPr="00D97ADF" w:rsidRDefault="008458E3" w:rsidP="00BB0374">
            <w:pPr>
              <w:jc w:val="both"/>
              <w:rPr>
                <w:bCs/>
                <w:noProof/>
                <w:sz w:val="18"/>
                <w:szCs w:val="18"/>
                <w:lang w:val="en-US" w:eastAsia="en-US"/>
              </w:rPr>
            </w:pPr>
            <w:r w:rsidRPr="00D97ADF">
              <w:rPr>
                <w:bCs/>
                <w:noProof/>
                <w:sz w:val="18"/>
                <w:szCs w:val="18"/>
                <w:lang w:val="en-US" w:eastAsia="en-US"/>
              </w:rPr>
              <w:t xml:space="preserve">At National level, two coordination platforms established-Superior Council for the Coordination of Policing and Internal Security </w:t>
            </w:r>
          </w:p>
          <w:p w14:paraId="6AB5D3EA" w14:textId="6AF1E7FF" w:rsidR="008458E3" w:rsidRPr="00D97ADF" w:rsidRDefault="008458E3" w:rsidP="00BB0374">
            <w:pPr>
              <w:jc w:val="both"/>
              <w:rPr>
                <w:bCs/>
                <w:noProof/>
                <w:sz w:val="18"/>
                <w:szCs w:val="18"/>
                <w:lang w:val="en-US" w:eastAsia="en-US"/>
              </w:rPr>
            </w:pPr>
            <w:r w:rsidRPr="00D97ADF">
              <w:rPr>
                <w:bCs/>
                <w:noProof/>
                <w:sz w:val="18"/>
                <w:szCs w:val="18"/>
                <w:lang w:val="en-US" w:eastAsia="en-US"/>
              </w:rPr>
              <w:t xml:space="preserve">(COSIPOL) and the Transnational Crime Unit (TCU) Management board – but no longer active since February 2020. </w:t>
            </w:r>
          </w:p>
          <w:p w14:paraId="5C8FAD92" w14:textId="25A96C1D" w:rsidR="00D97ADF" w:rsidRPr="00511566" w:rsidRDefault="008458E3" w:rsidP="003E6834">
            <w:pPr>
              <w:jc w:val="both"/>
              <w:rPr>
                <w:bCs/>
                <w:noProof/>
                <w:sz w:val="18"/>
                <w:szCs w:val="18"/>
                <w:lang w:val="en-US" w:eastAsia="en-US"/>
              </w:rPr>
            </w:pPr>
            <w:r w:rsidRPr="00D97ADF">
              <w:rPr>
                <w:bCs/>
                <w:noProof/>
                <w:sz w:val="18"/>
                <w:szCs w:val="18"/>
                <w:lang w:val="en-US" w:eastAsia="en-US"/>
              </w:rPr>
              <w:t>At Regional level,</w:t>
            </w:r>
            <w:r w:rsidR="00511566">
              <w:rPr>
                <w:bCs/>
                <w:noProof/>
                <w:sz w:val="18"/>
                <w:szCs w:val="18"/>
                <w:lang w:val="en-US" w:eastAsia="en-US"/>
              </w:rPr>
              <w:t xml:space="preserve"> </w:t>
            </w:r>
            <w:r w:rsidRPr="00D97ADF">
              <w:rPr>
                <w:bCs/>
                <w:noProof/>
                <w:sz w:val="18"/>
                <w:szCs w:val="18"/>
                <w:lang w:val="en-US" w:eastAsia="en-US"/>
              </w:rPr>
              <w:t xml:space="preserve">existing platforms (AIRCOP, WACI, GIABA, ARINWA) which include </w:t>
            </w:r>
            <w:r w:rsidR="00511566">
              <w:rPr>
                <w:bCs/>
                <w:noProof/>
                <w:sz w:val="18"/>
                <w:szCs w:val="18"/>
                <w:lang w:val="en-US" w:eastAsia="en-US"/>
              </w:rPr>
              <w:t>Guinea-Bissau</w:t>
            </w:r>
            <w:r w:rsidRPr="00BB0374">
              <w:rPr>
                <w:bCs/>
                <w:noProof/>
                <w:sz w:val="20"/>
                <w:szCs w:val="20"/>
                <w:lang w:val="en-US" w:eastAsia="en-US"/>
              </w:rPr>
              <w:t xml:space="preserve"> </w:t>
            </w:r>
          </w:p>
        </w:tc>
        <w:tc>
          <w:tcPr>
            <w:tcW w:w="2126" w:type="dxa"/>
            <w:shd w:val="clear" w:color="auto" w:fill="EEECE1"/>
          </w:tcPr>
          <w:p w14:paraId="0F0293A8" w14:textId="6FC4E838" w:rsidR="008458E3" w:rsidRPr="00BB0374" w:rsidRDefault="00690087" w:rsidP="00BB0374">
            <w:pPr>
              <w:jc w:val="both"/>
              <w:rPr>
                <w:bCs/>
                <w:noProof/>
                <w:sz w:val="20"/>
                <w:szCs w:val="20"/>
                <w:lang w:val="en-US" w:eastAsia="en-US"/>
              </w:rPr>
            </w:pPr>
            <w:r>
              <w:rPr>
                <w:bCs/>
                <w:noProof/>
                <w:sz w:val="20"/>
                <w:szCs w:val="20"/>
                <w:lang w:val="en-US" w:eastAsia="en-US"/>
              </w:rPr>
              <w:t xml:space="preserve">- </w:t>
            </w:r>
            <w:r w:rsidR="008458E3" w:rsidRPr="00BB0374">
              <w:rPr>
                <w:bCs/>
                <w:noProof/>
                <w:sz w:val="20"/>
                <w:szCs w:val="20"/>
                <w:lang w:val="en-US" w:eastAsia="en-US"/>
              </w:rPr>
              <w:t>2 mechanisms are enhanced 1 at national level and 1 regional level</w:t>
            </w:r>
          </w:p>
          <w:p w14:paraId="70E750CC" w14:textId="7B014B7B" w:rsidR="008458E3" w:rsidRPr="00BB0374" w:rsidRDefault="00690087" w:rsidP="00BB0374">
            <w:pPr>
              <w:jc w:val="both"/>
              <w:rPr>
                <w:bCs/>
                <w:noProof/>
                <w:sz w:val="20"/>
                <w:szCs w:val="20"/>
                <w:lang w:val="en-US" w:eastAsia="en-US"/>
              </w:rPr>
            </w:pPr>
            <w:r>
              <w:rPr>
                <w:bCs/>
                <w:noProof/>
                <w:sz w:val="20"/>
                <w:szCs w:val="20"/>
                <w:lang w:val="en-US" w:eastAsia="en-US"/>
              </w:rPr>
              <w:t xml:space="preserve">- </w:t>
            </w:r>
            <w:r w:rsidR="008458E3" w:rsidRPr="00BB0374">
              <w:rPr>
                <w:bCs/>
                <w:noProof/>
                <w:sz w:val="20"/>
                <w:szCs w:val="20"/>
                <w:lang w:val="en-US" w:eastAsia="en-US"/>
              </w:rPr>
              <w:t>2 coordination meetings among donors are held and facilitated by the UN to share information on their assistance to rule of law and national security institutions on CDTOC</w:t>
            </w:r>
          </w:p>
        </w:tc>
        <w:tc>
          <w:tcPr>
            <w:tcW w:w="1276" w:type="dxa"/>
          </w:tcPr>
          <w:p w14:paraId="751387DC" w14:textId="77777777" w:rsidR="008458E3" w:rsidRPr="00F91D70" w:rsidRDefault="008458E3" w:rsidP="002F42B8">
            <w:pPr>
              <w:rPr>
                <w:lang w:val="en-US" w:eastAsia="en-US"/>
              </w:rPr>
            </w:pPr>
          </w:p>
        </w:tc>
        <w:tc>
          <w:tcPr>
            <w:tcW w:w="2835" w:type="dxa"/>
          </w:tcPr>
          <w:p w14:paraId="094FF68A" w14:textId="7CCA8061" w:rsidR="008458E3" w:rsidRPr="00F91D70" w:rsidDel="00141C57" w:rsidRDefault="008458E3" w:rsidP="002F42B8">
            <w:pPr>
              <w:rPr>
                <w:lang w:val="en-US" w:eastAsia="en-US"/>
              </w:rPr>
            </w:pPr>
          </w:p>
        </w:tc>
        <w:tc>
          <w:tcPr>
            <w:tcW w:w="3197" w:type="dxa"/>
          </w:tcPr>
          <w:p w14:paraId="5BB1CA19" w14:textId="7A8CD084" w:rsidR="00AC5B37" w:rsidRPr="00557552" w:rsidRDefault="00557552" w:rsidP="00557552">
            <w:pPr>
              <w:jc w:val="both"/>
              <w:rPr>
                <w:sz w:val="20"/>
                <w:szCs w:val="20"/>
                <w:lang w:val="en-US" w:eastAsia="en-US"/>
              </w:rPr>
            </w:pPr>
            <w:r w:rsidRPr="00557552">
              <w:rPr>
                <w:sz w:val="20"/>
                <w:szCs w:val="20"/>
                <w:lang w:val="en-US" w:eastAsia="en-US"/>
              </w:rPr>
              <w:t>At national level, already existing coordination mechanisms have not proven to be relevant/functional fora</w:t>
            </w:r>
            <w:r>
              <w:rPr>
                <w:sz w:val="20"/>
                <w:szCs w:val="20"/>
                <w:lang w:val="en-US" w:eastAsia="en-US"/>
              </w:rPr>
              <w:t xml:space="preserve"> to address issues DT-TOC.</w:t>
            </w:r>
            <w:r w:rsidR="00F0096B">
              <w:rPr>
                <w:sz w:val="20"/>
                <w:szCs w:val="20"/>
                <w:lang w:val="en-US" w:eastAsia="en-US"/>
              </w:rPr>
              <w:t xml:space="preserve"> T</w:t>
            </w:r>
            <w:r w:rsidRPr="00557552">
              <w:rPr>
                <w:sz w:val="20"/>
                <w:szCs w:val="20"/>
                <w:lang w:val="en-US" w:eastAsia="en-US"/>
              </w:rPr>
              <w:t>wo other alternatives</w:t>
            </w:r>
            <w:r w:rsidR="00F0096B">
              <w:rPr>
                <w:sz w:val="20"/>
                <w:szCs w:val="20"/>
                <w:lang w:val="en-US" w:eastAsia="en-US"/>
              </w:rPr>
              <w:t xml:space="preserve"> are considered</w:t>
            </w:r>
            <w:r w:rsidRPr="00557552">
              <w:rPr>
                <w:sz w:val="20"/>
                <w:szCs w:val="20"/>
                <w:lang w:val="en-US" w:eastAsia="en-US"/>
              </w:rPr>
              <w:t>: (1) enhancing Judicial Police-CENTIF coordination / cooperation (gradual approach toward that objective currently underway); (2) supporting the Ministry of Justice in reactivating a committee that had already been created for the development of Guinea-Bissau’s National Integrated Strategic Plan, which would from now on be mandated to act as a steering mechanism to drive the roll-out of that plan</w:t>
            </w:r>
            <w:r w:rsidR="00602766">
              <w:rPr>
                <w:sz w:val="20"/>
                <w:szCs w:val="20"/>
                <w:lang w:val="en-US" w:eastAsia="en-US"/>
              </w:rPr>
              <w:t xml:space="preserve"> </w:t>
            </w:r>
            <w:r w:rsidRPr="00557552">
              <w:rPr>
                <w:sz w:val="20"/>
                <w:szCs w:val="20"/>
                <w:lang w:val="en-US" w:eastAsia="en-US"/>
              </w:rPr>
              <w:t xml:space="preserve">and advise the </w:t>
            </w:r>
            <w:r w:rsidRPr="00557552">
              <w:rPr>
                <w:sz w:val="20"/>
                <w:szCs w:val="20"/>
                <w:lang w:val="en-US" w:eastAsia="en-US"/>
              </w:rPr>
              <w:lastRenderedPageBreak/>
              <w:t>Minister of Justice accordin</w:t>
            </w:r>
            <w:r>
              <w:rPr>
                <w:sz w:val="20"/>
                <w:szCs w:val="20"/>
                <w:lang w:val="en-US" w:eastAsia="en-US"/>
              </w:rPr>
              <w:t xml:space="preserve">gly. A follow-up mission by a </w:t>
            </w:r>
            <w:r w:rsidRPr="00557552">
              <w:rPr>
                <w:sz w:val="20"/>
                <w:szCs w:val="20"/>
                <w:lang w:val="en-US" w:eastAsia="en-US"/>
              </w:rPr>
              <w:t xml:space="preserve">consultant in charge of supporting that objective </w:t>
            </w:r>
            <w:r>
              <w:rPr>
                <w:sz w:val="20"/>
                <w:szCs w:val="20"/>
                <w:lang w:val="en-US" w:eastAsia="en-US"/>
              </w:rPr>
              <w:t>will take place later before the end of the year.</w:t>
            </w:r>
          </w:p>
        </w:tc>
      </w:tr>
      <w:tr w:rsidR="00CF33C5" w:rsidRPr="00627A1C" w14:paraId="5EA4D0EE" w14:textId="77777777" w:rsidTr="00131DC2">
        <w:trPr>
          <w:trHeight w:val="440"/>
        </w:trPr>
        <w:tc>
          <w:tcPr>
            <w:tcW w:w="1799" w:type="dxa"/>
            <w:vMerge w:val="restart"/>
          </w:tcPr>
          <w:p w14:paraId="620E8630" w14:textId="6C5002AF" w:rsidR="00CF33C5" w:rsidRDefault="00CF33C5" w:rsidP="00DE53F3">
            <w:pPr>
              <w:jc w:val="both"/>
              <w:rPr>
                <w:b/>
                <w:sz w:val="20"/>
                <w:szCs w:val="20"/>
                <w:lang w:val="en-US" w:eastAsia="en-US"/>
              </w:rPr>
            </w:pPr>
            <w:r w:rsidRPr="00DE53F3">
              <w:rPr>
                <w:b/>
                <w:sz w:val="20"/>
                <w:szCs w:val="20"/>
                <w:lang w:val="en-US" w:eastAsia="en-US"/>
              </w:rPr>
              <w:lastRenderedPageBreak/>
              <w:t>Output 1.1</w:t>
            </w:r>
          </w:p>
          <w:p w14:paraId="6AA56D85" w14:textId="77777777" w:rsidR="00CF33C5" w:rsidRPr="00DE53F3" w:rsidRDefault="00CF33C5" w:rsidP="00DE53F3">
            <w:pPr>
              <w:jc w:val="both"/>
              <w:rPr>
                <w:b/>
                <w:sz w:val="8"/>
                <w:szCs w:val="8"/>
                <w:lang w:val="en-US" w:eastAsia="en-US"/>
              </w:rPr>
            </w:pPr>
          </w:p>
          <w:p w14:paraId="5EC0130D" w14:textId="0A39C5D2" w:rsidR="00CF33C5" w:rsidRPr="00DE53F3" w:rsidRDefault="00CF33C5" w:rsidP="00DE53F3">
            <w:pPr>
              <w:jc w:val="both"/>
              <w:rPr>
                <w:b/>
                <w:lang w:val="en-US" w:eastAsia="en-US"/>
              </w:rPr>
            </w:pPr>
            <w:r w:rsidRPr="00DE53F3">
              <w:rPr>
                <w:b/>
                <w:sz w:val="18"/>
                <w:szCs w:val="18"/>
                <w:lang w:val="en-US" w:eastAsia="en-US"/>
              </w:rPr>
              <w:t>National security agencies and justice sectors improve their strategic and operational coordination capacity to prevent, investigate and prosecute drug trafficking and transnational organized crime</w:t>
            </w:r>
            <w:r w:rsidRPr="00DE53F3">
              <w:rPr>
                <w:b/>
                <w:lang w:val="en-US" w:eastAsia="en-US"/>
              </w:rPr>
              <w:t>.</w:t>
            </w:r>
          </w:p>
        </w:tc>
        <w:tc>
          <w:tcPr>
            <w:tcW w:w="2313" w:type="dxa"/>
            <w:tcBorders>
              <w:bottom w:val="single" w:sz="4" w:space="0" w:color="auto"/>
            </w:tcBorders>
            <w:shd w:val="clear" w:color="auto" w:fill="EEECE1"/>
          </w:tcPr>
          <w:p w14:paraId="01FF48B8" w14:textId="376F299E" w:rsidR="00CF33C5" w:rsidRPr="0095032C" w:rsidRDefault="00CF33C5" w:rsidP="002F42B8">
            <w:pPr>
              <w:jc w:val="both"/>
              <w:rPr>
                <w:b/>
                <w:sz w:val="20"/>
                <w:szCs w:val="20"/>
                <w:lang w:val="en-US" w:eastAsia="en-US"/>
              </w:rPr>
            </w:pPr>
            <w:r w:rsidRPr="003E6834">
              <w:rPr>
                <w:b/>
                <w:sz w:val="20"/>
                <w:szCs w:val="20"/>
                <w:lang w:val="en-US" w:eastAsia="en-US"/>
              </w:rPr>
              <w:t>Indicator 1.1.4</w:t>
            </w:r>
            <w:r w:rsidRPr="0095032C">
              <w:rPr>
                <w:sz w:val="20"/>
                <w:szCs w:val="20"/>
                <w:lang w:val="en-US" w:eastAsia="en-US"/>
              </w:rPr>
              <w:t xml:space="preserve"> Drug trafficking  and organized crime-related legal framework is revised, as per needs identified in the National Strategic Plan, in line with relevant international conventions</w:t>
            </w:r>
          </w:p>
        </w:tc>
        <w:tc>
          <w:tcPr>
            <w:tcW w:w="1843" w:type="dxa"/>
            <w:tcBorders>
              <w:bottom w:val="single" w:sz="4" w:space="0" w:color="auto"/>
            </w:tcBorders>
            <w:shd w:val="clear" w:color="auto" w:fill="EEECE1"/>
          </w:tcPr>
          <w:p w14:paraId="39957F54" w14:textId="30BD94BB" w:rsidR="00CF33C5" w:rsidRPr="00D55DC1" w:rsidRDefault="00CF33C5" w:rsidP="002F42B8">
            <w:pPr>
              <w:jc w:val="both"/>
              <w:rPr>
                <w:bCs/>
                <w:noProof/>
                <w:sz w:val="20"/>
                <w:szCs w:val="20"/>
                <w:lang w:val="en-US" w:eastAsia="en-US"/>
              </w:rPr>
            </w:pPr>
            <w:r>
              <w:rPr>
                <w:bCs/>
                <w:noProof/>
                <w:sz w:val="20"/>
                <w:szCs w:val="20"/>
                <w:lang w:val="en-US" w:eastAsia="en-US"/>
              </w:rPr>
              <w:t>A national multidisciplinary committee put in place to review the Penal Code and the Code of Criminal Procedure  and civil code . Actual revision/drafting process of drug control /TOC –related bills and regulations yet to be initiated</w:t>
            </w:r>
          </w:p>
        </w:tc>
        <w:tc>
          <w:tcPr>
            <w:tcW w:w="2126" w:type="dxa"/>
            <w:tcBorders>
              <w:bottom w:val="single" w:sz="4" w:space="0" w:color="auto"/>
            </w:tcBorders>
            <w:shd w:val="clear" w:color="auto" w:fill="EEECE1"/>
          </w:tcPr>
          <w:p w14:paraId="3742941B" w14:textId="73FF90F7" w:rsidR="00CF33C5" w:rsidRPr="00D55DC1" w:rsidRDefault="00CF33C5" w:rsidP="002F42B8">
            <w:pPr>
              <w:jc w:val="both"/>
              <w:rPr>
                <w:bCs/>
                <w:noProof/>
                <w:sz w:val="20"/>
                <w:szCs w:val="20"/>
                <w:lang w:val="en-US" w:eastAsia="en-US"/>
              </w:rPr>
            </w:pPr>
            <w:r>
              <w:rPr>
                <w:bCs/>
                <w:noProof/>
                <w:sz w:val="20"/>
                <w:szCs w:val="20"/>
                <w:lang w:val="en-US" w:eastAsia="en-US"/>
              </w:rPr>
              <w:t>Draft legal framework updated available for consideration and eventual adoption by executive and legislative organs, subject to conducive political circumstances, to facilitate investigation  and prosecution of DT/OC cases</w:t>
            </w:r>
          </w:p>
        </w:tc>
        <w:tc>
          <w:tcPr>
            <w:tcW w:w="1276" w:type="dxa"/>
            <w:tcBorders>
              <w:bottom w:val="single" w:sz="4" w:space="0" w:color="auto"/>
            </w:tcBorders>
          </w:tcPr>
          <w:p w14:paraId="1038B172" w14:textId="77777777" w:rsidR="00CF33C5" w:rsidRPr="00F91D70" w:rsidRDefault="00CF33C5" w:rsidP="002F42B8">
            <w:pPr>
              <w:rPr>
                <w:lang w:val="en-US" w:eastAsia="en-US"/>
              </w:rPr>
            </w:pPr>
          </w:p>
        </w:tc>
        <w:tc>
          <w:tcPr>
            <w:tcW w:w="2835" w:type="dxa"/>
            <w:tcBorders>
              <w:bottom w:val="single" w:sz="4" w:space="0" w:color="auto"/>
            </w:tcBorders>
          </w:tcPr>
          <w:p w14:paraId="69FC0986" w14:textId="59A9B836" w:rsidR="00CF33C5" w:rsidRPr="00AA6540" w:rsidDel="00141C57" w:rsidRDefault="00AA6540" w:rsidP="00AA6540">
            <w:pPr>
              <w:jc w:val="both"/>
              <w:rPr>
                <w:sz w:val="20"/>
                <w:szCs w:val="20"/>
                <w:lang w:val="en-US" w:eastAsia="en-US"/>
              </w:rPr>
            </w:pPr>
            <w:r w:rsidRPr="00AA6540">
              <w:rPr>
                <w:sz w:val="20"/>
                <w:szCs w:val="20"/>
                <w:lang w:val="en-US" w:eastAsia="en-US"/>
              </w:rPr>
              <w:t>Desk review of existing laws and regulations undertaken in August, followed in September by a mission to Bissau for a series of consultations with the Ministry of Justice, the Judicial Police, CENTIF (Guinea-Bissau's Financial Intelligence Unit), and the General Prosecutor's Office, to nurture a legislative roadmap centred on TOC related provisions, and as a contribution toward a wider programme of legislative reforms currently being devised by the Ministry of Justice.</w:t>
            </w:r>
          </w:p>
        </w:tc>
        <w:tc>
          <w:tcPr>
            <w:tcW w:w="3197" w:type="dxa"/>
            <w:tcBorders>
              <w:bottom w:val="single" w:sz="4" w:space="0" w:color="auto"/>
            </w:tcBorders>
          </w:tcPr>
          <w:p w14:paraId="050652D8" w14:textId="5E1D826F" w:rsidR="00CF33C5" w:rsidRPr="00F91D70" w:rsidRDefault="00AC5B37" w:rsidP="00412473">
            <w:pPr>
              <w:ind w:right="-29"/>
              <w:jc w:val="both"/>
              <w:rPr>
                <w:lang w:val="en-US" w:eastAsia="en-US"/>
              </w:rPr>
            </w:pPr>
            <w:r w:rsidRPr="00AC5B37">
              <w:rPr>
                <w:sz w:val="20"/>
                <w:szCs w:val="20"/>
                <w:lang w:val="en-US" w:eastAsia="en-US"/>
              </w:rPr>
              <w:t>A broader legislative programme is currently being developed with the support of Bissau’s Faculty of Law (throug</w:t>
            </w:r>
            <w:r w:rsidR="00EB20AF">
              <w:rPr>
                <w:sz w:val="20"/>
                <w:szCs w:val="20"/>
                <w:lang w:val="en-US" w:eastAsia="en-US"/>
              </w:rPr>
              <w:t xml:space="preserve">h a separate UNDP project). The </w:t>
            </w:r>
            <w:r w:rsidRPr="00AC5B37">
              <w:rPr>
                <w:sz w:val="20"/>
                <w:szCs w:val="20"/>
                <w:lang w:val="en-US" w:eastAsia="en-US"/>
              </w:rPr>
              <w:t xml:space="preserve">contribution </w:t>
            </w:r>
            <w:r w:rsidR="00EB20AF">
              <w:rPr>
                <w:sz w:val="20"/>
                <w:szCs w:val="20"/>
                <w:lang w:val="en-US" w:eastAsia="en-US"/>
              </w:rPr>
              <w:t xml:space="preserve">of the project </w:t>
            </w:r>
            <w:r w:rsidR="00EB20AF" w:rsidRPr="00AC5B37">
              <w:rPr>
                <w:sz w:val="20"/>
                <w:szCs w:val="20"/>
                <w:lang w:val="en-US" w:eastAsia="en-US"/>
              </w:rPr>
              <w:t>consists</w:t>
            </w:r>
            <w:r w:rsidRPr="00AC5B37">
              <w:rPr>
                <w:sz w:val="20"/>
                <w:szCs w:val="20"/>
                <w:lang w:val="en-US" w:eastAsia="en-US"/>
              </w:rPr>
              <w:t xml:space="preserve"> in identifying any remaining gaps which could b</w:t>
            </w:r>
            <w:r w:rsidR="00E90002">
              <w:rPr>
                <w:sz w:val="20"/>
                <w:szCs w:val="20"/>
                <w:lang w:val="en-US" w:eastAsia="en-US"/>
              </w:rPr>
              <w:t>e filled with the support of the recent UNODC consultancy</w:t>
            </w:r>
            <w:r w:rsidR="00AA6540">
              <w:rPr>
                <w:sz w:val="20"/>
                <w:szCs w:val="20"/>
                <w:lang w:val="en-US" w:eastAsia="en-US"/>
              </w:rPr>
              <w:t>,</w:t>
            </w:r>
            <w:r w:rsidR="00E90002">
              <w:rPr>
                <w:sz w:val="20"/>
                <w:szCs w:val="20"/>
                <w:lang w:val="en-US" w:eastAsia="en-US"/>
              </w:rPr>
              <w:t xml:space="preserve"> </w:t>
            </w:r>
            <w:r w:rsidRPr="00AC5B37">
              <w:rPr>
                <w:sz w:val="20"/>
                <w:szCs w:val="20"/>
                <w:lang w:val="en-US" w:eastAsia="en-US"/>
              </w:rPr>
              <w:t>in the form of a more hands-on roadmap not just pointing to legislative drafti</w:t>
            </w:r>
            <w:r w:rsidR="00412473">
              <w:rPr>
                <w:sz w:val="20"/>
                <w:szCs w:val="20"/>
                <w:lang w:val="en-US" w:eastAsia="en-US"/>
              </w:rPr>
              <w:t xml:space="preserve">ng needs, but also highlighting </w:t>
            </w:r>
            <w:r w:rsidRPr="00AC5B37">
              <w:rPr>
                <w:sz w:val="20"/>
                <w:szCs w:val="20"/>
                <w:lang w:val="en-US" w:eastAsia="en-US"/>
              </w:rPr>
              <w:t>constraints/opportunities in relation to “</w:t>
            </w:r>
            <w:r w:rsidRPr="00AC5B37">
              <w:rPr>
                <w:i/>
                <w:sz w:val="20"/>
                <w:szCs w:val="20"/>
                <w:lang w:val="en-US" w:eastAsia="en-US"/>
              </w:rPr>
              <w:t>efectividade das leis (possíveis factores que dificultam a sua aplicação, recomendações</w:t>
            </w:r>
            <w:r w:rsidRPr="00AC5B37">
              <w:rPr>
                <w:sz w:val="20"/>
                <w:szCs w:val="20"/>
                <w:lang w:val="en-US" w:eastAsia="en-US"/>
              </w:rPr>
              <w:t>)”.</w:t>
            </w:r>
          </w:p>
        </w:tc>
      </w:tr>
      <w:tr w:rsidR="00CF33C5" w:rsidRPr="00CF33C5" w14:paraId="30106BB6" w14:textId="77777777" w:rsidTr="00131DC2">
        <w:trPr>
          <w:trHeight w:val="440"/>
        </w:trPr>
        <w:tc>
          <w:tcPr>
            <w:tcW w:w="1799" w:type="dxa"/>
            <w:vMerge/>
            <w:tcBorders>
              <w:bottom w:val="double" w:sz="4" w:space="0" w:color="auto"/>
            </w:tcBorders>
          </w:tcPr>
          <w:p w14:paraId="6B03EA05" w14:textId="77777777" w:rsidR="00CF33C5" w:rsidRPr="00DE53F3" w:rsidRDefault="00CF33C5" w:rsidP="00DE53F3">
            <w:pPr>
              <w:jc w:val="both"/>
              <w:rPr>
                <w:b/>
                <w:sz w:val="20"/>
                <w:szCs w:val="20"/>
                <w:lang w:val="en-US" w:eastAsia="en-US"/>
              </w:rPr>
            </w:pPr>
          </w:p>
        </w:tc>
        <w:tc>
          <w:tcPr>
            <w:tcW w:w="2313" w:type="dxa"/>
            <w:tcBorders>
              <w:top w:val="single" w:sz="4" w:space="0" w:color="auto"/>
              <w:bottom w:val="double" w:sz="4" w:space="0" w:color="auto"/>
            </w:tcBorders>
            <w:shd w:val="clear" w:color="auto" w:fill="EEECE1"/>
          </w:tcPr>
          <w:p w14:paraId="1035B1B0" w14:textId="668E2BDA" w:rsidR="00CF33C5" w:rsidRPr="003E6834" w:rsidRDefault="00CF33C5" w:rsidP="002F42B8">
            <w:pPr>
              <w:jc w:val="both"/>
              <w:rPr>
                <w:b/>
                <w:sz w:val="20"/>
                <w:szCs w:val="20"/>
                <w:lang w:val="en-US" w:eastAsia="en-US"/>
              </w:rPr>
            </w:pPr>
            <w:r>
              <w:rPr>
                <w:b/>
                <w:sz w:val="20"/>
                <w:szCs w:val="20"/>
                <w:lang w:val="en-US" w:eastAsia="en-US"/>
              </w:rPr>
              <w:t>I</w:t>
            </w:r>
            <w:r w:rsidRPr="00CF33C5">
              <w:rPr>
                <w:b/>
                <w:sz w:val="20"/>
                <w:szCs w:val="20"/>
                <w:lang w:val="en-US" w:eastAsia="en-US"/>
              </w:rPr>
              <w:t xml:space="preserve">ndicator 1.1.5: </w:t>
            </w:r>
            <w:r w:rsidRPr="00CF33C5">
              <w:rPr>
                <w:sz w:val="20"/>
                <w:szCs w:val="20"/>
                <w:lang w:val="en-US" w:eastAsia="en-US"/>
              </w:rPr>
              <w:t>Level of intelligence-sharing and investigative cooperation with neighboring countries</w:t>
            </w:r>
          </w:p>
        </w:tc>
        <w:tc>
          <w:tcPr>
            <w:tcW w:w="1843" w:type="dxa"/>
            <w:tcBorders>
              <w:top w:val="single" w:sz="4" w:space="0" w:color="auto"/>
              <w:bottom w:val="double" w:sz="4" w:space="0" w:color="auto"/>
            </w:tcBorders>
            <w:shd w:val="clear" w:color="auto" w:fill="EEECE1"/>
          </w:tcPr>
          <w:p w14:paraId="76EE67C1" w14:textId="312A394D" w:rsidR="00CF33C5" w:rsidRPr="00CF33C5" w:rsidRDefault="00CF33C5" w:rsidP="002F42B8">
            <w:pPr>
              <w:jc w:val="both"/>
              <w:rPr>
                <w:bCs/>
                <w:noProof/>
                <w:sz w:val="20"/>
                <w:szCs w:val="20"/>
                <w:lang w:val="en-US" w:eastAsia="en-US"/>
              </w:rPr>
            </w:pPr>
            <w:r w:rsidRPr="00CF33C5">
              <w:rPr>
                <w:bCs/>
                <w:noProof/>
                <w:sz w:val="20"/>
                <w:szCs w:val="20"/>
                <w:lang w:val="en-US" w:eastAsia="en-US"/>
              </w:rPr>
              <w:t>Data to be collected (TBC)</w:t>
            </w:r>
          </w:p>
        </w:tc>
        <w:tc>
          <w:tcPr>
            <w:tcW w:w="2126" w:type="dxa"/>
            <w:tcBorders>
              <w:top w:val="single" w:sz="4" w:space="0" w:color="auto"/>
              <w:bottom w:val="double" w:sz="4" w:space="0" w:color="auto"/>
            </w:tcBorders>
            <w:shd w:val="clear" w:color="auto" w:fill="EEECE1"/>
          </w:tcPr>
          <w:p w14:paraId="6E0F306B" w14:textId="77777777" w:rsidR="00CF33C5" w:rsidRDefault="00CF33C5" w:rsidP="002F42B8">
            <w:pPr>
              <w:jc w:val="both"/>
              <w:rPr>
                <w:bCs/>
                <w:noProof/>
                <w:sz w:val="20"/>
                <w:szCs w:val="20"/>
                <w:lang w:val="en-US" w:eastAsia="en-US"/>
              </w:rPr>
            </w:pPr>
            <w:r w:rsidRPr="00CF33C5">
              <w:rPr>
                <w:bCs/>
                <w:noProof/>
                <w:sz w:val="20"/>
                <w:szCs w:val="20"/>
                <w:lang w:val="en-US" w:eastAsia="en-US"/>
              </w:rPr>
              <w:t>Increased levels of intelligence-sharing and investigative cooperation reported among the 3 countries</w:t>
            </w:r>
          </w:p>
          <w:p w14:paraId="330F4782" w14:textId="2FFED150" w:rsidR="00CF33C5" w:rsidRPr="00CF33C5" w:rsidRDefault="00CF33C5" w:rsidP="002F42B8">
            <w:pPr>
              <w:jc w:val="both"/>
              <w:rPr>
                <w:bCs/>
                <w:noProof/>
                <w:sz w:val="20"/>
                <w:szCs w:val="20"/>
                <w:lang w:val="en-US" w:eastAsia="en-US"/>
              </w:rPr>
            </w:pPr>
            <w:r w:rsidRPr="00CF33C5">
              <w:rPr>
                <w:bCs/>
                <w:noProof/>
                <w:sz w:val="20"/>
                <w:szCs w:val="20"/>
                <w:lang w:val="en-US" w:eastAsia="en-US"/>
              </w:rPr>
              <w:t>(The Gambia, Guinea-Bissau and Senegal)</w:t>
            </w:r>
          </w:p>
        </w:tc>
        <w:tc>
          <w:tcPr>
            <w:tcW w:w="1276" w:type="dxa"/>
            <w:tcBorders>
              <w:top w:val="single" w:sz="4" w:space="0" w:color="auto"/>
              <w:bottom w:val="double" w:sz="4" w:space="0" w:color="auto"/>
            </w:tcBorders>
            <w:shd w:val="clear" w:color="auto" w:fill="auto"/>
          </w:tcPr>
          <w:p w14:paraId="6C370B62" w14:textId="77777777" w:rsidR="00CF33C5" w:rsidRPr="00F91D70" w:rsidRDefault="00CF33C5" w:rsidP="002F42B8">
            <w:pPr>
              <w:rPr>
                <w:lang w:val="en-US" w:eastAsia="en-US"/>
              </w:rPr>
            </w:pPr>
          </w:p>
        </w:tc>
        <w:tc>
          <w:tcPr>
            <w:tcW w:w="2835" w:type="dxa"/>
            <w:tcBorders>
              <w:top w:val="single" w:sz="4" w:space="0" w:color="auto"/>
              <w:bottom w:val="double" w:sz="4" w:space="0" w:color="auto"/>
            </w:tcBorders>
            <w:shd w:val="clear" w:color="auto" w:fill="auto"/>
          </w:tcPr>
          <w:p w14:paraId="16BCA18B" w14:textId="5048ED72" w:rsidR="00CF33C5" w:rsidRPr="00957873" w:rsidDel="00141C57" w:rsidRDefault="00957873" w:rsidP="00102D9F">
            <w:pPr>
              <w:jc w:val="both"/>
              <w:rPr>
                <w:sz w:val="20"/>
                <w:szCs w:val="20"/>
                <w:lang w:val="en-US" w:eastAsia="en-US"/>
              </w:rPr>
            </w:pPr>
            <w:r w:rsidRPr="00957873">
              <w:rPr>
                <w:sz w:val="20"/>
                <w:szCs w:val="20"/>
                <w:lang w:val="en-US" w:eastAsia="en-US"/>
              </w:rPr>
              <w:t>Discussions are underway to support a mission</w:t>
            </w:r>
            <w:r>
              <w:rPr>
                <w:sz w:val="20"/>
                <w:szCs w:val="20"/>
                <w:lang w:val="en-US" w:eastAsia="en-US"/>
              </w:rPr>
              <w:t xml:space="preserve"> to neighboring’s countries (Senegal and Gambia) </w:t>
            </w:r>
            <w:r w:rsidRPr="00957873">
              <w:rPr>
                <w:sz w:val="20"/>
                <w:szCs w:val="20"/>
                <w:lang w:val="en-US" w:eastAsia="en-US"/>
              </w:rPr>
              <w:t>within the coming weeks, when most timely for their investigations.</w:t>
            </w:r>
          </w:p>
        </w:tc>
        <w:tc>
          <w:tcPr>
            <w:tcW w:w="3197" w:type="dxa"/>
            <w:tcBorders>
              <w:top w:val="single" w:sz="4" w:space="0" w:color="auto"/>
              <w:bottom w:val="double" w:sz="4" w:space="0" w:color="auto"/>
            </w:tcBorders>
            <w:shd w:val="clear" w:color="auto" w:fill="auto"/>
          </w:tcPr>
          <w:p w14:paraId="5D8E1D8C" w14:textId="479AB43C" w:rsidR="00CF33C5" w:rsidRPr="00FF4645" w:rsidRDefault="00FF4645" w:rsidP="00957873">
            <w:pPr>
              <w:jc w:val="both"/>
              <w:rPr>
                <w:sz w:val="20"/>
                <w:szCs w:val="20"/>
                <w:lang w:val="en-US" w:eastAsia="en-US"/>
              </w:rPr>
            </w:pPr>
            <w:r>
              <w:rPr>
                <w:sz w:val="20"/>
                <w:szCs w:val="20"/>
                <w:lang w:val="en-US" w:eastAsia="en-US"/>
              </w:rPr>
              <w:t xml:space="preserve">Hardly to quantify due to the sensitivity of the matter. </w:t>
            </w:r>
            <w:r w:rsidR="00CF33C5" w:rsidRPr="00FF4645">
              <w:rPr>
                <w:sz w:val="20"/>
                <w:szCs w:val="20"/>
                <w:lang w:val="en-US" w:eastAsia="en-US"/>
              </w:rPr>
              <w:t xml:space="preserve"> Interactions take place, confident</w:t>
            </w:r>
            <w:r w:rsidR="00CF33C5" w:rsidRPr="00CF33C5">
              <w:rPr>
                <w:sz w:val="20"/>
                <w:szCs w:val="20"/>
                <w:lang w:val="en-US" w:eastAsia="en-US"/>
              </w:rPr>
              <w:t xml:space="preserve">ially, within the framework of </w:t>
            </w:r>
            <w:r w:rsidR="00CF33C5" w:rsidRPr="00FF4645">
              <w:rPr>
                <w:sz w:val="20"/>
                <w:szCs w:val="20"/>
                <w:lang w:val="en-US" w:eastAsia="en-US"/>
              </w:rPr>
              <w:t xml:space="preserve">a </w:t>
            </w:r>
            <w:r w:rsidRPr="00FF4645">
              <w:rPr>
                <w:sz w:val="20"/>
                <w:szCs w:val="20"/>
                <w:lang w:val="en-US" w:eastAsia="en-US"/>
              </w:rPr>
              <w:t>trilateral</w:t>
            </w:r>
            <w:r w:rsidR="00CF33C5" w:rsidRPr="00FF4645">
              <w:rPr>
                <w:sz w:val="20"/>
                <w:szCs w:val="20"/>
                <w:lang w:val="en-US" w:eastAsia="en-US"/>
              </w:rPr>
              <w:t xml:space="preserve"> Law Enforcement cooperation MoU between The Gambia, Guinea-Bissau and Senegal, developed a few yea</w:t>
            </w:r>
            <w:r w:rsidRPr="00FF4645">
              <w:rPr>
                <w:sz w:val="20"/>
                <w:szCs w:val="20"/>
                <w:lang w:val="en-US" w:eastAsia="en-US"/>
              </w:rPr>
              <w:t>rs ago with the s</w:t>
            </w:r>
            <w:r w:rsidR="00C36B08">
              <w:rPr>
                <w:sz w:val="20"/>
                <w:szCs w:val="20"/>
                <w:lang w:val="en-US" w:eastAsia="en-US"/>
              </w:rPr>
              <w:t xml:space="preserve">upport of </w:t>
            </w:r>
            <w:r w:rsidRPr="00FF4645">
              <w:rPr>
                <w:sz w:val="20"/>
                <w:szCs w:val="20"/>
                <w:lang w:val="en-US" w:eastAsia="en-US"/>
              </w:rPr>
              <w:t>UN</w:t>
            </w:r>
            <w:r w:rsidR="00C36B08">
              <w:rPr>
                <w:sz w:val="20"/>
                <w:szCs w:val="20"/>
                <w:lang w:val="en-US" w:eastAsia="en-US"/>
              </w:rPr>
              <w:t>ODC</w:t>
            </w:r>
            <w:r w:rsidRPr="00FF4645">
              <w:rPr>
                <w:sz w:val="20"/>
                <w:szCs w:val="20"/>
                <w:lang w:val="en-US" w:eastAsia="en-US"/>
              </w:rPr>
              <w:t>.</w:t>
            </w:r>
            <w:r w:rsidR="00CF33C5" w:rsidRPr="00FF4645">
              <w:rPr>
                <w:sz w:val="20"/>
                <w:szCs w:val="20"/>
                <w:lang w:val="en-US" w:eastAsia="en-US"/>
              </w:rPr>
              <w:t xml:space="preserve"> More open instances of such intel-sharing/cooperation, in the form of missions by Bissau-Guinean counterparts to </w:t>
            </w:r>
            <w:r w:rsidR="00CF33C5" w:rsidRPr="00CF33C5">
              <w:rPr>
                <w:sz w:val="20"/>
                <w:szCs w:val="20"/>
                <w:lang w:val="en-US" w:eastAsia="en-US"/>
              </w:rPr>
              <w:t>neighboring</w:t>
            </w:r>
            <w:r w:rsidR="00CF33C5" w:rsidRPr="00FF4645">
              <w:rPr>
                <w:sz w:val="20"/>
                <w:szCs w:val="20"/>
                <w:lang w:val="en-US" w:eastAsia="en-US"/>
              </w:rPr>
              <w:t xml:space="preserve"> countries may occasionally be facilitated as well, but also when relevant/needed. </w:t>
            </w:r>
          </w:p>
        </w:tc>
      </w:tr>
      <w:tr w:rsidR="0095032C" w:rsidRPr="00627A1C" w14:paraId="1AC13C65" w14:textId="77777777" w:rsidTr="00131DC2">
        <w:trPr>
          <w:trHeight w:val="440"/>
        </w:trPr>
        <w:tc>
          <w:tcPr>
            <w:tcW w:w="1799" w:type="dxa"/>
            <w:vMerge w:val="restart"/>
            <w:tcBorders>
              <w:top w:val="double" w:sz="4" w:space="0" w:color="auto"/>
            </w:tcBorders>
          </w:tcPr>
          <w:p w14:paraId="73F01798" w14:textId="77777777" w:rsidR="0095032C" w:rsidRDefault="0095032C" w:rsidP="002F42B8">
            <w:pPr>
              <w:rPr>
                <w:b/>
                <w:sz w:val="22"/>
                <w:szCs w:val="22"/>
                <w:lang w:val="en-US" w:eastAsia="en-US"/>
              </w:rPr>
            </w:pPr>
            <w:r w:rsidRPr="00A565DE">
              <w:rPr>
                <w:b/>
                <w:sz w:val="22"/>
                <w:szCs w:val="22"/>
                <w:lang w:val="en-US" w:eastAsia="en-US"/>
              </w:rPr>
              <w:lastRenderedPageBreak/>
              <w:t>Output 1.2</w:t>
            </w:r>
          </w:p>
          <w:p w14:paraId="08C380FB" w14:textId="77777777" w:rsidR="00A565DE" w:rsidRPr="00A565DE" w:rsidRDefault="00A565DE" w:rsidP="002F42B8">
            <w:pPr>
              <w:rPr>
                <w:b/>
                <w:sz w:val="8"/>
                <w:szCs w:val="8"/>
                <w:lang w:val="en-US" w:eastAsia="en-US"/>
              </w:rPr>
            </w:pPr>
          </w:p>
          <w:p w14:paraId="5CC619F4" w14:textId="3AFC1E84" w:rsidR="0095032C" w:rsidRPr="001856C9" w:rsidRDefault="00A565DE" w:rsidP="001856C9">
            <w:pPr>
              <w:jc w:val="both"/>
              <w:rPr>
                <w:b/>
                <w:sz w:val="20"/>
                <w:szCs w:val="20"/>
                <w:lang w:val="en-US" w:eastAsia="en-US"/>
              </w:rPr>
            </w:pPr>
            <w:r w:rsidRPr="001856C9">
              <w:rPr>
                <w:b/>
                <w:sz w:val="20"/>
                <w:szCs w:val="20"/>
                <w:lang w:val="en-US" w:eastAsia="en-US"/>
              </w:rPr>
              <w:t>The Security and justice sector institutions have improved capacity to effectively investigate, prosecute and adjudicate drug trafficking / transnational organized crime cases.</w:t>
            </w:r>
          </w:p>
        </w:tc>
        <w:tc>
          <w:tcPr>
            <w:tcW w:w="2313" w:type="dxa"/>
            <w:tcBorders>
              <w:top w:val="double" w:sz="4" w:space="0" w:color="auto"/>
            </w:tcBorders>
            <w:shd w:val="clear" w:color="auto" w:fill="EEECE1"/>
          </w:tcPr>
          <w:p w14:paraId="36DE89AC" w14:textId="77777777" w:rsidR="0095032C" w:rsidRPr="00055338" w:rsidRDefault="0095032C" w:rsidP="00A565DE">
            <w:pPr>
              <w:jc w:val="both"/>
              <w:rPr>
                <w:b/>
                <w:sz w:val="20"/>
                <w:szCs w:val="20"/>
                <w:lang w:val="en-US" w:eastAsia="en-US"/>
              </w:rPr>
            </w:pPr>
            <w:r w:rsidRPr="00055338">
              <w:rPr>
                <w:b/>
                <w:sz w:val="20"/>
                <w:szCs w:val="20"/>
                <w:lang w:val="en-US" w:eastAsia="en-US"/>
              </w:rPr>
              <w:t>Indicator 1.2.1</w:t>
            </w:r>
          </w:p>
          <w:p w14:paraId="125451C5" w14:textId="40AB59AD" w:rsidR="0095032C" w:rsidRPr="00627A1C" w:rsidRDefault="00055338" w:rsidP="00A565DE">
            <w:pPr>
              <w:jc w:val="both"/>
              <w:rPr>
                <w:lang w:val="en-US" w:eastAsia="en-US"/>
              </w:rPr>
            </w:pPr>
            <w:r w:rsidRPr="00055338">
              <w:rPr>
                <w:sz w:val="20"/>
                <w:szCs w:val="20"/>
                <w:lang w:val="en-US" w:eastAsia="en-US"/>
              </w:rPr>
              <w:t>Training curricula on DTOC are developed by LEAs</w:t>
            </w:r>
          </w:p>
        </w:tc>
        <w:tc>
          <w:tcPr>
            <w:tcW w:w="1843" w:type="dxa"/>
            <w:tcBorders>
              <w:top w:val="double" w:sz="4" w:space="0" w:color="auto"/>
            </w:tcBorders>
            <w:shd w:val="clear" w:color="auto" w:fill="EEECE1"/>
          </w:tcPr>
          <w:p w14:paraId="47D1B494" w14:textId="06C1ACB5" w:rsidR="0095032C" w:rsidRPr="00055338" w:rsidRDefault="00055338" w:rsidP="00A565DE">
            <w:pPr>
              <w:jc w:val="both"/>
              <w:rPr>
                <w:sz w:val="20"/>
                <w:szCs w:val="20"/>
              </w:rPr>
            </w:pPr>
            <w:r w:rsidRPr="00055338">
              <w:rPr>
                <w:sz w:val="20"/>
                <w:szCs w:val="20"/>
              </w:rPr>
              <w:t>Absence of training curricula on DTOC for LEAs</w:t>
            </w:r>
          </w:p>
        </w:tc>
        <w:tc>
          <w:tcPr>
            <w:tcW w:w="2126" w:type="dxa"/>
            <w:tcBorders>
              <w:top w:val="double" w:sz="4" w:space="0" w:color="auto"/>
            </w:tcBorders>
            <w:shd w:val="clear" w:color="auto" w:fill="EEECE1"/>
          </w:tcPr>
          <w:p w14:paraId="53096C94" w14:textId="3E967FEF" w:rsidR="0095032C" w:rsidRPr="00627A1C" w:rsidRDefault="00055338" w:rsidP="00A565DE">
            <w:pPr>
              <w:jc w:val="both"/>
            </w:pPr>
            <w:r>
              <w:rPr>
                <w:bCs/>
                <w:noProof/>
                <w:sz w:val="20"/>
                <w:szCs w:val="20"/>
                <w:lang w:val="en-US" w:eastAsia="en-US"/>
              </w:rPr>
              <w:t>Judicial police training curriculum on DTOC and related gaps</w:t>
            </w:r>
            <w:r w:rsidR="00A565DE">
              <w:rPr>
                <w:bCs/>
                <w:noProof/>
                <w:sz w:val="20"/>
                <w:szCs w:val="20"/>
                <w:lang w:val="en-US" w:eastAsia="en-US"/>
              </w:rPr>
              <w:t>/needs assessed are elaborated</w:t>
            </w:r>
            <w:r>
              <w:rPr>
                <w:bCs/>
                <w:noProof/>
                <w:sz w:val="20"/>
                <w:szCs w:val="20"/>
                <w:lang w:val="en-US" w:eastAsia="en-US"/>
              </w:rPr>
              <w:t xml:space="preserve"> </w:t>
            </w:r>
          </w:p>
        </w:tc>
        <w:tc>
          <w:tcPr>
            <w:tcW w:w="1276" w:type="dxa"/>
            <w:tcBorders>
              <w:top w:val="double" w:sz="4" w:space="0" w:color="auto"/>
            </w:tcBorders>
          </w:tcPr>
          <w:p w14:paraId="2B97494D" w14:textId="2EB6DBC0" w:rsidR="0095032C" w:rsidRPr="00627A1C" w:rsidRDefault="0095032C" w:rsidP="002F42B8">
            <w:pPr>
              <w:rPr>
                <w:b/>
                <w:lang w:val="en-US" w:eastAsia="en-US"/>
              </w:rPr>
            </w:pPr>
          </w:p>
        </w:tc>
        <w:tc>
          <w:tcPr>
            <w:tcW w:w="2835" w:type="dxa"/>
            <w:tcBorders>
              <w:top w:val="double" w:sz="4" w:space="0" w:color="auto"/>
            </w:tcBorders>
          </w:tcPr>
          <w:p w14:paraId="65E3D926" w14:textId="042FBA2E" w:rsidR="0095032C" w:rsidRDefault="0095032C" w:rsidP="002F42B8">
            <w:pPr>
              <w:rPr>
                <w:bCs/>
                <w:noProof/>
                <w:sz w:val="20"/>
                <w:szCs w:val="20"/>
                <w:lang w:val="en-US" w:eastAsia="en-US"/>
              </w:rPr>
            </w:pPr>
          </w:p>
          <w:p w14:paraId="710E8043" w14:textId="77777777" w:rsidR="0095032C" w:rsidRDefault="0095032C" w:rsidP="002F42B8">
            <w:pPr>
              <w:rPr>
                <w:bCs/>
                <w:noProof/>
                <w:sz w:val="20"/>
                <w:szCs w:val="20"/>
                <w:lang w:val="en-US" w:eastAsia="en-US"/>
              </w:rPr>
            </w:pPr>
          </w:p>
          <w:p w14:paraId="545B7509" w14:textId="26CF36A0" w:rsidR="0095032C" w:rsidRPr="003D027E" w:rsidRDefault="0095032C" w:rsidP="002F42B8">
            <w:pPr>
              <w:rPr>
                <w:bCs/>
                <w:noProof/>
                <w:sz w:val="20"/>
                <w:szCs w:val="20"/>
                <w:lang w:val="en-US" w:eastAsia="en-US"/>
              </w:rPr>
            </w:pPr>
          </w:p>
        </w:tc>
        <w:tc>
          <w:tcPr>
            <w:tcW w:w="3197" w:type="dxa"/>
            <w:tcBorders>
              <w:top w:val="double" w:sz="4" w:space="0" w:color="auto"/>
            </w:tcBorders>
          </w:tcPr>
          <w:p w14:paraId="53A5CD49" w14:textId="064CC1C5" w:rsidR="0095032C" w:rsidRPr="00627A1C" w:rsidRDefault="00E90002" w:rsidP="00E90002">
            <w:pPr>
              <w:jc w:val="both"/>
            </w:pPr>
            <w:r w:rsidRPr="00E90002">
              <w:rPr>
                <w:sz w:val="20"/>
                <w:szCs w:val="20"/>
              </w:rPr>
              <w:t>UNODC’s assessment is that this would require a standalone, full-fledged project. What could be more realistically accommodated in the context of this project is the initial assessment phase, whose findings could then inform the development of a standalone project. Discussions will be resumed with relevant national counterparts during the first quarter of 2022.</w:t>
            </w:r>
          </w:p>
        </w:tc>
      </w:tr>
      <w:tr w:rsidR="0095032C" w:rsidRPr="00627A1C" w14:paraId="1D7ACBC9" w14:textId="77777777" w:rsidTr="00131DC2">
        <w:trPr>
          <w:trHeight w:val="467"/>
        </w:trPr>
        <w:tc>
          <w:tcPr>
            <w:tcW w:w="1799" w:type="dxa"/>
            <w:vMerge/>
          </w:tcPr>
          <w:p w14:paraId="02369E20" w14:textId="77777777" w:rsidR="0095032C" w:rsidRPr="00627A1C" w:rsidRDefault="0095032C" w:rsidP="002F42B8">
            <w:pPr>
              <w:rPr>
                <w:b/>
                <w:lang w:val="en-US" w:eastAsia="en-US"/>
              </w:rPr>
            </w:pPr>
          </w:p>
        </w:tc>
        <w:tc>
          <w:tcPr>
            <w:tcW w:w="2313" w:type="dxa"/>
            <w:shd w:val="clear" w:color="auto" w:fill="EEECE1"/>
          </w:tcPr>
          <w:p w14:paraId="045CE448" w14:textId="7EDCB0F7" w:rsidR="0095032C" w:rsidRPr="00A565DE" w:rsidRDefault="0095032C" w:rsidP="002F42B8">
            <w:pPr>
              <w:jc w:val="both"/>
              <w:rPr>
                <w:b/>
                <w:sz w:val="20"/>
                <w:szCs w:val="20"/>
                <w:lang w:val="en-US" w:eastAsia="en-US"/>
              </w:rPr>
            </w:pPr>
            <w:r w:rsidRPr="00A565DE">
              <w:rPr>
                <w:b/>
                <w:sz w:val="20"/>
                <w:szCs w:val="20"/>
                <w:lang w:val="en-US" w:eastAsia="en-US"/>
              </w:rPr>
              <w:t>Indicator 1.2.2</w:t>
            </w:r>
            <w:r w:rsidR="00A565DE">
              <w:rPr>
                <w:b/>
                <w:sz w:val="20"/>
                <w:szCs w:val="20"/>
                <w:lang w:val="en-US" w:eastAsia="en-US"/>
              </w:rPr>
              <w:t xml:space="preserve"> </w:t>
            </w:r>
            <w:r w:rsidR="00A565DE" w:rsidRPr="00A565DE">
              <w:rPr>
                <w:sz w:val="20"/>
                <w:szCs w:val="20"/>
                <w:lang w:val="en-US" w:eastAsia="en-US"/>
              </w:rPr>
              <w:t>Perception of local authorities on service delivery  to the population due to decentralization of Judicial Police work through the creation of outposts in strategic areas</w:t>
            </w:r>
          </w:p>
          <w:p w14:paraId="5ABA926C" w14:textId="77777777" w:rsidR="0095032C" w:rsidRDefault="0095032C" w:rsidP="002F42B8">
            <w:pPr>
              <w:jc w:val="both"/>
              <w:rPr>
                <w:lang w:val="en-US" w:eastAsia="en-US"/>
              </w:rPr>
            </w:pPr>
          </w:p>
          <w:p w14:paraId="429032B1" w14:textId="77777777" w:rsidR="00D97ADF" w:rsidRDefault="00D97ADF" w:rsidP="002F42B8">
            <w:pPr>
              <w:jc w:val="both"/>
              <w:rPr>
                <w:lang w:val="en-US" w:eastAsia="en-US"/>
              </w:rPr>
            </w:pPr>
          </w:p>
          <w:p w14:paraId="30F59B00" w14:textId="77777777" w:rsidR="00D97ADF" w:rsidRDefault="00D97ADF" w:rsidP="002F42B8">
            <w:pPr>
              <w:jc w:val="both"/>
              <w:rPr>
                <w:lang w:val="en-US" w:eastAsia="en-US"/>
              </w:rPr>
            </w:pPr>
          </w:p>
          <w:p w14:paraId="59481BA7" w14:textId="77777777" w:rsidR="00D97ADF" w:rsidRDefault="00D97ADF" w:rsidP="002F42B8">
            <w:pPr>
              <w:jc w:val="both"/>
              <w:rPr>
                <w:lang w:val="en-US" w:eastAsia="en-US"/>
              </w:rPr>
            </w:pPr>
          </w:p>
          <w:p w14:paraId="7AAE498A" w14:textId="4F37C6B1" w:rsidR="00D97ADF" w:rsidRPr="00627A1C" w:rsidRDefault="00D97ADF" w:rsidP="002F42B8">
            <w:pPr>
              <w:jc w:val="both"/>
              <w:rPr>
                <w:lang w:val="en-US" w:eastAsia="en-US"/>
              </w:rPr>
            </w:pPr>
          </w:p>
        </w:tc>
        <w:tc>
          <w:tcPr>
            <w:tcW w:w="1843" w:type="dxa"/>
            <w:shd w:val="clear" w:color="auto" w:fill="EEECE1"/>
          </w:tcPr>
          <w:p w14:paraId="0B482A7D" w14:textId="22C9BC4D" w:rsidR="0095032C" w:rsidRPr="00A565DE" w:rsidRDefault="00A565DE" w:rsidP="002F42B8">
            <w:pPr>
              <w:rPr>
                <w:sz w:val="20"/>
                <w:szCs w:val="20"/>
              </w:rPr>
            </w:pPr>
            <w:r w:rsidRPr="00A565DE">
              <w:rPr>
                <w:sz w:val="20"/>
                <w:szCs w:val="20"/>
              </w:rPr>
              <w:t>Data to be collected</w:t>
            </w:r>
            <w:r w:rsidR="001856C9">
              <w:rPr>
                <w:sz w:val="20"/>
                <w:szCs w:val="20"/>
              </w:rPr>
              <w:t xml:space="preserve"> (TBC)</w:t>
            </w:r>
          </w:p>
        </w:tc>
        <w:tc>
          <w:tcPr>
            <w:tcW w:w="2126" w:type="dxa"/>
            <w:shd w:val="clear" w:color="auto" w:fill="EEECE1"/>
          </w:tcPr>
          <w:p w14:paraId="6A92AF3C" w14:textId="42F6093D" w:rsidR="0095032C" w:rsidRDefault="00A565DE" w:rsidP="002F42B8">
            <w:pPr>
              <w:rPr>
                <w:bCs/>
                <w:noProof/>
                <w:sz w:val="20"/>
                <w:szCs w:val="20"/>
                <w:lang w:val="en-US" w:eastAsia="en-US"/>
              </w:rPr>
            </w:pPr>
            <w:r>
              <w:rPr>
                <w:bCs/>
                <w:noProof/>
                <w:sz w:val="20"/>
                <w:szCs w:val="20"/>
                <w:lang w:val="en-US" w:eastAsia="en-US"/>
              </w:rPr>
              <w:t>Local authorities report increased levels of service delivery after one additional Judicial Police  outpost created between the towns of Gabu and Bafata</w:t>
            </w:r>
          </w:p>
          <w:p w14:paraId="185988FC" w14:textId="77777777" w:rsidR="0095032C" w:rsidRDefault="0095032C" w:rsidP="002F42B8">
            <w:pPr>
              <w:rPr>
                <w:bCs/>
                <w:noProof/>
                <w:sz w:val="20"/>
                <w:szCs w:val="20"/>
                <w:lang w:val="en-US" w:eastAsia="en-US"/>
              </w:rPr>
            </w:pPr>
          </w:p>
          <w:p w14:paraId="3DE8EC83" w14:textId="77777777" w:rsidR="0095032C" w:rsidRPr="00627A1C" w:rsidRDefault="0095032C" w:rsidP="002F42B8"/>
        </w:tc>
        <w:tc>
          <w:tcPr>
            <w:tcW w:w="1276" w:type="dxa"/>
          </w:tcPr>
          <w:p w14:paraId="2BC62393" w14:textId="73CD3223" w:rsidR="0095032C" w:rsidRPr="00627A1C" w:rsidRDefault="0095032C" w:rsidP="002F42B8">
            <w:pPr>
              <w:rPr>
                <w:b/>
                <w:lang w:val="en-US" w:eastAsia="en-US"/>
              </w:rPr>
            </w:pPr>
          </w:p>
        </w:tc>
        <w:tc>
          <w:tcPr>
            <w:tcW w:w="2835" w:type="dxa"/>
          </w:tcPr>
          <w:p w14:paraId="662D9909" w14:textId="03D17BD2" w:rsidR="00E517CA" w:rsidRPr="00E517CA" w:rsidRDefault="00E517CA" w:rsidP="003D6FF8">
            <w:pPr>
              <w:jc w:val="both"/>
              <w:rPr>
                <w:bCs/>
                <w:noProof/>
                <w:sz w:val="17"/>
                <w:szCs w:val="17"/>
                <w:lang w:val="en-US" w:eastAsia="en-US"/>
              </w:rPr>
            </w:pPr>
            <w:r w:rsidRPr="00E517CA">
              <w:rPr>
                <w:bCs/>
                <w:noProof/>
                <w:sz w:val="17"/>
                <w:szCs w:val="17"/>
                <w:lang w:val="en-US" w:eastAsia="en-US"/>
              </w:rPr>
              <w:t>Training organized by the Judicial Police allow to an internal reorganization of the services to better com</w:t>
            </w:r>
            <w:r>
              <w:rPr>
                <w:bCs/>
                <w:noProof/>
                <w:sz w:val="17"/>
                <w:szCs w:val="17"/>
                <w:lang w:val="en-US" w:eastAsia="en-US"/>
              </w:rPr>
              <w:t>bat corruption. Thus</w:t>
            </w:r>
            <w:r w:rsidRPr="00E517CA">
              <w:rPr>
                <w:bCs/>
                <w:noProof/>
                <w:sz w:val="17"/>
                <w:szCs w:val="17"/>
                <w:lang w:val="en-US" w:eastAsia="en-US"/>
              </w:rPr>
              <w:t>, several cases related to corruption was inv</w:t>
            </w:r>
            <w:r>
              <w:rPr>
                <w:bCs/>
                <w:noProof/>
                <w:sz w:val="17"/>
                <w:szCs w:val="17"/>
                <w:lang w:val="en-US" w:eastAsia="en-US"/>
              </w:rPr>
              <w:t>estigated during this year and this</w:t>
            </w:r>
            <w:r w:rsidRPr="00E517CA">
              <w:rPr>
                <w:bCs/>
                <w:noProof/>
                <w:sz w:val="17"/>
                <w:szCs w:val="17"/>
                <w:lang w:val="en-US" w:eastAsia="en-US"/>
              </w:rPr>
              <w:t xml:space="preserve"> coincide with the use of equipment provided by the project to the JP to enhance their investigation capacities.</w:t>
            </w:r>
          </w:p>
          <w:p w14:paraId="7E54EBEC" w14:textId="77777777" w:rsidR="00E517CA" w:rsidRPr="00E517CA" w:rsidRDefault="00E517CA" w:rsidP="003D6FF8">
            <w:pPr>
              <w:jc w:val="both"/>
              <w:rPr>
                <w:bCs/>
                <w:noProof/>
                <w:sz w:val="4"/>
                <w:szCs w:val="4"/>
                <w:lang w:val="en-US" w:eastAsia="en-US"/>
              </w:rPr>
            </w:pPr>
          </w:p>
          <w:p w14:paraId="6590AB37" w14:textId="0DE05ACB" w:rsidR="0095032C" w:rsidRPr="00E517CA" w:rsidRDefault="003D6FF8" w:rsidP="00E517CA">
            <w:pPr>
              <w:jc w:val="both"/>
              <w:rPr>
                <w:bCs/>
                <w:noProof/>
                <w:sz w:val="17"/>
                <w:szCs w:val="17"/>
                <w:lang w:val="en-US" w:eastAsia="en-US"/>
              </w:rPr>
            </w:pPr>
            <w:r w:rsidRPr="00E517CA">
              <w:rPr>
                <w:bCs/>
                <w:noProof/>
                <w:sz w:val="17"/>
                <w:szCs w:val="17"/>
                <w:lang w:val="en-US" w:eastAsia="en-US"/>
              </w:rPr>
              <w:t>UNDP is collaborating with the Portuguese Embassy to organize a training of the Public Order police (POP) by providing technical material:  handbook registers that should be used in the police station withing the country</w:t>
            </w:r>
          </w:p>
          <w:p w14:paraId="7A053B03" w14:textId="77777777" w:rsidR="0095032C" w:rsidRPr="00E517CA" w:rsidRDefault="0095032C" w:rsidP="002F42B8">
            <w:pPr>
              <w:rPr>
                <w:bCs/>
                <w:noProof/>
                <w:sz w:val="4"/>
                <w:szCs w:val="4"/>
                <w:lang w:val="en-US" w:eastAsia="en-US"/>
              </w:rPr>
            </w:pPr>
          </w:p>
        </w:tc>
        <w:tc>
          <w:tcPr>
            <w:tcW w:w="3197" w:type="dxa"/>
          </w:tcPr>
          <w:p w14:paraId="35B5E0B8" w14:textId="641AF246" w:rsidR="0095032C" w:rsidRPr="006D76EF" w:rsidRDefault="006D76EF" w:rsidP="006D76EF">
            <w:pPr>
              <w:jc w:val="both"/>
              <w:rPr>
                <w:sz w:val="20"/>
                <w:szCs w:val="20"/>
              </w:rPr>
            </w:pPr>
            <w:r w:rsidRPr="006D76EF">
              <w:rPr>
                <w:sz w:val="20"/>
                <w:szCs w:val="20"/>
              </w:rPr>
              <w:t>Baselines studies delayed due to consultancy pending hiring process</w:t>
            </w:r>
          </w:p>
        </w:tc>
      </w:tr>
      <w:tr w:rsidR="00511566" w:rsidRPr="00627A1C" w14:paraId="3A3FE98D" w14:textId="77777777" w:rsidTr="00131DC2">
        <w:trPr>
          <w:trHeight w:val="1548"/>
        </w:trPr>
        <w:tc>
          <w:tcPr>
            <w:tcW w:w="1799" w:type="dxa"/>
            <w:vMerge w:val="restart"/>
            <w:tcBorders>
              <w:top w:val="nil"/>
            </w:tcBorders>
          </w:tcPr>
          <w:p w14:paraId="1D6F1081" w14:textId="77777777" w:rsidR="00511566" w:rsidRDefault="00511566" w:rsidP="00511566">
            <w:pPr>
              <w:jc w:val="both"/>
              <w:rPr>
                <w:b/>
                <w:sz w:val="22"/>
                <w:szCs w:val="22"/>
                <w:lang w:val="en-US" w:eastAsia="en-US"/>
              </w:rPr>
            </w:pPr>
            <w:r w:rsidRPr="00A565DE">
              <w:rPr>
                <w:b/>
                <w:sz w:val="22"/>
                <w:szCs w:val="22"/>
                <w:lang w:val="en-US" w:eastAsia="en-US"/>
              </w:rPr>
              <w:t>Output 1.2</w:t>
            </w:r>
          </w:p>
          <w:p w14:paraId="48D8E96C" w14:textId="77777777" w:rsidR="00511566" w:rsidRPr="00A565DE" w:rsidRDefault="00511566" w:rsidP="00511566">
            <w:pPr>
              <w:jc w:val="both"/>
              <w:rPr>
                <w:b/>
                <w:sz w:val="8"/>
                <w:szCs w:val="8"/>
                <w:lang w:val="en-US" w:eastAsia="en-US"/>
              </w:rPr>
            </w:pPr>
          </w:p>
          <w:p w14:paraId="2FF0C3D5" w14:textId="447FB5CB" w:rsidR="00511566" w:rsidRPr="00A565DE" w:rsidRDefault="00511566" w:rsidP="00511566">
            <w:pPr>
              <w:jc w:val="both"/>
              <w:rPr>
                <w:b/>
                <w:sz w:val="22"/>
                <w:szCs w:val="22"/>
                <w:lang w:val="en-US" w:eastAsia="en-US"/>
              </w:rPr>
            </w:pPr>
            <w:r w:rsidRPr="001856C9">
              <w:rPr>
                <w:b/>
                <w:sz w:val="20"/>
                <w:szCs w:val="20"/>
                <w:lang w:val="en-US" w:eastAsia="en-US"/>
              </w:rPr>
              <w:t xml:space="preserve">The Security and justice sector institutions have improved capacity to effectively investigate, </w:t>
            </w:r>
            <w:r w:rsidRPr="001856C9">
              <w:rPr>
                <w:b/>
                <w:sz w:val="20"/>
                <w:szCs w:val="20"/>
                <w:lang w:val="en-US" w:eastAsia="en-US"/>
              </w:rPr>
              <w:lastRenderedPageBreak/>
              <w:t>prosecute and adjudicate drug trafficking / transnational organized crime cases.</w:t>
            </w:r>
          </w:p>
        </w:tc>
        <w:tc>
          <w:tcPr>
            <w:tcW w:w="2313" w:type="dxa"/>
            <w:tcBorders>
              <w:top w:val="single" w:sz="4" w:space="0" w:color="auto"/>
            </w:tcBorders>
            <w:shd w:val="clear" w:color="auto" w:fill="EEECE1"/>
          </w:tcPr>
          <w:p w14:paraId="42958F7B" w14:textId="5A3B97B3" w:rsidR="00511566" w:rsidRPr="00D97ADF" w:rsidRDefault="00511566" w:rsidP="00511566">
            <w:pPr>
              <w:jc w:val="both"/>
              <w:rPr>
                <w:b/>
                <w:sz w:val="20"/>
                <w:szCs w:val="20"/>
                <w:lang w:val="en-US" w:eastAsia="en-US"/>
              </w:rPr>
            </w:pPr>
            <w:r w:rsidRPr="00511566">
              <w:rPr>
                <w:b/>
                <w:sz w:val="20"/>
                <w:szCs w:val="20"/>
                <w:lang w:val="en-US" w:eastAsia="en-US"/>
              </w:rPr>
              <w:lastRenderedPageBreak/>
              <w:t xml:space="preserve">Indicator 1.2.3 </w:t>
            </w:r>
            <w:r w:rsidRPr="00511566">
              <w:rPr>
                <w:sz w:val="20"/>
                <w:szCs w:val="20"/>
                <w:lang w:val="en-US" w:eastAsia="en-US"/>
              </w:rPr>
              <w:t>Number of National  Model police stations</w:t>
            </w:r>
          </w:p>
        </w:tc>
        <w:tc>
          <w:tcPr>
            <w:tcW w:w="1843" w:type="dxa"/>
            <w:shd w:val="clear" w:color="auto" w:fill="EEECE1"/>
          </w:tcPr>
          <w:p w14:paraId="22AD03D7" w14:textId="77777777" w:rsidR="00511566" w:rsidRPr="00511566" w:rsidRDefault="00511566" w:rsidP="00511566">
            <w:pPr>
              <w:jc w:val="both"/>
              <w:rPr>
                <w:bCs/>
                <w:noProof/>
                <w:sz w:val="20"/>
                <w:szCs w:val="20"/>
                <w:lang w:val="en-US" w:eastAsia="en-US"/>
              </w:rPr>
            </w:pPr>
            <w:r w:rsidRPr="00511566">
              <w:rPr>
                <w:bCs/>
                <w:noProof/>
                <w:sz w:val="20"/>
                <w:szCs w:val="20"/>
                <w:lang w:val="en-US" w:eastAsia="en-US"/>
              </w:rPr>
              <w:t>2</w:t>
            </w:r>
          </w:p>
          <w:p w14:paraId="7EAE37FF" w14:textId="62791264" w:rsidR="00511566" w:rsidRPr="00D97ADF" w:rsidRDefault="00511566" w:rsidP="00511566">
            <w:pPr>
              <w:jc w:val="both"/>
              <w:rPr>
                <w:bCs/>
                <w:noProof/>
                <w:sz w:val="20"/>
                <w:szCs w:val="20"/>
                <w:lang w:val="en-US" w:eastAsia="en-US"/>
              </w:rPr>
            </w:pPr>
            <w:r w:rsidRPr="00511566">
              <w:rPr>
                <w:bCs/>
                <w:noProof/>
                <w:sz w:val="20"/>
                <w:szCs w:val="20"/>
                <w:lang w:val="en-US" w:eastAsia="en-US"/>
              </w:rPr>
              <w:t>There are only two model police stations within the country (in Bairro Militar in Bissau and in Buba in Quinara region).</w:t>
            </w:r>
          </w:p>
        </w:tc>
        <w:tc>
          <w:tcPr>
            <w:tcW w:w="2126" w:type="dxa"/>
            <w:shd w:val="clear" w:color="auto" w:fill="EEECE1"/>
          </w:tcPr>
          <w:p w14:paraId="4DFF7E72" w14:textId="77777777" w:rsidR="00511566" w:rsidRPr="00511566" w:rsidRDefault="00511566" w:rsidP="00511566">
            <w:pPr>
              <w:jc w:val="both"/>
              <w:rPr>
                <w:sz w:val="20"/>
                <w:szCs w:val="20"/>
                <w:lang w:val="en-US" w:eastAsia="en-US"/>
              </w:rPr>
            </w:pPr>
            <w:r w:rsidRPr="00511566">
              <w:rPr>
                <w:sz w:val="20"/>
                <w:szCs w:val="20"/>
                <w:lang w:val="en-US" w:eastAsia="en-US"/>
              </w:rPr>
              <w:t>3</w:t>
            </w:r>
          </w:p>
          <w:p w14:paraId="7CA73B6D" w14:textId="5DA2B793" w:rsidR="00511566" w:rsidRPr="00D97ADF" w:rsidRDefault="00511566" w:rsidP="00511566">
            <w:pPr>
              <w:jc w:val="both"/>
              <w:rPr>
                <w:sz w:val="20"/>
                <w:szCs w:val="20"/>
                <w:lang w:val="en-US" w:eastAsia="en-US"/>
              </w:rPr>
            </w:pPr>
            <w:r w:rsidRPr="00511566">
              <w:rPr>
                <w:sz w:val="20"/>
                <w:szCs w:val="20"/>
                <w:lang w:val="en-US" w:eastAsia="en-US"/>
              </w:rPr>
              <w:t>One additional model police station is created (Gabu)</w:t>
            </w:r>
          </w:p>
        </w:tc>
        <w:tc>
          <w:tcPr>
            <w:tcW w:w="1276" w:type="dxa"/>
          </w:tcPr>
          <w:p w14:paraId="369FC64D" w14:textId="77777777" w:rsidR="00511566" w:rsidRPr="00027675" w:rsidRDefault="00511566" w:rsidP="00511566">
            <w:pPr>
              <w:rPr>
                <w:b/>
                <w:lang w:val="en-US" w:eastAsia="en-US"/>
              </w:rPr>
            </w:pPr>
          </w:p>
        </w:tc>
        <w:tc>
          <w:tcPr>
            <w:tcW w:w="2835" w:type="dxa"/>
            <w:vMerge w:val="restart"/>
            <w:tcBorders>
              <w:top w:val="single" w:sz="4" w:space="0" w:color="auto"/>
            </w:tcBorders>
          </w:tcPr>
          <w:p w14:paraId="60A62C9D" w14:textId="79F72BEA" w:rsidR="00ED4C37" w:rsidRDefault="00ED4C37" w:rsidP="00ED4C37">
            <w:pPr>
              <w:ind w:right="34"/>
              <w:jc w:val="both"/>
              <w:rPr>
                <w:bCs/>
                <w:noProof/>
                <w:sz w:val="17"/>
                <w:szCs w:val="17"/>
                <w:lang w:val="en-US" w:eastAsia="en-US"/>
              </w:rPr>
            </w:pPr>
            <w:r w:rsidRPr="00ED4C37">
              <w:rPr>
                <w:bCs/>
                <w:noProof/>
                <w:sz w:val="17"/>
                <w:szCs w:val="17"/>
                <w:lang w:val="en-US" w:eastAsia="en-US"/>
              </w:rPr>
              <w:t>UNDP has contracted a team of consultants (1 internati</w:t>
            </w:r>
            <w:r w:rsidR="00102D9F">
              <w:rPr>
                <w:bCs/>
                <w:noProof/>
                <w:sz w:val="17"/>
                <w:szCs w:val="17"/>
                <w:lang w:val="en-US" w:eastAsia="en-US"/>
              </w:rPr>
              <w:t xml:space="preserve">onal and 1 national consultant) in October 2021 </w:t>
            </w:r>
            <w:r w:rsidRPr="00ED4C37">
              <w:rPr>
                <w:bCs/>
                <w:noProof/>
                <w:sz w:val="17"/>
                <w:szCs w:val="17"/>
                <w:lang w:val="en-US" w:eastAsia="en-US"/>
              </w:rPr>
              <w:t xml:space="preserve">to provide technical assistance for the development of a strategy of Community Security/Proximity Police (SCPP) at sub-national level in Gabu with a focus on drug trafficking and transnational organized crime </w:t>
            </w:r>
            <w:r w:rsidRPr="00ED4C37">
              <w:rPr>
                <w:bCs/>
                <w:noProof/>
                <w:sz w:val="17"/>
                <w:szCs w:val="17"/>
                <w:lang w:val="en-US" w:eastAsia="en-US"/>
              </w:rPr>
              <w:lastRenderedPageBreak/>
              <w:t xml:space="preserve">(DTOC) implications and in close collaboration with civil society. </w:t>
            </w:r>
          </w:p>
          <w:p w14:paraId="2A873BA2" w14:textId="32B250B5" w:rsidR="00511566" w:rsidRPr="00ED4C37" w:rsidRDefault="00ED4C37" w:rsidP="00287588">
            <w:pPr>
              <w:ind w:right="34"/>
              <w:jc w:val="both"/>
              <w:rPr>
                <w:bCs/>
                <w:noProof/>
                <w:sz w:val="17"/>
                <w:szCs w:val="17"/>
                <w:lang w:val="en-US" w:eastAsia="en-US"/>
              </w:rPr>
            </w:pPr>
            <w:r w:rsidRPr="00ED4C37">
              <w:rPr>
                <w:bCs/>
                <w:noProof/>
                <w:sz w:val="17"/>
                <w:szCs w:val="17"/>
                <w:lang w:val="en-US" w:eastAsia="en-US"/>
              </w:rPr>
              <w:t xml:space="preserve">The consultants will facilitate trainings to the different parts for definition of roles of the SCPP strategy. The work is already ongoing, the senior management of the Police Public Order (POP) </w:t>
            </w:r>
            <w:r w:rsidR="00287588">
              <w:rPr>
                <w:bCs/>
                <w:noProof/>
                <w:sz w:val="17"/>
                <w:szCs w:val="17"/>
                <w:lang w:val="en-US" w:eastAsia="en-US"/>
              </w:rPr>
              <w:t>is appointing a focal point to follow this issue</w:t>
            </w:r>
            <w:r w:rsidR="000978D4">
              <w:rPr>
                <w:bCs/>
                <w:noProof/>
                <w:sz w:val="17"/>
                <w:szCs w:val="17"/>
                <w:lang w:val="en-US" w:eastAsia="en-US"/>
              </w:rPr>
              <w:t>.</w:t>
            </w:r>
          </w:p>
        </w:tc>
        <w:tc>
          <w:tcPr>
            <w:tcW w:w="3197" w:type="dxa"/>
            <w:vMerge w:val="restart"/>
            <w:tcBorders>
              <w:top w:val="single" w:sz="4" w:space="0" w:color="auto"/>
            </w:tcBorders>
          </w:tcPr>
          <w:p w14:paraId="21079084" w14:textId="3BB3840D" w:rsidR="00511566" w:rsidRPr="00CC0A3B" w:rsidRDefault="00511566" w:rsidP="00ED4C37">
            <w:pPr>
              <w:tabs>
                <w:tab w:val="left" w:pos="997"/>
              </w:tabs>
              <w:jc w:val="both"/>
              <w:rPr>
                <w:sz w:val="20"/>
                <w:szCs w:val="20"/>
                <w:lang w:val="en-US" w:eastAsia="en-US"/>
              </w:rPr>
            </w:pPr>
            <w:r w:rsidRPr="001E1063">
              <w:rPr>
                <w:sz w:val="20"/>
                <w:szCs w:val="20"/>
                <w:lang w:val="en-US" w:eastAsia="en-US"/>
              </w:rPr>
              <w:lastRenderedPageBreak/>
              <w:t>With delays caused mainly by the pandemic</w:t>
            </w:r>
            <w:r>
              <w:rPr>
                <w:sz w:val="20"/>
                <w:szCs w:val="20"/>
                <w:lang w:val="en-US" w:eastAsia="en-US"/>
              </w:rPr>
              <w:t xml:space="preserve"> COVID 19 (emergency state during the first semester)</w:t>
            </w:r>
            <w:r w:rsidRPr="001E1063">
              <w:rPr>
                <w:sz w:val="20"/>
                <w:szCs w:val="20"/>
                <w:lang w:val="en-US" w:eastAsia="en-US"/>
              </w:rPr>
              <w:t>, the planned construction, and improvements (the reinforcement of security in detention facility and the i</w:t>
            </w:r>
            <w:r>
              <w:rPr>
                <w:sz w:val="20"/>
                <w:szCs w:val="20"/>
                <w:lang w:val="en-US" w:eastAsia="en-US"/>
              </w:rPr>
              <w:t>nstallation of Judiciary police</w:t>
            </w:r>
            <w:r w:rsidRPr="001E1063">
              <w:rPr>
                <w:sz w:val="20"/>
                <w:szCs w:val="20"/>
                <w:lang w:val="en-US" w:eastAsia="en-US"/>
              </w:rPr>
              <w:t xml:space="preserve"> in Bafatá, the installation of the third </w:t>
            </w:r>
            <w:r w:rsidRPr="001E1063">
              <w:rPr>
                <w:sz w:val="20"/>
                <w:szCs w:val="20"/>
                <w:lang w:val="en-US" w:eastAsia="en-US"/>
              </w:rPr>
              <w:lastRenderedPageBreak/>
              <w:t>model police station i</w:t>
            </w:r>
            <w:r w:rsidR="00ED4C37">
              <w:rPr>
                <w:sz w:val="20"/>
                <w:szCs w:val="20"/>
                <w:lang w:val="en-US" w:eastAsia="en-US"/>
              </w:rPr>
              <w:t>n Gabu, the refurbishment of four</w:t>
            </w:r>
            <w:r w:rsidRPr="001E1063">
              <w:rPr>
                <w:sz w:val="20"/>
                <w:szCs w:val="20"/>
                <w:lang w:val="en-US" w:eastAsia="en-US"/>
              </w:rPr>
              <w:t xml:space="preserve"> border control services</w:t>
            </w:r>
            <w:r w:rsidR="00ED4C37">
              <w:rPr>
                <w:sz w:val="20"/>
                <w:szCs w:val="20"/>
                <w:lang w:val="en-US" w:eastAsia="en-US"/>
              </w:rPr>
              <w:t xml:space="preserve">) are expected to start by the end of the year as the process is ongoing and two companies </w:t>
            </w:r>
            <w:r w:rsidR="00102D9F">
              <w:rPr>
                <w:sz w:val="20"/>
                <w:szCs w:val="20"/>
                <w:lang w:val="en-US" w:eastAsia="en-US"/>
              </w:rPr>
              <w:t xml:space="preserve">already </w:t>
            </w:r>
            <w:r w:rsidR="00ED4C37">
              <w:rPr>
                <w:sz w:val="20"/>
                <w:szCs w:val="20"/>
                <w:lang w:val="en-US" w:eastAsia="en-US"/>
              </w:rPr>
              <w:t>selected.</w:t>
            </w:r>
          </w:p>
        </w:tc>
      </w:tr>
      <w:tr w:rsidR="00511566" w:rsidRPr="00627A1C" w14:paraId="7BB2E63D" w14:textId="77777777" w:rsidTr="00131DC2">
        <w:trPr>
          <w:trHeight w:val="1548"/>
        </w:trPr>
        <w:tc>
          <w:tcPr>
            <w:tcW w:w="1799" w:type="dxa"/>
            <w:vMerge/>
          </w:tcPr>
          <w:p w14:paraId="025A0251" w14:textId="30ED5F55" w:rsidR="00511566" w:rsidRPr="00027675" w:rsidRDefault="00511566" w:rsidP="001856C9">
            <w:pPr>
              <w:rPr>
                <w:lang w:val="en-US" w:eastAsia="en-US"/>
              </w:rPr>
            </w:pPr>
          </w:p>
        </w:tc>
        <w:tc>
          <w:tcPr>
            <w:tcW w:w="2313" w:type="dxa"/>
            <w:tcBorders>
              <w:top w:val="single" w:sz="4" w:space="0" w:color="auto"/>
            </w:tcBorders>
            <w:shd w:val="clear" w:color="auto" w:fill="EEECE1"/>
          </w:tcPr>
          <w:p w14:paraId="41E17AE8" w14:textId="3071740A" w:rsidR="00511566" w:rsidRPr="00D97ADF" w:rsidRDefault="00511566" w:rsidP="00D97ADF">
            <w:pPr>
              <w:jc w:val="both"/>
              <w:rPr>
                <w:sz w:val="20"/>
                <w:szCs w:val="20"/>
                <w:lang w:val="en-US" w:eastAsia="en-US"/>
              </w:rPr>
            </w:pPr>
            <w:r w:rsidRPr="00D97ADF">
              <w:rPr>
                <w:b/>
                <w:sz w:val="20"/>
                <w:szCs w:val="20"/>
                <w:lang w:val="en-US" w:eastAsia="en-US"/>
              </w:rPr>
              <w:t>Indicator 1.2.4</w:t>
            </w:r>
            <w:r w:rsidRPr="00D97ADF">
              <w:rPr>
                <w:sz w:val="20"/>
                <w:szCs w:val="20"/>
                <w:lang w:val="en-US" w:eastAsia="en-US"/>
              </w:rPr>
              <w:t xml:space="preserve"> Number of border posts refurbished and equipped</w:t>
            </w:r>
          </w:p>
          <w:p w14:paraId="52177FBE" w14:textId="2C4A851D" w:rsidR="00511566" w:rsidRPr="00D97ADF" w:rsidRDefault="00511566" w:rsidP="00D97ADF">
            <w:pPr>
              <w:jc w:val="both"/>
              <w:rPr>
                <w:sz w:val="20"/>
                <w:szCs w:val="20"/>
                <w:lang w:val="en-US" w:eastAsia="en-US"/>
              </w:rPr>
            </w:pPr>
          </w:p>
        </w:tc>
        <w:tc>
          <w:tcPr>
            <w:tcW w:w="1843" w:type="dxa"/>
            <w:shd w:val="clear" w:color="auto" w:fill="EEECE1"/>
          </w:tcPr>
          <w:p w14:paraId="0234FA2A" w14:textId="77777777" w:rsidR="00511566" w:rsidRPr="00D97ADF" w:rsidRDefault="00511566" w:rsidP="001E1063">
            <w:pPr>
              <w:jc w:val="both"/>
              <w:rPr>
                <w:bCs/>
                <w:noProof/>
                <w:sz w:val="20"/>
                <w:szCs w:val="20"/>
                <w:lang w:val="en-US" w:eastAsia="en-US"/>
              </w:rPr>
            </w:pPr>
            <w:r w:rsidRPr="00D97ADF">
              <w:rPr>
                <w:bCs/>
                <w:noProof/>
                <w:sz w:val="20"/>
                <w:szCs w:val="20"/>
                <w:lang w:val="en-US" w:eastAsia="en-US"/>
              </w:rPr>
              <w:t>4</w:t>
            </w:r>
          </w:p>
          <w:p w14:paraId="6A8C7D35" w14:textId="77777777" w:rsidR="00511566" w:rsidRPr="00D97ADF" w:rsidRDefault="00511566" w:rsidP="001E1063">
            <w:pPr>
              <w:jc w:val="both"/>
              <w:rPr>
                <w:bCs/>
                <w:noProof/>
                <w:sz w:val="20"/>
                <w:szCs w:val="20"/>
                <w:lang w:val="en-US" w:eastAsia="en-US"/>
              </w:rPr>
            </w:pPr>
            <w:r w:rsidRPr="00D97ADF">
              <w:rPr>
                <w:bCs/>
                <w:noProof/>
                <w:sz w:val="20"/>
                <w:szCs w:val="20"/>
                <w:lang w:val="en-US" w:eastAsia="en-US"/>
              </w:rPr>
              <w:t>There are only four refurbished border posts (Djegue, Pirada, Buruntuma and Cuntabane)</w:t>
            </w:r>
          </w:p>
        </w:tc>
        <w:tc>
          <w:tcPr>
            <w:tcW w:w="2126" w:type="dxa"/>
            <w:shd w:val="clear" w:color="auto" w:fill="EEECE1"/>
          </w:tcPr>
          <w:p w14:paraId="544D3661" w14:textId="77777777" w:rsidR="00511566" w:rsidRPr="00D97ADF" w:rsidRDefault="00511566" w:rsidP="001E1063">
            <w:pPr>
              <w:jc w:val="both"/>
              <w:rPr>
                <w:sz w:val="20"/>
                <w:szCs w:val="20"/>
                <w:lang w:val="en-US" w:eastAsia="en-US"/>
              </w:rPr>
            </w:pPr>
            <w:r w:rsidRPr="00D97ADF">
              <w:rPr>
                <w:sz w:val="20"/>
                <w:szCs w:val="20"/>
                <w:lang w:val="en-US" w:eastAsia="en-US"/>
              </w:rPr>
              <w:t>8</w:t>
            </w:r>
          </w:p>
          <w:p w14:paraId="2C6B41FA" w14:textId="425F70DF" w:rsidR="00511566" w:rsidRPr="00D97ADF" w:rsidRDefault="00511566" w:rsidP="001E1063">
            <w:pPr>
              <w:jc w:val="both"/>
              <w:rPr>
                <w:sz w:val="20"/>
                <w:szCs w:val="20"/>
                <w:lang w:val="en-US" w:eastAsia="en-US"/>
              </w:rPr>
            </w:pPr>
            <w:r w:rsidRPr="00D97ADF">
              <w:rPr>
                <w:sz w:val="20"/>
                <w:szCs w:val="20"/>
                <w:lang w:val="en-US" w:eastAsia="en-US"/>
              </w:rPr>
              <w:t>Four additional border posts (Cambadju, Cacine, Suzana and Dungal) are refurbished and equipped</w:t>
            </w:r>
          </w:p>
        </w:tc>
        <w:tc>
          <w:tcPr>
            <w:tcW w:w="1276" w:type="dxa"/>
          </w:tcPr>
          <w:p w14:paraId="29CEE139" w14:textId="77777777" w:rsidR="00511566" w:rsidRPr="00027675" w:rsidRDefault="00511566" w:rsidP="002F42B8">
            <w:pPr>
              <w:rPr>
                <w:b/>
                <w:lang w:val="en-US" w:eastAsia="en-US"/>
              </w:rPr>
            </w:pPr>
          </w:p>
        </w:tc>
        <w:tc>
          <w:tcPr>
            <w:tcW w:w="2835" w:type="dxa"/>
            <w:vMerge/>
          </w:tcPr>
          <w:p w14:paraId="00A3138A" w14:textId="682F59FD" w:rsidR="00511566" w:rsidRDefault="00511566" w:rsidP="000014F4">
            <w:pPr>
              <w:rPr>
                <w:bCs/>
                <w:noProof/>
                <w:sz w:val="20"/>
                <w:szCs w:val="20"/>
                <w:lang w:val="en-US" w:eastAsia="en-US"/>
              </w:rPr>
            </w:pPr>
          </w:p>
        </w:tc>
        <w:tc>
          <w:tcPr>
            <w:tcW w:w="3197" w:type="dxa"/>
            <w:vMerge/>
          </w:tcPr>
          <w:p w14:paraId="0B3141B8" w14:textId="3E59A88A" w:rsidR="00511566" w:rsidRPr="00CC0A3B" w:rsidRDefault="00511566" w:rsidP="002F42B8">
            <w:pPr>
              <w:tabs>
                <w:tab w:val="left" w:pos="997"/>
              </w:tabs>
              <w:rPr>
                <w:sz w:val="20"/>
                <w:szCs w:val="20"/>
                <w:lang w:val="en-US" w:eastAsia="en-US"/>
              </w:rPr>
            </w:pPr>
          </w:p>
        </w:tc>
      </w:tr>
      <w:tr w:rsidR="00511566" w:rsidRPr="00627A1C" w14:paraId="4289096F" w14:textId="77777777" w:rsidTr="00131DC2">
        <w:trPr>
          <w:trHeight w:val="422"/>
        </w:trPr>
        <w:tc>
          <w:tcPr>
            <w:tcW w:w="1799" w:type="dxa"/>
            <w:vMerge/>
            <w:tcBorders>
              <w:bottom w:val="double" w:sz="4" w:space="0" w:color="auto"/>
            </w:tcBorders>
          </w:tcPr>
          <w:p w14:paraId="711A87B8" w14:textId="312C04C0" w:rsidR="00511566" w:rsidRPr="00027675" w:rsidRDefault="00511566" w:rsidP="002F42B8">
            <w:pPr>
              <w:rPr>
                <w:lang w:val="en-US" w:eastAsia="en-US"/>
              </w:rPr>
            </w:pPr>
          </w:p>
        </w:tc>
        <w:tc>
          <w:tcPr>
            <w:tcW w:w="2313" w:type="dxa"/>
            <w:tcBorders>
              <w:bottom w:val="double" w:sz="4" w:space="0" w:color="auto"/>
            </w:tcBorders>
            <w:shd w:val="clear" w:color="auto" w:fill="EEECE1"/>
          </w:tcPr>
          <w:p w14:paraId="424ADB6C" w14:textId="77777777" w:rsidR="00511566" w:rsidRDefault="00511566" w:rsidP="002F42B8">
            <w:pPr>
              <w:jc w:val="both"/>
              <w:rPr>
                <w:b/>
                <w:sz w:val="20"/>
                <w:szCs w:val="20"/>
                <w:lang w:val="en-US" w:eastAsia="en-US"/>
              </w:rPr>
            </w:pPr>
            <w:r w:rsidRPr="00331215">
              <w:rPr>
                <w:b/>
                <w:sz w:val="20"/>
                <w:szCs w:val="20"/>
                <w:lang w:val="en-US" w:eastAsia="en-US"/>
              </w:rPr>
              <w:t>Indicator 1.2.5</w:t>
            </w:r>
          </w:p>
          <w:p w14:paraId="21D5A3F8" w14:textId="7B8249BF" w:rsidR="00511566" w:rsidRPr="00D97ADF" w:rsidRDefault="00511566" w:rsidP="002F42B8">
            <w:pPr>
              <w:jc w:val="both"/>
              <w:rPr>
                <w:b/>
                <w:sz w:val="20"/>
                <w:szCs w:val="20"/>
                <w:lang w:val="en-US" w:eastAsia="en-US"/>
              </w:rPr>
            </w:pPr>
            <w:r w:rsidRPr="00331215">
              <w:rPr>
                <w:sz w:val="18"/>
                <w:szCs w:val="18"/>
                <w:lang w:val="en-US" w:eastAsia="en-US"/>
              </w:rPr>
              <w:t>-Number of police officers trained  on DTOC, as well on visitors profiling and forged documents/stolen vehicles and illicit goods detection</w:t>
            </w:r>
          </w:p>
        </w:tc>
        <w:tc>
          <w:tcPr>
            <w:tcW w:w="1843" w:type="dxa"/>
            <w:tcBorders>
              <w:bottom w:val="double" w:sz="4" w:space="0" w:color="auto"/>
            </w:tcBorders>
            <w:shd w:val="clear" w:color="auto" w:fill="EEECE1"/>
          </w:tcPr>
          <w:p w14:paraId="1C0019F8" w14:textId="5054263D" w:rsidR="00511566" w:rsidRPr="00CC0A3B" w:rsidRDefault="00511566" w:rsidP="002F42B8">
            <w:pPr>
              <w:rPr>
                <w:bCs/>
                <w:noProof/>
                <w:sz w:val="20"/>
                <w:szCs w:val="20"/>
                <w:lang w:val="en-US" w:eastAsia="en-US"/>
              </w:rPr>
            </w:pPr>
          </w:p>
        </w:tc>
        <w:tc>
          <w:tcPr>
            <w:tcW w:w="2126" w:type="dxa"/>
            <w:tcBorders>
              <w:bottom w:val="double" w:sz="4" w:space="0" w:color="auto"/>
            </w:tcBorders>
            <w:shd w:val="clear" w:color="auto" w:fill="EEECE1"/>
          </w:tcPr>
          <w:p w14:paraId="4AF0ED66" w14:textId="474BC3C2" w:rsidR="00511566" w:rsidRPr="00CC0A3B" w:rsidRDefault="00511566" w:rsidP="002F42B8">
            <w:pPr>
              <w:rPr>
                <w:sz w:val="20"/>
                <w:szCs w:val="20"/>
                <w:lang w:val="en-US" w:eastAsia="en-US"/>
              </w:rPr>
            </w:pPr>
          </w:p>
        </w:tc>
        <w:tc>
          <w:tcPr>
            <w:tcW w:w="1276" w:type="dxa"/>
            <w:tcBorders>
              <w:bottom w:val="double" w:sz="4" w:space="0" w:color="auto"/>
            </w:tcBorders>
          </w:tcPr>
          <w:p w14:paraId="17D045A3" w14:textId="77777777" w:rsidR="00511566" w:rsidRPr="00027675" w:rsidRDefault="00511566" w:rsidP="002F42B8">
            <w:pPr>
              <w:rPr>
                <w:b/>
                <w:lang w:val="en-US" w:eastAsia="en-US"/>
              </w:rPr>
            </w:pPr>
          </w:p>
        </w:tc>
        <w:tc>
          <w:tcPr>
            <w:tcW w:w="2835" w:type="dxa"/>
            <w:tcBorders>
              <w:bottom w:val="double" w:sz="4" w:space="0" w:color="auto"/>
            </w:tcBorders>
          </w:tcPr>
          <w:p w14:paraId="0021CF5A" w14:textId="77777777" w:rsidR="00380721" w:rsidRPr="00412473" w:rsidRDefault="00380721" w:rsidP="00C20C68">
            <w:pPr>
              <w:jc w:val="both"/>
              <w:rPr>
                <w:bCs/>
                <w:noProof/>
                <w:sz w:val="8"/>
                <w:szCs w:val="8"/>
                <w:lang w:val="en-US" w:eastAsia="en-US"/>
              </w:rPr>
            </w:pPr>
          </w:p>
          <w:p w14:paraId="1BFC415E" w14:textId="70DDCB46" w:rsidR="00380721" w:rsidRPr="00220482" w:rsidRDefault="00380721" w:rsidP="00C20C68">
            <w:pPr>
              <w:jc w:val="both"/>
              <w:rPr>
                <w:bCs/>
                <w:noProof/>
                <w:sz w:val="18"/>
                <w:szCs w:val="18"/>
                <w:lang w:val="en-US" w:eastAsia="en-US"/>
              </w:rPr>
            </w:pPr>
            <w:r>
              <w:rPr>
                <w:bCs/>
                <w:noProof/>
                <w:sz w:val="20"/>
                <w:szCs w:val="20"/>
                <w:lang w:val="en-US" w:eastAsia="en-US"/>
              </w:rPr>
              <w:t>-</w:t>
            </w:r>
            <w:r w:rsidR="00102D9F">
              <w:rPr>
                <w:bCs/>
                <w:noProof/>
                <w:sz w:val="20"/>
                <w:szCs w:val="20"/>
                <w:lang w:val="en-US" w:eastAsia="en-US"/>
              </w:rPr>
              <w:t xml:space="preserve"> </w:t>
            </w:r>
            <w:r w:rsidR="00D5296E" w:rsidRPr="00220482">
              <w:rPr>
                <w:bCs/>
                <w:noProof/>
                <w:sz w:val="18"/>
                <w:szCs w:val="18"/>
                <w:lang w:val="en-US" w:eastAsia="en-US"/>
              </w:rPr>
              <w:t>40</w:t>
            </w:r>
            <w:r w:rsidRPr="00220482">
              <w:rPr>
                <w:bCs/>
                <w:noProof/>
                <w:sz w:val="18"/>
                <w:szCs w:val="18"/>
                <w:lang w:val="en-US" w:eastAsia="en-US"/>
              </w:rPr>
              <w:t xml:space="preserve"> law enforcement </w:t>
            </w:r>
            <w:r w:rsidR="00D5296E" w:rsidRPr="00220482">
              <w:rPr>
                <w:bCs/>
                <w:noProof/>
                <w:sz w:val="18"/>
                <w:szCs w:val="18"/>
                <w:lang w:val="en-US" w:eastAsia="en-US"/>
              </w:rPr>
              <w:t xml:space="preserve">(inspectors and </w:t>
            </w:r>
            <w:r w:rsidRPr="00220482">
              <w:rPr>
                <w:bCs/>
                <w:noProof/>
                <w:sz w:val="18"/>
                <w:szCs w:val="18"/>
                <w:lang w:val="en-US" w:eastAsia="en-US"/>
              </w:rPr>
              <w:t>agents</w:t>
            </w:r>
            <w:r w:rsidR="00220482">
              <w:rPr>
                <w:bCs/>
                <w:noProof/>
                <w:sz w:val="18"/>
                <w:szCs w:val="18"/>
                <w:lang w:val="en-US" w:eastAsia="en-US"/>
              </w:rPr>
              <w:t xml:space="preserve"> including 7 women </w:t>
            </w:r>
            <w:r w:rsidR="00D5296E" w:rsidRPr="00220482">
              <w:rPr>
                <w:bCs/>
                <w:noProof/>
                <w:sz w:val="18"/>
                <w:szCs w:val="18"/>
                <w:lang w:val="en-US" w:eastAsia="en-US"/>
              </w:rPr>
              <w:t>)</w:t>
            </w:r>
            <w:r w:rsidRPr="00220482">
              <w:rPr>
                <w:bCs/>
                <w:noProof/>
                <w:sz w:val="18"/>
                <w:szCs w:val="18"/>
                <w:lang w:val="en-US" w:eastAsia="en-US"/>
              </w:rPr>
              <w:t xml:space="preserve">  trained by Public Ministry and Judiciary Police specialists in May 2021 to combat money laundering, transnational crime and corruption.</w:t>
            </w:r>
          </w:p>
          <w:p w14:paraId="2C0C410D" w14:textId="07CC337F" w:rsidR="00C20C68" w:rsidRDefault="00380721" w:rsidP="00C20C68">
            <w:pPr>
              <w:jc w:val="both"/>
              <w:rPr>
                <w:bCs/>
                <w:noProof/>
                <w:sz w:val="20"/>
                <w:szCs w:val="20"/>
                <w:lang w:val="en-US" w:eastAsia="en-US"/>
              </w:rPr>
            </w:pPr>
            <w:r w:rsidRPr="00220482">
              <w:rPr>
                <w:bCs/>
                <w:noProof/>
                <w:sz w:val="18"/>
                <w:szCs w:val="18"/>
                <w:lang w:val="en-US" w:eastAsia="en-US"/>
              </w:rPr>
              <w:t>-</w:t>
            </w:r>
            <w:r w:rsidR="00102D9F">
              <w:rPr>
                <w:bCs/>
                <w:noProof/>
                <w:sz w:val="18"/>
                <w:szCs w:val="18"/>
                <w:lang w:val="en-US" w:eastAsia="en-US"/>
              </w:rPr>
              <w:t xml:space="preserve"> </w:t>
            </w:r>
            <w:r w:rsidR="00C20C68" w:rsidRPr="00220482">
              <w:rPr>
                <w:bCs/>
                <w:noProof/>
                <w:sz w:val="18"/>
                <w:szCs w:val="18"/>
                <w:lang w:val="en-US" w:eastAsia="en-US"/>
              </w:rPr>
              <w:t xml:space="preserve">80 Police officers (including 6 women) </w:t>
            </w:r>
            <w:r w:rsidR="00C840E1" w:rsidRPr="00220482">
              <w:rPr>
                <w:bCs/>
                <w:noProof/>
                <w:sz w:val="18"/>
                <w:szCs w:val="18"/>
                <w:lang w:val="en-US" w:eastAsia="en-US"/>
              </w:rPr>
              <w:t xml:space="preserve">from Police Public Order and National Guard </w:t>
            </w:r>
            <w:r w:rsidR="00C20C68" w:rsidRPr="00220482">
              <w:rPr>
                <w:bCs/>
                <w:noProof/>
                <w:sz w:val="18"/>
                <w:szCs w:val="18"/>
                <w:lang w:val="en-US" w:eastAsia="en-US"/>
              </w:rPr>
              <w:t xml:space="preserve">trained during two weeks in </w:t>
            </w:r>
            <w:r w:rsidR="00C840E1" w:rsidRPr="00220482">
              <w:rPr>
                <w:bCs/>
                <w:noProof/>
                <w:sz w:val="18"/>
                <w:szCs w:val="18"/>
                <w:lang w:val="en-US" w:eastAsia="en-US"/>
              </w:rPr>
              <w:t xml:space="preserve">November 2021 </w:t>
            </w:r>
            <w:r w:rsidR="00C20C68" w:rsidRPr="00220482">
              <w:rPr>
                <w:bCs/>
                <w:noProof/>
                <w:sz w:val="18"/>
                <w:szCs w:val="18"/>
                <w:lang w:val="en-US" w:eastAsia="en-US"/>
              </w:rPr>
              <w:t>through the technical Portuguese cooperation</w:t>
            </w:r>
            <w:r w:rsidR="00C20C68">
              <w:rPr>
                <w:bCs/>
                <w:noProof/>
                <w:sz w:val="20"/>
                <w:szCs w:val="20"/>
                <w:lang w:val="en-US" w:eastAsia="en-US"/>
              </w:rPr>
              <w:t xml:space="preserve">  </w:t>
            </w:r>
          </w:p>
        </w:tc>
        <w:tc>
          <w:tcPr>
            <w:tcW w:w="3197" w:type="dxa"/>
            <w:tcBorders>
              <w:bottom w:val="double" w:sz="4" w:space="0" w:color="auto"/>
            </w:tcBorders>
          </w:tcPr>
          <w:p w14:paraId="5D48CD6B" w14:textId="1467114D" w:rsidR="00511566" w:rsidRPr="00334333" w:rsidRDefault="00511566" w:rsidP="00C20C68">
            <w:pPr>
              <w:tabs>
                <w:tab w:val="left" w:pos="997"/>
              </w:tabs>
              <w:jc w:val="both"/>
              <w:rPr>
                <w:sz w:val="20"/>
                <w:szCs w:val="20"/>
                <w:lang w:val="en-US" w:eastAsia="en-US"/>
              </w:rPr>
            </w:pPr>
          </w:p>
        </w:tc>
      </w:tr>
      <w:tr w:rsidR="001856C9" w:rsidRPr="00627A1C" w14:paraId="5170B597" w14:textId="77777777" w:rsidTr="00131DC2">
        <w:trPr>
          <w:trHeight w:val="422"/>
        </w:trPr>
        <w:tc>
          <w:tcPr>
            <w:tcW w:w="1799" w:type="dxa"/>
            <w:tcBorders>
              <w:top w:val="double" w:sz="4" w:space="0" w:color="auto"/>
            </w:tcBorders>
          </w:tcPr>
          <w:p w14:paraId="36D0AB7F" w14:textId="77777777" w:rsidR="001856C9" w:rsidRPr="00511566" w:rsidRDefault="001856C9" w:rsidP="001856C9">
            <w:pPr>
              <w:jc w:val="both"/>
              <w:rPr>
                <w:b/>
                <w:sz w:val="22"/>
                <w:szCs w:val="22"/>
                <w:lang w:val="en-US" w:eastAsia="en-US"/>
              </w:rPr>
            </w:pPr>
            <w:r w:rsidRPr="00511566">
              <w:rPr>
                <w:b/>
                <w:sz w:val="22"/>
                <w:szCs w:val="22"/>
                <w:lang w:val="en-US" w:eastAsia="en-US"/>
              </w:rPr>
              <w:t>Output 1.3</w:t>
            </w:r>
          </w:p>
          <w:p w14:paraId="49B26986" w14:textId="77777777" w:rsidR="001856C9" w:rsidRDefault="001856C9" w:rsidP="00ED4C37">
            <w:pPr>
              <w:jc w:val="both"/>
              <w:rPr>
                <w:b/>
                <w:sz w:val="17"/>
                <w:szCs w:val="17"/>
                <w:lang w:val="en-US" w:eastAsia="en-US"/>
              </w:rPr>
            </w:pPr>
            <w:r w:rsidRPr="00DE53F3">
              <w:rPr>
                <w:b/>
                <w:sz w:val="17"/>
                <w:szCs w:val="17"/>
                <w:lang w:val="en-US" w:eastAsia="en-US"/>
              </w:rPr>
              <w:t xml:space="preserve">Democratic governance and civilian oversight over the security practices and institutions responsible to combat </w:t>
            </w:r>
            <w:r w:rsidR="00ED4C37">
              <w:rPr>
                <w:b/>
                <w:sz w:val="17"/>
                <w:szCs w:val="17"/>
                <w:lang w:val="en-US" w:eastAsia="en-US"/>
              </w:rPr>
              <w:t xml:space="preserve">DTOC </w:t>
            </w:r>
            <w:r w:rsidR="00ED4C37" w:rsidRPr="00DE53F3">
              <w:rPr>
                <w:b/>
                <w:sz w:val="17"/>
                <w:szCs w:val="17"/>
                <w:lang w:val="en-US" w:eastAsia="en-US"/>
              </w:rPr>
              <w:t>is</w:t>
            </w:r>
            <w:r w:rsidRPr="00DE53F3">
              <w:rPr>
                <w:b/>
                <w:sz w:val="17"/>
                <w:szCs w:val="17"/>
                <w:lang w:val="en-US" w:eastAsia="en-US"/>
              </w:rPr>
              <w:t xml:space="preserve"> enhanced.</w:t>
            </w:r>
          </w:p>
          <w:p w14:paraId="5C87140B" w14:textId="77777777" w:rsidR="00412473" w:rsidRDefault="00412473" w:rsidP="00ED4C37">
            <w:pPr>
              <w:jc w:val="both"/>
              <w:rPr>
                <w:b/>
                <w:sz w:val="17"/>
                <w:szCs w:val="17"/>
                <w:lang w:val="en-US" w:eastAsia="en-US"/>
              </w:rPr>
            </w:pPr>
          </w:p>
          <w:p w14:paraId="4518C615" w14:textId="77777777" w:rsidR="00412473" w:rsidRDefault="00412473" w:rsidP="00ED4C37">
            <w:pPr>
              <w:jc w:val="both"/>
              <w:rPr>
                <w:b/>
                <w:sz w:val="17"/>
                <w:szCs w:val="17"/>
                <w:lang w:val="en-US" w:eastAsia="en-US"/>
              </w:rPr>
            </w:pPr>
          </w:p>
          <w:p w14:paraId="6273F688" w14:textId="77777777" w:rsidR="00412473" w:rsidRDefault="00412473" w:rsidP="00ED4C37">
            <w:pPr>
              <w:jc w:val="both"/>
              <w:rPr>
                <w:b/>
                <w:sz w:val="17"/>
                <w:szCs w:val="17"/>
                <w:lang w:val="en-US" w:eastAsia="en-US"/>
              </w:rPr>
            </w:pPr>
          </w:p>
          <w:p w14:paraId="15C5B69F" w14:textId="77777777" w:rsidR="00412473" w:rsidRDefault="00412473" w:rsidP="00ED4C37">
            <w:pPr>
              <w:jc w:val="both"/>
              <w:rPr>
                <w:b/>
                <w:sz w:val="17"/>
                <w:szCs w:val="17"/>
                <w:lang w:val="en-US" w:eastAsia="en-US"/>
              </w:rPr>
            </w:pPr>
          </w:p>
          <w:p w14:paraId="5CFBA4DD" w14:textId="77777777" w:rsidR="00412473" w:rsidRDefault="00412473" w:rsidP="00ED4C37">
            <w:pPr>
              <w:jc w:val="both"/>
              <w:rPr>
                <w:b/>
                <w:sz w:val="17"/>
                <w:szCs w:val="17"/>
                <w:lang w:val="en-US" w:eastAsia="en-US"/>
              </w:rPr>
            </w:pPr>
          </w:p>
          <w:p w14:paraId="3CF0877B" w14:textId="77777777" w:rsidR="00412473" w:rsidRDefault="00412473" w:rsidP="00ED4C37">
            <w:pPr>
              <w:jc w:val="both"/>
              <w:rPr>
                <w:b/>
                <w:sz w:val="17"/>
                <w:szCs w:val="17"/>
                <w:lang w:val="en-US" w:eastAsia="en-US"/>
              </w:rPr>
            </w:pPr>
          </w:p>
          <w:p w14:paraId="728A4150" w14:textId="77777777" w:rsidR="00412473" w:rsidRDefault="00412473" w:rsidP="00ED4C37">
            <w:pPr>
              <w:jc w:val="both"/>
              <w:rPr>
                <w:b/>
                <w:sz w:val="17"/>
                <w:szCs w:val="17"/>
                <w:lang w:val="en-US" w:eastAsia="en-US"/>
              </w:rPr>
            </w:pPr>
          </w:p>
          <w:p w14:paraId="3CF88CC7" w14:textId="77777777" w:rsidR="00412473" w:rsidRDefault="00412473" w:rsidP="00ED4C37">
            <w:pPr>
              <w:jc w:val="both"/>
              <w:rPr>
                <w:b/>
                <w:sz w:val="17"/>
                <w:szCs w:val="17"/>
                <w:lang w:val="en-US" w:eastAsia="en-US"/>
              </w:rPr>
            </w:pPr>
          </w:p>
          <w:p w14:paraId="09BDF042" w14:textId="08E2D5C6" w:rsidR="00412473" w:rsidRPr="00DE53F3" w:rsidRDefault="00412473" w:rsidP="00ED4C37">
            <w:pPr>
              <w:jc w:val="both"/>
              <w:rPr>
                <w:b/>
                <w:sz w:val="17"/>
                <w:szCs w:val="17"/>
                <w:lang w:val="en-US" w:eastAsia="en-US"/>
              </w:rPr>
            </w:pPr>
          </w:p>
        </w:tc>
        <w:tc>
          <w:tcPr>
            <w:tcW w:w="2313" w:type="dxa"/>
            <w:tcBorders>
              <w:top w:val="double" w:sz="4" w:space="0" w:color="auto"/>
            </w:tcBorders>
            <w:shd w:val="clear" w:color="auto" w:fill="EEECE1"/>
          </w:tcPr>
          <w:p w14:paraId="56B6C222" w14:textId="77777777" w:rsidR="001856C9" w:rsidRPr="001856C9" w:rsidRDefault="001856C9" w:rsidP="002F42B8">
            <w:pPr>
              <w:jc w:val="both"/>
              <w:rPr>
                <w:b/>
                <w:sz w:val="20"/>
                <w:szCs w:val="20"/>
                <w:lang w:val="en-US" w:eastAsia="en-US"/>
              </w:rPr>
            </w:pPr>
            <w:r w:rsidRPr="001856C9">
              <w:rPr>
                <w:b/>
                <w:sz w:val="20"/>
                <w:szCs w:val="20"/>
                <w:lang w:val="en-US" w:eastAsia="en-US"/>
              </w:rPr>
              <w:t>Indicator 1.3.1</w:t>
            </w:r>
          </w:p>
          <w:p w14:paraId="73F2B8AB" w14:textId="77777777" w:rsidR="001856C9" w:rsidRDefault="001856C9" w:rsidP="002F42B8">
            <w:pPr>
              <w:jc w:val="both"/>
              <w:rPr>
                <w:sz w:val="20"/>
                <w:szCs w:val="20"/>
                <w:lang w:val="en-US" w:eastAsia="en-US"/>
              </w:rPr>
            </w:pPr>
            <w:r>
              <w:rPr>
                <w:sz w:val="20"/>
                <w:szCs w:val="20"/>
                <w:lang w:val="en-US" w:eastAsia="en-US"/>
              </w:rPr>
              <w:t>Number of mapping of civil society organizations and key actors engaged in DTOC</w:t>
            </w:r>
          </w:p>
          <w:p w14:paraId="41A36F1C" w14:textId="77777777" w:rsidR="00284593" w:rsidRDefault="00284593" w:rsidP="002F42B8">
            <w:pPr>
              <w:jc w:val="both"/>
              <w:rPr>
                <w:sz w:val="20"/>
                <w:szCs w:val="20"/>
                <w:lang w:val="en-US" w:eastAsia="en-US"/>
              </w:rPr>
            </w:pPr>
          </w:p>
          <w:p w14:paraId="35EA5545" w14:textId="77777777" w:rsidR="00284593" w:rsidRDefault="00284593" w:rsidP="002F42B8">
            <w:pPr>
              <w:jc w:val="both"/>
              <w:rPr>
                <w:sz w:val="20"/>
                <w:szCs w:val="20"/>
                <w:lang w:val="en-US" w:eastAsia="en-US"/>
              </w:rPr>
            </w:pPr>
          </w:p>
          <w:p w14:paraId="79D61892" w14:textId="77777777" w:rsidR="00284593" w:rsidRDefault="00284593" w:rsidP="002F42B8">
            <w:pPr>
              <w:jc w:val="both"/>
              <w:rPr>
                <w:sz w:val="20"/>
                <w:szCs w:val="20"/>
                <w:lang w:val="en-US" w:eastAsia="en-US"/>
              </w:rPr>
            </w:pPr>
          </w:p>
          <w:p w14:paraId="25799772" w14:textId="77777777" w:rsidR="00284593" w:rsidRDefault="00284593" w:rsidP="002F42B8">
            <w:pPr>
              <w:jc w:val="both"/>
              <w:rPr>
                <w:sz w:val="20"/>
                <w:szCs w:val="20"/>
                <w:lang w:val="en-US" w:eastAsia="en-US"/>
              </w:rPr>
            </w:pPr>
          </w:p>
          <w:p w14:paraId="3C4267FF" w14:textId="5A08702A" w:rsidR="00284593" w:rsidRPr="00627A1C" w:rsidRDefault="00284593" w:rsidP="002F42B8">
            <w:pPr>
              <w:jc w:val="both"/>
              <w:rPr>
                <w:lang w:val="en-US" w:eastAsia="en-US"/>
              </w:rPr>
            </w:pPr>
          </w:p>
        </w:tc>
        <w:tc>
          <w:tcPr>
            <w:tcW w:w="1843" w:type="dxa"/>
            <w:tcBorders>
              <w:top w:val="double" w:sz="4" w:space="0" w:color="auto"/>
            </w:tcBorders>
            <w:shd w:val="clear" w:color="auto" w:fill="EEECE1"/>
          </w:tcPr>
          <w:p w14:paraId="5A9C6CB7" w14:textId="557B4532" w:rsidR="001856C9" w:rsidRPr="00627A1C" w:rsidRDefault="00975512" w:rsidP="002F42B8">
            <w:r>
              <w:rPr>
                <w:bCs/>
                <w:noProof/>
                <w:sz w:val="20"/>
                <w:szCs w:val="20"/>
                <w:lang w:val="en-US" w:eastAsia="en-US"/>
              </w:rPr>
              <w:t>0</w:t>
            </w:r>
          </w:p>
        </w:tc>
        <w:tc>
          <w:tcPr>
            <w:tcW w:w="2126" w:type="dxa"/>
            <w:tcBorders>
              <w:top w:val="double" w:sz="4" w:space="0" w:color="auto"/>
            </w:tcBorders>
            <w:shd w:val="clear" w:color="auto" w:fill="EEECE1"/>
          </w:tcPr>
          <w:p w14:paraId="4F873D0A" w14:textId="1AE978CE" w:rsidR="001856C9" w:rsidRPr="00627A1C" w:rsidRDefault="001856C9" w:rsidP="002F42B8">
            <w:r>
              <w:rPr>
                <w:bCs/>
                <w:noProof/>
                <w:sz w:val="20"/>
                <w:szCs w:val="20"/>
                <w:lang w:val="en-US" w:eastAsia="en-US"/>
              </w:rPr>
              <w:t>1</w:t>
            </w:r>
          </w:p>
        </w:tc>
        <w:tc>
          <w:tcPr>
            <w:tcW w:w="1276" w:type="dxa"/>
            <w:tcBorders>
              <w:top w:val="double" w:sz="4" w:space="0" w:color="auto"/>
            </w:tcBorders>
          </w:tcPr>
          <w:p w14:paraId="123D779C" w14:textId="681AD807" w:rsidR="001856C9" w:rsidRPr="00627A1C" w:rsidRDefault="001856C9" w:rsidP="002F42B8">
            <w:pPr>
              <w:rPr>
                <w:b/>
                <w:lang w:val="en-US" w:eastAsia="en-US"/>
              </w:rPr>
            </w:pPr>
          </w:p>
        </w:tc>
        <w:tc>
          <w:tcPr>
            <w:tcW w:w="2835" w:type="dxa"/>
            <w:tcBorders>
              <w:top w:val="double" w:sz="4" w:space="0" w:color="auto"/>
            </w:tcBorders>
          </w:tcPr>
          <w:p w14:paraId="50D858BB" w14:textId="0BB3EC8A" w:rsidR="001856C9" w:rsidRPr="00220482" w:rsidRDefault="00E64C90" w:rsidP="00284593">
            <w:pPr>
              <w:jc w:val="both"/>
              <w:rPr>
                <w:bCs/>
                <w:noProof/>
                <w:sz w:val="18"/>
                <w:szCs w:val="18"/>
                <w:lang w:val="en-US" w:eastAsia="en-US"/>
              </w:rPr>
            </w:pPr>
            <w:r w:rsidRPr="00220482">
              <w:rPr>
                <w:bCs/>
                <w:noProof/>
                <w:sz w:val="18"/>
                <w:szCs w:val="18"/>
                <w:lang w:val="en-US" w:eastAsia="en-US"/>
              </w:rPr>
              <w:t>Twenty four (</w:t>
            </w:r>
            <w:r w:rsidR="00E80E25" w:rsidRPr="00220482">
              <w:rPr>
                <w:bCs/>
                <w:noProof/>
                <w:sz w:val="18"/>
                <w:szCs w:val="18"/>
                <w:lang w:val="en-US" w:eastAsia="en-US"/>
              </w:rPr>
              <w:t>24</w:t>
            </w:r>
            <w:r w:rsidRPr="00220482">
              <w:rPr>
                <w:bCs/>
                <w:noProof/>
                <w:sz w:val="18"/>
                <w:szCs w:val="18"/>
                <w:lang w:val="en-US" w:eastAsia="en-US"/>
              </w:rPr>
              <w:t>)</w:t>
            </w:r>
            <w:r w:rsidR="00E80E25" w:rsidRPr="00220482">
              <w:rPr>
                <w:bCs/>
                <w:noProof/>
                <w:sz w:val="18"/>
                <w:szCs w:val="18"/>
                <w:lang w:val="en-US" w:eastAsia="en-US"/>
              </w:rPr>
              <w:t xml:space="preserve"> National NGOs and local associations have been recensed </w:t>
            </w:r>
            <w:r w:rsidR="006A3131" w:rsidRPr="00220482">
              <w:rPr>
                <w:bCs/>
                <w:noProof/>
                <w:sz w:val="18"/>
                <w:szCs w:val="18"/>
                <w:lang w:val="en-US" w:eastAsia="en-US"/>
              </w:rPr>
              <w:t>and the National ONG ENDA Sante will produce the survey report by the end of the year.</w:t>
            </w:r>
          </w:p>
          <w:p w14:paraId="16D0E291" w14:textId="77777777" w:rsidR="001856C9" w:rsidRPr="00220482" w:rsidRDefault="001856C9" w:rsidP="002F42B8">
            <w:pPr>
              <w:rPr>
                <w:sz w:val="18"/>
                <w:szCs w:val="18"/>
              </w:rPr>
            </w:pPr>
          </w:p>
        </w:tc>
        <w:tc>
          <w:tcPr>
            <w:tcW w:w="3197" w:type="dxa"/>
            <w:tcBorders>
              <w:top w:val="double" w:sz="4" w:space="0" w:color="auto"/>
            </w:tcBorders>
          </w:tcPr>
          <w:p w14:paraId="669085FA" w14:textId="5BED72D8" w:rsidR="001856C9" w:rsidRPr="00627A1C" w:rsidRDefault="001856C9" w:rsidP="002F42B8"/>
        </w:tc>
      </w:tr>
      <w:tr w:rsidR="00DE53F3" w:rsidRPr="000F3A4F" w14:paraId="4095F05D" w14:textId="77777777" w:rsidTr="00131DC2">
        <w:trPr>
          <w:trHeight w:val="422"/>
        </w:trPr>
        <w:tc>
          <w:tcPr>
            <w:tcW w:w="1799" w:type="dxa"/>
            <w:vMerge w:val="restart"/>
            <w:shd w:val="clear" w:color="auto" w:fill="FFFFFF" w:themeFill="background1"/>
          </w:tcPr>
          <w:p w14:paraId="62C15275" w14:textId="77777777" w:rsidR="00DE53F3" w:rsidRDefault="00DE53F3" w:rsidP="00DE53F3">
            <w:pPr>
              <w:rPr>
                <w:b/>
                <w:bCs/>
                <w:noProof/>
                <w:sz w:val="20"/>
                <w:szCs w:val="20"/>
                <w:lang w:val="en-US" w:eastAsia="en-US"/>
              </w:rPr>
            </w:pPr>
            <w:r w:rsidRPr="00DE53F3">
              <w:rPr>
                <w:b/>
                <w:bCs/>
                <w:noProof/>
                <w:sz w:val="20"/>
                <w:szCs w:val="20"/>
                <w:lang w:val="en-US" w:eastAsia="en-US"/>
              </w:rPr>
              <w:lastRenderedPageBreak/>
              <w:t>Output 1.3</w:t>
            </w:r>
          </w:p>
          <w:p w14:paraId="6B0E261A" w14:textId="77777777" w:rsidR="00DE53F3" w:rsidRPr="00DE53F3" w:rsidRDefault="00DE53F3" w:rsidP="00DE53F3">
            <w:pPr>
              <w:rPr>
                <w:b/>
                <w:bCs/>
                <w:noProof/>
                <w:sz w:val="8"/>
                <w:szCs w:val="8"/>
                <w:lang w:val="en-US" w:eastAsia="en-US"/>
              </w:rPr>
            </w:pPr>
          </w:p>
          <w:p w14:paraId="6C280281" w14:textId="2D8539FB" w:rsidR="00DE53F3" w:rsidRPr="00DE53F3" w:rsidRDefault="00DE53F3" w:rsidP="00DE53F3">
            <w:pPr>
              <w:jc w:val="both"/>
              <w:rPr>
                <w:b/>
                <w:bCs/>
                <w:noProof/>
                <w:sz w:val="20"/>
                <w:szCs w:val="20"/>
                <w:lang w:val="en-US" w:eastAsia="en-US"/>
              </w:rPr>
            </w:pPr>
            <w:r w:rsidRPr="00DE53F3">
              <w:rPr>
                <w:b/>
                <w:bCs/>
                <w:noProof/>
                <w:sz w:val="20"/>
                <w:szCs w:val="20"/>
                <w:lang w:val="en-US" w:eastAsia="en-US"/>
              </w:rPr>
              <w:t>Democratic governance and civilian oversight over the security practices and institutions responsible to combat drug trafficking and transnational organized crime is enhanced.</w:t>
            </w:r>
          </w:p>
        </w:tc>
        <w:tc>
          <w:tcPr>
            <w:tcW w:w="2313" w:type="dxa"/>
            <w:shd w:val="clear" w:color="auto" w:fill="EEECE1"/>
          </w:tcPr>
          <w:p w14:paraId="3A3A0F49" w14:textId="6A55C146" w:rsidR="00DE53F3" w:rsidRDefault="00DE53F3" w:rsidP="00DE53F3">
            <w:pPr>
              <w:jc w:val="both"/>
              <w:rPr>
                <w:b/>
                <w:bCs/>
                <w:noProof/>
                <w:sz w:val="20"/>
                <w:szCs w:val="20"/>
                <w:lang w:val="en-US" w:eastAsia="en-US"/>
              </w:rPr>
            </w:pPr>
            <w:r>
              <w:rPr>
                <w:b/>
                <w:bCs/>
                <w:noProof/>
                <w:sz w:val="20"/>
                <w:szCs w:val="20"/>
                <w:lang w:val="en-US" w:eastAsia="en-US"/>
              </w:rPr>
              <w:t>Indicator 1.3.2</w:t>
            </w:r>
          </w:p>
          <w:p w14:paraId="4ECB65F4" w14:textId="6C130ED0" w:rsidR="00423B22" w:rsidRPr="00423B22" w:rsidRDefault="00423B22" w:rsidP="00DE53F3">
            <w:pPr>
              <w:jc w:val="both"/>
              <w:rPr>
                <w:bCs/>
                <w:noProof/>
                <w:sz w:val="20"/>
                <w:szCs w:val="20"/>
                <w:lang w:val="en-US" w:eastAsia="en-US"/>
              </w:rPr>
            </w:pPr>
            <w:r w:rsidRPr="00423B22">
              <w:rPr>
                <w:bCs/>
                <w:noProof/>
                <w:sz w:val="20"/>
                <w:szCs w:val="20"/>
                <w:lang w:val="en-US" w:eastAsia="en-US"/>
              </w:rPr>
              <w:t>Number of community surveillance  commitees  on DTOC in different regions</w:t>
            </w:r>
          </w:p>
          <w:p w14:paraId="55F4FDD5" w14:textId="7F614DFC" w:rsidR="00DE53F3" w:rsidRPr="00511566" w:rsidRDefault="00DE53F3" w:rsidP="00DE53F3">
            <w:pPr>
              <w:jc w:val="both"/>
              <w:rPr>
                <w:b/>
                <w:bCs/>
                <w:noProof/>
                <w:sz w:val="20"/>
                <w:szCs w:val="20"/>
                <w:lang w:val="en-US" w:eastAsia="en-US"/>
              </w:rPr>
            </w:pPr>
          </w:p>
        </w:tc>
        <w:tc>
          <w:tcPr>
            <w:tcW w:w="1843" w:type="dxa"/>
            <w:shd w:val="clear" w:color="auto" w:fill="EEECE1"/>
          </w:tcPr>
          <w:p w14:paraId="32BAAEAB" w14:textId="588609A2" w:rsidR="00DE53F3" w:rsidRDefault="00975512" w:rsidP="002F42B8">
            <w:pPr>
              <w:rPr>
                <w:bCs/>
                <w:noProof/>
                <w:sz w:val="20"/>
                <w:szCs w:val="20"/>
                <w:lang w:val="en-US" w:eastAsia="en-US"/>
              </w:rPr>
            </w:pPr>
            <w:r>
              <w:rPr>
                <w:bCs/>
                <w:noProof/>
                <w:sz w:val="20"/>
                <w:szCs w:val="20"/>
                <w:lang w:val="en-US" w:eastAsia="en-US"/>
              </w:rPr>
              <w:t>0</w:t>
            </w:r>
          </w:p>
        </w:tc>
        <w:tc>
          <w:tcPr>
            <w:tcW w:w="2126" w:type="dxa"/>
            <w:shd w:val="clear" w:color="auto" w:fill="EEECE1"/>
          </w:tcPr>
          <w:p w14:paraId="3ECBAB3D" w14:textId="4AAD1AFC" w:rsidR="00DE53F3" w:rsidRDefault="00423B22" w:rsidP="002F42B8">
            <w:pPr>
              <w:rPr>
                <w:bCs/>
                <w:noProof/>
                <w:sz w:val="20"/>
                <w:szCs w:val="20"/>
                <w:lang w:val="en-US" w:eastAsia="en-US"/>
              </w:rPr>
            </w:pPr>
            <w:r>
              <w:rPr>
                <w:bCs/>
                <w:noProof/>
                <w:sz w:val="20"/>
                <w:szCs w:val="20"/>
                <w:lang w:val="en-US" w:eastAsia="en-US"/>
              </w:rPr>
              <w:t>2</w:t>
            </w:r>
          </w:p>
        </w:tc>
        <w:tc>
          <w:tcPr>
            <w:tcW w:w="1276" w:type="dxa"/>
            <w:shd w:val="clear" w:color="auto" w:fill="FFFFFF" w:themeFill="background1"/>
          </w:tcPr>
          <w:p w14:paraId="26752A30" w14:textId="77777777" w:rsidR="00DE53F3" w:rsidRPr="000F3A4F" w:rsidRDefault="00DE53F3" w:rsidP="002F42B8">
            <w:pPr>
              <w:rPr>
                <w:bCs/>
                <w:noProof/>
                <w:sz w:val="20"/>
                <w:szCs w:val="20"/>
                <w:lang w:val="en-US" w:eastAsia="en-US"/>
              </w:rPr>
            </w:pPr>
          </w:p>
        </w:tc>
        <w:tc>
          <w:tcPr>
            <w:tcW w:w="2835" w:type="dxa"/>
            <w:shd w:val="clear" w:color="auto" w:fill="FFFFFF" w:themeFill="background1"/>
          </w:tcPr>
          <w:p w14:paraId="7E941D15" w14:textId="77777777" w:rsidR="00DE53F3" w:rsidRDefault="00893B92" w:rsidP="00E64C90">
            <w:pPr>
              <w:jc w:val="both"/>
              <w:rPr>
                <w:bCs/>
                <w:noProof/>
                <w:sz w:val="18"/>
                <w:szCs w:val="18"/>
                <w:lang w:val="en-US" w:eastAsia="en-US"/>
              </w:rPr>
            </w:pPr>
            <w:r w:rsidRPr="00220482">
              <w:rPr>
                <w:bCs/>
                <w:noProof/>
                <w:sz w:val="18"/>
                <w:szCs w:val="18"/>
                <w:lang w:val="en-US" w:eastAsia="en-US"/>
              </w:rPr>
              <w:t xml:space="preserve">A pilot community surveillance committee has been created in Bissau </w:t>
            </w:r>
            <w:r w:rsidR="00E64C90" w:rsidRPr="00220482">
              <w:rPr>
                <w:bCs/>
                <w:noProof/>
                <w:sz w:val="18"/>
                <w:szCs w:val="18"/>
                <w:lang w:val="en-US" w:eastAsia="en-US"/>
              </w:rPr>
              <w:t xml:space="preserve">in February 2021 </w:t>
            </w:r>
            <w:r w:rsidRPr="00220482">
              <w:rPr>
                <w:bCs/>
                <w:noProof/>
                <w:sz w:val="18"/>
                <w:szCs w:val="18"/>
                <w:lang w:val="en-US" w:eastAsia="en-US"/>
              </w:rPr>
              <w:t>aiming to provide a national</w:t>
            </w:r>
            <w:r w:rsidRPr="00D5296E">
              <w:rPr>
                <w:bCs/>
                <w:noProof/>
                <w:sz w:val="18"/>
                <w:szCs w:val="18"/>
                <w:lang w:val="en-US" w:eastAsia="en-US"/>
              </w:rPr>
              <w:t xml:space="preserve"> </w:t>
            </w:r>
            <w:r w:rsidRPr="00220482">
              <w:rPr>
                <w:bCs/>
                <w:noProof/>
                <w:sz w:val="18"/>
                <w:szCs w:val="18"/>
                <w:lang w:val="en-US" w:eastAsia="en-US"/>
              </w:rPr>
              <w:t>dimension of fifteen Members of Civil Society Organizations (CSOs) working with DTOC</w:t>
            </w:r>
            <w:r w:rsidR="006F02E9" w:rsidRPr="00220482">
              <w:rPr>
                <w:bCs/>
                <w:noProof/>
                <w:sz w:val="18"/>
                <w:szCs w:val="18"/>
                <w:lang w:val="en-US" w:eastAsia="en-US"/>
              </w:rPr>
              <w:t xml:space="preserve"> (CNJ, OGDT, Desafio Jovem, WANEP, RENAJ, MNSCPDD, ESSOR, LGDH, Céu e Terras, FADPD, ACOBES, CONAEGUIB, AMTSAP, NADEL e ENDA). This committee play a role of community observatory against drug trafficking and organized crime</w:t>
            </w:r>
            <w:r w:rsidR="00E64C90" w:rsidRPr="00220482">
              <w:rPr>
                <w:bCs/>
                <w:noProof/>
                <w:sz w:val="18"/>
                <w:szCs w:val="18"/>
                <w:lang w:val="en-US" w:eastAsia="en-US"/>
              </w:rPr>
              <w:t>.</w:t>
            </w:r>
          </w:p>
          <w:p w14:paraId="77E043E8" w14:textId="3FE03460" w:rsidR="00433487" w:rsidRPr="00D5296E" w:rsidRDefault="00433487" w:rsidP="00E64C90">
            <w:pPr>
              <w:jc w:val="both"/>
              <w:rPr>
                <w:bCs/>
                <w:noProof/>
                <w:sz w:val="18"/>
                <w:szCs w:val="18"/>
                <w:lang w:val="en-US" w:eastAsia="en-US"/>
              </w:rPr>
            </w:pPr>
            <w:r w:rsidRPr="00433487">
              <w:rPr>
                <w:bCs/>
                <w:noProof/>
                <w:sz w:val="18"/>
                <w:szCs w:val="18"/>
                <w:lang w:val="en-US" w:eastAsia="en-US"/>
              </w:rPr>
              <w:t xml:space="preserve">A team of consultants (1 international and 1 national consultant) was recruited </w:t>
            </w:r>
            <w:r w:rsidR="00102D9F">
              <w:rPr>
                <w:bCs/>
                <w:noProof/>
                <w:sz w:val="18"/>
                <w:szCs w:val="18"/>
                <w:lang w:val="en-US" w:eastAsia="en-US"/>
              </w:rPr>
              <w:t xml:space="preserve">in October 2021 </w:t>
            </w:r>
            <w:r w:rsidRPr="00433487">
              <w:rPr>
                <w:bCs/>
                <w:noProof/>
                <w:sz w:val="18"/>
                <w:szCs w:val="18"/>
                <w:lang w:val="en-US" w:eastAsia="en-US"/>
              </w:rPr>
              <w:t xml:space="preserve">to provide technical assistance for the development of a strategy of Community Security/Proximity Police (SCPP) at sub-national level in Gabu- the selected place by the National Internal Security Authorities, with a focus on drug trafficking and transnational organized crime (DTOC) implications and in close collaboration with civil society, communities and law enforcement agents. Enhancing community security and social cohesion through a Police Proximity model approach is key for a safer environment based on participation, inclusion and dialogue. The work is ongoing through several consultations on line with the partners and authorities and it is expected to terminate at the </w:t>
            </w:r>
            <w:r w:rsidRPr="00433487">
              <w:rPr>
                <w:bCs/>
                <w:noProof/>
                <w:sz w:val="18"/>
                <w:szCs w:val="18"/>
                <w:lang w:val="en-US" w:eastAsia="en-US"/>
              </w:rPr>
              <w:lastRenderedPageBreak/>
              <w:t>beginning of next year. (Activity 1.3.2)</w:t>
            </w:r>
          </w:p>
        </w:tc>
        <w:tc>
          <w:tcPr>
            <w:tcW w:w="3197" w:type="dxa"/>
            <w:shd w:val="clear" w:color="auto" w:fill="FFFFFF" w:themeFill="background1"/>
          </w:tcPr>
          <w:p w14:paraId="719A1EA1" w14:textId="77777777" w:rsidR="00DE53F3" w:rsidRPr="005F0F5A" w:rsidRDefault="00DE53F3" w:rsidP="002F42B8">
            <w:pPr>
              <w:rPr>
                <w:bCs/>
                <w:noProof/>
                <w:sz w:val="20"/>
                <w:szCs w:val="20"/>
                <w:lang w:val="en-US" w:eastAsia="en-US"/>
              </w:rPr>
            </w:pPr>
          </w:p>
        </w:tc>
      </w:tr>
      <w:tr w:rsidR="00DE53F3" w:rsidRPr="000F3A4F" w14:paraId="7E30DC41" w14:textId="77777777" w:rsidTr="00131DC2">
        <w:trPr>
          <w:trHeight w:val="422"/>
        </w:trPr>
        <w:tc>
          <w:tcPr>
            <w:tcW w:w="1799" w:type="dxa"/>
            <w:vMerge/>
            <w:shd w:val="clear" w:color="auto" w:fill="FFFFFF" w:themeFill="background1"/>
          </w:tcPr>
          <w:p w14:paraId="537F7EE9" w14:textId="77777777" w:rsidR="00DE53F3" w:rsidRPr="000F3A4F" w:rsidRDefault="00DE53F3" w:rsidP="002F42B8">
            <w:pPr>
              <w:rPr>
                <w:bCs/>
                <w:noProof/>
                <w:sz w:val="20"/>
                <w:szCs w:val="20"/>
                <w:lang w:val="en-US" w:eastAsia="en-US"/>
              </w:rPr>
            </w:pPr>
          </w:p>
        </w:tc>
        <w:tc>
          <w:tcPr>
            <w:tcW w:w="2313" w:type="dxa"/>
            <w:shd w:val="clear" w:color="auto" w:fill="EEECE1"/>
          </w:tcPr>
          <w:p w14:paraId="3729869C" w14:textId="3907A1CE" w:rsidR="00DE53F3" w:rsidRDefault="00DE53F3" w:rsidP="00DE53F3">
            <w:pPr>
              <w:jc w:val="both"/>
              <w:rPr>
                <w:b/>
                <w:bCs/>
                <w:noProof/>
                <w:sz w:val="20"/>
                <w:szCs w:val="20"/>
                <w:lang w:val="en-US" w:eastAsia="en-US"/>
              </w:rPr>
            </w:pPr>
            <w:r>
              <w:rPr>
                <w:b/>
                <w:bCs/>
                <w:noProof/>
                <w:sz w:val="20"/>
                <w:szCs w:val="20"/>
                <w:lang w:val="en-US" w:eastAsia="en-US"/>
              </w:rPr>
              <w:t>Indicator 1.3.3</w:t>
            </w:r>
          </w:p>
          <w:p w14:paraId="5D34913A" w14:textId="5EF3968C" w:rsidR="00DE53F3" w:rsidRPr="00472C15" w:rsidRDefault="00423B22" w:rsidP="00DE53F3">
            <w:pPr>
              <w:jc w:val="both"/>
              <w:rPr>
                <w:bCs/>
                <w:noProof/>
                <w:sz w:val="20"/>
                <w:szCs w:val="20"/>
                <w:lang w:val="en-US" w:eastAsia="en-US"/>
              </w:rPr>
            </w:pPr>
            <w:r w:rsidRPr="00423B22">
              <w:rPr>
                <w:bCs/>
                <w:noProof/>
                <w:sz w:val="20"/>
                <w:szCs w:val="20"/>
                <w:lang w:val="en-US" w:eastAsia="en-US"/>
              </w:rPr>
              <w:t>Number of reports on CDTOC produced by CSOs</w:t>
            </w:r>
          </w:p>
        </w:tc>
        <w:tc>
          <w:tcPr>
            <w:tcW w:w="1843" w:type="dxa"/>
            <w:shd w:val="clear" w:color="auto" w:fill="EEECE1"/>
          </w:tcPr>
          <w:p w14:paraId="44B43D14" w14:textId="7D8F6216" w:rsidR="00DE53F3" w:rsidRDefault="00975512" w:rsidP="002F42B8">
            <w:pPr>
              <w:rPr>
                <w:bCs/>
                <w:noProof/>
                <w:sz w:val="20"/>
                <w:szCs w:val="20"/>
                <w:lang w:val="en-US" w:eastAsia="en-US"/>
              </w:rPr>
            </w:pPr>
            <w:r>
              <w:rPr>
                <w:bCs/>
                <w:noProof/>
                <w:sz w:val="20"/>
                <w:szCs w:val="20"/>
                <w:lang w:val="en-US" w:eastAsia="en-US"/>
              </w:rPr>
              <w:t>0</w:t>
            </w:r>
          </w:p>
        </w:tc>
        <w:tc>
          <w:tcPr>
            <w:tcW w:w="2126" w:type="dxa"/>
            <w:shd w:val="clear" w:color="auto" w:fill="EEECE1"/>
          </w:tcPr>
          <w:p w14:paraId="51980E64" w14:textId="76AFB86A" w:rsidR="00DE53F3" w:rsidRDefault="00423B22" w:rsidP="002F42B8">
            <w:pPr>
              <w:rPr>
                <w:bCs/>
                <w:noProof/>
                <w:sz w:val="20"/>
                <w:szCs w:val="20"/>
                <w:lang w:val="en-US" w:eastAsia="en-US"/>
              </w:rPr>
            </w:pPr>
            <w:r>
              <w:rPr>
                <w:bCs/>
                <w:noProof/>
                <w:sz w:val="20"/>
                <w:szCs w:val="20"/>
                <w:lang w:val="en-US" w:eastAsia="en-US"/>
              </w:rPr>
              <w:t>1</w:t>
            </w:r>
          </w:p>
        </w:tc>
        <w:tc>
          <w:tcPr>
            <w:tcW w:w="1276" w:type="dxa"/>
            <w:shd w:val="clear" w:color="auto" w:fill="FFFFFF" w:themeFill="background1"/>
          </w:tcPr>
          <w:p w14:paraId="516D0245" w14:textId="77777777" w:rsidR="00DE53F3" w:rsidRPr="000F3A4F" w:rsidRDefault="00DE53F3" w:rsidP="002F42B8">
            <w:pPr>
              <w:rPr>
                <w:bCs/>
                <w:noProof/>
                <w:sz w:val="20"/>
                <w:szCs w:val="20"/>
                <w:lang w:val="en-US" w:eastAsia="en-US"/>
              </w:rPr>
            </w:pPr>
          </w:p>
        </w:tc>
        <w:tc>
          <w:tcPr>
            <w:tcW w:w="2835" w:type="dxa"/>
            <w:shd w:val="clear" w:color="auto" w:fill="FFFFFF" w:themeFill="background1"/>
          </w:tcPr>
          <w:p w14:paraId="5DFCF924" w14:textId="75FC3331" w:rsidR="00DE53F3" w:rsidRPr="00220482" w:rsidRDefault="00E64C90" w:rsidP="00E64C90">
            <w:pPr>
              <w:jc w:val="both"/>
              <w:rPr>
                <w:bCs/>
                <w:noProof/>
                <w:sz w:val="18"/>
                <w:szCs w:val="18"/>
                <w:lang w:val="en-US" w:eastAsia="en-US"/>
              </w:rPr>
            </w:pPr>
            <w:r w:rsidRPr="00220482">
              <w:rPr>
                <w:bCs/>
                <w:noProof/>
                <w:sz w:val="18"/>
                <w:szCs w:val="18"/>
                <w:lang w:val="en-US" w:eastAsia="en-US"/>
              </w:rPr>
              <w:t>The ‘ Bissau community surveillance committee’ is in charge of production and dissemination of 1 report on CDTOC which is expected by the end of the year</w:t>
            </w:r>
          </w:p>
        </w:tc>
        <w:tc>
          <w:tcPr>
            <w:tcW w:w="3197" w:type="dxa"/>
            <w:shd w:val="clear" w:color="auto" w:fill="FFFFFF" w:themeFill="background1"/>
          </w:tcPr>
          <w:p w14:paraId="4CEEBF61" w14:textId="6744DEED" w:rsidR="00DE53F3" w:rsidRPr="005F0F5A" w:rsidRDefault="00DE53F3" w:rsidP="002F42B8">
            <w:pPr>
              <w:rPr>
                <w:bCs/>
                <w:noProof/>
                <w:sz w:val="20"/>
                <w:szCs w:val="20"/>
                <w:lang w:val="en-US" w:eastAsia="en-US"/>
              </w:rPr>
            </w:pPr>
          </w:p>
        </w:tc>
      </w:tr>
      <w:tr w:rsidR="00DE53F3" w:rsidRPr="000F3A4F" w14:paraId="319679F3" w14:textId="77777777" w:rsidTr="00131DC2">
        <w:trPr>
          <w:trHeight w:val="422"/>
        </w:trPr>
        <w:tc>
          <w:tcPr>
            <w:tcW w:w="1799" w:type="dxa"/>
            <w:vMerge/>
            <w:shd w:val="clear" w:color="auto" w:fill="FFFFFF" w:themeFill="background1"/>
          </w:tcPr>
          <w:p w14:paraId="5C624B56" w14:textId="77777777" w:rsidR="00DE53F3" w:rsidRPr="000F3A4F" w:rsidRDefault="00DE53F3" w:rsidP="002F42B8">
            <w:pPr>
              <w:rPr>
                <w:bCs/>
                <w:noProof/>
                <w:sz w:val="20"/>
                <w:szCs w:val="20"/>
                <w:lang w:val="en-US" w:eastAsia="en-US"/>
              </w:rPr>
            </w:pPr>
          </w:p>
        </w:tc>
        <w:tc>
          <w:tcPr>
            <w:tcW w:w="2313" w:type="dxa"/>
            <w:shd w:val="clear" w:color="auto" w:fill="EEECE1"/>
          </w:tcPr>
          <w:p w14:paraId="7A1A989B" w14:textId="45F22B9D" w:rsidR="00DE53F3" w:rsidRPr="00DE53F3" w:rsidRDefault="00DE53F3" w:rsidP="00DE53F3">
            <w:pPr>
              <w:jc w:val="both"/>
              <w:rPr>
                <w:b/>
                <w:bCs/>
                <w:noProof/>
                <w:sz w:val="20"/>
                <w:szCs w:val="20"/>
                <w:lang w:val="en-US" w:eastAsia="en-US"/>
              </w:rPr>
            </w:pPr>
            <w:r>
              <w:rPr>
                <w:b/>
                <w:bCs/>
                <w:noProof/>
                <w:sz w:val="20"/>
                <w:szCs w:val="20"/>
                <w:lang w:val="en-US" w:eastAsia="en-US"/>
              </w:rPr>
              <w:t>Indicator 1.3.4</w:t>
            </w:r>
          </w:p>
          <w:p w14:paraId="41F11CE6" w14:textId="71B6C1CA" w:rsidR="00DE53F3" w:rsidRPr="00423B22" w:rsidRDefault="00DE53F3" w:rsidP="00423B22">
            <w:pPr>
              <w:jc w:val="both"/>
              <w:rPr>
                <w:bCs/>
                <w:noProof/>
                <w:sz w:val="20"/>
                <w:szCs w:val="20"/>
                <w:lang w:val="en-US" w:eastAsia="en-US"/>
              </w:rPr>
            </w:pPr>
            <w:r w:rsidRPr="00423B22">
              <w:rPr>
                <w:bCs/>
                <w:noProof/>
                <w:sz w:val="20"/>
                <w:szCs w:val="20"/>
                <w:lang w:val="en-US" w:eastAsia="en-US"/>
              </w:rPr>
              <w:t xml:space="preserve">Number of </w:t>
            </w:r>
            <w:r w:rsidR="00423B22" w:rsidRPr="00423B22">
              <w:rPr>
                <w:bCs/>
                <w:noProof/>
                <w:sz w:val="20"/>
                <w:szCs w:val="20"/>
                <w:lang w:val="en-US" w:eastAsia="en-US"/>
              </w:rPr>
              <w:t>Djumbais with community on the impact  of DTOC in the society , including  women and youth , in different regions</w:t>
            </w:r>
          </w:p>
        </w:tc>
        <w:tc>
          <w:tcPr>
            <w:tcW w:w="1843" w:type="dxa"/>
            <w:shd w:val="clear" w:color="auto" w:fill="EEECE1"/>
          </w:tcPr>
          <w:p w14:paraId="59EE8AA8" w14:textId="6CF2F81E" w:rsidR="00DE53F3" w:rsidRDefault="00975512" w:rsidP="002F42B8">
            <w:pPr>
              <w:rPr>
                <w:bCs/>
                <w:noProof/>
                <w:sz w:val="20"/>
                <w:szCs w:val="20"/>
                <w:lang w:val="en-US" w:eastAsia="en-US"/>
              </w:rPr>
            </w:pPr>
            <w:r>
              <w:rPr>
                <w:bCs/>
                <w:noProof/>
                <w:sz w:val="20"/>
                <w:szCs w:val="20"/>
                <w:lang w:val="en-US" w:eastAsia="en-US"/>
              </w:rPr>
              <w:t>0</w:t>
            </w:r>
          </w:p>
        </w:tc>
        <w:tc>
          <w:tcPr>
            <w:tcW w:w="2126" w:type="dxa"/>
            <w:shd w:val="clear" w:color="auto" w:fill="EEECE1"/>
          </w:tcPr>
          <w:p w14:paraId="2F4A2679" w14:textId="2AED7120" w:rsidR="00DE53F3" w:rsidRDefault="00423B22" w:rsidP="002F42B8">
            <w:pPr>
              <w:rPr>
                <w:bCs/>
                <w:noProof/>
                <w:sz w:val="20"/>
                <w:szCs w:val="20"/>
                <w:lang w:val="en-US" w:eastAsia="en-US"/>
              </w:rPr>
            </w:pPr>
            <w:r>
              <w:rPr>
                <w:bCs/>
                <w:noProof/>
                <w:sz w:val="20"/>
                <w:szCs w:val="20"/>
                <w:lang w:val="en-US" w:eastAsia="en-US"/>
              </w:rPr>
              <w:t>5</w:t>
            </w:r>
          </w:p>
        </w:tc>
        <w:tc>
          <w:tcPr>
            <w:tcW w:w="1276" w:type="dxa"/>
            <w:shd w:val="clear" w:color="auto" w:fill="FFFFFF" w:themeFill="background1"/>
          </w:tcPr>
          <w:p w14:paraId="4AB2C8D2" w14:textId="77777777" w:rsidR="00DE53F3" w:rsidRPr="000F3A4F" w:rsidRDefault="00DE53F3" w:rsidP="002F42B8">
            <w:pPr>
              <w:rPr>
                <w:bCs/>
                <w:noProof/>
                <w:sz w:val="20"/>
                <w:szCs w:val="20"/>
                <w:lang w:val="en-US" w:eastAsia="en-US"/>
              </w:rPr>
            </w:pPr>
          </w:p>
        </w:tc>
        <w:tc>
          <w:tcPr>
            <w:tcW w:w="2835" w:type="dxa"/>
            <w:shd w:val="clear" w:color="auto" w:fill="FFFFFF" w:themeFill="background1"/>
          </w:tcPr>
          <w:p w14:paraId="47CF0A76" w14:textId="667E8ED5" w:rsidR="00DE53F3" w:rsidRPr="00220482" w:rsidRDefault="00284593" w:rsidP="00284593">
            <w:pPr>
              <w:jc w:val="both"/>
              <w:rPr>
                <w:bCs/>
                <w:noProof/>
                <w:sz w:val="18"/>
                <w:szCs w:val="18"/>
                <w:lang w:val="en-US" w:eastAsia="en-US"/>
              </w:rPr>
            </w:pPr>
            <w:r w:rsidRPr="00220482">
              <w:rPr>
                <w:bCs/>
                <w:noProof/>
                <w:sz w:val="18"/>
                <w:szCs w:val="18"/>
                <w:lang w:val="en-US" w:eastAsia="en-US"/>
              </w:rPr>
              <w:t>The "Sol Mansi" project funded by the Project and Global Initiative, and executed by the NGO ENDA delivered five community dialogues' workshops with 90 influential and opinion leaders in all the 8 regions of the country, on combating money laundering and on risk reduction policies in minimizing damage related to drug trafficking and consumption.</w:t>
            </w:r>
          </w:p>
        </w:tc>
        <w:tc>
          <w:tcPr>
            <w:tcW w:w="3197" w:type="dxa"/>
            <w:shd w:val="clear" w:color="auto" w:fill="FFFFFF" w:themeFill="background1"/>
          </w:tcPr>
          <w:p w14:paraId="6CD13977" w14:textId="7EA6ED04" w:rsidR="00DE53F3" w:rsidRPr="005F0F5A" w:rsidRDefault="00DE53F3" w:rsidP="002F42B8">
            <w:pPr>
              <w:rPr>
                <w:bCs/>
                <w:noProof/>
                <w:sz w:val="20"/>
                <w:szCs w:val="20"/>
                <w:lang w:val="en-US" w:eastAsia="en-US"/>
              </w:rPr>
            </w:pPr>
          </w:p>
        </w:tc>
      </w:tr>
      <w:tr w:rsidR="00DE53F3" w:rsidRPr="000F3A4F" w14:paraId="4386CA17" w14:textId="77777777" w:rsidTr="00131DC2">
        <w:trPr>
          <w:trHeight w:val="422"/>
        </w:trPr>
        <w:tc>
          <w:tcPr>
            <w:tcW w:w="1799" w:type="dxa"/>
            <w:vMerge/>
            <w:shd w:val="clear" w:color="auto" w:fill="FFFFFF" w:themeFill="background1"/>
          </w:tcPr>
          <w:p w14:paraId="0E699D57" w14:textId="77777777" w:rsidR="00DE53F3" w:rsidRPr="000F3A4F" w:rsidRDefault="00DE53F3" w:rsidP="002F42B8">
            <w:pPr>
              <w:rPr>
                <w:bCs/>
                <w:noProof/>
                <w:sz w:val="20"/>
                <w:szCs w:val="20"/>
                <w:lang w:val="en-US" w:eastAsia="en-US"/>
              </w:rPr>
            </w:pPr>
          </w:p>
        </w:tc>
        <w:tc>
          <w:tcPr>
            <w:tcW w:w="2313" w:type="dxa"/>
            <w:shd w:val="clear" w:color="auto" w:fill="EEECE1"/>
          </w:tcPr>
          <w:p w14:paraId="4BF56B89" w14:textId="15F376E0" w:rsidR="00DE53F3" w:rsidRPr="00DE53F3" w:rsidRDefault="00DE53F3" w:rsidP="00DE53F3">
            <w:pPr>
              <w:jc w:val="both"/>
              <w:rPr>
                <w:b/>
                <w:bCs/>
                <w:noProof/>
                <w:sz w:val="20"/>
                <w:szCs w:val="20"/>
                <w:lang w:val="en-US" w:eastAsia="en-US"/>
              </w:rPr>
            </w:pPr>
            <w:r>
              <w:rPr>
                <w:b/>
                <w:bCs/>
                <w:noProof/>
                <w:sz w:val="20"/>
                <w:szCs w:val="20"/>
                <w:lang w:val="en-US" w:eastAsia="en-US"/>
              </w:rPr>
              <w:t>Indicator 1.3.5</w:t>
            </w:r>
          </w:p>
          <w:p w14:paraId="04C5D299" w14:textId="06D2A6E3" w:rsidR="00DE53F3" w:rsidRPr="00423B22" w:rsidRDefault="00DE53F3" w:rsidP="00423B22">
            <w:pPr>
              <w:jc w:val="both"/>
              <w:rPr>
                <w:bCs/>
                <w:noProof/>
                <w:sz w:val="20"/>
                <w:szCs w:val="20"/>
                <w:lang w:val="en-US" w:eastAsia="en-US"/>
              </w:rPr>
            </w:pPr>
            <w:r w:rsidRPr="00423B22">
              <w:rPr>
                <w:bCs/>
                <w:noProof/>
                <w:sz w:val="20"/>
                <w:szCs w:val="20"/>
                <w:lang w:val="en-US" w:eastAsia="en-US"/>
              </w:rPr>
              <w:t xml:space="preserve">Number of </w:t>
            </w:r>
            <w:r w:rsidR="00423B22" w:rsidRPr="00423B22">
              <w:rPr>
                <w:bCs/>
                <w:noProof/>
                <w:sz w:val="20"/>
                <w:szCs w:val="20"/>
                <w:lang w:val="en-US" w:eastAsia="en-US"/>
              </w:rPr>
              <w:t>structured  parliamentary debates, enhancing  aw</w:t>
            </w:r>
            <w:r w:rsidR="00423B22">
              <w:rPr>
                <w:bCs/>
                <w:noProof/>
                <w:sz w:val="20"/>
                <w:szCs w:val="20"/>
                <w:lang w:val="en-US" w:eastAsia="en-US"/>
              </w:rPr>
              <w:t>areness and capacity of Parliamentarians  in the</w:t>
            </w:r>
            <w:r w:rsidR="00423B22" w:rsidRPr="00423B22">
              <w:rPr>
                <w:bCs/>
                <w:noProof/>
                <w:sz w:val="20"/>
                <w:szCs w:val="20"/>
                <w:lang w:val="en-US" w:eastAsia="en-US"/>
              </w:rPr>
              <w:t>ir deliberations of drug trafficking</w:t>
            </w:r>
            <w:r w:rsidR="00487FB1">
              <w:rPr>
                <w:bCs/>
                <w:noProof/>
                <w:sz w:val="20"/>
                <w:szCs w:val="20"/>
                <w:lang w:val="en-US" w:eastAsia="en-US"/>
              </w:rPr>
              <w:t>/</w:t>
            </w:r>
            <w:r w:rsidR="00423B22" w:rsidRPr="00423B22">
              <w:rPr>
                <w:bCs/>
                <w:noProof/>
                <w:sz w:val="20"/>
                <w:szCs w:val="20"/>
                <w:lang w:val="en-US" w:eastAsia="en-US"/>
              </w:rPr>
              <w:t xml:space="preserve"> organized crime issues</w:t>
            </w:r>
          </w:p>
        </w:tc>
        <w:tc>
          <w:tcPr>
            <w:tcW w:w="1843" w:type="dxa"/>
            <w:shd w:val="clear" w:color="auto" w:fill="EEECE1"/>
          </w:tcPr>
          <w:p w14:paraId="5A58F3A8" w14:textId="77777777" w:rsidR="00DE53F3" w:rsidRDefault="00423B22" w:rsidP="002F42B8">
            <w:pPr>
              <w:rPr>
                <w:bCs/>
                <w:noProof/>
                <w:sz w:val="20"/>
                <w:szCs w:val="20"/>
                <w:lang w:val="en-US" w:eastAsia="en-US"/>
              </w:rPr>
            </w:pPr>
            <w:r>
              <w:rPr>
                <w:bCs/>
                <w:noProof/>
                <w:sz w:val="20"/>
                <w:szCs w:val="20"/>
                <w:lang w:val="en-US" w:eastAsia="en-US"/>
              </w:rPr>
              <w:t>0</w:t>
            </w:r>
          </w:p>
          <w:p w14:paraId="342CEFB4" w14:textId="21885FC8" w:rsidR="00487FB1" w:rsidRDefault="00487FB1" w:rsidP="002F42B8">
            <w:pPr>
              <w:rPr>
                <w:bCs/>
                <w:noProof/>
                <w:sz w:val="20"/>
                <w:szCs w:val="20"/>
                <w:lang w:val="en-US" w:eastAsia="en-US"/>
              </w:rPr>
            </w:pPr>
            <w:r>
              <w:rPr>
                <w:bCs/>
                <w:noProof/>
                <w:sz w:val="20"/>
                <w:szCs w:val="20"/>
                <w:lang w:val="en-US" w:eastAsia="en-US"/>
              </w:rPr>
              <w:t>No structured Parliamentary debates</w:t>
            </w:r>
          </w:p>
        </w:tc>
        <w:tc>
          <w:tcPr>
            <w:tcW w:w="2126" w:type="dxa"/>
            <w:shd w:val="clear" w:color="auto" w:fill="EEECE1"/>
          </w:tcPr>
          <w:p w14:paraId="07CF36C7" w14:textId="77777777" w:rsidR="00DE53F3" w:rsidRDefault="00423B22" w:rsidP="002F42B8">
            <w:pPr>
              <w:rPr>
                <w:bCs/>
                <w:noProof/>
                <w:sz w:val="20"/>
                <w:szCs w:val="20"/>
                <w:lang w:val="en-US" w:eastAsia="en-US"/>
              </w:rPr>
            </w:pPr>
            <w:r>
              <w:rPr>
                <w:bCs/>
                <w:noProof/>
                <w:sz w:val="20"/>
                <w:szCs w:val="20"/>
                <w:lang w:val="en-US" w:eastAsia="en-US"/>
              </w:rPr>
              <w:t>1</w:t>
            </w:r>
          </w:p>
          <w:p w14:paraId="3AF4A81A" w14:textId="33752FD5" w:rsidR="00487FB1" w:rsidRDefault="00487FB1" w:rsidP="002F42B8">
            <w:pPr>
              <w:rPr>
                <w:bCs/>
                <w:noProof/>
                <w:sz w:val="20"/>
                <w:szCs w:val="20"/>
                <w:lang w:val="en-US" w:eastAsia="en-US"/>
              </w:rPr>
            </w:pPr>
            <w:r>
              <w:rPr>
                <w:bCs/>
                <w:noProof/>
                <w:sz w:val="20"/>
                <w:szCs w:val="20"/>
                <w:lang w:val="en-US" w:eastAsia="en-US"/>
              </w:rPr>
              <w:t>At least one session in Parliament with an agenda item on DT/OC</w:t>
            </w:r>
          </w:p>
        </w:tc>
        <w:tc>
          <w:tcPr>
            <w:tcW w:w="1276" w:type="dxa"/>
            <w:shd w:val="clear" w:color="auto" w:fill="FFFFFF" w:themeFill="background1"/>
          </w:tcPr>
          <w:p w14:paraId="56E1D3DF" w14:textId="77777777" w:rsidR="00DE53F3" w:rsidRPr="000F3A4F" w:rsidRDefault="00DE53F3" w:rsidP="002F42B8">
            <w:pPr>
              <w:rPr>
                <w:bCs/>
                <w:noProof/>
                <w:sz w:val="20"/>
                <w:szCs w:val="20"/>
                <w:lang w:val="en-US" w:eastAsia="en-US"/>
              </w:rPr>
            </w:pPr>
          </w:p>
        </w:tc>
        <w:tc>
          <w:tcPr>
            <w:tcW w:w="2835" w:type="dxa"/>
            <w:shd w:val="clear" w:color="auto" w:fill="FFFFFF" w:themeFill="background1"/>
          </w:tcPr>
          <w:p w14:paraId="3089F777" w14:textId="3B02F0A3" w:rsidR="00DE53F3" w:rsidRPr="00220482" w:rsidRDefault="006A3131" w:rsidP="006A3131">
            <w:pPr>
              <w:jc w:val="both"/>
              <w:rPr>
                <w:bCs/>
                <w:noProof/>
                <w:sz w:val="18"/>
                <w:szCs w:val="18"/>
                <w:lang w:val="en-US" w:eastAsia="en-US"/>
              </w:rPr>
            </w:pPr>
            <w:r w:rsidRPr="00220482">
              <w:rPr>
                <w:bCs/>
                <w:noProof/>
                <w:sz w:val="18"/>
                <w:szCs w:val="18"/>
                <w:lang w:val="en-US" w:eastAsia="en-US"/>
              </w:rPr>
              <w:t>Building upon the outcome of a “National Dialogue” organized in November 2018 with the support of UNIOGBIS and UNODC, UNDP and UNODC are currently liaising with national State and Civil Society counterparts to convening a “National Dialogue II”  on Drug Trafficking  and Transnational Organized Crime during the first semester 2022.</w:t>
            </w:r>
          </w:p>
        </w:tc>
        <w:tc>
          <w:tcPr>
            <w:tcW w:w="3197" w:type="dxa"/>
            <w:shd w:val="clear" w:color="auto" w:fill="FFFFFF" w:themeFill="background1"/>
          </w:tcPr>
          <w:p w14:paraId="37E767D3" w14:textId="158F0166" w:rsidR="00DE53F3" w:rsidRPr="008165CA" w:rsidRDefault="00DE53F3" w:rsidP="006A3131">
            <w:pPr>
              <w:jc w:val="both"/>
              <w:rPr>
                <w:bCs/>
                <w:noProof/>
                <w:sz w:val="20"/>
                <w:szCs w:val="20"/>
                <w:lang w:eastAsia="en-US"/>
              </w:rPr>
            </w:pPr>
          </w:p>
        </w:tc>
      </w:tr>
      <w:tr w:rsidR="00DE53F3" w:rsidRPr="000F3A4F" w14:paraId="3C7C7CB1" w14:textId="77777777" w:rsidTr="00131DC2">
        <w:trPr>
          <w:trHeight w:val="422"/>
        </w:trPr>
        <w:tc>
          <w:tcPr>
            <w:tcW w:w="1799" w:type="dxa"/>
            <w:vMerge/>
            <w:shd w:val="clear" w:color="auto" w:fill="FFFFFF" w:themeFill="background1"/>
          </w:tcPr>
          <w:p w14:paraId="4B9BD947" w14:textId="77777777" w:rsidR="00DE53F3" w:rsidRPr="000F3A4F" w:rsidRDefault="00DE53F3" w:rsidP="002F42B8">
            <w:pPr>
              <w:rPr>
                <w:bCs/>
                <w:noProof/>
                <w:sz w:val="20"/>
                <w:szCs w:val="20"/>
                <w:lang w:val="en-US" w:eastAsia="en-US"/>
              </w:rPr>
            </w:pPr>
          </w:p>
        </w:tc>
        <w:tc>
          <w:tcPr>
            <w:tcW w:w="2313" w:type="dxa"/>
            <w:shd w:val="clear" w:color="auto" w:fill="EEECE1"/>
          </w:tcPr>
          <w:p w14:paraId="4C5A7C0A" w14:textId="662C3570" w:rsidR="00DE53F3" w:rsidRPr="00DE53F3" w:rsidRDefault="00DE53F3" w:rsidP="00DE53F3">
            <w:pPr>
              <w:jc w:val="both"/>
              <w:rPr>
                <w:b/>
                <w:bCs/>
                <w:noProof/>
                <w:sz w:val="20"/>
                <w:szCs w:val="20"/>
                <w:lang w:val="en-US" w:eastAsia="en-US"/>
              </w:rPr>
            </w:pPr>
            <w:r>
              <w:rPr>
                <w:b/>
                <w:bCs/>
                <w:noProof/>
                <w:sz w:val="20"/>
                <w:szCs w:val="20"/>
                <w:lang w:val="en-US" w:eastAsia="en-US"/>
              </w:rPr>
              <w:t>Indicator 1.3.6</w:t>
            </w:r>
          </w:p>
          <w:p w14:paraId="25C64718" w14:textId="69B5CFD2" w:rsidR="00487FB1" w:rsidRPr="00487FB1" w:rsidRDefault="00487FB1" w:rsidP="00DE53F3">
            <w:pPr>
              <w:jc w:val="both"/>
              <w:rPr>
                <w:b/>
                <w:bCs/>
                <w:noProof/>
                <w:sz w:val="17"/>
                <w:szCs w:val="17"/>
                <w:lang w:val="en-US" w:eastAsia="en-US"/>
              </w:rPr>
            </w:pPr>
            <w:r w:rsidRPr="00487FB1">
              <w:rPr>
                <w:bCs/>
                <w:noProof/>
                <w:sz w:val="17"/>
                <w:szCs w:val="17"/>
                <w:lang w:val="en-US" w:eastAsia="en-US"/>
              </w:rPr>
              <w:t>A national communication campaign on the conse</w:t>
            </w:r>
            <w:r w:rsidR="00C42DB3">
              <w:rPr>
                <w:bCs/>
                <w:noProof/>
                <w:sz w:val="17"/>
                <w:szCs w:val="17"/>
                <w:lang w:val="en-US" w:eastAsia="en-US"/>
              </w:rPr>
              <w:t xml:space="preserve">quences of drug trafficking in </w:t>
            </w:r>
            <w:r w:rsidRPr="00487FB1">
              <w:rPr>
                <w:bCs/>
                <w:noProof/>
                <w:sz w:val="17"/>
                <w:szCs w:val="17"/>
                <w:lang w:val="en-US" w:eastAsia="en-US"/>
              </w:rPr>
              <w:t>the society is organized in consultation with  civil</w:t>
            </w:r>
            <w:r w:rsidRPr="00487FB1">
              <w:rPr>
                <w:b/>
                <w:bCs/>
                <w:noProof/>
                <w:sz w:val="17"/>
                <w:szCs w:val="17"/>
                <w:lang w:val="en-US" w:eastAsia="en-US"/>
              </w:rPr>
              <w:t xml:space="preserve"> </w:t>
            </w:r>
            <w:r w:rsidRPr="00C42DB3">
              <w:rPr>
                <w:bCs/>
                <w:noProof/>
                <w:sz w:val="17"/>
                <w:szCs w:val="17"/>
                <w:lang w:val="en-US" w:eastAsia="en-US"/>
              </w:rPr>
              <w:t>society</w:t>
            </w:r>
            <w:r w:rsidRPr="00487FB1">
              <w:rPr>
                <w:b/>
                <w:bCs/>
                <w:noProof/>
                <w:sz w:val="17"/>
                <w:szCs w:val="17"/>
                <w:lang w:val="en-US" w:eastAsia="en-US"/>
              </w:rPr>
              <w:t xml:space="preserve"> </w:t>
            </w:r>
            <w:r w:rsidRPr="00487FB1">
              <w:rPr>
                <w:bCs/>
                <w:noProof/>
                <w:sz w:val="17"/>
                <w:szCs w:val="17"/>
                <w:lang w:val="en-US" w:eastAsia="en-US"/>
              </w:rPr>
              <w:t>organizations, in particular youth and wonmen groups</w:t>
            </w:r>
          </w:p>
          <w:p w14:paraId="34EB53E8" w14:textId="465565C6" w:rsidR="00487FB1" w:rsidRPr="00511566" w:rsidRDefault="00487FB1" w:rsidP="00DE53F3">
            <w:pPr>
              <w:jc w:val="both"/>
              <w:rPr>
                <w:b/>
                <w:bCs/>
                <w:noProof/>
                <w:sz w:val="20"/>
                <w:szCs w:val="20"/>
                <w:lang w:val="en-US" w:eastAsia="en-US"/>
              </w:rPr>
            </w:pPr>
          </w:p>
        </w:tc>
        <w:tc>
          <w:tcPr>
            <w:tcW w:w="1843" w:type="dxa"/>
            <w:shd w:val="clear" w:color="auto" w:fill="EEECE1"/>
          </w:tcPr>
          <w:p w14:paraId="42FEC053" w14:textId="31B8D96B" w:rsidR="00DE53F3" w:rsidRDefault="00487FB1" w:rsidP="002F42B8">
            <w:pPr>
              <w:rPr>
                <w:bCs/>
                <w:noProof/>
                <w:sz w:val="20"/>
                <w:szCs w:val="20"/>
                <w:lang w:val="en-US" w:eastAsia="en-US"/>
              </w:rPr>
            </w:pPr>
            <w:r>
              <w:rPr>
                <w:bCs/>
                <w:noProof/>
                <w:sz w:val="20"/>
                <w:szCs w:val="20"/>
                <w:lang w:val="en-US" w:eastAsia="en-US"/>
              </w:rPr>
              <w:t>0</w:t>
            </w:r>
          </w:p>
        </w:tc>
        <w:tc>
          <w:tcPr>
            <w:tcW w:w="2126" w:type="dxa"/>
            <w:shd w:val="clear" w:color="auto" w:fill="EEECE1"/>
          </w:tcPr>
          <w:p w14:paraId="27DB0505" w14:textId="77777777" w:rsidR="00DE53F3" w:rsidRPr="00A74888" w:rsidRDefault="00487FB1" w:rsidP="00A74888">
            <w:pPr>
              <w:jc w:val="both"/>
              <w:rPr>
                <w:bCs/>
                <w:noProof/>
                <w:sz w:val="16"/>
                <w:szCs w:val="16"/>
                <w:lang w:val="en-US" w:eastAsia="en-US"/>
              </w:rPr>
            </w:pPr>
            <w:r w:rsidRPr="00A74888">
              <w:rPr>
                <w:bCs/>
                <w:noProof/>
                <w:sz w:val="16"/>
                <w:szCs w:val="16"/>
                <w:lang w:val="en-US" w:eastAsia="en-US"/>
              </w:rPr>
              <w:t>1 Advocacy Strategy on CDTOC.</w:t>
            </w:r>
          </w:p>
          <w:p w14:paraId="1BDB195B" w14:textId="77777777" w:rsidR="00487FB1" w:rsidRPr="00A74888" w:rsidRDefault="00A74888" w:rsidP="00A74888">
            <w:pPr>
              <w:jc w:val="both"/>
              <w:rPr>
                <w:bCs/>
                <w:noProof/>
                <w:sz w:val="16"/>
                <w:szCs w:val="16"/>
                <w:lang w:val="en-US" w:eastAsia="en-US"/>
              </w:rPr>
            </w:pPr>
            <w:r w:rsidRPr="00A74888">
              <w:rPr>
                <w:bCs/>
                <w:noProof/>
                <w:sz w:val="16"/>
                <w:szCs w:val="16"/>
                <w:lang w:val="en-US" w:eastAsia="en-US"/>
              </w:rPr>
              <w:t>-</w:t>
            </w:r>
            <w:r w:rsidR="00487FB1" w:rsidRPr="00A74888">
              <w:rPr>
                <w:bCs/>
                <w:noProof/>
                <w:sz w:val="16"/>
                <w:szCs w:val="16"/>
                <w:lang w:val="en-US" w:eastAsia="en-US"/>
              </w:rPr>
              <w:t>The communities are aware  of the real  risk/me</w:t>
            </w:r>
            <w:r w:rsidRPr="00A74888">
              <w:rPr>
                <w:bCs/>
                <w:noProof/>
                <w:sz w:val="16"/>
                <w:szCs w:val="16"/>
                <w:lang w:val="en-US" w:eastAsia="en-US"/>
              </w:rPr>
              <w:t>nace of drug traffi</w:t>
            </w:r>
            <w:r w:rsidR="00487FB1" w:rsidRPr="00A74888">
              <w:rPr>
                <w:bCs/>
                <w:noProof/>
                <w:sz w:val="16"/>
                <w:szCs w:val="16"/>
                <w:lang w:val="en-US" w:eastAsia="en-US"/>
              </w:rPr>
              <w:t>cking</w:t>
            </w:r>
            <w:r w:rsidRPr="00A74888">
              <w:rPr>
                <w:bCs/>
                <w:noProof/>
                <w:sz w:val="16"/>
                <w:szCs w:val="16"/>
                <w:lang w:val="en-US" w:eastAsia="en-US"/>
              </w:rPr>
              <w:t xml:space="preserve"> on the social cohesion</w:t>
            </w:r>
          </w:p>
          <w:p w14:paraId="42251036" w14:textId="28C920B4" w:rsidR="00A74888" w:rsidRPr="00A74888" w:rsidRDefault="00A74888" w:rsidP="00A74888">
            <w:pPr>
              <w:jc w:val="both"/>
              <w:rPr>
                <w:bCs/>
                <w:noProof/>
                <w:sz w:val="16"/>
                <w:szCs w:val="16"/>
                <w:lang w:val="en-US" w:eastAsia="en-US"/>
              </w:rPr>
            </w:pPr>
            <w:r w:rsidRPr="00A74888">
              <w:rPr>
                <w:bCs/>
                <w:noProof/>
                <w:sz w:val="16"/>
                <w:szCs w:val="16"/>
                <w:lang w:val="en-US" w:eastAsia="en-US"/>
              </w:rPr>
              <w:t>-At least one CSOs forum convened  by end of the project cycle</w:t>
            </w:r>
          </w:p>
        </w:tc>
        <w:tc>
          <w:tcPr>
            <w:tcW w:w="1276" w:type="dxa"/>
            <w:shd w:val="clear" w:color="auto" w:fill="FFFFFF" w:themeFill="background1"/>
          </w:tcPr>
          <w:p w14:paraId="22EBBC37" w14:textId="77777777" w:rsidR="00DE53F3" w:rsidRPr="000F3A4F" w:rsidRDefault="00DE53F3" w:rsidP="002F42B8">
            <w:pPr>
              <w:rPr>
                <w:bCs/>
                <w:noProof/>
                <w:sz w:val="20"/>
                <w:szCs w:val="20"/>
                <w:lang w:val="en-US" w:eastAsia="en-US"/>
              </w:rPr>
            </w:pPr>
          </w:p>
        </w:tc>
        <w:tc>
          <w:tcPr>
            <w:tcW w:w="2835" w:type="dxa"/>
            <w:shd w:val="clear" w:color="auto" w:fill="FFFFFF" w:themeFill="background1"/>
          </w:tcPr>
          <w:p w14:paraId="5E9D0C35" w14:textId="77777777" w:rsidR="000E7142" w:rsidRPr="00D5296E" w:rsidRDefault="00E5125F" w:rsidP="000E7142">
            <w:pPr>
              <w:jc w:val="both"/>
              <w:rPr>
                <w:bCs/>
                <w:noProof/>
                <w:sz w:val="18"/>
                <w:szCs w:val="18"/>
                <w:lang w:val="en-US" w:eastAsia="en-US"/>
              </w:rPr>
            </w:pPr>
            <w:r w:rsidRPr="00D5296E">
              <w:rPr>
                <w:bCs/>
                <w:noProof/>
                <w:sz w:val="18"/>
                <w:szCs w:val="18"/>
                <w:lang w:val="en-US" w:eastAsia="en-US"/>
              </w:rPr>
              <w:t xml:space="preserve">Close to 2300 radio spots </w:t>
            </w:r>
            <w:r w:rsidR="000E7142" w:rsidRPr="00D5296E">
              <w:rPr>
                <w:bCs/>
                <w:noProof/>
                <w:sz w:val="18"/>
                <w:szCs w:val="18"/>
                <w:lang w:val="en-US" w:eastAsia="en-US"/>
              </w:rPr>
              <w:t>(messages on Money Laundering (BC) and</w:t>
            </w:r>
          </w:p>
          <w:p w14:paraId="48A0403A" w14:textId="5ADB946E" w:rsidR="00CC652A" w:rsidRPr="00D5296E" w:rsidRDefault="000E7142" w:rsidP="00631F14">
            <w:pPr>
              <w:jc w:val="both"/>
              <w:rPr>
                <w:bCs/>
                <w:noProof/>
                <w:sz w:val="18"/>
                <w:szCs w:val="18"/>
                <w:lang w:val="en-US" w:eastAsia="en-US"/>
              </w:rPr>
            </w:pPr>
            <w:r w:rsidRPr="00D5296E">
              <w:rPr>
                <w:bCs/>
                <w:noProof/>
                <w:sz w:val="18"/>
                <w:szCs w:val="18"/>
                <w:lang w:val="en-US" w:eastAsia="en-US"/>
              </w:rPr>
              <w:t xml:space="preserve">Risk reduction and harm minimization (RdRMD) linked to drug consumption and trafficking) </w:t>
            </w:r>
            <w:r w:rsidR="00E5125F" w:rsidRPr="00D5296E">
              <w:rPr>
                <w:bCs/>
                <w:noProof/>
                <w:sz w:val="18"/>
                <w:szCs w:val="18"/>
                <w:lang w:val="en-US" w:eastAsia="en-US"/>
              </w:rPr>
              <w:t>on national coverage and community radio and 1 radio debate with specialists have been realized</w:t>
            </w:r>
            <w:r w:rsidR="005074AC" w:rsidRPr="00D5296E">
              <w:rPr>
                <w:bCs/>
                <w:noProof/>
                <w:sz w:val="18"/>
                <w:szCs w:val="18"/>
                <w:lang w:val="en-US" w:eastAsia="en-US"/>
              </w:rPr>
              <w:t xml:space="preserve"> during the period </w:t>
            </w:r>
            <w:r w:rsidR="00530EAD" w:rsidRPr="00D5296E">
              <w:rPr>
                <w:bCs/>
                <w:noProof/>
                <w:sz w:val="18"/>
                <w:szCs w:val="18"/>
                <w:lang w:val="en-US" w:eastAsia="en-US"/>
              </w:rPr>
              <w:t xml:space="preserve">March-November </w:t>
            </w:r>
            <w:r w:rsidR="00530EAD" w:rsidRPr="00D5296E">
              <w:rPr>
                <w:bCs/>
                <w:noProof/>
                <w:sz w:val="18"/>
                <w:szCs w:val="18"/>
                <w:lang w:val="en-US" w:eastAsia="en-US"/>
              </w:rPr>
              <w:lastRenderedPageBreak/>
              <w:t>2021</w:t>
            </w:r>
            <w:r w:rsidRPr="00D5296E">
              <w:rPr>
                <w:sz w:val="18"/>
                <w:szCs w:val="18"/>
                <w:lang w:val="en-US"/>
              </w:rPr>
              <w:t xml:space="preserve"> </w:t>
            </w:r>
            <w:r w:rsidR="00404687" w:rsidRPr="00D5296E">
              <w:rPr>
                <w:bCs/>
                <w:noProof/>
                <w:sz w:val="18"/>
                <w:szCs w:val="18"/>
                <w:lang w:val="en-US" w:eastAsia="en-US"/>
              </w:rPr>
              <w:t xml:space="preserve">in </w:t>
            </w:r>
            <w:r w:rsidR="00520460" w:rsidRPr="00D5296E">
              <w:rPr>
                <w:bCs/>
                <w:noProof/>
                <w:sz w:val="18"/>
                <w:szCs w:val="18"/>
                <w:lang w:val="en-US" w:eastAsia="en-US"/>
              </w:rPr>
              <w:t xml:space="preserve">Canhungo (north west), Gabu (east) and Buba and Bijagos Islands (south) </w:t>
            </w:r>
          </w:p>
        </w:tc>
        <w:tc>
          <w:tcPr>
            <w:tcW w:w="3197" w:type="dxa"/>
            <w:shd w:val="clear" w:color="auto" w:fill="FFFFFF" w:themeFill="background1"/>
          </w:tcPr>
          <w:p w14:paraId="46CCDE64" w14:textId="7407BC69" w:rsidR="00DE53F3" w:rsidRPr="005F0F5A" w:rsidRDefault="00DE53F3" w:rsidP="00D5296E">
            <w:pPr>
              <w:jc w:val="both"/>
              <w:rPr>
                <w:bCs/>
                <w:noProof/>
                <w:sz w:val="20"/>
                <w:szCs w:val="20"/>
                <w:lang w:val="en-US" w:eastAsia="en-US"/>
              </w:rPr>
            </w:pPr>
          </w:p>
        </w:tc>
      </w:tr>
      <w:tr w:rsidR="00487FB1" w:rsidRPr="00D5296E" w14:paraId="701FC6C8" w14:textId="77777777" w:rsidTr="00131DC2">
        <w:trPr>
          <w:trHeight w:val="2133"/>
        </w:trPr>
        <w:tc>
          <w:tcPr>
            <w:tcW w:w="1799" w:type="dxa"/>
            <w:vMerge w:val="restart"/>
            <w:tcBorders>
              <w:top w:val="single" w:sz="4" w:space="0" w:color="auto"/>
            </w:tcBorders>
            <w:shd w:val="clear" w:color="auto" w:fill="FFFFFF" w:themeFill="background1"/>
          </w:tcPr>
          <w:p w14:paraId="12FA95DC" w14:textId="185C5514" w:rsidR="00487FB1" w:rsidRPr="008165CA" w:rsidRDefault="00487FB1" w:rsidP="00423B22">
            <w:pPr>
              <w:rPr>
                <w:b/>
                <w:bCs/>
                <w:noProof/>
                <w:sz w:val="18"/>
                <w:szCs w:val="18"/>
                <w:lang w:val="en-US" w:eastAsia="en-US"/>
              </w:rPr>
            </w:pPr>
            <w:r w:rsidRPr="008165CA">
              <w:rPr>
                <w:b/>
                <w:bCs/>
                <w:noProof/>
                <w:sz w:val="18"/>
                <w:szCs w:val="18"/>
                <w:lang w:val="en-US" w:eastAsia="en-US"/>
              </w:rPr>
              <w:t>Output 1.3</w:t>
            </w:r>
          </w:p>
          <w:p w14:paraId="3253D085" w14:textId="77777777" w:rsidR="00487FB1" w:rsidRPr="008165CA" w:rsidRDefault="00487FB1" w:rsidP="00423B22">
            <w:pPr>
              <w:rPr>
                <w:b/>
                <w:bCs/>
                <w:noProof/>
                <w:sz w:val="18"/>
                <w:szCs w:val="18"/>
                <w:lang w:val="en-US" w:eastAsia="en-US"/>
              </w:rPr>
            </w:pPr>
          </w:p>
          <w:p w14:paraId="54734F9D" w14:textId="77777777" w:rsidR="00487FB1" w:rsidRPr="008165CA" w:rsidRDefault="00487FB1" w:rsidP="006D76EF">
            <w:pPr>
              <w:jc w:val="both"/>
              <w:rPr>
                <w:b/>
                <w:bCs/>
                <w:noProof/>
                <w:sz w:val="18"/>
                <w:szCs w:val="18"/>
                <w:lang w:val="en-US" w:eastAsia="en-US"/>
              </w:rPr>
            </w:pPr>
            <w:r w:rsidRPr="008165CA">
              <w:rPr>
                <w:b/>
                <w:bCs/>
                <w:noProof/>
                <w:sz w:val="18"/>
                <w:szCs w:val="18"/>
                <w:lang w:val="en-US" w:eastAsia="en-US"/>
              </w:rPr>
              <w:t>Democratic governance and civilian oversight over the security practices and institutions responsible to combat drug trafficking and transnational organized crime is enhanced.</w:t>
            </w:r>
          </w:p>
          <w:p w14:paraId="38C8C37B" w14:textId="77777777" w:rsidR="00487FB1" w:rsidRPr="008165CA" w:rsidRDefault="00487FB1" w:rsidP="00423B22">
            <w:pPr>
              <w:rPr>
                <w:bCs/>
                <w:noProof/>
                <w:sz w:val="18"/>
                <w:szCs w:val="18"/>
                <w:lang w:val="en-US" w:eastAsia="en-US"/>
              </w:rPr>
            </w:pPr>
          </w:p>
        </w:tc>
        <w:tc>
          <w:tcPr>
            <w:tcW w:w="2313" w:type="dxa"/>
            <w:tcBorders>
              <w:top w:val="single" w:sz="4" w:space="0" w:color="auto"/>
            </w:tcBorders>
            <w:shd w:val="clear" w:color="auto" w:fill="EEECE1"/>
          </w:tcPr>
          <w:p w14:paraId="48475E77" w14:textId="77777777" w:rsidR="00487FB1" w:rsidRPr="008165CA" w:rsidRDefault="00487FB1" w:rsidP="00AB78C9">
            <w:pPr>
              <w:jc w:val="both"/>
              <w:rPr>
                <w:b/>
                <w:bCs/>
                <w:noProof/>
                <w:sz w:val="18"/>
                <w:szCs w:val="18"/>
                <w:lang w:val="en-US" w:eastAsia="en-US"/>
              </w:rPr>
            </w:pPr>
            <w:r w:rsidRPr="008165CA">
              <w:rPr>
                <w:b/>
                <w:bCs/>
                <w:noProof/>
                <w:sz w:val="18"/>
                <w:szCs w:val="18"/>
                <w:lang w:val="en-US" w:eastAsia="en-US"/>
              </w:rPr>
              <w:t>Indicator 1.3.7</w:t>
            </w:r>
          </w:p>
          <w:p w14:paraId="090005AD" w14:textId="7BAAC723" w:rsidR="00A74888" w:rsidRPr="008165CA" w:rsidRDefault="00C42DB3" w:rsidP="00AB78C9">
            <w:pPr>
              <w:jc w:val="both"/>
              <w:rPr>
                <w:bCs/>
                <w:noProof/>
                <w:sz w:val="18"/>
                <w:szCs w:val="18"/>
                <w:lang w:val="en-US" w:eastAsia="en-US"/>
              </w:rPr>
            </w:pPr>
            <w:r w:rsidRPr="008165CA">
              <w:rPr>
                <w:bCs/>
                <w:noProof/>
                <w:sz w:val="18"/>
                <w:szCs w:val="18"/>
                <w:lang w:val="en-US" w:eastAsia="en-US"/>
              </w:rPr>
              <w:t>Number of early warning system based on existing vigilance committees and CSOs networks in the regions for early detection and prevention of possible cases human trafficking</w:t>
            </w:r>
          </w:p>
        </w:tc>
        <w:tc>
          <w:tcPr>
            <w:tcW w:w="1843" w:type="dxa"/>
            <w:tcBorders>
              <w:top w:val="single" w:sz="4" w:space="0" w:color="auto"/>
            </w:tcBorders>
            <w:shd w:val="clear" w:color="auto" w:fill="EEECE1"/>
          </w:tcPr>
          <w:p w14:paraId="60E675F8" w14:textId="131FC1ED" w:rsidR="00487FB1" w:rsidRPr="008165CA" w:rsidRDefault="00487FB1" w:rsidP="00AB78C9">
            <w:pPr>
              <w:jc w:val="both"/>
              <w:rPr>
                <w:bCs/>
                <w:noProof/>
                <w:sz w:val="18"/>
                <w:szCs w:val="18"/>
                <w:lang w:val="en-US" w:eastAsia="en-US"/>
              </w:rPr>
            </w:pPr>
            <w:r w:rsidRPr="008165CA">
              <w:rPr>
                <w:bCs/>
                <w:noProof/>
                <w:sz w:val="18"/>
                <w:szCs w:val="18"/>
                <w:lang w:val="en-US" w:eastAsia="en-US"/>
              </w:rPr>
              <w:t>0</w:t>
            </w:r>
          </w:p>
        </w:tc>
        <w:tc>
          <w:tcPr>
            <w:tcW w:w="2126" w:type="dxa"/>
            <w:tcBorders>
              <w:top w:val="single" w:sz="4" w:space="0" w:color="auto"/>
            </w:tcBorders>
            <w:shd w:val="clear" w:color="auto" w:fill="EEECE1"/>
          </w:tcPr>
          <w:p w14:paraId="044886CF" w14:textId="26D1E7E9" w:rsidR="00487FB1" w:rsidRPr="008165CA" w:rsidRDefault="00487FB1" w:rsidP="00AB78C9">
            <w:pPr>
              <w:jc w:val="both"/>
              <w:rPr>
                <w:bCs/>
                <w:noProof/>
                <w:sz w:val="18"/>
                <w:szCs w:val="18"/>
                <w:lang w:val="en-US" w:eastAsia="en-US"/>
              </w:rPr>
            </w:pPr>
            <w:r w:rsidRPr="008165CA">
              <w:rPr>
                <w:bCs/>
                <w:noProof/>
                <w:sz w:val="18"/>
                <w:szCs w:val="18"/>
                <w:lang w:val="en-US" w:eastAsia="en-US"/>
              </w:rPr>
              <w:t>1</w:t>
            </w:r>
          </w:p>
        </w:tc>
        <w:tc>
          <w:tcPr>
            <w:tcW w:w="1276" w:type="dxa"/>
            <w:tcBorders>
              <w:top w:val="single" w:sz="4" w:space="0" w:color="auto"/>
            </w:tcBorders>
            <w:shd w:val="clear" w:color="auto" w:fill="FFFFFF" w:themeFill="background1"/>
          </w:tcPr>
          <w:p w14:paraId="6D687343" w14:textId="77777777" w:rsidR="00487FB1" w:rsidRPr="008165CA" w:rsidRDefault="00487FB1" w:rsidP="002F42B8">
            <w:pPr>
              <w:rPr>
                <w:bCs/>
                <w:noProof/>
                <w:sz w:val="18"/>
                <w:szCs w:val="18"/>
                <w:lang w:val="en-US" w:eastAsia="en-US"/>
              </w:rPr>
            </w:pPr>
          </w:p>
        </w:tc>
        <w:tc>
          <w:tcPr>
            <w:tcW w:w="2835" w:type="dxa"/>
            <w:tcBorders>
              <w:top w:val="single" w:sz="4" w:space="0" w:color="auto"/>
            </w:tcBorders>
            <w:shd w:val="clear" w:color="auto" w:fill="FFFFFF" w:themeFill="background1"/>
          </w:tcPr>
          <w:p w14:paraId="5B1AB6CB" w14:textId="1060200C" w:rsidR="00487FB1" w:rsidRPr="008165CA" w:rsidRDefault="002172DE" w:rsidP="005C6FF7">
            <w:pPr>
              <w:jc w:val="both"/>
              <w:rPr>
                <w:bCs/>
                <w:noProof/>
                <w:sz w:val="18"/>
                <w:szCs w:val="18"/>
                <w:lang w:val="en-US" w:eastAsia="en-US"/>
              </w:rPr>
            </w:pPr>
            <w:r w:rsidRPr="008165CA">
              <w:rPr>
                <w:bCs/>
                <w:noProof/>
                <w:sz w:val="18"/>
                <w:szCs w:val="18"/>
                <w:lang w:val="en-US" w:eastAsia="en-US"/>
              </w:rPr>
              <w:t>In beginning of november</w:t>
            </w:r>
            <w:r w:rsidR="005C6FF7">
              <w:rPr>
                <w:bCs/>
                <w:noProof/>
                <w:sz w:val="18"/>
                <w:szCs w:val="18"/>
                <w:lang w:val="en-US" w:eastAsia="en-US"/>
              </w:rPr>
              <w:t xml:space="preserve"> 2021</w:t>
            </w:r>
            <w:r w:rsidRPr="008165CA">
              <w:rPr>
                <w:bCs/>
                <w:noProof/>
                <w:sz w:val="18"/>
                <w:szCs w:val="18"/>
                <w:lang w:val="en-US" w:eastAsia="en-US"/>
              </w:rPr>
              <w:t>, the project assist</w:t>
            </w:r>
            <w:r w:rsidR="005C6FF7">
              <w:rPr>
                <w:bCs/>
                <w:noProof/>
                <w:sz w:val="18"/>
                <w:szCs w:val="18"/>
                <w:lang w:val="en-US" w:eastAsia="en-US"/>
              </w:rPr>
              <w:t>ed</w:t>
            </w:r>
            <w:r w:rsidRPr="008165CA">
              <w:rPr>
                <w:bCs/>
                <w:noProof/>
                <w:sz w:val="18"/>
                <w:szCs w:val="18"/>
                <w:lang w:val="en-US" w:eastAsia="en-US"/>
              </w:rPr>
              <w:t xml:space="preserve"> the installation of 3 early warning system in three regions, 1 in Bafata</w:t>
            </w:r>
            <w:r w:rsidR="00640192" w:rsidRPr="008165CA">
              <w:rPr>
                <w:bCs/>
                <w:noProof/>
                <w:sz w:val="18"/>
                <w:szCs w:val="18"/>
                <w:lang w:val="en-US" w:eastAsia="en-US"/>
              </w:rPr>
              <w:t xml:space="preserve"> (25 participants including  11 women)</w:t>
            </w:r>
            <w:r w:rsidRPr="008165CA">
              <w:rPr>
                <w:bCs/>
                <w:noProof/>
                <w:sz w:val="18"/>
                <w:szCs w:val="18"/>
                <w:lang w:val="en-US" w:eastAsia="en-US"/>
              </w:rPr>
              <w:t xml:space="preserve"> 1 in Gabu </w:t>
            </w:r>
            <w:r w:rsidR="00640192" w:rsidRPr="008165CA">
              <w:rPr>
                <w:bCs/>
                <w:noProof/>
                <w:sz w:val="18"/>
                <w:szCs w:val="18"/>
                <w:lang w:val="en-US" w:eastAsia="en-US"/>
              </w:rPr>
              <w:t xml:space="preserve">(25 participants including  13 women </w:t>
            </w:r>
            <w:r w:rsidRPr="008165CA">
              <w:rPr>
                <w:bCs/>
                <w:noProof/>
                <w:sz w:val="18"/>
                <w:szCs w:val="18"/>
                <w:lang w:val="en-US" w:eastAsia="en-US"/>
              </w:rPr>
              <w:t xml:space="preserve">and </w:t>
            </w:r>
            <w:r w:rsidR="00541F21" w:rsidRPr="008165CA">
              <w:rPr>
                <w:bCs/>
                <w:noProof/>
                <w:sz w:val="18"/>
                <w:szCs w:val="18"/>
                <w:lang w:val="en-US" w:eastAsia="en-US"/>
              </w:rPr>
              <w:t xml:space="preserve"> 1 in the South</w:t>
            </w:r>
            <w:r w:rsidRPr="008165CA">
              <w:rPr>
                <w:bCs/>
                <w:noProof/>
                <w:sz w:val="18"/>
                <w:szCs w:val="18"/>
                <w:lang w:val="en-US" w:eastAsia="en-US"/>
              </w:rPr>
              <w:t xml:space="preserve"> (Quinara and Tombali) located in Buba</w:t>
            </w:r>
            <w:r w:rsidR="00640192" w:rsidRPr="008165CA">
              <w:rPr>
                <w:bCs/>
                <w:noProof/>
                <w:sz w:val="18"/>
                <w:szCs w:val="18"/>
                <w:lang w:val="en-US" w:eastAsia="en-US"/>
              </w:rPr>
              <w:t xml:space="preserve"> (25 participants including  11 women</w:t>
            </w:r>
            <w:r w:rsidRPr="008165CA">
              <w:rPr>
                <w:bCs/>
                <w:noProof/>
                <w:sz w:val="18"/>
                <w:szCs w:val="18"/>
                <w:lang w:val="en-US" w:eastAsia="en-US"/>
              </w:rPr>
              <w:t>, trained by the National Institute for Women and Children -IMC (lead), the National Guard (GN), the Access Justice Centre (CAJ) and the Regional Health Directorate (DRS)</w:t>
            </w:r>
          </w:p>
        </w:tc>
        <w:tc>
          <w:tcPr>
            <w:tcW w:w="3197" w:type="dxa"/>
            <w:tcBorders>
              <w:top w:val="single" w:sz="4" w:space="0" w:color="auto"/>
            </w:tcBorders>
            <w:shd w:val="clear" w:color="auto" w:fill="FFFFFF" w:themeFill="background1"/>
          </w:tcPr>
          <w:p w14:paraId="2AE3617D" w14:textId="77777777" w:rsidR="00487FB1" w:rsidRPr="008165CA" w:rsidRDefault="00487FB1" w:rsidP="002F42B8">
            <w:pPr>
              <w:rPr>
                <w:bCs/>
                <w:noProof/>
                <w:sz w:val="18"/>
                <w:szCs w:val="18"/>
                <w:lang w:val="en-US" w:eastAsia="en-US"/>
              </w:rPr>
            </w:pPr>
          </w:p>
        </w:tc>
      </w:tr>
      <w:tr w:rsidR="00487FB1" w:rsidRPr="00D5296E" w14:paraId="1C071D6B" w14:textId="77777777" w:rsidTr="00131DC2">
        <w:trPr>
          <w:trHeight w:val="422"/>
        </w:trPr>
        <w:tc>
          <w:tcPr>
            <w:tcW w:w="1799" w:type="dxa"/>
            <w:vMerge/>
            <w:shd w:val="clear" w:color="auto" w:fill="FFFFFF" w:themeFill="background1"/>
          </w:tcPr>
          <w:p w14:paraId="6DD706FE" w14:textId="61F21EFA" w:rsidR="00487FB1" w:rsidRPr="008165CA" w:rsidRDefault="00487FB1" w:rsidP="00423B22">
            <w:pPr>
              <w:rPr>
                <w:bCs/>
                <w:noProof/>
                <w:sz w:val="18"/>
                <w:szCs w:val="18"/>
                <w:lang w:val="en-US" w:eastAsia="en-US"/>
              </w:rPr>
            </w:pPr>
          </w:p>
        </w:tc>
        <w:tc>
          <w:tcPr>
            <w:tcW w:w="2313" w:type="dxa"/>
            <w:shd w:val="clear" w:color="auto" w:fill="EEECE1"/>
          </w:tcPr>
          <w:p w14:paraId="2FE722C9" w14:textId="64C7A4FE" w:rsidR="00487FB1" w:rsidRPr="008165CA" w:rsidRDefault="00487FB1" w:rsidP="00AB78C9">
            <w:pPr>
              <w:jc w:val="both"/>
              <w:rPr>
                <w:b/>
                <w:bCs/>
                <w:noProof/>
                <w:sz w:val="18"/>
                <w:szCs w:val="18"/>
                <w:lang w:val="en-US" w:eastAsia="en-US"/>
              </w:rPr>
            </w:pPr>
            <w:r w:rsidRPr="008165CA">
              <w:rPr>
                <w:b/>
                <w:bCs/>
                <w:noProof/>
                <w:sz w:val="18"/>
                <w:szCs w:val="18"/>
                <w:lang w:val="en-US" w:eastAsia="en-US"/>
              </w:rPr>
              <w:t>Indicator 1.3.8</w:t>
            </w:r>
          </w:p>
          <w:p w14:paraId="61A68EB6" w14:textId="4C38FC0F" w:rsidR="00C42DB3" w:rsidRPr="008165CA" w:rsidRDefault="00C42DB3" w:rsidP="00AB78C9">
            <w:pPr>
              <w:jc w:val="both"/>
              <w:rPr>
                <w:bCs/>
                <w:noProof/>
                <w:sz w:val="18"/>
                <w:szCs w:val="18"/>
                <w:lang w:val="en-US" w:eastAsia="en-US"/>
              </w:rPr>
            </w:pPr>
            <w:r w:rsidRPr="008165CA">
              <w:rPr>
                <w:bCs/>
                <w:noProof/>
                <w:sz w:val="18"/>
                <w:szCs w:val="18"/>
                <w:lang w:val="en-US" w:eastAsia="en-US"/>
              </w:rPr>
              <w:t>Number of Djumbais participants disaggregated by sex, age  and region</w:t>
            </w:r>
          </w:p>
          <w:p w14:paraId="2E93FA11" w14:textId="77777777" w:rsidR="00487FB1" w:rsidRPr="008165CA" w:rsidRDefault="00487FB1" w:rsidP="00AB78C9">
            <w:pPr>
              <w:jc w:val="both"/>
              <w:rPr>
                <w:b/>
                <w:bCs/>
                <w:noProof/>
                <w:sz w:val="18"/>
                <w:szCs w:val="18"/>
                <w:lang w:val="en-US" w:eastAsia="en-US"/>
              </w:rPr>
            </w:pPr>
          </w:p>
          <w:p w14:paraId="7DED195E" w14:textId="77777777" w:rsidR="00A74888" w:rsidRPr="008165CA" w:rsidRDefault="00A74888" w:rsidP="00AB78C9">
            <w:pPr>
              <w:jc w:val="both"/>
              <w:rPr>
                <w:b/>
                <w:bCs/>
                <w:noProof/>
                <w:sz w:val="18"/>
                <w:szCs w:val="18"/>
                <w:lang w:val="en-US" w:eastAsia="en-US"/>
              </w:rPr>
            </w:pPr>
          </w:p>
          <w:p w14:paraId="6D341FE7" w14:textId="5DF304EE" w:rsidR="00A74888" w:rsidRPr="008165CA" w:rsidRDefault="00A74888" w:rsidP="00AB78C9">
            <w:pPr>
              <w:jc w:val="both"/>
              <w:rPr>
                <w:b/>
                <w:bCs/>
                <w:noProof/>
                <w:sz w:val="18"/>
                <w:szCs w:val="18"/>
                <w:lang w:val="en-US" w:eastAsia="en-US"/>
              </w:rPr>
            </w:pPr>
          </w:p>
        </w:tc>
        <w:tc>
          <w:tcPr>
            <w:tcW w:w="1843" w:type="dxa"/>
            <w:shd w:val="clear" w:color="auto" w:fill="EEECE1"/>
          </w:tcPr>
          <w:p w14:paraId="03B8D4D6" w14:textId="58B96F5A" w:rsidR="00487FB1" w:rsidRPr="008165CA" w:rsidRDefault="00487FB1" w:rsidP="00AB78C9">
            <w:pPr>
              <w:jc w:val="both"/>
              <w:rPr>
                <w:bCs/>
                <w:noProof/>
                <w:sz w:val="18"/>
                <w:szCs w:val="18"/>
                <w:lang w:val="en-US" w:eastAsia="en-US"/>
              </w:rPr>
            </w:pPr>
            <w:r w:rsidRPr="008165CA">
              <w:rPr>
                <w:bCs/>
                <w:noProof/>
                <w:sz w:val="18"/>
                <w:szCs w:val="18"/>
                <w:lang w:val="en-US" w:eastAsia="en-US"/>
              </w:rPr>
              <w:t>0</w:t>
            </w:r>
          </w:p>
        </w:tc>
        <w:tc>
          <w:tcPr>
            <w:tcW w:w="2126" w:type="dxa"/>
            <w:shd w:val="clear" w:color="auto" w:fill="EEECE1"/>
          </w:tcPr>
          <w:p w14:paraId="64C9C937" w14:textId="06DA6710" w:rsidR="00487FB1" w:rsidRPr="008165CA" w:rsidRDefault="00487FB1" w:rsidP="00AB78C9">
            <w:pPr>
              <w:jc w:val="both"/>
              <w:rPr>
                <w:bCs/>
                <w:noProof/>
                <w:sz w:val="18"/>
                <w:szCs w:val="18"/>
                <w:lang w:val="en-US" w:eastAsia="en-US"/>
              </w:rPr>
            </w:pPr>
            <w:r w:rsidRPr="008165CA">
              <w:rPr>
                <w:bCs/>
                <w:noProof/>
                <w:sz w:val="18"/>
                <w:szCs w:val="18"/>
                <w:lang w:val="en-US" w:eastAsia="en-US"/>
              </w:rPr>
              <w:t>20 participants per Djumbai</w:t>
            </w:r>
          </w:p>
        </w:tc>
        <w:tc>
          <w:tcPr>
            <w:tcW w:w="1276" w:type="dxa"/>
            <w:shd w:val="clear" w:color="auto" w:fill="FFFFFF" w:themeFill="background1"/>
          </w:tcPr>
          <w:p w14:paraId="2C393B04" w14:textId="77777777" w:rsidR="00487FB1" w:rsidRPr="008165CA" w:rsidRDefault="00487FB1" w:rsidP="002F42B8">
            <w:pPr>
              <w:rPr>
                <w:bCs/>
                <w:noProof/>
                <w:sz w:val="18"/>
                <w:szCs w:val="18"/>
                <w:lang w:val="en-US" w:eastAsia="en-US"/>
              </w:rPr>
            </w:pPr>
          </w:p>
        </w:tc>
        <w:tc>
          <w:tcPr>
            <w:tcW w:w="2835" w:type="dxa"/>
            <w:shd w:val="clear" w:color="auto" w:fill="FFFFFF" w:themeFill="background1"/>
          </w:tcPr>
          <w:p w14:paraId="2A99E1D8" w14:textId="58929C5C" w:rsidR="00357BA8" w:rsidRPr="008165CA" w:rsidRDefault="00383321" w:rsidP="00383321">
            <w:pPr>
              <w:jc w:val="both"/>
              <w:rPr>
                <w:bCs/>
                <w:noProof/>
                <w:sz w:val="18"/>
                <w:szCs w:val="18"/>
                <w:lang w:val="en-US" w:eastAsia="en-US"/>
              </w:rPr>
            </w:pPr>
            <w:r w:rsidRPr="008165CA">
              <w:rPr>
                <w:bCs/>
                <w:noProof/>
                <w:sz w:val="18"/>
                <w:szCs w:val="18"/>
                <w:lang w:val="en-US" w:eastAsia="en-US"/>
              </w:rPr>
              <w:t xml:space="preserve">Following the work with the Associação dos Mestres Corânicos, 8 awareness raising activities were also carried out </w:t>
            </w:r>
            <w:r w:rsidR="005C6FF7">
              <w:rPr>
                <w:bCs/>
                <w:noProof/>
                <w:sz w:val="18"/>
                <w:szCs w:val="18"/>
                <w:lang w:val="en-US" w:eastAsia="en-US"/>
              </w:rPr>
              <w:t xml:space="preserve">on October 2021 </w:t>
            </w:r>
            <w:r w:rsidRPr="008165CA">
              <w:rPr>
                <w:bCs/>
                <w:noProof/>
                <w:sz w:val="18"/>
                <w:szCs w:val="18"/>
                <w:lang w:val="en-US" w:eastAsia="en-US"/>
              </w:rPr>
              <w:t xml:space="preserve">in the communities at the Koranic schools in Bissau where 259 people were sensitized in focus groups, in 8 communities (2 in Gabú-52 people, 2 in Bafatá-69 people, 2 in Quinara-50 people and 2 in Tombali-86) divided into 85 community with religious leaders, 79 </w:t>
            </w:r>
            <w:r w:rsidR="006819FE" w:rsidRPr="008165CA">
              <w:rPr>
                <w:bCs/>
                <w:noProof/>
                <w:sz w:val="18"/>
                <w:szCs w:val="18"/>
                <w:lang w:val="en-US" w:eastAsia="en-US"/>
              </w:rPr>
              <w:t xml:space="preserve">(31%) </w:t>
            </w:r>
            <w:r w:rsidRPr="008165CA">
              <w:rPr>
                <w:bCs/>
                <w:noProof/>
                <w:sz w:val="18"/>
                <w:szCs w:val="18"/>
                <w:lang w:val="en-US" w:eastAsia="en-US"/>
              </w:rPr>
              <w:t>women and 95 young people.</w:t>
            </w:r>
          </w:p>
        </w:tc>
        <w:tc>
          <w:tcPr>
            <w:tcW w:w="3197" w:type="dxa"/>
            <w:shd w:val="clear" w:color="auto" w:fill="FFFFFF" w:themeFill="background1"/>
          </w:tcPr>
          <w:p w14:paraId="6C79E9B1" w14:textId="77777777" w:rsidR="00487FB1" w:rsidRPr="008165CA" w:rsidRDefault="00487FB1" w:rsidP="002F42B8">
            <w:pPr>
              <w:rPr>
                <w:bCs/>
                <w:noProof/>
                <w:sz w:val="18"/>
                <w:szCs w:val="18"/>
                <w:lang w:val="en-US" w:eastAsia="en-US"/>
              </w:rPr>
            </w:pPr>
          </w:p>
        </w:tc>
      </w:tr>
      <w:tr w:rsidR="00487FB1" w:rsidRPr="00D5296E" w14:paraId="19081BA0" w14:textId="77777777" w:rsidTr="00131DC2">
        <w:trPr>
          <w:trHeight w:val="422"/>
        </w:trPr>
        <w:tc>
          <w:tcPr>
            <w:tcW w:w="1799" w:type="dxa"/>
            <w:vMerge/>
            <w:shd w:val="clear" w:color="auto" w:fill="FFFFFF" w:themeFill="background1"/>
          </w:tcPr>
          <w:p w14:paraId="0683CE6C" w14:textId="77777777" w:rsidR="00487FB1" w:rsidRPr="008165CA" w:rsidRDefault="00487FB1" w:rsidP="002F42B8">
            <w:pPr>
              <w:rPr>
                <w:bCs/>
                <w:noProof/>
                <w:sz w:val="18"/>
                <w:szCs w:val="18"/>
                <w:lang w:val="en-US" w:eastAsia="en-US"/>
              </w:rPr>
            </w:pPr>
          </w:p>
        </w:tc>
        <w:tc>
          <w:tcPr>
            <w:tcW w:w="2313" w:type="dxa"/>
            <w:shd w:val="clear" w:color="auto" w:fill="EEECE1"/>
          </w:tcPr>
          <w:p w14:paraId="26034079" w14:textId="4D856C73" w:rsidR="00487FB1" w:rsidRPr="008165CA" w:rsidRDefault="00487FB1" w:rsidP="00AB78C9">
            <w:pPr>
              <w:jc w:val="both"/>
              <w:rPr>
                <w:b/>
                <w:bCs/>
                <w:noProof/>
                <w:sz w:val="18"/>
                <w:szCs w:val="18"/>
                <w:lang w:val="en-US" w:eastAsia="en-US"/>
              </w:rPr>
            </w:pPr>
            <w:r w:rsidRPr="008165CA">
              <w:rPr>
                <w:b/>
                <w:bCs/>
                <w:noProof/>
                <w:sz w:val="18"/>
                <w:szCs w:val="18"/>
                <w:lang w:val="en-US" w:eastAsia="en-US"/>
              </w:rPr>
              <w:t>Indicator 1.3.9</w:t>
            </w:r>
          </w:p>
          <w:p w14:paraId="1C756050" w14:textId="5DFC99E7" w:rsidR="00AB78C9" w:rsidRPr="008165CA" w:rsidRDefault="00AB78C9" w:rsidP="00AB78C9">
            <w:pPr>
              <w:jc w:val="both"/>
              <w:rPr>
                <w:bCs/>
                <w:noProof/>
                <w:sz w:val="18"/>
                <w:szCs w:val="18"/>
                <w:lang w:val="en-US" w:eastAsia="en-US"/>
              </w:rPr>
            </w:pPr>
            <w:r w:rsidRPr="008165CA">
              <w:rPr>
                <w:bCs/>
                <w:noProof/>
                <w:sz w:val="18"/>
                <w:szCs w:val="18"/>
                <w:lang w:val="en-US" w:eastAsia="en-US"/>
              </w:rPr>
              <w:t>Perception of CSOs on their capacity  to influence public policies  on DTOC and their freedom  to engage on DTOC issues</w:t>
            </w:r>
          </w:p>
          <w:p w14:paraId="148A3F42" w14:textId="77777777" w:rsidR="00AB78C9" w:rsidRPr="008165CA" w:rsidRDefault="00AB78C9" w:rsidP="00AB78C9">
            <w:pPr>
              <w:jc w:val="both"/>
              <w:rPr>
                <w:b/>
                <w:bCs/>
                <w:noProof/>
                <w:sz w:val="18"/>
                <w:szCs w:val="18"/>
                <w:lang w:val="en-US" w:eastAsia="en-US"/>
              </w:rPr>
            </w:pPr>
          </w:p>
          <w:p w14:paraId="0992ADD9" w14:textId="4F111778" w:rsidR="00487FB1" w:rsidRPr="008165CA" w:rsidRDefault="00487FB1" w:rsidP="00AB78C9">
            <w:pPr>
              <w:jc w:val="both"/>
              <w:rPr>
                <w:b/>
                <w:bCs/>
                <w:noProof/>
                <w:sz w:val="18"/>
                <w:szCs w:val="18"/>
                <w:lang w:val="en-US" w:eastAsia="en-US"/>
              </w:rPr>
            </w:pPr>
          </w:p>
        </w:tc>
        <w:tc>
          <w:tcPr>
            <w:tcW w:w="1843" w:type="dxa"/>
            <w:shd w:val="clear" w:color="auto" w:fill="EEECE1"/>
          </w:tcPr>
          <w:p w14:paraId="5B24228A" w14:textId="23005C69" w:rsidR="00487FB1" w:rsidRPr="008165CA" w:rsidRDefault="00487FB1" w:rsidP="00AB78C9">
            <w:pPr>
              <w:jc w:val="both"/>
              <w:rPr>
                <w:bCs/>
                <w:noProof/>
                <w:sz w:val="18"/>
                <w:szCs w:val="18"/>
                <w:lang w:val="en-US" w:eastAsia="en-US"/>
              </w:rPr>
            </w:pPr>
            <w:r w:rsidRPr="008165CA">
              <w:rPr>
                <w:bCs/>
                <w:noProof/>
                <w:sz w:val="18"/>
                <w:szCs w:val="18"/>
                <w:lang w:val="en-US" w:eastAsia="en-US"/>
              </w:rPr>
              <w:t>To be collected (TBC)</w:t>
            </w:r>
          </w:p>
        </w:tc>
        <w:tc>
          <w:tcPr>
            <w:tcW w:w="2126" w:type="dxa"/>
            <w:shd w:val="clear" w:color="auto" w:fill="EEECE1"/>
          </w:tcPr>
          <w:p w14:paraId="144DF7A1" w14:textId="4CDB8475" w:rsidR="00487FB1" w:rsidRPr="008165CA" w:rsidRDefault="00AB78C9" w:rsidP="00AB78C9">
            <w:pPr>
              <w:jc w:val="both"/>
              <w:rPr>
                <w:bCs/>
                <w:noProof/>
                <w:sz w:val="18"/>
                <w:szCs w:val="18"/>
                <w:lang w:val="en-US" w:eastAsia="en-US"/>
              </w:rPr>
            </w:pPr>
            <w:r w:rsidRPr="008165CA">
              <w:rPr>
                <w:bCs/>
                <w:noProof/>
                <w:sz w:val="18"/>
                <w:szCs w:val="18"/>
                <w:lang w:val="en-US" w:eastAsia="en-US"/>
              </w:rPr>
              <w:t>CSOs surveyed  under the project report increased capacity levels to influence and engage on DTOC issues</w:t>
            </w:r>
          </w:p>
        </w:tc>
        <w:tc>
          <w:tcPr>
            <w:tcW w:w="1276" w:type="dxa"/>
            <w:shd w:val="clear" w:color="auto" w:fill="FFFFFF" w:themeFill="background1"/>
          </w:tcPr>
          <w:p w14:paraId="0E2199C2" w14:textId="77777777" w:rsidR="00487FB1" w:rsidRPr="008165CA" w:rsidRDefault="00487FB1" w:rsidP="002F42B8">
            <w:pPr>
              <w:rPr>
                <w:bCs/>
                <w:noProof/>
                <w:sz w:val="18"/>
                <w:szCs w:val="18"/>
                <w:lang w:val="en-US" w:eastAsia="en-US"/>
              </w:rPr>
            </w:pPr>
          </w:p>
        </w:tc>
        <w:tc>
          <w:tcPr>
            <w:tcW w:w="2835" w:type="dxa"/>
            <w:shd w:val="clear" w:color="auto" w:fill="FFFFFF" w:themeFill="background1"/>
          </w:tcPr>
          <w:p w14:paraId="3A1458C8" w14:textId="3BC49A9B" w:rsidR="00487FB1" w:rsidRPr="008165CA" w:rsidRDefault="00487FB1" w:rsidP="00BC29AA">
            <w:pPr>
              <w:jc w:val="both"/>
              <w:rPr>
                <w:bCs/>
                <w:noProof/>
                <w:sz w:val="18"/>
                <w:szCs w:val="18"/>
                <w:lang w:eastAsia="en-US"/>
              </w:rPr>
            </w:pPr>
          </w:p>
        </w:tc>
        <w:tc>
          <w:tcPr>
            <w:tcW w:w="3197" w:type="dxa"/>
            <w:shd w:val="clear" w:color="auto" w:fill="FFFFFF" w:themeFill="background1"/>
          </w:tcPr>
          <w:p w14:paraId="399EB810" w14:textId="6FD0CA37" w:rsidR="00487FB1" w:rsidRPr="008165CA" w:rsidRDefault="00472C15" w:rsidP="006D76EF">
            <w:pPr>
              <w:jc w:val="both"/>
              <w:rPr>
                <w:bCs/>
                <w:noProof/>
                <w:sz w:val="18"/>
                <w:szCs w:val="18"/>
                <w:lang w:val="en-US" w:eastAsia="en-US"/>
              </w:rPr>
            </w:pPr>
            <w:r w:rsidRPr="008165CA">
              <w:rPr>
                <w:bCs/>
                <w:noProof/>
                <w:sz w:val="18"/>
                <w:szCs w:val="18"/>
                <w:lang w:val="en-US" w:eastAsia="en-US"/>
              </w:rPr>
              <w:t>Baselines studies delayed due to consultancy pending hiring process</w:t>
            </w:r>
          </w:p>
        </w:tc>
      </w:tr>
    </w:tbl>
    <w:p w14:paraId="0870F92C" w14:textId="77777777" w:rsidR="001D1FD9" w:rsidRPr="008165CA" w:rsidRDefault="001D1FD9" w:rsidP="001D1FD9">
      <w:pPr>
        <w:rPr>
          <w:bCs/>
          <w:noProof/>
          <w:sz w:val="18"/>
          <w:szCs w:val="18"/>
          <w:lang w:val="en-US" w:eastAsia="en-US"/>
        </w:rPr>
      </w:pPr>
    </w:p>
    <w:sectPr w:rsidR="001D1FD9" w:rsidRPr="008165CA" w:rsidSect="00AC077D">
      <w:pgSz w:w="16838" w:h="11906" w:orient="landscape"/>
      <w:pgMar w:top="1418"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B23C" w14:textId="77777777" w:rsidR="004E7AB3" w:rsidRDefault="004E7AB3" w:rsidP="00E76CA1">
      <w:r>
        <w:separator/>
      </w:r>
    </w:p>
  </w:endnote>
  <w:endnote w:type="continuationSeparator" w:id="0">
    <w:p w14:paraId="02F96779" w14:textId="77777777" w:rsidR="004E7AB3" w:rsidRDefault="004E7AB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BB12" w14:textId="77777777" w:rsidR="00102D9F" w:rsidRDefault="00102D9F">
    <w:pPr>
      <w:pStyle w:val="Rodap"/>
      <w:jc w:val="center"/>
    </w:pPr>
    <w:r>
      <w:fldChar w:fldCharType="begin"/>
    </w:r>
    <w:r>
      <w:instrText xml:space="preserve"> PAGE   \* MERGEFORMAT </w:instrText>
    </w:r>
    <w:r>
      <w:fldChar w:fldCharType="separate"/>
    </w:r>
    <w:r w:rsidR="005C6FF7">
      <w:rPr>
        <w:noProof/>
      </w:rPr>
      <w:t>17</w:t>
    </w:r>
    <w:r>
      <w:rPr>
        <w:noProof/>
      </w:rPr>
      <w:fldChar w:fldCharType="end"/>
    </w:r>
  </w:p>
  <w:p w14:paraId="17549D2C" w14:textId="77777777" w:rsidR="00102D9F" w:rsidRDefault="00102D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376A" w14:textId="77777777" w:rsidR="004E7AB3" w:rsidRDefault="004E7AB3" w:rsidP="00E76CA1">
      <w:r>
        <w:separator/>
      </w:r>
    </w:p>
  </w:footnote>
  <w:footnote w:type="continuationSeparator" w:id="0">
    <w:p w14:paraId="6CFA048E" w14:textId="77777777" w:rsidR="004E7AB3" w:rsidRDefault="004E7AB3"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AFF76C4"/>
    <w:multiLevelType w:val="hybridMultilevel"/>
    <w:tmpl w:val="78780B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704D3"/>
    <w:multiLevelType w:val="hybridMultilevel"/>
    <w:tmpl w:val="4E7655FA"/>
    <w:lvl w:ilvl="0" w:tplc="50A8A9B6">
      <w:start w:val="1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57DC0"/>
    <w:multiLevelType w:val="hybridMultilevel"/>
    <w:tmpl w:val="5A74A5F6"/>
    <w:lvl w:ilvl="0" w:tplc="6E1A4A64">
      <w:start w:val="1"/>
      <w:numFmt w:val="decimal"/>
      <w:lvlText w:val="%1)"/>
      <w:lvlJc w:val="left"/>
      <w:pPr>
        <w:ind w:left="-390" w:hanging="360"/>
      </w:pPr>
      <w:rPr>
        <w:rFonts w:hint="default"/>
      </w:rPr>
    </w:lvl>
    <w:lvl w:ilvl="1" w:tplc="040C0019" w:tentative="1">
      <w:start w:val="1"/>
      <w:numFmt w:val="lowerLetter"/>
      <w:lvlText w:val="%2."/>
      <w:lvlJc w:val="left"/>
      <w:pPr>
        <w:ind w:left="330" w:hanging="360"/>
      </w:pPr>
    </w:lvl>
    <w:lvl w:ilvl="2" w:tplc="040C001B" w:tentative="1">
      <w:start w:val="1"/>
      <w:numFmt w:val="lowerRoman"/>
      <w:lvlText w:val="%3."/>
      <w:lvlJc w:val="right"/>
      <w:pPr>
        <w:ind w:left="1050" w:hanging="180"/>
      </w:pPr>
    </w:lvl>
    <w:lvl w:ilvl="3" w:tplc="040C000F" w:tentative="1">
      <w:start w:val="1"/>
      <w:numFmt w:val="decimal"/>
      <w:lvlText w:val="%4."/>
      <w:lvlJc w:val="left"/>
      <w:pPr>
        <w:ind w:left="1770" w:hanging="360"/>
      </w:pPr>
    </w:lvl>
    <w:lvl w:ilvl="4" w:tplc="040C0019" w:tentative="1">
      <w:start w:val="1"/>
      <w:numFmt w:val="lowerLetter"/>
      <w:lvlText w:val="%5."/>
      <w:lvlJc w:val="left"/>
      <w:pPr>
        <w:ind w:left="2490" w:hanging="360"/>
      </w:pPr>
    </w:lvl>
    <w:lvl w:ilvl="5" w:tplc="040C001B" w:tentative="1">
      <w:start w:val="1"/>
      <w:numFmt w:val="lowerRoman"/>
      <w:lvlText w:val="%6."/>
      <w:lvlJc w:val="right"/>
      <w:pPr>
        <w:ind w:left="3210" w:hanging="180"/>
      </w:pPr>
    </w:lvl>
    <w:lvl w:ilvl="6" w:tplc="040C000F" w:tentative="1">
      <w:start w:val="1"/>
      <w:numFmt w:val="decimal"/>
      <w:lvlText w:val="%7."/>
      <w:lvlJc w:val="left"/>
      <w:pPr>
        <w:ind w:left="3930" w:hanging="360"/>
      </w:pPr>
    </w:lvl>
    <w:lvl w:ilvl="7" w:tplc="040C0019" w:tentative="1">
      <w:start w:val="1"/>
      <w:numFmt w:val="lowerLetter"/>
      <w:lvlText w:val="%8."/>
      <w:lvlJc w:val="left"/>
      <w:pPr>
        <w:ind w:left="4650" w:hanging="360"/>
      </w:pPr>
    </w:lvl>
    <w:lvl w:ilvl="8" w:tplc="040C001B" w:tentative="1">
      <w:start w:val="1"/>
      <w:numFmt w:val="lowerRoman"/>
      <w:lvlText w:val="%9."/>
      <w:lvlJc w:val="right"/>
      <w:pPr>
        <w:ind w:left="5370" w:hanging="180"/>
      </w:p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9"/>
  </w:num>
  <w:num w:numId="7">
    <w:abstractNumId w:val="36"/>
  </w:num>
  <w:num w:numId="8">
    <w:abstractNumId w:val="48"/>
  </w:num>
  <w:num w:numId="9">
    <w:abstractNumId w:val="17"/>
  </w:num>
  <w:num w:numId="10">
    <w:abstractNumId w:val="32"/>
  </w:num>
  <w:num w:numId="11">
    <w:abstractNumId w:val="4"/>
  </w:num>
  <w:num w:numId="12">
    <w:abstractNumId w:val="33"/>
  </w:num>
  <w:num w:numId="13">
    <w:abstractNumId w:val="35"/>
  </w:num>
  <w:num w:numId="14">
    <w:abstractNumId w:val="47"/>
  </w:num>
  <w:num w:numId="15">
    <w:abstractNumId w:val="42"/>
  </w:num>
  <w:num w:numId="16">
    <w:abstractNumId w:val="27"/>
  </w:num>
  <w:num w:numId="17">
    <w:abstractNumId w:val="11"/>
  </w:num>
  <w:num w:numId="18">
    <w:abstractNumId w:val="8"/>
  </w:num>
  <w:num w:numId="19">
    <w:abstractNumId w:val="29"/>
  </w:num>
  <w:num w:numId="20">
    <w:abstractNumId w:val="20"/>
  </w:num>
  <w:num w:numId="21">
    <w:abstractNumId w:val="5"/>
  </w:num>
  <w:num w:numId="22">
    <w:abstractNumId w:val="30"/>
  </w:num>
  <w:num w:numId="23">
    <w:abstractNumId w:val="44"/>
  </w:num>
  <w:num w:numId="24">
    <w:abstractNumId w:val="15"/>
  </w:num>
  <w:num w:numId="25">
    <w:abstractNumId w:val="24"/>
  </w:num>
  <w:num w:numId="26">
    <w:abstractNumId w:val="49"/>
  </w:num>
  <w:num w:numId="27">
    <w:abstractNumId w:val="19"/>
  </w:num>
  <w:num w:numId="28">
    <w:abstractNumId w:val="37"/>
  </w:num>
  <w:num w:numId="29">
    <w:abstractNumId w:val="18"/>
  </w:num>
  <w:num w:numId="30">
    <w:abstractNumId w:val="12"/>
  </w:num>
  <w:num w:numId="31">
    <w:abstractNumId w:val="6"/>
  </w:num>
  <w:num w:numId="32">
    <w:abstractNumId w:val="9"/>
  </w:num>
  <w:num w:numId="33">
    <w:abstractNumId w:val="40"/>
  </w:num>
  <w:num w:numId="34">
    <w:abstractNumId w:val="31"/>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8"/>
  </w:num>
  <w:num w:numId="40">
    <w:abstractNumId w:val="3"/>
  </w:num>
  <w:num w:numId="41">
    <w:abstractNumId w:val="21"/>
  </w:num>
  <w:num w:numId="42">
    <w:abstractNumId w:val="22"/>
  </w:num>
  <w:num w:numId="43">
    <w:abstractNumId w:val="34"/>
  </w:num>
  <w:num w:numId="44">
    <w:abstractNumId w:val="45"/>
  </w:num>
  <w:num w:numId="45">
    <w:abstractNumId w:val="10"/>
  </w:num>
  <w:num w:numId="46">
    <w:abstractNumId w:val="41"/>
  </w:num>
  <w:num w:numId="47">
    <w:abstractNumId w:val="1"/>
  </w:num>
  <w:num w:numId="48">
    <w:abstractNumId w:val="26"/>
  </w:num>
  <w:num w:numId="49">
    <w:abstractNumId w:val="3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4F4"/>
    <w:rsid w:val="000022C4"/>
    <w:rsid w:val="00002815"/>
    <w:rsid w:val="00002F1D"/>
    <w:rsid w:val="00005737"/>
    <w:rsid w:val="00005751"/>
    <w:rsid w:val="0000634D"/>
    <w:rsid w:val="00006DBE"/>
    <w:rsid w:val="00006EC0"/>
    <w:rsid w:val="00010EB0"/>
    <w:rsid w:val="0001109A"/>
    <w:rsid w:val="00011F6B"/>
    <w:rsid w:val="000127F8"/>
    <w:rsid w:val="00013D36"/>
    <w:rsid w:val="00013D69"/>
    <w:rsid w:val="00014B13"/>
    <w:rsid w:val="0001530F"/>
    <w:rsid w:val="0002307B"/>
    <w:rsid w:val="00023EAC"/>
    <w:rsid w:val="00024764"/>
    <w:rsid w:val="00025EFA"/>
    <w:rsid w:val="00027675"/>
    <w:rsid w:val="00031640"/>
    <w:rsid w:val="000331C8"/>
    <w:rsid w:val="00040847"/>
    <w:rsid w:val="00040C2F"/>
    <w:rsid w:val="00043731"/>
    <w:rsid w:val="00044845"/>
    <w:rsid w:val="00045C24"/>
    <w:rsid w:val="00050759"/>
    <w:rsid w:val="00051F71"/>
    <w:rsid w:val="0005216F"/>
    <w:rsid w:val="00052745"/>
    <w:rsid w:val="00052DE5"/>
    <w:rsid w:val="000535D1"/>
    <w:rsid w:val="00055338"/>
    <w:rsid w:val="000554F8"/>
    <w:rsid w:val="00057C99"/>
    <w:rsid w:val="00063017"/>
    <w:rsid w:val="00065EC2"/>
    <w:rsid w:val="00066FC3"/>
    <w:rsid w:val="00070253"/>
    <w:rsid w:val="000731D0"/>
    <w:rsid w:val="0007485E"/>
    <w:rsid w:val="00075D98"/>
    <w:rsid w:val="00080CD9"/>
    <w:rsid w:val="000810D7"/>
    <w:rsid w:val="0008134A"/>
    <w:rsid w:val="0008140F"/>
    <w:rsid w:val="0008233D"/>
    <w:rsid w:val="00082738"/>
    <w:rsid w:val="00084F64"/>
    <w:rsid w:val="00091CFD"/>
    <w:rsid w:val="00092442"/>
    <w:rsid w:val="000978D4"/>
    <w:rsid w:val="000A0EB4"/>
    <w:rsid w:val="000A2991"/>
    <w:rsid w:val="000A45F4"/>
    <w:rsid w:val="000A4660"/>
    <w:rsid w:val="000A51DA"/>
    <w:rsid w:val="000A6719"/>
    <w:rsid w:val="000A7B4E"/>
    <w:rsid w:val="000A7B63"/>
    <w:rsid w:val="000A7CC4"/>
    <w:rsid w:val="000B273E"/>
    <w:rsid w:val="000B3034"/>
    <w:rsid w:val="000B4E5C"/>
    <w:rsid w:val="000B649B"/>
    <w:rsid w:val="000B6BC1"/>
    <w:rsid w:val="000B7954"/>
    <w:rsid w:val="000C0147"/>
    <w:rsid w:val="000C7EA0"/>
    <w:rsid w:val="000D3A9B"/>
    <w:rsid w:val="000D4F4B"/>
    <w:rsid w:val="000E05AE"/>
    <w:rsid w:val="000E3EF7"/>
    <w:rsid w:val="000E4251"/>
    <w:rsid w:val="000E6A96"/>
    <w:rsid w:val="000E7142"/>
    <w:rsid w:val="000E76DE"/>
    <w:rsid w:val="000F05A2"/>
    <w:rsid w:val="000F13B1"/>
    <w:rsid w:val="00102C0E"/>
    <w:rsid w:val="00102D9F"/>
    <w:rsid w:val="00103FEA"/>
    <w:rsid w:val="001068F5"/>
    <w:rsid w:val="00112741"/>
    <w:rsid w:val="00113C12"/>
    <w:rsid w:val="00113D2B"/>
    <w:rsid w:val="00113EC4"/>
    <w:rsid w:val="00116449"/>
    <w:rsid w:val="0011666C"/>
    <w:rsid w:val="00120A4F"/>
    <w:rsid w:val="00121B2D"/>
    <w:rsid w:val="001237D1"/>
    <w:rsid w:val="00125337"/>
    <w:rsid w:val="001307FA"/>
    <w:rsid w:val="00131824"/>
    <w:rsid w:val="00131DC2"/>
    <w:rsid w:val="00136ACA"/>
    <w:rsid w:val="00136B32"/>
    <w:rsid w:val="001444EE"/>
    <w:rsid w:val="00145766"/>
    <w:rsid w:val="001458E9"/>
    <w:rsid w:val="001509EB"/>
    <w:rsid w:val="001516EA"/>
    <w:rsid w:val="00153CD9"/>
    <w:rsid w:val="00156AFA"/>
    <w:rsid w:val="00156C4C"/>
    <w:rsid w:val="00157BF2"/>
    <w:rsid w:val="001607B2"/>
    <w:rsid w:val="0016088D"/>
    <w:rsid w:val="00161D02"/>
    <w:rsid w:val="001669AC"/>
    <w:rsid w:val="0018095F"/>
    <w:rsid w:val="00180F62"/>
    <w:rsid w:val="00181379"/>
    <w:rsid w:val="0018313E"/>
    <w:rsid w:val="0018446E"/>
    <w:rsid w:val="00184ABC"/>
    <w:rsid w:val="00185425"/>
    <w:rsid w:val="001856C9"/>
    <w:rsid w:val="00185B72"/>
    <w:rsid w:val="00186529"/>
    <w:rsid w:val="00187174"/>
    <w:rsid w:val="00192F1D"/>
    <w:rsid w:val="00194D4C"/>
    <w:rsid w:val="00196A5B"/>
    <w:rsid w:val="00196AA8"/>
    <w:rsid w:val="001A1E86"/>
    <w:rsid w:val="001A3157"/>
    <w:rsid w:val="001A374F"/>
    <w:rsid w:val="001A4786"/>
    <w:rsid w:val="001A5876"/>
    <w:rsid w:val="001A639D"/>
    <w:rsid w:val="001B1EAF"/>
    <w:rsid w:val="001B42D9"/>
    <w:rsid w:val="001B458D"/>
    <w:rsid w:val="001B5B57"/>
    <w:rsid w:val="001B5D16"/>
    <w:rsid w:val="001B6DFD"/>
    <w:rsid w:val="001C204A"/>
    <w:rsid w:val="001C4484"/>
    <w:rsid w:val="001C46E9"/>
    <w:rsid w:val="001C5691"/>
    <w:rsid w:val="001C56B8"/>
    <w:rsid w:val="001C5B82"/>
    <w:rsid w:val="001D0B1C"/>
    <w:rsid w:val="001D164E"/>
    <w:rsid w:val="001D1C14"/>
    <w:rsid w:val="001D1FD9"/>
    <w:rsid w:val="001D575F"/>
    <w:rsid w:val="001D57A5"/>
    <w:rsid w:val="001D6683"/>
    <w:rsid w:val="001D67F9"/>
    <w:rsid w:val="001D6BA5"/>
    <w:rsid w:val="001E09D3"/>
    <w:rsid w:val="001E1063"/>
    <w:rsid w:val="001E660A"/>
    <w:rsid w:val="001E7CAD"/>
    <w:rsid w:val="001F308A"/>
    <w:rsid w:val="001F459A"/>
    <w:rsid w:val="001F647B"/>
    <w:rsid w:val="0020130A"/>
    <w:rsid w:val="00203AA3"/>
    <w:rsid w:val="00205AAB"/>
    <w:rsid w:val="00205EB7"/>
    <w:rsid w:val="00206D45"/>
    <w:rsid w:val="0020791D"/>
    <w:rsid w:val="002129DA"/>
    <w:rsid w:val="00215046"/>
    <w:rsid w:val="0021550A"/>
    <w:rsid w:val="00215F41"/>
    <w:rsid w:val="002172DE"/>
    <w:rsid w:val="00217A2E"/>
    <w:rsid w:val="00217EB6"/>
    <w:rsid w:val="00220482"/>
    <w:rsid w:val="002224B2"/>
    <w:rsid w:val="00223C2F"/>
    <w:rsid w:val="002247C2"/>
    <w:rsid w:val="00224E44"/>
    <w:rsid w:val="00226AE9"/>
    <w:rsid w:val="002322E6"/>
    <w:rsid w:val="002335A3"/>
    <w:rsid w:val="00233827"/>
    <w:rsid w:val="00234A5E"/>
    <w:rsid w:val="00236072"/>
    <w:rsid w:val="0023672E"/>
    <w:rsid w:val="00236AB3"/>
    <w:rsid w:val="0023718B"/>
    <w:rsid w:val="00237C89"/>
    <w:rsid w:val="002436F0"/>
    <w:rsid w:val="00245E73"/>
    <w:rsid w:val="00246135"/>
    <w:rsid w:val="00246D1B"/>
    <w:rsid w:val="00247F4E"/>
    <w:rsid w:val="0025067A"/>
    <w:rsid w:val="00251E92"/>
    <w:rsid w:val="0025220B"/>
    <w:rsid w:val="00252B39"/>
    <w:rsid w:val="00254AC2"/>
    <w:rsid w:val="0025525B"/>
    <w:rsid w:val="0025765E"/>
    <w:rsid w:val="00264D6B"/>
    <w:rsid w:val="002665AD"/>
    <w:rsid w:val="002675F4"/>
    <w:rsid w:val="00271D69"/>
    <w:rsid w:val="0027242A"/>
    <w:rsid w:val="00272A58"/>
    <w:rsid w:val="00273AD0"/>
    <w:rsid w:val="002822AF"/>
    <w:rsid w:val="00282BD9"/>
    <w:rsid w:val="00284593"/>
    <w:rsid w:val="00286F66"/>
    <w:rsid w:val="00287588"/>
    <w:rsid w:val="00287878"/>
    <w:rsid w:val="002902A8"/>
    <w:rsid w:val="00292AB4"/>
    <w:rsid w:val="002930BF"/>
    <w:rsid w:val="002940E8"/>
    <w:rsid w:val="002947C7"/>
    <w:rsid w:val="00296C15"/>
    <w:rsid w:val="002A1877"/>
    <w:rsid w:val="002A3ABA"/>
    <w:rsid w:val="002A5D59"/>
    <w:rsid w:val="002B3207"/>
    <w:rsid w:val="002B346A"/>
    <w:rsid w:val="002B351E"/>
    <w:rsid w:val="002B4426"/>
    <w:rsid w:val="002B5F4F"/>
    <w:rsid w:val="002B68ED"/>
    <w:rsid w:val="002B6DAE"/>
    <w:rsid w:val="002B740B"/>
    <w:rsid w:val="002C187A"/>
    <w:rsid w:val="002C20A8"/>
    <w:rsid w:val="002C5DD0"/>
    <w:rsid w:val="002C7051"/>
    <w:rsid w:val="002D0CBB"/>
    <w:rsid w:val="002D2FBB"/>
    <w:rsid w:val="002D4247"/>
    <w:rsid w:val="002D68D7"/>
    <w:rsid w:val="002D747C"/>
    <w:rsid w:val="002E10E6"/>
    <w:rsid w:val="002E1CED"/>
    <w:rsid w:val="002E4CCA"/>
    <w:rsid w:val="002E5250"/>
    <w:rsid w:val="002E61AA"/>
    <w:rsid w:val="002E6DF2"/>
    <w:rsid w:val="002E6F58"/>
    <w:rsid w:val="002E745D"/>
    <w:rsid w:val="002F10F6"/>
    <w:rsid w:val="002F15D9"/>
    <w:rsid w:val="002F2191"/>
    <w:rsid w:val="002F26EC"/>
    <w:rsid w:val="002F369C"/>
    <w:rsid w:val="002F42B8"/>
    <w:rsid w:val="002F42EA"/>
    <w:rsid w:val="002F4830"/>
    <w:rsid w:val="002F6A3F"/>
    <w:rsid w:val="00303C65"/>
    <w:rsid w:val="003040D8"/>
    <w:rsid w:val="0030455E"/>
    <w:rsid w:val="00305626"/>
    <w:rsid w:val="00307834"/>
    <w:rsid w:val="0031676E"/>
    <w:rsid w:val="00316D58"/>
    <w:rsid w:val="003172B1"/>
    <w:rsid w:val="003212BB"/>
    <w:rsid w:val="003215C1"/>
    <w:rsid w:val="00321C92"/>
    <w:rsid w:val="003235DF"/>
    <w:rsid w:val="00323ABC"/>
    <w:rsid w:val="00324A7C"/>
    <w:rsid w:val="00324FE5"/>
    <w:rsid w:val="00327869"/>
    <w:rsid w:val="00331215"/>
    <w:rsid w:val="00333680"/>
    <w:rsid w:val="00333EC9"/>
    <w:rsid w:val="00334333"/>
    <w:rsid w:val="0033515C"/>
    <w:rsid w:val="00336887"/>
    <w:rsid w:val="00336BF8"/>
    <w:rsid w:val="0033732A"/>
    <w:rsid w:val="00337FCB"/>
    <w:rsid w:val="00342356"/>
    <w:rsid w:val="00343425"/>
    <w:rsid w:val="0034386B"/>
    <w:rsid w:val="00346D73"/>
    <w:rsid w:val="003473C6"/>
    <w:rsid w:val="0035382E"/>
    <w:rsid w:val="0035676B"/>
    <w:rsid w:val="00357BA8"/>
    <w:rsid w:val="00361DA2"/>
    <w:rsid w:val="00362BF2"/>
    <w:rsid w:val="0036386A"/>
    <w:rsid w:val="00366549"/>
    <w:rsid w:val="00367643"/>
    <w:rsid w:val="00367E5B"/>
    <w:rsid w:val="00372156"/>
    <w:rsid w:val="003722AE"/>
    <w:rsid w:val="00372CC2"/>
    <w:rsid w:val="003732EF"/>
    <w:rsid w:val="00373EE8"/>
    <w:rsid w:val="0037561F"/>
    <w:rsid w:val="00380721"/>
    <w:rsid w:val="00380849"/>
    <w:rsid w:val="00381530"/>
    <w:rsid w:val="003818DB"/>
    <w:rsid w:val="00381BA1"/>
    <w:rsid w:val="00383321"/>
    <w:rsid w:val="003834CD"/>
    <w:rsid w:val="00383908"/>
    <w:rsid w:val="00385120"/>
    <w:rsid w:val="00391614"/>
    <w:rsid w:val="003923C1"/>
    <w:rsid w:val="00395E13"/>
    <w:rsid w:val="003966E6"/>
    <w:rsid w:val="003968D7"/>
    <w:rsid w:val="00397A87"/>
    <w:rsid w:val="003A2680"/>
    <w:rsid w:val="003A613D"/>
    <w:rsid w:val="003A6341"/>
    <w:rsid w:val="003B3A5F"/>
    <w:rsid w:val="003B4401"/>
    <w:rsid w:val="003B5338"/>
    <w:rsid w:val="003B6CB7"/>
    <w:rsid w:val="003C18C8"/>
    <w:rsid w:val="003C4C29"/>
    <w:rsid w:val="003C5283"/>
    <w:rsid w:val="003C5CC6"/>
    <w:rsid w:val="003D12C7"/>
    <w:rsid w:val="003D203F"/>
    <w:rsid w:val="003D228B"/>
    <w:rsid w:val="003D4CD7"/>
    <w:rsid w:val="003D4D7C"/>
    <w:rsid w:val="003D6FF8"/>
    <w:rsid w:val="003E4D77"/>
    <w:rsid w:val="003E6834"/>
    <w:rsid w:val="003F08B1"/>
    <w:rsid w:val="003F11E7"/>
    <w:rsid w:val="003F21BE"/>
    <w:rsid w:val="003F36FB"/>
    <w:rsid w:val="003F660A"/>
    <w:rsid w:val="003F6B88"/>
    <w:rsid w:val="003F762A"/>
    <w:rsid w:val="004017BD"/>
    <w:rsid w:val="00402083"/>
    <w:rsid w:val="004023AC"/>
    <w:rsid w:val="00402514"/>
    <w:rsid w:val="00403419"/>
    <w:rsid w:val="00404687"/>
    <w:rsid w:val="00404AB7"/>
    <w:rsid w:val="0040513F"/>
    <w:rsid w:val="00405DE7"/>
    <w:rsid w:val="00411A5F"/>
    <w:rsid w:val="00412473"/>
    <w:rsid w:val="00413EAF"/>
    <w:rsid w:val="00414097"/>
    <w:rsid w:val="00415C95"/>
    <w:rsid w:val="00417D48"/>
    <w:rsid w:val="004213AF"/>
    <w:rsid w:val="00423B22"/>
    <w:rsid w:val="00425AF8"/>
    <w:rsid w:val="00425DF1"/>
    <w:rsid w:val="004305ED"/>
    <w:rsid w:val="00433487"/>
    <w:rsid w:val="00433BBD"/>
    <w:rsid w:val="00436276"/>
    <w:rsid w:val="00437FF5"/>
    <w:rsid w:val="0044152A"/>
    <w:rsid w:val="00443409"/>
    <w:rsid w:val="00444154"/>
    <w:rsid w:val="0044523A"/>
    <w:rsid w:val="00446906"/>
    <w:rsid w:val="00450155"/>
    <w:rsid w:val="00450F4E"/>
    <w:rsid w:val="0045104A"/>
    <w:rsid w:val="00452F6D"/>
    <w:rsid w:val="00456064"/>
    <w:rsid w:val="00460646"/>
    <w:rsid w:val="0046101E"/>
    <w:rsid w:val="0046166F"/>
    <w:rsid w:val="00461944"/>
    <w:rsid w:val="00463B92"/>
    <w:rsid w:val="00464188"/>
    <w:rsid w:val="00466A21"/>
    <w:rsid w:val="00470EC3"/>
    <w:rsid w:val="00472C15"/>
    <w:rsid w:val="00472D1C"/>
    <w:rsid w:val="004749AA"/>
    <w:rsid w:val="00474A1F"/>
    <w:rsid w:val="00477CF8"/>
    <w:rsid w:val="00480A02"/>
    <w:rsid w:val="0048168F"/>
    <w:rsid w:val="00484092"/>
    <w:rsid w:val="00484169"/>
    <w:rsid w:val="004852B7"/>
    <w:rsid w:val="00487FB1"/>
    <w:rsid w:val="00490039"/>
    <w:rsid w:val="00494661"/>
    <w:rsid w:val="0049598C"/>
    <w:rsid w:val="00495AC5"/>
    <w:rsid w:val="004965A3"/>
    <w:rsid w:val="004A0676"/>
    <w:rsid w:val="004A093F"/>
    <w:rsid w:val="004A1D24"/>
    <w:rsid w:val="004A20A5"/>
    <w:rsid w:val="004A210E"/>
    <w:rsid w:val="004A49E6"/>
    <w:rsid w:val="004A74C2"/>
    <w:rsid w:val="004B0A82"/>
    <w:rsid w:val="004B1E1E"/>
    <w:rsid w:val="004B5601"/>
    <w:rsid w:val="004B5A88"/>
    <w:rsid w:val="004B5B20"/>
    <w:rsid w:val="004C3DC3"/>
    <w:rsid w:val="004C4F3B"/>
    <w:rsid w:val="004C5815"/>
    <w:rsid w:val="004C68A4"/>
    <w:rsid w:val="004D141E"/>
    <w:rsid w:val="004D315A"/>
    <w:rsid w:val="004E14BE"/>
    <w:rsid w:val="004E33A8"/>
    <w:rsid w:val="004E3B3E"/>
    <w:rsid w:val="004E3BD7"/>
    <w:rsid w:val="004E6614"/>
    <w:rsid w:val="004E7AB3"/>
    <w:rsid w:val="004F016F"/>
    <w:rsid w:val="004F1CBC"/>
    <w:rsid w:val="004F289D"/>
    <w:rsid w:val="004F31E6"/>
    <w:rsid w:val="004F7D22"/>
    <w:rsid w:val="0050056D"/>
    <w:rsid w:val="00505758"/>
    <w:rsid w:val="005074AC"/>
    <w:rsid w:val="00511566"/>
    <w:rsid w:val="005129DA"/>
    <w:rsid w:val="00513472"/>
    <w:rsid w:val="00513612"/>
    <w:rsid w:val="00513D8E"/>
    <w:rsid w:val="00515EEF"/>
    <w:rsid w:val="00516D66"/>
    <w:rsid w:val="005174D6"/>
    <w:rsid w:val="005176EA"/>
    <w:rsid w:val="0051786C"/>
    <w:rsid w:val="00520460"/>
    <w:rsid w:val="005208FF"/>
    <w:rsid w:val="00521468"/>
    <w:rsid w:val="005216B2"/>
    <w:rsid w:val="00526655"/>
    <w:rsid w:val="00526735"/>
    <w:rsid w:val="00526B32"/>
    <w:rsid w:val="00527E52"/>
    <w:rsid w:val="00530EAD"/>
    <w:rsid w:val="0053126F"/>
    <w:rsid w:val="005317C3"/>
    <w:rsid w:val="00535054"/>
    <w:rsid w:val="005357D9"/>
    <w:rsid w:val="00536175"/>
    <w:rsid w:val="005361DB"/>
    <w:rsid w:val="00541F21"/>
    <w:rsid w:val="00541F2E"/>
    <w:rsid w:val="00541FAD"/>
    <w:rsid w:val="0054416C"/>
    <w:rsid w:val="00544390"/>
    <w:rsid w:val="00544781"/>
    <w:rsid w:val="005451D1"/>
    <w:rsid w:val="005460E0"/>
    <w:rsid w:val="005470AF"/>
    <w:rsid w:val="00550982"/>
    <w:rsid w:val="0055185F"/>
    <w:rsid w:val="00553A7C"/>
    <w:rsid w:val="00553D53"/>
    <w:rsid w:val="00553E54"/>
    <w:rsid w:val="005551ED"/>
    <w:rsid w:val="00557552"/>
    <w:rsid w:val="0056086D"/>
    <w:rsid w:val="00561C6B"/>
    <w:rsid w:val="00566FD9"/>
    <w:rsid w:val="0057086A"/>
    <w:rsid w:val="005718ED"/>
    <w:rsid w:val="00573553"/>
    <w:rsid w:val="00580230"/>
    <w:rsid w:val="00580D52"/>
    <w:rsid w:val="0058153F"/>
    <w:rsid w:val="00582FFB"/>
    <w:rsid w:val="0058301B"/>
    <w:rsid w:val="00585CE1"/>
    <w:rsid w:val="00587F68"/>
    <w:rsid w:val="00590937"/>
    <w:rsid w:val="0059166A"/>
    <w:rsid w:val="00592733"/>
    <w:rsid w:val="00593B59"/>
    <w:rsid w:val="00595DBA"/>
    <w:rsid w:val="00597ED5"/>
    <w:rsid w:val="005A0F85"/>
    <w:rsid w:val="005A15DD"/>
    <w:rsid w:val="005A2661"/>
    <w:rsid w:val="005A26F8"/>
    <w:rsid w:val="005A56E0"/>
    <w:rsid w:val="005A7B4C"/>
    <w:rsid w:val="005B3BE0"/>
    <w:rsid w:val="005B4907"/>
    <w:rsid w:val="005B5E2F"/>
    <w:rsid w:val="005C0F05"/>
    <w:rsid w:val="005C187A"/>
    <w:rsid w:val="005C1FC7"/>
    <w:rsid w:val="005C4963"/>
    <w:rsid w:val="005C4BBA"/>
    <w:rsid w:val="005C5D8C"/>
    <w:rsid w:val="005C64DC"/>
    <w:rsid w:val="005C68B4"/>
    <w:rsid w:val="005C6FF7"/>
    <w:rsid w:val="005D2343"/>
    <w:rsid w:val="005D367E"/>
    <w:rsid w:val="005D545C"/>
    <w:rsid w:val="005D7C4A"/>
    <w:rsid w:val="005E29D6"/>
    <w:rsid w:val="005E3B28"/>
    <w:rsid w:val="005E6119"/>
    <w:rsid w:val="005E6336"/>
    <w:rsid w:val="005F0CC2"/>
    <w:rsid w:val="005F10EE"/>
    <w:rsid w:val="005F3240"/>
    <w:rsid w:val="005F439F"/>
    <w:rsid w:val="005F62C6"/>
    <w:rsid w:val="005F77DA"/>
    <w:rsid w:val="00602766"/>
    <w:rsid w:val="00604D44"/>
    <w:rsid w:val="00605275"/>
    <w:rsid w:val="006073A2"/>
    <w:rsid w:val="006073AB"/>
    <w:rsid w:val="006074AA"/>
    <w:rsid w:val="0060796B"/>
    <w:rsid w:val="00607DD7"/>
    <w:rsid w:val="006100F5"/>
    <w:rsid w:val="00611FF1"/>
    <w:rsid w:val="006130E3"/>
    <w:rsid w:val="0061467E"/>
    <w:rsid w:val="00615C30"/>
    <w:rsid w:val="00624630"/>
    <w:rsid w:val="00624881"/>
    <w:rsid w:val="00624B2F"/>
    <w:rsid w:val="00624CF8"/>
    <w:rsid w:val="00624F31"/>
    <w:rsid w:val="006266B9"/>
    <w:rsid w:val="00626B3F"/>
    <w:rsid w:val="00627A1C"/>
    <w:rsid w:val="00630254"/>
    <w:rsid w:val="00631F14"/>
    <w:rsid w:val="00632971"/>
    <w:rsid w:val="006343FE"/>
    <w:rsid w:val="00635112"/>
    <w:rsid w:val="00635ACE"/>
    <w:rsid w:val="00640192"/>
    <w:rsid w:val="00640703"/>
    <w:rsid w:val="00643535"/>
    <w:rsid w:val="00643A9E"/>
    <w:rsid w:val="006460F1"/>
    <w:rsid w:val="006463EB"/>
    <w:rsid w:val="00646FF7"/>
    <w:rsid w:val="006500AC"/>
    <w:rsid w:val="00651323"/>
    <w:rsid w:val="00656A65"/>
    <w:rsid w:val="006578BB"/>
    <w:rsid w:val="00657A0F"/>
    <w:rsid w:val="00660D2D"/>
    <w:rsid w:val="00663EA5"/>
    <w:rsid w:val="006645BE"/>
    <w:rsid w:val="006648F5"/>
    <w:rsid w:val="00664E2A"/>
    <w:rsid w:val="00664EA0"/>
    <w:rsid w:val="0067044E"/>
    <w:rsid w:val="00670D17"/>
    <w:rsid w:val="00671040"/>
    <w:rsid w:val="0067321D"/>
    <w:rsid w:val="006734B3"/>
    <w:rsid w:val="0067356E"/>
    <w:rsid w:val="00673BB2"/>
    <w:rsid w:val="00673D6E"/>
    <w:rsid w:val="0067476E"/>
    <w:rsid w:val="00676A62"/>
    <w:rsid w:val="006811AD"/>
    <w:rsid w:val="006819FE"/>
    <w:rsid w:val="00687E9B"/>
    <w:rsid w:val="00690087"/>
    <w:rsid w:val="006906AD"/>
    <w:rsid w:val="006907EE"/>
    <w:rsid w:val="00691C2F"/>
    <w:rsid w:val="006947B7"/>
    <w:rsid w:val="006969E7"/>
    <w:rsid w:val="006A07CA"/>
    <w:rsid w:val="006A207B"/>
    <w:rsid w:val="006A2D83"/>
    <w:rsid w:val="006A2E42"/>
    <w:rsid w:val="006A3131"/>
    <w:rsid w:val="006A4BC8"/>
    <w:rsid w:val="006A5032"/>
    <w:rsid w:val="006A5B0E"/>
    <w:rsid w:val="006B0E03"/>
    <w:rsid w:val="006B2781"/>
    <w:rsid w:val="006B4DED"/>
    <w:rsid w:val="006B6589"/>
    <w:rsid w:val="006B7B83"/>
    <w:rsid w:val="006C0E66"/>
    <w:rsid w:val="006C1819"/>
    <w:rsid w:val="006C29FB"/>
    <w:rsid w:val="006C5750"/>
    <w:rsid w:val="006D0366"/>
    <w:rsid w:val="006D3593"/>
    <w:rsid w:val="006D3F0B"/>
    <w:rsid w:val="006D4B07"/>
    <w:rsid w:val="006D5799"/>
    <w:rsid w:val="006D60AB"/>
    <w:rsid w:val="006D6B92"/>
    <w:rsid w:val="006D76EF"/>
    <w:rsid w:val="006E01D5"/>
    <w:rsid w:val="006E0512"/>
    <w:rsid w:val="006E10BF"/>
    <w:rsid w:val="006E23C1"/>
    <w:rsid w:val="006E2489"/>
    <w:rsid w:val="006E4DA8"/>
    <w:rsid w:val="006E7CF8"/>
    <w:rsid w:val="006F0257"/>
    <w:rsid w:val="006F02E9"/>
    <w:rsid w:val="006F0654"/>
    <w:rsid w:val="006F0B62"/>
    <w:rsid w:val="006F0F2D"/>
    <w:rsid w:val="006F1516"/>
    <w:rsid w:val="006F4A07"/>
    <w:rsid w:val="006F690E"/>
    <w:rsid w:val="006F74C9"/>
    <w:rsid w:val="007002F3"/>
    <w:rsid w:val="007065B1"/>
    <w:rsid w:val="007073F6"/>
    <w:rsid w:val="007118F5"/>
    <w:rsid w:val="0071286E"/>
    <w:rsid w:val="007133CF"/>
    <w:rsid w:val="0071506D"/>
    <w:rsid w:val="00715EC6"/>
    <w:rsid w:val="00720431"/>
    <w:rsid w:val="00722718"/>
    <w:rsid w:val="007242F6"/>
    <w:rsid w:val="00724AB1"/>
    <w:rsid w:val="0072543D"/>
    <w:rsid w:val="0072698A"/>
    <w:rsid w:val="007308CD"/>
    <w:rsid w:val="007317AD"/>
    <w:rsid w:val="00734278"/>
    <w:rsid w:val="00740B1E"/>
    <w:rsid w:val="0074108E"/>
    <w:rsid w:val="00741135"/>
    <w:rsid w:val="007417C9"/>
    <w:rsid w:val="00742F27"/>
    <w:rsid w:val="00742FDD"/>
    <w:rsid w:val="007435E3"/>
    <w:rsid w:val="00744AB6"/>
    <w:rsid w:val="00744FD9"/>
    <w:rsid w:val="007451EC"/>
    <w:rsid w:val="00745775"/>
    <w:rsid w:val="00745803"/>
    <w:rsid w:val="00746E6E"/>
    <w:rsid w:val="00751279"/>
    <w:rsid w:val="00751324"/>
    <w:rsid w:val="00751DAF"/>
    <w:rsid w:val="007526A9"/>
    <w:rsid w:val="007530C9"/>
    <w:rsid w:val="00753159"/>
    <w:rsid w:val="00753426"/>
    <w:rsid w:val="00756165"/>
    <w:rsid w:val="007569BB"/>
    <w:rsid w:val="00761508"/>
    <w:rsid w:val="00761577"/>
    <w:rsid w:val="007626C9"/>
    <w:rsid w:val="0076436E"/>
    <w:rsid w:val="00764773"/>
    <w:rsid w:val="00764B9C"/>
    <w:rsid w:val="0076624E"/>
    <w:rsid w:val="0076698F"/>
    <w:rsid w:val="007712FB"/>
    <w:rsid w:val="007717E2"/>
    <w:rsid w:val="00771870"/>
    <w:rsid w:val="00772380"/>
    <w:rsid w:val="007739CA"/>
    <w:rsid w:val="00773EE0"/>
    <w:rsid w:val="007740D4"/>
    <w:rsid w:val="007756B0"/>
    <w:rsid w:val="00776C12"/>
    <w:rsid w:val="00782E30"/>
    <w:rsid w:val="007849EF"/>
    <w:rsid w:val="00785E5E"/>
    <w:rsid w:val="0078600B"/>
    <w:rsid w:val="007868BC"/>
    <w:rsid w:val="00790676"/>
    <w:rsid w:val="00791410"/>
    <w:rsid w:val="007937AE"/>
    <w:rsid w:val="00793DE6"/>
    <w:rsid w:val="00793E8B"/>
    <w:rsid w:val="007958F2"/>
    <w:rsid w:val="007A05C2"/>
    <w:rsid w:val="007A1B5F"/>
    <w:rsid w:val="007A3EEB"/>
    <w:rsid w:val="007A4F3E"/>
    <w:rsid w:val="007A5985"/>
    <w:rsid w:val="007A5F78"/>
    <w:rsid w:val="007A6C49"/>
    <w:rsid w:val="007A777F"/>
    <w:rsid w:val="007A77CB"/>
    <w:rsid w:val="007A791F"/>
    <w:rsid w:val="007B10F6"/>
    <w:rsid w:val="007B1BE5"/>
    <w:rsid w:val="007B368E"/>
    <w:rsid w:val="007B5CFE"/>
    <w:rsid w:val="007B5D05"/>
    <w:rsid w:val="007B5D18"/>
    <w:rsid w:val="007C08E3"/>
    <w:rsid w:val="007C288F"/>
    <w:rsid w:val="007C304F"/>
    <w:rsid w:val="007C78D3"/>
    <w:rsid w:val="007D127B"/>
    <w:rsid w:val="007D2DD6"/>
    <w:rsid w:val="007D5138"/>
    <w:rsid w:val="007D6A05"/>
    <w:rsid w:val="007D6E52"/>
    <w:rsid w:val="007E0AF2"/>
    <w:rsid w:val="007E0B8F"/>
    <w:rsid w:val="007E1330"/>
    <w:rsid w:val="007E3EB8"/>
    <w:rsid w:val="007E46CB"/>
    <w:rsid w:val="007E4FA1"/>
    <w:rsid w:val="007E7BE8"/>
    <w:rsid w:val="007F1111"/>
    <w:rsid w:val="007F3129"/>
    <w:rsid w:val="007F482E"/>
    <w:rsid w:val="007F4C86"/>
    <w:rsid w:val="007F6420"/>
    <w:rsid w:val="007F6AF1"/>
    <w:rsid w:val="007F6F6D"/>
    <w:rsid w:val="007F7257"/>
    <w:rsid w:val="007F7DF3"/>
    <w:rsid w:val="008011FE"/>
    <w:rsid w:val="008049B0"/>
    <w:rsid w:val="008050B0"/>
    <w:rsid w:val="00805ADB"/>
    <w:rsid w:val="00806C10"/>
    <w:rsid w:val="00810253"/>
    <w:rsid w:val="00811E5E"/>
    <w:rsid w:val="0081202C"/>
    <w:rsid w:val="00812452"/>
    <w:rsid w:val="00812E11"/>
    <w:rsid w:val="008165CA"/>
    <w:rsid w:val="00834120"/>
    <w:rsid w:val="0083461E"/>
    <w:rsid w:val="00834A9F"/>
    <w:rsid w:val="008364E5"/>
    <w:rsid w:val="00837B04"/>
    <w:rsid w:val="0084221C"/>
    <w:rsid w:val="0084339B"/>
    <w:rsid w:val="0084393C"/>
    <w:rsid w:val="008458E3"/>
    <w:rsid w:val="00847A89"/>
    <w:rsid w:val="00853068"/>
    <w:rsid w:val="00861669"/>
    <w:rsid w:val="00861A2C"/>
    <w:rsid w:val="00862601"/>
    <w:rsid w:val="008632DB"/>
    <w:rsid w:val="008640A5"/>
    <w:rsid w:val="00865821"/>
    <w:rsid w:val="00865FA0"/>
    <w:rsid w:val="008664A8"/>
    <w:rsid w:val="008666D2"/>
    <w:rsid w:val="00866E96"/>
    <w:rsid w:val="00867FED"/>
    <w:rsid w:val="00870867"/>
    <w:rsid w:val="00874634"/>
    <w:rsid w:val="00875EA5"/>
    <w:rsid w:val="00876AE1"/>
    <w:rsid w:val="00877FC6"/>
    <w:rsid w:val="00881D4B"/>
    <w:rsid w:val="0088313C"/>
    <w:rsid w:val="00891AE7"/>
    <w:rsid w:val="0089247F"/>
    <w:rsid w:val="00893B92"/>
    <w:rsid w:val="008A1155"/>
    <w:rsid w:val="008A3181"/>
    <w:rsid w:val="008A4835"/>
    <w:rsid w:val="008B1B75"/>
    <w:rsid w:val="008B3518"/>
    <w:rsid w:val="008B4D47"/>
    <w:rsid w:val="008B5A12"/>
    <w:rsid w:val="008B7E23"/>
    <w:rsid w:val="008C1FCD"/>
    <w:rsid w:val="008C782A"/>
    <w:rsid w:val="008D49A1"/>
    <w:rsid w:val="008D7628"/>
    <w:rsid w:val="008E1083"/>
    <w:rsid w:val="008E3872"/>
    <w:rsid w:val="008E729D"/>
    <w:rsid w:val="008E769E"/>
    <w:rsid w:val="008F5112"/>
    <w:rsid w:val="008F6655"/>
    <w:rsid w:val="008F6703"/>
    <w:rsid w:val="00900D78"/>
    <w:rsid w:val="00900E6F"/>
    <w:rsid w:val="00901C1E"/>
    <w:rsid w:val="0090218D"/>
    <w:rsid w:val="00904014"/>
    <w:rsid w:val="0090794F"/>
    <w:rsid w:val="00910FE1"/>
    <w:rsid w:val="00911DAB"/>
    <w:rsid w:val="0091229B"/>
    <w:rsid w:val="00912D25"/>
    <w:rsid w:val="0091335D"/>
    <w:rsid w:val="0091485C"/>
    <w:rsid w:val="00915B27"/>
    <w:rsid w:val="00915C96"/>
    <w:rsid w:val="00915D77"/>
    <w:rsid w:val="00916DF8"/>
    <w:rsid w:val="0091758E"/>
    <w:rsid w:val="009216A8"/>
    <w:rsid w:val="00921C68"/>
    <w:rsid w:val="0092229F"/>
    <w:rsid w:val="00923726"/>
    <w:rsid w:val="0092673B"/>
    <w:rsid w:val="0093134E"/>
    <w:rsid w:val="00931786"/>
    <w:rsid w:val="009327E9"/>
    <w:rsid w:val="00936935"/>
    <w:rsid w:val="00937ABE"/>
    <w:rsid w:val="0094016B"/>
    <w:rsid w:val="00945925"/>
    <w:rsid w:val="0095032C"/>
    <w:rsid w:val="00952DE4"/>
    <w:rsid w:val="00953DD4"/>
    <w:rsid w:val="00955434"/>
    <w:rsid w:val="009568EF"/>
    <w:rsid w:val="00956B79"/>
    <w:rsid w:val="00957873"/>
    <w:rsid w:val="00965F6B"/>
    <w:rsid w:val="00970F4C"/>
    <w:rsid w:val="009712DA"/>
    <w:rsid w:val="0097130A"/>
    <w:rsid w:val="00974D94"/>
    <w:rsid w:val="00975512"/>
    <w:rsid w:val="009774FE"/>
    <w:rsid w:val="009832F8"/>
    <w:rsid w:val="009839DA"/>
    <w:rsid w:val="00985E49"/>
    <w:rsid w:val="0098628B"/>
    <w:rsid w:val="00986A4A"/>
    <w:rsid w:val="00991418"/>
    <w:rsid w:val="00991ACD"/>
    <w:rsid w:val="00994476"/>
    <w:rsid w:val="00994B0E"/>
    <w:rsid w:val="009956CF"/>
    <w:rsid w:val="0099700D"/>
    <w:rsid w:val="0099731F"/>
    <w:rsid w:val="00997347"/>
    <w:rsid w:val="009A00AD"/>
    <w:rsid w:val="009A012A"/>
    <w:rsid w:val="009A1CD3"/>
    <w:rsid w:val="009A44A4"/>
    <w:rsid w:val="009A4661"/>
    <w:rsid w:val="009A4A5D"/>
    <w:rsid w:val="009A5EEF"/>
    <w:rsid w:val="009B18EB"/>
    <w:rsid w:val="009B2E0C"/>
    <w:rsid w:val="009B5D1A"/>
    <w:rsid w:val="009B718E"/>
    <w:rsid w:val="009C153E"/>
    <w:rsid w:val="009C28DE"/>
    <w:rsid w:val="009C2C5E"/>
    <w:rsid w:val="009C6741"/>
    <w:rsid w:val="009D0838"/>
    <w:rsid w:val="009D0C9F"/>
    <w:rsid w:val="009D10B2"/>
    <w:rsid w:val="009D2543"/>
    <w:rsid w:val="009D3691"/>
    <w:rsid w:val="009D64E4"/>
    <w:rsid w:val="009D7585"/>
    <w:rsid w:val="009E20F1"/>
    <w:rsid w:val="009E3300"/>
    <w:rsid w:val="009E357A"/>
    <w:rsid w:val="009E38EA"/>
    <w:rsid w:val="009E5040"/>
    <w:rsid w:val="009E5594"/>
    <w:rsid w:val="009E573C"/>
    <w:rsid w:val="009F0B01"/>
    <w:rsid w:val="009F46F4"/>
    <w:rsid w:val="009F517D"/>
    <w:rsid w:val="009F6554"/>
    <w:rsid w:val="009F7F98"/>
    <w:rsid w:val="00A02BFE"/>
    <w:rsid w:val="00A02F58"/>
    <w:rsid w:val="00A032AE"/>
    <w:rsid w:val="00A10DAC"/>
    <w:rsid w:val="00A16274"/>
    <w:rsid w:val="00A241DA"/>
    <w:rsid w:val="00A26A1F"/>
    <w:rsid w:val="00A26ACB"/>
    <w:rsid w:val="00A31988"/>
    <w:rsid w:val="00A34FE2"/>
    <w:rsid w:val="00A35FDA"/>
    <w:rsid w:val="00A360E8"/>
    <w:rsid w:val="00A41596"/>
    <w:rsid w:val="00A41736"/>
    <w:rsid w:val="00A4395F"/>
    <w:rsid w:val="00A43B9C"/>
    <w:rsid w:val="00A4581B"/>
    <w:rsid w:val="00A45BD4"/>
    <w:rsid w:val="00A46B06"/>
    <w:rsid w:val="00A471E3"/>
    <w:rsid w:val="00A47483"/>
    <w:rsid w:val="00A47DDA"/>
    <w:rsid w:val="00A50892"/>
    <w:rsid w:val="00A509C6"/>
    <w:rsid w:val="00A51774"/>
    <w:rsid w:val="00A51CBB"/>
    <w:rsid w:val="00A52A49"/>
    <w:rsid w:val="00A52A66"/>
    <w:rsid w:val="00A53C94"/>
    <w:rsid w:val="00A53DBD"/>
    <w:rsid w:val="00A53E4F"/>
    <w:rsid w:val="00A54EC4"/>
    <w:rsid w:val="00A565DE"/>
    <w:rsid w:val="00A56DD8"/>
    <w:rsid w:val="00A576CB"/>
    <w:rsid w:val="00A6017D"/>
    <w:rsid w:val="00A64309"/>
    <w:rsid w:val="00A64A02"/>
    <w:rsid w:val="00A656C0"/>
    <w:rsid w:val="00A66688"/>
    <w:rsid w:val="00A70686"/>
    <w:rsid w:val="00A7161E"/>
    <w:rsid w:val="00A7291A"/>
    <w:rsid w:val="00A74888"/>
    <w:rsid w:val="00A75C94"/>
    <w:rsid w:val="00A77178"/>
    <w:rsid w:val="00A77540"/>
    <w:rsid w:val="00A81723"/>
    <w:rsid w:val="00A81DF0"/>
    <w:rsid w:val="00A8266F"/>
    <w:rsid w:val="00A843B5"/>
    <w:rsid w:val="00A855EA"/>
    <w:rsid w:val="00A863E8"/>
    <w:rsid w:val="00A86B3F"/>
    <w:rsid w:val="00A86F4D"/>
    <w:rsid w:val="00A9067B"/>
    <w:rsid w:val="00A90E80"/>
    <w:rsid w:val="00A91FCD"/>
    <w:rsid w:val="00A93BF1"/>
    <w:rsid w:val="00A95960"/>
    <w:rsid w:val="00A96579"/>
    <w:rsid w:val="00A9669B"/>
    <w:rsid w:val="00A9791E"/>
    <w:rsid w:val="00AA011F"/>
    <w:rsid w:val="00AA1DFA"/>
    <w:rsid w:val="00AA2965"/>
    <w:rsid w:val="00AA2CC0"/>
    <w:rsid w:val="00AA363D"/>
    <w:rsid w:val="00AA5A81"/>
    <w:rsid w:val="00AA6540"/>
    <w:rsid w:val="00AA66F4"/>
    <w:rsid w:val="00AA7C77"/>
    <w:rsid w:val="00AB1368"/>
    <w:rsid w:val="00AB37F4"/>
    <w:rsid w:val="00AB6561"/>
    <w:rsid w:val="00AB6BAD"/>
    <w:rsid w:val="00AB6C36"/>
    <w:rsid w:val="00AB70BA"/>
    <w:rsid w:val="00AB78C9"/>
    <w:rsid w:val="00AC077D"/>
    <w:rsid w:val="00AC433F"/>
    <w:rsid w:val="00AC4B04"/>
    <w:rsid w:val="00AC5426"/>
    <w:rsid w:val="00AC5B37"/>
    <w:rsid w:val="00AC5D55"/>
    <w:rsid w:val="00AD0539"/>
    <w:rsid w:val="00AD0A31"/>
    <w:rsid w:val="00AD1B06"/>
    <w:rsid w:val="00AD359A"/>
    <w:rsid w:val="00AD6104"/>
    <w:rsid w:val="00AD6C55"/>
    <w:rsid w:val="00AD73D3"/>
    <w:rsid w:val="00AE0D84"/>
    <w:rsid w:val="00AE2165"/>
    <w:rsid w:val="00AF2D89"/>
    <w:rsid w:val="00AF6AA2"/>
    <w:rsid w:val="00AF7DA4"/>
    <w:rsid w:val="00B00EBD"/>
    <w:rsid w:val="00B0370E"/>
    <w:rsid w:val="00B03E68"/>
    <w:rsid w:val="00B053E0"/>
    <w:rsid w:val="00B05B63"/>
    <w:rsid w:val="00B05E35"/>
    <w:rsid w:val="00B11E99"/>
    <w:rsid w:val="00B124BD"/>
    <w:rsid w:val="00B12FB8"/>
    <w:rsid w:val="00B14742"/>
    <w:rsid w:val="00B209C9"/>
    <w:rsid w:val="00B22390"/>
    <w:rsid w:val="00B244A1"/>
    <w:rsid w:val="00B248CE"/>
    <w:rsid w:val="00B24F72"/>
    <w:rsid w:val="00B27419"/>
    <w:rsid w:val="00B3056F"/>
    <w:rsid w:val="00B329B9"/>
    <w:rsid w:val="00B3491F"/>
    <w:rsid w:val="00B37406"/>
    <w:rsid w:val="00B404DF"/>
    <w:rsid w:val="00B419C8"/>
    <w:rsid w:val="00B4227A"/>
    <w:rsid w:val="00B43B8D"/>
    <w:rsid w:val="00B43EEA"/>
    <w:rsid w:val="00B43F6D"/>
    <w:rsid w:val="00B442A2"/>
    <w:rsid w:val="00B46712"/>
    <w:rsid w:val="00B50D5E"/>
    <w:rsid w:val="00B55568"/>
    <w:rsid w:val="00B62863"/>
    <w:rsid w:val="00B6294B"/>
    <w:rsid w:val="00B6401E"/>
    <w:rsid w:val="00B652A1"/>
    <w:rsid w:val="00B702C0"/>
    <w:rsid w:val="00B73529"/>
    <w:rsid w:val="00B735DD"/>
    <w:rsid w:val="00B737D1"/>
    <w:rsid w:val="00B7459B"/>
    <w:rsid w:val="00B749E2"/>
    <w:rsid w:val="00B74CE9"/>
    <w:rsid w:val="00B7553C"/>
    <w:rsid w:val="00B75C20"/>
    <w:rsid w:val="00B80B48"/>
    <w:rsid w:val="00B82635"/>
    <w:rsid w:val="00B82C51"/>
    <w:rsid w:val="00B84139"/>
    <w:rsid w:val="00B916D8"/>
    <w:rsid w:val="00B91F39"/>
    <w:rsid w:val="00BA00C5"/>
    <w:rsid w:val="00BA4F96"/>
    <w:rsid w:val="00BA5D85"/>
    <w:rsid w:val="00BA6688"/>
    <w:rsid w:val="00BA6F4B"/>
    <w:rsid w:val="00BB0374"/>
    <w:rsid w:val="00BC1A5D"/>
    <w:rsid w:val="00BC29AA"/>
    <w:rsid w:val="00BC34D3"/>
    <w:rsid w:val="00BC6808"/>
    <w:rsid w:val="00BC71E1"/>
    <w:rsid w:val="00BD1485"/>
    <w:rsid w:val="00BD2962"/>
    <w:rsid w:val="00BD5D49"/>
    <w:rsid w:val="00BD643D"/>
    <w:rsid w:val="00BD7652"/>
    <w:rsid w:val="00BE0302"/>
    <w:rsid w:val="00BE1182"/>
    <w:rsid w:val="00BE1A33"/>
    <w:rsid w:val="00BE28AA"/>
    <w:rsid w:val="00BE41D3"/>
    <w:rsid w:val="00BE720A"/>
    <w:rsid w:val="00BE7698"/>
    <w:rsid w:val="00BF04DC"/>
    <w:rsid w:val="00BF1755"/>
    <w:rsid w:val="00BF1BFB"/>
    <w:rsid w:val="00BF41E2"/>
    <w:rsid w:val="00BF43F8"/>
    <w:rsid w:val="00C05D57"/>
    <w:rsid w:val="00C069AA"/>
    <w:rsid w:val="00C07A0C"/>
    <w:rsid w:val="00C107F6"/>
    <w:rsid w:val="00C11E9D"/>
    <w:rsid w:val="00C12D6A"/>
    <w:rsid w:val="00C13243"/>
    <w:rsid w:val="00C13590"/>
    <w:rsid w:val="00C145CF"/>
    <w:rsid w:val="00C20B14"/>
    <w:rsid w:val="00C20C68"/>
    <w:rsid w:val="00C221D7"/>
    <w:rsid w:val="00C2331C"/>
    <w:rsid w:val="00C253BB"/>
    <w:rsid w:val="00C27302"/>
    <w:rsid w:val="00C30188"/>
    <w:rsid w:val="00C30F72"/>
    <w:rsid w:val="00C312C0"/>
    <w:rsid w:val="00C363DF"/>
    <w:rsid w:val="00C36B08"/>
    <w:rsid w:val="00C41926"/>
    <w:rsid w:val="00C41CD3"/>
    <w:rsid w:val="00C42DB3"/>
    <w:rsid w:val="00C42FB9"/>
    <w:rsid w:val="00C445D9"/>
    <w:rsid w:val="00C47033"/>
    <w:rsid w:val="00C47BB5"/>
    <w:rsid w:val="00C52357"/>
    <w:rsid w:val="00C52529"/>
    <w:rsid w:val="00C52530"/>
    <w:rsid w:val="00C52BDA"/>
    <w:rsid w:val="00C578BE"/>
    <w:rsid w:val="00C57C53"/>
    <w:rsid w:val="00C604F4"/>
    <w:rsid w:val="00C61129"/>
    <w:rsid w:val="00C618DA"/>
    <w:rsid w:val="00C640B2"/>
    <w:rsid w:val="00C707B3"/>
    <w:rsid w:val="00C72CF8"/>
    <w:rsid w:val="00C743E5"/>
    <w:rsid w:val="00C74E37"/>
    <w:rsid w:val="00C760C0"/>
    <w:rsid w:val="00C76DAA"/>
    <w:rsid w:val="00C76F61"/>
    <w:rsid w:val="00C77B65"/>
    <w:rsid w:val="00C81FFA"/>
    <w:rsid w:val="00C8219F"/>
    <w:rsid w:val="00C83A74"/>
    <w:rsid w:val="00C840E1"/>
    <w:rsid w:val="00C846A4"/>
    <w:rsid w:val="00C847EE"/>
    <w:rsid w:val="00C853D5"/>
    <w:rsid w:val="00C91BDE"/>
    <w:rsid w:val="00C9276F"/>
    <w:rsid w:val="00C94F32"/>
    <w:rsid w:val="00C96336"/>
    <w:rsid w:val="00CA085B"/>
    <w:rsid w:val="00CA18AB"/>
    <w:rsid w:val="00CA1B43"/>
    <w:rsid w:val="00CA4464"/>
    <w:rsid w:val="00CA4CD4"/>
    <w:rsid w:val="00CA6442"/>
    <w:rsid w:val="00CA6C99"/>
    <w:rsid w:val="00CA7152"/>
    <w:rsid w:val="00CB02F7"/>
    <w:rsid w:val="00CB1ADE"/>
    <w:rsid w:val="00CB25A2"/>
    <w:rsid w:val="00CB420A"/>
    <w:rsid w:val="00CB4B5C"/>
    <w:rsid w:val="00CC2015"/>
    <w:rsid w:val="00CC26EB"/>
    <w:rsid w:val="00CC5263"/>
    <w:rsid w:val="00CC59E5"/>
    <w:rsid w:val="00CC652A"/>
    <w:rsid w:val="00CC6ADD"/>
    <w:rsid w:val="00CC6EDB"/>
    <w:rsid w:val="00CD2F67"/>
    <w:rsid w:val="00CD3754"/>
    <w:rsid w:val="00CD5E04"/>
    <w:rsid w:val="00CD5E74"/>
    <w:rsid w:val="00CD70A1"/>
    <w:rsid w:val="00CE0239"/>
    <w:rsid w:val="00CE132D"/>
    <w:rsid w:val="00CE3BEA"/>
    <w:rsid w:val="00CE499C"/>
    <w:rsid w:val="00CE752F"/>
    <w:rsid w:val="00CE7E60"/>
    <w:rsid w:val="00CF009F"/>
    <w:rsid w:val="00CF04AE"/>
    <w:rsid w:val="00CF14A0"/>
    <w:rsid w:val="00CF168B"/>
    <w:rsid w:val="00CF1F46"/>
    <w:rsid w:val="00CF2B26"/>
    <w:rsid w:val="00CF33C5"/>
    <w:rsid w:val="00D00987"/>
    <w:rsid w:val="00D02FD7"/>
    <w:rsid w:val="00D03D06"/>
    <w:rsid w:val="00D04AAE"/>
    <w:rsid w:val="00D06A43"/>
    <w:rsid w:val="00D079BC"/>
    <w:rsid w:val="00D12CC9"/>
    <w:rsid w:val="00D13792"/>
    <w:rsid w:val="00D15BCA"/>
    <w:rsid w:val="00D17A6F"/>
    <w:rsid w:val="00D17BD7"/>
    <w:rsid w:val="00D17CA1"/>
    <w:rsid w:val="00D21E2D"/>
    <w:rsid w:val="00D22B42"/>
    <w:rsid w:val="00D2328B"/>
    <w:rsid w:val="00D26972"/>
    <w:rsid w:val="00D30647"/>
    <w:rsid w:val="00D3351A"/>
    <w:rsid w:val="00D34147"/>
    <w:rsid w:val="00D36AF6"/>
    <w:rsid w:val="00D36E09"/>
    <w:rsid w:val="00D41969"/>
    <w:rsid w:val="00D44632"/>
    <w:rsid w:val="00D5296E"/>
    <w:rsid w:val="00D5414D"/>
    <w:rsid w:val="00D5552B"/>
    <w:rsid w:val="00D557FD"/>
    <w:rsid w:val="00D569A1"/>
    <w:rsid w:val="00D571EF"/>
    <w:rsid w:val="00D632A3"/>
    <w:rsid w:val="00D65589"/>
    <w:rsid w:val="00D65BB5"/>
    <w:rsid w:val="00D6788F"/>
    <w:rsid w:val="00D70EC5"/>
    <w:rsid w:val="00D718BC"/>
    <w:rsid w:val="00D755D9"/>
    <w:rsid w:val="00D766F5"/>
    <w:rsid w:val="00D76947"/>
    <w:rsid w:val="00D82C29"/>
    <w:rsid w:val="00D82EAC"/>
    <w:rsid w:val="00D84002"/>
    <w:rsid w:val="00D84A39"/>
    <w:rsid w:val="00D85131"/>
    <w:rsid w:val="00D903FD"/>
    <w:rsid w:val="00D97860"/>
    <w:rsid w:val="00D97ADF"/>
    <w:rsid w:val="00DA064C"/>
    <w:rsid w:val="00DA2206"/>
    <w:rsid w:val="00DA2795"/>
    <w:rsid w:val="00DA2CD8"/>
    <w:rsid w:val="00DA3E94"/>
    <w:rsid w:val="00DA6D9D"/>
    <w:rsid w:val="00DA6F8C"/>
    <w:rsid w:val="00DA7B93"/>
    <w:rsid w:val="00DB2B41"/>
    <w:rsid w:val="00DC1151"/>
    <w:rsid w:val="00DC1B2E"/>
    <w:rsid w:val="00DC3579"/>
    <w:rsid w:val="00DC3612"/>
    <w:rsid w:val="00DC4D0A"/>
    <w:rsid w:val="00DC5066"/>
    <w:rsid w:val="00DC6D2F"/>
    <w:rsid w:val="00DD08E2"/>
    <w:rsid w:val="00DD2EFD"/>
    <w:rsid w:val="00DD3DC2"/>
    <w:rsid w:val="00DD76B1"/>
    <w:rsid w:val="00DE2383"/>
    <w:rsid w:val="00DE31B5"/>
    <w:rsid w:val="00DE3926"/>
    <w:rsid w:val="00DE5206"/>
    <w:rsid w:val="00DE53F3"/>
    <w:rsid w:val="00DE70F3"/>
    <w:rsid w:val="00DF020F"/>
    <w:rsid w:val="00DF1CE6"/>
    <w:rsid w:val="00DF2FBD"/>
    <w:rsid w:val="00DF3624"/>
    <w:rsid w:val="00DF5EB7"/>
    <w:rsid w:val="00DF5FD1"/>
    <w:rsid w:val="00DF6A23"/>
    <w:rsid w:val="00E021C1"/>
    <w:rsid w:val="00E04A24"/>
    <w:rsid w:val="00E05177"/>
    <w:rsid w:val="00E0564D"/>
    <w:rsid w:val="00E07227"/>
    <w:rsid w:val="00E07987"/>
    <w:rsid w:val="00E10926"/>
    <w:rsid w:val="00E12D02"/>
    <w:rsid w:val="00E13590"/>
    <w:rsid w:val="00E14926"/>
    <w:rsid w:val="00E17420"/>
    <w:rsid w:val="00E17889"/>
    <w:rsid w:val="00E233A3"/>
    <w:rsid w:val="00E234FB"/>
    <w:rsid w:val="00E25D74"/>
    <w:rsid w:val="00E31B37"/>
    <w:rsid w:val="00E33CB7"/>
    <w:rsid w:val="00E34912"/>
    <w:rsid w:val="00E34C21"/>
    <w:rsid w:val="00E3564C"/>
    <w:rsid w:val="00E35E72"/>
    <w:rsid w:val="00E41079"/>
    <w:rsid w:val="00E42721"/>
    <w:rsid w:val="00E42FEC"/>
    <w:rsid w:val="00E43490"/>
    <w:rsid w:val="00E44AF0"/>
    <w:rsid w:val="00E5082E"/>
    <w:rsid w:val="00E5125F"/>
    <w:rsid w:val="00E513CC"/>
    <w:rsid w:val="00E517CA"/>
    <w:rsid w:val="00E51A66"/>
    <w:rsid w:val="00E5415A"/>
    <w:rsid w:val="00E5487E"/>
    <w:rsid w:val="00E54C30"/>
    <w:rsid w:val="00E55349"/>
    <w:rsid w:val="00E55557"/>
    <w:rsid w:val="00E56072"/>
    <w:rsid w:val="00E57141"/>
    <w:rsid w:val="00E62ED2"/>
    <w:rsid w:val="00E64C90"/>
    <w:rsid w:val="00E658A1"/>
    <w:rsid w:val="00E671FC"/>
    <w:rsid w:val="00E75D3B"/>
    <w:rsid w:val="00E76BB5"/>
    <w:rsid w:val="00E76CA1"/>
    <w:rsid w:val="00E76F75"/>
    <w:rsid w:val="00E77E42"/>
    <w:rsid w:val="00E80E25"/>
    <w:rsid w:val="00E84BB9"/>
    <w:rsid w:val="00E84FA2"/>
    <w:rsid w:val="00E876A0"/>
    <w:rsid w:val="00E90002"/>
    <w:rsid w:val="00E917DD"/>
    <w:rsid w:val="00E928D7"/>
    <w:rsid w:val="00E960CA"/>
    <w:rsid w:val="00E97C4A"/>
    <w:rsid w:val="00E97DD0"/>
    <w:rsid w:val="00EA02A9"/>
    <w:rsid w:val="00EA0448"/>
    <w:rsid w:val="00EB049A"/>
    <w:rsid w:val="00EB1536"/>
    <w:rsid w:val="00EB1C20"/>
    <w:rsid w:val="00EB20AF"/>
    <w:rsid w:val="00EB20BC"/>
    <w:rsid w:val="00EB2B6A"/>
    <w:rsid w:val="00EB4222"/>
    <w:rsid w:val="00EB4C46"/>
    <w:rsid w:val="00EC18C3"/>
    <w:rsid w:val="00EC19E1"/>
    <w:rsid w:val="00EC3396"/>
    <w:rsid w:val="00EC5F32"/>
    <w:rsid w:val="00EC5F36"/>
    <w:rsid w:val="00EC6E52"/>
    <w:rsid w:val="00EC78B4"/>
    <w:rsid w:val="00ED051B"/>
    <w:rsid w:val="00ED0D28"/>
    <w:rsid w:val="00ED1554"/>
    <w:rsid w:val="00ED1601"/>
    <w:rsid w:val="00ED4C37"/>
    <w:rsid w:val="00ED6399"/>
    <w:rsid w:val="00ED7365"/>
    <w:rsid w:val="00ED7FBD"/>
    <w:rsid w:val="00EE0A91"/>
    <w:rsid w:val="00EE28CD"/>
    <w:rsid w:val="00EE44D2"/>
    <w:rsid w:val="00EE45FD"/>
    <w:rsid w:val="00EE4E26"/>
    <w:rsid w:val="00EE5DF0"/>
    <w:rsid w:val="00EE6B58"/>
    <w:rsid w:val="00EE7AF5"/>
    <w:rsid w:val="00EF10E8"/>
    <w:rsid w:val="00EF34F7"/>
    <w:rsid w:val="00EF3746"/>
    <w:rsid w:val="00EF3E1B"/>
    <w:rsid w:val="00F0096B"/>
    <w:rsid w:val="00F05682"/>
    <w:rsid w:val="00F06E41"/>
    <w:rsid w:val="00F101C8"/>
    <w:rsid w:val="00F17161"/>
    <w:rsid w:val="00F177AC"/>
    <w:rsid w:val="00F20F55"/>
    <w:rsid w:val="00F2227D"/>
    <w:rsid w:val="00F2233A"/>
    <w:rsid w:val="00F23D0F"/>
    <w:rsid w:val="00F2629E"/>
    <w:rsid w:val="00F325C0"/>
    <w:rsid w:val="00F32725"/>
    <w:rsid w:val="00F34857"/>
    <w:rsid w:val="00F35A04"/>
    <w:rsid w:val="00F3653F"/>
    <w:rsid w:val="00F36B57"/>
    <w:rsid w:val="00F42B81"/>
    <w:rsid w:val="00F434C7"/>
    <w:rsid w:val="00F455CE"/>
    <w:rsid w:val="00F51A31"/>
    <w:rsid w:val="00F53064"/>
    <w:rsid w:val="00F535B4"/>
    <w:rsid w:val="00F5504F"/>
    <w:rsid w:val="00F5578A"/>
    <w:rsid w:val="00F563D1"/>
    <w:rsid w:val="00F56DD9"/>
    <w:rsid w:val="00F571C2"/>
    <w:rsid w:val="00F6235A"/>
    <w:rsid w:val="00F63B1C"/>
    <w:rsid w:val="00F63FBE"/>
    <w:rsid w:val="00F70011"/>
    <w:rsid w:val="00F70BB3"/>
    <w:rsid w:val="00F71684"/>
    <w:rsid w:val="00F72269"/>
    <w:rsid w:val="00F7415D"/>
    <w:rsid w:val="00F75EBF"/>
    <w:rsid w:val="00F76C54"/>
    <w:rsid w:val="00F76F11"/>
    <w:rsid w:val="00F76FE2"/>
    <w:rsid w:val="00F773B2"/>
    <w:rsid w:val="00F80B98"/>
    <w:rsid w:val="00F80E9D"/>
    <w:rsid w:val="00F81B93"/>
    <w:rsid w:val="00F84319"/>
    <w:rsid w:val="00F858BA"/>
    <w:rsid w:val="00F86077"/>
    <w:rsid w:val="00F86697"/>
    <w:rsid w:val="00F86DD5"/>
    <w:rsid w:val="00F86F18"/>
    <w:rsid w:val="00F90494"/>
    <w:rsid w:val="00F90BC0"/>
    <w:rsid w:val="00F921C2"/>
    <w:rsid w:val="00F92DC8"/>
    <w:rsid w:val="00F94CFF"/>
    <w:rsid w:val="00FA0393"/>
    <w:rsid w:val="00FA1F56"/>
    <w:rsid w:val="00FA2ECD"/>
    <w:rsid w:val="00FA49A7"/>
    <w:rsid w:val="00FA5453"/>
    <w:rsid w:val="00FA5E4C"/>
    <w:rsid w:val="00FA703B"/>
    <w:rsid w:val="00FA715E"/>
    <w:rsid w:val="00FB1CB1"/>
    <w:rsid w:val="00FB27F5"/>
    <w:rsid w:val="00FB5C17"/>
    <w:rsid w:val="00FB6F83"/>
    <w:rsid w:val="00FB7300"/>
    <w:rsid w:val="00FC14D4"/>
    <w:rsid w:val="00FC1C72"/>
    <w:rsid w:val="00FC5060"/>
    <w:rsid w:val="00FC7475"/>
    <w:rsid w:val="00FD00AA"/>
    <w:rsid w:val="00FD0B1C"/>
    <w:rsid w:val="00FD2745"/>
    <w:rsid w:val="00FD7A4A"/>
    <w:rsid w:val="00FE026E"/>
    <w:rsid w:val="00FE2242"/>
    <w:rsid w:val="00FE246B"/>
    <w:rsid w:val="00FE41B0"/>
    <w:rsid w:val="00FE507E"/>
    <w:rsid w:val="00FE63C1"/>
    <w:rsid w:val="00FF13A7"/>
    <w:rsid w:val="00FF175D"/>
    <w:rsid w:val="00FF4645"/>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1BB7"/>
  <w15:docId w15:val="{C8F78379-212C-4165-8002-32D9ED03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tulo1">
    <w:name w:val="heading 1"/>
    <w:basedOn w:val="Normal"/>
    <w:next w:val="Normal"/>
    <w:link w:val="Ttulo1Carte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ter"/>
    <w:qFormat/>
    <w:rsid w:val="004E3B3E"/>
    <w:pPr>
      <w:keepNext/>
      <w:spacing w:before="240" w:after="60"/>
      <w:outlineLvl w:val="1"/>
    </w:pPr>
    <w:rPr>
      <w:rFonts w:ascii="Cambria" w:hAnsi="Cambria"/>
      <w:b/>
      <w:bCs/>
      <w:i/>
      <w:iCs/>
      <w:sz w:val="28"/>
      <w:szCs w:val="28"/>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E76CA1"/>
    <w:rPr>
      <w:color w:val="0000FF"/>
      <w:u w:val="single"/>
    </w:rPr>
  </w:style>
  <w:style w:type="paragraph" w:styleId="Textodenotaderodap">
    <w:name w:val="footnote text"/>
    <w:aliases w:val="ft,ADB,single space,Footnote Text Char Char Char,Footnote Text Char Char Char Char"/>
    <w:basedOn w:val="Normal"/>
    <w:link w:val="TextodenotaderodapCarter"/>
    <w:uiPriority w:val="99"/>
    <w:rsid w:val="00E76CA1"/>
    <w:rPr>
      <w:sz w:val="20"/>
      <w:szCs w:val="20"/>
    </w:rPr>
  </w:style>
  <w:style w:type="character" w:customStyle="1" w:styleId="TextodenotaderodapCarter">
    <w:name w:val="Texto de nota de rodapé Caráter"/>
    <w:aliases w:val="ft Caráter,ADB Caráter,single space Caráter,Footnote Text Char Char Char Caráter,Footnote Text Char Char Char Char Caráter"/>
    <w:link w:val="Textodenotaderodap"/>
    <w:uiPriority w:val="99"/>
    <w:rsid w:val="00E76CA1"/>
    <w:rPr>
      <w:rFonts w:ascii="Times New Roman" w:eastAsia="Times New Roman" w:hAnsi="Times New Roman" w:cs="Times New Roman"/>
      <w:sz w:val="20"/>
      <w:szCs w:val="20"/>
      <w:lang w:val="en-GB" w:eastAsia="en-GB"/>
    </w:rPr>
  </w:style>
  <w:style w:type="character" w:styleId="Refdenotaderodap">
    <w:name w:val="footnote reference"/>
    <w:uiPriority w:val="99"/>
    <w:rsid w:val="00E76CA1"/>
    <w:rPr>
      <w:vertAlign w:val="superscript"/>
    </w:rPr>
  </w:style>
  <w:style w:type="paragraph" w:styleId="Textodebalo">
    <w:name w:val="Balloon Text"/>
    <w:basedOn w:val="Normal"/>
    <w:link w:val="TextodebaloCarter"/>
    <w:unhideWhenUsed/>
    <w:rsid w:val="00E76CA1"/>
    <w:rPr>
      <w:rFonts w:ascii="Tahoma" w:hAnsi="Tahoma" w:cs="Tahoma"/>
      <w:sz w:val="16"/>
      <w:szCs w:val="16"/>
    </w:rPr>
  </w:style>
  <w:style w:type="character" w:customStyle="1" w:styleId="TextodebaloCarter">
    <w:name w:val="Texto de balão Caráter"/>
    <w:link w:val="Textodebalo"/>
    <w:rsid w:val="00E76CA1"/>
    <w:rPr>
      <w:rFonts w:ascii="Tahoma" w:eastAsia="Times New Roman" w:hAnsi="Tahoma" w:cs="Tahoma"/>
      <w:sz w:val="16"/>
      <w:szCs w:val="16"/>
      <w:lang w:val="en-GB" w:eastAsia="en-GB"/>
    </w:rPr>
  </w:style>
  <w:style w:type="paragraph" w:styleId="Cabealho">
    <w:name w:val="header"/>
    <w:basedOn w:val="Normal"/>
    <w:link w:val="CabealhoCarter"/>
    <w:unhideWhenUsed/>
    <w:rsid w:val="00A56DD8"/>
    <w:pPr>
      <w:tabs>
        <w:tab w:val="center" w:pos="4680"/>
        <w:tab w:val="right" w:pos="9360"/>
      </w:tabs>
    </w:pPr>
  </w:style>
  <w:style w:type="character" w:customStyle="1" w:styleId="CabealhoCarter">
    <w:name w:val="Cabeçalho Caráter"/>
    <w:link w:val="Cabealho"/>
    <w:rsid w:val="00A56DD8"/>
    <w:rPr>
      <w:rFonts w:ascii="Times New Roman" w:eastAsia="Times New Roman" w:hAnsi="Times New Roman" w:cs="Times New Roman"/>
      <w:sz w:val="24"/>
      <w:szCs w:val="24"/>
      <w:lang w:val="en-GB" w:eastAsia="en-GB"/>
    </w:rPr>
  </w:style>
  <w:style w:type="paragraph" w:styleId="Rodap">
    <w:name w:val="footer"/>
    <w:basedOn w:val="Normal"/>
    <w:link w:val="RodapCarter"/>
    <w:unhideWhenUsed/>
    <w:rsid w:val="00A56DD8"/>
    <w:pPr>
      <w:tabs>
        <w:tab w:val="center" w:pos="4680"/>
        <w:tab w:val="right" w:pos="9360"/>
      </w:tabs>
    </w:pPr>
  </w:style>
  <w:style w:type="character" w:customStyle="1" w:styleId="RodapCarter">
    <w:name w:val="Rodapé Caráter"/>
    <w:link w:val="Rodap"/>
    <w:uiPriority w:val="99"/>
    <w:rsid w:val="00A56DD8"/>
    <w:rPr>
      <w:rFonts w:ascii="Times New Roman" w:eastAsia="Times New Roman" w:hAnsi="Times New Roman" w:cs="Times New Roman"/>
      <w:sz w:val="24"/>
      <w:szCs w:val="24"/>
      <w:lang w:val="en-GB" w:eastAsia="en-GB"/>
    </w:rPr>
  </w:style>
  <w:style w:type="paragraph" w:styleId="PargrafodaLista">
    <w:name w:val="List Paragraph"/>
    <w:basedOn w:val="Normal"/>
    <w:qFormat/>
    <w:rsid w:val="00550982"/>
    <w:pPr>
      <w:ind w:left="720"/>
      <w:contextualSpacing/>
    </w:pPr>
  </w:style>
  <w:style w:type="character" w:styleId="Hiperligaovisitada">
    <w:name w:val="FollowedHyperlink"/>
    <w:uiPriority w:val="99"/>
    <w:semiHidden/>
    <w:unhideWhenUsed/>
    <w:rsid w:val="00FC7475"/>
    <w:rPr>
      <w:color w:val="800080"/>
      <w:u w:val="single"/>
    </w:rPr>
  </w:style>
  <w:style w:type="character" w:styleId="Refdecomentrio">
    <w:name w:val="annotation reference"/>
    <w:semiHidden/>
    <w:rsid w:val="006C29FB"/>
    <w:rPr>
      <w:sz w:val="16"/>
      <w:szCs w:val="16"/>
    </w:rPr>
  </w:style>
  <w:style w:type="paragraph" w:styleId="Textodecomentrio">
    <w:name w:val="annotation text"/>
    <w:basedOn w:val="Normal"/>
    <w:link w:val="TextodecomentrioCarter"/>
    <w:semiHidden/>
    <w:rsid w:val="006C29FB"/>
    <w:rPr>
      <w:sz w:val="20"/>
      <w:szCs w:val="20"/>
    </w:rPr>
  </w:style>
  <w:style w:type="paragraph" w:styleId="Assuntodecomentrio">
    <w:name w:val="annotation subject"/>
    <w:basedOn w:val="Textodecomentrio"/>
    <w:next w:val="Textodecomentrio"/>
    <w:semiHidden/>
    <w:rsid w:val="006C29FB"/>
    <w:rPr>
      <w:b/>
      <w:bCs/>
    </w:rPr>
  </w:style>
  <w:style w:type="paragraph" w:styleId="Reviso">
    <w:name w:val="Revision"/>
    <w:hidden/>
    <w:uiPriority w:val="99"/>
    <w:semiHidden/>
    <w:rsid w:val="0046101E"/>
    <w:rPr>
      <w:rFonts w:ascii="Times New Roman" w:eastAsia="Times New Roman" w:hAnsi="Times New Roman"/>
      <w:sz w:val="24"/>
      <w:szCs w:val="24"/>
      <w:lang w:val="en-GB" w:eastAsia="en-GB"/>
    </w:rPr>
  </w:style>
  <w:style w:type="table" w:styleId="TabelacomGrelha">
    <w:name w:val="Table Grid"/>
    <w:basedOn w:val="Tabe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ter">
    <w:name w:val="Título 1 Caráter"/>
    <w:link w:val="Ttulo1"/>
    <w:rsid w:val="004E3B3E"/>
    <w:rPr>
      <w:rFonts w:ascii="Cambria" w:eastAsia="Times New Roman" w:hAnsi="Cambria"/>
      <w:b/>
      <w:bCs/>
      <w:kern w:val="32"/>
      <w:sz w:val="32"/>
      <w:szCs w:val="32"/>
      <w:lang w:val="en-US" w:eastAsia="en-US"/>
    </w:rPr>
  </w:style>
  <w:style w:type="character" w:customStyle="1" w:styleId="Ttulo2Carter">
    <w:name w:val="Título 2 Caráter"/>
    <w:link w:val="Ttulo2"/>
    <w:rsid w:val="004E3B3E"/>
    <w:rPr>
      <w:rFonts w:ascii="Cambria" w:eastAsia="Times New Roman" w:hAnsi="Cambria"/>
      <w:b/>
      <w:bCs/>
      <w:i/>
      <w:iCs/>
      <w:sz w:val="28"/>
      <w:szCs w:val="28"/>
      <w:lang w:val="en-US" w:eastAsia="en-US"/>
    </w:rPr>
  </w:style>
  <w:style w:type="numbering" w:customStyle="1" w:styleId="NoList1">
    <w:name w:val="No List1"/>
    <w:next w:val="Semlista"/>
    <w:semiHidden/>
    <w:rsid w:val="004E3B3E"/>
  </w:style>
  <w:style w:type="table" w:customStyle="1" w:styleId="TableGrid1">
    <w:name w:val="Table Grid1"/>
    <w:basedOn w:val="Tabelanormal"/>
    <w:next w:val="TabelacomGrelh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emEspaamento">
    <w:name w:val="No Spacing"/>
    <w:qFormat/>
    <w:rsid w:val="004E3B3E"/>
    <w:pPr>
      <w:ind w:left="1440" w:right="720"/>
    </w:pPr>
    <w:rPr>
      <w:sz w:val="22"/>
      <w:szCs w:val="22"/>
      <w:lang w:val="en-GB" w:eastAsia="en-US"/>
    </w:rPr>
  </w:style>
  <w:style w:type="character" w:customStyle="1" w:styleId="st">
    <w:name w:val="st"/>
    <w:basedOn w:val="Tipodeletrapredefinidodopargrafo"/>
    <w:rsid w:val="00EE44D2"/>
  </w:style>
  <w:style w:type="character" w:styleId="nfase">
    <w:name w:val="Emphasis"/>
    <w:basedOn w:val="Tipodeletrapredefinidodopargrafo"/>
    <w:uiPriority w:val="20"/>
    <w:qFormat/>
    <w:rsid w:val="00EE44D2"/>
    <w:rPr>
      <w:i/>
      <w:iCs/>
    </w:rPr>
  </w:style>
  <w:style w:type="paragraph" w:customStyle="1" w:styleId="Default">
    <w:name w:val="Default"/>
    <w:rsid w:val="001A5876"/>
    <w:pPr>
      <w:autoSpaceDE w:val="0"/>
      <w:autoSpaceDN w:val="0"/>
      <w:adjustRightInd w:val="0"/>
    </w:pPr>
    <w:rPr>
      <w:rFonts w:ascii="Times New Roman" w:hAnsi="Times New Roman"/>
      <w:color w:val="000000"/>
      <w:sz w:val="24"/>
      <w:szCs w:val="24"/>
      <w:lang w:val="pt-PT"/>
    </w:rPr>
  </w:style>
  <w:style w:type="character" w:customStyle="1" w:styleId="TextodecomentrioCarter">
    <w:name w:val="Texto de comentário Caráter"/>
    <w:basedOn w:val="Tipodeletrapredefinidodopargrafo"/>
    <w:link w:val="Textodecomentrio"/>
    <w:semiHidden/>
    <w:rsid w:val="00957873"/>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041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democratagb.com/?p=32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3" ma:contentTypeDescription="Create a new document." ma:contentTypeScope="" ma:versionID="08a42dc202ef446cc0777118b4667df2">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9602dd28d9d4128dc239290f06619d4a"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63BAED8-7849-43E8-AC21-14FDD9E4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AC64D-C665-4444-A165-4AA8EE57616A}">
  <ds:schemaRefs>
    <ds:schemaRef ds:uri="http://schemas.openxmlformats.org/officeDocument/2006/bibliography"/>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7986</Words>
  <Characters>43125</Characters>
  <Application>Microsoft Office Word</Application>
  <DocSecurity>0</DocSecurity>
  <Lines>359</Lines>
  <Paragraphs>102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Oumar Diallo</cp:lastModifiedBy>
  <cp:revision>4</cp:revision>
  <cp:lastPrinted>2020-06-08T09:58:00Z</cp:lastPrinted>
  <dcterms:created xsi:type="dcterms:W3CDTF">2021-11-13T10:32:00Z</dcterms:created>
  <dcterms:modified xsi:type="dcterms:W3CDTF">2021-11-13T10:58:00Z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0x010100C4179204916109429C1F47306CBC1EF0</vt:lpwstr>
  </property>
  <property fmtid="{D5CDD505-2E9C-101B-9397-08002B2CF9AE}" pid="6" name="MSIP_Label_65b15e2b-c6d2-488b-8aea-978109a77633_Enabled">
    <vt:lpwstr>true</vt:lpwstr>
  </property>
  <property fmtid="{D5CDD505-2E9C-101B-9397-08002B2CF9AE}" pid="7" name="MSIP_Label_65b15e2b-c6d2-488b-8aea-978109a77633_SetDate">
    <vt:lpwstr>2021-11-01T08:26:43Z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2213ff79-2042-46b1-92f2-609aaf8006c5</vt:lpwstr>
  </property>
  <property fmtid="{D5CDD505-2E9C-101B-9397-08002B2CF9AE}" pid="12" name="MSIP_Label_65b15e2b-c6d2-488b-8aea-978109a77633_ContentBits">
    <vt:lpwstr>0</vt:lpwstr>
  </property>
</Properties>
</file>