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lang w:val="en-US" w:eastAsia="en-US"/>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35F98351"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A96786" w:rsidRPr="00E368B3">
        <w:rPr>
          <w:bCs/>
          <w:iCs/>
          <w:snapToGrid w:val="0"/>
          <w:szCs w:val="28"/>
          <w:lang w:val="fr-FR"/>
        </w:rPr>
        <w:t>Haiti</w:t>
      </w:r>
    </w:p>
    <w:p w14:paraId="35B8BCCA" w14:textId="27A0BFEA" w:rsidR="000F43A8" w:rsidRPr="001948EA" w:rsidRDefault="00F03A5D" w:rsidP="000F43A8">
      <w:pPr>
        <w:jc w:val="center"/>
        <w:rPr>
          <w:b/>
          <w:bCs/>
          <w:caps/>
          <w:sz w:val="22"/>
          <w:szCs w:val="22"/>
          <w:lang w:val="fr-FR"/>
        </w:rPr>
      </w:pPr>
      <w:r>
        <w:rPr>
          <w:b/>
          <w:bCs/>
          <w:caps/>
          <w:sz w:val="22"/>
          <w:szCs w:val="22"/>
          <w:lang w:val="fr-FR"/>
        </w:rPr>
        <w:t xml:space="preserve">TYPE DE </w:t>
      </w:r>
      <w:proofErr w:type="gramStart"/>
      <w:r>
        <w:rPr>
          <w:b/>
          <w:bCs/>
          <w:caps/>
          <w:sz w:val="22"/>
          <w:szCs w:val="22"/>
          <w:lang w:val="fr-FR"/>
        </w:rPr>
        <w:t>RAPPORT:</w:t>
      </w:r>
      <w:proofErr w:type="gramEnd"/>
      <w:r>
        <w:rPr>
          <w:b/>
          <w:bCs/>
          <w:caps/>
          <w:sz w:val="22"/>
          <w:szCs w:val="22"/>
          <w:lang w:val="fr-FR"/>
        </w:rPr>
        <w:t xml:space="preserve"> </w:t>
      </w:r>
      <w:r w:rsidRPr="00E368B3">
        <w:rPr>
          <w:bCs/>
          <w:iCs/>
          <w:snapToGrid w:val="0"/>
          <w:szCs w:val="28"/>
          <w:lang w:val="fr-FR"/>
        </w:rPr>
        <w:t>SEMESTRIEL</w:t>
      </w:r>
    </w:p>
    <w:p w14:paraId="0B2F56D8" w14:textId="6A28D638" w:rsidR="000554F8" w:rsidRPr="00F03A5D" w:rsidRDefault="00500587" w:rsidP="000F43A8">
      <w:pPr>
        <w:jc w:val="center"/>
        <w:rPr>
          <w:bCs/>
          <w:iCs/>
          <w:snapToGrid w:val="0"/>
          <w:szCs w:val="28"/>
          <w:lang w:val="fr-FR"/>
        </w:rPr>
      </w:pPr>
      <w:r w:rsidRPr="00F03A5D">
        <w:rPr>
          <w:b/>
          <w:bCs/>
          <w:caps/>
          <w:lang w:val="fr-FR"/>
        </w:rPr>
        <w:t>ANNEE</w:t>
      </w:r>
      <w:r w:rsidR="000F43A8" w:rsidRPr="00F03A5D">
        <w:rPr>
          <w:b/>
          <w:bCs/>
          <w:caps/>
          <w:lang w:val="fr-FR"/>
        </w:rPr>
        <w:t xml:space="preserve"> DE </w:t>
      </w:r>
      <w:proofErr w:type="gramStart"/>
      <w:r w:rsidR="000F43A8" w:rsidRPr="00F03A5D">
        <w:rPr>
          <w:b/>
          <w:bCs/>
          <w:caps/>
          <w:lang w:val="fr-FR"/>
        </w:rPr>
        <w:t>RAPPORT:</w:t>
      </w:r>
      <w:proofErr w:type="gramEnd"/>
      <w:r w:rsidR="000F43A8" w:rsidRPr="00F03A5D">
        <w:rPr>
          <w:b/>
          <w:bCs/>
          <w:caps/>
          <w:lang w:val="fr-FR"/>
        </w:rPr>
        <w:t xml:space="preserve"> </w:t>
      </w:r>
      <w:r w:rsidR="00F03A5D" w:rsidRPr="00F03A5D">
        <w:rPr>
          <w:bCs/>
          <w:iCs/>
          <w:snapToGrid w:val="0"/>
          <w:szCs w:val="28"/>
          <w:lang w:val="fr-FR"/>
        </w:rPr>
        <w:t>2022</w:t>
      </w:r>
    </w:p>
    <w:p w14:paraId="32235E8F" w14:textId="77777777" w:rsidR="000F43A8" w:rsidRPr="00F03A5D"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47D66" w14:paraId="26E9F2DE" w14:textId="77777777" w:rsidTr="6595E2F0">
        <w:trPr>
          <w:trHeight w:val="422"/>
        </w:trPr>
        <w:tc>
          <w:tcPr>
            <w:tcW w:w="10080" w:type="dxa"/>
            <w:gridSpan w:val="2"/>
          </w:tcPr>
          <w:p w14:paraId="403E9BC3" w14:textId="77777777" w:rsidR="00547D66" w:rsidRPr="00407C61" w:rsidRDefault="000F43A8" w:rsidP="00547D66">
            <w:pPr>
              <w:pStyle w:val="BalloonText"/>
              <w:numPr>
                <w:ilvl w:val="12"/>
                <w:numId w:val="0"/>
              </w:numPr>
              <w:tabs>
                <w:tab w:val="left" w:pos="-720"/>
                <w:tab w:val="left" w:pos="4500"/>
              </w:tabs>
              <w:suppressAutoHyphens/>
              <w:rPr>
                <w:rFonts w:ascii="Cambria" w:hAnsi="Cambria" w:cs="Times New Roman"/>
                <w:b/>
                <w:sz w:val="24"/>
                <w:szCs w:val="24"/>
                <w:lang w:val="fr-FR"/>
              </w:rPr>
            </w:pPr>
            <w:bookmarkStart w:id="0" w:name="_Hlk104819059"/>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547D66" w:rsidRPr="00407C61">
              <w:rPr>
                <w:rFonts w:ascii="Cambria" w:hAnsi="Cambria" w:cs="Times New Roman"/>
                <w:b/>
                <w:bCs/>
                <w:sz w:val="24"/>
                <w:szCs w:val="24"/>
                <w:lang w:val="fr-FR"/>
              </w:rPr>
              <w:t>Renforcer les capacités nationales pour le contrôle des armes et des munitions</w:t>
            </w:r>
          </w:p>
          <w:bookmarkEnd w:id="0"/>
          <w:p w14:paraId="24C4A490" w14:textId="086FEE10" w:rsidR="00793DE6" w:rsidRPr="000F43A8" w:rsidRDefault="000F43A8" w:rsidP="00343551">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547D66" w:rsidRPr="00407C61">
              <w:rPr>
                <w:rFonts w:ascii="Cambria" w:hAnsi="Cambria"/>
                <w:lang w:val="fr-FR"/>
              </w:rPr>
              <w:t>00119985</w:t>
            </w:r>
            <w:r w:rsidR="00A43B9C" w:rsidRPr="000F43A8">
              <w:rPr>
                <w:b/>
                <w:lang w:val="fr-FR"/>
              </w:rPr>
              <w:t xml:space="preserve">   </w:t>
            </w:r>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D50E2">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D50E2">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199FBBD2" w:rsidR="00A43B9C" w:rsidRPr="00627A1C" w:rsidRDefault="00547D66" w:rsidP="00A43B9C">
            <w:pPr>
              <w:pStyle w:val="BalloonText"/>
              <w:numPr>
                <w:ilvl w:val="12"/>
                <w:numId w:val="0"/>
              </w:numPr>
              <w:tabs>
                <w:tab w:val="left" w:pos="-720"/>
                <w:tab w:val="left" w:pos="4500"/>
              </w:tabs>
              <w:rPr>
                <w:rFonts w:ascii="Times New Roman" w:hAnsi="Times New Roman" w:cs="Times New Roman"/>
                <w:b/>
                <w:sz w:val="24"/>
                <w:szCs w:val="24"/>
              </w:rPr>
            </w:pPr>
            <w:proofErr w:type="gramStart"/>
            <w:r w:rsidRPr="00407C61">
              <w:rPr>
                <w:rFonts w:ascii="Cambria" w:hAnsi="Cambria" w:cs="Times New Roman"/>
                <w:b/>
                <w:sz w:val="24"/>
                <w:szCs w:val="24"/>
              </w:rPr>
              <w:t>PNUD</w:t>
            </w:r>
            <w:r w:rsidR="00A43B9C" w:rsidRPr="00627A1C">
              <w:rPr>
                <w:rFonts w:ascii="Times New Roman" w:hAnsi="Times New Roman" w:cs="Times New Roman"/>
                <w:b/>
                <w:sz w:val="24"/>
                <w:szCs w:val="24"/>
              </w:rPr>
              <w:t xml:space="preserve">  (</w:t>
            </w:r>
            <w:proofErr w:type="spellStart"/>
            <w:proofErr w:type="gramEnd"/>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7E3EB135" w14:textId="5E6B9D6B" w:rsidR="00A43B9C" w:rsidRPr="00627A1C" w:rsidRDefault="00547D6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OIM</w:t>
            </w:r>
          </w:p>
          <w:p w14:paraId="0673E8AA" w14:textId="266742ED" w:rsidR="00A43B9C" w:rsidRPr="00627A1C" w:rsidRDefault="00A43B9C" w:rsidP="00547D66">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547D66" w14:paraId="72CE853D" w14:textId="77777777" w:rsidTr="6595E2F0">
        <w:trPr>
          <w:trHeight w:val="368"/>
        </w:trPr>
        <w:tc>
          <w:tcPr>
            <w:tcW w:w="10080" w:type="dxa"/>
            <w:gridSpan w:val="2"/>
          </w:tcPr>
          <w:p w14:paraId="5C2804C5" w14:textId="47218A3B"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47D66" w:rsidRPr="007A00DF">
              <w:rPr>
                <w:rFonts w:ascii="Cambria" w:hAnsi="Cambria"/>
                <w:bCs/>
                <w:iCs/>
                <w:snapToGrid w:val="0"/>
                <w:lang w:val="fr-FR"/>
              </w:rPr>
              <w:t>4 février 2020</w:t>
            </w:r>
          </w:p>
          <w:p w14:paraId="064BF427" w14:textId="3DC63F49"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547D66" w:rsidRPr="007A00DF">
              <w:rPr>
                <w:rFonts w:ascii="Cambria" w:hAnsi="Cambria"/>
                <w:bCs/>
                <w:iCs/>
                <w:snapToGrid w:val="0"/>
                <w:lang w:val="fr-FR"/>
              </w:rPr>
              <w:t>3 Aout 2022</w:t>
            </w:r>
            <w:r w:rsidR="0025220B" w:rsidRPr="000F43A8">
              <w:rPr>
                <w:bCs/>
                <w:iCs/>
                <w:snapToGrid w:val="0"/>
                <w:lang w:val="fr-FR"/>
              </w:rPr>
              <w:t xml:space="preserve">     </w:t>
            </w:r>
          </w:p>
          <w:p w14:paraId="2AE235F0" w14:textId="58B1B66C"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547D66">
              <w:rPr>
                <w:bCs/>
                <w:iCs/>
                <w:snapToGrid w:val="0"/>
              </w:rPr>
              <w:t>Non</w:t>
            </w:r>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D50E2">
              <w:rPr>
                <w:lang w:val="fr-FR"/>
              </w:rPr>
            </w:r>
            <w:r w:rsidR="004D50E2">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D50E2">
              <w:rPr>
                <w:lang w:val="fr-FR"/>
              </w:rPr>
            </w:r>
            <w:r w:rsidR="004D50E2">
              <w:rPr>
                <w:lang w:val="fr-FR"/>
              </w:rPr>
              <w:fldChar w:fldCharType="separate"/>
            </w:r>
            <w:r w:rsidRPr="005D721B">
              <w:rPr>
                <w:lang w:val="fr-FR"/>
              </w:rPr>
              <w:fldChar w:fldCharType="end"/>
            </w:r>
            <w:r w:rsidRPr="005D721B">
              <w:rPr>
                <w:lang w:val="fr-FR"/>
              </w:rPr>
              <w:t xml:space="preserve"> Initiative de promotion de la jeunesse</w:t>
            </w:r>
          </w:p>
          <w:p w14:paraId="422AAC34" w14:textId="06CBE6F6" w:rsidR="000F43A8" w:rsidRPr="005D721B" w:rsidRDefault="00547D66" w:rsidP="000F43A8">
            <w:pPr>
              <w:rPr>
                <w:sz w:val="22"/>
                <w:szCs w:val="22"/>
                <w:lang w:val="fr-FR"/>
              </w:rPr>
            </w:pPr>
            <w:r w:rsidRPr="00407C61">
              <w:rPr>
                <w:rFonts w:ascii="Cambria" w:hAnsi="Cambria"/>
                <w:lang w:val="fr-FR"/>
              </w:rPr>
              <w:fldChar w:fldCharType="begin">
                <w:ffData>
                  <w:name w:val=""/>
                  <w:enabled/>
                  <w:calcOnExit w:val="0"/>
                  <w:checkBox>
                    <w:sizeAuto/>
                    <w:default w:val="1"/>
                  </w:checkBox>
                </w:ffData>
              </w:fldChar>
            </w:r>
            <w:r w:rsidRPr="00407C61">
              <w:rPr>
                <w:rFonts w:ascii="Cambria" w:hAnsi="Cambria"/>
                <w:lang w:val="fr-FR"/>
              </w:rPr>
              <w:instrText xml:space="preserve"> FORMCHECKBOX </w:instrText>
            </w:r>
            <w:r w:rsidR="004D50E2">
              <w:rPr>
                <w:rFonts w:ascii="Cambria" w:hAnsi="Cambria"/>
                <w:lang w:val="fr-FR"/>
              </w:rPr>
            </w:r>
            <w:r w:rsidR="004D50E2">
              <w:rPr>
                <w:rFonts w:ascii="Cambria" w:hAnsi="Cambria"/>
                <w:lang w:val="fr-FR"/>
              </w:rPr>
              <w:fldChar w:fldCharType="separate"/>
            </w:r>
            <w:r w:rsidRPr="00407C61">
              <w:rPr>
                <w:rFonts w:ascii="Cambria" w:hAnsi="Cambria"/>
                <w:lang w:val="fr-FR"/>
              </w:rPr>
              <w:fldChar w:fldCharType="end"/>
            </w:r>
            <w:r w:rsidRPr="00407C61">
              <w:rPr>
                <w:rFonts w:ascii="Cambria" w:hAnsi="Cambria"/>
                <w:lang w:val="fr-FR"/>
              </w:rPr>
              <w:t xml:space="preserve"> Transition </w:t>
            </w:r>
            <w:r w:rsidR="000F43A8" w:rsidRPr="005D721B">
              <w:rPr>
                <w:lang w:val="fr-FR"/>
              </w:rPr>
              <w:t xml:space="preserve">entre différentes configurations de </w:t>
            </w:r>
            <w:r w:rsidR="000F43A8"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D50E2">
              <w:rPr>
                <w:lang w:val="fr-FR"/>
              </w:rPr>
            </w:r>
            <w:r w:rsidR="004D50E2">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E368B3"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1A2539" w:rsidRPr="00E368B3" w14:paraId="3D65A18C" w14:textId="77777777" w:rsidTr="00547D66">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557957" w:rsidRPr="00E368B3" w14:paraId="5F79C4FD" w14:textId="77777777" w:rsidTr="00547D66">
              <w:tc>
                <w:tcPr>
                  <w:tcW w:w="3799" w:type="dxa"/>
                </w:tcPr>
                <w:p w14:paraId="7EF33D3D" w14:textId="0D823313" w:rsidR="00557957" w:rsidRPr="000960DC" w:rsidRDefault="00557957" w:rsidP="00557957">
                  <w:pPr>
                    <w:rPr>
                      <w:b/>
                      <w:bCs/>
                      <w:iCs/>
                      <w:lang w:val="fr-FR"/>
                    </w:rPr>
                  </w:pPr>
                  <w:r>
                    <w:rPr>
                      <w:b/>
                      <w:bCs/>
                      <w:iCs/>
                      <w:lang w:val="fr-FR"/>
                    </w:rPr>
                    <w:t>PNUD</w:t>
                  </w:r>
                </w:p>
              </w:tc>
              <w:tc>
                <w:tcPr>
                  <w:tcW w:w="2018" w:type="dxa"/>
                </w:tcPr>
                <w:p w14:paraId="3948E6F6" w14:textId="77777777" w:rsidR="00557957" w:rsidRPr="00407C61" w:rsidRDefault="00557957" w:rsidP="00557957">
                  <w:pPr>
                    <w:rPr>
                      <w:rFonts w:ascii="Cambria" w:hAnsi="Cambria"/>
                      <w:iCs/>
                      <w:lang w:val="fr-FR"/>
                    </w:rPr>
                  </w:pPr>
                  <w:r w:rsidRPr="00407C61">
                    <w:rPr>
                      <w:rFonts w:ascii="Cambria" w:hAnsi="Cambria"/>
                      <w:lang w:val="fr-FR"/>
                    </w:rPr>
                    <w:t>697,519</w:t>
                  </w:r>
                </w:p>
                <w:p w14:paraId="54815501" w14:textId="77777777" w:rsidR="00557957" w:rsidRPr="000960DC" w:rsidRDefault="00557957" w:rsidP="00557957">
                  <w:pPr>
                    <w:pStyle w:val="BalloonText"/>
                    <w:numPr>
                      <w:ilvl w:val="12"/>
                      <w:numId w:val="0"/>
                    </w:numPr>
                    <w:tabs>
                      <w:tab w:val="left" w:pos="-720"/>
                      <w:tab w:val="left" w:pos="4500"/>
                    </w:tabs>
                    <w:suppressAutoHyphens/>
                    <w:rPr>
                      <w:b/>
                      <w:bCs/>
                      <w:iCs/>
                      <w:lang w:val="fr-FR"/>
                    </w:rPr>
                  </w:pPr>
                </w:p>
              </w:tc>
              <w:tc>
                <w:tcPr>
                  <w:tcW w:w="2018" w:type="dxa"/>
                </w:tcPr>
                <w:p w14:paraId="7748D12B" w14:textId="77777777" w:rsidR="00557957" w:rsidRPr="00407C61" w:rsidRDefault="00557957" w:rsidP="00557957">
                  <w:pPr>
                    <w:rPr>
                      <w:rFonts w:ascii="Cambria" w:hAnsi="Cambria"/>
                      <w:iCs/>
                      <w:lang w:val="fr-FR"/>
                    </w:rPr>
                  </w:pPr>
                  <w:r w:rsidRPr="00407C61">
                    <w:rPr>
                      <w:rFonts w:ascii="Cambria" w:hAnsi="Cambria"/>
                      <w:lang w:val="fr-FR"/>
                    </w:rPr>
                    <w:t>697,519</w:t>
                  </w:r>
                </w:p>
                <w:p w14:paraId="00A6ED58" w14:textId="77777777" w:rsidR="00557957" w:rsidRPr="000960DC" w:rsidRDefault="00557957" w:rsidP="00557957">
                  <w:pPr>
                    <w:jc w:val="center"/>
                    <w:rPr>
                      <w:b/>
                      <w:bCs/>
                      <w:iCs/>
                      <w:lang w:val="fr-FR"/>
                    </w:rPr>
                  </w:pPr>
                </w:p>
              </w:tc>
              <w:tc>
                <w:tcPr>
                  <w:tcW w:w="2019" w:type="dxa"/>
                </w:tcPr>
                <w:p w14:paraId="1EEC049D" w14:textId="3989D565" w:rsidR="00557957" w:rsidRPr="000960DC" w:rsidRDefault="00E2217C" w:rsidP="00557957">
                  <w:pPr>
                    <w:jc w:val="center"/>
                    <w:rPr>
                      <w:b/>
                      <w:bCs/>
                      <w:iCs/>
                      <w:lang w:val="fr-FR"/>
                    </w:rPr>
                  </w:pPr>
                  <w:r>
                    <w:rPr>
                      <w:b/>
                      <w:bCs/>
                      <w:iCs/>
                      <w:lang w:val="fr-FR"/>
                    </w:rPr>
                    <w:t>5</w:t>
                  </w:r>
                  <w:r w:rsidR="00792F6E">
                    <w:rPr>
                      <w:b/>
                      <w:bCs/>
                      <w:iCs/>
                      <w:lang w:val="fr-FR"/>
                    </w:rPr>
                    <w:t>64</w:t>
                  </w:r>
                  <w:r>
                    <w:rPr>
                      <w:b/>
                      <w:bCs/>
                      <w:iCs/>
                      <w:lang w:val="fr-FR"/>
                    </w:rPr>
                    <w:t>.</w:t>
                  </w:r>
                  <w:r w:rsidR="00792F6E">
                    <w:rPr>
                      <w:b/>
                      <w:bCs/>
                      <w:iCs/>
                      <w:lang w:val="fr-FR"/>
                    </w:rPr>
                    <w:t>946</w:t>
                  </w:r>
                  <w:r>
                    <w:rPr>
                      <w:b/>
                      <w:bCs/>
                      <w:iCs/>
                      <w:lang w:val="fr-FR"/>
                    </w:rPr>
                    <w:t>.2</w:t>
                  </w:r>
                  <w:r w:rsidR="00792F6E">
                    <w:rPr>
                      <w:b/>
                      <w:bCs/>
                      <w:iCs/>
                      <w:lang w:val="fr-FR"/>
                    </w:rPr>
                    <w:t>1</w:t>
                  </w:r>
                </w:p>
              </w:tc>
            </w:tr>
            <w:tr w:rsidR="00557957" w:rsidRPr="00E368B3" w14:paraId="0CD61B42" w14:textId="77777777" w:rsidTr="00547D66">
              <w:tc>
                <w:tcPr>
                  <w:tcW w:w="3799" w:type="dxa"/>
                </w:tcPr>
                <w:p w14:paraId="5D870DF7" w14:textId="56EE0C8F" w:rsidR="00557957" w:rsidRPr="000960DC" w:rsidRDefault="00557957" w:rsidP="00557957">
                  <w:pPr>
                    <w:rPr>
                      <w:b/>
                      <w:bCs/>
                      <w:iCs/>
                      <w:lang w:val="fr-FR"/>
                    </w:rPr>
                  </w:pPr>
                  <w:r>
                    <w:rPr>
                      <w:b/>
                      <w:bCs/>
                      <w:iCs/>
                      <w:lang w:val="fr-FR"/>
                    </w:rPr>
                    <w:t>OIM</w:t>
                  </w:r>
                </w:p>
              </w:tc>
              <w:tc>
                <w:tcPr>
                  <w:tcW w:w="2018" w:type="dxa"/>
                </w:tcPr>
                <w:p w14:paraId="212F9C0B" w14:textId="692B6372" w:rsidR="00557957" w:rsidRPr="00137E41" w:rsidRDefault="00557957" w:rsidP="00557957">
                  <w:pPr>
                    <w:rPr>
                      <w:rFonts w:ascii="Cambria" w:hAnsi="Cambria"/>
                      <w:lang w:val="fr-FR"/>
                    </w:rPr>
                  </w:pPr>
                  <w:r w:rsidRPr="00137E41">
                    <w:rPr>
                      <w:rFonts w:ascii="Cambria" w:hAnsi="Cambria"/>
                      <w:lang w:val="fr-FR"/>
                    </w:rPr>
                    <w:t>373,832</w:t>
                  </w:r>
                </w:p>
              </w:tc>
              <w:tc>
                <w:tcPr>
                  <w:tcW w:w="2018" w:type="dxa"/>
                </w:tcPr>
                <w:p w14:paraId="3A820745" w14:textId="3F8D657E" w:rsidR="00557957" w:rsidRPr="00137E41" w:rsidRDefault="00557957" w:rsidP="00557957">
                  <w:pPr>
                    <w:rPr>
                      <w:rFonts w:ascii="Cambria" w:hAnsi="Cambria"/>
                      <w:lang w:val="fr-FR"/>
                    </w:rPr>
                  </w:pPr>
                  <w:r w:rsidRPr="00137E41">
                    <w:rPr>
                      <w:rFonts w:ascii="Cambria" w:hAnsi="Cambria"/>
                      <w:lang w:val="fr-FR"/>
                    </w:rPr>
                    <w:t>373,832</w:t>
                  </w:r>
                </w:p>
              </w:tc>
              <w:tc>
                <w:tcPr>
                  <w:tcW w:w="2019" w:type="dxa"/>
                </w:tcPr>
                <w:p w14:paraId="295DC187" w14:textId="57F85D2C" w:rsidR="00557957" w:rsidRPr="000960DC" w:rsidRDefault="000C17D5" w:rsidP="00557957">
                  <w:pPr>
                    <w:jc w:val="center"/>
                    <w:rPr>
                      <w:b/>
                      <w:bCs/>
                      <w:iCs/>
                      <w:lang w:val="fr-FR"/>
                    </w:rPr>
                  </w:pPr>
                  <w:r>
                    <w:rPr>
                      <w:b/>
                      <w:bCs/>
                      <w:iCs/>
                      <w:lang w:val="fr-FR"/>
                    </w:rPr>
                    <w:t>2</w:t>
                  </w:r>
                  <w:r w:rsidR="00792F6E">
                    <w:rPr>
                      <w:b/>
                      <w:bCs/>
                      <w:iCs/>
                      <w:lang w:val="fr-FR"/>
                    </w:rPr>
                    <w:t>69</w:t>
                  </w:r>
                  <w:r>
                    <w:rPr>
                      <w:b/>
                      <w:bCs/>
                      <w:iCs/>
                      <w:lang w:val="fr-FR"/>
                    </w:rPr>
                    <w:t>,</w:t>
                  </w:r>
                  <w:r w:rsidR="00792F6E">
                    <w:rPr>
                      <w:b/>
                      <w:bCs/>
                      <w:iCs/>
                      <w:lang w:val="fr-FR"/>
                    </w:rPr>
                    <w:t>789</w:t>
                  </w:r>
                  <w:r>
                    <w:rPr>
                      <w:b/>
                      <w:bCs/>
                      <w:iCs/>
                      <w:lang w:val="fr-FR"/>
                    </w:rPr>
                    <w:t>.</w:t>
                  </w:r>
                  <w:r w:rsidR="00792F6E">
                    <w:rPr>
                      <w:b/>
                      <w:bCs/>
                      <w:iCs/>
                      <w:lang w:val="fr-FR"/>
                    </w:rPr>
                    <w:t>95</w:t>
                  </w:r>
                </w:p>
              </w:tc>
            </w:tr>
            <w:tr w:rsidR="001A2539" w:rsidRPr="00E368B3" w14:paraId="6D432D7C" w14:textId="77777777" w:rsidTr="00547D66">
              <w:tc>
                <w:tcPr>
                  <w:tcW w:w="3799" w:type="dxa"/>
                </w:tcPr>
                <w:p w14:paraId="0CE063D5" w14:textId="77777777" w:rsidR="001A2539" w:rsidRPr="000960DC" w:rsidRDefault="001A2539" w:rsidP="001A2539">
                  <w:pPr>
                    <w:rPr>
                      <w:b/>
                      <w:bCs/>
                      <w:iCs/>
                      <w:lang w:val="fr-FR"/>
                    </w:rPr>
                  </w:pPr>
                </w:p>
              </w:tc>
              <w:tc>
                <w:tcPr>
                  <w:tcW w:w="2018" w:type="dxa"/>
                </w:tcPr>
                <w:p w14:paraId="1762A657" w14:textId="77777777" w:rsidR="001A2539" w:rsidRPr="000960DC" w:rsidRDefault="001A2539" w:rsidP="001A2539">
                  <w:pPr>
                    <w:jc w:val="center"/>
                    <w:rPr>
                      <w:b/>
                      <w:bCs/>
                      <w:iCs/>
                      <w:lang w:val="fr-FR"/>
                    </w:rPr>
                  </w:pPr>
                </w:p>
              </w:tc>
              <w:tc>
                <w:tcPr>
                  <w:tcW w:w="2018" w:type="dxa"/>
                </w:tcPr>
                <w:p w14:paraId="3E9427C7" w14:textId="77777777" w:rsidR="001A2539" w:rsidRPr="000960DC" w:rsidRDefault="001A2539" w:rsidP="001A2539">
                  <w:pPr>
                    <w:jc w:val="center"/>
                    <w:rPr>
                      <w:b/>
                      <w:bCs/>
                      <w:iCs/>
                      <w:lang w:val="fr-FR"/>
                    </w:rPr>
                  </w:pPr>
                </w:p>
              </w:tc>
              <w:tc>
                <w:tcPr>
                  <w:tcW w:w="2019" w:type="dxa"/>
                </w:tcPr>
                <w:p w14:paraId="54C6E4C5" w14:textId="77777777" w:rsidR="001A2539" w:rsidRPr="000960DC" w:rsidRDefault="001A2539" w:rsidP="001A2539">
                  <w:pPr>
                    <w:jc w:val="center"/>
                    <w:rPr>
                      <w:b/>
                      <w:bCs/>
                      <w:iCs/>
                      <w:lang w:val="fr-FR"/>
                    </w:rPr>
                  </w:pPr>
                </w:p>
              </w:tc>
            </w:tr>
            <w:tr w:rsidR="001A2539" w:rsidRPr="00E368B3" w14:paraId="62C096E1" w14:textId="77777777" w:rsidTr="00547D66">
              <w:tc>
                <w:tcPr>
                  <w:tcW w:w="3799" w:type="dxa"/>
                </w:tcPr>
                <w:p w14:paraId="4534D8AB" w14:textId="77777777" w:rsidR="001A2539" w:rsidRPr="000960DC" w:rsidRDefault="001A2539" w:rsidP="001A2539">
                  <w:pPr>
                    <w:rPr>
                      <w:b/>
                      <w:bCs/>
                      <w:iCs/>
                      <w:lang w:val="fr-FR"/>
                    </w:rPr>
                  </w:pPr>
                </w:p>
              </w:tc>
              <w:tc>
                <w:tcPr>
                  <w:tcW w:w="2018" w:type="dxa"/>
                </w:tcPr>
                <w:p w14:paraId="1769043F" w14:textId="77777777" w:rsidR="001A2539" w:rsidRPr="000960DC" w:rsidRDefault="001A2539" w:rsidP="001A2539">
                  <w:pPr>
                    <w:jc w:val="center"/>
                    <w:rPr>
                      <w:b/>
                      <w:bCs/>
                      <w:iCs/>
                      <w:lang w:val="fr-FR"/>
                    </w:rPr>
                  </w:pPr>
                </w:p>
              </w:tc>
              <w:tc>
                <w:tcPr>
                  <w:tcW w:w="2018" w:type="dxa"/>
                </w:tcPr>
                <w:p w14:paraId="32D49C7C" w14:textId="77777777" w:rsidR="001A2539" w:rsidRPr="000960DC" w:rsidRDefault="001A2539" w:rsidP="001A2539">
                  <w:pPr>
                    <w:jc w:val="center"/>
                    <w:rPr>
                      <w:b/>
                      <w:bCs/>
                      <w:iCs/>
                      <w:lang w:val="fr-FR"/>
                    </w:rPr>
                  </w:pPr>
                </w:p>
              </w:tc>
              <w:tc>
                <w:tcPr>
                  <w:tcW w:w="2019" w:type="dxa"/>
                </w:tcPr>
                <w:p w14:paraId="21841259" w14:textId="77777777" w:rsidR="001A2539" w:rsidRPr="000960DC" w:rsidRDefault="001A2539" w:rsidP="001A2539">
                  <w:pPr>
                    <w:jc w:val="center"/>
                    <w:rPr>
                      <w:b/>
                      <w:bCs/>
                      <w:iCs/>
                      <w:lang w:val="fr-FR"/>
                    </w:rPr>
                  </w:pPr>
                </w:p>
              </w:tc>
            </w:tr>
            <w:tr w:rsidR="001A2539" w:rsidRPr="00E368B3" w14:paraId="544386CE" w14:textId="77777777" w:rsidTr="00547D66">
              <w:tc>
                <w:tcPr>
                  <w:tcW w:w="3799" w:type="dxa"/>
                </w:tcPr>
                <w:p w14:paraId="11691892" w14:textId="77777777" w:rsidR="001A2539" w:rsidRPr="000960DC" w:rsidRDefault="001A2539" w:rsidP="001A2539">
                  <w:pPr>
                    <w:rPr>
                      <w:b/>
                      <w:bCs/>
                      <w:iCs/>
                      <w:lang w:val="fr-FR"/>
                    </w:rPr>
                  </w:pPr>
                </w:p>
              </w:tc>
              <w:tc>
                <w:tcPr>
                  <w:tcW w:w="2018" w:type="dxa"/>
                </w:tcPr>
                <w:p w14:paraId="07E062EC" w14:textId="77777777" w:rsidR="001A2539" w:rsidRPr="000960DC" w:rsidRDefault="001A2539" w:rsidP="001A2539">
                  <w:pPr>
                    <w:jc w:val="center"/>
                    <w:rPr>
                      <w:b/>
                      <w:bCs/>
                      <w:iCs/>
                      <w:lang w:val="fr-FR"/>
                    </w:rPr>
                  </w:pPr>
                </w:p>
              </w:tc>
              <w:tc>
                <w:tcPr>
                  <w:tcW w:w="2018" w:type="dxa"/>
                </w:tcPr>
                <w:p w14:paraId="463FAEF5" w14:textId="77777777" w:rsidR="001A2539" w:rsidRPr="000960DC" w:rsidRDefault="001A2539" w:rsidP="001A2539">
                  <w:pPr>
                    <w:jc w:val="center"/>
                    <w:rPr>
                      <w:b/>
                      <w:bCs/>
                      <w:iCs/>
                      <w:lang w:val="fr-FR"/>
                    </w:rPr>
                  </w:pPr>
                </w:p>
              </w:tc>
              <w:tc>
                <w:tcPr>
                  <w:tcW w:w="2019" w:type="dxa"/>
                </w:tcPr>
                <w:p w14:paraId="1427C1D3" w14:textId="77777777" w:rsidR="001A2539" w:rsidRPr="000960DC" w:rsidRDefault="001A2539" w:rsidP="001A2539">
                  <w:pPr>
                    <w:jc w:val="center"/>
                    <w:rPr>
                      <w:b/>
                      <w:bCs/>
                      <w:iCs/>
                      <w:lang w:val="fr-FR"/>
                    </w:rPr>
                  </w:pPr>
                </w:p>
              </w:tc>
            </w:tr>
            <w:tr w:rsidR="001A2539" w:rsidRPr="00E368B3" w14:paraId="2D0EA8FE" w14:textId="77777777" w:rsidTr="00547D66">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6274F0CC" w:rsidR="001A2539" w:rsidRPr="000960DC" w:rsidRDefault="00557957" w:rsidP="00557957">
                  <w:pPr>
                    <w:rPr>
                      <w:b/>
                      <w:bCs/>
                      <w:iCs/>
                      <w:lang w:val="fr-FR"/>
                    </w:rPr>
                  </w:pPr>
                  <w:r w:rsidRPr="00407C61">
                    <w:rPr>
                      <w:rFonts w:ascii="Cambria" w:hAnsi="Cambria"/>
                      <w:b/>
                      <w:lang w:val="fr-FR"/>
                    </w:rPr>
                    <w:t>1, 071,351</w:t>
                  </w:r>
                </w:p>
              </w:tc>
              <w:tc>
                <w:tcPr>
                  <w:tcW w:w="2018" w:type="dxa"/>
                </w:tcPr>
                <w:p w14:paraId="60B62F51" w14:textId="4FBD97CF" w:rsidR="001A2539" w:rsidRPr="000960DC" w:rsidRDefault="00557957" w:rsidP="00557957">
                  <w:pPr>
                    <w:rPr>
                      <w:b/>
                      <w:bCs/>
                      <w:iCs/>
                      <w:lang w:val="fr-FR"/>
                    </w:rPr>
                  </w:pPr>
                  <w:r w:rsidRPr="00407C61">
                    <w:rPr>
                      <w:rFonts w:ascii="Cambria" w:hAnsi="Cambria"/>
                      <w:b/>
                      <w:lang w:val="fr-FR"/>
                    </w:rPr>
                    <w:t>1, 071,351</w:t>
                  </w:r>
                </w:p>
              </w:tc>
              <w:tc>
                <w:tcPr>
                  <w:tcW w:w="2019" w:type="dxa"/>
                </w:tcPr>
                <w:p w14:paraId="4842283E" w14:textId="4DDF23B6" w:rsidR="001A2539" w:rsidRPr="000960DC" w:rsidRDefault="00E2217C" w:rsidP="001A2539">
                  <w:pPr>
                    <w:jc w:val="center"/>
                    <w:rPr>
                      <w:b/>
                      <w:bCs/>
                      <w:iCs/>
                      <w:lang w:val="fr-FR"/>
                    </w:rPr>
                  </w:pPr>
                  <w:r>
                    <w:rPr>
                      <w:b/>
                      <w:bCs/>
                      <w:iCs/>
                      <w:lang w:val="fr-FR"/>
                    </w:rPr>
                    <w:t>834.736.16</w:t>
                  </w:r>
                </w:p>
              </w:tc>
            </w:tr>
          </w:tbl>
          <w:p w14:paraId="374E19D6" w14:textId="77777777" w:rsidR="001A2539" w:rsidRPr="001A2539" w:rsidRDefault="001A2539" w:rsidP="00F23D0F">
            <w:pPr>
              <w:rPr>
                <w:iCs/>
                <w:lang w:val="fr-FR"/>
              </w:rPr>
            </w:pPr>
          </w:p>
          <w:p w14:paraId="5324AF29" w14:textId="24D20C28" w:rsidR="001C56B8" w:rsidRPr="000960DC"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E2217C">
              <w:rPr>
                <w:rFonts w:ascii="Cambria" w:hAnsi="Cambria" w:cs="Times New Roman"/>
                <w:bCs/>
                <w:iCs/>
                <w:snapToGrid w:val="0"/>
                <w:sz w:val="24"/>
                <w:szCs w:val="24"/>
                <w:highlight w:val="cyan"/>
                <w:lang w:val="fr-FR"/>
              </w:rPr>
              <w:t>77</w:t>
            </w:r>
            <w:r w:rsidR="00557957" w:rsidRPr="00407C61">
              <w:rPr>
                <w:rFonts w:ascii="Cambria" w:hAnsi="Cambria" w:cs="Times New Roman"/>
                <w:bCs/>
                <w:iCs/>
                <w:snapToGrid w:val="0"/>
                <w:sz w:val="24"/>
                <w:szCs w:val="24"/>
                <w:highlight w:val="cyan"/>
                <w:lang w:val="fr-FR"/>
              </w:rPr>
              <w:t>%</w:t>
            </w:r>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Hyperlink"/>
                  <w:rFonts w:ascii="Times New Roman" w:hAnsi="Times New Roman" w:cs="Times New Roman"/>
                  <w:i/>
                  <w:iCs/>
                  <w:sz w:val="24"/>
                  <w:szCs w:val="24"/>
                  <w:lang w:val="fr-FR"/>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77777777" w:rsidR="001A2539"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50CEFC0F" w:rsidR="001A2539" w:rsidRPr="001A2539" w:rsidRDefault="001A2539"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343551" w:rsidRPr="00343551">
              <w:rPr>
                <w:b/>
                <w:sz w:val="22"/>
                <w:szCs w:val="22"/>
                <w:lang w:val="fr-FR"/>
              </w:rPr>
              <w:t xml:space="preserve"> </w:t>
            </w:r>
            <w:r w:rsidR="00343551" w:rsidRPr="00343551">
              <w:rPr>
                <w:rFonts w:asciiTheme="minorHAnsi" w:hAnsiTheme="minorHAnsi" w:cstheme="minorBidi"/>
                <w:noProof/>
                <w:sz w:val="24"/>
                <w:szCs w:val="24"/>
                <w:lang w:val="fr-FR"/>
              </w:rPr>
              <w:t>30%</w:t>
            </w:r>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70C2EA9C" w14:textId="500CB3B0" w:rsidR="00970F4C" w:rsidRPr="000960DC" w:rsidRDefault="000F43A8"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proofErr w:type="gramStart"/>
            <w:r w:rsidRPr="6595E2F0">
              <w:rPr>
                <w:rFonts w:asciiTheme="minorHAnsi" w:hAnsiTheme="minorHAnsi" w:cstheme="minorBidi"/>
                <w:sz w:val="24"/>
                <w:szCs w:val="24"/>
                <w:lang w:val="fr-FR"/>
              </w:rPr>
              <w:t>femmes</w:t>
            </w:r>
            <w:r w:rsidR="00970F4C" w:rsidRPr="6595E2F0">
              <w:rPr>
                <w:rFonts w:asciiTheme="minorHAnsi" w:hAnsiTheme="minorHAnsi" w:cstheme="minorBidi"/>
                <w:sz w:val="24"/>
                <w:szCs w:val="24"/>
                <w:lang w:val="fr-FR"/>
              </w:rPr>
              <w:t>:</w:t>
            </w:r>
            <w:proofErr w:type="gramEnd"/>
            <w:r w:rsidR="00970F4C" w:rsidRPr="6595E2F0">
              <w:rPr>
                <w:rFonts w:asciiTheme="minorHAnsi" w:hAnsiTheme="minorHAnsi" w:cstheme="minorBidi"/>
                <w:sz w:val="24"/>
                <w:szCs w:val="24"/>
                <w:lang w:val="fr-FR"/>
              </w:rPr>
              <w:t xml:space="preserve"> </w:t>
            </w:r>
            <w:r w:rsidR="00557957" w:rsidRPr="00180E63">
              <w:rPr>
                <w:rFonts w:asciiTheme="minorHAnsi" w:hAnsiTheme="minorHAnsi" w:cstheme="minorBidi"/>
                <w:noProof/>
                <w:sz w:val="24"/>
                <w:szCs w:val="24"/>
                <w:lang w:val="fr-FR"/>
              </w:rPr>
              <w:t>323,000 US$</w:t>
            </w:r>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9EFB0D" w14:textId="29291401"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proofErr w:type="gramStart"/>
            <w:r w:rsidRPr="6595E2F0">
              <w:rPr>
                <w:rFonts w:asciiTheme="minorHAnsi" w:hAnsiTheme="minorHAnsi" w:cstheme="minorBidi"/>
                <w:lang w:val="fr-FR"/>
              </w:rPr>
              <w:t>femmes</w:t>
            </w:r>
            <w:r w:rsidR="00006EC0" w:rsidRPr="6595E2F0">
              <w:rPr>
                <w:rFonts w:asciiTheme="minorHAnsi" w:hAnsiTheme="minorHAnsi" w:cstheme="minorBidi"/>
                <w:lang w:val="fr-FR"/>
              </w:rPr>
              <w:t>:</w:t>
            </w:r>
            <w:proofErr w:type="gramEnd"/>
            <w:r w:rsidR="00006EC0" w:rsidRPr="6595E2F0">
              <w:rPr>
                <w:rFonts w:asciiTheme="minorHAnsi" w:hAnsiTheme="minorHAnsi" w:cstheme="minorBidi"/>
                <w:lang w:val="fr-FR"/>
              </w:rPr>
              <w:t xml:space="preserve"> </w:t>
            </w:r>
            <w:r w:rsidR="00AE26E9" w:rsidRPr="00E368B3">
              <w:rPr>
                <w:rFonts w:asciiTheme="minorHAnsi" w:hAnsiTheme="minorHAnsi" w:cstheme="minorBidi"/>
                <w:lang w:val="fr-FR"/>
              </w:rPr>
              <w:t>2</w:t>
            </w:r>
            <w:r w:rsidR="00AE26E9">
              <w:rPr>
                <w:rFonts w:asciiTheme="minorHAnsi" w:hAnsiTheme="minorHAnsi" w:cstheme="minorBidi"/>
                <w:lang w:val="fr-FR"/>
              </w:rPr>
              <w:t>00.000 US$</w:t>
            </w:r>
          </w:p>
        </w:tc>
      </w:tr>
      <w:tr w:rsidR="009B18EB" w:rsidRPr="00E368B3" w14:paraId="0DF7F010" w14:textId="77777777" w:rsidTr="6595E2F0">
        <w:trPr>
          <w:trHeight w:val="1124"/>
        </w:trPr>
        <w:tc>
          <w:tcPr>
            <w:tcW w:w="10080" w:type="dxa"/>
            <w:gridSpan w:val="2"/>
          </w:tcPr>
          <w:p w14:paraId="0084A294" w14:textId="3D286A6E" w:rsidR="009B18EB" w:rsidRPr="000F43A8" w:rsidRDefault="000F43A8" w:rsidP="00F23D0F">
            <w:pPr>
              <w:rPr>
                <w:b/>
                <w:bCs/>
                <w:iCs/>
                <w:lang w:val="fr-FR"/>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4C5A06" w:rsidRPr="004C5A06">
              <w:rPr>
                <w:b/>
                <w:bCs/>
                <w:iCs/>
                <w:lang w:val="fr-FR"/>
              </w:rPr>
              <w:t>1</w:t>
            </w:r>
          </w:p>
          <w:p w14:paraId="7B5DB9E4" w14:textId="40CAA102"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4C5A06" w:rsidRPr="004C5A06">
              <w:rPr>
                <w:b/>
                <w:bCs/>
                <w:iCs/>
                <w:lang w:val="fr-FR"/>
              </w:rPr>
              <w:t>2</w:t>
            </w:r>
          </w:p>
          <w:p w14:paraId="55B14D86" w14:textId="76899013" w:rsidR="009B18EB" w:rsidRPr="004C5A06" w:rsidRDefault="000F43A8" w:rsidP="004C5A06">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4C5A06" w:rsidRPr="004C5A06">
              <w:rPr>
                <w:b/>
                <w:bCs/>
                <w:iCs/>
                <w:lang w:val="fr-FR"/>
              </w:rPr>
              <w:t>Gouvernance</w:t>
            </w:r>
          </w:p>
        </w:tc>
      </w:tr>
      <w:tr w:rsidR="00793DE6" w:rsidRPr="00E368B3"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6857C210"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4C5A06">
              <w:rPr>
                <w:lang w:val="fr-FR"/>
              </w:rPr>
              <w:t>Juvigny Jacques</w:t>
            </w:r>
            <w:r w:rsidR="00401516">
              <w:rPr>
                <w:lang w:val="fr-FR"/>
              </w:rPr>
              <w:t xml:space="preserve"> </w:t>
            </w:r>
            <w:r w:rsidR="00401516" w:rsidRPr="00407C61">
              <w:rPr>
                <w:rFonts w:ascii="Cambria" w:hAnsi="Cambria"/>
                <w:lang w:val="fr-FR"/>
              </w:rPr>
              <w:t>(</w:t>
            </w:r>
            <w:r w:rsidR="00401516">
              <w:rPr>
                <w:rFonts w:ascii="Cambria" w:hAnsi="Cambria"/>
                <w:lang w:val="fr-FR"/>
              </w:rPr>
              <w:t>E</w:t>
            </w:r>
            <w:r w:rsidR="00401516" w:rsidRPr="00407C61">
              <w:rPr>
                <w:rFonts w:ascii="Cambria" w:hAnsi="Cambria"/>
                <w:lang w:val="fr-FR"/>
              </w:rPr>
              <w:t>xpert DDR/CVR, PNUD)</w:t>
            </w:r>
          </w:p>
          <w:p w14:paraId="4F7F6063" w14:textId="75334620"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4C5A06">
              <w:rPr>
                <w:lang w:val="fr-FR"/>
              </w:rPr>
              <w:t>Adeline Carrier</w:t>
            </w:r>
            <w:r w:rsidR="00401516">
              <w:rPr>
                <w:lang w:val="fr-FR"/>
              </w:rPr>
              <w:t xml:space="preserve"> </w:t>
            </w:r>
            <w:r w:rsidR="00401516" w:rsidRPr="00407C61">
              <w:rPr>
                <w:rFonts w:ascii="Cambria" w:hAnsi="Cambria"/>
                <w:lang w:val="fr-FR"/>
              </w:rPr>
              <w:t>(</w:t>
            </w:r>
            <w:r w:rsidR="00401516">
              <w:rPr>
                <w:rFonts w:ascii="Cambria" w:hAnsi="Cambria"/>
                <w:lang w:val="fr-FR"/>
              </w:rPr>
              <w:t>C</w:t>
            </w:r>
            <w:r w:rsidR="00401516" w:rsidRPr="00407C61">
              <w:rPr>
                <w:rFonts w:ascii="Cambria" w:hAnsi="Cambria"/>
                <w:lang w:val="fr-FR"/>
              </w:rPr>
              <w:t>hef Unité Gouvernance et État de Droit, PNUD</w:t>
            </w:r>
            <w:r w:rsidR="00401516">
              <w:rPr>
                <w:rFonts w:ascii="Cambria" w:hAnsi="Cambria"/>
                <w:lang w:val="fr-FR"/>
              </w:rPr>
              <w:t>)</w:t>
            </w:r>
          </w:p>
          <w:p w14:paraId="64A19D37" w14:textId="61BD12CC"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00631E">
              <w:fldChar w:fldCharType="begin">
                <w:ffData>
                  <w:name w:val="secretariatreview"/>
                  <w:enabled/>
                  <w:calcOnExit w:val="0"/>
                  <w:ddList>
                    <w:listEntry w:val="Veuillez sélectionner"/>
                    <w:listEntry w:val="Oui"/>
                    <w:listEntry w:val="Non"/>
                  </w:ddList>
                </w:ffData>
              </w:fldChar>
            </w:r>
            <w:r w:rsidR="0000631E" w:rsidRPr="00E368B3">
              <w:rPr>
                <w:lang w:val="fr-FR"/>
              </w:rPr>
              <w:instrText xml:space="preserve"> </w:instrText>
            </w:r>
            <w:bookmarkStart w:id="1" w:name="secretariatreview"/>
            <w:r w:rsidR="0000631E" w:rsidRPr="00E368B3">
              <w:rPr>
                <w:lang w:val="fr-FR"/>
              </w:rPr>
              <w:instrText xml:space="preserve">FORMDROPDOWN </w:instrText>
            </w:r>
            <w:r w:rsidR="004D50E2">
              <w:fldChar w:fldCharType="separate"/>
            </w:r>
            <w:r w:rsidR="0000631E">
              <w:fldChar w:fldCharType="end"/>
            </w:r>
            <w:bookmarkEnd w:id="1"/>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156FB399" w:rsidR="00F778A1" w:rsidRPr="00116E27"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F778A1">
        <w:t>(</w:t>
      </w:r>
      <w:proofErr w:type="spellStart"/>
      <w:r w:rsidRPr="00F778A1">
        <w:t>limite</w:t>
      </w:r>
      <w:proofErr w:type="spellEnd"/>
      <w:r w:rsidRPr="00F778A1">
        <w:t xml:space="preserve"> de 1500 </w:t>
      </w:r>
      <w:proofErr w:type="spellStart"/>
      <w:r w:rsidRPr="00F778A1">
        <w:t>caractères</w:t>
      </w:r>
      <w:proofErr w:type="spellEnd"/>
      <w:proofErr w:type="gramStart"/>
      <w:r w:rsidRPr="00F778A1">
        <w:t>):</w:t>
      </w:r>
      <w:proofErr w:type="gramEnd"/>
      <w:r w:rsidRPr="00F778A1">
        <w:t xml:space="preserve"> </w:t>
      </w:r>
    </w:p>
    <w:p w14:paraId="5E25EE25" w14:textId="77777777" w:rsidR="00F778A1"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sz w:val="22"/>
          <w:szCs w:val="22"/>
        </w:rPr>
        <w:fldChar w:fldCharType="end"/>
      </w:r>
    </w:p>
    <w:p w14:paraId="5E854849" w14:textId="28C296D8" w:rsidR="007C595C" w:rsidRDefault="005C46F4" w:rsidP="00D163B4">
      <w:pPr>
        <w:ind w:left="-810" w:right="-154"/>
        <w:jc w:val="both"/>
        <w:rPr>
          <w:lang w:val="fr-FR"/>
        </w:rPr>
      </w:pPr>
      <w:r w:rsidRPr="005C46F4">
        <w:rPr>
          <w:lang w:val="fr-FR"/>
        </w:rPr>
        <w:t xml:space="preserve">Les six derniers mois ont permis au projet d’appliquer les dispositions administratives et opérationnelles </w:t>
      </w:r>
      <w:r w:rsidR="00C731D9">
        <w:rPr>
          <w:lang w:val="fr-FR"/>
        </w:rPr>
        <w:t xml:space="preserve">permettant de finaliser les activités </w:t>
      </w:r>
      <w:r>
        <w:rPr>
          <w:lang w:val="fr-FR"/>
        </w:rPr>
        <w:t xml:space="preserve">dans le délai prévu. </w:t>
      </w:r>
      <w:r w:rsidR="00442A74">
        <w:rPr>
          <w:lang w:val="fr-FR"/>
        </w:rPr>
        <w:t>Ainsi, suite à la révision substantive du projet</w:t>
      </w:r>
      <w:r w:rsidR="00C731D9">
        <w:rPr>
          <w:lang w:val="fr-FR"/>
        </w:rPr>
        <w:t>,</w:t>
      </w:r>
      <w:r w:rsidR="00442A74">
        <w:rPr>
          <w:lang w:val="fr-FR"/>
        </w:rPr>
        <w:t xml:space="preserve"> au regard </w:t>
      </w:r>
      <w:r w:rsidR="00442A74" w:rsidRPr="007C595C">
        <w:rPr>
          <w:lang w:val="fr-FR"/>
        </w:rPr>
        <w:t>des priorités définies par les autorités gouvernementales et la Police Nationale d’Haïti en matière de la lutte contre l’insécurité et l’émergence des gangs armés dans le pays, particulièrement dans la zone métropolitaine de Port-au-Prince,</w:t>
      </w:r>
      <w:r w:rsidR="00442A74">
        <w:rPr>
          <w:lang w:val="fr-FR"/>
        </w:rPr>
        <w:t xml:space="preserve"> les termes de référence </w:t>
      </w:r>
      <w:r w:rsidR="007C595C">
        <w:rPr>
          <w:lang w:val="fr-FR"/>
        </w:rPr>
        <w:t>et</w:t>
      </w:r>
      <w:r w:rsidR="00442A74">
        <w:rPr>
          <w:lang w:val="fr-FR"/>
        </w:rPr>
        <w:t xml:space="preserve"> le recrutement des prestataire</w:t>
      </w:r>
      <w:r w:rsidR="00C731D9">
        <w:rPr>
          <w:lang w:val="fr-FR"/>
        </w:rPr>
        <w:t>s</w:t>
      </w:r>
      <w:r w:rsidR="00442A74">
        <w:rPr>
          <w:lang w:val="fr-FR"/>
        </w:rPr>
        <w:t xml:space="preserve"> de service </w:t>
      </w:r>
      <w:r w:rsidR="007C595C">
        <w:rPr>
          <w:lang w:val="fr-FR"/>
        </w:rPr>
        <w:t xml:space="preserve">devant réaliser la </w:t>
      </w:r>
      <w:r w:rsidR="007C595C" w:rsidRPr="007C595C">
        <w:rPr>
          <w:lang w:val="fr-FR"/>
        </w:rPr>
        <w:t>formation des agents de police sur la gestion des stocks d’armes et munitions, les travaux d’a</w:t>
      </w:r>
      <w:r w:rsidR="007C595C" w:rsidRPr="00180E63">
        <w:rPr>
          <w:lang w:val="fr-FR"/>
        </w:rPr>
        <w:t>mélioration du système d’entreposage et la sécurisation de l’armurerie centrale et</w:t>
      </w:r>
      <w:r w:rsidR="00C731D9">
        <w:rPr>
          <w:lang w:val="fr-FR"/>
        </w:rPr>
        <w:t xml:space="preserve"> l</w:t>
      </w:r>
      <w:r w:rsidR="007C595C" w:rsidRPr="007C595C">
        <w:rPr>
          <w:lang w:val="fr-FR"/>
        </w:rPr>
        <w:t xml:space="preserve">a </w:t>
      </w:r>
      <w:r w:rsidR="00C731D9" w:rsidRPr="007C595C">
        <w:rPr>
          <w:lang w:val="fr-FR"/>
        </w:rPr>
        <w:t>d</w:t>
      </w:r>
      <w:r w:rsidR="00C731D9">
        <w:rPr>
          <w:lang w:val="fr-FR"/>
        </w:rPr>
        <w:t>ota</w:t>
      </w:r>
      <w:r w:rsidR="00C731D9" w:rsidRPr="00180E63">
        <w:rPr>
          <w:lang w:val="fr-FR"/>
        </w:rPr>
        <w:t>tion</w:t>
      </w:r>
      <w:r w:rsidR="007C595C" w:rsidRPr="00180E63">
        <w:rPr>
          <w:lang w:val="fr-FR"/>
        </w:rPr>
        <w:t xml:space="preserve"> de matériels et logiciels/outils informatiques pour l’armurerie centrale PNH et le Service de Permis d’Armes à Feu </w:t>
      </w:r>
      <w:r w:rsidR="00C731D9">
        <w:rPr>
          <w:lang w:val="fr-FR"/>
        </w:rPr>
        <w:t>ont été finalisées. C</w:t>
      </w:r>
      <w:r w:rsidR="007C595C">
        <w:rPr>
          <w:lang w:val="fr-FR"/>
        </w:rPr>
        <w:t>es travaux ont démarré le lundi 16 mai 2022.</w:t>
      </w:r>
      <w:r w:rsidR="00442A74">
        <w:rPr>
          <w:lang w:val="fr-FR"/>
        </w:rPr>
        <w:t xml:space="preserve"> </w:t>
      </w:r>
    </w:p>
    <w:p w14:paraId="5F24C2CD" w14:textId="77777777" w:rsidR="00753687" w:rsidRPr="00180E63" w:rsidRDefault="00753687" w:rsidP="00D163B4">
      <w:pPr>
        <w:ind w:left="-810" w:right="-154"/>
        <w:jc w:val="both"/>
        <w:rPr>
          <w:lang w:val="fr-FR"/>
        </w:rPr>
      </w:pPr>
    </w:p>
    <w:p w14:paraId="6BF0142C" w14:textId="3601C026" w:rsidR="00F03A5D" w:rsidRPr="00F03A5D" w:rsidRDefault="00F03A5D" w:rsidP="00F03A5D">
      <w:pPr>
        <w:ind w:left="-810" w:right="-154"/>
        <w:jc w:val="both"/>
        <w:rPr>
          <w:lang w:val="fr-FR"/>
        </w:rPr>
      </w:pPr>
      <w:r w:rsidRPr="00F03A5D">
        <w:rPr>
          <w:lang w:val="fr-FR"/>
        </w:rPr>
        <w:t>Malgré les difficultés rencontrées dans la signature du Protocole d’entente pour la Gestion Intégrée de la Sécurité à la Frontière Terrestre entre l’Administration  Générale des Douanes (AGD), la Direction de l’Immigration et de l’Emigration (DIE),  et la Police Nationale de Haïti ( PNH), notamment instabilité politique et l’augmentation de l’insécurité, l’équipe du projet a organisé des formations sur le  Manuel de Procédures Opérationnelles Standard (POS ) destinée aux agents de la Police Frontalière (POLIFRONT)</w:t>
      </w:r>
      <w:r w:rsidR="00F3788F">
        <w:rPr>
          <w:lang w:val="fr-FR"/>
        </w:rPr>
        <w:t xml:space="preserve"> </w:t>
      </w:r>
      <w:r w:rsidR="004B7BB8">
        <w:rPr>
          <w:lang w:val="fr-FR"/>
        </w:rPr>
        <w:t>(</w:t>
      </w:r>
      <w:r w:rsidR="00F3788F">
        <w:rPr>
          <w:lang w:val="fr-FR"/>
        </w:rPr>
        <w:t xml:space="preserve">49 </w:t>
      </w:r>
      <w:r w:rsidR="004B7BB8">
        <w:rPr>
          <w:lang w:val="fr-FR"/>
        </w:rPr>
        <w:t>participants),</w:t>
      </w:r>
      <w:r w:rsidRPr="00F03A5D">
        <w:rPr>
          <w:lang w:val="fr-FR"/>
        </w:rPr>
        <w:t xml:space="preserve"> AGD</w:t>
      </w:r>
      <w:r w:rsidR="004B7BB8">
        <w:rPr>
          <w:lang w:val="fr-FR"/>
        </w:rPr>
        <w:t xml:space="preserve"> (12 participants)</w:t>
      </w:r>
      <w:r w:rsidRPr="00F03A5D">
        <w:rPr>
          <w:lang w:val="fr-FR"/>
        </w:rPr>
        <w:t xml:space="preserve"> et DIE</w:t>
      </w:r>
      <w:r w:rsidR="004B7BB8">
        <w:rPr>
          <w:lang w:val="fr-FR"/>
        </w:rPr>
        <w:t xml:space="preserve"> (6 participants)</w:t>
      </w:r>
      <w:r w:rsidR="005A0FF0">
        <w:rPr>
          <w:lang w:val="fr-FR"/>
        </w:rPr>
        <w:t xml:space="preserve"> des points frontaliers de </w:t>
      </w:r>
      <w:proofErr w:type="spellStart"/>
      <w:r w:rsidRPr="00F03A5D">
        <w:rPr>
          <w:lang w:val="fr-FR"/>
        </w:rPr>
        <w:t>Malpasse</w:t>
      </w:r>
      <w:proofErr w:type="spellEnd"/>
      <w:r w:rsidRPr="00F03A5D">
        <w:rPr>
          <w:lang w:val="fr-FR"/>
        </w:rPr>
        <w:t>,  Anse à Pitre et à  Ouanaminthe en novembre 2021</w:t>
      </w:r>
      <w:r w:rsidR="005A0FF0">
        <w:rPr>
          <w:lang w:val="fr-FR"/>
        </w:rPr>
        <w:t>.</w:t>
      </w:r>
    </w:p>
    <w:p w14:paraId="7442DC7C" w14:textId="77777777" w:rsidR="00F03A5D" w:rsidRPr="00F03A5D" w:rsidRDefault="00F03A5D" w:rsidP="00F03A5D">
      <w:pPr>
        <w:ind w:left="-810" w:right="-154"/>
        <w:jc w:val="both"/>
        <w:rPr>
          <w:lang w:val="fr-FR"/>
        </w:rPr>
      </w:pPr>
    </w:p>
    <w:p w14:paraId="44116EAB" w14:textId="4A004853" w:rsidR="00F03A5D" w:rsidRPr="00F03A5D" w:rsidRDefault="00F03A5D" w:rsidP="00F03A5D">
      <w:pPr>
        <w:ind w:left="-810" w:right="-154"/>
        <w:jc w:val="both"/>
        <w:rPr>
          <w:lang w:val="fr-FR"/>
        </w:rPr>
      </w:pPr>
      <w:r w:rsidRPr="00F03A5D">
        <w:rPr>
          <w:lang w:val="fr-FR"/>
        </w:rPr>
        <w:t xml:space="preserve">En raison de la situation sécuritaire en Haïti liée à la pénurie de carburant et croissance de la criminalité, les déplacements vers les points frontaliers officiels de </w:t>
      </w:r>
      <w:proofErr w:type="spellStart"/>
      <w:r w:rsidRPr="00F03A5D">
        <w:rPr>
          <w:lang w:val="fr-FR"/>
        </w:rPr>
        <w:t>Belladère</w:t>
      </w:r>
      <w:proofErr w:type="spellEnd"/>
      <w:r w:rsidRPr="00F03A5D">
        <w:rPr>
          <w:lang w:val="fr-FR"/>
        </w:rPr>
        <w:t xml:space="preserve"> et </w:t>
      </w:r>
      <w:proofErr w:type="spellStart"/>
      <w:r w:rsidRPr="00F03A5D">
        <w:rPr>
          <w:lang w:val="fr-FR"/>
        </w:rPr>
        <w:t>Malpasse</w:t>
      </w:r>
      <w:proofErr w:type="spellEnd"/>
      <w:r w:rsidRPr="00F03A5D">
        <w:rPr>
          <w:lang w:val="fr-FR"/>
        </w:rPr>
        <w:t xml:space="preserve"> actuellement sont restreints par la route à travers Haïti</w:t>
      </w:r>
      <w:r w:rsidR="00924115">
        <w:rPr>
          <w:lang w:val="fr-FR"/>
        </w:rPr>
        <w:t xml:space="preserve">. Par conséquent, le </w:t>
      </w:r>
      <w:r w:rsidR="008F7388">
        <w:rPr>
          <w:lang w:val="fr-FR"/>
        </w:rPr>
        <w:t>déplacement</w:t>
      </w:r>
      <w:r w:rsidR="00924115">
        <w:rPr>
          <w:lang w:val="fr-FR"/>
        </w:rPr>
        <w:t xml:space="preserve"> vers ces deux points frontaliers</w:t>
      </w:r>
      <w:r w:rsidR="008F7388">
        <w:rPr>
          <w:lang w:val="fr-FR"/>
        </w:rPr>
        <w:t xml:space="preserve"> a </w:t>
      </w:r>
      <w:r w:rsidR="00F63733">
        <w:rPr>
          <w:lang w:val="fr-FR"/>
        </w:rPr>
        <w:t>dû</w:t>
      </w:r>
      <w:r w:rsidR="008F7388">
        <w:rPr>
          <w:lang w:val="fr-FR"/>
        </w:rPr>
        <w:t xml:space="preserve"> être fait</w:t>
      </w:r>
      <w:r w:rsidRPr="00F03A5D">
        <w:rPr>
          <w:lang w:val="fr-FR"/>
        </w:rPr>
        <w:t xml:space="preserve"> à travers la République Dominicaine </w:t>
      </w:r>
      <w:r w:rsidR="008F7388">
        <w:rPr>
          <w:lang w:val="fr-FR"/>
        </w:rPr>
        <w:t>afin de</w:t>
      </w:r>
      <w:r w:rsidRPr="00F03A5D">
        <w:rPr>
          <w:lang w:val="fr-FR"/>
        </w:rPr>
        <w:t xml:space="preserve"> faciliter la mise en place de certaines activités. L’équipe du projet continue d’appuyer la signature du Protocole et dans ce sens une rencontre a été organisée avec la Représentante spéciale du Secrétaire général et Chef du Bureau Intégré des Nations Unies en Haïti (BINUH) en avril 2022. Lors de cette rencontre</w:t>
      </w:r>
      <w:r w:rsidR="00B17348">
        <w:rPr>
          <w:lang w:val="fr-FR"/>
        </w:rPr>
        <w:t>, elle</w:t>
      </w:r>
      <w:r w:rsidRPr="00F03A5D">
        <w:rPr>
          <w:lang w:val="fr-FR"/>
        </w:rPr>
        <w:t xml:space="preserve"> a été accordée de continuer les efforts en vue de l’application du Protocole entente permettant un renforcement de la coopération entre l’AGD, DIE, et la PNH. </w:t>
      </w:r>
    </w:p>
    <w:p w14:paraId="1B97799B" w14:textId="77777777" w:rsidR="00F03A5D" w:rsidRPr="00F03A5D" w:rsidRDefault="00F03A5D" w:rsidP="00F03A5D">
      <w:pPr>
        <w:ind w:left="-810" w:right="-154"/>
        <w:jc w:val="both"/>
        <w:rPr>
          <w:lang w:val="fr-FR"/>
        </w:rPr>
      </w:pPr>
    </w:p>
    <w:p w14:paraId="1D210062" w14:textId="77777777" w:rsidR="00F03A5D" w:rsidRPr="00F03A5D" w:rsidRDefault="00F03A5D" w:rsidP="00F03A5D">
      <w:pPr>
        <w:ind w:left="-810" w:right="-154"/>
        <w:jc w:val="both"/>
        <w:rPr>
          <w:lang w:val="fr-FR"/>
        </w:rPr>
      </w:pPr>
    </w:p>
    <w:p w14:paraId="2610D752" w14:textId="43B16481" w:rsidR="005C46F4" w:rsidRPr="00F03A5D" w:rsidRDefault="00F03A5D" w:rsidP="00E368B3">
      <w:pPr>
        <w:ind w:left="-810" w:right="-154"/>
        <w:jc w:val="both"/>
        <w:rPr>
          <w:lang w:val="fr-FR"/>
        </w:rPr>
      </w:pPr>
      <w:r w:rsidRPr="00F03A5D">
        <w:rPr>
          <w:lang w:val="fr-FR"/>
        </w:rPr>
        <w:t>Concernant le renforcement du dialogue binationale entre Haïti et la République Dominicaine, l’équipe de projet, en coordination avec les autorités clés ont continué avec l’organisation des réunions binationales à Ouanaminthe/</w:t>
      </w:r>
      <w:proofErr w:type="spellStart"/>
      <w:r w:rsidRPr="00F03A5D">
        <w:rPr>
          <w:lang w:val="fr-FR"/>
        </w:rPr>
        <w:t>Dajabón</w:t>
      </w:r>
      <w:proofErr w:type="spellEnd"/>
      <w:r w:rsidRPr="00F03A5D">
        <w:rPr>
          <w:lang w:val="fr-FR"/>
        </w:rPr>
        <w:t xml:space="preserve">, </w:t>
      </w:r>
      <w:proofErr w:type="spellStart"/>
      <w:r w:rsidRPr="00F03A5D">
        <w:rPr>
          <w:lang w:val="fr-FR"/>
        </w:rPr>
        <w:t>Malpasse</w:t>
      </w:r>
      <w:proofErr w:type="spellEnd"/>
      <w:r w:rsidRPr="00F03A5D">
        <w:rPr>
          <w:lang w:val="fr-FR"/>
        </w:rPr>
        <w:t>/</w:t>
      </w:r>
      <w:proofErr w:type="spellStart"/>
      <w:r w:rsidRPr="00F03A5D">
        <w:rPr>
          <w:lang w:val="fr-FR"/>
        </w:rPr>
        <w:t>Jimaní</w:t>
      </w:r>
      <w:proofErr w:type="spellEnd"/>
      <w:r w:rsidRPr="00F03A5D">
        <w:rPr>
          <w:lang w:val="fr-FR"/>
        </w:rPr>
        <w:t xml:space="preserve"> et pour la première fois des réunions ont eu lieu à Anse-à-Pitres/</w:t>
      </w:r>
      <w:proofErr w:type="spellStart"/>
      <w:r w:rsidRPr="00F03A5D">
        <w:rPr>
          <w:lang w:val="fr-FR"/>
        </w:rPr>
        <w:t>Pedernales</w:t>
      </w:r>
      <w:proofErr w:type="spellEnd"/>
      <w:r w:rsidRPr="00F03A5D">
        <w:rPr>
          <w:lang w:val="fr-FR"/>
        </w:rPr>
        <w:t xml:space="preserve">. Malgré les difficultés en matière de sécurité et déplacement, sept (7) réunions binationales ont été organisées de novembre 2021 à mai 2022.  Ces dernières visent à permettre aux différents acteurs impliqués de renforcer la coordination, de partager les informations collectées </w:t>
      </w:r>
      <w:r w:rsidRPr="00F03A5D">
        <w:rPr>
          <w:lang w:val="fr-FR"/>
        </w:rPr>
        <w:lastRenderedPageBreak/>
        <w:t>pour une meilleure gestion de la migration, du contrôle de trafic de personnes, trafic de drogues et des armes au niveau des frontières.</w:t>
      </w:r>
    </w:p>
    <w:p w14:paraId="0769719F" w14:textId="77777777" w:rsidR="00F03A5D" w:rsidRPr="005C46F4" w:rsidRDefault="00F03A5D" w:rsidP="00F03A5D">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EF4286"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EF4286">
        <w:rPr>
          <w:lang w:val="fr-FR"/>
        </w:rPr>
        <w:t>(</w:t>
      </w:r>
      <w:proofErr w:type="gramStart"/>
      <w:r w:rsidR="008C782A" w:rsidRPr="00EF4286">
        <w:rPr>
          <w:lang w:val="fr-FR"/>
        </w:rPr>
        <w:t>limit</w:t>
      </w:r>
      <w:r w:rsidRPr="00EF4286">
        <w:rPr>
          <w:lang w:val="fr-FR"/>
        </w:rPr>
        <w:t>e</w:t>
      </w:r>
      <w:proofErr w:type="gramEnd"/>
      <w:r w:rsidRPr="00EF4286">
        <w:rPr>
          <w:lang w:val="fr-FR"/>
        </w:rPr>
        <w:t xml:space="preserve"> de 1500 </w:t>
      </w:r>
      <w:r w:rsidRPr="00F778A1">
        <w:rPr>
          <w:lang w:val="fr-FR"/>
        </w:rPr>
        <w:t>caractères</w:t>
      </w:r>
      <w:r w:rsidR="008C782A" w:rsidRPr="00EF4286">
        <w:rPr>
          <w:lang w:val="fr-FR"/>
        </w:rPr>
        <w:t xml:space="preserve">): </w:t>
      </w:r>
    </w:p>
    <w:p w14:paraId="647C8536" w14:textId="77777777" w:rsidR="00117EE7" w:rsidRPr="00EF4286" w:rsidRDefault="00BA5D85" w:rsidP="00117EE7">
      <w:pPr>
        <w:ind w:left="-810"/>
        <w:rPr>
          <w:lang w:val="fr-FR"/>
        </w:rPr>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79D22700" w14:textId="1E23C36F" w:rsidR="00BF6BFB" w:rsidRDefault="00EF4286" w:rsidP="00BF6BFB">
      <w:pPr>
        <w:ind w:left="-810"/>
        <w:jc w:val="both"/>
        <w:rPr>
          <w:lang w:val="fr-FR"/>
        </w:rPr>
      </w:pPr>
      <w:r w:rsidRPr="00EF4286">
        <w:rPr>
          <w:lang w:val="fr-FR"/>
        </w:rPr>
        <w:t>L’élaboration du premier draft</w:t>
      </w:r>
      <w:r>
        <w:rPr>
          <w:lang w:val="fr-FR"/>
        </w:rPr>
        <w:t xml:space="preserve"> de l</w:t>
      </w:r>
      <w:r w:rsidR="00BF6BFB">
        <w:rPr>
          <w:lang w:val="fr-FR"/>
        </w:rPr>
        <w:t xml:space="preserve">’avant-projet </w:t>
      </w:r>
      <w:r w:rsidRPr="00BF6BFB">
        <w:rPr>
          <w:lang w:val="fr-FR"/>
        </w:rPr>
        <w:t xml:space="preserve">de Décret sur </w:t>
      </w:r>
      <w:r w:rsidR="00BF6BFB">
        <w:rPr>
          <w:lang w:val="fr-FR"/>
        </w:rPr>
        <w:t>le</w:t>
      </w:r>
      <w:r w:rsidRPr="00BF6BFB">
        <w:rPr>
          <w:lang w:val="fr-FR"/>
        </w:rPr>
        <w:t xml:space="preserve"> contrôle des armes</w:t>
      </w:r>
      <w:r w:rsidR="00BF6BFB">
        <w:rPr>
          <w:rFonts w:asciiTheme="majorHAnsi" w:hAnsiTheme="majorHAnsi" w:cstheme="majorHAnsi"/>
          <w:color w:val="0070C0"/>
          <w:sz w:val="18"/>
          <w:szCs w:val="18"/>
          <w:lang w:val="fr-FR"/>
        </w:rPr>
        <w:t xml:space="preserve"> </w:t>
      </w:r>
      <w:r w:rsidR="00BF6BFB">
        <w:rPr>
          <w:lang w:val="fr-FR"/>
        </w:rPr>
        <w:t xml:space="preserve">par </w:t>
      </w:r>
      <w:r w:rsidRPr="00EF4286">
        <w:rPr>
          <w:lang w:val="fr-FR"/>
        </w:rPr>
        <w:t xml:space="preserve">la </w:t>
      </w:r>
      <w:proofErr w:type="spellStart"/>
      <w:r w:rsidRPr="00EF4286">
        <w:rPr>
          <w:lang w:val="fr-FR"/>
        </w:rPr>
        <w:t>Task</w:t>
      </w:r>
      <w:proofErr w:type="spellEnd"/>
      <w:r w:rsidRPr="00EF4286">
        <w:rPr>
          <w:lang w:val="fr-FR"/>
        </w:rPr>
        <w:t xml:space="preserve"> Force </w:t>
      </w:r>
      <w:r w:rsidR="00BF6BFB">
        <w:rPr>
          <w:lang w:val="fr-FR"/>
        </w:rPr>
        <w:t>sur la Gestion des Armes et des Munitions composée de différentes institutions clés en matière de sécurité dans le pays</w:t>
      </w:r>
      <w:r w:rsidRPr="00EF4286">
        <w:rPr>
          <w:lang w:val="fr-FR"/>
        </w:rPr>
        <w:t xml:space="preserve"> </w:t>
      </w:r>
      <w:r w:rsidR="00BF6BFB">
        <w:rPr>
          <w:lang w:val="fr-FR"/>
        </w:rPr>
        <w:t xml:space="preserve">a permis de sensibiliser et d’engager chacun de ces acteurs institutionnels sur leur responsabilité dans le domaine et de continuer à </w:t>
      </w:r>
      <w:r w:rsidR="00B613E6">
        <w:rPr>
          <w:lang w:val="fr-FR"/>
        </w:rPr>
        <w:t>assumer leur rôle</w:t>
      </w:r>
      <w:r w:rsidR="00BF6BFB">
        <w:rPr>
          <w:lang w:val="fr-FR"/>
        </w:rPr>
        <w:t xml:space="preserve"> afin de finaliser le document pour le soumettre officiellement au bureau du Premier Ministre avant la fin du projet.</w:t>
      </w:r>
    </w:p>
    <w:p w14:paraId="149BE36C" w14:textId="77777777" w:rsidR="00BF6BFB" w:rsidRDefault="00BF6BFB" w:rsidP="00EF4286">
      <w:pPr>
        <w:ind w:left="-810"/>
        <w:rPr>
          <w:lang w:val="fr-FR"/>
        </w:rPr>
      </w:pPr>
    </w:p>
    <w:p w14:paraId="54B76A0F" w14:textId="4929C1A0" w:rsidR="00F41E30" w:rsidRDefault="00F41E30" w:rsidP="00AB1104">
      <w:pPr>
        <w:ind w:left="-810"/>
        <w:jc w:val="both"/>
        <w:rPr>
          <w:lang w:val="fr-FR"/>
        </w:rPr>
      </w:pPr>
      <w:r>
        <w:rPr>
          <w:lang w:val="fr-FR"/>
        </w:rPr>
        <w:t>Le travail d’audit et d’</w:t>
      </w:r>
      <w:bookmarkStart w:id="2" w:name="_Hlk105965027"/>
      <w:r>
        <w:rPr>
          <w:lang w:val="fr-FR"/>
        </w:rPr>
        <w:t>é</w:t>
      </w:r>
      <w:bookmarkEnd w:id="2"/>
      <w:r>
        <w:rPr>
          <w:lang w:val="fr-FR"/>
        </w:rPr>
        <w:t xml:space="preserve">valuation des besoins de </w:t>
      </w:r>
      <w:r w:rsidR="000F508F">
        <w:rPr>
          <w:lang w:val="fr-FR"/>
        </w:rPr>
        <w:t>l</w:t>
      </w:r>
      <w:r>
        <w:rPr>
          <w:lang w:val="fr-FR"/>
        </w:rPr>
        <w:t xml:space="preserve">a police nationale en matière de gestion de stocks d’armes et de munition a permis </w:t>
      </w:r>
      <w:r w:rsidR="00AB1104">
        <w:rPr>
          <w:lang w:val="fr-FR"/>
        </w:rPr>
        <w:t>de conscientiser les a</w:t>
      </w:r>
      <w:r>
        <w:rPr>
          <w:lang w:val="fr-FR"/>
        </w:rPr>
        <w:t xml:space="preserve">utorités </w:t>
      </w:r>
      <w:r w:rsidR="00AB1104">
        <w:rPr>
          <w:lang w:val="fr-FR"/>
        </w:rPr>
        <w:t>policiè</w:t>
      </w:r>
      <w:r w:rsidR="00A150B5">
        <w:rPr>
          <w:lang w:val="fr-FR"/>
        </w:rPr>
        <w:t>res</w:t>
      </w:r>
      <w:r w:rsidR="0027458A">
        <w:rPr>
          <w:lang w:val="fr-FR"/>
        </w:rPr>
        <w:t xml:space="preserve">, à travers la présentation officielle </w:t>
      </w:r>
      <w:r w:rsidR="00482EBC">
        <w:rPr>
          <w:lang w:val="fr-FR"/>
        </w:rPr>
        <w:t>d</w:t>
      </w:r>
      <w:r w:rsidR="00482EBC" w:rsidRPr="00E368B3">
        <w:rPr>
          <w:lang w:val="fr-FR"/>
        </w:rPr>
        <w:t>es conclusions de ce rapport au Directeur général de la PNH accompagné de son Etat-major le 29 septembre</w:t>
      </w:r>
      <w:r w:rsidR="00482EBC">
        <w:rPr>
          <w:lang w:val="fr-FR"/>
        </w:rPr>
        <w:t xml:space="preserve"> 2021,</w:t>
      </w:r>
      <w:r w:rsidR="00A150B5">
        <w:rPr>
          <w:lang w:val="fr-FR"/>
        </w:rPr>
        <w:t xml:space="preserve"> sur la mauvaise gestion de s</w:t>
      </w:r>
      <w:r w:rsidR="00AB1104">
        <w:rPr>
          <w:lang w:val="fr-FR"/>
        </w:rPr>
        <w:t xml:space="preserve">es matériels et </w:t>
      </w:r>
      <w:r>
        <w:rPr>
          <w:lang w:val="fr-FR"/>
        </w:rPr>
        <w:t>de p</w:t>
      </w:r>
      <w:r w:rsidR="00AB1104">
        <w:rPr>
          <w:lang w:val="fr-FR"/>
        </w:rPr>
        <w:t>ousser ces dernières à entreprendre, dans un premier temps, au niveau central les dispositions nécessaires pour améliorer le</w:t>
      </w:r>
      <w:r w:rsidR="00AB1104" w:rsidRPr="00AB1104">
        <w:rPr>
          <w:lang w:val="fr-FR"/>
        </w:rPr>
        <w:t xml:space="preserve"> système d’entreposage et </w:t>
      </w:r>
      <w:r w:rsidR="00AB1104">
        <w:rPr>
          <w:lang w:val="fr-FR"/>
        </w:rPr>
        <w:t xml:space="preserve">renforcer la </w:t>
      </w:r>
      <w:r w:rsidR="00AB1104" w:rsidRPr="00AB1104">
        <w:rPr>
          <w:lang w:val="fr-FR"/>
        </w:rPr>
        <w:t>sécuri</w:t>
      </w:r>
      <w:r w:rsidR="00AB1104">
        <w:rPr>
          <w:lang w:val="fr-FR"/>
        </w:rPr>
        <w:t xml:space="preserve">té </w:t>
      </w:r>
      <w:r w:rsidR="00AB1104" w:rsidRPr="00AB1104">
        <w:rPr>
          <w:lang w:val="fr-FR"/>
        </w:rPr>
        <w:t>de l’armurerie centrale</w:t>
      </w:r>
      <w:r w:rsidR="00AB1104">
        <w:rPr>
          <w:lang w:val="fr-FR"/>
        </w:rPr>
        <w:t xml:space="preserve">. </w:t>
      </w:r>
      <w:r w:rsidR="00B613E6">
        <w:rPr>
          <w:lang w:val="fr-FR"/>
        </w:rPr>
        <w:t>Par ailleurs,</w:t>
      </w:r>
      <w:r w:rsidR="00AB1104">
        <w:rPr>
          <w:lang w:val="fr-FR"/>
        </w:rPr>
        <w:t xml:space="preserve"> le Service de Permis d’Armes à Feu qui</w:t>
      </w:r>
      <w:r w:rsidR="00B613E6">
        <w:rPr>
          <w:lang w:val="fr-FR"/>
        </w:rPr>
        <w:t>,</w:t>
      </w:r>
      <w:r w:rsidR="00AB1104">
        <w:rPr>
          <w:lang w:val="fr-FR"/>
        </w:rPr>
        <w:t xml:space="preserve"> </w:t>
      </w:r>
      <w:r w:rsidR="00B613E6">
        <w:rPr>
          <w:lang w:val="fr-FR"/>
        </w:rPr>
        <w:t xml:space="preserve">depuis 2012, assure manuellement l’enregistrement des données en l’absence d’un logiciel/application adapté à cet effet pourra désormais informatiser ces données. </w:t>
      </w:r>
    </w:p>
    <w:p w14:paraId="5F95E335" w14:textId="62378749" w:rsidR="00753687" w:rsidRDefault="00753687" w:rsidP="00AB1104">
      <w:pPr>
        <w:ind w:left="-810"/>
        <w:jc w:val="both"/>
        <w:rPr>
          <w:lang w:val="fr-FR"/>
        </w:rPr>
      </w:pPr>
    </w:p>
    <w:p w14:paraId="20D0A200" w14:textId="5B5C9F91" w:rsidR="00117EE7" w:rsidRPr="00F03A5D" w:rsidRDefault="00F03A5D" w:rsidP="00F03A5D">
      <w:pPr>
        <w:ind w:left="-810"/>
        <w:jc w:val="both"/>
        <w:rPr>
          <w:lang w:val="fr-FR"/>
        </w:rPr>
      </w:pPr>
      <w:r w:rsidRPr="00F03A5D">
        <w:rPr>
          <w:lang w:val="fr-FR"/>
        </w:rPr>
        <w:t>La création des espaces de dialogue entre autorités en matière de sécurité et migration dans les points frontaliers a permis de renforcer la coopération binationale en matière de gestion intégrée des frontières, protection des enfants, femmes et sécurité. Grâce au projet, les relations institutionnelles ont été renforcées et les autorités haïtiennes et dominicaines ont pris conscience de l’importance de collaborer avec ses homologues.</w:t>
      </w:r>
      <w:r w:rsidR="00634E8E">
        <w:rPr>
          <w:lang w:val="fr-FR"/>
        </w:rPr>
        <w:t xml:space="preserve"> Par exemple, grâce aux réunions binationales, </w:t>
      </w:r>
      <w:r w:rsidR="003C2A9E">
        <w:rPr>
          <w:lang w:val="fr-FR"/>
        </w:rPr>
        <w:t xml:space="preserve">les autorités </w:t>
      </w:r>
      <w:r w:rsidR="00416BEF">
        <w:rPr>
          <w:lang w:val="fr-FR"/>
        </w:rPr>
        <w:t>haïtien</w:t>
      </w:r>
      <w:r w:rsidR="0027458A">
        <w:rPr>
          <w:lang w:val="fr-FR"/>
        </w:rPr>
        <w:t>ne</w:t>
      </w:r>
      <w:r w:rsidR="00416BEF">
        <w:rPr>
          <w:lang w:val="fr-FR"/>
        </w:rPr>
        <w:t>s</w:t>
      </w:r>
      <w:r w:rsidR="003C2A9E">
        <w:rPr>
          <w:lang w:val="fr-FR"/>
        </w:rPr>
        <w:t xml:space="preserve"> et dominicaines ont </w:t>
      </w:r>
      <w:r w:rsidR="00B51409">
        <w:rPr>
          <w:lang w:val="fr-FR"/>
        </w:rPr>
        <w:t>réussi</w:t>
      </w:r>
      <w:r w:rsidR="003C2A9E">
        <w:rPr>
          <w:lang w:val="fr-FR"/>
        </w:rPr>
        <w:t xml:space="preserve"> </w:t>
      </w:r>
      <w:r w:rsidR="00437584">
        <w:rPr>
          <w:lang w:val="fr-FR"/>
        </w:rPr>
        <w:t>à</w:t>
      </w:r>
      <w:r w:rsidR="003C2A9E">
        <w:rPr>
          <w:lang w:val="fr-FR"/>
        </w:rPr>
        <w:t xml:space="preserve"> clarifier les questionnements </w:t>
      </w:r>
      <w:r w:rsidR="00B51409">
        <w:rPr>
          <w:lang w:val="fr-FR"/>
        </w:rPr>
        <w:t>liés</w:t>
      </w:r>
      <w:r w:rsidR="003C2A9E">
        <w:rPr>
          <w:lang w:val="fr-FR"/>
        </w:rPr>
        <w:t xml:space="preserve"> au certificat </w:t>
      </w:r>
      <w:r w:rsidR="00B51409">
        <w:rPr>
          <w:lang w:val="fr-FR"/>
        </w:rPr>
        <w:t>délivré</w:t>
      </w:r>
      <w:r w:rsidR="003C2A9E">
        <w:rPr>
          <w:lang w:val="fr-FR"/>
        </w:rPr>
        <w:t xml:space="preserve"> par l’</w:t>
      </w:r>
      <w:r w:rsidR="00B51409" w:rsidRPr="00E368B3">
        <w:rPr>
          <w:b/>
          <w:bCs/>
          <w:lang w:val="fr-FR"/>
        </w:rPr>
        <w:t>Institut du Bien-Etre Social et de Recherches</w:t>
      </w:r>
      <w:r w:rsidR="00B51409">
        <w:rPr>
          <w:b/>
          <w:bCs/>
          <w:lang w:val="fr-FR"/>
        </w:rPr>
        <w:t xml:space="preserve"> (« IBESR ») </w:t>
      </w:r>
      <w:r w:rsidR="00437584">
        <w:rPr>
          <w:b/>
          <w:bCs/>
          <w:lang w:val="fr-FR"/>
        </w:rPr>
        <w:t xml:space="preserve">permettant le </w:t>
      </w:r>
      <w:r w:rsidR="00416BEF">
        <w:rPr>
          <w:b/>
          <w:bCs/>
          <w:lang w:val="fr-FR"/>
        </w:rPr>
        <w:t>déplacement</w:t>
      </w:r>
      <w:r w:rsidR="00437584">
        <w:rPr>
          <w:b/>
          <w:bCs/>
          <w:lang w:val="fr-FR"/>
        </w:rPr>
        <w:t xml:space="preserve"> des enfants à la frontière. Cela a permis d’améliorer la coordination dans la lutte contre la traite des enfants.</w:t>
      </w:r>
      <w:r w:rsidR="00437584" w:rsidRPr="00F03A5D">
        <w:rPr>
          <w:lang w:val="fr-FR"/>
        </w:rPr>
        <w:t xml:space="preserve"> </w:t>
      </w:r>
      <w:r w:rsidR="00437584">
        <w:rPr>
          <w:lang w:val="fr-FR"/>
        </w:rPr>
        <w:t>En plus, i</w:t>
      </w:r>
      <w:r w:rsidR="00437584" w:rsidRPr="00F03A5D">
        <w:rPr>
          <w:lang w:val="fr-FR"/>
        </w:rPr>
        <w:t>l</w:t>
      </w:r>
      <w:r w:rsidRPr="00F03A5D">
        <w:rPr>
          <w:lang w:val="fr-FR"/>
        </w:rPr>
        <w:t xml:space="preserve"> est important de souligner que les réunions binationales facilitent la coordination des opérations conjointes, notamment entre la POLIFRONT et le CESFRONT</w:t>
      </w:r>
      <w:r w:rsidR="00437584">
        <w:rPr>
          <w:lang w:val="fr-FR"/>
        </w:rPr>
        <w:t xml:space="preserve"> pour le rapatriement des présumes délinquants qui essaient d’échapper en traversant d’un pays </w:t>
      </w:r>
      <w:r w:rsidR="00416BEF">
        <w:rPr>
          <w:lang w:val="fr-FR"/>
        </w:rPr>
        <w:t>à</w:t>
      </w:r>
      <w:r w:rsidR="00437584">
        <w:rPr>
          <w:lang w:val="fr-FR"/>
        </w:rPr>
        <w:t xml:space="preserve"> </w:t>
      </w:r>
      <w:proofErr w:type="gramStart"/>
      <w:r w:rsidR="00437584">
        <w:rPr>
          <w:lang w:val="fr-FR"/>
        </w:rPr>
        <w:t xml:space="preserve">l’autre </w:t>
      </w:r>
      <w:r w:rsidRPr="00F03A5D">
        <w:rPr>
          <w:lang w:val="fr-FR"/>
        </w:rPr>
        <w:t>.</w:t>
      </w:r>
      <w:proofErr w:type="gramEnd"/>
      <w:r w:rsidRPr="00F03A5D">
        <w:rPr>
          <w:lang w:val="fr-FR"/>
        </w:rPr>
        <w:t xml:space="preserve"> En plus, des formations binationales sur les lois migratoires, l’identification des faux documents et les caractéristiques des passeports en Haïti et la République Dominicaine contribuent au renforcement des compétences des acteurs au niveau de la frontière dans la lutte contre les trafics illicites.</w:t>
      </w:r>
    </w:p>
    <w:p w14:paraId="4A517F64" w14:textId="77777777" w:rsidR="00F03A5D" w:rsidRPr="00EF4286" w:rsidRDefault="00F03A5D" w:rsidP="00117EE7">
      <w:pPr>
        <w:ind w:left="-810"/>
        <w:rPr>
          <w:lang w:val="fr-FR"/>
        </w:rPr>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lastRenderedPageBreak/>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8E8CA0E" w:rsidR="005D15A3" w:rsidRPr="00222E07"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222E07" w:rsidRPr="00222E07">
        <w:rPr>
          <w:sz w:val="22"/>
          <w:szCs w:val="22"/>
          <w:lang w:val="fr-FR"/>
        </w:rPr>
        <w:t>Les trois institutions responsables du contrôle des armes à feu et des munitions en zone frontalière sont capables de jouer leur rôle de façon plus efficace et mieux coordonnée</w:t>
      </w:r>
    </w:p>
    <w:p w14:paraId="6A528501" w14:textId="77777777" w:rsidR="005D15A3" w:rsidRPr="00615EA3" w:rsidRDefault="005D15A3" w:rsidP="005D15A3">
      <w:pPr>
        <w:ind w:left="-720"/>
        <w:rPr>
          <w:b/>
          <w:lang w:val="fr-FR"/>
        </w:rPr>
      </w:pPr>
    </w:p>
    <w:p w14:paraId="7AC56A13" w14:textId="7E36E828" w:rsidR="005D15A3" w:rsidRPr="00D5259B"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180E63">
        <w:rPr>
          <w:rFonts w:ascii="inherit" w:hAnsi="inherit"/>
          <w:color w:val="212121"/>
          <w:lang w:val="fr-FR"/>
        </w:rPr>
        <w:t>résultat</w:t>
      </w:r>
      <w:r w:rsidR="00180E63" w:rsidRPr="009C39D0">
        <w:rPr>
          <w:rFonts w:ascii="inherit" w:hAnsi="inherit"/>
          <w:color w:val="212121"/>
          <w:lang w:val="fr-FR"/>
        </w:rPr>
        <w:t xml:space="preserve"> :</w:t>
      </w:r>
      <w:r w:rsidRPr="00615EA3">
        <w:rPr>
          <w:b/>
          <w:lang w:val="fr-FR"/>
        </w:rPr>
        <w:t xml:space="preserve"> </w:t>
      </w:r>
      <w:r w:rsidR="00D5259B" w:rsidRPr="00180E63">
        <w:rPr>
          <w:rFonts w:ascii="Arial Narrow" w:hAnsi="Arial Narrow"/>
          <w:b/>
          <w:sz w:val="22"/>
          <w:szCs w:val="22"/>
          <w:lang w:val="fr-FR"/>
        </w:rPr>
        <w:t>On</w:t>
      </w:r>
      <w:r w:rsidR="00D5259B">
        <w:rPr>
          <w:rFonts w:ascii="Arial Narrow" w:hAnsi="Arial Narrow"/>
          <w:b/>
          <w:sz w:val="22"/>
          <w:szCs w:val="22"/>
          <w:lang w:val="fr-FR"/>
        </w:rPr>
        <w:t xml:space="preserve"> </w:t>
      </w:r>
      <w:proofErr w:type="spellStart"/>
      <w:r w:rsidR="00D5259B">
        <w:rPr>
          <w:rFonts w:ascii="Arial Narrow" w:hAnsi="Arial Narrow"/>
          <w:b/>
          <w:sz w:val="22"/>
          <w:szCs w:val="22"/>
          <w:lang w:val="fr-FR"/>
        </w:rPr>
        <w:t>track</w:t>
      </w:r>
      <w:proofErr w:type="spellEnd"/>
    </w:p>
    <w:p w14:paraId="02835EA1" w14:textId="77777777" w:rsidR="002E1CED" w:rsidRPr="005D15A3" w:rsidRDefault="002E1CED" w:rsidP="00323ABC">
      <w:pPr>
        <w:ind w:left="-720"/>
        <w:jc w:val="both"/>
        <w:rPr>
          <w:b/>
          <w:lang w:val="fr-FR"/>
        </w:rPr>
      </w:pPr>
    </w:p>
    <w:p w14:paraId="04D2068E" w14:textId="447C7B68" w:rsidR="005216B2" w:rsidRDefault="00FE2348"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proofErr w:type="gramStart"/>
      <w:r w:rsidR="005D15A3"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sidR="005D15A3">
        <w:rPr>
          <w:rFonts w:ascii="inherit" w:hAnsi="inherit"/>
          <w:color w:val="212121"/>
          <w:lang w:val="fr-FR"/>
        </w:rPr>
        <w:t>(Limite de 3000 caractères)</w:t>
      </w:r>
    </w:p>
    <w:p w14:paraId="1F8D19D9" w14:textId="1543D9BC" w:rsidR="00524A80" w:rsidRDefault="00524A80" w:rsidP="005D15A3">
      <w:pPr>
        <w:ind w:left="-720"/>
        <w:jc w:val="both"/>
        <w:rPr>
          <w:rFonts w:ascii="inherit" w:hAnsi="inherit"/>
          <w:color w:val="212121"/>
          <w:lang w:val="fr-FR"/>
        </w:rPr>
      </w:pPr>
    </w:p>
    <w:p w14:paraId="1D0BA398" w14:textId="77777777" w:rsidR="00524A80" w:rsidRPr="00524A80" w:rsidRDefault="00524A80" w:rsidP="00524A80">
      <w:pPr>
        <w:ind w:left="-720"/>
        <w:jc w:val="both"/>
        <w:rPr>
          <w:rFonts w:ascii="inherit" w:hAnsi="inherit"/>
          <w:b/>
          <w:bCs/>
          <w:color w:val="212121"/>
          <w:lang w:val="fr-FR"/>
        </w:rPr>
      </w:pPr>
      <w:r w:rsidRPr="00524A80">
        <w:rPr>
          <w:rFonts w:ascii="inherit" w:hAnsi="inherit"/>
          <w:b/>
          <w:bCs/>
          <w:color w:val="212121"/>
          <w:lang w:val="fr-FR"/>
        </w:rPr>
        <w:t xml:space="preserve">Produit 1.1. </w:t>
      </w:r>
      <w:proofErr w:type="gramStart"/>
      <w:r w:rsidRPr="00524A80">
        <w:rPr>
          <w:rFonts w:ascii="inherit" w:hAnsi="inherit"/>
          <w:b/>
          <w:bCs/>
          <w:color w:val="212121"/>
          <w:lang w:val="fr-FR"/>
        </w:rPr>
        <w:t>Suite à</w:t>
      </w:r>
      <w:proofErr w:type="gramEnd"/>
      <w:r w:rsidRPr="00524A80">
        <w:rPr>
          <w:rFonts w:ascii="inherit" w:hAnsi="inherit"/>
          <w:b/>
          <w:bCs/>
          <w:color w:val="212121"/>
          <w:lang w:val="fr-FR"/>
        </w:rPr>
        <w:t xml:space="preserve"> la soumission de l'accord entre Douanes, Immigration et Police (DIP) au Bureau du Premier Ministre, des discussions avec la Primature et DG PNH sont en cours afin d’organiser la cérémonie de signature.</w:t>
      </w:r>
    </w:p>
    <w:p w14:paraId="2C54A5B5" w14:textId="4004D8ED" w:rsidR="004E4E75" w:rsidRDefault="004E4E75" w:rsidP="005D15A3">
      <w:pPr>
        <w:ind w:left="-720"/>
        <w:jc w:val="both"/>
        <w:rPr>
          <w:i/>
          <w:lang w:val="fr-FR"/>
        </w:rPr>
      </w:pPr>
    </w:p>
    <w:p w14:paraId="4F7616B3" w14:textId="77777777" w:rsidR="00F03A5D" w:rsidRPr="00F03A5D" w:rsidRDefault="00F03A5D" w:rsidP="00F03A5D">
      <w:pPr>
        <w:ind w:left="-720"/>
        <w:jc w:val="both"/>
        <w:rPr>
          <w:rFonts w:ascii="Cambria" w:hAnsi="Cambria"/>
          <w:lang w:val="fr-FR"/>
        </w:rPr>
      </w:pPr>
      <w:r w:rsidRPr="00F03A5D">
        <w:rPr>
          <w:rFonts w:ascii="Cambria" w:hAnsi="Cambria"/>
          <w:lang w:val="fr-FR"/>
        </w:rPr>
        <w:t>Ce produit vise à renforcer la collaboration entre les douanes, l’immigration et la police de l’immigration afin de mieux contrôler les armes à feu et des minutions qui circulent dans le pays. A cet effet, le projet a continué l’accompagnement de l’AGD, la DIE, et la PNH dans un processus participatif entre les trois institutions, visant à la signature du Protocole d’Entente DIP et d’un Manuel de POS, qui seront mises en œuvre par les agents des trois institutions en vue d’instituer une meilleure gestion intégrée de la frontière terrestre.</w:t>
      </w:r>
    </w:p>
    <w:p w14:paraId="0051B49C" w14:textId="77777777" w:rsidR="00F03A5D" w:rsidRPr="00F03A5D" w:rsidRDefault="00F03A5D" w:rsidP="00F03A5D">
      <w:pPr>
        <w:ind w:left="-720"/>
        <w:jc w:val="both"/>
        <w:rPr>
          <w:rFonts w:ascii="Cambria" w:hAnsi="Cambria"/>
          <w:lang w:val="fr-FR"/>
        </w:rPr>
      </w:pPr>
    </w:p>
    <w:p w14:paraId="598A8782" w14:textId="77777777" w:rsidR="00F03A5D" w:rsidRPr="00F03A5D" w:rsidRDefault="00F03A5D" w:rsidP="00F03A5D">
      <w:pPr>
        <w:ind w:left="-720"/>
        <w:jc w:val="both"/>
        <w:rPr>
          <w:rFonts w:ascii="Cambria" w:hAnsi="Cambria"/>
          <w:lang w:val="fr-FR"/>
        </w:rPr>
      </w:pPr>
      <w:r w:rsidRPr="00F03A5D">
        <w:rPr>
          <w:rFonts w:ascii="Cambria" w:hAnsi="Cambria"/>
          <w:lang w:val="fr-FR"/>
        </w:rPr>
        <w:t xml:space="preserve">Néanmoins, en raison du contexte sociopolitique et sécuritaire et malgré les efforts de coordination, la cérémonie de signature n’a toujours pas pu être organisée. Par exemple, une première date (19 janvier 2021) avait été retenue pour organiser cette cérémonie. Cependant, le changement du DG PNH a obligé l’équipe de projet a décalé la cérémonie une première fois. Ensuite, une réunion avec le Premier Ministre était prévue en Juin/Juillet 2021 afin d’avancer avec le processus de signature. Encore une fois, en raison de l’assassinat du président, et l’incertitude dans le pays, a bloqué à nouveau ce processus. Pendant le période du rapport, et après avoir reçu de la Primature la correspondance SJ/JCF/0297 du 8 Décembre 2021 en réponse à notre demande d’autorisation pour la signature de l’accord DIP (correspondance CoM-063/21), en suivant les indications du Premier Ministre nous avons procédé à demander aux Ministres Responsables d’autoriser les institutions impliquées de procéder à la signature officielle de cet Accord par les Directeurs concernés sans succès. </w:t>
      </w:r>
    </w:p>
    <w:p w14:paraId="327D60F8" w14:textId="77777777" w:rsidR="00F03A5D" w:rsidRPr="00F03A5D" w:rsidRDefault="00F03A5D" w:rsidP="00F03A5D">
      <w:pPr>
        <w:ind w:left="-720"/>
        <w:jc w:val="both"/>
        <w:rPr>
          <w:rFonts w:ascii="Cambria" w:hAnsi="Cambria"/>
          <w:lang w:val="fr-FR"/>
        </w:rPr>
      </w:pPr>
    </w:p>
    <w:p w14:paraId="0EFDCAAF" w14:textId="62DC3517" w:rsidR="00F03A5D" w:rsidRPr="00F03A5D" w:rsidRDefault="00F03A5D" w:rsidP="00F03A5D">
      <w:pPr>
        <w:ind w:left="-720"/>
        <w:jc w:val="both"/>
        <w:rPr>
          <w:rFonts w:ascii="Cambria" w:hAnsi="Cambria"/>
          <w:lang w:val="fr-FR"/>
        </w:rPr>
      </w:pPr>
      <w:r w:rsidRPr="00F03A5D">
        <w:rPr>
          <w:rFonts w:ascii="Cambria" w:hAnsi="Cambria"/>
          <w:lang w:val="fr-FR"/>
        </w:rPr>
        <w:t xml:space="preserve">Additionnellement, l’équipe de projet, avec le soutien du Bureau intégré des Nations Unies (BINU) en Haïti travaille pour aboutir à la signature. A cet effet, une réunion avec les ministres aurait dû avoir lieu pour clarifier les inquiétudes et arriver à une décision sur la signature du Protocole. </w:t>
      </w:r>
      <w:proofErr w:type="gramStart"/>
      <w:r w:rsidRPr="00F03A5D">
        <w:rPr>
          <w:rFonts w:ascii="Cambria" w:hAnsi="Cambria"/>
          <w:lang w:val="fr-FR"/>
        </w:rPr>
        <w:t>Cependant,  les</w:t>
      </w:r>
      <w:proofErr w:type="gramEnd"/>
      <w:r w:rsidRPr="00F03A5D">
        <w:rPr>
          <w:rFonts w:ascii="Cambria" w:hAnsi="Cambria"/>
          <w:lang w:val="fr-FR"/>
        </w:rPr>
        <w:t xml:space="preserve"> récentes accusations de corruption visant le Directeur General de l’AGD, ont </w:t>
      </w:r>
      <w:r w:rsidR="002D087E">
        <w:rPr>
          <w:rFonts w:ascii="Cambria" w:hAnsi="Cambria"/>
          <w:lang w:val="fr-FR"/>
        </w:rPr>
        <w:t xml:space="preserve">mis en </w:t>
      </w:r>
      <w:r w:rsidRPr="00F03A5D">
        <w:rPr>
          <w:rFonts w:ascii="Cambria" w:hAnsi="Cambria"/>
          <w:lang w:val="fr-FR"/>
        </w:rPr>
        <w:t xml:space="preserve">difficulté les efforts engagés par le Système des Nations Unies en Haïti. </w:t>
      </w:r>
    </w:p>
    <w:p w14:paraId="39556514" w14:textId="77777777" w:rsidR="00F03A5D" w:rsidRPr="00F03A5D" w:rsidRDefault="00F03A5D" w:rsidP="00F03A5D">
      <w:pPr>
        <w:ind w:left="-720"/>
        <w:jc w:val="both"/>
        <w:rPr>
          <w:rFonts w:ascii="Cambria" w:hAnsi="Cambria"/>
          <w:lang w:val="fr-FR"/>
        </w:rPr>
      </w:pPr>
    </w:p>
    <w:p w14:paraId="3DAB33CB" w14:textId="62901010" w:rsidR="00C459FC" w:rsidRPr="00180E63" w:rsidRDefault="00C459FC" w:rsidP="00C459FC">
      <w:pPr>
        <w:ind w:left="-720"/>
        <w:jc w:val="both"/>
        <w:rPr>
          <w:iCs/>
          <w:color w:val="2E74B5" w:themeColor="accent5" w:themeShade="BF"/>
          <w:lang w:val="fr-FR"/>
        </w:rPr>
      </w:pPr>
    </w:p>
    <w:p w14:paraId="69D6AF45" w14:textId="77777777" w:rsidR="00524A80" w:rsidRPr="00524A80" w:rsidRDefault="00524A80" w:rsidP="00524A80">
      <w:pPr>
        <w:ind w:left="-720"/>
        <w:jc w:val="both"/>
        <w:rPr>
          <w:iCs/>
          <w:lang w:val="fr-FR"/>
        </w:rPr>
      </w:pPr>
      <w:r w:rsidRPr="00524A80">
        <w:rPr>
          <w:b/>
          <w:bCs/>
          <w:iCs/>
          <w:lang w:val="fr-FR"/>
        </w:rPr>
        <w:t>Produits 1.2. Le recrutement du consultant pour la réalisation des formations a été effectué et les formations seront organisées après la signature de l’accord</w:t>
      </w:r>
      <w:r w:rsidRPr="00524A80">
        <w:rPr>
          <w:iCs/>
          <w:lang w:val="fr-FR"/>
        </w:rPr>
        <w:t>.</w:t>
      </w:r>
    </w:p>
    <w:p w14:paraId="188A5A12" w14:textId="77777777" w:rsidR="004E4E75" w:rsidRPr="00524A80" w:rsidRDefault="004E4E75" w:rsidP="00524A80">
      <w:pPr>
        <w:ind w:left="-720"/>
        <w:jc w:val="both"/>
        <w:rPr>
          <w:bCs/>
          <w:iCs/>
          <w:lang w:val="fr-FR"/>
        </w:rPr>
      </w:pPr>
    </w:p>
    <w:p w14:paraId="601C620A" w14:textId="6B7A30B6" w:rsidR="00F03A5D" w:rsidRPr="00F03A5D" w:rsidRDefault="00F03A5D" w:rsidP="00F03A5D">
      <w:pPr>
        <w:ind w:left="-720"/>
        <w:jc w:val="both"/>
        <w:rPr>
          <w:rFonts w:ascii="Cambria" w:hAnsi="Cambria"/>
          <w:lang w:val="fr-FR"/>
        </w:rPr>
      </w:pPr>
      <w:r w:rsidRPr="00F03A5D">
        <w:rPr>
          <w:rFonts w:ascii="Cambria" w:hAnsi="Cambria"/>
          <w:lang w:val="fr-FR"/>
        </w:rPr>
        <w:lastRenderedPageBreak/>
        <w:t>En raison du délai dans la célébration de la cérémonie de signature de l’Accord DIP, l’équipe du projet, avec le soutien du consultant qui a été recruté dès le début de la rédaction de l’Accord DIP, a organisé des réunions avec chacun</w:t>
      </w:r>
      <w:r>
        <w:rPr>
          <w:rFonts w:ascii="Cambria" w:hAnsi="Cambria"/>
          <w:lang w:val="fr-FR"/>
        </w:rPr>
        <w:t>e</w:t>
      </w:r>
      <w:r w:rsidRPr="00F03A5D">
        <w:rPr>
          <w:rFonts w:ascii="Cambria" w:hAnsi="Cambria"/>
          <w:lang w:val="fr-FR"/>
        </w:rPr>
        <w:t xml:space="preserve"> des institutions afin de trouver une solution et avancer avec les discussions. En coordination avec les acteurs, Il a été accordé l’organisation des formations du manuel SOP sur les quatre points officiels pour les différents agents de ces institutions afin de promouvoir son implémentation. </w:t>
      </w:r>
    </w:p>
    <w:p w14:paraId="3BEA10B2" w14:textId="77777777" w:rsidR="00F03A5D" w:rsidRPr="00F03A5D" w:rsidRDefault="00F03A5D" w:rsidP="00F03A5D">
      <w:pPr>
        <w:ind w:left="-720"/>
        <w:jc w:val="both"/>
        <w:rPr>
          <w:rFonts w:ascii="Cambria" w:hAnsi="Cambria"/>
          <w:lang w:val="fr-FR"/>
        </w:rPr>
      </w:pPr>
    </w:p>
    <w:p w14:paraId="1D8F4832" w14:textId="77777777" w:rsidR="00F03A5D" w:rsidRPr="00F03A5D" w:rsidRDefault="00F03A5D" w:rsidP="00F03A5D">
      <w:pPr>
        <w:ind w:left="-720"/>
        <w:jc w:val="both"/>
        <w:rPr>
          <w:rFonts w:ascii="Cambria" w:hAnsi="Cambria"/>
          <w:lang w:val="fr-FR"/>
        </w:rPr>
      </w:pPr>
      <w:r w:rsidRPr="00F03A5D">
        <w:rPr>
          <w:rFonts w:ascii="Cambria" w:hAnsi="Cambria"/>
          <w:lang w:val="fr-FR"/>
        </w:rPr>
        <w:t xml:space="preserve">Ces formations ont eu lieu le : </w:t>
      </w:r>
    </w:p>
    <w:p w14:paraId="1CD15D3D" w14:textId="77777777" w:rsidR="00F03A5D" w:rsidRPr="00F03A5D" w:rsidRDefault="00F03A5D" w:rsidP="00F03A5D">
      <w:pPr>
        <w:ind w:left="-720"/>
        <w:jc w:val="both"/>
        <w:rPr>
          <w:rFonts w:ascii="Cambria" w:hAnsi="Cambria"/>
          <w:lang w:val="fr-FR"/>
        </w:rPr>
      </w:pPr>
    </w:p>
    <w:p w14:paraId="26F2B40B" w14:textId="77777777" w:rsidR="00F03A5D" w:rsidRPr="00F03A5D" w:rsidRDefault="00F03A5D" w:rsidP="00F03A5D">
      <w:pPr>
        <w:numPr>
          <w:ilvl w:val="0"/>
          <w:numId w:val="12"/>
        </w:numPr>
        <w:jc w:val="both"/>
        <w:rPr>
          <w:rFonts w:ascii="Cambria" w:hAnsi="Cambria"/>
          <w:lang w:val="fr-FR"/>
        </w:rPr>
      </w:pPr>
      <w:r w:rsidRPr="00F03A5D">
        <w:rPr>
          <w:rFonts w:ascii="Cambria" w:hAnsi="Cambria"/>
          <w:lang w:val="fr-FR"/>
        </w:rPr>
        <w:t xml:space="preserve">Mardi 23 novembre 2021, </w:t>
      </w:r>
      <w:proofErr w:type="spellStart"/>
      <w:r w:rsidRPr="00F03A5D">
        <w:rPr>
          <w:rFonts w:ascii="Cambria" w:hAnsi="Cambria"/>
          <w:lang w:val="fr-FR"/>
        </w:rPr>
        <w:t>Malpasse</w:t>
      </w:r>
      <w:proofErr w:type="spellEnd"/>
      <w:r w:rsidRPr="00F03A5D">
        <w:rPr>
          <w:rFonts w:ascii="Cambria" w:hAnsi="Cambria"/>
          <w:lang w:val="fr-FR"/>
        </w:rPr>
        <w:t>, 27 participants, dont 5 femmes</w:t>
      </w:r>
    </w:p>
    <w:p w14:paraId="47F1DD64" w14:textId="77777777" w:rsidR="00F03A5D" w:rsidRPr="00F03A5D" w:rsidRDefault="00F03A5D" w:rsidP="00F03A5D">
      <w:pPr>
        <w:numPr>
          <w:ilvl w:val="1"/>
          <w:numId w:val="11"/>
        </w:numPr>
        <w:jc w:val="both"/>
        <w:rPr>
          <w:rFonts w:ascii="Cambria" w:hAnsi="Cambria"/>
          <w:lang w:val="fr-FR"/>
        </w:rPr>
      </w:pPr>
      <w:r w:rsidRPr="00F03A5D">
        <w:rPr>
          <w:rFonts w:ascii="Cambria" w:hAnsi="Cambria"/>
          <w:lang w:val="fr-FR"/>
        </w:rPr>
        <w:t>Mercredi 24 novembre 2021, Anse à Pitres, 20 participants, dont 3 femmes</w:t>
      </w:r>
    </w:p>
    <w:p w14:paraId="24C7258A" w14:textId="77777777" w:rsidR="00F03A5D" w:rsidRPr="00F03A5D" w:rsidRDefault="00F03A5D" w:rsidP="00F03A5D">
      <w:pPr>
        <w:numPr>
          <w:ilvl w:val="1"/>
          <w:numId w:val="11"/>
        </w:numPr>
        <w:jc w:val="both"/>
        <w:rPr>
          <w:rFonts w:ascii="Cambria" w:hAnsi="Cambria"/>
          <w:lang w:val="fr-FR"/>
        </w:rPr>
      </w:pPr>
      <w:r w:rsidRPr="00F03A5D">
        <w:rPr>
          <w:rFonts w:ascii="Cambria" w:hAnsi="Cambria"/>
          <w:lang w:val="fr-FR"/>
        </w:rPr>
        <w:t>Mardi 30 novembre 2021, Ouanaminthe, 20 participants, dont 6 femmes</w:t>
      </w:r>
    </w:p>
    <w:p w14:paraId="06F7DB4E" w14:textId="77777777" w:rsidR="00F03A5D" w:rsidRPr="00F03A5D" w:rsidRDefault="00F03A5D" w:rsidP="00F03A5D">
      <w:pPr>
        <w:ind w:left="-720"/>
        <w:jc w:val="both"/>
        <w:rPr>
          <w:rFonts w:ascii="Cambria" w:hAnsi="Cambria"/>
          <w:lang w:val="fr-FR"/>
        </w:rPr>
      </w:pPr>
    </w:p>
    <w:p w14:paraId="6DA4ED57" w14:textId="01954C6E" w:rsidR="00F03A5D" w:rsidRPr="00F03A5D" w:rsidRDefault="00F03A5D" w:rsidP="00F03A5D">
      <w:pPr>
        <w:ind w:left="-720"/>
        <w:jc w:val="both"/>
        <w:rPr>
          <w:rFonts w:ascii="Cambria" w:hAnsi="Cambria"/>
          <w:lang w:val="fr-FR"/>
        </w:rPr>
      </w:pPr>
      <w:r w:rsidRPr="00F03A5D">
        <w:rPr>
          <w:rFonts w:ascii="Cambria" w:hAnsi="Cambria"/>
          <w:lang w:val="fr-FR"/>
        </w:rPr>
        <w:t xml:space="preserve">L’organisation des formations a été confrontée à un grand nombre des défis. D’abord l’équipe du projet a dû faire le déplacement à travers la République Dominicaine en raison de la pénurie de carburant et insécurité en Haïti. La formation prévue à </w:t>
      </w:r>
      <w:proofErr w:type="spellStart"/>
      <w:r w:rsidRPr="00F03A5D">
        <w:rPr>
          <w:rFonts w:ascii="Cambria" w:hAnsi="Cambria"/>
          <w:lang w:val="fr-FR"/>
        </w:rPr>
        <w:t>Belladère</w:t>
      </w:r>
      <w:proofErr w:type="spellEnd"/>
      <w:r w:rsidRPr="00F03A5D">
        <w:rPr>
          <w:rFonts w:ascii="Cambria" w:hAnsi="Cambria"/>
          <w:lang w:val="fr-FR"/>
        </w:rPr>
        <w:t xml:space="preserve"> n’a pas été réalisé en raison du retard dans le déploiement de la POLIFRONT dans ce point frontalier. Malgré cela, les participants ont remarqué l’important du Manuel qui permettra de clarifier le rôle et les responsabilités de chaque institution dans les cas donnés qui se présentent au jour le jour à la frontière. </w:t>
      </w:r>
    </w:p>
    <w:p w14:paraId="6B3210AC" w14:textId="77777777" w:rsidR="00F03A5D" w:rsidRPr="00F03A5D" w:rsidRDefault="00F03A5D" w:rsidP="00F03A5D">
      <w:pPr>
        <w:ind w:left="-720"/>
        <w:jc w:val="both"/>
        <w:rPr>
          <w:rFonts w:ascii="Cambria" w:hAnsi="Cambria"/>
          <w:lang w:val="fr-FR"/>
        </w:rPr>
      </w:pPr>
    </w:p>
    <w:p w14:paraId="51DDEA9B" w14:textId="77777777" w:rsidR="00524A80" w:rsidRPr="00180E63" w:rsidRDefault="00524A80" w:rsidP="0085105B">
      <w:pPr>
        <w:ind w:left="-720"/>
        <w:jc w:val="both"/>
        <w:rPr>
          <w:bCs/>
          <w:color w:val="2E74B5" w:themeColor="accent5" w:themeShade="BF"/>
          <w:lang w:val="fr-FR"/>
        </w:rPr>
      </w:pPr>
    </w:p>
    <w:p w14:paraId="54BBBF6E" w14:textId="2F82858F" w:rsidR="00627A1C" w:rsidRDefault="002820E6" w:rsidP="00627A1C">
      <w:pPr>
        <w:ind w:left="-720"/>
        <w:rPr>
          <w:b/>
          <w:bCs/>
          <w:lang w:val="fr-CA"/>
        </w:rPr>
      </w:pPr>
      <w:r w:rsidRPr="002820E6">
        <w:rPr>
          <w:b/>
          <w:bCs/>
          <w:lang w:val="fr-CA"/>
        </w:rPr>
        <w:t>Produit 1.3. Reprise des réunions binationales</w:t>
      </w:r>
    </w:p>
    <w:p w14:paraId="3D4A8C21" w14:textId="1FEB0FF9" w:rsidR="002820E6" w:rsidRDefault="002820E6" w:rsidP="00627A1C">
      <w:pPr>
        <w:ind w:left="-720"/>
        <w:rPr>
          <w:b/>
          <w:bCs/>
          <w:lang w:val="fr-CA"/>
        </w:rPr>
      </w:pPr>
    </w:p>
    <w:p w14:paraId="2C9B88D8" w14:textId="77777777" w:rsidR="00F03A5D" w:rsidRPr="00F03A5D" w:rsidRDefault="00F03A5D" w:rsidP="00F03A5D">
      <w:pPr>
        <w:ind w:left="-720"/>
        <w:jc w:val="both"/>
        <w:rPr>
          <w:rFonts w:ascii="Cambria" w:hAnsi="Cambria"/>
          <w:lang w:val="fr-FR"/>
        </w:rPr>
      </w:pPr>
      <w:r w:rsidRPr="00F03A5D">
        <w:rPr>
          <w:rFonts w:ascii="Cambria" w:hAnsi="Cambria"/>
          <w:lang w:val="fr-FR"/>
        </w:rPr>
        <w:t>Depuis 2020, dans l’objectif de renforcer la coordination binationale pour lutter contre les trafics à la frontière entre Haïti et la République Dominicaine, le projet appui un espace de coordination binationale sur le point frontalier officiel de Ouanaminthe/</w:t>
      </w:r>
      <w:proofErr w:type="spellStart"/>
      <w:r w:rsidRPr="00F03A5D">
        <w:rPr>
          <w:rFonts w:ascii="Cambria" w:hAnsi="Cambria"/>
          <w:lang w:val="fr-FR"/>
        </w:rPr>
        <w:t>Dajabón</w:t>
      </w:r>
      <w:proofErr w:type="spellEnd"/>
      <w:r w:rsidRPr="00F03A5D">
        <w:rPr>
          <w:rFonts w:ascii="Cambria" w:hAnsi="Cambria"/>
          <w:lang w:val="fr-FR"/>
        </w:rPr>
        <w:t xml:space="preserve">, </w:t>
      </w:r>
      <w:proofErr w:type="spellStart"/>
      <w:r w:rsidRPr="00F03A5D">
        <w:rPr>
          <w:rFonts w:ascii="Cambria" w:hAnsi="Cambria"/>
          <w:lang w:val="fr-FR"/>
        </w:rPr>
        <w:t>Malpasse</w:t>
      </w:r>
      <w:proofErr w:type="spellEnd"/>
      <w:r w:rsidRPr="00F03A5D">
        <w:rPr>
          <w:rFonts w:ascii="Cambria" w:hAnsi="Cambria"/>
          <w:lang w:val="fr-FR"/>
        </w:rPr>
        <w:t>/</w:t>
      </w:r>
      <w:proofErr w:type="spellStart"/>
      <w:r w:rsidRPr="00F03A5D">
        <w:rPr>
          <w:rFonts w:ascii="Cambria" w:hAnsi="Cambria"/>
          <w:lang w:val="fr-FR"/>
        </w:rPr>
        <w:t>Jimaní</w:t>
      </w:r>
      <w:proofErr w:type="spellEnd"/>
      <w:r w:rsidRPr="00F03A5D">
        <w:rPr>
          <w:rFonts w:ascii="Cambria" w:hAnsi="Cambria"/>
          <w:lang w:val="fr-FR"/>
        </w:rPr>
        <w:t xml:space="preserve"> et Anse-à-Pitres/</w:t>
      </w:r>
      <w:proofErr w:type="spellStart"/>
      <w:r w:rsidRPr="00F03A5D">
        <w:rPr>
          <w:rFonts w:ascii="Cambria" w:hAnsi="Cambria"/>
          <w:lang w:val="fr-FR"/>
        </w:rPr>
        <w:t>Pedernales</w:t>
      </w:r>
      <w:proofErr w:type="spellEnd"/>
      <w:r w:rsidRPr="00F03A5D">
        <w:rPr>
          <w:rFonts w:ascii="Cambria" w:hAnsi="Cambria"/>
          <w:lang w:val="fr-FR"/>
        </w:rPr>
        <w:t>.</w:t>
      </w:r>
    </w:p>
    <w:p w14:paraId="65DD881B" w14:textId="77777777" w:rsidR="00F03A5D" w:rsidRPr="00F03A5D" w:rsidRDefault="00F03A5D" w:rsidP="00F03A5D">
      <w:pPr>
        <w:ind w:left="-720"/>
        <w:jc w:val="both"/>
        <w:rPr>
          <w:rFonts w:ascii="Cambria" w:hAnsi="Cambria"/>
          <w:lang w:val="fr-FR"/>
        </w:rPr>
      </w:pPr>
    </w:p>
    <w:p w14:paraId="7EBB5224" w14:textId="666B77FF" w:rsidR="00F03A5D" w:rsidRPr="00F03A5D" w:rsidRDefault="00F03A5D" w:rsidP="00F03A5D">
      <w:pPr>
        <w:ind w:left="-720"/>
        <w:jc w:val="both"/>
        <w:rPr>
          <w:rFonts w:ascii="Cambria" w:hAnsi="Cambria"/>
          <w:lang w:val="fr-FR"/>
        </w:rPr>
      </w:pPr>
      <w:r w:rsidRPr="00F03A5D">
        <w:rPr>
          <w:rFonts w:ascii="Cambria" w:hAnsi="Cambria"/>
          <w:lang w:val="fr-FR"/>
        </w:rPr>
        <w:t xml:space="preserve">Ces réunions ont permis de réunir et renforcer la coopération et collaboration des autorités de deux pays qui travaillent sur les questions sécuritaires à la frontière, notamment : POLIFRONT, </w:t>
      </w:r>
      <w:proofErr w:type="spellStart"/>
      <w:r w:rsidRPr="00F03A5D">
        <w:rPr>
          <w:rFonts w:ascii="Cambria" w:hAnsi="Cambria"/>
          <w:lang w:val="fr-FR"/>
        </w:rPr>
        <w:t>Cuerpo</w:t>
      </w:r>
      <w:proofErr w:type="spellEnd"/>
      <w:r w:rsidRPr="00F03A5D">
        <w:rPr>
          <w:rFonts w:ascii="Cambria" w:hAnsi="Cambria"/>
          <w:lang w:val="fr-FR"/>
        </w:rPr>
        <w:t xml:space="preserve"> </w:t>
      </w:r>
      <w:proofErr w:type="spellStart"/>
      <w:r w:rsidRPr="00F03A5D">
        <w:rPr>
          <w:rFonts w:ascii="Cambria" w:hAnsi="Cambria"/>
          <w:lang w:val="fr-FR"/>
        </w:rPr>
        <w:t>Especializado</w:t>
      </w:r>
      <w:proofErr w:type="spellEnd"/>
      <w:r w:rsidRPr="00F03A5D">
        <w:rPr>
          <w:rFonts w:ascii="Cambria" w:hAnsi="Cambria"/>
          <w:lang w:val="fr-FR"/>
        </w:rPr>
        <w:t xml:space="preserve"> de </w:t>
      </w:r>
      <w:proofErr w:type="spellStart"/>
      <w:r w:rsidRPr="00F03A5D">
        <w:rPr>
          <w:rFonts w:ascii="Cambria" w:hAnsi="Cambria"/>
          <w:lang w:val="fr-FR"/>
        </w:rPr>
        <w:t>Seguridad</w:t>
      </w:r>
      <w:proofErr w:type="spellEnd"/>
      <w:r w:rsidRPr="00F03A5D">
        <w:rPr>
          <w:rFonts w:ascii="Cambria" w:hAnsi="Cambria"/>
          <w:lang w:val="fr-FR"/>
        </w:rPr>
        <w:t xml:space="preserve"> </w:t>
      </w:r>
      <w:proofErr w:type="spellStart"/>
      <w:r w:rsidRPr="00F03A5D">
        <w:rPr>
          <w:rFonts w:ascii="Cambria" w:hAnsi="Cambria"/>
          <w:lang w:val="fr-FR"/>
        </w:rPr>
        <w:t>Fronteriza</w:t>
      </w:r>
      <w:proofErr w:type="spellEnd"/>
      <w:r w:rsidRPr="00F03A5D">
        <w:rPr>
          <w:rFonts w:ascii="Cambria" w:hAnsi="Cambria"/>
          <w:lang w:val="fr-FR"/>
        </w:rPr>
        <w:t xml:space="preserve"> (CESFRONT), </w:t>
      </w:r>
      <w:proofErr w:type="spellStart"/>
      <w:r w:rsidRPr="00F03A5D">
        <w:rPr>
          <w:rFonts w:ascii="Cambria" w:hAnsi="Cambria"/>
          <w:lang w:val="fr-FR"/>
        </w:rPr>
        <w:t>Dirección</w:t>
      </w:r>
      <w:proofErr w:type="spellEnd"/>
      <w:r w:rsidRPr="00F03A5D">
        <w:rPr>
          <w:rFonts w:ascii="Cambria" w:hAnsi="Cambria"/>
          <w:lang w:val="fr-FR"/>
        </w:rPr>
        <w:t xml:space="preserve"> </w:t>
      </w:r>
      <w:proofErr w:type="spellStart"/>
      <w:r w:rsidRPr="00F03A5D">
        <w:rPr>
          <w:rFonts w:ascii="Cambria" w:hAnsi="Cambria"/>
          <w:lang w:val="fr-FR"/>
        </w:rPr>
        <w:t>Nacional</w:t>
      </w:r>
      <w:proofErr w:type="spellEnd"/>
      <w:r w:rsidRPr="00F03A5D">
        <w:rPr>
          <w:rFonts w:ascii="Cambria" w:hAnsi="Cambria"/>
          <w:lang w:val="fr-FR"/>
        </w:rPr>
        <w:t xml:space="preserve"> de Control de </w:t>
      </w:r>
      <w:proofErr w:type="spellStart"/>
      <w:r w:rsidRPr="00F03A5D">
        <w:rPr>
          <w:rFonts w:ascii="Cambria" w:hAnsi="Cambria"/>
          <w:lang w:val="fr-FR"/>
        </w:rPr>
        <w:t>Drogas</w:t>
      </w:r>
      <w:proofErr w:type="spellEnd"/>
      <w:r w:rsidRPr="00F03A5D">
        <w:rPr>
          <w:rFonts w:ascii="Cambria" w:hAnsi="Cambria"/>
          <w:lang w:val="fr-FR"/>
        </w:rPr>
        <w:t xml:space="preserve"> (DNCD), Brigade de Lutte contre le Trafic des Stupéfiants (BLTS), Consultas, Police Nationale haïtienne et dominicaine, Immigration haïtienne et dominicaine (Direction de l’Immigration et de l’Émigration et </w:t>
      </w:r>
      <w:proofErr w:type="spellStart"/>
      <w:r w:rsidRPr="00F03A5D">
        <w:rPr>
          <w:rFonts w:ascii="Cambria" w:hAnsi="Cambria"/>
          <w:lang w:val="fr-FR"/>
        </w:rPr>
        <w:t>Dirección</w:t>
      </w:r>
      <w:proofErr w:type="spellEnd"/>
      <w:r w:rsidRPr="00F03A5D">
        <w:rPr>
          <w:rFonts w:ascii="Cambria" w:hAnsi="Cambria"/>
          <w:lang w:val="fr-FR"/>
        </w:rPr>
        <w:t xml:space="preserve"> General de </w:t>
      </w:r>
      <w:proofErr w:type="spellStart"/>
      <w:r w:rsidRPr="00F03A5D">
        <w:rPr>
          <w:rFonts w:ascii="Cambria" w:hAnsi="Cambria"/>
          <w:lang w:val="fr-FR"/>
        </w:rPr>
        <w:t>Migración</w:t>
      </w:r>
      <w:proofErr w:type="spellEnd"/>
      <w:r w:rsidRPr="00F03A5D">
        <w:rPr>
          <w:rFonts w:ascii="Cambria" w:hAnsi="Cambria"/>
          <w:lang w:val="fr-FR"/>
        </w:rPr>
        <w:t>), Douanes et des acteurs travaillant sur les questions de migrants et mineurs  tel que l’Office Nationale pour la Migration (O</w:t>
      </w:r>
      <w:r>
        <w:rPr>
          <w:rFonts w:ascii="Cambria" w:hAnsi="Cambria"/>
          <w:lang w:val="fr-FR"/>
        </w:rPr>
        <w:t>NM) et l’Institut de Bien Être Social et de R</w:t>
      </w:r>
      <w:r w:rsidRPr="00F03A5D">
        <w:rPr>
          <w:rFonts w:ascii="Cambria" w:hAnsi="Cambria"/>
          <w:lang w:val="fr-FR"/>
        </w:rPr>
        <w:t>echerche (IBESR) ainsi que ses homologues du côté dominicain.</w:t>
      </w:r>
      <w:r w:rsidR="002E3F50">
        <w:rPr>
          <w:rFonts w:ascii="Cambria" w:hAnsi="Cambria"/>
          <w:lang w:val="fr-FR"/>
        </w:rPr>
        <w:t xml:space="preserve"> Par exemple, </w:t>
      </w:r>
      <w:r w:rsidR="002E3F50" w:rsidRPr="002E3F50">
        <w:rPr>
          <w:rFonts w:ascii="Cambria" w:hAnsi="Cambria"/>
          <w:lang w:val="fr-FR"/>
        </w:rPr>
        <w:t>grâce aux réunions binationales, les autorités haïtie</w:t>
      </w:r>
      <w:r w:rsidR="002E3F50">
        <w:rPr>
          <w:rFonts w:ascii="Cambria" w:hAnsi="Cambria"/>
          <w:lang w:val="fr-FR"/>
        </w:rPr>
        <w:t>n</w:t>
      </w:r>
      <w:r w:rsidR="0094076C">
        <w:rPr>
          <w:rFonts w:ascii="Cambria" w:hAnsi="Cambria"/>
          <w:lang w:val="fr-FR"/>
        </w:rPr>
        <w:t>ne</w:t>
      </w:r>
      <w:r w:rsidR="002E3F50" w:rsidRPr="002E3F50">
        <w:rPr>
          <w:rFonts w:ascii="Cambria" w:hAnsi="Cambria"/>
          <w:lang w:val="fr-FR"/>
        </w:rPr>
        <w:t xml:space="preserve">s et dominicaines ont réussi à clarifier les questionnements liés au certificat délivré par </w:t>
      </w:r>
      <w:r w:rsidR="002E3F50" w:rsidRPr="00137E90">
        <w:rPr>
          <w:rFonts w:ascii="Cambria" w:hAnsi="Cambria"/>
          <w:lang w:val="fr-FR"/>
        </w:rPr>
        <w:t>l’</w:t>
      </w:r>
      <w:r w:rsidR="002E3F50" w:rsidRPr="00E368B3">
        <w:rPr>
          <w:rFonts w:ascii="Cambria" w:hAnsi="Cambria"/>
          <w:lang w:val="fr-FR"/>
        </w:rPr>
        <w:t xml:space="preserve">IBESR permettant le </w:t>
      </w:r>
      <w:r w:rsidR="00137E90" w:rsidRPr="00E368B3">
        <w:rPr>
          <w:rFonts w:ascii="Cambria" w:hAnsi="Cambria"/>
          <w:lang w:val="fr-FR"/>
        </w:rPr>
        <w:t>déplacement</w:t>
      </w:r>
      <w:r w:rsidR="002E3F50" w:rsidRPr="00E368B3">
        <w:rPr>
          <w:rFonts w:ascii="Cambria" w:hAnsi="Cambria"/>
          <w:lang w:val="fr-FR"/>
        </w:rPr>
        <w:t xml:space="preserve"> des enfants à la frontière. Cela a permis d’améliorer la coordination dans la lutte contre la traite des enfants.</w:t>
      </w:r>
      <w:r w:rsidR="00137E90">
        <w:rPr>
          <w:rFonts w:ascii="Cambria" w:hAnsi="Cambria"/>
          <w:lang w:val="fr-FR"/>
        </w:rPr>
        <w:t xml:space="preserve"> </w:t>
      </w:r>
    </w:p>
    <w:p w14:paraId="734B2337" w14:textId="77777777" w:rsidR="00F03A5D" w:rsidRPr="00F03A5D" w:rsidRDefault="00F03A5D" w:rsidP="00F03A5D">
      <w:pPr>
        <w:ind w:left="-720"/>
        <w:jc w:val="both"/>
        <w:rPr>
          <w:rFonts w:ascii="Cambria" w:hAnsi="Cambria"/>
          <w:lang w:val="fr-FR"/>
        </w:rPr>
      </w:pPr>
    </w:p>
    <w:p w14:paraId="2492E3CD" w14:textId="3601DFCF" w:rsidR="00F03A5D" w:rsidRPr="00F03A5D" w:rsidRDefault="00F03A5D" w:rsidP="00F03A5D">
      <w:pPr>
        <w:ind w:left="-720"/>
        <w:jc w:val="both"/>
        <w:rPr>
          <w:rFonts w:ascii="Cambria" w:hAnsi="Cambria"/>
          <w:lang w:val="fr-FR"/>
        </w:rPr>
      </w:pPr>
      <w:r w:rsidRPr="00F03A5D">
        <w:rPr>
          <w:rFonts w:ascii="Cambria" w:hAnsi="Cambria"/>
          <w:lang w:val="fr-FR"/>
        </w:rPr>
        <w:t>Ces rencontres permettent aux acteurs de mieux planifier les activités au niveau de la frontière, d’échanger des informations pertinentes et stratégiques, ainsi que de renforcer la coopération pour le contrôle efficace du trafic de personnes, des armes et des stupéfiants.</w:t>
      </w:r>
      <w:r w:rsidR="002B17D2" w:rsidRPr="002B17D2">
        <w:rPr>
          <w:rFonts w:ascii="Cambria" w:hAnsi="Cambria"/>
          <w:lang w:val="fr-FR"/>
        </w:rPr>
        <w:t xml:space="preserve"> </w:t>
      </w:r>
      <w:r w:rsidR="002B17D2">
        <w:rPr>
          <w:rFonts w:ascii="Cambria" w:hAnsi="Cambria"/>
          <w:lang w:val="fr-FR"/>
        </w:rPr>
        <w:t>Par exemple</w:t>
      </w:r>
      <w:r w:rsidR="002B17D2" w:rsidRPr="002B17D2">
        <w:rPr>
          <w:rFonts w:ascii="Cambria" w:hAnsi="Cambria"/>
          <w:lang w:val="fr-FR"/>
        </w:rPr>
        <w:t>, grâce au projet, la collaboration en matière de rapatriement des présumes délinquants qui essaient d’échapper en traversant d’un pays à l’autre a été renforcé.</w:t>
      </w:r>
    </w:p>
    <w:p w14:paraId="3239FBD3" w14:textId="77777777" w:rsidR="00F03A5D" w:rsidRPr="00F03A5D" w:rsidRDefault="00F03A5D" w:rsidP="00F03A5D">
      <w:pPr>
        <w:ind w:left="-720"/>
        <w:jc w:val="both"/>
        <w:rPr>
          <w:rFonts w:ascii="Cambria" w:hAnsi="Cambria"/>
          <w:lang w:val="fr-FR"/>
        </w:rPr>
      </w:pPr>
    </w:p>
    <w:p w14:paraId="757EAB03" w14:textId="38C666F2" w:rsidR="00F03A5D" w:rsidRPr="00F03A5D" w:rsidRDefault="00F03A5D" w:rsidP="00F03A5D">
      <w:pPr>
        <w:ind w:left="-720"/>
        <w:jc w:val="both"/>
        <w:rPr>
          <w:rFonts w:ascii="Cambria" w:hAnsi="Cambria"/>
          <w:lang w:val="fr-FR"/>
        </w:rPr>
      </w:pPr>
      <w:r w:rsidRPr="00F03A5D">
        <w:rPr>
          <w:rFonts w:ascii="Cambria" w:hAnsi="Cambria"/>
          <w:lang w:val="fr-FR"/>
        </w:rPr>
        <w:lastRenderedPageBreak/>
        <w:t>Malgré la dégradation en matière d’insécurité, liée à la pénurie de carburant et augmentation de la criminalité en Haïti, l’équipe du projet a continué, non seulement, à soutenir l’organisation des réunions binationales à Ouanaminthe/</w:t>
      </w:r>
      <w:proofErr w:type="spellStart"/>
      <w:r w:rsidRPr="00F03A5D">
        <w:rPr>
          <w:rFonts w:ascii="Cambria" w:hAnsi="Cambria"/>
          <w:lang w:val="fr-FR"/>
        </w:rPr>
        <w:t>Dajabón</w:t>
      </w:r>
      <w:proofErr w:type="spellEnd"/>
      <w:r w:rsidRPr="00F03A5D">
        <w:rPr>
          <w:rFonts w:ascii="Cambria" w:hAnsi="Cambria"/>
          <w:lang w:val="fr-FR"/>
        </w:rPr>
        <w:t xml:space="preserve"> mais, a aussi relancé les réunions à </w:t>
      </w:r>
      <w:proofErr w:type="spellStart"/>
      <w:r w:rsidRPr="00F03A5D">
        <w:rPr>
          <w:rFonts w:ascii="Cambria" w:hAnsi="Cambria"/>
          <w:lang w:val="fr-FR"/>
        </w:rPr>
        <w:t>Malpasse</w:t>
      </w:r>
      <w:proofErr w:type="spellEnd"/>
      <w:r w:rsidRPr="00F03A5D">
        <w:rPr>
          <w:rFonts w:ascii="Cambria" w:hAnsi="Cambria"/>
          <w:lang w:val="fr-FR"/>
        </w:rPr>
        <w:t>/</w:t>
      </w:r>
      <w:proofErr w:type="spellStart"/>
      <w:r w:rsidRPr="00F03A5D">
        <w:rPr>
          <w:rFonts w:ascii="Cambria" w:hAnsi="Cambria"/>
          <w:lang w:val="fr-FR"/>
        </w:rPr>
        <w:t>Jimaní</w:t>
      </w:r>
      <w:proofErr w:type="spellEnd"/>
      <w:r w:rsidRPr="00180E63">
        <w:rPr>
          <w:bCs/>
          <w:color w:val="2E74B5" w:themeColor="accent5" w:themeShade="BF"/>
          <w:lang w:val="fr-FR"/>
        </w:rPr>
        <w:t xml:space="preserve"> </w:t>
      </w:r>
      <w:r w:rsidRPr="00F03A5D">
        <w:rPr>
          <w:rFonts w:ascii="Cambria" w:hAnsi="Cambria"/>
          <w:lang w:val="fr-FR"/>
        </w:rPr>
        <w:t>qui ont été arrêté</w:t>
      </w:r>
      <w:r>
        <w:rPr>
          <w:rFonts w:ascii="Cambria" w:hAnsi="Cambria"/>
          <w:lang w:val="fr-FR"/>
        </w:rPr>
        <w:t>e</w:t>
      </w:r>
      <w:r w:rsidRPr="00F03A5D">
        <w:rPr>
          <w:rFonts w:ascii="Cambria" w:hAnsi="Cambria"/>
          <w:lang w:val="fr-FR"/>
        </w:rPr>
        <w:t>s en raison des restrictions en matière de déplacement à travers la route de Croix-des-Bouquets. De la même manière, comme indiqué dans le de</w:t>
      </w:r>
      <w:r>
        <w:rPr>
          <w:rFonts w:ascii="Cambria" w:hAnsi="Cambria"/>
          <w:lang w:val="fr-FR"/>
        </w:rPr>
        <w:t>rnie</w:t>
      </w:r>
      <w:r w:rsidRPr="00F03A5D">
        <w:rPr>
          <w:rFonts w:ascii="Cambria" w:hAnsi="Cambria"/>
          <w:lang w:val="fr-FR"/>
        </w:rPr>
        <w:t>r rapport, l’équipe du projet a réussi à organiser les premières réunions binationales à Anse-à-Pitres/</w:t>
      </w:r>
      <w:proofErr w:type="spellStart"/>
      <w:r w:rsidRPr="00F03A5D">
        <w:rPr>
          <w:rFonts w:ascii="Cambria" w:hAnsi="Cambria"/>
          <w:lang w:val="fr-FR"/>
        </w:rPr>
        <w:t>Pedernales</w:t>
      </w:r>
      <w:proofErr w:type="spellEnd"/>
      <w:r w:rsidRPr="00F03A5D">
        <w:rPr>
          <w:rFonts w:ascii="Cambria" w:hAnsi="Cambria"/>
          <w:lang w:val="fr-FR"/>
        </w:rPr>
        <w:t xml:space="preserve">. Pendant le période du rapport (de novembre à mai 2022), sept (7) réunions ont été organisées : </w:t>
      </w:r>
    </w:p>
    <w:p w14:paraId="43DD85BD" w14:textId="77777777" w:rsidR="00F03A5D" w:rsidRPr="00F03A5D" w:rsidRDefault="00F03A5D" w:rsidP="00F03A5D">
      <w:pPr>
        <w:pStyle w:val="ListParagraph"/>
        <w:numPr>
          <w:ilvl w:val="1"/>
          <w:numId w:val="11"/>
        </w:numPr>
        <w:jc w:val="both"/>
        <w:rPr>
          <w:rFonts w:ascii="Cambria" w:hAnsi="Cambria"/>
          <w:lang w:val="fr-FR"/>
        </w:rPr>
      </w:pPr>
      <w:r w:rsidRPr="00F03A5D">
        <w:rPr>
          <w:rFonts w:ascii="Cambria" w:hAnsi="Cambria"/>
          <w:lang w:val="fr-FR"/>
        </w:rPr>
        <w:t>17 novembre 2021 à Ouanaminthe/</w:t>
      </w:r>
      <w:proofErr w:type="spellStart"/>
      <w:r w:rsidRPr="00F03A5D">
        <w:rPr>
          <w:rFonts w:ascii="Cambria" w:hAnsi="Cambria"/>
          <w:lang w:val="fr-FR"/>
        </w:rPr>
        <w:t>Dajabón</w:t>
      </w:r>
      <w:proofErr w:type="spellEnd"/>
    </w:p>
    <w:p w14:paraId="24608A77" w14:textId="77777777" w:rsidR="00F03A5D" w:rsidRPr="00F03A5D" w:rsidRDefault="00F03A5D" w:rsidP="00F03A5D">
      <w:pPr>
        <w:pStyle w:val="ListParagraph"/>
        <w:numPr>
          <w:ilvl w:val="1"/>
          <w:numId w:val="11"/>
        </w:numPr>
        <w:jc w:val="both"/>
        <w:rPr>
          <w:rFonts w:ascii="Cambria" w:hAnsi="Cambria"/>
          <w:lang w:val="fr-FR"/>
        </w:rPr>
      </w:pPr>
      <w:r w:rsidRPr="00F03A5D">
        <w:rPr>
          <w:rFonts w:ascii="Cambria" w:hAnsi="Cambria"/>
          <w:lang w:val="fr-FR"/>
        </w:rPr>
        <w:t xml:space="preserve">16 février 2022 à </w:t>
      </w:r>
      <w:hyperlink r:id="rId15" w:history="1">
        <w:r w:rsidRPr="00F03A5D">
          <w:rPr>
            <w:rFonts w:ascii="Cambria" w:hAnsi="Cambria"/>
          </w:rPr>
          <w:t>Ouanaminthe/</w:t>
        </w:r>
        <w:proofErr w:type="spellStart"/>
        <w:r w:rsidRPr="00F03A5D">
          <w:rPr>
            <w:rFonts w:ascii="Cambria" w:hAnsi="Cambria"/>
          </w:rPr>
          <w:t>Dajabón</w:t>
        </w:r>
        <w:proofErr w:type="spellEnd"/>
      </w:hyperlink>
      <w:r w:rsidRPr="00F03A5D">
        <w:rPr>
          <w:rFonts w:ascii="Cambria" w:hAnsi="Cambria"/>
          <w:lang w:val="fr-FR"/>
        </w:rPr>
        <w:t xml:space="preserve"> </w:t>
      </w:r>
    </w:p>
    <w:p w14:paraId="26ACB2CD" w14:textId="77777777" w:rsidR="00F03A5D" w:rsidRPr="00F03A5D" w:rsidRDefault="00F03A5D" w:rsidP="00F03A5D">
      <w:pPr>
        <w:pStyle w:val="ListParagraph"/>
        <w:numPr>
          <w:ilvl w:val="1"/>
          <w:numId w:val="11"/>
        </w:numPr>
        <w:jc w:val="both"/>
        <w:rPr>
          <w:rFonts w:ascii="Cambria" w:hAnsi="Cambria"/>
          <w:lang w:val="fr-FR"/>
        </w:rPr>
      </w:pPr>
      <w:r w:rsidRPr="00F03A5D">
        <w:rPr>
          <w:rFonts w:ascii="Cambria" w:hAnsi="Cambria"/>
          <w:lang w:val="fr-FR"/>
        </w:rPr>
        <w:t>15 mars 2022 à Ouanaminthe/</w:t>
      </w:r>
      <w:proofErr w:type="spellStart"/>
      <w:r w:rsidRPr="00F03A5D">
        <w:rPr>
          <w:rFonts w:ascii="Cambria" w:hAnsi="Cambria"/>
          <w:lang w:val="fr-FR"/>
        </w:rPr>
        <w:t>Dajabón</w:t>
      </w:r>
      <w:proofErr w:type="spellEnd"/>
      <w:r w:rsidRPr="00F03A5D">
        <w:rPr>
          <w:rFonts w:ascii="Cambria" w:hAnsi="Cambria"/>
          <w:lang w:val="fr-FR"/>
        </w:rPr>
        <w:t xml:space="preserve"> </w:t>
      </w:r>
    </w:p>
    <w:p w14:paraId="4A542575" w14:textId="77777777" w:rsidR="00F03A5D" w:rsidRPr="00F03A5D" w:rsidRDefault="00F03A5D" w:rsidP="00F03A5D">
      <w:pPr>
        <w:pStyle w:val="ListParagraph"/>
        <w:numPr>
          <w:ilvl w:val="1"/>
          <w:numId w:val="11"/>
        </w:numPr>
        <w:jc w:val="both"/>
        <w:rPr>
          <w:rFonts w:ascii="Cambria" w:hAnsi="Cambria"/>
          <w:lang w:val="fr-FR"/>
        </w:rPr>
      </w:pPr>
      <w:r w:rsidRPr="00F03A5D">
        <w:rPr>
          <w:rFonts w:ascii="Cambria" w:hAnsi="Cambria"/>
          <w:lang w:val="fr-FR"/>
        </w:rPr>
        <w:t xml:space="preserve">23 mars 2022 à </w:t>
      </w:r>
      <w:hyperlink r:id="rId16" w:history="1">
        <w:r w:rsidRPr="00E368B3">
          <w:rPr>
            <w:rFonts w:ascii="Cambria" w:hAnsi="Cambria"/>
            <w:lang w:val="fr-FR"/>
          </w:rPr>
          <w:t>Anse-à-Pitres/</w:t>
        </w:r>
        <w:proofErr w:type="spellStart"/>
        <w:r w:rsidRPr="00E368B3">
          <w:rPr>
            <w:rFonts w:ascii="Cambria" w:hAnsi="Cambria"/>
            <w:lang w:val="fr-FR"/>
          </w:rPr>
          <w:t>Pedernales</w:t>
        </w:r>
        <w:proofErr w:type="spellEnd"/>
      </w:hyperlink>
    </w:p>
    <w:p w14:paraId="192DE22E" w14:textId="77777777" w:rsidR="00F03A5D" w:rsidRPr="00F03A5D" w:rsidRDefault="00F03A5D" w:rsidP="00F03A5D">
      <w:pPr>
        <w:pStyle w:val="ListParagraph"/>
        <w:numPr>
          <w:ilvl w:val="1"/>
          <w:numId w:val="11"/>
        </w:numPr>
        <w:jc w:val="both"/>
        <w:rPr>
          <w:rFonts w:ascii="Cambria" w:hAnsi="Cambria"/>
          <w:lang w:val="fr-FR"/>
        </w:rPr>
      </w:pPr>
      <w:r w:rsidRPr="00F03A5D">
        <w:rPr>
          <w:rFonts w:ascii="Cambria" w:hAnsi="Cambria"/>
          <w:lang w:val="fr-FR"/>
        </w:rPr>
        <w:t xml:space="preserve">20 avril à </w:t>
      </w:r>
      <w:hyperlink r:id="rId17" w:history="1">
        <w:proofErr w:type="spellStart"/>
        <w:r w:rsidRPr="00F03A5D">
          <w:rPr>
            <w:rFonts w:ascii="Cambria" w:hAnsi="Cambria"/>
          </w:rPr>
          <w:t>Malpasse</w:t>
        </w:r>
        <w:proofErr w:type="spellEnd"/>
        <w:r w:rsidRPr="00F03A5D">
          <w:rPr>
            <w:rFonts w:ascii="Cambria" w:hAnsi="Cambria"/>
          </w:rPr>
          <w:t>/</w:t>
        </w:r>
        <w:proofErr w:type="spellStart"/>
        <w:r w:rsidRPr="00F03A5D">
          <w:rPr>
            <w:rFonts w:ascii="Cambria" w:hAnsi="Cambria"/>
          </w:rPr>
          <w:t>Jimaní</w:t>
        </w:r>
        <w:proofErr w:type="spellEnd"/>
      </w:hyperlink>
    </w:p>
    <w:p w14:paraId="104ACF0A" w14:textId="77777777" w:rsidR="00F03A5D" w:rsidRPr="00F03A5D" w:rsidRDefault="00F03A5D" w:rsidP="00F03A5D">
      <w:pPr>
        <w:pStyle w:val="ListParagraph"/>
        <w:numPr>
          <w:ilvl w:val="1"/>
          <w:numId w:val="11"/>
        </w:numPr>
        <w:jc w:val="both"/>
        <w:rPr>
          <w:rFonts w:ascii="Cambria" w:hAnsi="Cambria"/>
          <w:lang w:val="fr-FR"/>
        </w:rPr>
      </w:pPr>
      <w:r w:rsidRPr="00F03A5D">
        <w:rPr>
          <w:rFonts w:ascii="Cambria" w:hAnsi="Cambria"/>
          <w:lang w:val="fr-FR"/>
        </w:rPr>
        <w:t xml:space="preserve">21 avril à </w:t>
      </w:r>
      <w:hyperlink r:id="rId18" w:history="1">
        <w:r w:rsidRPr="00E368B3">
          <w:rPr>
            <w:rFonts w:ascii="Cambria" w:hAnsi="Cambria"/>
            <w:lang w:val="fr-FR"/>
          </w:rPr>
          <w:t>Anse-à-Pitre/</w:t>
        </w:r>
        <w:proofErr w:type="spellStart"/>
        <w:r w:rsidRPr="00E368B3">
          <w:rPr>
            <w:rFonts w:ascii="Cambria" w:hAnsi="Cambria"/>
            <w:lang w:val="fr-FR"/>
          </w:rPr>
          <w:t>Pedernales</w:t>
        </w:r>
        <w:proofErr w:type="spellEnd"/>
      </w:hyperlink>
    </w:p>
    <w:p w14:paraId="20F55B52" w14:textId="77777777" w:rsidR="00F03A5D" w:rsidRPr="00F03A5D" w:rsidRDefault="00F03A5D" w:rsidP="00F03A5D">
      <w:pPr>
        <w:pStyle w:val="ListParagraph"/>
        <w:numPr>
          <w:ilvl w:val="1"/>
          <w:numId w:val="11"/>
        </w:numPr>
        <w:jc w:val="both"/>
        <w:rPr>
          <w:rFonts w:ascii="Cambria" w:hAnsi="Cambria"/>
          <w:lang w:val="fr-FR"/>
        </w:rPr>
      </w:pPr>
      <w:r w:rsidRPr="00F03A5D">
        <w:rPr>
          <w:rFonts w:ascii="Cambria" w:hAnsi="Cambria"/>
          <w:lang w:val="fr-FR"/>
        </w:rPr>
        <w:t xml:space="preserve">27 avril à </w:t>
      </w:r>
      <w:hyperlink r:id="rId19" w:history="1">
        <w:r w:rsidRPr="00F03A5D">
          <w:rPr>
            <w:rFonts w:ascii="Cambria" w:hAnsi="Cambria"/>
          </w:rPr>
          <w:t>Ouanaminthe/</w:t>
        </w:r>
        <w:proofErr w:type="spellStart"/>
        <w:r w:rsidRPr="00F03A5D">
          <w:rPr>
            <w:rFonts w:ascii="Cambria" w:hAnsi="Cambria"/>
          </w:rPr>
          <w:t>Dajabón</w:t>
        </w:r>
        <w:proofErr w:type="spellEnd"/>
      </w:hyperlink>
    </w:p>
    <w:p w14:paraId="7FBD2477" w14:textId="77777777" w:rsidR="00F03A5D" w:rsidRPr="00180E63" w:rsidRDefault="00F03A5D" w:rsidP="00F03A5D">
      <w:pPr>
        <w:jc w:val="both"/>
        <w:rPr>
          <w:bCs/>
          <w:color w:val="2E74B5" w:themeColor="accent5" w:themeShade="BF"/>
          <w:lang w:val="fr-FR"/>
        </w:rPr>
      </w:pPr>
    </w:p>
    <w:p w14:paraId="162CD49B" w14:textId="77777777" w:rsidR="00F03A5D" w:rsidRPr="00F03A5D" w:rsidRDefault="00F03A5D" w:rsidP="00F03A5D">
      <w:pPr>
        <w:ind w:left="-720"/>
        <w:jc w:val="both"/>
        <w:rPr>
          <w:rFonts w:ascii="Cambria" w:hAnsi="Cambria"/>
          <w:lang w:val="fr-FR"/>
        </w:rPr>
      </w:pPr>
      <w:r w:rsidRPr="00F03A5D">
        <w:rPr>
          <w:rFonts w:ascii="Cambria" w:hAnsi="Cambria"/>
          <w:lang w:val="fr-FR"/>
        </w:rPr>
        <w:t xml:space="preserve">En moyenne, les réunions binationales comptent avec la participation de 23 participants, dont 4 femmes. La participation des femmes est liée aux institutions suivantes : IBESR, </w:t>
      </w:r>
      <w:proofErr w:type="gramStart"/>
      <w:r w:rsidRPr="00F03A5D">
        <w:rPr>
          <w:rFonts w:ascii="Cambria" w:hAnsi="Cambria"/>
          <w:lang w:val="fr-FR"/>
        </w:rPr>
        <w:t>CONANI,  Bureau</w:t>
      </w:r>
      <w:proofErr w:type="gramEnd"/>
      <w:r w:rsidRPr="00F03A5D">
        <w:rPr>
          <w:rFonts w:ascii="Cambria" w:hAnsi="Cambria"/>
          <w:lang w:val="fr-FR"/>
        </w:rPr>
        <w:t xml:space="preserve"> du Procureur et la Police Nationale. Leur participation est encouragée par l’équipe du projet. Afin d’organiser les réunions, l’équipe du projet a été obligé à se déplacer à travers la République Dominicaine pour arriver à </w:t>
      </w:r>
      <w:proofErr w:type="spellStart"/>
      <w:r w:rsidRPr="00F03A5D">
        <w:rPr>
          <w:rFonts w:ascii="Cambria" w:hAnsi="Cambria"/>
          <w:lang w:val="fr-FR"/>
        </w:rPr>
        <w:t>Malpasse</w:t>
      </w:r>
      <w:proofErr w:type="spellEnd"/>
      <w:r w:rsidRPr="00F03A5D">
        <w:rPr>
          <w:rFonts w:ascii="Cambria" w:hAnsi="Cambria"/>
          <w:lang w:val="fr-FR"/>
        </w:rPr>
        <w:t xml:space="preserve"> et Anse-à-Pitre avec le soutien d’OIM en République Dominicaine. </w:t>
      </w:r>
    </w:p>
    <w:p w14:paraId="50E4FD06" w14:textId="77777777" w:rsidR="00F03A5D" w:rsidRPr="00F03A5D" w:rsidRDefault="00F03A5D" w:rsidP="00F03A5D">
      <w:pPr>
        <w:ind w:left="-720"/>
        <w:jc w:val="both"/>
        <w:rPr>
          <w:rFonts w:ascii="Cambria" w:hAnsi="Cambria"/>
          <w:lang w:val="fr-FR"/>
        </w:rPr>
      </w:pPr>
    </w:p>
    <w:p w14:paraId="7BCBAA4A" w14:textId="7A43A959" w:rsidR="00F03A5D" w:rsidRPr="00F03A5D" w:rsidRDefault="002761A0" w:rsidP="00F03A5D">
      <w:pPr>
        <w:ind w:left="-720"/>
        <w:jc w:val="both"/>
        <w:rPr>
          <w:rFonts w:ascii="Cambria" w:hAnsi="Cambria"/>
          <w:lang w:val="fr-FR"/>
        </w:rPr>
      </w:pPr>
      <w:r>
        <w:rPr>
          <w:rFonts w:ascii="Cambria" w:hAnsi="Cambria"/>
          <w:lang w:val="fr-FR"/>
        </w:rPr>
        <w:t>Il est important de prendre en compte que l</w:t>
      </w:r>
      <w:r w:rsidR="002F6B6F">
        <w:rPr>
          <w:rFonts w:ascii="Cambria" w:hAnsi="Cambria"/>
          <w:lang w:val="fr-FR"/>
        </w:rPr>
        <w:t xml:space="preserve">es réunions binationales ont lieu dans un contexte de restriction </w:t>
      </w:r>
      <w:proofErr w:type="gramStart"/>
      <w:r w:rsidR="002F6B6F">
        <w:rPr>
          <w:rFonts w:ascii="Cambria" w:hAnsi="Cambria"/>
          <w:lang w:val="fr-FR"/>
        </w:rPr>
        <w:t xml:space="preserve">de </w:t>
      </w:r>
      <w:r w:rsidR="00F03A5D" w:rsidRPr="00F03A5D">
        <w:rPr>
          <w:rFonts w:ascii="Cambria" w:hAnsi="Cambria"/>
          <w:lang w:val="fr-FR"/>
        </w:rPr>
        <w:t xml:space="preserve"> déplacement</w:t>
      </w:r>
      <w:proofErr w:type="gramEnd"/>
      <w:r w:rsidR="00F03A5D" w:rsidRPr="00F03A5D">
        <w:rPr>
          <w:rFonts w:ascii="Cambria" w:hAnsi="Cambria"/>
          <w:lang w:val="fr-FR"/>
        </w:rPr>
        <w:t xml:space="preserve"> terrestre vers </w:t>
      </w:r>
      <w:proofErr w:type="spellStart"/>
      <w:r w:rsidR="00F03A5D" w:rsidRPr="00F03A5D">
        <w:rPr>
          <w:rFonts w:ascii="Cambria" w:hAnsi="Cambria"/>
          <w:lang w:val="fr-FR"/>
        </w:rPr>
        <w:t>Malpasse</w:t>
      </w:r>
      <w:proofErr w:type="spellEnd"/>
      <w:r w:rsidR="00F03A5D" w:rsidRPr="00F03A5D">
        <w:rPr>
          <w:rFonts w:ascii="Cambria" w:hAnsi="Cambria"/>
          <w:lang w:val="fr-FR"/>
        </w:rPr>
        <w:t xml:space="preserve"> en Haïti , et </w:t>
      </w:r>
      <w:r>
        <w:rPr>
          <w:rFonts w:ascii="Cambria" w:hAnsi="Cambria"/>
          <w:lang w:val="fr-FR"/>
        </w:rPr>
        <w:t>des difficultés de</w:t>
      </w:r>
      <w:r w:rsidR="00F03A5D" w:rsidRPr="00F03A5D">
        <w:rPr>
          <w:rFonts w:ascii="Cambria" w:hAnsi="Cambria"/>
          <w:lang w:val="fr-FR"/>
        </w:rPr>
        <w:t xml:space="preserve"> déplacement vers Anse-à-Pitres</w:t>
      </w:r>
      <w:r>
        <w:rPr>
          <w:rFonts w:ascii="Cambria" w:hAnsi="Cambria"/>
          <w:lang w:val="fr-FR"/>
        </w:rPr>
        <w:t>.</w:t>
      </w:r>
    </w:p>
    <w:p w14:paraId="5E0E2D35" w14:textId="77777777" w:rsidR="002820E6" w:rsidRPr="00180E63" w:rsidRDefault="002820E6" w:rsidP="00627A1C">
      <w:pPr>
        <w:ind w:left="-720"/>
        <w:rPr>
          <w:b/>
          <w:color w:val="2E74B5" w:themeColor="accent5" w:themeShade="BF"/>
          <w:lang w:val="fr-FR"/>
        </w:rPr>
      </w:pPr>
    </w:p>
    <w:p w14:paraId="7556F4D2" w14:textId="77777777" w:rsidR="00F03A5D" w:rsidRDefault="005D15A3" w:rsidP="00F03A5D">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80E63">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00FD732" w14:textId="77777777" w:rsidR="00F03A5D" w:rsidRDefault="00F03A5D" w:rsidP="00F03A5D">
      <w:pPr>
        <w:ind w:left="-720"/>
        <w:rPr>
          <w:color w:val="2E74B5" w:themeColor="accent5" w:themeShade="BF"/>
          <w:lang w:val="fr-FR"/>
        </w:rPr>
      </w:pPr>
    </w:p>
    <w:p w14:paraId="4B6AAB29" w14:textId="4A5C5E3A" w:rsidR="00323ABC" w:rsidRPr="00F03A5D" w:rsidRDefault="00F03A5D" w:rsidP="00F03A5D">
      <w:pPr>
        <w:ind w:left="-720"/>
        <w:jc w:val="both"/>
        <w:rPr>
          <w:rFonts w:ascii="Cambria" w:hAnsi="Cambria"/>
          <w:lang w:val="fr-FR"/>
        </w:rPr>
      </w:pPr>
      <w:r w:rsidRPr="00F03A5D">
        <w:rPr>
          <w:rFonts w:ascii="Cambria" w:hAnsi="Cambria"/>
          <w:lang w:val="fr-FR"/>
        </w:rPr>
        <w:t>Lors des réunions binationales l’équipe du projet a rappelé aux participants d’inclure au moins une collègue femme ayant la capacité de prendre des décisions au nom de leur institution, et afin d’avoir une représentation plus égalitaire lors de cet espace de discussion. Par exemple, dans la dernière réunion binationale à Anse-à-Pitre/</w:t>
      </w:r>
      <w:proofErr w:type="spellStart"/>
      <w:r w:rsidRPr="00F03A5D">
        <w:rPr>
          <w:rFonts w:ascii="Cambria" w:hAnsi="Cambria"/>
          <w:lang w:val="fr-FR"/>
        </w:rPr>
        <w:t>Pedernales</w:t>
      </w:r>
      <w:proofErr w:type="spellEnd"/>
      <w:r w:rsidRPr="00F03A5D">
        <w:rPr>
          <w:rFonts w:ascii="Cambria" w:hAnsi="Cambria"/>
          <w:lang w:val="fr-FR"/>
        </w:rPr>
        <w:t xml:space="preserve">, quatre femmes ont participé en représentation de la Mairie, CONANI et le </w:t>
      </w:r>
      <w:proofErr w:type="gramStart"/>
      <w:r w:rsidRPr="00F03A5D">
        <w:rPr>
          <w:rFonts w:ascii="Cambria" w:hAnsi="Cambria"/>
          <w:lang w:val="fr-FR"/>
        </w:rPr>
        <w:t>Ministère</w:t>
      </w:r>
      <w:proofErr w:type="gramEnd"/>
      <w:r w:rsidRPr="00F03A5D">
        <w:rPr>
          <w:rFonts w:ascii="Cambria" w:hAnsi="Cambria"/>
          <w:lang w:val="fr-FR"/>
        </w:rPr>
        <w:t xml:space="preserve"> de la Santé. Par ailleurs, le projet favorise la discussion de thématiques sensibles au genre pendant les réunions afin de sensibiliser les autorités ont discuté. En effet, la situation des femmes enceinte rapatriées, enfants victime de traite et enfants en situation de rue ont été traitées par les participants afin de mieux coordonner leur action et coopération.</w:t>
      </w:r>
    </w:p>
    <w:p w14:paraId="2ABF7A1F" w14:textId="77777777" w:rsidR="00F03A5D" w:rsidRPr="00F03A5D" w:rsidRDefault="00F03A5D" w:rsidP="00F03A5D">
      <w:pPr>
        <w:ind w:left="-720"/>
        <w:rPr>
          <w:i/>
          <w:lang w:val="fr-FR"/>
        </w:rPr>
      </w:pPr>
    </w:p>
    <w:p w14:paraId="563533E9" w14:textId="3C3991B5" w:rsidR="00675507" w:rsidRPr="00222E07"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222E07" w:rsidRPr="00222E07">
        <w:rPr>
          <w:sz w:val="22"/>
          <w:szCs w:val="22"/>
          <w:lang w:val="fr-FR"/>
        </w:rPr>
        <w:t>Les capacités de la PNH à contrôler et à enregistrer les armes illégales en circulation, en étroite coordination avec la CNDDR, sont renforcées.</w:t>
      </w:r>
    </w:p>
    <w:p w14:paraId="521560B0" w14:textId="77777777" w:rsidR="00675507" w:rsidRPr="00615EA3" w:rsidRDefault="00675507" w:rsidP="00675507">
      <w:pPr>
        <w:ind w:left="-720"/>
        <w:rPr>
          <w:b/>
          <w:lang w:val="fr-FR"/>
        </w:rPr>
      </w:pPr>
    </w:p>
    <w:p w14:paraId="192B211F" w14:textId="5F08FD81"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187E92" w:rsidRPr="00187E92">
        <w:rPr>
          <w:rFonts w:ascii="Arial Narrow" w:hAnsi="Arial Narrow"/>
          <w:b/>
          <w:sz w:val="22"/>
          <w:szCs w:val="22"/>
          <w:lang w:val="fr-FR"/>
        </w:rPr>
        <w:t xml:space="preserve">On </w:t>
      </w:r>
      <w:proofErr w:type="spellStart"/>
      <w:r w:rsidR="00187E92" w:rsidRPr="00187E92">
        <w:rPr>
          <w:rFonts w:ascii="Arial Narrow" w:hAnsi="Arial Narrow"/>
          <w:b/>
          <w:sz w:val="22"/>
          <w:szCs w:val="22"/>
          <w:lang w:val="fr-FR"/>
        </w:rPr>
        <w:t>track</w:t>
      </w:r>
      <w:proofErr w:type="spellEnd"/>
    </w:p>
    <w:p w14:paraId="26A26C4B" w14:textId="77777777" w:rsidR="00675507" w:rsidRPr="005D15A3" w:rsidRDefault="00675507" w:rsidP="00675507">
      <w:pPr>
        <w:ind w:left="-720"/>
        <w:jc w:val="both"/>
        <w:rPr>
          <w:b/>
          <w:lang w:val="fr-FR"/>
        </w:rPr>
      </w:pPr>
    </w:p>
    <w:p w14:paraId="40213E68" w14:textId="77777777"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14E50E15" w14:textId="77777777" w:rsidR="0085105B" w:rsidRPr="005D15A3" w:rsidRDefault="0085105B" w:rsidP="00675507">
      <w:pPr>
        <w:ind w:left="-720"/>
        <w:jc w:val="both"/>
        <w:rPr>
          <w:i/>
          <w:lang w:val="fr-FR"/>
        </w:rPr>
      </w:pPr>
    </w:p>
    <w:p w14:paraId="61E60CAF" w14:textId="4A4A5BB9" w:rsidR="002E3D20" w:rsidRDefault="00187E92" w:rsidP="00187E92">
      <w:pPr>
        <w:ind w:left="-720"/>
        <w:jc w:val="both"/>
        <w:rPr>
          <w:rFonts w:ascii="Cambria" w:hAnsi="Cambria"/>
          <w:lang w:val="fr-FR"/>
        </w:rPr>
      </w:pPr>
      <w:r w:rsidRPr="00957DC9">
        <w:rPr>
          <w:rFonts w:ascii="Cambria" w:hAnsi="Cambria"/>
          <w:lang w:val="fr-FR"/>
        </w:rPr>
        <w:lastRenderedPageBreak/>
        <w:t>L</w:t>
      </w:r>
      <w:r>
        <w:rPr>
          <w:rFonts w:ascii="Cambria" w:hAnsi="Cambria"/>
          <w:lang w:val="fr-FR"/>
        </w:rPr>
        <w:t xml:space="preserve">a révision substantive du projet visait particulièrement à renforcer les activités de ce résultat sur la demande du </w:t>
      </w:r>
      <w:r w:rsidRPr="00957DC9">
        <w:rPr>
          <w:rFonts w:ascii="Cambria" w:hAnsi="Cambria"/>
          <w:lang w:val="fr-FR"/>
        </w:rPr>
        <w:t>Directeur G</w:t>
      </w:r>
      <w:r>
        <w:rPr>
          <w:rFonts w:ascii="Cambria" w:hAnsi="Cambria"/>
          <w:lang w:val="fr-FR"/>
        </w:rPr>
        <w:t>é</w:t>
      </w:r>
      <w:r w:rsidRPr="00957DC9">
        <w:rPr>
          <w:rFonts w:ascii="Cambria" w:hAnsi="Cambria"/>
          <w:lang w:val="fr-FR"/>
        </w:rPr>
        <w:t>n</w:t>
      </w:r>
      <w:r>
        <w:rPr>
          <w:rFonts w:ascii="Cambria" w:hAnsi="Cambria"/>
          <w:lang w:val="fr-FR"/>
        </w:rPr>
        <w:t>é</w:t>
      </w:r>
      <w:r w:rsidRPr="00957DC9">
        <w:rPr>
          <w:rFonts w:ascii="Cambria" w:hAnsi="Cambria"/>
          <w:lang w:val="fr-FR"/>
        </w:rPr>
        <w:t>ral</w:t>
      </w:r>
      <w:r>
        <w:rPr>
          <w:rFonts w:ascii="Cambria" w:hAnsi="Cambria"/>
          <w:lang w:val="fr-FR"/>
        </w:rPr>
        <w:t xml:space="preserve"> de la Police Nationale d’Haïti</w:t>
      </w:r>
      <w:r w:rsidRPr="00957DC9">
        <w:rPr>
          <w:rFonts w:ascii="Cambria" w:hAnsi="Cambria"/>
          <w:lang w:val="fr-FR"/>
        </w:rPr>
        <w:t xml:space="preserve"> </w:t>
      </w:r>
      <w:r>
        <w:rPr>
          <w:rFonts w:ascii="Cambria" w:hAnsi="Cambria"/>
          <w:lang w:val="fr-FR"/>
        </w:rPr>
        <w:t xml:space="preserve">en portant une attention spéciale aux recommandations du rapport d’audit et d’évaluation </w:t>
      </w:r>
      <w:r w:rsidR="002E3D20">
        <w:rPr>
          <w:rFonts w:ascii="Cambria" w:hAnsi="Cambria"/>
          <w:lang w:val="fr-FR"/>
        </w:rPr>
        <w:t>sur la</w:t>
      </w:r>
      <w:r>
        <w:rPr>
          <w:rFonts w:ascii="Cambria" w:hAnsi="Cambria"/>
          <w:lang w:val="fr-FR"/>
        </w:rPr>
        <w:t xml:space="preserve"> gestion de stocks d’armes et de munitions. </w:t>
      </w:r>
      <w:r w:rsidR="002E3D20">
        <w:rPr>
          <w:rFonts w:ascii="Cambria" w:hAnsi="Cambria"/>
          <w:lang w:val="fr-FR"/>
        </w:rPr>
        <w:t xml:space="preserve">C’est ainsi qu’une grille d’intervention contenant les actions suivantes </w:t>
      </w:r>
      <w:r w:rsidR="00482EBC">
        <w:rPr>
          <w:rFonts w:ascii="Cambria" w:hAnsi="Cambria"/>
          <w:lang w:val="fr-FR"/>
        </w:rPr>
        <w:t xml:space="preserve">devant permettre </w:t>
      </w:r>
      <w:r w:rsidR="00482EBC" w:rsidRPr="008613B8">
        <w:rPr>
          <w:rFonts w:ascii="Cambria" w:hAnsi="Cambria"/>
          <w:lang w:val="fr-FR"/>
        </w:rPr>
        <w:t>d’harmoniser et d’améliorer les pratiques actuelles</w:t>
      </w:r>
      <w:r w:rsidR="00395A35">
        <w:rPr>
          <w:rFonts w:ascii="Cambria" w:hAnsi="Cambria"/>
          <w:lang w:val="fr-FR"/>
        </w:rPr>
        <w:t xml:space="preserve">, de </w:t>
      </w:r>
      <w:r w:rsidR="00482EBC" w:rsidRPr="008613B8">
        <w:rPr>
          <w:rFonts w:ascii="Cambria" w:hAnsi="Cambria"/>
          <w:lang w:val="fr-FR"/>
        </w:rPr>
        <w:t>mieux sécuriser les armes</w:t>
      </w:r>
      <w:r w:rsidR="00395A35">
        <w:rPr>
          <w:rFonts w:ascii="Cambria" w:hAnsi="Cambria"/>
          <w:lang w:val="fr-FR"/>
        </w:rPr>
        <w:t xml:space="preserve"> internes à la PNH</w:t>
      </w:r>
      <w:r w:rsidR="00482EBC" w:rsidRPr="008613B8">
        <w:rPr>
          <w:rFonts w:ascii="Cambria" w:hAnsi="Cambria"/>
          <w:lang w:val="fr-FR"/>
        </w:rPr>
        <w:t xml:space="preserve">, </w:t>
      </w:r>
      <w:r w:rsidR="00395A35">
        <w:rPr>
          <w:rFonts w:ascii="Cambria" w:hAnsi="Cambria"/>
          <w:lang w:val="fr-FR"/>
        </w:rPr>
        <w:t>de</w:t>
      </w:r>
      <w:r w:rsidR="00482EBC" w:rsidRPr="008613B8">
        <w:rPr>
          <w:rFonts w:ascii="Cambria" w:hAnsi="Cambria"/>
          <w:lang w:val="fr-FR"/>
        </w:rPr>
        <w:t xml:space="preserve"> réduire les pertes, les détournements, les vols et d’éviter d’alimenter le marché illicite</w:t>
      </w:r>
      <w:r w:rsidR="00395A35">
        <w:rPr>
          <w:rFonts w:ascii="Cambria" w:hAnsi="Cambria"/>
          <w:lang w:val="fr-FR"/>
        </w:rPr>
        <w:t xml:space="preserve"> </w:t>
      </w:r>
      <w:r w:rsidR="002E3D20">
        <w:rPr>
          <w:rFonts w:ascii="Cambria" w:hAnsi="Cambria"/>
          <w:lang w:val="fr-FR"/>
        </w:rPr>
        <w:t>a été élaboré</w:t>
      </w:r>
      <w:r w:rsidR="00FF1B3A">
        <w:rPr>
          <w:rFonts w:ascii="Cambria" w:hAnsi="Cambria"/>
          <w:lang w:val="fr-FR"/>
        </w:rPr>
        <w:t>e</w:t>
      </w:r>
      <w:r w:rsidR="002E3D20">
        <w:rPr>
          <w:rFonts w:ascii="Cambria" w:hAnsi="Cambria"/>
          <w:lang w:val="fr-FR"/>
        </w:rPr>
        <w:t xml:space="preserve"> et approuvé</w:t>
      </w:r>
      <w:r w:rsidR="00FF1B3A">
        <w:rPr>
          <w:rFonts w:ascii="Cambria" w:hAnsi="Cambria"/>
          <w:lang w:val="fr-FR"/>
        </w:rPr>
        <w:t>e</w:t>
      </w:r>
      <w:r w:rsidR="002E3D20">
        <w:rPr>
          <w:rFonts w:ascii="Cambria" w:hAnsi="Cambria"/>
          <w:lang w:val="fr-FR"/>
        </w:rPr>
        <w:t xml:space="preserve"> par les autorités policières :</w:t>
      </w:r>
    </w:p>
    <w:p w14:paraId="6F53D364" w14:textId="2D7BA34A" w:rsidR="002E3D20" w:rsidRPr="00A9152F" w:rsidRDefault="00A9152F" w:rsidP="00A9152F">
      <w:pPr>
        <w:pStyle w:val="ListParagraph"/>
        <w:numPr>
          <w:ilvl w:val="0"/>
          <w:numId w:val="6"/>
        </w:numPr>
        <w:jc w:val="both"/>
        <w:rPr>
          <w:rFonts w:ascii="Cambria" w:hAnsi="Cambria"/>
          <w:lang w:val="fr-FR"/>
        </w:rPr>
      </w:pPr>
      <w:r>
        <w:rPr>
          <w:rFonts w:ascii="Cambria" w:hAnsi="Cambria"/>
          <w:lang w:val="fr-FR"/>
        </w:rPr>
        <w:t xml:space="preserve">Amélioration du </w:t>
      </w:r>
      <w:r>
        <w:rPr>
          <w:rStyle w:val="Aucun"/>
        </w:rPr>
        <w:t>système d’entreposage et renforcer la sécurisation de l’armurerie centrale</w:t>
      </w:r>
    </w:p>
    <w:p w14:paraId="302A7CBE" w14:textId="7A0AC073" w:rsidR="00A9152F" w:rsidRDefault="00A9152F" w:rsidP="00A9152F">
      <w:pPr>
        <w:pStyle w:val="ListParagraph"/>
        <w:numPr>
          <w:ilvl w:val="0"/>
          <w:numId w:val="7"/>
        </w:numPr>
        <w:jc w:val="both"/>
        <w:rPr>
          <w:rStyle w:val="Aucun"/>
        </w:rPr>
      </w:pPr>
      <w:r w:rsidRPr="00A9152F">
        <w:rPr>
          <w:lang w:val="fr-FR"/>
        </w:rPr>
        <w:t>R</w:t>
      </w:r>
      <w:r>
        <w:rPr>
          <w:rStyle w:val="Aucun"/>
        </w:rPr>
        <w:t>éhabilitation du grillage qui sert de clôture avec un système d’éclairage </w:t>
      </w:r>
    </w:p>
    <w:p w14:paraId="0986025A" w14:textId="3EDEE0E3" w:rsidR="00A9152F" w:rsidRDefault="00A9152F" w:rsidP="00A9152F">
      <w:pPr>
        <w:pStyle w:val="ListParagraph"/>
        <w:numPr>
          <w:ilvl w:val="0"/>
          <w:numId w:val="7"/>
        </w:numPr>
        <w:jc w:val="both"/>
        <w:rPr>
          <w:rStyle w:val="Aucun"/>
        </w:rPr>
      </w:pPr>
      <w:r w:rsidRPr="00A9152F">
        <w:rPr>
          <w:lang w:val="fr-FR"/>
        </w:rPr>
        <w:t>I</w:t>
      </w:r>
      <w:r>
        <w:rPr>
          <w:rStyle w:val="Aucun"/>
        </w:rPr>
        <w:t>nstallation d’une porte blindée avec un système de gestion des clefs  </w:t>
      </w:r>
    </w:p>
    <w:p w14:paraId="60F4A176" w14:textId="77777777" w:rsidR="00A9152F" w:rsidRDefault="00A9152F" w:rsidP="00A9152F">
      <w:pPr>
        <w:pStyle w:val="ListParagraph"/>
        <w:numPr>
          <w:ilvl w:val="0"/>
          <w:numId w:val="7"/>
        </w:numPr>
        <w:jc w:val="both"/>
        <w:rPr>
          <w:rStyle w:val="Aucun"/>
        </w:rPr>
      </w:pPr>
      <w:r w:rsidRPr="00A9152F">
        <w:rPr>
          <w:lang w:val="fr-FR"/>
        </w:rPr>
        <w:t>N</w:t>
      </w:r>
      <w:r>
        <w:rPr>
          <w:rStyle w:val="Aucun"/>
        </w:rPr>
        <w:t>ettoyage des alentours de l’armurerie centrale dans un rayon d’au moins 15 m2</w:t>
      </w:r>
    </w:p>
    <w:p w14:paraId="076645BA" w14:textId="5BE24E6F" w:rsidR="00A9152F" w:rsidRDefault="00A9152F" w:rsidP="00A9152F">
      <w:pPr>
        <w:pStyle w:val="ListParagraph"/>
        <w:numPr>
          <w:ilvl w:val="0"/>
          <w:numId w:val="7"/>
        </w:numPr>
        <w:jc w:val="both"/>
        <w:rPr>
          <w:rStyle w:val="Aucun"/>
        </w:rPr>
      </w:pPr>
      <w:r>
        <w:t>Installation d’un</w:t>
      </w:r>
      <w:r>
        <w:rPr>
          <w:rStyle w:val="Aucun"/>
        </w:rPr>
        <w:t xml:space="preserve"> système d’aération  </w:t>
      </w:r>
    </w:p>
    <w:p w14:paraId="74AE9A48" w14:textId="6F0BD832" w:rsidR="00A9152F" w:rsidRDefault="00A9152F" w:rsidP="00A9152F">
      <w:pPr>
        <w:pStyle w:val="ListParagraph"/>
        <w:numPr>
          <w:ilvl w:val="0"/>
          <w:numId w:val="7"/>
        </w:numPr>
        <w:jc w:val="both"/>
        <w:rPr>
          <w:rStyle w:val="Aucun"/>
        </w:rPr>
      </w:pPr>
      <w:r>
        <w:t>I</w:t>
      </w:r>
      <w:r>
        <w:rPr>
          <w:rStyle w:val="Aucun"/>
        </w:rPr>
        <w:t>installation de caméras de surveillance  </w:t>
      </w:r>
    </w:p>
    <w:p w14:paraId="61A433DC" w14:textId="6D3E7BFB" w:rsidR="00A9152F" w:rsidRDefault="00A9152F" w:rsidP="00A9152F">
      <w:pPr>
        <w:pStyle w:val="ListParagraph"/>
        <w:numPr>
          <w:ilvl w:val="0"/>
          <w:numId w:val="7"/>
        </w:numPr>
        <w:jc w:val="both"/>
        <w:rPr>
          <w:rStyle w:val="Aucun"/>
        </w:rPr>
      </w:pPr>
      <w:r w:rsidRPr="00A9152F">
        <w:rPr>
          <w:lang w:val="fr-FR"/>
        </w:rPr>
        <w:t>I</w:t>
      </w:r>
      <w:r>
        <w:rPr>
          <w:rStyle w:val="Aucun"/>
        </w:rPr>
        <w:t>nstallation d’un système d’alarme intrusion et incendie </w:t>
      </w:r>
    </w:p>
    <w:p w14:paraId="1ED1D7E9" w14:textId="5A50BC97" w:rsidR="00A9152F" w:rsidRPr="00A9152F" w:rsidRDefault="00A9152F" w:rsidP="00A9152F">
      <w:pPr>
        <w:pStyle w:val="ListParagraph"/>
        <w:numPr>
          <w:ilvl w:val="0"/>
          <w:numId w:val="6"/>
        </w:numPr>
        <w:jc w:val="both"/>
        <w:rPr>
          <w:rFonts w:ascii="Cambria" w:hAnsi="Cambria"/>
          <w:lang w:val="fr-FR"/>
        </w:rPr>
      </w:pPr>
      <w:r>
        <w:rPr>
          <w:rStyle w:val="Aucun"/>
        </w:rPr>
        <w:t>Dotation de l’armurerie centrale d’un logiciel de gestion des stocks d’armes et de minutions</w:t>
      </w:r>
    </w:p>
    <w:p w14:paraId="290E5374" w14:textId="7AA4734D" w:rsidR="00187E92" w:rsidRDefault="00A9152F" w:rsidP="00A9152F">
      <w:pPr>
        <w:pStyle w:val="ListParagraph"/>
        <w:numPr>
          <w:ilvl w:val="0"/>
          <w:numId w:val="8"/>
        </w:numPr>
        <w:jc w:val="both"/>
        <w:rPr>
          <w:rStyle w:val="Aucun"/>
        </w:rPr>
      </w:pPr>
      <w:r>
        <w:rPr>
          <w:rStyle w:val="Aucun"/>
        </w:rPr>
        <w:t>Installation de matériels informatiques et d’un logiciel au service armement avec la possibilité d’une extension au niveau des départements et unités.</w:t>
      </w:r>
    </w:p>
    <w:p w14:paraId="1688CDF6" w14:textId="3A72BD27" w:rsidR="00A9152F" w:rsidRPr="00A9152F" w:rsidRDefault="00A9152F" w:rsidP="00A9152F">
      <w:pPr>
        <w:pStyle w:val="ListParagraph"/>
        <w:numPr>
          <w:ilvl w:val="0"/>
          <w:numId w:val="8"/>
        </w:numPr>
        <w:jc w:val="both"/>
        <w:rPr>
          <w:rFonts w:ascii="Cambria" w:hAnsi="Cambria"/>
          <w:lang w:val="fr-FR"/>
        </w:rPr>
      </w:pPr>
      <w:r>
        <w:rPr>
          <w:rStyle w:val="Aucun"/>
        </w:rPr>
        <w:t>Formation sur l’exploitation du logiciel pour le personnel de l’armurerie</w:t>
      </w:r>
    </w:p>
    <w:p w14:paraId="78EF2675" w14:textId="6A25DA67" w:rsidR="001100AA" w:rsidRDefault="001100AA" w:rsidP="00E7406B">
      <w:pPr>
        <w:pStyle w:val="ListParagraph"/>
        <w:numPr>
          <w:ilvl w:val="0"/>
          <w:numId w:val="6"/>
        </w:numPr>
        <w:jc w:val="both"/>
        <w:rPr>
          <w:rStyle w:val="Aucun"/>
        </w:rPr>
      </w:pPr>
      <w:r>
        <w:rPr>
          <w:rStyle w:val="Aucun"/>
        </w:rPr>
        <w:t xml:space="preserve"> Formation d</w:t>
      </w:r>
      <w:r w:rsidR="00E7406B">
        <w:rPr>
          <w:rStyle w:val="Aucun"/>
        </w:rPr>
        <w:t xml:space="preserve">es </w:t>
      </w:r>
      <w:r w:rsidR="00E7406B" w:rsidRPr="007C595C">
        <w:rPr>
          <w:lang w:val="fr-FR"/>
        </w:rPr>
        <w:t xml:space="preserve">agents de police </w:t>
      </w:r>
      <w:r>
        <w:rPr>
          <w:rStyle w:val="Aucun"/>
        </w:rPr>
        <w:t xml:space="preserve">dans les dix départements du pays </w:t>
      </w:r>
    </w:p>
    <w:p w14:paraId="09F6AC00" w14:textId="2F4A9C83" w:rsidR="001100AA" w:rsidRDefault="001100AA" w:rsidP="001100AA">
      <w:pPr>
        <w:pStyle w:val="ListParagraph"/>
        <w:numPr>
          <w:ilvl w:val="0"/>
          <w:numId w:val="9"/>
        </w:numPr>
        <w:rPr>
          <w:rStyle w:val="Aucun"/>
        </w:rPr>
      </w:pPr>
      <w:r w:rsidRPr="001100AA">
        <w:rPr>
          <w:lang w:val="fr-FR"/>
        </w:rPr>
        <w:t>F</w:t>
      </w:r>
      <w:r>
        <w:rPr>
          <w:rStyle w:val="Aucun"/>
        </w:rPr>
        <w:t xml:space="preserve">ormation </w:t>
      </w:r>
      <w:r w:rsidR="00E7406B">
        <w:rPr>
          <w:rStyle w:val="Aucun"/>
        </w:rPr>
        <w:t xml:space="preserve">sur la </w:t>
      </w:r>
      <w:r>
        <w:rPr>
          <w:rStyle w:val="Aucun"/>
        </w:rPr>
        <w:t>gestion des s</w:t>
      </w:r>
      <w:r w:rsidR="00E7406B">
        <w:rPr>
          <w:rStyle w:val="Aucun"/>
        </w:rPr>
        <w:t>tocks d’armes et munitions</w:t>
      </w:r>
    </w:p>
    <w:p w14:paraId="5A444812" w14:textId="13A94C51" w:rsidR="001100AA" w:rsidRDefault="001100AA" w:rsidP="001100AA">
      <w:pPr>
        <w:pStyle w:val="ListParagraph"/>
        <w:numPr>
          <w:ilvl w:val="0"/>
          <w:numId w:val="9"/>
        </w:numPr>
        <w:rPr>
          <w:rStyle w:val="Aucun"/>
        </w:rPr>
      </w:pPr>
      <w:r w:rsidRPr="001100AA">
        <w:rPr>
          <w:lang w:val="fr-FR"/>
        </w:rPr>
        <w:t>F</w:t>
      </w:r>
      <w:r>
        <w:rPr>
          <w:rStyle w:val="Aucun"/>
        </w:rPr>
        <w:t xml:space="preserve">ormation sur </w:t>
      </w:r>
      <w:r w:rsidR="00E7406B">
        <w:rPr>
          <w:rStyle w:val="Aucun"/>
        </w:rPr>
        <w:t>l’application d</w:t>
      </w:r>
      <w:r>
        <w:rPr>
          <w:rStyle w:val="Aucun"/>
        </w:rPr>
        <w:t>es Directives et Procédures Opérationnelles Standards</w:t>
      </w:r>
    </w:p>
    <w:p w14:paraId="1CE06276" w14:textId="02CDFB54" w:rsidR="00E7406B" w:rsidRPr="00E7406B" w:rsidRDefault="00E7406B" w:rsidP="00E7406B">
      <w:pPr>
        <w:pStyle w:val="ListParagraph"/>
        <w:numPr>
          <w:ilvl w:val="0"/>
          <w:numId w:val="6"/>
        </w:numPr>
        <w:jc w:val="both"/>
        <w:rPr>
          <w:lang w:val="fr-FR"/>
        </w:rPr>
      </w:pPr>
      <w:r>
        <w:rPr>
          <w:rStyle w:val="Aucun"/>
        </w:rPr>
        <w:t>Dotation du SPAF d’un logiciel de gestion des stocks d’armes et de minutions</w:t>
      </w:r>
    </w:p>
    <w:p w14:paraId="6AFA04D8" w14:textId="7F5CDEF5" w:rsidR="00E7406B" w:rsidRDefault="00E7406B" w:rsidP="00E7406B">
      <w:pPr>
        <w:pStyle w:val="ListParagraph"/>
        <w:numPr>
          <w:ilvl w:val="0"/>
          <w:numId w:val="8"/>
        </w:numPr>
        <w:jc w:val="both"/>
        <w:rPr>
          <w:rStyle w:val="Aucun"/>
        </w:rPr>
      </w:pPr>
      <w:r>
        <w:rPr>
          <w:rStyle w:val="Aucun"/>
        </w:rPr>
        <w:t xml:space="preserve">Installation de matériels informatiques et d’un logiciel au SPAF </w:t>
      </w:r>
    </w:p>
    <w:p w14:paraId="1498C689" w14:textId="6319814C" w:rsidR="00E7406B" w:rsidRPr="00A9152F" w:rsidRDefault="00E7406B" w:rsidP="00E7406B">
      <w:pPr>
        <w:pStyle w:val="ListParagraph"/>
        <w:numPr>
          <w:ilvl w:val="0"/>
          <w:numId w:val="8"/>
        </w:numPr>
        <w:jc w:val="both"/>
        <w:rPr>
          <w:rFonts w:ascii="Cambria" w:hAnsi="Cambria"/>
          <w:lang w:val="fr-FR"/>
        </w:rPr>
      </w:pPr>
      <w:r>
        <w:rPr>
          <w:rStyle w:val="Aucun"/>
        </w:rPr>
        <w:t>Formation sur l’exploitation du logiciel pour le personnel du SPAF</w:t>
      </w:r>
    </w:p>
    <w:p w14:paraId="740B114A" w14:textId="77777777" w:rsidR="00351669" w:rsidRDefault="00351669" w:rsidP="00CE3184">
      <w:pPr>
        <w:ind w:left="-720" w:right="-154"/>
        <w:jc w:val="both"/>
        <w:rPr>
          <w:rFonts w:ascii="inherit" w:hAnsi="inherit"/>
          <w:color w:val="212121"/>
          <w:lang w:val="fr-FR"/>
        </w:rPr>
      </w:pPr>
    </w:p>
    <w:p w14:paraId="2A6CBBE1" w14:textId="4E478FEE" w:rsidR="00CE3184" w:rsidRPr="00CE3184" w:rsidRDefault="00CE3184" w:rsidP="00CE3184">
      <w:pPr>
        <w:ind w:left="-720" w:right="-154"/>
        <w:jc w:val="both"/>
        <w:rPr>
          <w:rFonts w:ascii="inherit" w:hAnsi="inherit"/>
          <w:color w:val="212121"/>
          <w:lang w:val="fr-FR"/>
        </w:rPr>
      </w:pPr>
      <w:r w:rsidRPr="00CE3184">
        <w:rPr>
          <w:rFonts w:ascii="inherit" w:hAnsi="inherit"/>
          <w:color w:val="212121"/>
          <w:lang w:val="fr-FR"/>
        </w:rPr>
        <w:t>Les termes de référence ont été élaborés et le processus de recrutement des prestataires de service ont été complété. Les travaux au niveau de l’armurerie centrale ont démarré le lundi 16 mai 2022 pour une durée de deux mois et demi. La formation est prévue du 1er au 30 juin 2022. Les activités concernant</w:t>
      </w:r>
      <w:r w:rsidR="0038232B">
        <w:rPr>
          <w:rFonts w:ascii="inherit" w:hAnsi="inherit"/>
          <w:color w:val="212121"/>
          <w:lang w:val="fr-FR"/>
        </w:rPr>
        <w:t xml:space="preserve"> la mise en place de logiciel informatique </w:t>
      </w:r>
      <w:r w:rsidR="00F8747A" w:rsidRPr="00F03A5D">
        <w:rPr>
          <w:rFonts w:ascii="Cambria" w:hAnsi="Cambria"/>
          <w:lang w:val="fr-FR"/>
        </w:rPr>
        <w:t>à</w:t>
      </w:r>
      <w:r w:rsidRPr="00CE3184">
        <w:rPr>
          <w:rFonts w:ascii="inherit" w:hAnsi="inherit"/>
          <w:color w:val="212121"/>
          <w:lang w:val="fr-FR"/>
        </w:rPr>
        <w:t xml:space="preserve"> l’armurerie centrale et le SPAF sont </w:t>
      </w:r>
      <w:proofErr w:type="gramStart"/>
      <w:r w:rsidRPr="00CE3184">
        <w:rPr>
          <w:rFonts w:ascii="inherit" w:hAnsi="inherit"/>
          <w:color w:val="212121"/>
          <w:lang w:val="fr-FR"/>
        </w:rPr>
        <w:t>prévue</w:t>
      </w:r>
      <w:r w:rsidR="0038232B">
        <w:rPr>
          <w:rFonts w:ascii="inherit" w:hAnsi="inherit"/>
          <w:color w:val="212121"/>
          <w:lang w:val="fr-FR"/>
        </w:rPr>
        <w:t>s</w:t>
      </w:r>
      <w:proofErr w:type="gramEnd"/>
      <w:r w:rsidRPr="00CE3184">
        <w:rPr>
          <w:rFonts w:ascii="inherit" w:hAnsi="inherit"/>
          <w:color w:val="212121"/>
          <w:lang w:val="fr-FR"/>
        </w:rPr>
        <w:t xml:space="preserve"> du 15 juin au 15 juillet 2022. </w:t>
      </w:r>
    </w:p>
    <w:p w14:paraId="278673F9" w14:textId="6C4314FA" w:rsidR="00CE3184" w:rsidRDefault="00CE3184" w:rsidP="00675507">
      <w:pPr>
        <w:ind w:left="-720"/>
        <w:rPr>
          <w:b/>
          <w:bCs/>
          <w:color w:val="000000"/>
          <w:lang w:val="fr-FR" w:eastAsia="en-US"/>
        </w:rPr>
      </w:pPr>
    </w:p>
    <w:p w14:paraId="14989312" w14:textId="6C1BD3D9"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220B727" w14:textId="77777777" w:rsidR="00747601" w:rsidRPr="00407C61" w:rsidRDefault="00747601" w:rsidP="00747601">
      <w:pPr>
        <w:ind w:left="-720"/>
        <w:jc w:val="both"/>
        <w:rPr>
          <w:rFonts w:ascii="Cambria" w:hAnsi="Cambria"/>
          <w:color w:val="212121"/>
          <w:lang w:val="fr-FR"/>
        </w:rPr>
      </w:pPr>
      <w:r w:rsidRPr="00407C61">
        <w:rPr>
          <w:rFonts w:ascii="Cambria" w:hAnsi="Cambria"/>
          <w:color w:val="212121"/>
          <w:lang w:val="fr-FR"/>
        </w:rPr>
        <w:t xml:space="preserve">Le projet </w:t>
      </w:r>
      <w:r>
        <w:rPr>
          <w:rFonts w:ascii="Cambria" w:hAnsi="Cambria"/>
          <w:color w:val="212121"/>
          <w:lang w:val="fr-FR"/>
        </w:rPr>
        <w:t>traite de</w:t>
      </w:r>
      <w:r w:rsidRPr="00407C61">
        <w:rPr>
          <w:rFonts w:ascii="Cambria" w:hAnsi="Cambria"/>
          <w:color w:val="212121"/>
          <w:lang w:val="fr-FR"/>
        </w:rPr>
        <w:t xml:space="preserve"> l’aspect légal et opérationnel dans la gestion des armes et des munitions et travaille spécifiquement avec les institutions impliquées dans le secteur dont la police nationale, la douane et l’immigration</w:t>
      </w:r>
      <w:r>
        <w:rPr>
          <w:rFonts w:ascii="Cambria" w:hAnsi="Cambria"/>
          <w:color w:val="212121"/>
          <w:lang w:val="fr-FR"/>
        </w:rPr>
        <w:t>. D</w:t>
      </w:r>
      <w:r w:rsidRPr="00407C61">
        <w:rPr>
          <w:rFonts w:ascii="Cambria" w:hAnsi="Cambria"/>
          <w:color w:val="212121"/>
          <w:lang w:val="fr-FR"/>
        </w:rPr>
        <w:t xml:space="preserve">e ce fait, les actions cibles </w:t>
      </w:r>
      <w:r>
        <w:rPr>
          <w:rFonts w:ascii="Cambria" w:hAnsi="Cambria"/>
          <w:color w:val="212121"/>
          <w:lang w:val="fr-FR"/>
        </w:rPr>
        <w:t xml:space="preserve">impliquent </w:t>
      </w:r>
      <w:r w:rsidRPr="00407C61">
        <w:rPr>
          <w:rFonts w:ascii="Cambria" w:hAnsi="Cambria"/>
          <w:color w:val="212121"/>
          <w:lang w:val="fr-FR"/>
        </w:rPr>
        <w:t>fortement des changements institutionnels. Dans la sélection du personnel de ces institutions devant participer aux formations</w:t>
      </w:r>
      <w:r>
        <w:rPr>
          <w:rFonts w:ascii="Cambria" w:hAnsi="Cambria"/>
          <w:color w:val="212121"/>
          <w:lang w:val="fr-FR"/>
        </w:rPr>
        <w:t>,</w:t>
      </w:r>
      <w:r w:rsidRPr="00407C61">
        <w:rPr>
          <w:rFonts w:ascii="Cambria" w:hAnsi="Cambria"/>
          <w:color w:val="212121"/>
          <w:lang w:val="fr-FR"/>
        </w:rPr>
        <w:t xml:space="preserve"> </w:t>
      </w:r>
      <w:r>
        <w:rPr>
          <w:rFonts w:ascii="Cambria" w:hAnsi="Cambria"/>
          <w:color w:val="212121"/>
          <w:lang w:val="fr-FR"/>
        </w:rPr>
        <w:t xml:space="preserve">il est prévu une sélection de 30% de femmes et d’encourager que les femmes soient nommées dans les postes de décisions afin qu’elles puissent jouer un rôle actif. </w:t>
      </w:r>
      <w:r w:rsidRPr="00407C61">
        <w:rPr>
          <w:rFonts w:ascii="Cambria" w:hAnsi="Cambria"/>
          <w:color w:val="212121"/>
          <w:lang w:val="fr-FR"/>
        </w:rPr>
        <w:t xml:space="preserve"> </w:t>
      </w:r>
    </w:p>
    <w:p w14:paraId="3C4ECBD1" w14:textId="76B2BD9A" w:rsidR="00675507" w:rsidRPr="00747601" w:rsidRDefault="00675507" w:rsidP="00675507">
      <w:pPr>
        <w:ind w:left="-720"/>
        <w:rPr>
          <w:b/>
          <w:lang w:val="fr-FR"/>
        </w:rPr>
      </w:pPr>
    </w:p>
    <w:p w14:paraId="35EDE632" w14:textId="77777777" w:rsidR="00627A1C" w:rsidRPr="00747601" w:rsidRDefault="00627A1C" w:rsidP="00627A1C">
      <w:pPr>
        <w:ind w:left="-720"/>
        <w:rPr>
          <w:b/>
          <w:lang w:val="fr-FR"/>
        </w:rPr>
      </w:pPr>
    </w:p>
    <w:p w14:paraId="02A4DAC5" w14:textId="059C49EA" w:rsidR="00675507" w:rsidRPr="00222E07"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222E07" w:rsidRPr="00222E07">
        <w:rPr>
          <w:sz w:val="22"/>
          <w:szCs w:val="22"/>
          <w:lang w:val="fr-FR"/>
        </w:rPr>
        <w:t>La CNDDR est en mesure de proposer une politique publique nationale sur la gestion de la violence armée et d’assurer la coordination de la stratégie et de l’action des institutions pertinentes et la redevabilité de l’État sur la violence</w:t>
      </w:r>
    </w:p>
    <w:p w14:paraId="09695970" w14:textId="77777777" w:rsidR="00675507" w:rsidRPr="00615EA3" w:rsidRDefault="00675507" w:rsidP="00675507">
      <w:pPr>
        <w:ind w:left="-720"/>
        <w:rPr>
          <w:b/>
          <w:lang w:val="fr-FR"/>
        </w:rPr>
      </w:pPr>
    </w:p>
    <w:p w14:paraId="67329A32" w14:textId="650A860B" w:rsidR="00675507" w:rsidRDefault="00675507" w:rsidP="008E7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p>
    <w:p w14:paraId="1F9BFD67" w14:textId="77777777" w:rsidR="008E78E5" w:rsidRPr="005D15A3" w:rsidRDefault="008E78E5" w:rsidP="008E7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1B52677D" w14:textId="77777777"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67A32FB4" w14:textId="77777777" w:rsidR="00351669" w:rsidRPr="005D15A3" w:rsidRDefault="00351669" w:rsidP="00675507">
      <w:pPr>
        <w:ind w:left="-720"/>
        <w:jc w:val="both"/>
        <w:rPr>
          <w:i/>
          <w:lang w:val="fr-FR"/>
        </w:rPr>
      </w:pPr>
    </w:p>
    <w:p w14:paraId="470F9892" w14:textId="3D1C3BB0" w:rsidR="00675507" w:rsidRDefault="00727AD6" w:rsidP="00D8421B">
      <w:pPr>
        <w:ind w:left="-720"/>
        <w:jc w:val="both"/>
        <w:rPr>
          <w:rFonts w:ascii="Cambria" w:hAnsi="Cambria"/>
          <w:bCs/>
          <w:lang w:val="fr-FR"/>
        </w:rPr>
      </w:pPr>
      <w:r>
        <w:rPr>
          <w:rFonts w:ascii="Cambria" w:hAnsi="Cambria"/>
          <w:color w:val="212121"/>
          <w:lang w:val="fr-FR"/>
        </w:rPr>
        <w:t xml:space="preserve">Il n’y a </w:t>
      </w:r>
      <w:r w:rsidR="00FF1B3A">
        <w:rPr>
          <w:rFonts w:ascii="Cambria" w:hAnsi="Cambria"/>
          <w:color w:val="212121"/>
          <w:lang w:val="fr-FR"/>
        </w:rPr>
        <w:t xml:space="preserve">pas </w:t>
      </w:r>
      <w:r>
        <w:rPr>
          <w:rFonts w:ascii="Cambria" w:hAnsi="Cambria"/>
          <w:color w:val="212121"/>
          <w:lang w:val="fr-FR"/>
        </w:rPr>
        <w:t xml:space="preserve">eu d’activités en lien avec ce résultat au cours de ce semestre, car les seules activités qui restaient (Consultations communautaires) n’ont pas pu être entreprises à cause des </w:t>
      </w:r>
      <w:r>
        <w:rPr>
          <w:rFonts w:ascii="Cambria" w:hAnsi="Cambria"/>
          <w:bCs/>
          <w:lang w:val="fr-FR"/>
        </w:rPr>
        <w:t>problèmes de sécurité et d’instabilité politique. De ce fait, ces activités ont été reconsidérées lors de</w:t>
      </w:r>
      <w:r w:rsidR="00351669">
        <w:rPr>
          <w:rFonts w:ascii="Cambria" w:hAnsi="Cambria"/>
          <w:bCs/>
          <w:lang w:val="fr-FR"/>
        </w:rPr>
        <w:t xml:space="preserve"> la </w:t>
      </w:r>
      <w:r>
        <w:rPr>
          <w:rFonts w:ascii="Cambria" w:hAnsi="Cambria"/>
          <w:bCs/>
          <w:lang w:val="fr-FR"/>
        </w:rPr>
        <w:t xml:space="preserve">révision substantive du projet. </w:t>
      </w:r>
    </w:p>
    <w:p w14:paraId="65DAEF5B" w14:textId="77777777" w:rsidR="00727AD6" w:rsidRPr="00727AD6" w:rsidRDefault="00727AD6"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374C4E66" w:rsidR="00675507" w:rsidRPr="00222E07"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00222E07" w:rsidRPr="00222E07">
        <w:rPr>
          <w:rFonts w:eastAsia="Arial"/>
          <w:sz w:val="22"/>
          <w:szCs w:val="22"/>
          <w:lang w:val="fr-FR"/>
        </w:rPr>
        <w:t xml:space="preserve">Le cadre </w:t>
      </w:r>
      <w:r w:rsidR="00222E07" w:rsidRPr="00222E07">
        <w:rPr>
          <w:sz w:val="22"/>
          <w:szCs w:val="22"/>
          <w:lang w:val="fr-FR"/>
        </w:rPr>
        <w:t>réglementaire sur la gestion des armes à feu et des munitions respectant les standards internationaux est élaboré, discuté et approuvé</w:t>
      </w:r>
    </w:p>
    <w:p w14:paraId="04293BE3" w14:textId="77777777" w:rsidR="00675507" w:rsidRPr="00615EA3" w:rsidRDefault="00675507" w:rsidP="00675507">
      <w:pPr>
        <w:ind w:left="-720"/>
        <w:rPr>
          <w:b/>
          <w:lang w:val="fr-FR"/>
        </w:rPr>
      </w:pPr>
    </w:p>
    <w:p w14:paraId="3CEB16D5" w14:textId="53AA660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22E07">
        <w:rPr>
          <w:b/>
          <w:lang w:val="fr-FR"/>
        </w:rPr>
        <w:t xml:space="preserve">On </w:t>
      </w:r>
      <w:proofErr w:type="spellStart"/>
      <w:r w:rsidR="00222E07">
        <w:rPr>
          <w:b/>
          <w:lang w:val="fr-FR"/>
        </w:rPr>
        <w:t>track</w:t>
      </w:r>
      <w:proofErr w:type="spellEnd"/>
    </w:p>
    <w:p w14:paraId="21D7B908" w14:textId="77777777" w:rsidR="00675507" w:rsidRPr="005D15A3" w:rsidRDefault="00675507" w:rsidP="00675507">
      <w:pPr>
        <w:ind w:left="-720"/>
        <w:jc w:val="both"/>
        <w:rPr>
          <w:b/>
          <w:lang w:val="fr-FR"/>
        </w:rPr>
      </w:pPr>
    </w:p>
    <w:p w14:paraId="6BE21E9A" w14:textId="77777777"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3FC72B0F" w14:textId="77777777" w:rsidR="00351669" w:rsidRPr="005D15A3" w:rsidRDefault="00351669" w:rsidP="00675507">
      <w:pPr>
        <w:ind w:left="-720"/>
        <w:jc w:val="both"/>
        <w:rPr>
          <w:i/>
          <w:lang w:val="fr-FR"/>
        </w:rPr>
      </w:pPr>
    </w:p>
    <w:p w14:paraId="0321FB89" w14:textId="6F2DDD27" w:rsidR="00A11260" w:rsidRDefault="00351669" w:rsidP="00A11260">
      <w:pPr>
        <w:tabs>
          <w:tab w:val="right" w:pos="8306"/>
        </w:tabs>
        <w:ind w:left="-720"/>
        <w:jc w:val="both"/>
        <w:rPr>
          <w:rFonts w:ascii="Cambria" w:hAnsi="Cambria"/>
          <w:bCs/>
          <w:lang w:val="fr-FR"/>
        </w:rPr>
      </w:pPr>
      <w:r>
        <w:rPr>
          <w:rFonts w:ascii="Cambria" w:hAnsi="Cambria"/>
          <w:bCs/>
          <w:lang w:val="fr-FR"/>
        </w:rPr>
        <w:t>Un arrêt des travaux a été observé, s</w:t>
      </w:r>
      <w:r w:rsidR="00A11260">
        <w:rPr>
          <w:rFonts w:ascii="Cambria" w:hAnsi="Cambria"/>
          <w:bCs/>
          <w:lang w:val="fr-FR"/>
        </w:rPr>
        <w:t>uite à l’élaboration à la fin du mois de juin</w:t>
      </w:r>
      <w:r w:rsidR="00747601">
        <w:rPr>
          <w:rFonts w:ascii="Cambria" w:hAnsi="Cambria"/>
          <w:bCs/>
          <w:lang w:val="fr-FR"/>
        </w:rPr>
        <w:t xml:space="preserve"> 2021</w:t>
      </w:r>
      <w:r w:rsidR="00A11260">
        <w:rPr>
          <w:rFonts w:ascii="Cambria" w:hAnsi="Cambria"/>
          <w:bCs/>
          <w:lang w:val="fr-FR"/>
        </w:rPr>
        <w:t xml:space="preserve"> de l</w:t>
      </w:r>
      <w:r w:rsidR="00A11260" w:rsidRPr="00AC60B8">
        <w:rPr>
          <w:rFonts w:ascii="Cambria" w:hAnsi="Cambria"/>
          <w:bCs/>
          <w:lang w:val="fr-FR"/>
        </w:rPr>
        <w:t xml:space="preserve">a première ébauche d’avant-projet de décret </w:t>
      </w:r>
      <w:r w:rsidR="00A11260">
        <w:rPr>
          <w:rFonts w:ascii="Cambria" w:hAnsi="Cambria"/>
          <w:bCs/>
          <w:lang w:val="fr-FR"/>
        </w:rPr>
        <w:t>limitant l’accès et la circulation des armes et des munitions dans le pays et établissant</w:t>
      </w:r>
      <w:r w:rsidR="00A11260" w:rsidRPr="00AC60B8">
        <w:rPr>
          <w:rFonts w:ascii="Cambria" w:hAnsi="Cambria"/>
          <w:bCs/>
          <w:lang w:val="fr-FR"/>
        </w:rPr>
        <w:t xml:space="preserve"> </w:t>
      </w:r>
      <w:r w:rsidR="00A11260" w:rsidRPr="0080416A">
        <w:rPr>
          <w:rFonts w:ascii="Cambria" w:hAnsi="Cambria"/>
          <w:bCs/>
          <w:lang w:val="fr-FR"/>
        </w:rPr>
        <w:t>les san</w:t>
      </w:r>
      <w:r w:rsidR="00A11260">
        <w:rPr>
          <w:rFonts w:ascii="Cambria" w:hAnsi="Cambria"/>
          <w:bCs/>
          <w:lang w:val="fr-FR"/>
        </w:rPr>
        <w:t xml:space="preserve">ctions contre les contrevenants par </w:t>
      </w:r>
      <w:proofErr w:type="spellStart"/>
      <w:r w:rsidR="00A11260" w:rsidRPr="00AC60B8">
        <w:rPr>
          <w:rFonts w:ascii="Cambria" w:hAnsi="Cambria"/>
          <w:bCs/>
          <w:lang w:val="fr-FR"/>
        </w:rPr>
        <w:t>Task</w:t>
      </w:r>
      <w:proofErr w:type="spellEnd"/>
      <w:r w:rsidR="00A11260" w:rsidRPr="00AC60B8">
        <w:rPr>
          <w:rFonts w:ascii="Cambria" w:hAnsi="Cambria"/>
          <w:bCs/>
          <w:lang w:val="fr-FR"/>
        </w:rPr>
        <w:t> Force</w:t>
      </w:r>
      <w:r w:rsidR="00A11260">
        <w:rPr>
          <w:rFonts w:ascii="Cambria" w:hAnsi="Cambria"/>
          <w:bCs/>
          <w:lang w:val="fr-FR"/>
        </w:rPr>
        <w:t xml:space="preserve"> </w:t>
      </w:r>
      <w:r w:rsidR="00A11260" w:rsidRPr="00AC60B8">
        <w:rPr>
          <w:rFonts w:ascii="Cambria" w:hAnsi="Cambria"/>
          <w:bCs/>
          <w:lang w:val="fr-FR"/>
        </w:rPr>
        <w:t>compos</w:t>
      </w:r>
      <w:r w:rsidR="00A11260">
        <w:rPr>
          <w:rFonts w:ascii="Cambria" w:hAnsi="Cambria"/>
          <w:bCs/>
          <w:lang w:val="fr-FR"/>
        </w:rPr>
        <w:t>é</w:t>
      </w:r>
      <w:r w:rsidR="00A11260" w:rsidRPr="00AC60B8">
        <w:rPr>
          <w:rFonts w:ascii="Cambria" w:hAnsi="Cambria"/>
          <w:bCs/>
          <w:lang w:val="fr-FR"/>
        </w:rPr>
        <w:t>e</w:t>
      </w:r>
      <w:r w:rsidR="00A11260">
        <w:rPr>
          <w:rFonts w:ascii="Cambria" w:hAnsi="Cambria"/>
          <w:bCs/>
          <w:lang w:val="fr-FR"/>
        </w:rPr>
        <w:t xml:space="preserve"> </w:t>
      </w:r>
      <w:r w:rsidR="00A11260" w:rsidRPr="00AC60B8">
        <w:rPr>
          <w:rFonts w:ascii="Cambria" w:hAnsi="Cambria"/>
          <w:bCs/>
          <w:lang w:val="fr-FR"/>
        </w:rPr>
        <w:t>du Ministère de la Justice et de la Sécurité Publique (MJSP), du Ministère de l’Intérieur et des Collectivités Territoriales (MICT), de la PNH, du Ministère de la Défense (MD), du Ministère du Commerce et de l’Industrie (MCI), de l’</w:t>
      </w:r>
      <w:r w:rsidR="00B8367F" w:rsidRPr="00AC60B8" w:rsidDel="00B8367F">
        <w:rPr>
          <w:rFonts w:ascii="Cambria" w:hAnsi="Cambria"/>
          <w:bCs/>
          <w:lang w:val="fr-FR"/>
        </w:rPr>
        <w:t xml:space="preserve"> </w:t>
      </w:r>
      <w:r w:rsidR="00A11260" w:rsidRPr="00AC60B8">
        <w:rPr>
          <w:rFonts w:ascii="Cambria" w:hAnsi="Cambria"/>
          <w:bCs/>
          <w:lang w:val="fr-FR"/>
        </w:rPr>
        <w:t>AGD, des Forces Armées d’Haïti (FAD’H), du Bureau du Secrétaire d’État à la Sécurité Publique et de la Commission Nationale de Désarmement, Démantèlement et Réinsertion (CNDDR) avec le support technique du PNUD, de BINUH et l’UNLIREC</w:t>
      </w:r>
      <w:r>
        <w:rPr>
          <w:rFonts w:ascii="Cambria" w:hAnsi="Cambria"/>
          <w:bCs/>
          <w:lang w:val="fr-FR"/>
        </w:rPr>
        <w:t>.</w:t>
      </w:r>
    </w:p>
    <w:p w14:paraId="5441B232" w14:textId="77777777" w:rsidR="009C7856" w:rsidRDefault="009C7856" w:rsidP="00A11260">
      <w:pPr>
        <w:tabs>
          <w:tab w:val="right" w:pos="8306"/>
        </w:tabs>
        <w:ind w:left="-720"/>
        <w:jc w:val="both"/>
        <w:rPr>
          <w:rFonts w:ascii="Cambria" w:hAnsi="Cambria"/>
          <w:bCs/>
          <w:lang w:val="fr-FR"/>
        </w:rPr>
      </w:pPr>
    </w:p>
    <w:p w14:paraId="328832EA" w14:textId="10C4A642" w:rsidR="00395A35" w:rsidRPr="007A34C4" w:rsidRDefault="00A11260" w:rsidP="00395A35">
      <w:pPr>
        <w:tabs>
          <w:tab w:val="right" w:pos="8306"/>
        </w:tabs>
        <w:ind w:left="-720"/>
        <w:jc w:val="both"/>
        <w:rPr>
          <w:rFonts w:ascii="Cambria" w:hAnsi="Cambria"/>
          <w:bCs/>
          <w:lang w:val="fr-FR"/>
        </w:rPr>
      </w:pPr>
      <w:r>
        <w:rPr>
          <w:rFonts w:ascii="Cambria" w:hAnsi="Cambria"/>
          <w:bCs/>
          <w:lang w:val="fr-FR"/>
        </w:rPr>
        <w:t xml:space="preserve">Depuis le mois de janvier 2022, les travaux de correction et de finalisation de cet avant-projet de loi ont repris avec un noyau de cette </w:t>
      </w:r>
      <w:proofErr w:type="spellStart"/>
      <w:r>
        <w:rPr>
          <w:rFonts w:ascii="Cambria" w:hAnsi="Cambria"/>
          <w:bCs/>
          <w:lang w:val="fr-FR"/>
        </w:rPr>
        <w:t>Task</w:t>
      </w:r>
      <w:proofErr w:type="spellEnd"/>
      <w:r>
        <w:rPr>
          <w:rFonts w:ascii="Cambria" w:hAnsi="Cambria"/>
          <w:bCs/>
          <w:lang w:val="fr-FR"/>
        </w:rPr>
        <w:t xml:space="preserve"> Force</w:t>
      </w:r>
      <w:r w:rsidR="009C7856">
        <w:rPr>
          <w:rFonts w:ascii="Cambria" w:hAnsi="Cambria"/>
          <w:bCs/>
          <w:lang w:val="fr-FR"/>
        </w:rPr>
        <w:t xml:space="preserve"> (</w:t>
      </w:r>
      <w:r w:rsidR="009C7856" w:rsidRPr="009C7856">
        <w:rPr>
          <w:lang w:val="fr-FR"/>
        </w:rPr>
        <w:t>Ministères de la Justice, de l’Intérieur, de la Défense, la CNDDR - Les Forces Armées d’Haïti- La PNH</w:t>
      </w:r>
      <w:r w:rsidR="009C7856">
        <w:rPr>
          <w:lang w:val="fr-FR"/>
        </w:rPr>
        <w:t>) qui se réunisse deux fois par semaine. Ce dernier i</w:t>
      </w:r>
      <w:r>
        <w:rPr>
          <w:rFonts w:ascii="Cambria" w:hAnsi="Cambria"/>
          <w:bCs/>
          <w:lang w:val="fr-FR"/>
        </w:rPr>
        <w:t>nteragi</w:t>
      </w:r>
      <w:r w:rsidR="009C7856">
        <w:rPr>
          <w:rFonts w:ascii="Cambria" w:hAnsi="Cambria"/>
          <w:bCs/>
          <w:lang w:val="fr-FR"/>
        </w:rPr>
        <w:t xml:space="preserve">t </w:t>
      </w:r>
      <w:r>
        <w:rPr>
          <w:rFonts w:ascii="Cambria" w:hAnsi="Cambria"/>
          <w:bCs/>
          <w:lang w:val="fr-FR"/>
        </w:rPr>
        <w:t xml:space="preserve">avec les autres institutions en cas de besoins (Consultations et recherche d’informations). </w:t>
      </w:r>
      <w:r w:rsidR="009C7856" w:rsidRPr="001D09AE">
        <w:rPr>
          <w:lang w:val="fr-FR"/>
        </w:rPr>
        <w:t xml:space="preserve">A date l’équipe de travail relative à la révision de l’ébauche de la loi a eu au moins 15 rencontres </w:t>
      </w:r>
      <w:r w:rsidR="009C7856">
        <w:rPr>
          <w:lang w:val="fr-FR"/>
        </w:rPr>
        <w:t xml:space="preserve">et </w:t>
      </w:r>
      <w:r w:rsidR="009C7856" w:rsidRPr="001D09AE">
        <w:rPr>
          <w:lang w:val="fr-FR"/>
        </w:rPr>
        <w:t>est rendue au chapitre VII</w:t>
      </w:r>
      <w:r w:rsidR="009C7856">
        <w:rPr>
          <w:lang w:val="fr-FR"/>
        </w:rPr>
        <w:t xml:space="preserve"> sur </w:t>
      </w:r>
      <w:r w:rsidR="009C7856" w:rsidRPr="001D09AE">
        <w:rPr>
          <w:lang w:val="fr-FR"/>
        </w:rPr>
        <w:t>XVII et à l’article 64</w:t>
      </w:r>
      <w:r w:rsidR="009C7856">
        <w:rPr>
          <w:lang w:val="fr-FR"/>
        </w:rPr>
        <w:t xml:space="preserve"> sur</w:t>
      </w:r>
      <w:r w:rsidR="009C7856" w:rsidRPr="001D09AE">
        <w:rPr>
          <w:lang w:val="fr-FR"/>
        </w:rPr>
        <w:t>187</w:t>
      </w:r>
      <w:r w:rsidR="009C7856">
        <w:rPr>
          <w:lang w:val="fr-FR"/>
        </w:rPr>
        <w:t xml:space="preserve">. </w:t>
      </w:r>
      <w:r w:rsidR="009C7856" w:rsidRPr="009C7856">
        <w:rPr>
          <w:lang w:val="fr-FR"/>
        </w:rPr>
        <w:t>Les membres de la TASK FORCE ont prévu de finaliser les travaux le 3</w:t>
      </w:r>
      <w:r w:rsidR="009C7856">
        <w:rPr>
          <w:lang w:val="fr-FR"/>
        </w:rPr>
        <w:t xml:space="preserve">0 juin </w:t>
      </w:r>
      <w:r w:rsidR="009C7856" w:rsidRPr="009C7856">
        <w:rPr>
          <w:lang w:val="fr-FR"/>
        </w:rPr>
        <w:t>2022</w:t>
      </w:r>
      <w:r w:rsidR="009C7856">
        <w:rPr>
          <w:lang w:val="fr-FR"/>
        </w:rPr>
        <w:t>.</w:t>
      </w:r>
      <w:r w:rsidR="00F8747A">
        <w:rPr>
          <w:lang w:val="fr-FR"/>
        </w:rPr>
        <w:t xml:space="preserve"> Cette loi permettra aux autorités d’avoir les outils légaux nécessaires </w:t>
      </w:r>
      <w:r w:rsidR="00395A35">
        <w:rPr>
          <w:lang w:val="fr-FR"/>
        </w:rPr>
        <w:t>visant à</w:t>
      </w:r>
      <w:r w:rsidR="00F8747A">
        <w:rPr>
          <w:lang w:val="fr-FR"/>
        </w:rPr>
        <w:t xml:space="preserve"> </w:t>
      </w:r>
      <w:r w:rsidR="00395A35">
        <w:rPr>
          <w:rFonts w:ascii="Cambria" w:hAnsi="Cambria"/>
          <w:bCs/>
          <w:lang w:val="fr-FR"/>
        </w:rPr>
        <w:t>limiter l’accès et la circulation des armes et des munitions dans le pays et en établissant</w:t>
      </w:r>
      <w:r w:rsidR="00395A35" w:rsidRPr="00AC60B8">
        <w:rPr>
          <w:rFonts w:ascii="Cambria" w:hAnsi="Cambria"/>
          <w:bCs/>
          <w:lang w:val="fr-FR"/>
        </w:rPr>
        <w:t xml:space="preserve"> </w:t>
      </w:r>
      <w:r w:rsidR="00395A35" w:rsidRPr="0080416A">
        <w:rPr>
          <w:rFonts w:ascii="Cambria" w:hAnsi="Cambria"/>
          <w:bCs/>
          <w:lang w:val="fr-FR"/>
        </w:rPr>
        <w:t>les sanctions contre les contrevenants.</w:t>
      </w:r>
    </w:p>
    <w:p w14:paraId="5CBCEAB6" w14:textId="2E15FDC5" w:rsidR="00675507" w:rsidRPr="009C7856" w:rsidRDefault="00675507" w:rsidP="009C7856">
      <w:pPr>
        <w:tabs>
          <w:tab w:val="right" w:pos="8306"/>
        </w:tabs>
        <w:ind w:left="-720"/>
        <w:jc w:val="both"/>
        <w:rPr>
          <w:b/>
          <w:lang w:val="fr-FR"/>
        </w:rPr>
      </w:pPr>
    </w:p>
    <w:p w14:paraId="56853031" w14:textId="77777777" w:rsidR="00675507" w:rsidRPr="00A11260" w:rsidRDefault="00675507" w:rsidP="00675507">
      <w:pPr>
        <w:ind w:left="-720"/>
        <w:rPr>
          <w:b/>
          <w:lang w:val="fr-FR"/>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9DF2041" w14:textId="78DB0BBD" w:rsidR="00117EE7" w:rsidRPr="008E78E5" w:rsidRDefault="008E78E5" w:rsidP="008E78E5">
      <w:pPr>
        <w:ind w:left="-720"/>
        <w:jc w:val="both"/>
        <w:rPr>
          <w:lang w:val="fr-FR"/>
        </w:rPr>
      </w:pPr>
      <w:r w:rsidRPr="00B13C4E">
        <w:rPr>
          <w:lang w:val="fr-FR"/>
        </w:rPr>
        <w:t xml:space="preserve">La révision de la loi sur les armes à feu constitue un atout important pour traiter équitablement la problématique des hommes et des femmes faisant usage des armes à feu et impliqués dans les groupes armés. </w:t>
      </w:r>
      <w:r>
        <w:rPr>
          <w:lang w:val="fr-FR"/>
        </w:rPr>
        <w:t>En thème d’effet catalytique, UNLIREC qui est l’un des partenaires du PNUD dans la mise en œuvre du résultat 4 a réalisé et présenté à l’ensemble des acteurs impliqués dans la rédaction du cadre légal sur les armes et les munitions une étude titrée : E</w:t>
      </w:r>
      <w:r w:rsidRPr="008E78E5">
        <w:rPr>
          <w:lang w:val="fr-FR"/>
        </w:rPr>
        <w:t>tude juridique sur la violence armée contre les femme</w:t>
      </w:r>
      <w:r>
        <w:rPr>
          <w:lang w:val="fr-FR"/>
        </w:rPr>
        <w:t>s.</w:t>
      </w:r>
    </w:p>
    <w:p w14:paraId="1F076BB6"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356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1867"/>
        <w:gridCol w:w="2880"/>
      </w:tblGrid>
      <w:tr w:rsidR="00117EE7" w:rsidRPr="00E368B3" w14:paraId="7EE4520F" w14:textId="77777777" w:rsidTr="008F01A3">
        <w:trPr>
          <w:tblHeader/>
        </w:trPr>
        <w:tc>
          <w:tcPr>
            <w:tcW w:w="1530" w:type="dxa"/>
          </w:tcPr>
          <w:p w14:paraId="01B511BC" w14:textId="77777777" w:rsidR="00117EE7" w:rsidRPr="005A6420" w:rsidRDefault="00117EE7" w:rsidP="00547D66">
            <w:pPr>
              <w:jc w:val="center"/>
              <w:rPr>
                <w:rFonts w:cs="Tahoma"/>
                <w:b/>
                <w:szCs w:val="20"/>
                <w:lang w:val="fr-FR" w:eastAsia="en-US"/>
              </w:rPr>
            </w:pPr>
          </w:p>
        </w:tc>
        <w:tc>
          <w:tcPr>
            <w:tcW w:w="2070" w:type="dxa"/>
            <w:shd w:val="clear" w:color="auto" w:fill="EEECE1"/>
          </w:tcPr>
          <w:p w14:paraId="1A75FF4A" w14:textId="77777777" w:rsidR="00117EE7" w:rsidRPr="005A6420" w:rsidRDefault="00117EE7" w:rsidP="00547D66">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3BCF70E2" w14:textId="017AF81B" w:rsidR="00117EE7" w:rsidRPr="005A6420" w:rsidRDefault="00117EE7" w:rsidP="00547D66">
            <w:pPr>
              <w:jc w:val="center"/>
              <w:rPr>
                <w:rFonts w:cs="Tahoma"/>
                <w:b/>
                <w:szCs w:val="20"/>
                <w:lang w:val="fr-FR" w:eastAsia="en-US"/>
              </w:rPr>
            </w:pPr>
            <w:r w:rsidRPr="005A6420">
              <w:rPr>
                <w:rFonts w:cs="Tahoma"/>
                <w:b/>
                <w:szCs w:val="20"/>
                <w:lang w:val="fr-FR" w:eastAsia="en-US"/>
              </w:rPr>
              <w:t>Base de donnée</w:t>
            </w:r>
            <w:r w:rsidR="00F162A3">
              <w:rPr>
                <w:rFonts w:cs="Tahoma"/>
                <w:b/>
                <w:szCs w:val="20"/>
                <w:lang w:val="fr-FR" w:eastAsia="en-US"/>
              </w:rPr>
              <w:t>s</w:t>
            </w:r>
          </w:p>
        </w:tc>
        <w:tc>
          <w:tcPr>
            <w:tcW w:w="1620" w:type="dxa"/>
            <w:shd w:val="clear" w:color="auto" w:fill="EEECE1"/>
          </w:tcPr>
          <w:p w14:paraId="202A6505" w14:textId="77777777" w:rsidR="00117EE7" w:rsidRPr="005A6420" w:rsidRDefault="00117EE7" w:rsidP="00547D66">
            <w:pPr>
              <w:jc w:val="center"/>
              <w:rPr>
                <w:rFonts w:cs="Tahoma"/>
                <w:b/>
                <w:szCs w:val="20"/>
                <w:lang w:val="fr-FR" w:eastAsia="en-US"/>
              </w:rPr>
            </w:pPr>
            <w:r w:rsidRPr="005A6420">
              <w:rPr>
                <w:rFonts w:cs="Tahoma"/>
                <w:b/>
                <w:szCs w:val="20"/>
                <w:lang w:val="fr-FR" w:eastAsia="en-US"/>
              </w:rPr>
              <w:t>Cible de fin de projet</w:t>
            </w:r>
          </w:p>
        </w:tc>
        <w:tc>
          <w:tcPr>
            <w:tcW w:w="2070" w:type="dxa"/>
          </w:tcPr>
          <w:p w14:paraId="15723F45" w14:textId="77777777" w:rsidR="00117EE7" w:rsidRPr="005A6420" w:rsidRDefault="00117EE7" w:rsidP="00547D66">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1867" w:type="dxa"/>
          </w:tcPr>
          <w:p w14:paraId="5AF1F45C" w14:textId="77777777" w:rsidR="00117EE7" w:rsidRPr="005A6420" w:rsidRDefault="00117EE7" w:rsidP="00547D66">
            <w:pPr>
              <w:jc w:val="center"/>
              <w:rPr>
                <w:rFonts w:cs="Tahoma"/>
                <w:b/>
                <w:szCs w:val="20"/>
                <w:lang w:val="fr-FR" w:eastAsia="en-US"/>
              </w:rPr>
            </w:pPr>
            <w:r w:rsidRPr="005A6420">
              <w:rPr>
                <w:rFonts w:cs="Tahoma"/>
                <w:b/>
                <w:szCs w:val="20"/>
                <w:lang w:val="fr-FR" w:eastAsia="en-US"/>
              </w:rPr>
              <w:t>Progrès actuel de l’indicateur</w:t>
            </w:r>
          </w:p>
        </w:tc>
        <w:tc>
          <w:tcPr>
            <w:tcW w:w="2880" w:type="dxa"/>
          </w:tcPr>
          <w:p w14:paraId="0F385367" w14:textId="77777777" w:rsidR="00117EE7" w:rsidRPr="005A6420" w:rsidRDefault="00117EE7" w:rsidP="00547D66">
            <w:pPr>
              <w:jc w:val="center"/>
              <w:rPr>
                <w:rFonts w:cs="Tahoma"/>
                <w:b/>
                <w:szCs w:val="20"/>
                <w:lang w:val="fr-FR" w:eastAsia="en-US"/>
              </w:rPr>
            </w:pPr>
            <w:r w:rsidRPr="005A6420">
              <w:rPr>
                <w:rFonts w:cs="Tahoma"/>
                <w:b/>
                <w:szCs w:val="20"/>
                <w:lang w:val="fr-FR" w:eastAsia="en-US"/>
              </w:rPr>
              <w:t>Raisons pour les retards ou changements</w:t>
            </w:r>
          </w:p>
        </w:tc>
      </w:tr>
      <w:tr w:rsidR="008F01A3" w:rsidRPr="00F03A5D" w14:paraId="769BC43A" w14:textId="77777777" w:rsidTr="008F01A3">
        <w:trPr>
          <w:trHeight w:val="548"/>
        </w:trPr>
        <w:tc>
          <w:tcPr>
            <w:tcW w:w="1530" w:type="dxa"/>
            <w:vMerge w:val="restart"/>
          </w:tcPr>
          <w:p w14:paraId="182CF9C5" w14:textId="77777777" w:rsidR="008F01A3" w:rsidRPr="005A6420" w:rsidRDefault="008F01A3" w:rsidP="008F01A3">
            <w:pPr>
              <w:rPr>
                <w:rFonts w:cs="Tahoma"/>
                <w:b/>
                <w:szCs w:val="20"/>
                <w:lang w:val="fr-FR" w:eastAsia="en-US"/>
              </w:rPr>
            </w:pPr>
            <w:r w:rsidRPr="005A6420">
              <w:rPr>
                <w:rFonts w:cs="Tahoma"/>
                <w:b/>
                <w:szCs w:val="20"/>
                <w:lang w:val="fr-FR" w:eastAsia="en-US"/>
              </w:rPr>
              <w:t>Résultat 1</w:t>
            </w:r>
          </w:p>
          <w:p w14:paraId="4D64B9E7" w14:textId="77777777" w:rsidR="008F01A3" w:rsidRPr="00EA6EBF" w:rsidRDefault="008F01A3" w:rsidP="008F01A3">
            <w:pPr>
              <w:jc w:val="both"/>
              <w:rPr>
                <w:sz w:val="22"/>
                <w:szCs w:val="22"/>
                <w:lang w:val="fr-FR"/>
              </w:rPr>
            </w:pPr>
            <w:r w:rsidRPr="00EA6EBF">
              <w:rPr>
                <w:sz w:val="22"/>
                <w:szCs w:val="22"/>
                <w:lang w:val="fr-FR"/>
              </w:rPr>
              <w:t>Les institutions responsables du contrôle des armes à feu et des munitions en zone frontalière sont capables de jouer leur rôle de façon plus efficace et mieux coordonnée.</w:t>
            </w:r>
          </w:p>
          <w:p w14:paraId="1076B8D6" w14:textId="71893784" w:rsidR="008F01A3" w:rsidRPr="005A6420" w:rsidRDefault="008F01A3" w:rsidP="008F01A3">
            <w:pPr>
              <w:rPr>
                <w:rFonts w:cs="Tahoma"/>
                <w:b/>
                <w:szCs w:val="20"/>
                <w:lang w:val="fr-FR" w:eastAsia="en-US"/>
              </w:rPr>
            </w:pPr>
          </w:p>
        </w:tc>
        <w:tc>
          <w:tcPr>
            <w:tcW w:w="2070" w:type="dxa"/>
            <w:shd w:val="clear" w:color="auto" w:fill="EEECE1"/>
          </w:tcPr>
          <w:p w14:paraId="7562F6D4" w14:textId="77777777" w:rsidR="008F01A3" w:rsidRPr="0052062E" w:rsidRDefault="008F01A3" w:rsidP="008F01A3">
            <w:pPr>
              <w:jc w:val="both"/>
              <w:rPr>
                <w:rFonts w:ascii="Cambria" w:hAnsi="Cambria"/>
                <w:bCs/>
                <w:sz w:val="20"/>
                <w:szCs w:val="20"/>
                <w:lang w:val="fr-FR" w:eastAsia="en-US"/>
              </w:rPr>
            </w:pPr>
            <w:r w:rsidRPr="0052062E">
              <w:rPr>
                <w:rFonts w:ascii="Cambria" w:hAnsi="Cambria"/>
                <w:bCs/>
                <w:sz w:val="20"/>
                <w:szCs w:val="20"/>
                <w:lang w:val="fr-FR" w:eastAsia="en-US"/>
              </w:rPr>
              <w:t>Indicateur 1.1</w:t>
            </w:r>
          </w:p>
          <w:p w14:paraId="7A51E2C3" w14:textId="70A4241D" w:rsidR="008F01A3" w:rsidRPr="0052062E" w:rsidRDefault="008F01A3" w:rsidP="008F01A3">
            <w:pPr>
              <w:jc w:val="both"/>
              <w:rPr>
                <w:rFonts w:ascii="Cambria" w:hAnsi="Cambria"/>
                <w:bCs/>
                <w:sz w:val="20"/>
                <w:szCs w:val="20"/>
                <w:lang w:val="fr-FR" w:eastAsia="en-US"/>
              </w:rPr>
            </w:pPr>
            <w:r w:rsidRPr="0052062E">
              <w:rPr>
                <w:rFonts w:ascii="Cambria" w:hAnsi="Cambria"/>
                <w:bCs/>
                <w:sz w:val="20"/>
                <w:szCs w:val="20"/>
                <w:lang w:val="fr-FR" w:eastAsia="en-US"/>
              </w:rPr>
              <w:t>Accord de coopération Douane-Immigration-Police (DIP) intégrant la problématique de désarmement signé</w:t>
            </w:r>
          </w:p>
        </w:tc>
        <w:tc>
          <w:tcPr>
            <w:tcW w:w="1530" w:type="dxa"/>
            <w:shd w:val="clear" w:color="auto" w:fill="EEECE1"/>
          </w:tcPr>
          <w:p w14:paraId="32755704" w14:textId="38E4A00C" w:rsidR="008F01A3" w:rsidRPr="0052062E" w:rsidRDefault="008F01A3" w:rsidP="008F01A3">
            <w:pPr>
              <w:rPr>
                <w:rFonts w:ascii="Cambria" w:hAnsi="Cambria"/>
                <w:bCs/>
                <w:sz w:val="20"/>
                <w:szCs w:val="20"/>
                <w:lang w:val="fr-FR" w:eastAsia="en-US"/>
              </w:rPr>
            </w:pPr>
            <w:r w:rsidRPr="0052062E">
              <w:rPr>
                <w:rFonts w:ascii="Cambria" w:hAnsi="Cambria"/>
                <w:bCs/>
                <w:sz w:val="20"/>
                <w:szCs w:val="20"/>
                <w:lang w:val="fr-FR" w:eastAsia="en-US"/>
              </w:rPr>
              <w:t>Accord</w:t>
            </w:r>
          </w:p>
        </w:tc>
        <w:tc>
          <w:tcPr>
            <w:tcW w:w="1620" w:type="dxa"/>
            <w:shd w:val="clear" w:color="auto" w:fill="EEECE1"/>
          </w:tcPr>
          <w:p w14:paraId="5A97F7D0" w14:textId="0D8E72DF" w:rsidR="008F01A3" w:rsidRPr="0052062E" w:rsidRDefault="008F01A3" w:rsidP="008F01A3">
            <w:pPr>
              <w:rPr>
                <w:rFonts w:ascii="Cambria" w:hAnsi="Cambria"/>
                <w:bCs/>
                <w:sz w:val="20"/>
                <w:szCs w:val="20"/>
                <w:lang w:val="fr-FR" w:eastAsia="en-US"/>
              </w:rPr>
            </w:pPr>
            <w:r w:rsidRPr="0052062E">
              <w:rPr>
                <w:rFonts w:ascii="Cambria" w:hAnsi="Cambria"/>
                <w:bCs/>
                <w:sz w:val="20"/>
                <w:szCs w:val="20"/>
                <w:lang w:val="fr-FR" w:eastAsia="en-US"/>
              </w:rPr>
              <w:t>1 accord signé</w:t>
            </w:r>
          </w:p>
        </w:tc>
        <w:tc>
          <w:tcPr>
            <w:tcW w:w="2070" w:type="dxa"/>
          </w:tcPr>
          <w:p w14:paraId="130ACBB8" w14:textId="632AED3E" w:rsidR="008F01A3" w:rsidRPr="0052062E" w:rsidRDefault="00E113E5" w:rsidP="008F01A3">
            <w:pPr>
              <w:rPr>
                <w:rFonts w:ascii="Cambria" w:hAnsi="Cambria"/>
                <w:bCs/>
                <w:sz w:val="20"/>
                <w:szCs w:val="20"/>
                <w:lang w:val="fr-FR" w:eastAsia="en-US"/>
              </w:rPr>
            </w:pPr>
            <w:r>
              <w:rPr>
                <w:rFonts w:ascii="Cambria" w:hAnsi="Cambria"/>
                <w:bCs/>
                <w:sz w:val="20"/>
                <w:szCs w:val="20"/>
                <w:lang w:val="fr-FR" w:eastAsia="en-US"/>
              </w:rPr>
              <w:t xml:space="preserve">Document </w:t>
            </w:r>
            <w:r w:rsidR="00796D8F">
              <w:rPr>
                <w:rFonts w:ascii="Cambria" w:hAnsi="Cambria"/>
                <w:bCs/>
                <w:sz w:val="20"/>
                <w:szCs w:val="20"/>
                <w:lang w:val="fr-FR" w:eastAsia="en-US"/>
              </w:rPr>
              <w:t xml:space="preserve">officiel de l’accord </w:t>
            </w:r>
            <w:r>
              <w:rPr>
                <w:rFonts w:ascii="Cambria" w:hAnsi="Cambria"/>
                <w:bCs/>
                <w:sz w:val="20"/>
                <w:szCs w:val="20"/>
                <w:lang w:val="fr-FR" w:eastAsia="en-US"/>
              </w:rPr>
              <w:t xml:space="preserve">signé par les trois institutions. </w:t>
            </w:r>
          </w:p>
        </w:tc>
        <w:tc>
          <w:tcPr>
            <w:tcW w:w="1867" w:type="dxa"/>
          </w:tcPr>
          <w:p w14:paraId="20360D90" w14:textId="0E6F7DE6" w:rsidR="008F01A3" w:rsidRPr="0052062E" w:rsidRDefault="008F01A3" w:rsidP="008F01A3">
            <w:pPr>
              <w:rPr>
                <w:rFonts w:ascii="Cambria" w:hAnsi="Cambria"/>
                <w:bCs/>
                <w:sz w:val="20"/>
                <w:szCs w:val="20"/>
                <w:lang w:val="fr-FR" w:eastAsia="en-US"/>
              </w:rPr>
            </w:pPr>
            <w:r w:rsidRPr="00FC2894">
              <w:rPr>
                <w:rFonts w:ascii="Cambria" w:hAnsi="Cambria"/>
                <w:bCs/>
                <w:sz w:val="20"/>
                <w:szCs w:val="20"/>
                <w:lang w:val="fr-FR" w:eastAsia="en-US"/>
              </w:rPr>
              <w:t>0</w:t>
            </w:r>
          </w:p>
        </w:tc>
        <w:tc>
          <w:tcPr>
            <w:tcW w:w="2880" w:type="dxa"/>
          </w:tcPr>
          <w:p w14:paraId="54B31E3C" w14:textId="4A45ED95" w:rsidR="008F01A3" w:rsidRPr="0052062E" w:rsidRDefault="00F03A5D" w:rsidP="00F03A5D">
            <w:pPr>
              <w:jc w:val="both"/>
              <w:rPr>
                <w:rFonts w:ascii="Cambria" w:hAnsi="Cambria"/>
                <w:bCs/>
                <w:sz w:val="20"/>
                <w:szCs w:val="20"/>
                <w:lang w:val="fr-FR" w:eastAsia="en-US"/>
              </w:rPr>
            </w:pPr>
            <w:r w:rsidRPr="00F03A5D">
              <w:rPr>
                <w:rFonts w:ascii="Cambria" w:hAnsi="Cambria"/>
                <w:bCs/>
                <w:sz w:val="20"/>
                <w:szCs w:val="20"/>
                <w:lang w:val="fr-FR" w:eastAsia="en-US"/>
              </w:rPr>
              <w:t>L’accord n’a pas été signé en ra</w:t>
            </w:r>
            <w:r>
              <w:rPr>
                <w:rFonts w:ascii="Cambria" w:hAnsi="Cambria"/>
                <w:bCs/>
                <w:sz w:val="20"/>
                <w:szCs w:val="20"/>
                <w:lang w:val="fr-FR" w:eastAsia="en-US"/>
              </w:rPr>
              <w:t>ison des changements politiques,</w:t>
            </w:r>
            <w:r w:rsidRPr="00F03A5D">
              <w:rPr>
                <w:rFonts w:ascii="Cambria" w:hAnsi="Cambria"/>
                <w:bCs/>
                <w:sz w:val="20"/>
                <w:szCs w:val="20"/>
                <w:lang w:val="fr-FR" w:eastAsia="en-US"/>
              </w:rPr>
              <w:t xml:space="preserve"> </w:t>
            </w:r>
            <w:r>
              <w:rPr>
                <w:rFonts w:ascii="Cambria" w:hAnsi="Cambria"/>
                <w:bCs/>
                <w:sz w:val="20"/>
                <w:szCs w:val="20"/>
                <w:lang w:val="fr-FR" w:eastAsia="en-US"/>
              </w:rPr>
              <w:t>l’</w:t>
            </w:r>
            <w:r w:rsidRPr="00F03A5D">
              <w:rPr>
                <w:rFonts w:ascii="Cambria" w:hAnsi="Cambria"/>
                <w:bCs/>
                <w:sz w:val="20"/>
                <w:szCs w:val="20"/>
                <w:lang w:val="fr-FR" w:eastAsia="en-US"/>
              </w:rPr>
              <w:t xml:space="preserve">assassinat du président </w:t>
            </w:r>
            <w:proofErr w:type="spellStart"/>
            <w:r w:rsidRPr="00F03A5D">
              <w:rPr>
                <w:rFonts w:ascii="Cambria" w:hAnsi="Cambria"/>
                <w:bCs/>
                <w:sz w:val="20"/>
                <w:szCs w:val="20"/>
                <w:lang w:val="fr-FR" w:eastAsia="en-US"/>
              </w:rPr>
              <w:t>Jovenel</w:t>
            </w:r>
            <w:proofErr w:type="spellEnd"/>
            <w:r w:rsidRPr="00F03A5D">
              <w:rPr>
                <w:rFonts w:ascii="Cambria" w:hAnsi="Cambria"/>
                <w:bCs/>
                <w:sz w:val="20"/>
                <w:szCs w:val="20"/>
                <w:lang w:val="fr-FR" w:eastAsia="en-US"/>
              </w:rPr>
              <w:t xml:space="preserve"> Moise et</w:t>
            </w:r>
            <w:r>
              <w:rPr>
                <w:rFonts w:ascii="Cambria" w:hAnsi="Cambria"/>
                <w:bCs/>
                <w:sz w:val="20"/>
                <w:szCs w:val="20"/>
                <w:lang w:val="fr-FR" w:eastAsia="en-US"/>
              </w:rPr>
              <w:t xml:space="preserve"> les</w:t>
            </w:r>
            <w:r w:rsidRPr="00F03A5D">
              <w:rPr>
                <w:rFonts w:ascii="Cambria" w:hAnsi="Cambria"/>
                <w:bCs/>
                <w:sz w:val="20"/>
                <w:szCs w:val="20"/>
                <w:lang w:val="fr-FR" w:eastAsia="en-US"/>
              </w:rPr>
              <w:t xml:space="preserve"> </w:t>
            </w:r>
            <w:r>
              <w:rPr>
                <w:rFonts w:ascii="Cambria" w:hAnsi="Cambria"/>
                <w:bCs/>
                <w:sz w:val="20"/>
                <w:szCs w:val="20"/>
                <w:lang w:val="fr-FR" w:eastAsia="en-US"/>
              </w:rPr>
              <w:t xml:space="preserve">troubles </w:t>
            </w:r>
            <w:r w:rsidRPr="00F03A5D">
              <w:rPr>
                <w:rFonts w:ascii="Cambria" w:hAnsi="Cambria"/>
                <w:bCs/>
                <w:sz w:val="20"/>
                <w:szCs w:val="20"/>
                <w:lang w:val="fr-FR" w:eastAsia="en-US"/>
              </w:rPr>
              <w:t>socia</w:t>
            </w:r>
            <w:r>
              <w:rPr>
                <w:rFonts w:ascii="Cambria" w:hAnsi="Cambria"/>
                <w:bCs/>
                <w:sz w:val="20"/>
                <w:szCs w:val="20"/>
                <w:lang w:val="fr-FR" w:eastAsia="en-US"/>
              </w:rPr>
              <w:t>ux</w:t>
            </w:r>
            <w:r w:rsidRPr="00F03A5D">
              <w:rPr>
                <w:rFonts w:ascii="Cambria" w:hAnsi="Cambria"/>
                <w:bCs/>
                <w:sz w:val="20"/>
                <w:szCs w:val="20"/>
                <w:lang w:val="fr-FR" w:eastAsia="en-US"/>
              </w:rPr>
              <w:t xml:space="preserve">. L’équipe du projet continue d’appuyer la signature de l’accord.  </w:t>
            </w:r>
          </w:p>
        </w:tc>
      </w:tr>
      <w:tr w:rsidR="008F01A3" w:rsidRPr="00E368B3" w14:paraId="25B15906" w14:textId="77777777" w:rsidTr="008F01A3">
        <w:trPr>
          <w:trHeight w:val="548"/>
        </w:trPr>
        <w:tc>
          <w:tcPr>
            <w:tcW w:w="1530" w:type="dxa"/>
            <w:vMerge/>
          </w:tcPr>
          <w:p w14:paraId="50C3DC81" w14:textId="77777777" w:rsidR="008F01A3" w:rsidRPr="005A6420" w:rsidRDefault="008F01A3" w:rsidP="008F01A3">
            <w:pPr>
              <w:rPr>
                <w:rFonts w:cs="Tahoma"/>
                <w:b/>
                <w:szCs w:val="20"/>
                <w:lang w:val="fr-FR" w:eastAsia="en-US"/>
              </w:rPr>
            </w:pPr>
          </w:p>
        </w:tc>
        <w:tc>
          <w:tcPr>
            <w:tcW w:w="2070" w:type="dxa"/>
            <w:shd w:val="clear" w:color="auto" w:fill="EEECE1"/>
          </w:tcPr>
          <w:p w14:paraId="7ECC6279" w14:textId="77777777" w:rsidR="008F01A3" w:rsidRPr="0052062E" w:rsidRDefault="008F01A3" w:rsidP="008F01A3">
            <w:pPr>
              <w:jc w:val="both"/>
              <w:rPr>
                <w:rFonts w:ascii="Cambria" w:hAnsi="Cambria"/>
                <w:bCs/>
                <w:sz w:val="20"/>
                <w:szCs w:val="20"/>
                <w:lang w:val="fr-FR" w:eastAsia="en-US"/>
              </w:rPr>
            </w:pPr>
            <w:proofErr w:type="gramStart"/>
            <w:r w:rsidRPr="0052062E">
              <w:rPr>
                <w:rFonts w:ascii="Cambria" w:hAnsi="Cambria"/>
                <w:bCs/>
                <w:sz w:val="20"/>
                <w:szCs w:val="20"/>
                <w:lang w:val="fr-FR" w:eastAsia="en-US"/>
              </w:rPr>
              <w:t>Indicateur  1.2.</w:t>
            </w:r>
            <w:proofErr w:type="gramEnd"/>
          </w:p>
          <w:p w14:paraId="66F9995E" w14:textId="01EAB7E4" w:rsidR="008F01A3" w:rsidRPr="0052062E" w:rsidRDefault="008F01A3" w:rsidP="008F01A3">
            <w:pPr>
              <w:jc w:val="both"/>
              <w:rPr>
                <w:rFonts w:ascii="Cambria" w:hAnsi="Cambria"/>
                <w:bCs/>
                <w:sz w:val="20"/>
                <w:szCs w:val="20"/>
                <w:lang w:val="fr-FR" w:eastAsia="en-US"/>
              </w:rPr>
            </w:pPr>
            <w:r w:rsidRPr="0052062E">
              <w:rPr>
                <w:rFonts w:ascii="Cambria" w:hAnsi="Cambria"/>
                <w:bCs/>
                <w:sz w:val="20"/>
                <w:szCs w:val="20"/>
                <w:lang w:val="fr-FR" w:eastAsia="en-US"/>
              </w:rPr>
              <w:t>Existence d’un curriculum de formation produit pour les institutions</w:t>
            </w:r>
          </w:p>
        </w:tc>
        <w:tc>
          <w:tcPr>
            <w:tcW w:w="1530" w:type="dxa"/>
            <w:shd w:val="clear" w:color="auto" w:fill="EEECE1"/>
          </w:tcPr>
          <w:p w14:paraId="107D9207" w14:textId="6DFD8E9E" w:rsidR="008F01A3" w:rsidRPr="0052062E" w:rsidRDefault="008F01A3" w:rsidP="008F01A3">
            <w:pPr>
              <w:rPr>
                <w:rFonts w:ascii="Cambria" w:hAnsi="Cambria"/>
                <w:bCs/>
                <w:sz w:val="20"/>
                <w:szCs w:val="20"/>
                <w:lang w:val="fr-FR" w:eastAsia="en-US"/>
              </w:rPr>
            </w:pPr>
            <w:r w:rsidRPr="0052062E">
              <w:rPr>
                <w:rFonts w:ascii="Cambria" w:hAnsi="Cambria"/>
                <w:bCs/>
                <w:sz w:val="20"/>
                <w:szCs w:val="20"/>
                <w:lang w:val="fr-FR" w:eastAsia="en-US"/>
              </w:rPr>
              <w:t>Curriculum, photos et liste des participant(e)s aux formations</w:t>
            </w:r>
          </w:p>
        </w:tc>
        <w:tc>
          <w:tcPr>
            <w:tcW w:w="1620" w:type="dxa"/>
            <w:shd w:val="clear" w:color="auto" w:fill="EEECE1"/>
          </w:tcPr>
          <w:p w14:paraId="3C57D914" w14:textId="6336CAA5" w:rsidR="008F01A3" w:rsidRPr="0052062E" w:rsidRDefault="008F01A3" w:rsidP="008F01A3">
            <w:pPr>
              <w:rPr>
                <w:rFonts w:ascii="Cambria" w:hAnsi="Cambria"/>
                <w:bCs/>
                <w:sz w:val="20"/>
                <w:szCs w:val="20"/>
                <w:lang w:val="fr-FR" w:eastAsia="en-US"/>
              </w:rPr>
            </w:pPr>
            <w:r w:rsidRPr="0052062E">
              <w:rPr>
                <w:rFonts w:ascii="Cambria" w:hAnsi="Cambria"/>
                <w:bCs/>
                <w:sz w:val="20"/>
                <w:szCs w:val="20"/>
                <w:lang w:val="fr-FR" w:eastAsia="en-US"/>
              </w:rPr>
              <w:t>1</w:t>
            </w:r>
          </w:p>
        </w:tc>
        <w:tc>
          <w:tcPr>
            <w:tcW w:w="2070" w:type="dxa"/>
          </w:tcPr>
          <w:p w14:paraId="112FB97F" w14:textId="20105D95" w:rsidR="008F01A3" w:rsidRPr="004B0EA3" w:rsidRDefault="004B0EA3" w:rsidP="008F01A3">
            <w:pPr>
              <w:rPr>
                <w:rFonts w:ascii="Cambria" w:hAnsi="Cambria"/>
                <w:bCs/>
                <w:sz w:val="20"/>
                <w:szCs w:val="20"/>
                <w:lang w:val="fr-FR" w:eastAsia="en-US"/>
              </w:rPr>
            </w:pPr>
            <w:r w:rsidRPr="004B0EA3">
              <w:rPr>
                <w:rFonts w:ascii="Cambria" w:hAnsi="Cambria"/>
                <w:bCs/>
                <w:sz w:val="20"/>
                <w:szCs w:val="20"/>
                <w:lang w:val="fr-FR" w:eastAsia="en-US"/>
              </w:rPr>
              <w:t>Document final de la forma</w:t>
            </w:r>
            <w:r w:rsidRPr="00E368B3">
              <w:rPr>
                <w:rFonts w:ascii="Cambria" w:hAnsi="Cambria"/>
                <w:bCs/>
                <w:sz w:val="20"/>
                <w:szCs w:val="20"/>
                <w:lang w:val="fr-FR" w:eastAsia="en-US"/>
              </w:rPr>
              <w:t>tion</w:t>
            </w:r>
          </w:p>
        </w:tc>
        <w:tc>
          <w:tcPr>
            <w:tcW w:w="1867" w:type="dxa"/>
          </w:tcPr>
          <w:p w14:paraId="6EEBFFD2" w14:textId="2EE2EBF5" w:rsidR="008F01A3" w:rsidRPr="0052062E" w:rsidRDefault="00C616AD" w:rsidP="008F01A3">
            <w:pPr>
              <w:rPr>
                <w:rFonts w:ascii="Cambria" w:hAnsi="Cambria"/>
                <w:bCs/>
                <w:sz w:val="20"/>
                <w:szCs w:val="20"/>
                <w:lang w:val="fr-FR" w:eastAsia="en-US"/>
              </w:rPr>
            </w:pPr>
            <w:r>
              <w:rPr>
                <w:rFonts w:ascii="Cambria" w:hAnsi="Cambria"/>
                <w:bCs/>
                <w:sz w:val="20"/>
                <w:szCs w:val="20"/>
                <w:lang w:val="fr-FR" w:eastAsia="en-US"/>
              </w:rPr>
              <w:t>0</w:t>
            </w:r>
          </w:p>
        </w:tc>
        <w:tc>
          <w:tcPr>
            <w:tcW w:w="2880" w:type="dxa"/>
          </w:tcPr>
          <w:p w14:paraId="6EC20E74" w14:textId="42E0AE31" w:rsidR="008F01A3" w:rsidRPr="0052062E" w:rsidRDefault="00986B00" w:rsidP="008F01A3">
            <w:pPr>
              <w:rPr>
                <w:rFonts w:ascii="Cambria" w:hAnsi="Cambria"/>
                <w:bCs/>
                <w:sz w:val="20"/>
                <w:szCs w:val="20"/>
                <w:lang w:val="fr-FR" w:eastAsia="en-US"/>
              </w:rPr>
            </w:pPr>
            <w:r>
              <w:rPr>
                <w:rFonts w:ascii="Cambria" w:hAnsi="Cambria"/>
                <w:bCs/>
                <w:sz w:val="20"/>
                <w:szCs w:val="20"/>
                <w:lang w:val="fr-FR" w:eastAsia="en-US"/>
              </w:rPr>
              <w:t xml:space="preserve">Les formations sur le Manuel de </w:t>
            </w:r>
            <w:r w:rsidR="00C616AD">
              <w:rPr>
                <w:rFonts w:ascii="Cambria" w:hAnsi="Cambria"/>
                <w:bCs/>
                <w:sz w:val="20"/>
                <w:szCs w:val="20"/>
                <w:lang w:val="fr-FR" w:eastAsia="en-US"/>
              </w:rPr>
              <w:t>Procédures</w:t>
            </w:r>
            <w:r>
              <w:rPr>
                <w:rFonts w:ascii="Cambria" w:hAnsi="Cambria"/>
                <w:bCs/>
                <w:sz w:val="20"/>
                <w:szCs w:val="20"/>
                <w:lang w:val="fr-FR" w:eastAsia="en-US"/>
              </w:rPr>
              <w:t xml:space="preserve"> </w:t>
            </w:r>
            <w:r w:rsidR="00C616AD">
              <w:rPr>
                <w:rFonts w:ascii="Cambria" w:hAnsi="Cambria"/>
                <w:bCs/>
                <w:sz w:val="20"/>
                <w:szCs w:val="20"/>
                <w:lang w:val="fr-FR" w:eastAsia="en-US"/>
              </w:rPr>
              <w:t>Opérationnelles</w:t>
            </w:r>
            <w:r>
              <w:rPr>
                <w:rFonts w:ascii="Cambria" w:hAnsi="Cambria"/>
                <w:bCs/>
                <w:sz w:val="20"/>
                <w:szCs w:val="20"/>
                <w:lang w:val="fr-FR" w:eastAsia="en-US"/>
              </w:rPr>
              <w:t xml:space="preserve"> ont eu lieu, malgré </w:t>
            </w:r>
            <w:proofErr w:type="gramStart"/>
            <w:r>
              <w:rPr>
                <w:rFonts w:ascii="Cambria" w:hAnsi="Cambria"/>
                <w:bCs/>
                <w:sz w:val="20"/>
                <w:szCs w:val="20"/>
                <w:lang w:val="fr-FR" w:eastAsia="en-US"/>
              </w:rPr>
              <w:t>les problèmes liées</w:t>
            </w:r>
            <w:proofErr w:type="gramEnd"/>
            <w:r>
              <w:rPr>
                <w:rFonts w:ascii="Cambria" w:hAnsi="Cambria"/>
                <w:bCs/>
                <w:sz w:val="20"/>
                <w:szCs w:val="20"/>
                <w:lang w:val="fr-FR" w:eastAsia="en-US"/>
              </w:rPr>
              <w:t xml:space="preserve"> </w:t>
            </w:r>
            <w:r w:rsidR="00C616AD">
              <w:rPr>
                <w:rFonts w:ascii="Cambria" w:hAnsi="Cambria"/>
                <w:bCs/>
                <w:sz w:val="20"/>
                <w:szCs w:val="20"/>
                <w:lang w:val="fr-FR" w:eastAsia="en-US"/>
              </w:rPr>
              <w:t>à</w:t>
            </w:r>
            <w:r>
              <w:rPr>
                <w:rFonts w:ascii="Cambria" w:hAnsi="Cambria"/>
                <w:bCs/>
                <w:sz w:val="20"/>
                <w:szCs w:val="20"/>
                <w:lang w:val="fr-FR" w:eastAsia="en-US"/>
              </w:rPr>
              <w:t xml:space="preserve"> la signature de l’accord. </w:t>
            </w:r>
            <w:r w:rsidR="00C616AD">
              <w:rPr>
                <w:rFonts w:ascii="Cambria" w:hAnsi="Cambria"/>
                <w:bCs/>
                <w:sz w:val="20"/>
                <w:szCs w:val="20"/>
                <w:lang w:val="fr-FR" w:eastAsia="en-US"/>
              </w:rPr>
              <w:t xml:space="preserve">Néanmoins, un curriculum n’a pas été produit par les institutions, vu </w:t>
            </w:r>
            <w:proofErr w:type="gramStart"/>
            <w:r w:rsidR="00C616AD">
              <w:rPr>
                <w:rFonts w:ascii="Cambria" w:hAnsi="Cambria"/>
                <w:bCs/>
                <w:sz w:val="20"/>
                <w:szCs w:val="20"/>
                <w:lang w:val="fr-FR" w:eastAsia="en-US"/>
              </w:rPr>
              <w:t>la manque</w:t>
            </w:r>
            <w:proofErr w:type="gramEnd"/>
            <w:r w:rsidR="00C616AD">
              <w:rPr>
                <w:rFonts w:ascii="Cambria" w:hAnsi="Cambria"/>
                <w:bCs/>
                <w:sz w:val="20"/>
                <w:szCs w:val="20"/>
                <w:lang w:val="fr-FR" w:eastAsia="en-US"/>
              </w:rPr>
              <w:t xml:space="preserve"> de signature. </w:t>
            </w:r>
          </w:p>
        </w:tc>
      </w:tr>
      <w:tr w:rsidR="008F01A3" w:rsidRPr="00E368B3" w14:paraId="09C7C5EE" w14:textId="77777777" w:rsidTr="008F01A3">
        <w:trPr>
          <w:trHeight w:val="548"/>
        </w:trPr>
        <w:tc>
          <w:tcPr>
            <w:tcW w:w="1530" w:type="dxa"/>
            <w:vMerge/>
          </w:tcPr>
          <w:p w14:paraId="1FB10FC7" w14:textId="77777777" w:rsidR="008F01A3" w:rsidRPr="005A6420" w:rsidRDefault="008F01A3" w:rsidP="008F01A3">
            <w:pPr>
              <w:rPr>
                <w:rFonts w:cs="Tahoma"/>
                <w:szCs w:val="20"/>
                <w:lang w:val="fr-FR" w:eastAsia="en-US"/>
              </w:rPr>
            </w:pPr>
          </w:p>
        </w:tc>
        <w:tc>
          <w:tcPr>
            <w:tcW w:w="2070" w:type="dxa"/>
            <w:shd w:val="clear" w:color="auto" w:fill="EEECE1"/>
          </w:tcPr>
          <w:p w14:paraId="45FBBA0B" w14:textId="77777777" w:rsidR="008F01A3" w:rsidRPr="0052062E" w:rsidRDefault="008F01A3" w:rsidP="008F01A3">
            <w:pPr>
              <w:jc w:val="both"/>
              <w:rPr>
                <w:rFonts w:ascii="Cambria" w:hAnsi="Cambria"/>
                <w:bCs/>
                <w:sz w:val="20"/>
                <w:szCs w:val="20"/>
                <w:lang w:val="fr-FR" w:eastAsia="en-US"/>
              </w:rPr>
            </w:pPr>
            <w:r w:rsidRPr="0052062E">
              <w:rPr>
                <w:rFonts w:ascii="Cambria" w:hAnsi="Cambria"/>
                <w:bCs/>
                <w:sz w:val="20"/>
                <w:szCs w:val="20"/>
                <w:lang w:val="fr-FR" w:eastAsia="en-US"/>
              </w:rPr>
              <w:t>Indicateur 1.3.</w:t>
            </w:r>
          </w:p>
          <w:p w14:paraId="14DCCA75" w14:textId="651CFFA0" w:rsidR="008F01A3" w:rsidRPr="0052062E" w:rsidRDefault="008F01A3" w:rsidP="008F01A3">
            <w:pPr>
              <w:jc w:val="both"/>
              <w:rPr>
                <w:rFonts w:ascii="Cambria" w:hAnsi="Cambria"/>
                <w:bCs/>
                <w:sz w:val="20"/>
                <w:szCs w:val="20"/>
                <w:lang w:val="fr-FR" w:eastAsia="en-US"/>
              </w:rPr>
            </w:pPr>
            <w:r w:rsidRPr="0052062E">
              <w:rPr>
                <w:rFonts w:ascii="Cambria" w:hAnsi="Cambria"/>
                <w:bCs/>
                <w:sz w:val="20"/>
                <w:szCs w:val="20"/>
                <w:lang w:val="fr-FR" w:eastAsia="en-US"/>
              </w:rPr>
              <w:t xml:space="preserve">Niveau opérationnel du mécanisme de coordination binational </w:t>
            </w:r>
          </w:p>
        </w:tc>
        <w:tc>
          <w:tcPr>
            <w:tcW w:w="1530" w:type="dxa"/>
            <w:shd w:val="clear" w:color="auto" w:fill="EEECE1"/>
          </w:tcPr>
          <w:p w14:paraId="754F9E80" w14:textId="64973029" w:rsidR="008F01A3" w:rsidRPr="0052062E" w:rsidRDefault="008F01A3" w:rsidP="008F01A3">
            <w:pPr>
              <w:rPr>
                <w:rFonts w:ascii="Cambria" w:hAnsi="Cambria"/>
                <w:bCs/>
                <w:sz w:val="20"/>
                <w:szCs w:val="20"/>
                <w:lang w:val="fr-FR" w:eastAsia="en-US"/>
              </w:rPr>
            </w:pPr>
            <w:r w:rsidRPr="0052062E">
              <w:rPr>
                <w:rFonts w:ascii="Cambria" w:hAnsi="Cambria"/>
                <w:bCs/>
                <w:sz w:val="20"/>
                <w:szCs w:val="20"/>
                <w:lang w:val="fr-FR" w:eastAsia="en-US"/>
              </w:rPr>
              <w:t>Liste de participants, comptes-rendus et photos des réunions binationales</w:t>
            </w:r>
          </w:p>
        </w:tc>
        <w:tc>
          <w:tcPr>
            <w:tcW w:w="1620" w:type="dxa"/>
            <w:shd w:val="clear" w:color="auto" w:fill="EEECE1"/>
          </w:tcPr>
          <w:p w14:paraId="0A8096F4" w14:textId="5282D847" w:rsidR="008F01A3" w:rsidRPr="0052062E" w:rsidRDefault="00170D3A" w:rsidP="008F01A3">
            <w:pPr>
              <w:rPr>
                <w:rFonts w:ascii="Cambria" w:hAnsi="Cambria"/>
                <w:bCs/>
                <w:sz w:val="20"/>
                <w:szCs w:val="20"/>
                <w:lang w:val="fr-FR" w:eastAsia="en-US"/>
              </w:rPr>
            </w:pPr>
            <w:r>
              <w:rPr>
                <w:rFonts w:ascii="Cambria" w:hAnsi="Cambria"/>
                <w:bCs/>
                <w:sz w:val="20"/>
                <w:szCs w:val="20"/>
                <w:lang w:val="fr-FR" w:eastAsia="en-US"/>
              </w:rPr>
              <w:t>4</w:t>
            </w:r>
            <w:r w:rsidR="00533A3C">
              <w:rPr>
                <w:rFonts w:ascii="Cambria" w:hAnsi="Cambria"/>
                <w:bCs/>
                <w:sz w:val="20"/>
                <w:szCs w:val="20"/>
                <w:lang w:val="fr-FR" w:eastAsia="en-US"/>
              </w:rPr>
              <w:t xml:space="preserve">(Complètement </w:t>
            </w:r>
            <w:proofErr w:type="spellStart"/>
            <w:r w:rsidR="00533A3C">
              <w:rPr>
                <w:rFonts w:ascii="Cambria" w:hAnsi="Cambria"/>
                <w:bCs/>
                <w:sz w:val="20"/>
                <w:szCs w:val="20"/>
                <w:lang w:val="fr-FR" w:eastAsia="en-US"/>
              </w:rPr>
              <w:t>operaitonelle</w:t>
            </w:r>
            <w:proofErr w:type="spellEnd"/>
            <w:r w:rsidR="00533A3C">
              <w:rPr>
                <w:rFonts w:ascii="Cambria" w:hAnsi="Cambria"/>
                <w:bCs/>
                <w:sz w:val="20"/>
                <w:szCs w:val="20"/>
                <w:lang w:val="fr-FR" w:eastAsia="en-US"/>
              </w:rPr>
              <w:t>)</w:t>
            </w:r>
          </w:p>
        </w:tc>
        <w:tc>
          <w:tcPr>
            <w:tcW w:w="2070" w:type="dxa"/>
          </w:tcPr>
          <w:p w14:paraId="022BCB43" w14:textId="00AFFBD1" w:rsidR="008F01A3" w:rsidRPr="0052062E" w:rsidRDefault="0015044D" w:rsidP="008F01A3">
            <w:pPr>
              <w:rPr>
                <w:rFonts w:ascii="Cambria" w:hAnsi="Cambria"/>
                <w:bCs/>
                <w:sz w:val="20"/>
                <w:szCs w:val="20"/>
                <w:lang w:val="fr-FR" w:eastAsia="en-US"/>
              </w:rPr>
            </w:pPr>
            <w:r>
              <w:rPr>
                <w:rFonts w:ascii="Cambria" w:hAnsi="Cambria"/>
                <w:bCs/>
                <w:sz w:val="20"/>
                <w:szCs w:val="20"/>
                <w:lang w:val="fr-FR" w:eastAsia="en-US"/>
              </w:rPr>
              <w:t>4</w:t>
            </w:r>
            <w:r w:rsidR="00533A3C">
              <w:rPr>
                <w:rFonts w:ascii="Cambria" w:hAnsi="Cambria"/>
                <w:bCs/>
                <w:sz w:val="20"/>
                <w:szCs w:val="20"/>
                <w:lang w:val="fr-FR" w:eastAsia="en-US"/>
              </w:rPr>
              <w:t xml:space="preserve"> (Complètement opérationnelle)</w:t>
            </w:r>
          </w:p>
        </w:tc>
        <w:tc>
          <w:tcPr>
            <w:tcW w:w="1867" w:type="dxa"/>
          </w:tcPr>
          <w:p w14:paraId="65217ACA" w14:textId="7A5C3ED0" w:rsidR="008F01A3" w:rsidRPr="0052062E" w:rsidRDefault="00170D3A" w:rsidP="008F01A3">
            <w:pPr>
              <w:rPr>
                <w:rFonts w:ascii="Cambria" w:hAnsi="Cambria"/>
                <w:bCs/>
                <w:sz w:val="20"/>
                <w:szCs w:val="20"/>
                <w:lang w:val="fr-FR" w:eastAsia="en-US"/>
              </w:rPr>
            </w:pPr>
            <w:r>
              <w:rPr>
                <w:rFonts w:ascii="Cambria" w:hAnsi="Cambria"/>
                <w:bCs/>
                <w:sz w:val="20"/>
                <w:szCs w:val="20"/>
                <w:lang w:val="fr-FR" w:eastAsia="en-US"/>
              </w:rPr>
              <w:t>4</w:t>
            </w:r>
          </w:p>
        </w:tc>
        <w:tc>
          <w:tcPr>
            <w:tcW w:w="2880" w:type="dxa"/>
          </w:tcPr>
          <w:p w14:paraId="50709317" w14:textId="3FE2B31D" w:rsidR="008F01A3" w:rsidRPr="0052062E" w:rsidRDefault="00F03A5D" w:rsidP="0052062E">
            <w:pPr>
              <w:jc w:val="both"/>
              <w:rPr>
                <w:rFonts w:ascii="Cambria" w:hAnsi="Cambria"/>
                <w:bCs/>
                <w:sz w:val="20"/>
                <w:szCs w:val="20"/>
                <w:lang w:val="fr-FR" w:eastAsia="en-US"/>
              </w:rPr>
            </w:pPr>
            <w:r w:rsidRPr="00F03A5D">
              <w:rPr>
                <w:rFonts w:ascii="Cambria" w:hAnsi="Cambria"/>
                <w:bCs/>
                <w:sz w:val="20"/>
                <w:szCs w:val="20"/>
                <w:lang w:val="fr-FR" w:eastAsia="en-US"/>
              </w:rPr>
              <w:t xml:space="preserve">Malgré les difficultés de déplacement, 16 réunions ont été réalisées depuis le début du projet, six seulement </w:t>
            </w:r>
            <w:r w:rsidR="002A4D15">
              <w:rPr>
                <w:rFonts w:ascii="Cambria" w:hAnsi="Cambria"/>
                <w:bCs/>
                <w:sz w:val="20"/>
                <w:szCs w:val="20"/>
                <w:lang w:val="fr-FR" w:eastAsia="en-US"/>
              </w:rPr>
              <w:t>d</w:t>
            </w:r>
            <w:r w:rsidRPr="00F03A5D">
              <w:rPr>
                <w:rFonts w:ascii="Cambria" w:hAnsi="Cambria"/>
                <w:bCs/>
                <w:sz w:val="20"/>
                <w:szCs w:val="20"/>
                <w:lang w:val="fr-FR" w:eastAsia="en-US"/>
              </w:rPr>
              <w:t>ans les premiers mois du 2022.</w:t>
            </w:r>
            <w:r w:rsidR="002A4D15">
              <w:rPr>
                <w:rFonts w:ascii="Cambria" w:hAnsi="Cambria"/>
                <w:bCs/>
                <w:sz w:val="20"/>
                <w:szCs w:val="20"/>
                <w:lang w:val="fr-FR" w:eastAsia="en-US"/>
              </w:rPr>
              <w:t xml:space="preserve"> Des termes de références ont été approuvés pour le point de Ouanaminthe/</w:t>
            </w:r>
            <w:proofErr w:type="spellStart"/>
            <w:r w:rsidR="002A4D15">
              <w:rPr>
                <w:rFonts w:ascii="Cambria" w:hAnsi="Cambria"/>
                <w:bCs/>
                <w:sz w:val="20"/>
                <w:szCs w:val="20"/>
                <w:lang w:val="fr-FR" w:eastAsia="en-US"/>
              </w:rPr>
              <w:t>Dajabon</w:t>
            </w:r>
            <w:proofErr w:type="spellEnd"/>
            <w:r w:rsidR="002A4D15">
              <w:rPr>
                <w:rFonts w:ascii="Cambria" w:hAnsi="Cambria"/>
                <w:bCs/>
                <w:sz w:val="20"/>
                <w:szCs w:val="20"/>
                <w:lang w:val="fr-FR" w:eastAsia="en-US"/>
              </w:rPr>
              <w:t xml:space="preserve">. </w:t>
            </w:r>
          </w:p>
        </w:tc>
      </w:tr>
      <w:tr w:rsidR="00747601" w:rsidRPr="00E368B3" w14:paraId="71C7AE6E" w14:textId="77777777" w:rsidTr="008F01A3">
        <w:trPr>
          <w:trHeight w:val="422"/>
        </w:trPr>
        <w:tc>
          <w:tcPr>
            <w:tcW w:w="1530" w:type="dxa"/>
            <w:vMerge w:val="restart"/>
          </w:tcPr>
          <w:p w14:paraId="70D7A28E" w14:textId="77777777" w:rsidR="00747601" w:rsidRPr="005A6420" w:rsidRDefault="00747601" w:rsidP="00747601">
            <w:pPr>
              <w:rPr>
                <w:rFonts w:cs="Tahoma"/>
                <w:b/>
                <w:szCs w:val="20"/>
                <w:lang w:val="fr-FR" w:eastAsia="en-US"/>
              </w:rPr>
            </w:pPr>
            <w:r w:rsidRPr="005A6420">
              <w:rPr>
                <w:rFonts w:cs="Tahoma"/>
                <w:b/>
                <w:szCs w:val="20"/>
                <w:lang w:val="fr-FR" w:eastAsia="en-US"/>
              </w:rPr>
              <w:t>Résultat 2</w:t>
            </w:r>
          </w:p>
          <w:p w14:paraId="54B714BF" w14:textId="77777777" w:rsidR="00747601" w:rsidRPr="00FC2894" w:rsidRDefault="00747601" w:rsidP="00747601">
            <w:pPr>
              <w:rPr>
                <w:rFonts w:ascii="Cambria" w:hAnsi="Cambria"/>
                <w:b/>
                <w:sz w:val="20"/>
                <w:szCs w:val="20"/>
                <w:lang w:val="fr-FR" w:eastAsia="en-US"/>
              </w:rPr>
            </w:pPr>
            <w:r w:rsidRPr="00FC2894">
              <w:rPr>
                <w:rFonts w:ascii="Cambria" w:hAnsi="Cambria"/>
                <w:b/>
                <w:sz w:val="20"/>
                <w:szCs w:val="20"/>
                <w:lang w:val="fr-FR" w:eastAsia="en-US"/>
              </w:rPr>
              <w:t>Résultat 2</w:t>
            </w:r>
          </w:p>
          <w:p w14:paraId="1B841354" w14:textId="0EA3C6D2" w:rsidR="00747601" w:rsidRPr="005A6420" w:rsidRDefault="00747601" w:rsidP="00747601">
            <w:pPr>
              <w:rPr>
                <w:rFonts w:cs="Tahoma"/>
                <w:b/>
                <w:szCs w:val="20"/>
                <w:lang w:val="fr-FR" w:eastAsia="en-US"/>
              </w:rPr>
            </w:pPr>
            <w:r w:rsidRPr="00FC2894">
              <w:rPr>
                <w:rFonts w:ascii="Cambria" w:hAnsi="Cambria"/>
                <w:b/>
                <w:sz w:val="20"/>
                <w:szCs w:val="20"/>
                <w:lang w:val="fr-FR" w:eastAsia="en-US"/>
              </w:rPr>
              <w:t xml:space="preserve">Les capacités de la PNH à </w:t>
            </w:r>
            <w:r w:rsidRPr="00FC2894">
              <w:rPr>
                <w:rFonts w:ascii="Cambria" w:hAnsi="Cambria"/>
                <w:b/>
                <w:sz w:val="20"/>
                <w:szCs w:val="20"/>
                <w:lang w:val="fr-FR" w:eastAsia="en-US"/>
              </w:rPr>
              <w:lastRenderedPageBreak/>
              <w:t>contrôler les armes illégales et à enregistrer/régulariser les armes illégales en circulation sont accrues, en étroite coordination avec la CNDDR</w:t>
            </w:r>
          </w:p>
          <w:p w14:paraId="34E64D2A" w14:textId="77777777" w:rsidR="00747601" w:rsidRPr="005A6420" w:rsidRDefault="00747601" w:rsidP="00747601">
            <w:pPr>
              <w:rPr>
                <w:rFonts w:cs="Tahoma"/>
                <w:b/>
                <w:szCs w:val="20"/>
                <w:lang w:val="fr-FR" w:eastAsia="en-US"/>
              </w:rPr>
            </w:pPr>
          </w:p>
        </w:tc>
        <w:tc>
          <w:tcPr>
            <w:tcW w:w="2070" w:type="dxa"/>
            <w:shd w:val="clear" w:color="auto" w:fill="EEECE1"/>
          </w:tcPr>
          <w:p w14:paraId="6115261E" w14:textId="77777777" w:rsidR="00747601" w:rsidRPr="001D3F26" w:rsidRDefault="00747601" w:rsidP="00747601">
            <w:pPr>
              <w:rPr>
                <w:rFonts w:ascii="Cambria" w:hAnsi="Cambria"/>
                <w:bCs/>
                <w:sz w:val="20"/>
                <w:szCs w:val="20"/>
                <w:lang w:val="fr-FR" w:eastAsia="en-US"/>
              </w:rPr>
            </w:pPr>
            <w:r w:rsidRPr="001D3F26">
              <w:rPr>
                <w:rFonts w:ascii="Cambria" w:hAnsi="Cambria"/>
                <w:bCs/>
                <w:sz w:val="20"/>
                <w:szCs w:val="20"/>
                <w:lang w:val="fr-FR" w:eastAsia="en-US"/>
              </w:rPr>
              <w:lastRenderedPageBreak/>
              <w:t>Indicateur 2.1</w:t>
            </w:r>
          </w:p>
          <w:p w14:paraId="4BAA1131" w14:textId="0364471C" w:rsidR="00747601" w:rsidRPr="0052062E" w:rsidRDefault="00747601" w:rsidP="00747601">
            <w:pPr>
              <w:jc w:val="both"/>
              <w:rPr>
                <w:rFonts w:ascii="Cambria" w:hAnsi="Cambria"/>
                <w:bCs/>
                <w:sz w:val="20"/>
                <w:szCs w:val="20"/>
                <w:lang w:val="fr-FR" w:eastAsia="en-US"/>
              </w:rPr>
            </w:pPr>
            <w:r w:rsidRPr="001D3F26">
              <w:rPr>
                <w:rFonts w:ascii="Cambria" w:hAnsi="Cambria"/>
                <w:bCs/>
                <w:sz w:val="20"/>
                <w:szCs w:val="20"/>
                <w:lang w:val="fr-FR" w:eastAsia="en-US"/>
              </w:rPr>
              <w:t>Nombre de sites de stockage des armes mis en place dans des stations de police</w:t>
            </w:r>
          </w:p>
        </w:tc>
        <w:tc>
          <w:tcPr>
            <w:tcW w:w="1530" w:type="dxa"/>
            <w:shd w:val="clear" w:color="auto" w:fill="EEECE1"/>
          </w:tcPr>
          <w:p w14:paraId="56626CCD" w14:textId="461CB9F3" w:rsidR="00747601" w:rsidRPr="0052062E" w:rsidRDefault="00747601" w:rsidP="00747601">
            <w:pPr>
              <w:rPr>
                <w:rFonts w:ascii="Cambria" w:hAnsi="Cambria"/>
                <w:bCs/>
                <w:sz w:val="20"/>
                <w:szCs w:val="20"/>
                <w:lang w:val="fr-FR" w:eastAsia="en-US"/>
              </w:rPr>
            </w:pPr>
            <w:r w:rsidRPr="00044E7D">
              <w:rPr>
                <w:rFonts w:ascii="Cambria" w:hAnsi="Cambria"/>
                <w:bCs/>
                <w:sz w:val="20"/>
                <w:szCs w:val="20"/>
                <w:lang w:val="fr-FR" w:eastAsia="en-US"/>
              </w:rPr>
              <w:t>Existence d’un très faible niveau</w:t>
            </w:r>
          </w:p>
        </w:tc>
        <w:tc>
          <w:tcPr>
            <w:tcW w:w="1620" w:type="dxa"/>
            <w:shd w:val="clear" w:color="auto" w:fill="EEECE1"/>
          </w:tcPr>
          <w:p w14:paraId="18F4E9D0" w14:textId="2730B6C3" w:rsidR="00747601" w:rsidRPr="0052062E" w:rsidRDefault="00747601" w:rsidP="00747601">
            <w:pPr>
              <w:rPr>
                <w:rFonts w:ascii="Cambria" w:hAnsi="Cambria"/>
                <w:bCs/>
                <w:sz w:val="20"/>
                <w:szCs w:val="20"/>
                <w:lang w:val="fr-FR" w:eastAsia="en-US"/>
              </w:rPr>
            </w:pPr>
            <w:r w:rsidRPr="001D3F26">
              <w:rPr>
                <w:rFonts w:ascii="Cambria" w:hAnsi="Cambria"/>
                <w:bCs/>
                <w:sz w:val="20"/>
                <w:szCs w:val="20"/>
                <w:lang w:val="fr-FR" w:eastAsia="en-US"/>
              </w:rPr>
              <w:t>6</w:t>
            </w:r>
          </w:p>
        </w:tc>
        <w:tc>
          <w:tcPr>
            <w:tcW w:w="2070" w:type="dxa"/>
          </w:tcPr>
          <w:p w14:paraId="06BA9547" w14:textId="39A7DAB4" w:rsidR="00747601" w:rsidRPr="0052062E" w:rsidRDefault="00747601" w:rsidP="00747601">
            <w:pPr>
              <w:rPr>
                <w:rFonts w:ascii="Cambria" w:hAnsi="Cambria"/>
                <w:bCs/>
                <w:sz w:val="20"/>
                <w:szCs w:val="20"/>
                <w:lang w:val="fr-FR" w:eastAsia="en-US"/>
              </w:rPr>
            </w:pPr>
            <w:r w:rsidRPr="001D3F26">
              <w:rPr>
                <w:rFonts w:ascii="Cambria" w:hAnsi="Cambria"/>
                <w:bCs/>
                <w:sz w:val="20"/>
                <w:szCs w:val="20"/>
                <w:lang w:val="fr-FR" w:eastAsia="en-US"/>
              </w:rPr>
              <w:t>Achat des équipements en cours pour la mise en place des sites</w:t>
            </w:r>
          </w:p>
        </w:tc>
        <w:tc>
          <w:tcPr>
            <w:tcW w:w="1867" w:type="dxa"/>
          </w:tcPr>
          <w:p w14:paraId="3EFD678F" w14:textId="1B1CB34A" w:rsidR="00747601" w:rsidRPr="0052062E" w:rsidRDefault="0052062E" w:rsidP="00747601">
            <w:pPr>
              <w:rPr>
                <w:rFonts w:ascii="Cambria" w:hAnsi="Cambria"/>
                <w:bCs/>
                <w:sz w:val="20"/>
                <w:szCs w:val="20"/>
                <w:lang w:val="fr-FR" w:eastAsia="en-US"/>
              </w:rPr>
            </w:pPr>
            <w:r>
              <w:rPr>
                <w:rFonts w:ascii="Cambria" w:hAnsi="Cambria"/>
                <w:bCs/>
                <w:sz w:val="20"/>
                <w:szCs w:val="20"/>
                <w:lang w:val="fr-FR" w:eastAsia="en-US"/>
              </w:rPr>
              <w:t>1</w:t>
            </w:r>
            <w:r w:rsidR="00747601" w:rsidRPr="001D3F26">
              <w:rPr>
                <w:rFonts w:ascii="Cambria" w:hAnsi="Cambria"/>
                <w:bCs/>
                <w:sz w:val="20"/>
                <w:szCs w:val="20"/>
                <w:lang w:val="fr-FR" w:eastAsia="en-US"/>
              </w:rPr>
              <w:t>0</w:t>
            </w:r>
          </w:p>
        </w:tc>
        <w:tc>
          <w:tcPr>
            <w:tcW w:w="2880" w:type="dxa"/>
          </w:tcPr>
          <w:p w14:paraId="1A7ABD95" w14:textId="10CF72FC" w:rsidR="00747601" w:rsidRPr="0052062E" w:rsidRDefault="0052062E" w:rsidP="00747601">
            <w:pPr>
              <w:rPr>
                <w:rFonts w:ascii="Cambria" w:hAnsi="Cambria"/>
                <w:bCs/>
                <w:sz w:val="20"/>
                <w:szCs w:val="20"/>
                <w:lang w:val="fr-FR" w:eastAsia="en-US"/>
              </w:rPr>
            </w:pPr>
            <w:r>
              <w:rPr>
                <w:rFonts w:ascii="Cambria" w:hAnsi="Cambria"/>
                <w:bCs/>
                <w:sz w:val="20"/>
                <w:szCs w:val="20"/>
                <w:lang w:val="fr-FR" w:eastAsia="en-US"/>
              </w:rPr>
              <w:t>Le nombre de sites de stockage a été augmenté sur la base des priorités exprimées par les autorités policières.</w:t>
            </w:r>
          </w:p>
        </w:tc>
      </w:tr>
      <w:tr w:rsidR="00747601" w:rsidRPr="00E368B3" w14:paraId="4B35361A" w14:textId="77777777" w:rsidTr="008F01A3">
        <w:trPr>
          <w:trHeight w:val="422"/>
        </w:trPr>
        <w:tc>
          <w:tcPr>
            <w:tcW w:w="1530" w:type="dxa"/>
            <w:vMerge/>
          </w:tcPr>
          <w:p w14:paraId="19EB137F" w14:textId="77777777" w:rsidR="00747601" w:rsidRPr="005A6420" w:rsidRDefault="00747601" w:rsidP="00747601">
            <w:pPr>
              <w:rPr>
                <w:rFonts w:cs="Tahoma"/>
                <w:b/>
                <w:szCs w:val="20"/>
                <w:lang w:val="fr-FR" w:eastAsia="en-US"/>
              </w:rPr>
            </w:pPr>
          </w:p>
        </w:tc>
        <w:tc>
          <w:tcPr>
            <w:tcW w:w="2070" w:type="dxa"/>
            <w:shd w:val="clear" w:color="auto" w:fill="EEECE1"/>
          </w:tcPr>
          <w:p w14:paraId="1EE6310A" w14:textId="77777777" w:rsidR="00747601" w:rsidRPr="001D3F26" w:rsidRDefault="00747601" w:rsidP="00747601">
            <w:pPr>
              <w:rPr>
                <w:rFonts w:ascii="Cambria" w:hAnsi="Cambria"/>
                <w:bCs/>
                <w:sz w:val="20"/>
                <w:szCs w:val="20"/>
                <w:lang w:val="fr-FR" w:eastAsia="en-US"/>
              </w:rPr>
            </w:pPr>
            <w:r w:rsidRPr="001D3F26">
              <w:rPr>
                <w:rFonts w:ascii="Cambria" w:hAnsi="Cambria"/>
                <w:bCs/>
                <w:sz w:val="20"/>
                <w:szCs w:val="20"/>
                <w:lang w:val="fr-FR" w:eastAsia="en-US"/>
              </w:rPr>
              <w:t>Indicateur 2.2 :</w:t>
            </w:r>
          </w:p>
          <w:p w14:paraId="6A57A0E3" w14:textId="7FF3FCE2" w:rsidR="00747601" w:rsidRPr="005A6420" w:rsidRDefault="00747601" w:rsidP="00747601">
            <w:pPr>
              <w:jc w:val="both"/>
              <w:rPr>
                <w:rFonts w:cs="Tahoma"/>
                <w:szCs w:val="20"/>
                <w:lang w:val="fr-FR" w:eastAsia="en-US"/>
              </w:rPr>
            </w:pPr>
            <w:r w:rsidRPr="004F7584">
              <w:rPr>
                <w:rFonts w:ascii="Cambria" w:hAnsi="Cambria"/>
                <w:bCs/>
                <w:sz w:val="20"/>
                <w:szCs w:val="20"/>
                <w:lang w:val="fr-FR" w:eastAsia="en-US"/>
              </w:rPr>
              <w:t>Nombre d’agents de la PNH formés sur le contrôle des armes et des munitions</w:t>
            </w:r>
          </w:p>
        </w:tc>
        <w:tc>
          <w:tcPr>
            <w:tcW w:w="1530" w:type="dxa"/>
            <w:shd w:val="clear" w:color="auto" w:fill="EEECE1"/>
          </w:tcPr>
          <w:p w14:paraId="3EC415AF" w14:textId="57168301" w:rsidR="00747601" w:rsidRPr="005A6420" w:rsidRDefault="00747601" w:rsidP="00747601">
            <w:pPr>
              <w:rPr>
                <w:b/>
                <w:sz w:val="22"/>
                <w:szCs w:val="22"/>
                <w:lang w:val="fr-FR" w:eastAsia="en-US"/>
              </w:rPr>
            </w:pPr>
            <w:r w:rsidRPr="00044E7D">
              <w:rPr>
                <w:rFonts w:ascii="Cambria" w:hAnsi="Cambria"/>
                <w:bCs/>
                <w:sz w:val="20"/>
                <w:szCs w:val="20"/>
                <w:lang w:val="fr-FR" w:eastAsia="en-US"/>
              </w:rPr>
              <w:t>Existence d’un très faible niveau</w:t>
            </w:r>
          </w:p>
        </w:tc>
        <w:tc>
          <w:tcPr>
            <w:tcW w:w="1620" w:type="dxa"/>
            <w:shd w:val="clear" w:color="auto" w:fill="EEECE1"/>
          </w:tcPr>
          <w:p w14:paraId="03809FAA" w14:textId="5137581C" w:rsidR="00747601" w:rsidRPr="005A6420" w:rsidRDefault="00747601" w:rsidP="00747601">
            <w:pPr>
              <w:rPr>
                <w:b/>
                <w:sz w:val="22"/>
                <w:szCs w:val="22"/>
                <w:lang w:val="fr-FR" w:eastAsia="en-US"/>
              </w:rPr>
            </w:pPr>
            <w:r w:rsidRPr="001D3F26">
              <w:rPr>
                <w:rFonts w:ascii="Cambria" w:hAnsi="Cambria"/>
                <w:bCs/>
                <w:sz w:val="20"/>
                <w:szCs w:val="20"/>
                <w:lang w:val="fr-FR" w:eastAsia="en-US"/>
              </w:rPr>
              <w:t>180</w:t>
            </w:r>
          </w:p>
        </w:tc>
        <w:tc>
          <w:tcPr>
            <w:tcW w:w="2070" w:type="dxa"/>
          </w:tcPr>
          <w:p w14:paraId="7879DC00" w14:textId="77777777" w:rsidR="00747601" w:rsidRPr="005A6420" w:rsidRDefault="00747601" w:rsidP="00747601">
            <w:pPr>
              <w:rPr>
                <w:b/>
                <w:sz w:val="22"/>
                <w:szCs w:val="22"/>
                <w:lang w:val="fr-FR" w:eastAsia="en-US"/>
              </w:rPr>
            </w:pPr>
          </w:p>
        </w:tc>
        <w:tc>
          <w:tcPr>
            <w:tcW w:w="1867" w:type="dxa"/>
          </w:tcPr>
          <w:p w14:paraId="75F9E262" w14:textId="533C177E" w:rsidR="00747601" w:rsidRPr="005A6420" w:rsidRDefault="00747601" w:rsidP="00747601">
            <w:pPr>
              <w:rPr>
                <w:b/>
                <w:sz w:val="22"/>
                <w:szCs w:val="22"/>
                <w:lang w:val="fr-FR" w:eastAsia="en-US"/>
              </w:rPr>
            </w:pPr>
            <w:r>
              <w:rPr>
                <w:rFonts w:ascii="Cambria" w:hAnsi="Cambria"/>
                <w:bCs/>
                <w:sz w:val="20"/>
                <w:szCs w:val="20"/>
                <w:lang w:val="fr-FR" w:eastAsia="en-US"/>
              </w:rPr>
              <w:t>25 (</w:t>
            </w:r>
            <w:proofErr w:type="gramStart"/>
            <w:r>
              <w:rPr>
                <w:rFonts w:ascii="Cambria" w:hAnsi="Cambria"/>
                <w:bCs/>
                <w:sz w:val="20"/>
                <w:szCs w:val="20"/>
                <w:lang w:val="fr-FR" w:eastAsia="en-US"/>
              </w:rPr>
              <w:t>F:</w:t>
            </w:r>
            <w:proofErr w:type="gramEnd"/>
            <w:r>
              <w:rPr>
                <w:rFonts w:ascii="Cambria" w:hAnsi="Cambria"/>
                <w:bCs/>
                <w:sz w:val="20"/>
                <w:szCs w:val="20"/>
                <w:lang w:val="fr-FR" w:eastAsia="en-US"/>
              </w:rPr>
              <w:t>2 ; H:23)</w:t>
            </w:r>
          </w:p>
        </w:tc>
        <w:tc>
          <w:tcPr>
            <w:tcW w:w="2880" w:type="dxa"/>
          </w:tcPr>
          <w:p w14:paraId="0E6EC982" w14:textId="76FE4728" w:rsidR="00747601" w:rsidRPr="005A6420" w:rsidRDefault="0052062E" w:rsidP="002B41D8">
            <w:pPr>
              <w:rPr>
                <w:b/>
                <w:sz w:val="22"/>
                <w:szCs w:val="22"/>
                <w:lang w:val="fr-FR" w:eastAsia="en-US"/>
              </w:rPr>
            </w:pPr>
            <w:r>
              <w:rPr>
                <w:rFonts w:ascii="Cambria" w:hAnsi="Cambria"/>
                <w:bCs/>
                <w:sz w:val="20"/>
                <w:szCs w:val="20"/>
                <w:lang w:val="fr-FR" w:eastAsia="en-US"/>
              </w:rPr>
              <w:t xml:space="preserve">Seule la formation de formateur a été réalisée. </w:t>
            </w:r>
            <w:r w:rsidR="00747601">
              <w:rPr>
                <w:rFonts w:ascii="Cambria" w:hAnsi="Cambria"/>
                <w:bCs/>
                <w:sz w:val="20"/>
                <w:szCs w:val="20"/>
                <w:lang w:val="fr-FR" w:eastAsia="en-US"/>
              </w:rPr>
              <w:t xml:space="preserve">Le contexte politique et l’insécurité </w:t>
            </w:r>
            <w:r w:rsidR="002B41D8">
              <w:rPr>
                <w:rFonts w:ascii="Cambria" w:hAnsi="Cambria"/>
                <w:bCs/>
                <w:sz w:val="20"/>
                <w:szCs w:val="20"/>
                <w:lang w:val="fr-FR" w:eastAsia="en-US"/>
              </w:rPr>
              <w:t>a</w:t>
            </w:r>
            <w:r w:rsidR="00747601">
              <w:rPr>
                <w:rFonts w:ascii="Cambria" w:hAnsi="Cambria"/>
                <w:bCs/>
                <w:sz w:val="20"/>
                <w:szCs w:val="20"/>
                <w:lang w:val="fr-FR" w:eastAsia="en-US"/>
              </w:rPr>
              <w:t xml:space="preserve"> retardé le suivi des activités de formation.</w:t>
            </w:r>
          </w:p>
        </w:tc>
      </w:tr>
      <w:tr w:rsidR="00747601" w:rsidRPr="00E368B3" w14:paraId="1D26BBE7" w14:textId="77777777" w:rsidTr="008F01A3">
        <w:trPr>
          <w:trHeight w:val="422"/>
        </w:trPr>
        <w:tc>
          <w:tcPr>
            <w:tcW w:w="1530" w:type="dxa"/>
            <w:vMerge/>
          </w:tcPr>
          <w:p w14:paraId="147B9FBC" w14:textId="77777777" w:rsidR="00747601" w:rsidRPr="005A6420" w:rsidRDefault="00747601" w:rsidP="00747601">
            <w:pPr>
              <w:rPr>
                <w:rFonts w:cs="Tahoma"/>
                <w:szCs w:val="20"/>
                <w:lang w:val="fr-FR" w:eastAsia="en-US"/>
              </w:rPr>
            </w:pPr>
          </w:p>
        </w:tc>
        <w:tc>
          <w:tcPr>
            <w:tcW w:w="2070" w:type="dxa"/>
            <w:shd w:val="clear" w:color="auto" w:fill="EEECE1"/>
          </w:tcPr>
          <w:p w14:paraId="0B8D85A3" w14:textId="77777777" w:rsidR="00747601" w:rsidRPr="004F7584" w:rsidRDefault="00747601" w:rsidP="00747601">
            <w:pPr>
              <w:rPr>
                <w:rFonts w:ascii="Cambria" w:hAnsi="Cambria"/>
                <w:bCs/>
                <w:sz w:val="20"/>
                <w:szCs w:val="20"/>
                <w:lang w:val="fr-FR" w:eastAsia="en-US"/>
              </w:rPr>
            </w:pPr>
            <w:r w:rsidRPr="001D3F26">
              <w:rPr>
                <w:rFonts w:ascii="Cambria" w:hAnsi="Cambria"/>
                <w:bCs/>
                <w:sz w:val="20"/>
                <w:szCs w:val="20"/>
                <w:lang w:val="fr-FR" w:eastAsia="en-US"/>
              </w:rPr>
              <w:t>Indicateur 2.3</w:t>
            </w:r>
            <w:r w:rsidRPr="004F7584">
              <w:rPr>
                <w:rFonts w:ascii="Cambria" w:hAnsi="Cambria"/>
                <w:bCs/>
                <w:sz w:val="20"/>
                <w:szCs w:val="20"/>
                <w:lang w:val="fr-FR" w:eastAsia="en-US"/>
              </w:rPr>
              <w:t> :</w:t>
            </w:r>
          </w:p>
          <w:p w14:paraId="052B909F" w14:textId="4F4C834C" w:rsidR="00747601" w:rsidRPr="005A6420" w:rsidRDefault="00747601" w:rsidP="00747601">
            <w:pPr>
              <w:jc w:val="both"/>
              <w:rPr>
                <w:rFonts w:cs="Tahoma"/>
                <w:szCs w:val="20"/>
                <w:lang w:val="fr-FR" w:eastAsia="en-US"/>
              </w:rPr>
            </w:pPr>
            <w:r w:rsidRPr="004F7584">
              <w:rPr>
                <w:rFonts w:ascii="Cambria" w:hAnsi="Cambria"/>
                <w:bCs/>
                <w:sz w:val="20"/>
                <w:szCs w:val="20"/>
                <w:lang w:val="fr-FR" w:eastAsia="en-US"/>
              </w:rPr>
              <w:t>Nombre de stations de police qui reçoit des équipements informatiques et a un accès à internet</w:t>
            </w:r>
          </w:p>
        </w:tc>
        <w:tc>
          <w:tcPr>
            <w:tcW w:w="1530" w:type="dxa"/>
            <w:shd w:val="clear" w:color="auto" w:fill="EEECE1"/>
          </w:tcPr>
          <w:p w14:paraId="7357DE6E" w14:textId="1D956500" w:rsidR="00747601" w:rsidRPr="005A6420" w:rsidRDefault="00747601" w:rsidP="00747601">
            <w:pPr>
              <w:rPr>
                <w:lang w:val="fr-FR"/>
              </w:rPr>
            </w:pPr>
            <w:r w:rsidRPr="00044E7D">
              <w:rPr>
                <w:rFonts w:ascii="Cambria" w:hAnsi="Cambria"/>
                <w:bCs/>
                <w:sz w:val="20"/>
                <w:szCs w:val="20"/>
                <w:lang w:val="fr-FR" w:eastAsia="en-US"/>
              </w:rPr>
              <w:t>Existence d’un très faible niveau</w:t>
            </w:r>
          </w:p>
        </w:tc>
        <w:tc>
          <w:tcPr>
            <w:tcW w:w="1620" w:type="dxa"/>
            <w:shd w:val="clear" w:color="auto" w:fill="EEECE1"/>
          </w:tcPr>
          <w:p w14:paraId="0CFD046C" w14:textId="2025554C" w:rsidR="00747601" w:rsidRPr="005A6420" w:rsidRDefault="0052062E" w:rsidP="00747601">
            <w:pPr>
              <w:rPr>
                <w:lang w:val="fr-FR"/>
              </w:rPr>
            </w:pPr>
            <w:r>
              <w:rPr>
                <w:rFonts w:ascii="Cambria" w:hAnsi="Cambria"/>
                <w:bCs/>
                <w:sz w:val="20"/>
                <w:szCs w:val="20"/>
                <w:lang w:val="fr-FR" w:eastAsia="en-US"/>
              </w:rPr>
              <w:t>2</w:t>
            </w:r>
          </w:p>
        </w:tc>
        <w:tc>
          <w:tcPr>
            <w:tcW w:w="2070" w:type="dxa"/>
          </w:tcPr>
          <w:p w14:paraId="619F4A6C" w14:textId="03C3D376" w:rsidR="00747601" w:rsidRPr="005A6420" w:rsidRDefault="00747601" w:rsidP="00747601">
            <w:pPr>
              <w:rPr>
                <w:lang w:val="fr-FR"/>
              </w:rPr>
            </w:pPr>
            <w:r w:rsidRPr="004F7584">
              <w:rPr>
                <w:rFonts w:ascii="Cambria" w:hAnsi="Cambria"/>
                <w:bCs/>
                <w:sz w:val="20"/>
                <w:szCs w:val="20"/>
                <w:lang w:val="fr-FR" w:eastAsia="en-US"/>
              </w:rPr>
              <w:t>La sélection des matériels a été faite et le processus d’achat est en cours.</w:t>
            </w:r>
          </w:p>
        </w:tc>
        <w:tc>
          <w:tcPr>
            <w:tcW w:w="1867" w:type="dxa"/>
          </w:tcPr>
          <w:p w14:paraId="36F6EB00" w14:textId="7BA74D7B" w:rsidR="00747601" w:rsidRPr="005A6420" w:rsidRDefault="0052062E" w:rsidP="00747601">
            <w:pPr>
              <w:rPr>
                <w:lang w:val="fr-FR"/>
              </w:rPr>
            </w:pPr>
            <w:r w:rsidRPr="0052062E">
              <w:rPr>
                <w:rFonts w:ascii="Cambria" w:hAnsi="Cambria"/>
                <w:bCs/>
                <w:sz w:val="20"/>
                <w:szCs w:val="20"/>
                <w:lang w:val="fr-FR" w:eastAsia="en-US"/>
              </w:rPr>
              <w:t>0</w:t>
            </w:r>
          </w:p>
        </w:tc>
        <w:tc>
          <w:tcPr>
            <w:tcW w:w="2880" w:type="dxa"/>
          </w:tcPr>
          <w:p w14:paraId="39A229B4" w14:textId="0B7D1AAA" w:rsidR="00747601" w:rsidRPr="005A6420" w:rsidRDefault="00747601" w:rsidP="0052062E">
            <w:pPr>
              <w:rPr>
                <w:lang w:val="fr-FR"/>
              </w:rPr>
            </w:pPr>
            <w:r>
              <w:rPr>
                <w:rFonts w:ascii="Cambria" w:hAnsi="Cambria"/>
                <w:bCs/>
                <w:sz w:val="20"/>
                <w:szCs w:val="20"/>
                <w:lang w:val="fr-FR" w:eastAsia="en-US"/>
              </w:rPr>
              <w:t xml:space="preserve">Les priorités exprimées par le DGPNH sont beaucoup plus d’ordre opérationnelle et sont liées </w:t>
            </w:r>
            <w:r w:rsidR="0052062E">
              <w:rPr>
                <w:rFonts w:ascii="Cambria" w:hAnsi="Cambria"/>
                <w:bCs/>
                <w:sz w:val="20"/>
                <w:szCs w:val="20"/>
                <w:lang w:val="fr-FR" w:eastAsia="en-US"/>
              </w:rPr>
              <w:t>à</w:t>
            </w:r>
            <w:r>
              <w:rPr>
                <w:rFonts w:ascii="Cambria" w:hAnsi="Cambria"/>
                <w:bCs/>
                <w:sz w:val="20"/>
                <w:szCs w:val="20"/>
                <w:lang w:val="fr-FR" w:eastAsia="en-US"/>
              </w:rPr>
              <w:t xml:space="preserve"> certains besoins spécifiques dans le domaine de la gestion des armes et des minutions</w:t>
            </w:r>
            <w:r w:rsidR="0052062E">
              <w:rPr>
                <w:rFonts w:ascii="Cambria" w:hAnsi="Cambria"/>
                <w:bCs/>
                <w:sz w:val="20"/>
                <w:szCs w:val="20"/>
                <w:lang w:val="fr-FR" w:eastAsia="en-US"/>
              </w:rPr>
              <w:t xml:space="preserve"> : </w:t>
            </w:r>
            <w:r>
              <w:rPr>
                <w:rFonts w:ascii="Cambria" w:hAnsi="Cambria"/>
                <w:bCs/>
                <w:sz w:val="20"/>
                <w:szCs w:val="20"/>
                <w:lang w:val="fr-FR" w:eastAsia="en-US"/>
              </w:rPr>
              <w:t>l’armurerie centrale et le SPAF.</w:t>
            </w:r>
          </w:p>
        </w:tc>
      </w:tr>
      <w:tr w:rsidR="0052062E" w:rsidRPr="00E368B3" w14:paraId="77BA454A" w14:textId="77777777" w:rsidTr="008F01A3">
        <w:trPr>
          <w:trHeight w:val="422"/>
        </w:trPr>
        <w:tc>
          <w:tcPr>
            <w:tcW w:w="1530" w:type="dxa"/>
            <w:vMerge/>
          </w:tcPr>
          <w:p w14:paraId="72035AC4" w14:textId="77777777" w:rsidR="0052062E" w:rsidRPr="005A6420" w:rsidRDefault="0052062E" w:rsidP="0052062E">
            <w:pPr>
              <w:rPr>
                <w:rFonts w:cs="Tahoma"/>
                <w:szCs w:val="20"/>
                <w:lang w:val="fr-FR" w:eastAsia="en-US"/>
              </w:rPr>
            </w:pPr>
          </w:p>
        </w:tc>
        <w:tc>
          <w:tcPr>
            <w:tcW w:w="2070" w:type="dxa"/>
            <w:shd w:val="clear" w:color="auto" w:fill="EEECE1"/>
          </w:tcPr>
          <w:p w14:paraId="4555E695"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 xml:space="preserve"> Indicateur 2.4 :</w:t>
            </w:r>
          </w:p>
          <w:p w14:paraId="661946D6" w14:textId="0B7BB228" w:rsidR="0052062E" w:rsidRPr="005A6420" w:rsidRDefault="0052062E" w:rsidP="0052062E">
            <w:pPr>
              <w:jc w:val="both"/>
              <w:rPr>
                <w:rFonts w:cs="Tahoma"/>
                <w:szCs w:val="20"/>
                <w:lang w:val="fr-FR" w:eastAsia="en-US"/>
              </w:rPr>
            </w:pPr>
            <w:r w:rsidRPr="001D3F26">
              <w:rPr>
                <w:rFonts w:ascii="Cambria" w:hAnsi="Cambria"/>
                <w:bCs/>
                <w:sz w:val="20"/>
                <w:szCs w:val="20"/>
                <w:lang w:val="fr-FR" w:eastAsia="en-US"/>
              </w:rPr>
              <w:t>Nombre d’agents de la PNH formés sur l’utilisation du formulaire de signalement des incidents</w:t>
            </w:r>
          </w:p>
        </w:tc>
        <w:tc>
          <w:tcPr>
            <w:tcW w:w="1530" w:type="dxa"/>
            <w:shd w:val="clear" w:color="auto" w:fill="EEECE1"/>
          </w:tcPr>
          <w:p w14:paraId="72BF6CAF" w14:textId="32174EE6" w:rsidR="0052062E" w:rsidRPr="005A6420" w:rsidRDefault="0052062E" w:rsidP="0052062E">
            <w:pPr>
              <w:rPr>
                <w:lang w:val="fr-FR"/>
              </w:rPr>
            </w:pPr>
            <w:r w:rsidRPr="00044E7D">
              <w:rPr>
                <w:rFonts w:ascii="Cambria" w:hAnsi="Cambria"/>
                <w:bCs/>
                <w:sz w:val="20"/>
                <w:szCs w:val="20"/>
                <w:lang w:val="fr-FR" w:eastAsia="en-US"/>
              </w:rPr>
              <w:t>Existence d’un très faible niveau</w:t>
            </w:r>
          </w:p>
        </w:tc>
        <w:tc>
          <w:tcPr>
            <w:tcW w:w="1620" w:type="dxa"/>
            <w:shd w:val="clear" w:color="auto" w:fill="EEECE1"/>
          </w:tcPr>
          <w:p w14:paraId="34B979D3" w14:textId="76977129" w:rsidR="0052062E" w:rsidRPr="005A6420" w:rsidRDefault="0052062E" w:rsidP="0052062E">
            <w:pPr>
              <w:rPr>
                <w:lang w:val="fr-FR"/>
              </w:rPr>
            </w:pPr>
            <w:r w:rsidRPr="001D3F26">
              <w:rPr>
                <w:rFonts w:ascii="Cambria" w:hAnsi="Cambria"/>
                <w:bCs/>
                <w:sz w:val="20"/>
                <w:szCs w:val="20"/>
                <w:lang w:val="fr-FR" w:eastAsia="en-US"/>
              </w:rPr>
              <w:t>180</w:t>
            </w:r>
          </w:p>
        </w:tc>
        <w:tc>
          <w:tcPr>
            <w:tcW w:w="2070" w:type="dxa"/>
          </w:tcPr>
          <w:p w14:paraId="4A835E0E" w14:textId="03CC0FC4" w:rsidR="0052062E" w:rsidRPr="005A6420" w:rsidRDefault="0052062E" w:rsidP="0052062E">
            <w:pPr>
              <w:rPr>
                <w:lang w:val="fr-FR"/>
              </w:rPr>
            </w:pPr>
            <w:r w:rsidRPr="001D3F26">
              <w:rPr>
                <w:rFonts w:ascii="Cambria" w:hAnsi="Cambria"/>
                <w:bCs/>
                <w:sz w:val="20"/>
                <w:szCs w:val="20"/>
                <w:lang w:val="fr-FR" w:eastAsia="en-US"/>
              </w:rPr>
              <w:t>-Processus de traduction du toolkit initié</w:t>
            </w:r>
            <w:r>
              <w:rPr>
                <w:rFonts w:ascii="Cambria" w:hAnsi="Cambria"/>
                <w:bCs/>
                <w:sz w:val="20"/>
                <w:szCs w:val="20"/>
                <w:lang w:val="fr-FR" w:eastAsia="en-US"/>
              </w:rPr>
              <w:t>.</w:t>
            </w:r>
          </w:p>
        </w:tc>
        <w:tc>
          <w:tcPr>
            <w:tcW w:w="1867" w:type="dxa"/>
          </w:tcPr>
          <w:p w14:paraId="2CBC2717" w14:textId="365ABD88" w:rsidR="0052062E" w:rsidRPr="005A6420" w:rsidRDefault="0052062E" w:rsidP="0052062E">
            <w:pPr>
              <w:rPr>
                <w:lang w:val="fr-FR"/>
              </w:rPr>
            </w:pPr>
            <w:r>
              <w:rPr>
                <w:rFonts w:ascii="Cambria" w:hAnsi="Cambria"/>
                <w:bCs/>
                <w:sz w:val="20"/>
                <w:szCs w:val="20"/>
                <w:lang w:val="fr-FR" w:eastAsia="en-US"/>
              </w:rPr>
              <w:t>25 (</w:t>
            </w:r>
            <w:proofErr w:type="gramStart"/>
            <w:r>
              <w:rPr>
                <w:rFonts w:ascii="Cambria" w:hAnsi="Cambria"/>
                <w:bCs/>
                <w:sz w:val="20"/>
                <w:szCs w:val="20"/>
                <w:lang w:val="fr-FR" w:eastAsia="en-US"/>
              </w:rPr>
              <w:t>F:</w:t>
            </w:r>
            <w:proofErr w:type="gramEnd"/>
            <w:r>
              <w:rPr>
                <w:rFonts w:ascii="Cambria" w:hAnsi="Cambria"/>
                <w:bCs/>
                <w:sz w:val="20"/>
                <w:szCs w:val="20"/>
                <w:lang w:val="fr-FR" w:eastAsia="en-US"/>
              </w:rPr>
              <w:t>2 ; H:23)</w:t>
            </w:r>
          </w:p>
        </w:tc>
        <w:tc>
          <w:tcPr>
            <w:tcW w:w="2880" w:type="dxa"/>
          </w:tcPr>
          <w:p w14:paraId="49345554" w14:textId="13FCD1C1" w:rsidR="0052062E" w:rsidRPr="005A6420" w:rsidRDefault="0052062E" w:rsidP="002B41D8">
            <w:pPr>
              <w:rPr>
                <w:lang w:val="fr-FR"/>
              </w:rPr>
            </w:pPr>
            <w:r>
              <w:rPr>
                <w:rFonts w:ascii="Cambria" w:hAnsi="Cambria"/>
                <w:bCs/>
                <w:sz w:val="20"/>
                <w:szCs w:val="20"/>
                <w:lang w:val="fr-FR" w:eastAsia="en-US"/>
              </w:rPr>
              <w:t xml:space="preserve">Seule la formation de formateur a été réalisée. Le contexte politique et l’insécurité </w:t>
            </w:r>
            <w:r w:rsidR="002B41D8">
              <w:rPr>
                <w:rFonts w:ascii="Cambria" w:hAnsi="Cambria"/>
                <w:bCs/>
                <w:sz w:val="20"/>
                <w:szCs w:val="20"/>
                <w:lang w:val="fr-FR" w:eastAsia="en-US"/>
              </w:rPr>
              <w:t>a</w:t>
            </w:r>
            <w:r>
              <w:rPr>
                <w:rFonts w:ascii="Cambria" w:hAnsi="Cambria"/>
                <w:bCs/>
                <w:sz w:val="20"/>
                <w:szCs w:val="20"/>
                <w:lang w:val="fr-FR" w:eastAsia="en-US"/>
              </w:rPr>
              <w:t xml:space="preserve"> retardé le suivi des activités de formation.</w:t>
            </w:r>
          </w:p>
        </w:tc>
      </w:tr>
      <w:tr w:rsidR="0052062E" w:rsidRPr="00E368B3" w14:paraId="7E486A02" w14:textId="77777777" w:rsidTr="008F01A3">
        <w:trPr>
          <w:trHeight w:val="458"/>
        </w:trPr>
        <w:tc>
          <w:tcPr>
            <w:tcW w:w="1530" w:type="dxa"/>
            <w:vMerge w:val="restart"/>
          </w:tcPr>
          <w:p w14:paraId="3845BD90" w14:textId="77777777" w:rsidR="0052062E" w:rsidRPr="005A6420" w:rsidRDefault="0052062E" w:rsidP="0052062E">
            <w:pPr>
              <w:rPr>
                <w:rFonts w:cs="Tahoma"/>
                <w:b/>
                <w:szCs w:val="20"/>
                <w:lang w:val="fr-FR" w:eastAsia="en-US"/>
              </w:rPr>
            </w:pPr>
            <w:r w:rsidRPr="005A6420">
              <w:rPr>
                <w:rFonts w:cs="Tahoma"/>
                <w:b/>
                <w:szCs w:val="20"/>
                <w:lang w:val="fr-FR" w:eastAsia="en-US"/>
              </w:rPr>
              <w:t>Résultat 3</w:t>
            </w:r>
          </w:p>
          <w:p w14:paraId="66860E3C" w14:textId="752A5875" w:rsidR="0052062E" w:rsidRPr="005A6420" w:rsidRDefault="00F162A3" w:rsidP="0052062E">
            <w:pPr>
              <w:rPr>
                <w:rFonts w:cs="Tahoma"/>
                <w:b/>
                <w:szCs w:val="20"/>
                <w:lang w:val="fr-FR" w:eastAsia="en-US"/>
              </w:rPr>
            </w:pPr>
            <w:r w:rsidRPr="00222E07">
              <w:rPr>
                <w:sz w:val="22"/>
                <w:szCs w:val="22"/>
                <w:lang w:val="fr-FR"/>
              </w:rPr>
              <w:t xml:space="preserve">La CNDDR est en mesure de proposer une politique publique nationale sur la gestion de la violence armée et d’assurer la coordination de la stratégie et de l’action </w:t>
            </w:r>
            <w:r w:rsidRPr="00222E07">
              <w:rPr>
                <w:sz w:val="22"/>
                <w:szCs w:val="22"/>
                <w:lang w:val="fr-FR"/>
              </w:rPr>
              <w:lastRenderedPageBreak/>
              <w:t>des institutions pertinentes et la redevabilité de l’État sur la violence</w:t>
            </w:r>
          </w:p>
        </w:tc>
        <w:tc>
          <w:tcPr>
            <w:tcW w:w="2070" w:type="dxa"/>
            <w:shd w:val="clear" w:color="auto" w:fill="EEECE1"/>
          </w:tcPr>
          <w:p w14:paraId="55B74DA8" w14:textId="1E8C9A5F"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lastRenderedPageBreak/>
              <w:t>Indicateur 3.</w:t>
            </w:r>
            <w:r>
              <w:rPr>
                <w:rFonts w:ascii="Cambria" w:hAnsi="Cambria"/>
                <w:bCs/>
                <w:sz w:val="20"/>
                <w:szCs w:val="20"/>
                <w:lang w:val="fr-FR" w:eastAsia="en-US"/>
              </w:rPr>
              <w:t>1</w:t>
            </w:r>
            <w:r w:rsidRPr="001D3F26">
              <w:rPr>
                <w:rFonts w:ascii="Cambria" w:hAnsi="Cambria"/>
                <w:bCs/>
                <w:sz w:val="20"/>
                <w:szCs w:val="20"/>
                <w:lang w:val="fr-FR" w:eastAsia="en-US"/>
              </w:rPr>
              <w:t> :</w:t>
            </w:r>
          </w:p>
          <w:p w14:paraId="742AFBF9"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Mesure dans laquelle la CNDDR contribue à la proposition de politiques publiques nationales et dans la coordination des actions étatiques sur la réduction de la violence armée</w:t>
            </w:r>
          </w:p>
          <w:p w14:paraId="1A924C82" w14:textId="2D23E93B" w:rsidR="0052062E" w:rsidRPr="005A6420" w:rsidRDefault="0052062E" w:rsidP="0052062E">
            <w:pPr>
              <w:jc w:val="both"/>
              <w:rPr>
                <w:rFonts w:cs="Tahoma"/>
                <w:szCs w:val="20"/>
                <w:lang w:val="fr-FR" w:eastAsia="en-US"/>
              </w:rPr>
            </w:pPr>
          </w:p>
        </w:tc>
        <w:tc>
          <w:tcPr>
            <w:tcW w:w="1530" w:type="dxa"/>
            <w:shd w:val="clear" w:color="auto" w:fill="EEECE1"/>
          </w:tcPr>
          <w:p w14:paraId="798DDF3B" w14:textId="269293CD" w:rsidR="0052062E" w:rsidRPr="005A6420" w:rsidRDefault="0052062E" w:rsidP="0052062E">
            <w:pPr>
              <w:rPr>
                <w:lang w:val="fr-FR"/>
              </w:rPr>
            </w:pPr>
            <w:r w:rsidRPr="001D3F26">
              <w:rPr>
                <w:rFonts w:ascii="Cambria" w:hAnsi="Cambria"/>
                <w:bCs/>
                <w:sz w:val="20"/>
                <w:szCs w:val="20"/>
                <w:lang w:val="fr-FR" w:eastAsia="en-US"/>
              </w:rPr>
              <w:t>Faible</w:t>
            </w:r>
          </w:p>
        </w:tc>
        <w:tc>
          <w:tcPr>
            <w:tcW w:w="1620" w:type="dxa"/>
            <w:shd w:val="clear" w:color="auto" w:fill="EEECE1"/>
          </w:tcPr>
          <w:p w14:paraId="1BA3015A"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 xml:space="preserve">Cible : moyenne (conditionnée par les conditions suivantes : l’atelier de travail pour les membres de la CNDDR et leur partenaires1, la fourniture d’équipement à la CNDDR, et l’appui pour le développement d’une stratégie </w:t>
            </w:r>
            <w:r w:rsidRPr="001D3F26">
              <w:rPr>
                <w:rFonts w:ascii="Cambria" w:hAnsi="Cambria"/>
                <w:bCs/>
                <w:sz w:val="20"/>
                <w:szCs w:val="20"/>
                <w:lang w:val="fr-FR" w:eastAsia="en-US"/>
              </w:rPr>
              <w:lastRenderedPageBreak/>
              <w:t>nationale DDR-CVR)</w:t>
            </w:r>
          </w:p>
          <w:p w14:paraId="52B9C9A0" w14:textId="603CE827" w:rsidR="0052062E" w:rsidRPr="005A6420" w:rsidRDefault="0052062E" w:rsidP="0052062E">
            <w:pPr>
              <w:rPr>
                <w:lang w:val="fr-FR"/>
              </w:rPr>
            </w:pPr>
          </w:p>
        </w:tc>
        <w:tc>
          <w:tcPr>
            <w:tcW w:w="2070" w:type="dxa"/>
          </w:tcPr>
          <w:p w14:paraId="23D0DBBB"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lastRenderedPageBreak/>
              <w:t xml:space="preserve">-Mise en place en cours d’un </w:t>
            </w:r>
            <w:proofErr w:type="spellStart"/>
            <w:r w:rsidRPr="001D3F26">
              <w:rPr>
                <w:rFonts w:ascii="Cambria" w:hAnsi="Cambria"/>
                <w:bCs/>
                <w:sz w:val="20"/>
                <w:szCs w:val="20"/>
                <w:lang w:val="fr-FR" w:eastAsia="en-US"/>
              </w:rPr>
              <w:t>Task</w:t>
            </w:r>
            <w:proofErr w:type="spellEnd"/>
            <w:r w:rsidRPr="001D3F26">
              <w:rPr>
                <w:rFonts w:ascii="Cambria" w:hAnsi="Cambria"/>
                <w:bCs/>
                <w:sz w:val="20"/>
                <w:szCs w:val="20"/>
                <w:lang w:val="fr-FR" w:eastAsia="en-US"/>
              </w:rPr>
              <w:t xml:space="preserve"> Force autour des activités de coordinations de la CNDDR</w:t>
            </w:r>
          </w:p>
          <w:p w14:paraId="1E8A6183"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-Fourniture d’équipements d’informatiques et bureautique à la CNDDR</w:t>
            </w:r>
          </w:p>
          <w:p w14:paraId="3C78EE3F" w14:textId="156EE804" w:rsidR="0052062E" w:rsidRPr="00093759" w:rsidRDefault="0052062E" w:rsidP="0052062E">
            <w:pPr>
              <w:rPr>
                <w:rFonts w:ascii="Cambria" w:hAnsi="Cambria"/>
                <w:bCs/>
                <w:sz w:val="20"/>
                <w:szCs w:val="20"/>
                <w:lang w:val="fr-FR" w:eastAsia="en-US"/>
              </w:rPr>
            </w:pPr>
            <w:r w:rsidRPr="001D3F26">
              <w:rPr>
                <w:rFonts w:ascii="Cambria" w:hAnsi="Cambria"/>
                <w:bCs/>
                <w:sz w:val="20"/>
                <w:szCs w:val="20"/>
                <w:lang w:val="fr-FR" w:eastAsia="en-US"/>
              </w:rPr>
              <w:t xml:space="preserve">-Processus de validation et finalisation de la stratégie nationale DDR-CVR à la suite </w:t>
            </w:r>
            <w:r w:rsidRPr="001D3F26">
              <w:rPr>
                <w:rFonts w:ascii="Cambria" w:hAnsi="Cambria"/>
                <w:bCs/>
                <w:sz w:val="20"/>
                <w:szCs w:val="20"/>
                <w:lang w:val="fr-FR" w:eastAsia="en-US"/>
              </w:rPr>
              <w:lastRenderedPageBreak/>
              <w:t xml:space="preserve">d’un atelier de 3 jours sur la </w:t>
            </w:r>
            <w:r w:rsidR="00093759">
              <w:rPr>
                <w:rFonts w:ascii="Cambria" w:hAnsi="Cambria"/>
                <w:bCs/>
                <w:sz w:val="20"/>
                <w:szCs w:val="20"/>
                <w:lang w:val="fr-FR" w:eastAsia="en-US"/>
              </w:rPr>
              <w:t>finalisation de la stratégie.</w:t>
            </w:r>
          </w:p>
        </w:tc>
        <w:tc>
          <w:tcPr>
            <w:tcW w:w="1867" w:type="dxa"/>
          </w:tcPr>
          <w:p w14:paraId="78758008" w14:textId="77777777" w:rsidR="0052062E" w:rsidRDefault="0052062E" w:rsidP="0052062E">
            <w:pPr>
              <w:rPr>
                <w:rFonts w:ascii="Cambria" w:hAnsi="Cambria"/>
                <w:bCs/>
                <w:sz w:val="20"/>
                <w:szCs w:val="20"/>
                <w:lang w:val="fr-FR" w:eastAsia="en-US"/>
              </w:rPr>
            </w:pPr>
            <w:r>
              <w:rPr>
                <w:rFonts w:ascii="Cambria" w:hAnsi="Cambria"/>
                <w:bCs/>
                <w:sz w:val="20"/>
                <w:szCs w:val="20"/>
                <w:lang w:val="fr-FR" w:eastAsia="en-US"/>
              </w:rPr>
              <w:lastRenderedPageBreak/>
              <w:t>O</w:t>
            </w:r>
            <w:r w:rsidRPr="001D3F26">
              <w:rPr>
                <w:rFonts w:ascii="Cambria" w:hAnsi="Cambria"/>
                <w:bCs/>
                <w:sz w:val="20"/>
                <w:szCs w:val="20"/>
                <w:lang w:val="fr-FR" w:eastAsia="en-US"/>
              </w:rPr>
              <w:t xml:space="preserve">utre la mise en place du </w:t>
            </w:r>
            <w:proofErr w:type="spellStart"/>
            <w:r w:rsidRPr="001D3F26">
              <w:rPr>
                <w:rFonts w:ascii="Cambria" w:hAnsi="Cambria"/>
                <w:bCs/>
                <w:sz w:val="20"/>
                <w:szCs w:val="20"/>
                <w:lang w:val="fr-FR" w:eastAsia="en-US"/>
              </w:rPr>
              <w:t>Task</w:t>
            </w:r>
            <w:proofErr w:type="spellEnd"/>
            <w:r w:rsidRPr="001D3F26">
              <w:rPr>
                <w:rFonts w:ascii="Cambria" w:hAnsi="Cambria"/>
                <w:bCs/>
                <w:sz w:val="20"/>
                <w:szCs w:val="20"/>
                <w:lang w:val="fr-FR" w:eastAsia="en-US"/>
              </w:rPr>
              <w:t xml:space="preserve"> Force, il n’existe pas encore d’actions concrètes d’instauration du mécanisme de coordination. </w:t>
            </w:r>
          </w:p>
          <w:p w14:paraId="4EBDA7DE" w14:textId="77777777" w:rsidR="0052062E" w:rsidRDefault="0052062E" w:rsidP="0052062E">
            <w:pPr>
              <w:rPr>
                <w:rFonts w:ascii="Cambria" w:hAnsi="Cambria"/>
                <w:bCs/>
                <w:sz w:val="20"/>
                <w:szCs w:val="20"/>
                <w:lang w:val="fr-FR" w:eastAsia="en-US"/>
              </w:rPr>
            </w:pPr>
          </w:p>
          <w:p w14:paraId="0658A8AD" w14:textId="5CDDDE51" w:rsidR="0052062E" w:rsidRPr="005A6420" w:rsidRDefault="0052062E" w:rsidP="0052062E">
            <w:pPr>
              <w:rPr>
                <w:lang w:val="fr-FR"/>
              </w:rPr>
            </w:pPr>
            <w:r>
              <w:rPr>
                <w:rFonts w:ascii="Cambria" w:hAnsi="Cambria"/>
                <w:bCs/>
                <w:sz w:val="20"/>
                <w:szCs w:val="20"/>
                <w:lang w:val="fr-FR" w:eastAsia="en-US"/>
              </w:rPr>
              <w:t>La première séance de consultation communautaire a démarré le 15 septembre dernier.</w:t>
            </w:r>
          </w:p>
        </w:tc>
        <w:tc>
          <w:tcPr>
            <w:tcW w:w="2880" w:type="dxa"/>
          </w:tcPr>
          <w:p w14:paraId="124BBAC2" w14:textId="46A6AE21" w:rsidR="0052062E" w:rsidRPr="005A6420" w:rsidRDefault="0052062E" w:rsidP="0052062E">
            <w:pPr>
              <w:rPr>
                <w:lang w:val="fr-FR"/>
              </w:rPr>
            </w:pPr>
          </w:p>
        </w:tc>
      </w:tr>
      <w:tr w:rsidR="002B41D8" w:rsidRPr="00E368B3" w14:paraId="6B215250" w14:textId="77777777" w:rsidTr="00F03A5D">
        <w:trPr>
          <w:trHeight w:val="3283"/>
        </w:trPr>
        <w:tc>
          <w:tcPr>
            <w:tcW w:w="1530" w:type="dxa"/>
            <w:vMerge/>
          </w:tcPr>
          <w:p w14:paraId="3B17BE25" w14:textId="77777777" w:rsidR="002B41D8" w:rsidRPr="005A6420" w:rsidRDefault="002B41D8" w:rsidP="0052062E">
            <w:pPr>
              <w:rPr>
                <w:rFonts w:cs="Tahoma"/>
                <w:szCs w:val="20"/>
                <w:lang w:val="fr-FR" w:eastAsia="en-US"/>
              </w:rPr>
            </w:pPr>
          </w:p>
        </w:tc>
        <w:tc>
          <w:tcPr>
            <w:tcW w:w="2070" w:type="dxa"/>
            <w:shd w:val="clear" w:color="auto" w:fill="EEECE1"/>
          </w:tcPr>
          <w:p w14:paraId="4D089161" w14:textId="651D0B20" w:rsidR="002B41D8" w:rsidRPr="001D3F26" w:rsidRDefault="002B41D8" w:rsidP="0052062E">
            <w:pPr>
              <w:rPr>
                <w:rFonts w:ascii="Cambria" w:hAnsi="Cambria"/>
                <w:bCs/>
                <w:sz w:val="20"/>
                <w:szCs w:val="20"/>
                <w:lang w:val="fr-FR" w:eastAsia="en-US"/>
              </w:rPr>
            </w:pPr>
            <w:r w:rsidRPr="001D3F26">
              <w:rPr>
                <w:rFonts w:ascii="Cambria" w:hAnsi="Cambria"/>
                <w:bCs/>
                <w:sz w:val="20"/>
                <w:szCs w:val="20"/>
                <w:lang w:val="fr-FR" w:eastAsia="en-US"/>
              </w:rPr>
              <w:t>Indicateur 3.</w:t>
            </w:r>
            <w:r>
              <w:rPr>
                <w:rFonts w:ascii="Cambria" w:hAnsi="Cambria"/>
                <w:bCs/>
                <w:sz w:val="20"/>
                <w:szCs w:val="20"/>
                <w:lang w:val="fr-FR" w:eastAsia="en-US"/>
              </w:rPr>
              <w:t>2</w:t>
            </w:r>
            <w:r w:rsidRPr="001D3F26">
              <w:rPr>
                <w:rFonts w:ascii="Cambria" w:hAnsi="Cambria"/>
                <w:bCs/>
                <w:sz w:val="20"/>
                <w:szCs w:val="20"/>
                <w:lang w:val="fr-FR" w:eastAsia="en-US"/>
              </w:rPr>
              <w:t> :</w:t>
            </w:r>
          </w:p>
          <w:p w14:paraId="5B43F41A" w14:textId="5CBE208F" w:rsidR="002B41D8" w:rsidRPr="005A6420" w:rsidRDefault="002B41D8" w:rsidP="0052062E">
            <w:pPr>
              <w:jc w:val="both"/>
              <w:rPr>
                <w:rFonts w:cs="Tahoma"/>
                <w:szCs w:val="20"/>
                <w:lang w:val="fr-FR" w:eastAsia="en-US"/>
              </w:rPr>
            </w:pPr>
            <w:r w:rsidRPr="001D3F26">
              <w:rPr>
                <w:rFonts w:ascii="Cambria" w:hAnsi="Cambria"/>
                <w:bCs/>
                <w:sz w:val="20"/>
                <w:szCs w:val="20"/>
                <w:lang w:val="fr-FR" w:eastAsia="en-US"/>
              </w:rPr>
              <w:t>Nombre de personnes (membres de la CNDDR et autres partenaires directs) formés sur la prise en compte du genre, de la jeunesse, les processus consultatifs et les normes et standards internationaux pertinents en matière DDR-CVR</w:t>
            </w:r>
          </w:p>
        </w:tc>
        <w:tc>
          <w:tcPr>
            <w:tcW w:w="1530" w:type="dxa"/>
            <w:shd w:val="clear" w:color="auto" w:fill="EEECE1"/>
          </w:tcPr>
          <w:p w14:paraId="58F872B8" w14:textId="04F4047D" w:rsidR="002B41D8" w:rsidRPr="005A6420" w:rsidRDefault="002B41D8" w:rsidP="0052062E">
            <w:pPr>
              <w:rPr>
                <w:lang w:val="fr-FR"/>
              </w:rPr>
            </w:pPr>
          </w:p>
        </w:tc>
        <w:tc>
          <w:tcPr>
            <w:tcW w:w="1620" w:type="dxa"/>
            <w:shd w:val="clear" w:color="auto" w:fill="EEECE1"/>
          </w:tcPr>
          <w:p w14:paraId="4E55DE8D" w14:textId="2884189A" w:rsidR="002B41D8" w:rsidRPr="005A6420" w:rsidRDefault="002B41D8" w:rsidP="0052062E">
            <w:pPr>
              <w:rPr>
                <w:lang w:val="fr-FR"/>
              </w:rPr>
            </w:pPr>
            <w:r w:rsidRPr="001D3F26">
              <w:rPr>
                <w:rFonts w:ascii="Cambria" w:hAnsi="Cambria"/>
                <w:bCs/>
                <w:sz w:val="20"/>
                <w:szCs w:val="20"/>
                <w:lang w:val="fr-FR" w:eastAsia="en-US"/>
              </w:rPr>
              <w:t>30</w:t>
            </w:r>
          </w:p>
        </w:tc>
        <w:tc>
          <w:tcPr>
            <w:tcW w:w="2070" w:type="dxa"/>
          </w:tcPr>
          <w:p w14:paraId="4F479BAB" w14:textId="069906F1" w:rsidR="002B41D8" w:rsidRPr="005A6420" w:rsidRDefault="002B41D8" w:rsidP="0052062E">
            <w:pPr>
              <w:rPr>
                <w:lang w:val="fr-FR"/>
              </w:rPr>
            </w:pPr>
            <w:r>
              <w:rPr>
                <w:rFonts w:ascii="Cambria" w:hAnsi="Cambria"/>
                <w:bCs/>
                <w:sz w:val="20"/>
                <w:szCs w:val="20"/>
                <w:lang w:val="fr-FR" w:eastAsia="en-US"/>
              </w:rPr>
              <w:t>Un atelier de travail de 3 jours, du 12 au 14 mai 2021, organisé par la CNDDR et la primature impliquant les différentes institutions étatiques sur la finalisation de la SNDDR-RVC.</w:t>
            </w:r>
          </w:p>
        </w:tc>
        <w:tc>
          <w:tcPr>
            <w:tcW w:w="1867" w:type="dxa"/>
          </w:tcPr>
          <w:p w14:paraId="092BBDCD" w14:textId="5BFC05DF" w:rsidR="002B41D8" w:rsidRPr="005A6420" w:rsidRDefault="002B41D8" w:rsidP="0052062E">
            <w:pPr>
              <w:rPr>
                <w:lang w:val="fr-FR"/>
              </w:rPr>
            </w:pPr>
            <w:r>
              <w:rPr>
                <w:rFonts w:ascii="Cambria" w:hAnsi="Cambria"/>
                <w:bCs/>
                <w:sz w:val="20"/>
                <w:szCs w:val="20"/>
                <w:lang w:val="fr-FR" w:eastAsia="en-US"/>
              </w:rPr>
              <w:t>50(</w:t>
            </w:r>
            <w:proofErr w:type="gramStart"/>
            <w:r>
              <w:rPr>
                <w:rFonts w:ascii="Cambria" w:hAnsi="Cambria"/>
                <w:bCs/>
                <w:sz w:val="20"/>
                <w:szCs w:val="20"/>
                <w:lang w:val="fr-FR" w:eastAsia="en-US"/>
              </w:rPr>
              <w:t>F:</w:t>
            </w:r>
            <w:proofErr w:type="gramEnd"/>
            <w:r>
              <w:rPr>
                <w:rFonts w:ascii="Cambria" w:hAnsi="Cambria"/>
                <w:bCs/>
                <w:sz w:val="20"/>
                <w:szCs w:val="20"/>
                <w:lang w:val="fr-FR" w:eastAsia="en-US"/>
              </w:rPr>
              <w:t>22 ; H:28)</w:t>
            </w:r>
          </w:p>
        </w:tc>
        <w:tc>
          <w:tcPr>
            <w:tcW w:w="2880" w:type="dxa"/>
          </w:tcPr>
          <w:p w14:paraId="6E1D0A4E" w14:textId="66209226" w:rsidR="002B41D8" w:rsidRPr="005A6420" w:rsidRDefault="002B41D8" w:rsidP="0052062E">
            <w:pPr>
              <w:rPr>
                <w:lang w:val="fr-FR"/>
              </w:rPr>
            </w:pPr>
            <w:r>
              <w:rPr>
                <w:rFonts w:ascii="Cambria" w:hAnsi="Cambria"/>
                <w:bCs/>
                <w:sz w:val="20"/>
                <w:szCs w:val="20"/>
                <w:lang w:val="fr-FR" w:eastAsia="en-US"/>
              </w:rPr>
              <w:t>Le contexte politique et sécuritaire ne permet pas la réalisation des consultations communautaires sur l’avant-projet de décret pour l’instant</w:t>
            </w:r>
          </w:p>
        </w:tc>
      </w:tr>
      <w:tr w:rsidR="0052062E" w:rsidRPr="00E368B3" w14:paraId="64D3B4C3" w14:textId="77777777" w:rsidTr="008F01A3">
        <w:trPr>
          <w:trHeight w:val="458"/>
        </w:trPr>
        <w:tc>
          <w:tcPr>
            <w:tcW w:w="1530" w:type="dxa"/>
            <w:vMerge w:val="restart"/>
          </w:tcPr>
          <w:p w14:paraId="407842A0" w14:textId="77777777" w:rsidR="0052062E" w:rsidRPr="005A6420" w:rsidRDefault="0052062E" w:rsidP="0052062E">
            <w:pPr>
              <w:rPr>
                <w:rFonts w:cs="Tahoma"/>
                <w:b/>
                <w:szCs w:val="20"/>
                <w:lang w:val="fr-FR" w:eastAsia="en-US"/>
              </w:rPr>
            </w:pPr>
            <w:r w:rsidRPr="005A6420">
              <w:rPr>
                <w:rFonts w:cs="Tahoma"/>
                <w:b/>
                <w:szCs w:val="20"/>
                <w:lang w:val="fr-FR" w:eastAsia="en-US"/>
              </w:rPr>
              <w:t>Résultat 4</w:t>
            </w:r>
          </w:p>
          <w:p w14:paraId="60A0CDF6" w14:textId="02711961" w:rsidR="0052062E" w:rsidRPr="005A6420" w:rsidRDefault="00F162A3" w:rsidP="0052062E">
            <w:pPr>
              <w:rPr>
                <w:rFonts w:cs="Tahoma"/>
                <w:b/>
                <w:szCs w:val="20"/>
                <w:lang w:val="fr-FR" w:eastAsia="en-US"/>
              </w:rPr>
            </w:pPr>
            <w:r w:rsidRPr="00222E07">
              <w:rPr>
                <w:rFonts w:eastAsia="Arial"/>
                <w:sz w:val="22"/>
                <w:szCs w:val="22"/>
                <w:lang w:val="fr-FR"/>
              </w:rPr>
              <w:t xml:space="preserve">Le cadre </w:t>
            </w:r>
            <w:r w:rsidRPr="00222E07">
              <w:rPr>
                <w:sz w:val="22"/>
                <w:szCs w:val="22"/>
                <w:lang w:val="fr-FR"/>
              </w:rPr>
              <w:t>réglementaire sur la gestion des armes à feu et des munitions respectant les standards internationaux est élaboré, discuté et approuvé</w:t>
            </w:r>
          </w:p>
        </w:tc>
        <w:tc>
          <w:tcPr>
            <w:tcW w:w="2070" w:type="dxa"/>
            <w:shd w:val="clear" w:color="auto" w:fill="EEECE1"/>
          </w:tcPr>
          <w:p w14:paraId="53E18A50"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Indicateur 4 :</w:t>
            </w:r>
          </w:p>
          <w:p w14:paraId="0E83FD53"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Niveau de progrès dans la mise en place d’un cadre réglementaire sur la gestion des armes à feu et de munitions,</w:t>
            </w:r>
          </w:p>
          <w:p w14:paraId="6A6E9ECE" w14:textId="68C475A1" w:rsidR="0052062E" w:rsidRPr="005A6420" w:rsidRDefault="0052062E" w:rsidP="0052062E">
            <w:pPr>
              <w:jc w:val="both"/>
              <w:rPr>
                <w:rFonts w:cs="Tahoma"/>
                <w:szCs w:val="20"/>
                <w:lang w:val="fr-FR" w:eastAsia="en-US"/>
              </w:rPr>
            </w:pPr>
          </w:p>
        </w:tc>
        <w:tc>
          <w:tcPr>
            <w:tcW w:w="1530" w:type="dxa"/>
            <w:shd w:val="clear" w:color="auto" w:fill="EEECE1"/>
          </w:tcPr>
          <w:p w14:paraId="30CF396D" w14:textId="789A1FF5" w:rsidR="0052062E" w:rsidRPr="005A6420" w:rsidRDefault="0052062E" w:rsidP="0052062E">
            <w:pPr>
              <w:rPr>
                <w:lang w:val="fr-FR"/>
              </w:rPr>
            </w:pPr>
          </w:p>
        </w:tc>
        <w:tc>
          <w:tcPr>
            <w:tcW w:w="1620" w:type="dxa"/>
            <w:shd w:val="clear" w:color="auto" w:fill="EEECE1"/>
          </w:tcPr>
          <w:p w14:paraId="18DAD65A" w14:textId="76310C12" w:rsidR="0052062E" w:rsidRPr="005A6420" w:rsidRDefault="0052062E" w:rsidP="0052062E">
            <w:pPr>
              <w:rPr>
                <w:lang w:val="fr-FR"/>
              </w:rPr>
            </w:pPr>
            <w:r w:rsidRPr="001D3F26">
              <w:rPr>
                <w:rFonts w:ascii="Cambria" w:hAnsi="Cambria"/>
                <w:bCs/>
                <w:sz w:val="20"/>
                <w:szCs w:val="20"/>
                <w:lang w:val="fr-FR" w:eastAsia="en-US"/>
              </w:rPr>
              <w:t>Niveau moyen (conditionné par la disponibilité d’un draft de cadre réglementaire accepté les institutions concernées)</w:t>
            </w:r>
          </w:p>
        </w:tc>
        <w:tc>
          <w:tcPr>
            <w:tcW w:w="2070" w:type="dxa"/>
          </w:tcPr>
          <w:p w14:paraId="3BE6727E"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 xml:space="preserve">-Mise en place du </w:t>
            </w:r>
            <w:proofErr w:type="spellStart"/>
            <w:r w:rsidRPr="001D3F26">
              <w:rPr>
                <w:rFonts w:ascii="Cambria" w:hAnsi="Cambria"/>
                <w:bCs/>
                <w:sz w:val="20"/>
                <w:szCs w:val="20"/>
                <w:lang w:val="fr-FR" w:eastAsia="en-US"/>
              </w:rPr>
              <w:t>Task</w:t>
            </w:r>
            <w:proofErr w:type="spellEnd"/>
            <w:r w:rsidRPr="001D3F26">
              <w:rPr>
                <w:rFonts w:ascii="Cambria" w:hAnsi="Cambria"/>
                <w:bCs/>
                <w:sz w:val="20"/>
                <w:szCs w:val="20"/>
                <w:lang w:val="fr-FR" w:eastAsia="en-US"/>
              </w:rPr>
              <w:t xml:space="preserve"> Force multisectorielle pour l’élaboration d’un avant-projet de décret sur les armes à feu et les munitions</w:t>
            </w:r>
          </w:p>
          <w:p w14:paraId="12C30FA9"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-Réalisation d’une étude sur le nouveau projet de la loi sur les armes à feu</w:t>
            </w:r>
          </w:p>
          <w:p w14:paraId="603C8F99" w14:textId="77777777" w:rsidR="0052062E" w:rsidRPr="001D3F26" w:rsidRDefault="0052062E" w:rsidP="0052062E">
            <w:pPr>
              <w:rPr>
                <w:rFonts w:ascii="Cambria" w:hAnsi="Cambria"/>
                <w:bCs/>
                <w:sz w:val="20"/>
                <w:szCs w:val="20"/>
                <w:lang w:val="fr-FR" w:eastAsia="en-US"/>
              </w:rPr>
            </w:pPr>
            <w:r w:rsidRPr="001D3F26">
              <w:rPr>
                <w:rFonts w:ascii="Cambria" w:hAnsi="Cambria"/>
                <w:bCs/>
                <w:sz w:val="20"/>
                <w:szCs w:val="20"/>
                <w:lang w:val="fr-FR" w:eastAsia="en-US"/>
              </w:rPr>
              <w:t>-Engagement de l’UNIREC qui a déjà fait des recommandations sur la proposition de loi</w:t>
            </w:r>
          </w:p>
          <w:p w14:paraId="1E5E06AD" w14:textId="0E5DCC2F" w:rsidR="0052062E" w:rsidRPr="005A6420" w:rsidRDefault="0052062E" w:rsidP="0052062E">
            <w:pPr>
              <w:rPr>
                <w:lang w:val="fr-FR"/>
              </w:rPr>
            </w:pPr>
            <w:r w:rsidRPr="001D3F26">
              <w:rPr>
                <w:rFonts w:ascii="Cambria" w:hAnsi="Cambria"/>
                <w:bCs/>
                <w:sz w:val="20"/>
                <w:szCs w:val="20"/>
                <w:lang w:val="fr-FR" w:eastAsia="en-US"/>
              </w:rPr>
              <w:lastRenderedPageBreak/>
              <w:t>-Réalisation de 5 sessions de travail impliquant à présent 13 institutions</w:t>
            </w:r>
          </w:p>
        </w:tc>
        <w:tc>
          <w:tcPr>
            <w:tcW w:w="1867" w:type="dxa"/>
          </w:tcPr>
          <w:p w14:paraId="1832D55F" w14:textId="19D1AFC3" w:rsidR="0052062E" w:rsidRPr="005A6420" w:rsidRDefault="0052062E" w:rsidP="0052062E">
            <w:pPr>
              <w:rPr>
                <w:lang w:val="fr-FR"/>
              </w:rPr>
            </w:pPr>
            <w:r>
              <w:rPr>
                <w:rFonts w:ascii="Cambria" w:hAnsi="Cambria"/>
                <w:bCs/>
                <w:sz w:val="20"/>
                <w:szCs w:val="20"/>
                <w:lang w:val="fr-FR" w:eastAsia="en-US"/>
              </w:rPr>
              <w:lastRenderedPageBreak/>
              <w:t>Le projet</w:t>
            </w:r>
            <w:r w:rsidRPr="001D3F26">
              <w:rPr>
                <w:rFonts w:ascii="Cambria" w:hAnsi="Cambria"/>
                <w:bCs/>
                <w:sz w:val="20"/>
                <w:szCs w:val="20"/>
                <w:lang w:val="fr-FR" w:eastAsia="en-US"/>
              </w:rPr>
              <w:t xml:space="preserve"> peut évaluer à 70% le progrès de cet indicateur car </w:t>
            </w:r>
            <w:r>
              <w:rPr>
                <w:rFonts w:ascii="Cambria" w:hAnsi="Cambria"/>
                <w:bCs/>
                <w:sz w:val="20"/>
                <w:szCs w:val="20"/>
                <w:lang w:val="fr-FR" w:eastAsia="en-US"/>
              </w:rPr>
              <w:t>l</w:t>
            </w:r>
            <w:r w:rsidRPr="001D3F26">
              <w:rPr>
                <w:rFonts w:ascii="Cambria" w:hAnsi="Cambria"/>
                <w:bCs/>
                <w:sz w:val="20"/>
                <w:szCs w:val="20"/>
                <w:lang w:val="fr-FR" w:eastAsia="en-US"/>
              </w:rPr>
              <w:t>a version préliminaire du document de cadre réglementaire</w:t>
            </w:r>
            <w:r>
              <w:rPr>
                <w:rFonts w:ascii="Cambria" w:hAnsi="Cambria"/>
                <w:bCs/>
                <w:sz w:val="20"/>
                <w:szCs w:val="20"/>
                <w:lang w:val="fr-FR" w:eastAsia="en-US"/>
              </w:rPr>
              <w:t xml:space="preserve"> est disponible.</w:t>
            </w:r>
          </w:p>
        </w:tc>
        <w:tc>
          <w:tcPr>
            <w:tcW w:w="2880" w:type="dxa"/>
          </w:tcPr>
          <w:p w14:paraId="71304BAA" w14:textId="57425752" w:rsidR="0052062E" w:rsidRPr="005A6420" w:rsidRDefault="0052062E" w:rsidP="0052062E">
            <w:pPr>
              <w:rPr>
                <w:lang w:val="fr-FR"/>
              </w:rPr>
            </w:pPr>
            <w:r>
              <w:rPr>
                <w:rFonts w:ascii="Cambria" w:hAnsi="Cambria"/>
                <w:bCs/>
                <w:sz w:val="20"/>
                <w:szCs w:val="20"/>
                <w:lang w:val="fr-FR" w:eastAsia="en-US"/>
              </w:rPr>
              <w:t>Le contexte politique et sécuritaire ne permet pas la réalisation des consultations communautaires sur l’avant-projet de décret pour l’instant.</w:t>
            </w:r>
          </w:p>
        </w:tc>
      </w:tr>
      <w:tr w:rsidR="0052062E" w:rsidRPr="00E368B3" w14:paraId="1917E29E" w14:textId="77777777" w:rsidTr="008F01A3">
        <w:trPr>
          <w:trHeight w:val="458"/>
        </w:trPr>
        <w:tc>
          <w:tcPr>
            <w:tcW w:w="1530" w:type="dxa"/>
            <w:vMerge/>
          </w:tcPr>
          <w:p w14:paraId="28CA8E5C" w14:textId="77777777" w:rsidR="0052062E" w:rsidRPr="005A6420" w:rsidRDefault="0052062E" w:rsidP="0052062E">
            <w:pPr>
              <w:rPr>
                <w:rFonts w:cs="Tahoma"/>
                <w:szCs w:val="20"/>
                <w:lang w:val="fr-FR" w:eastAsia="en-US"/>
              </w:rPr>
            </w:pPr>
          </w:p>
        </w:tc>
        <w:tc>
          <w:tcPr>
            <w:tcW w:w="2070" w:type="dxa"/>
            <w:shd w:val="clear" w:color="auto" w:fill="EEECE1"/>
          </w:tcPr>
          <w:p w14:paraId="6726E6F0" w14:textId="4C4E58E2" w:rsidR="0052062E" w:rsidRPr="005A6420" w:rsidRDefault="0052062E" w:rsidP="0052062E">
            <w:pPr>
              <w:jc w:val="both"/>
              <w:rPr>
                <w:rFonts w:cs="Tahoma"/>
                <w:szCs w:val="20"/>
                <w:lang w:val="fr-FR" w:eastAsia="en-US"/>
              </w:rPr>
            </w:pPr>
          </w:p>
        </w:tc>
        <w:tc>
          <w:tcPr>
            <w:tcW w:w="1530" w:type="dxa"/>
            <w:shd w:val="clear" w:color="auto" w:fill="EEECE1"/>
          </w:tcPr>
          <w:p w14:paraId="5A767D25" w14:textId="6C21337D" w:rsidR="0052062E" w:rsidRPr="005A6420" w:rsidRDefault="0052062E" w:rsidP="0052062E">
            <w:pPr>
              <w:rPr>
                <w:lang w:val="fr-FR"/>
              </w:rPr>
            </w:pPr>
          </w:p>
        </w:tc>
        <w:tc>
          <w:tcPr>
            <w:tcW w:w="1620" w:type="dxa"/>
            <w:shd w:val="clear" w:color="auto" w:fill="EEECE1"/>
          </w:tcPr>
          <w:p w14:paraId="0EABED3B" w14:textId="2D172633" w:rsidR="0052062E" w:rsidRPr="005A6420" w:rsidRDefault="0052062E" w:rsidP="0052062E">
            <w:pPr>
              <w:rPr>
                <w:lang w:val="fr-FR"/>
              </w:rPr>
            </w:pPr>
          </w:p>
        </w:tc>
        <w:tc>
          <w:tcPr>
            <w:tcW w:w="2070" w:type="dxa"/>
          </w:tcPr>
          <w:p w14:paraId="74B89C6A" w14:textId="77199FDF" w:rsidR="0052062E" w:rsidRPr="005A6420" w:rsidRDefault="0052062E" w:rsidP="0052062E">
            <w:pPr>
              <w:rPr>
                <w:lang w:val="fr-FR"/>
              </w:rPr>
            </w:pPr>
          </w:p>
        </w:tc>
        <w:tc>
          <w:tcPr>
            <w:tcW w:w="1867" w:type="dxa"/>
          </w:tcPr>
          <w:p w14:paraId="6955803F" w14:textId="5E6C2D7B" w:rsidR="0052062E" w:rsidRPr="005A6420" w:rsidRDefault="0052062E" w:rsidP="0052062E">
            <w:pPr>
              <w:rPr>
                <w:lang w:val="fr-FR"/>
              </w:rPr>
            </w:pPr>
          </w:p>
        </w:tc>
        <w:tc>
          <w:tcPr>
            <w:tcW w:w="2880" w:type="dxa"/>
          </w:tcPr>
          <w:p w14:paraId="1025E6E7" w14:textId="67D4812B" w:rsidR="0052062E" w:rsidRPr="005A6420" w:rsidRDefault="0052062E" w:rsidP="0052062E">
            <w:pPr>
              <w:rPr>
                <w:lang w:val="fr-FR"/>
              </w:rPr>
            </w:pPr>
          </w:p>
        </w:tc>
      </w:tr>
      <w:tr w:rsidR="0052062E" w:rsidRPr="00E368B3" w14:paraId="46B909A3" w14:textId="77777777" w:rsidTr="008F01A3">
        <w:trPr>
          <w:trHeight w:val="458"/>
        </w:trPr>
        <w:tc>
          <w:tcPr>
            <w:tcW w:w="1530" w:type="dxa"/>
            <w:vMerge/>
          </w:tcPr>
          <w:p w14:paraId="445D91CD" w14:textId="77777777" w:rsidR="0052062E" w:rsidRPr="005A6420" w:rsidRDefault="0052062E" w:rsidP="0052062E">
            <w:pPr>
              <w:rPr>
                <w:rFonts w:cs="Tahoma"/>
                <w:szCs w:val="20"/>
                <w:lang w:val="fr-FR" w:eastAsia="en-US"/>
              </w:rPr>
            </w:pPr>
          </w:p>
        </w:tc>
        <w:tc>
          <w:tcPr>
            <w:tcW w:w="2070" w:type="dxa"/>
            <w:shd w:val="clear" w:color="auto" w:fill="EEECE1"/>
          </w:tcPr>
          <w:p w14:paraId="643BF94A" w14:textId="74B4B675" w:rsidR="0052062E" w:rsidRPr="005A6420" w:rsidRDefault="0052062E" w:rsidP="0052062E">
            <w:pPr>
              <w:jc w:val="both"/>
              <w:rPr>
                <w:rFonts w:cs="Tahoma"/>
                <w:szCs w:val="20"/>
                <w:lang w:val="fr-FR" w:eastAsia="en-US"/>
              </w:rPr>
            </w:pPr>
          </w:p>
        </w:tc>
        <w:tc>
          <w:tcPr>
            <w:tcW w:w="1530" w:type="dxa"/>
            <w:shd w:val="clear" w:color="auto" w:fill="EEECE1"/>
          </w:tcPr>
          <w:p w14:paraId="6BD78005" w14:textId="54228B7F" w:rsidR="0052062E" w:rsidRPr="005A6420" w:rsidRDefault="0052062E" w:rsidP="0052062E">
            <w:pPr>
              <w:rPr>
                <w:b/>
                <w:sz w:val="22"/>
                <w:szCs w:val="22"/>
                <w:lang w:val="fr-FR" w:eastAsia="en-US"/>
              </w:rPr>
            </w:pPr>
          </w:p>
        </w:tc>
        <w:tc>
          <w:tcPr>
            <w:tcW w:w="1620" w:type="dxa"/>
            <w:shd w:val="clear" w:color="auto" w:fill="EEECE1"/>
          </w:tcPr>
          <w:p w14:paraId="45572E7C" w14:textId="1BF2FEB8" w:rsidR="0052062E" w:rsidRPr="005A6420" w:rsidRDefault="0052062E" w:rsidP="0052062E">
            <w:pPr>
              <w:rPr>
                <w:b/>
                <w:sz w:val="22"/>
                <w:szCs w:val="22"/>
                <w:lang w:val="fr-FR" w:eastAsia="en-US"/>
              </w:rPr>
            </w:pPr>
          </w:p>
        </w:tc>
        <w:tc>
          <w:tcPr>
            <w:tcW w:w="2070" w:type="dxa"/>
          </w:tcPr>
          <w:p w14:paraId="3C9F2FD3" w14:textId="0904E5DD" w:rsidR="0052062E" w:rsidRPr="005A6420" w:rsidRDefault="0052062E" w:rsidP="0052062E">
            <w:pPr>
              <w:rPr>
                <w:b/>
                <w:sz w:val="22"/>
                <w:szCs w:val="22"/>
                <w:lang w:val="fr-FR" w:eastAsia="en-US"/>
              </w:rPr>
            </w:pPr>
          </w:p>
        </w:tc>
        <w:tc>
          <w:tcPr>
            <w:tcW w:w="1867" w:type="dxa"/>
          </w:tcPr>
          <w:p w14:paraId="41FA9741" w14:textId="1E2B9521" w:rsidR="0052062E" w:rsidRPr="005A6420" w:rsidRDefault="0052062E" w:rsidP="0052062E">
            <w:pPr>
              <w:rPr>
                <w:b/>
                <w:sz w:val="22"/>
                <w:szCs w:val="22"/>
                <w:lang w:val="fr-FR" w:eastAsia="en-US"/>
              </w:rPr>
            </w:pPr>
          </w:p>
        </w:tc>
        <w:tc>
          <w:tcPr>
            <w:tcW w:w="2880" w:type="dxa"/>
          </w:tcPr>
          <w:p w14:paraId="45897E24" w14:textId="50C12EC1" w:rsidR="0052062E" w:rsidRPr="005A6420" w:rsidRDefault="0052062E" w:rsidP="0052062E">
            <w:pPr>
              <w:rPr>
                <w:b/>
                <w:sz w:val="22"/>
                <w:szCs w:val="22"/>
                <w:lang w:val="fr-FR" w:eastAsia="en-US"/>
              </w:rPr>
            </w:pPr>
          </w:p>
        </w:tc>
      </w:tr>
    </w:tbl>
    <w:p w14:paraId="30F7835D" w14:textId="77777777" w:rsidR="00117EE7" w:rsidRDefault="00117EE7" w:rsidP="003758E5">
      <w:pPr>
        <w:rPr>
          <w:b/>
          <w:u w:val="single"/>
          <w:lang w:val="fr-FR"/>
        </w:rPr>
        <w:sectPr w:rsidR="00117EE7" w:rsidSect="003758E5">
          <w:headerReference w:type="default" r:id="rId20"/>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4F3C2F40"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p>
    <w:p w14:paraId="25394F63" w14:textId="77777777" w:rsidR="00125C65" w:rsidRDefault="00125C65" w:rsidP="00125C65">
      <w:pPr>
        <w:pStyle w:val="ListParagraph"/>
        <w:numPr>
          <w:ilvl w:val="0"/>
          <w:numId w:val="10"/>
        </w:numPr>
        <w:shd w:val="clear" w:color="auto" w:fill="FFFFFF" w:themeFill="background1"/>
        <w:jc w:val="both"/>
        <w:rPr>
          <w:rFonts w:ascii="Cambria" w:hAnsi="Cambria"/>
          <w:bCs/>
          <w:iCs/>
          <w:lang w:val="fr-FR"/>
        </w:rPr>
      </w:pPr>
      <w:r>
        <w:rPr>
          <w:rFonts w:ascii="Cambria" w:hAnsi="Cambria"/>
          <w:bCs/>
          <w:iCs/>
          <w:lang w:val="fr-FR"/>
        </w:rPr>
        <w:t xml:space="preserve">Signature de l’accord entre Douane, Immigration et la Police (DIP). </w:t>
      </w:r>
    </w:p>
    <w:p w14:paraId="321B19C6" w14:textId="6399C185" w:rsidR="000F67CF" w:rsidRDefault="00F162A3" w:rsidP="00125C65">
      <w:pPr>
        <w:pStyle w:val="ListParagraph"/>
        <w:numPr>
          <w:ilvl w:val="0"/>
          <w:numId w:val="10"/>
        </w:numPr>
        <w:shd w:val="clear" w:color="auto" w:fill="FFFFFF" w:themeFill="background1"/>
        <w:jc w:val="both"/>
        <w:rPr>
          <w:rFonts w:ascii="Cambria" w:hAnsi="Cambria"/>
          <w:bCs/>
          <w:iCs/>
          <w:lang w:val="fr-FR"/>
        </w:rPr>
      </w:pPr>
      <w:r w:rsidRPr="00F162A3">
        <w:rPr>
          <w:rFonts w:ascii="Cambria" w:hAnsi="Cambria"/>
          <w:bCs/>
          <w:iCs/>
          <w:lang w:val="fr-FR"/>
        </w:rPr>
        <w:t>S</w:t>
      </w:r>
      <w:r w:rsidR="000F67CF" w:rsidRPr="00F162A3">
        <w:rPr>
          <w:rFonts w:ascii="Cambria" w:hAnsi="Cambria"/>
          <w:bCs/>
          <w:iCs/>
          <w:lang w:val="fr-FR"/>
        </w:rPr>
        <w:t>éance de formations avec la participation des agents des Douanes, la DIE, et POLIFRONT</w:t>
      </w:r>
      <w:r w:rsidRPr="00F162A3">
        <w:rPr>
          <w:rFonts w:ascii="Cambria" w:hAnsi="Cambria"/>
          <w:bCs/>
          <w:iCs/>
          <w:lang w:val="fr-FR"/>
        </w:rPr>
        <w:t>.</w:t>
      </w:r>
    </w:p>
    <w:p w14:paraId="22A75A0A" w14:textId="77777777" w:rsidR="00125C65" w:rsidRPr="00407C61" w:rsidRDefault="00125C65" w:rsidP="00125C65">
      <w:pPr>
        <w:pStyle w:val="ListParagraph"/>
        <w:numPr>
          <w:ilvl w:val="0"/>
          <w:numId w:val="10"/>
        </w:numPr>
        <w:shd w:val="clear" w:color="auto" w:fill="FFFFFF" w:themeFill="background1"/>
        <w:jc w:val="both"/>
        <w:rPr>
          <w:rFonts w:ascii="Cambria" w:hAnsi="Cambria"/>
          <w:bCs/>
          <w:iCs/>
          <w:lang w:val="fr-FR"/>
        </w:rPr>
      </w:pPr>
      <w:r w:rsidRPr="00407C61">
        <w:rPr>
          <w:rFonts w:ascii="Cambria" w:hAnsi="Cambria"/>
          <w:bCs/>
          <w:iCs/>
          <w:lang w:val="fr-FR"/>
        </w:rPr>
        <w:t xml:space="preserve">Continuité des rencontres de sécurité </w:t>
      </w:r>
      <w:r w:rsidRPr="00916992">
        <w:rPr>
          <w:rFonts w:ascii="Cambria" w:hAnsi="Cambria"/>
          <w:bCs/>
          <w:iCs/>
          <w:lang w:val="fr-FR"/>
        </w:rPr>
        <w:t>binationale.</w:t>
      </w:r>
    </w:p>
    <w:p w14:paraId="0935F9A4" w14:textId="77777777" w:rsidR="00125C65" w:rsidRPr="00916992" w:rsidRDefault="00125C65" w:rsidP="00125C65">
      <w:pPr>
        <w:pStyle w:val="ListParagraph"/>
        <w:numPr>
          <w:ilvl w:val="0"/>
          <w:numId w:val="10"/>
        </w:numPr>
        <w:spacing w:after="200" w:line="276" w:lineRule="auto"/>
        <w:jc w:val="both"/>
        <w:rPr>
          <w:rFonts w:ascii="Cambria" w:hAnsi="Cambria"/>
          <w:bCs/>
          <w:iCs/>
          <w:lang w:val="fr-FR"/>
        </w:rPr>
      </w:pPr>
      <w:r>
        <w:rPr>
          <w:rFonts w:ascii="Cambria" w:hAnsi="Cambria"/>
          <w:bCs/>
          <w:iCs/>
          <w:lang w:val="fr-FR"/>
        </w:rPr>
        <w:t>Finalisation de la rédaction de la proposition de décret sur les armes et les munitions.</w:t>
      </w:r>
    </w:p>
    <w:p w14:paraId="76B6D168" w14:textId="5C1E1230" w:rsidR="00125C65" w:rsidRPr="00407C61" w:rsidRDefault="00125C65" w:rsidP="00125C65">
      <w:pPr>
        <w:pStyle w:val="ListParagraph"/>
        <w:numPr>
          <w:ilvl w:val="0"/>
          <w:numId w:val="10"/>
        </w:numPr>
        <w:shd w:val="clear" w:color="auto" w:fill="FFFFFF" w:themeFill="background1"/>
        <w:jc w:val="both"/>
        <w:rPr>
          <w:rFonts w:ascii="Cambria" w:hAnsi="Cambria"/>
          <w:bCs/>
          <w:iCs/>
          <w:lang w:val="fr-FR"/>
        </w:rPr>
      </w:pPr>
      <w:r w:rsidRPr="00916992">
        <w:rPr>
          <w:rFonts w:ascii="Cambria" w:hAnsi="Cambria"/>
          <w:bCs/>
          <w:iCs/>
          <w:lang w:val="fr-FR"/>
        </w:rPr>
        <w:t>F</w:t>
      </w:r>
      <w:r w:rsidRPr="0079132F">
        <w:rPr>
          <w:rFonts w:ascii="Cambria" w:hAnsi="Cambria"/>
          <w:bCs/>
          <w:iCs/>
          <w:lang w:val="fr-FR"/>
        </w:rPr>
        <w:t>ormation des responsables chargés de la gestion des</w:t>
      </w:r>
      <w:r>
        <w:rPr>
          <w:rFonts w:ascii="Cambria" w:hAnsi="Cambria"/>
          <w:bCs/>
          <w:iCs/>
          <w:lang w:val="fr-FR"/>
        </w:rPr>
        <w:t xml:space="preserve"> stocks d’armes et munitions dans tous les</w:t>
      </w:r>
      <w:r w:rsidRPr="0079132F">
        <w:rPr>
          <w:rFonts w:ascii="Cambria" w:hAnsi="Cambria"/>
          <w:bCs/>
          <w:iCs/>
          <w:lang w:val="fr-FR"/>
        </w:rPr>
        <w:t xml:space="preserve"> </w:t>
      </w:r>
      <w:r>
        <w:rPr>
          <w:rFonts w:ascii="Cambria" w:hAnsi="Cambria"/>
          <w:bCs/>
          <w:iCs/>
          <w:lang w:val="fr-FR"/>
        </w:rPr>
        <w:t>d</w:t>
      </w:r>
      <w:r w:rsidRPr="0079132F">
        <w:rPr>
          <w:rFonts w:ascii="Cambria" w:hAnsi="Cambria"/>
          <w:bCs/>
          <w:iCs/>
          <w:lang w:val="fr-FR"/>
        </w:rPr>
        <w:t>épartements</w:t>
      </w:r>
      <w:r>
        <w:rPr>
          <w:rFonts w:ascii="Cambria" w:hAnsi="Cambria"/>
          <w:bCs/>
          <w:iCs/>
          <w:lang w:val="fr-FR"/>
        </w:rPr>
        <w:t xml:space="preserve"> du pays.</w:t>
      </w:r>
    </w:p>
    <w:p w14:paraId="5E8C71E6" w14:textId="6C3B0367" w:rsidR="00125C65" w:rsidRDefault="00125C65" w:rsidP="00125C65">
      <w:pPr>
        <w:pStyle w:val="ListParagraph"/>
        <w:numPr>
          <w:ilvl w:val="0"/>
          <w:numId w:val="10"/>
        </w:numPr>
        <w:shd w:val="clear" w:color="auto" w:fill="FFFFFF" w:themeFill="background1"/>
        <w:ind w:right="-154"/>
        <w:jc w:val="both"/>
        <w:rPr>
          <w:rFonts w:ascii="Cambria" w:hAnsi="Cambria"/>
          <w:bCs/>
          <w:iCs/>
          <w:lang w:val="fr-FR"/>
        </w:rPr>
      </w:pPr>
      <w:r>
        <w:rPr>
          <w:rFonts w:ascii="Cambria" w:hAnsi="Cambria"/>
          <w:bCs/>
          <w:iCs/>
          <w:lang w:val="fr-FR"/>
        </w:rPr>
        <w:t>Finalisation des travaux d’a</w:t>
      </w:r>
      <w:r w:rsidRPr="0079132F">
        <w:rPr>
          <w:rFonts w:ascii="Cambria" w:hAnsi="Cambria"/>
          <w:bCs/>
          <w:iCs/>
          <w:lang w:val="fr-FR"/>
        </w:rPr>
        <w:t>mélioration du système d’entreposage et renforcement de la sécurisation de l’armurerie centrale</w:t>
      </w:r>
      <w:r w:rsidRPr="00407C61">
        <w:rPr>
          <w:rFonts w:ascii="Cambria" w:hAnsi="Cambria"/>
          <w:bCs/>
          <w:iCs/>
          <w:lang w:val="fr-FR"/>
        </w:rPr>
        <w:t xml:space="preserve"> </w:t>
      </w:r>
    </w:p>
    <w:p w14:paraId="4CFA6CC8" w14:textId="58F12516" w:rsidR="00125C65" w:rsidRPr="0079132F" w:rsidRDefault="00125C65" w:rsidP="00125C65">
      <w:pPr>
        <w:pStyle w:val="ListParagraph"/>
        <w:numPr>
          <w:ilvl w:val="0"/>
          <w:numId w:val="10"/>
        </w:numPr>
        <w:shd w:val="clear" w:color="auto" w:fill="FFFFFF" w:themeFill="background1"/>
        <w:ind w:right="-154"/>
        <w:jc w:val="both"/>
        <w:rPr>
          <w:lang w:val="fr-FR"/>
        </w:rPr>
      </w:pPr>
      <w:r w:rsidRPr="0079132F">
        <w:rPr>
          <w:rFonts w:ascii="Cambria" w:hAnsi="Cambria"/>
          <w:bCs/>
          <w:iCs/>
          <w:lang w:val="fr-FR"/>
        </w:rPr>
        <w:t>Installation d’un au service armement avec la possibilité d’une extension au niveau des départements</w:t>
      </w:r>
    </w:p>
    <w:p w14:paraId="3E2C0188" w14:textId="63A77688" w:rsidR="00125C65" w:rsidRPr="00125C65" w:rsidRDefault="00125C65" w:rsidP="00125C65">
      <w:pPr>
        <w:pStyle w:val="ListParagraph"/>
        <w:numPr>
          <w:ilvl w:val="0"/>
          <w:numId w:val="10"/>
        </w:numPr>
        <w:shd w:val="clear" w:color="auto" w:fill="FFFFFF" w:themeFill="background1"/>
        <w:ind w:right="-154"/>
        <w:jc w:val="both"/>
        <w:rPr>
          <w:lang w:val="fr-FR"/>
        </w:rPr>
      </w:pPr>
      <w:r w:rsidRPr="0079132F">
        <w:rPr>
          <w:rFonts w:ascii="Cambria" w:hAnsi="Cambria"/>
          <w:bCs/>
          <w:iCs/>
          <w:lang w:val="fr-FR"/>
        </w:rPr>
        <w:t>Dotation</w:t>
      </w:r>
      <w:r>
        <w:rPr>
          <w:rFonts w:ascii="Cambria" w:hAnsi="Cambria"/>
          <w:bCs/>
          <w:iCs/>
          <w:lang w:val="fr-FR"/>
        </w:rPr>
        <w:t xml:space="preserve"> de matériels et </w:t>
      </w:r>
      <w:r w:rsidRPr="0079132F">
        <w:rPr>
          <w:rFonts w:ascii="Cambria" w:hAnsi="Cambria"/>
          <w:bCs/>
          <w:iCs/>
          <w:lang w:val="fr-FR"/>
        </w:rPr>
        <w:t xml:space="preserve">logiciel informatiques </w:t>
      </w:r>
      <w:r>
        <w:rPr>
          <w:rFonts w:ascii="Cambria" w:hAnsi="Cambria"/>
          <w:bCs/>
          <w:iCs/>
          <w:lang w:val="fr-FR"/>
        </w:rPr>
        <w:t xml:space="preserve">à l’armurerie centrale et au </w:t>
      </w:r>
      <w:r w:rsidRPr="0079132F">
        <w:rPr>
          <w:rFonts w:ascii="Cambria" w:hAnsi="Cambria"/>
          <w:bCs/>
          <w:iCs/>
          <w:lang w:val="fr-FR"/>
        </w:rPr>
        <w:t>S</w:t>
      </w:r>
      <w:r>
        <w:rPr>
          <w:rFonts w:ascii="Cambria" w:hAnsi="Cambria"/>
          <w:bCs/>
          <w:iCs/>
          <w:lang w:val="fr-FR"/>
        </w:rPr>
        <w:t xml:space="preserve">ervice des </w:t>
      </w:r>
      <w:r w:rsidRPr="0079132F">
        <w:rPr>
          <w:rFonts w:ascii="Cambria" w:hAnsi="Cambria"/>
          <w:bCs/>
          <w:iCs/>
          <w:lang w:val="fr-FR"/>
        </w:rPr>
        <w:t>P</w:t>
      </w:r>
      <w:r>
        <w:rPr>
          <w:rFonts w:ascii="Cambria" w:hAnsi="Cambria"/>
          <w:bCs/>
          <w:iCs/>
          <w:lang w:val="fr-FR"/>
        </w:rPr>
        <w:t>ermis d’</w:t>
      </w:r>
      <w:r w:rsidRPr="0079132F">
        <w:rPr>
          <w:rFonts w:ascii="Cambria" w:hAnsi="Cambria"/>
          <w:bCs/>
          <w:iCs/>
          <w:lang w:val="fr-FR"/>
        </w:rPr>
        <w:t>A</w:t>
      </w:r>
      <w:r>
        <w:rPr>
          <w:rFonts w:ascii="Cambria" w:hAnsi="Cambria"/>
          <w:bCs/>
          <w:iCs/>
          <w:lang w:val="fr-FR"/>
        </w:rPr>
        <w:t xml:space="preserve">rmes à </w:t>
      </w:r>
      <w:r w:rsidRPr="0079132F">
        <w:rPr>
          <w:rFonts w:ascii="Cambria" w:hAnsi="Cambria"/>
          <w:bCs/>
          <w:iCs/>
          <w:lang w:val="fr-FR"/>
        </w:rPr>
        <w:t>F</w:t>
      </w:r>
      <w:r>
        <w:rPr>
          <w:rFonts w:ascii="Cambria" w:hAnsi="Cambria"/>
          <w:bCs/>
          <w:iCs/>
          <w:lang w:val="fr-FR"/>
        </w:rPr>
        <w:t>eu (SPAF).</w:t>
      </w:r>
    </w:p>
    <w:p w14:paraId="52ED941F" w14:textId="459717F3" w:rsidR="00125C65" w:rsidRPr="00125C65" w:rsidRDefault="00125C65" w:rsidP="00125C65">
      <w:pPr>
        <w:pStyle w:val="ListParagraph"/>
        <w:numPr>
          <w:ilvl w:val="0"/>
          <w:numId w:val="10"/>
        </w:numPr>
        <w:shd w:val="clear" w:color="auto" w:fill="FFFFFF" w:themeFill="background1"/>
        <w:ind w:right="-154"/>
        <w:jc w:val="both"/>
        <w:rPr>
          <w:lang w:val="fr-FR"/>
        </w:rPr>
      </w:pPr>
      <w:r w:rsidRPr="00125C65">
        <w:rPr>
          <w:rFonts w:ascii="Cambria" w:hAnsi="Cambria"/>
          <w:bCs/>
          <w:iCs/>
          <w:lang w:val="fr-FR"/>
        </w:rPr>
        <w:t>Distribution de box blindés pour sécuriser les armes et munitions au niveau des services ou des unités de petites tailles</w:t>
      </w:r>
    </w:p>
    <w:p w14:paraId="13C52B88" w14:textId="77777777" w:rsidR="00117EE7" w:rsidRDefault="00117EE7" w:rsidP="00117EE7">
      <w:pPr>
        <w:ind w:left="-810"/>
        <w:rPr>
          <w:lang w:val="fr-FR"/>
        </w:rPr>
      </w:pPr>
    </w:p>
    <w:p w14:paraId="4B20A3BF" w14:textId="3E36ACEE"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4188FB0D" w14:textId="5294F86F" w:rsidR="00117EE7" w:rsidRDefault="00117EE7" w:rsidP="00117EE7">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380B8939" w14:textId="2D9C33D0" w:rsidR="00F72415" w:rsidRDefault="00F72415" w:rsidP="00117EE7">
      <w:pPr>
        <w:ind w:left="-810"/>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137E41" w14:paraId="3278E054" w14:textId="77777777" w:rsidTr="00116E27">
        <w:tc>
          <w:tcPr>
            <w:tcW w:w="4756"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12D6BBD7" w:rsidR="00997347" w:rsidRPr="00E368B3" w:rsidRDefault="002E46C8" w:rsidP="00234A5E">
            <w:pPr>
              <w:rPr>
                <w:i/>
                <w:lang w:val="fr-FR"/>
              </w:rPr>
            </w:pPr>
            <w:r w:rsidRPr="00E368B3">
              <w:rPr>
                <w:i/>
                <w:iCs/>
                <w:lang w:val="fr-FR"/>
              </w:rPr>
              <w:t>Les activités infrastructure</w:t>
            </w:r>
            <w:r>
              <w:rPr>
                <w:i/>
                <w:iCs/>
                <w:lang w:val="fr-FR"/>
              </w:rPr>
              <w:t>lles</w:t>
            </w:r>
            <w:r w:rsidRPr="00E368B3">
              <w:rPr>
                <w:i/>
                <w:iCs/>
                <w:lang w:val="fr-FR"/>
              </w:rPr>
              <w:t xml:space="preserve"> </w:t>
            </w:r>
            <w:r w:rsidRPr="002E46C8">
              <w:rPr>
                <w:i/>
                <w:iCs/>
                <w:lang w:val="fr-FR"/>
              </w:rPr>
              <w:t>réalisées</w:t>
            </w:r>
            <w:r w:rsidRPr="00E368B3">
              <w:rPr>
                <w:i/>
                <w:iCs/>
                <w:lang w:val="fr-FR"/>
              </w:rPr>
              <w:t xml:space="preserve"> au </w:t>
            </w:r>
            <w:r>
              <w:rPr>
                <w:i/>
                <w:iCs/>
                <w:lang w:val="fr-FR"/>
              </w:rPr>
              <w:t>niveau de l’armurerie centrale sont suivies de manière hebdomadaire par l’ingénieur du PNUD qui conseille le chef de projet sur les décisions à prendre en cas de difficultés.</w:t>
            </w:r>
          </w:p>
          <w:p w14:paraId="21BD62AD" w14:textId="77777777" w:rsidR="007118F5" w:rsidRPr="00E368B3" w:rsidRDefault="007118F5" w:rsidP="00234A5E">
            <w:pPr>
              <w:rPr>
                <w:lang w:val="fr-FR"/>
              </w:rPr>
            </w:pPr>
          </w:p>
        </w:tc>
        <w:tc>
          <w:tcPr>
            <w:tcW w:w="5414" w:type="dxa"/>
            <w:shd w:val="clear" w:color="auto" w:fill="auto"/>
          </w:tcPr>
          <w:p w14:paraId="3A43F814" w14:textId="5266FAD8" w:rsidR="00FB1A1C" w:rsidRDefault="00675507" w:rsidP="00AD73D3">
            <w:pPr>
              <w:rPr>
                <w:lang w:val="fr-FR"/>
              </w:rPr>
            </w:pPr>
            <w:r w:rsidRPr="00675507">
              <w:rPr>
                <w:lang w:val="fr-FR"/>
              </w:rPr>
              <w:t xml:space="preserve">Est-ce que les indicateurs des résultats ont des bases de </w:t>
            </w:r>
            <w:r w:rsidR="00A276CA" w:rsidRPr="00675507">
              <w:rPr>
                <w:lang w:val="fr-FR"/>
              </w:rPr>
              <w:t>référe</w:t>
            </w:r>
            <w:r w:rsidR="00A276CA">
              <w:rPr>
                <w:lang w:val="fr-FR"/>
              </w:rPr>
              <w:t>nce</w:t>
            </w:r>
            <w:r w:rsidR="00A276CA" w:rsidRPr="00675507">
              <w:rPr>
                <w:lang w:val="fr-FR"/>
              </w:rPr>
              <w:t xml:space="preserve"> ?</w:t>
            </w:r>
          </w:p>
          <w:p w14:paraId="797F499B" w14:textId="79A2C2A8" w:rsidR="00997347" w:rsidRPr="00675507" w:rsidRDefault="00FB1A1C" w:rsidP="00AD73D3">
            <w:pPr>
              <w:rPr>
                <w:lang w:val="fr-FR"/>
              </w:rPr>
            </w:pPr>
            <w:r>
              <w:rPr>
                <w:lang w:val="fr-FR"/>
              </w:rPr>
              <w:t>O</w:t>
            </w:r>
            <w:r w:rsidRPr="00FB1A1C">
              <w:rPr>
                <w:lang w:val="fr-FR"/>
              </w:rPr>
              <w:t>ui</w:t>
            </w:r>
          </w:p>
          <w:p w14:paraId="2337B972" w14:textId="77777777" w:rsidR="007118F5" w:rsidRPr="00675507" w:rsidRDefault="007118F5" w:rsidP="00AD73D3">
            <w:pPr>
              <w:rPr>
                <w:lang w:val="fr-FR"/>
              </w:rPr>
            </w:pPr>
          </w:p>
          <w:p w14:paraId="76FF5901" w14:textId="702B4B67" w:rsidR="00FB1A1C" w:rsidRDefault="00675507" w:rsidP="00FB1A1C">
            <w:pPr>
              <w:rPr>
                <w:lang w:val="fr-FR"/>
              </w:rPr>
            </w:pPr>
            <w:r w:rsidRPr="00675507">
              <w:rPr>
                <w:lang w:val="fr-FR"/>
              </w:rPr>
              <w:t xml:space="preserve">Le projet a-t-il lancé des enquêtes de perception ou d'autres collectes de données </w:t>
            </w:r>
            <w:r w:rsidR="00A276CA" w:rsidRPr="00675507">
              <w:rPr>
                <w:lang w:val="fr-FR"/>
              </w:rPr>
              <w:t>communautaires ?</w:t>
            </w:r>
            <w:r w:rsidR="007118F5" w:rsidRPr="00675507">
              <w:rPr>
                <w:lang w:val="fr-FR"/>
              </w:rPr>
              <w:t xml:space="preserve"> </w:t>
            </w:r>
          </w:p>
          <w:p w14:paraId="2BD200E3" w14:textId="3D066B02" w:rsidR="007118F5" w:rsidRPr="00675507" w:rsidRDefault="00FB1A1C" w:rsidP="00FB1A1C">
            <w:pPr>
              <w:rPr>
                <w:lang w:val="fr-FR"/>
              </w:rPr>
            </w:pPr>
            <w:r>
              <w:t>Non</w:t>
            </w:r>
          </w:p>
        </w:tc>
      </w:tr>
      <w:tr w:rsidR="006C1819" w:rsidRPr="00E368B3" w14:paraId="36A88C83" w14:textId="77777777" w:rsidTr="00116E27">
        <w:tc>
          <w:tcPr>
            <w:tcW w:w="4756"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49F29751" w:rsidR="007118F5" w:rsidRPr="00627A1C" w:rsidRDefault="00125C65" w:rsidP="007118F5">
            <w:r>
              <w:t>Non</w:t>
            </w:r>
          </w:p>
        </w:tc>
        <w:tc>
          <w:tcPr>
            <w:tcW w:w="5414" w:type="dxa"/>
            <w:shd w:val="clear" w:color="auto" w:fill="auto"/>
          </w:tcPr>
          <w:p w14:paraId="7B8CF898" w14:textId="7B13F5B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125C65" w:rsidRPr="00675507">
              <w:rPr>
                <w:lang w:val="fr-FR"/>
              </w:rPr>
              <w:t>:</w:t>
            </w:r>
            <w:proofErr w:type="gramEnd"/>
            <w:r w:rsidR="00125C65" w:rsidRPr="00675507">
              <w:rPr>
                <w:lang w:val="fr-FR"/>
              </w:rPr>
              <w:t xml:space="preserve"> $</w:t>
            </w:r>
            <w:r w:rsidR="00125C65" w:rsidRPr="00125C65">
              <w:rPr>
                <w:lang w:val="fr-FR"/>
              </w:rPr>
              <w:t>30.000</w:t>
            </w:r>
          </w:p>
          <w:p w14:paraId="6A29E557" w14:textId="77777777" w:rsidR="004D141E" w:rsidRPr="00675507" w:rsidRDefault="004D141E" w:rsidP="00E76CA1">
            <w:pPr>
              <w:rPr>
                <w:lang w:val="fr-FR"/>
              </w:rPr>
            </w:pPr>
          </w:p>
          <w:p w14:paraId="184050E9" w14:textId="77777777" w:rsidR="00FB1A1C" w:rsidRDefault="00675507" w:rsidP="00FB1A1C">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p>
          <w:p w14:paraId="6FFC21C6" w14:textId="0A5378C0" w:rsidR="00156C4C" w:rsidRPr="00675507" w:rsidRDefault="00FB1A1C" w:rsidP="00FB1A1C">
            <w:pPr>
              <w:rPr>
                <w:lang w:val="fr-FR"/>
              </w:rPr>
            </w:pPr>
            <w:r w:rsidRPr="00FB1A1C">
              <w:rPr>
                <w:lang w:val="fr-FR"/>
              </w:rPr>
              <w:lastRenderedPageBreak/>
              <w:t xml:space="preserve">Les </w:t>
            </w:r>
            <w:proofErr w:type="spellStart"/>
            <w:r w:rsidRPr="00FB1A1C">
              <w:rPr>
                <w:lang w:val="fr-FR"/>
              </w:rPr>
              <w:t>TdRs</w:t>
            </w:r>
            <w:proofErr w:type="spellEnd"/>
            <w:r w:rsidRPr="00FB1A1C">
              <w:rPr>
                <w:lang w:val="fr-FR"/>
              </w:rPr>
              <w:t xml:space="preserve"> pour le recrutement d’un consultant devant réaliser l’évaluation finale du projet ont ét</w:t>
            </w:r>
            <w:r>
              <w:rPr>
                <w:lang w:val="fr-FR"/>
              </w:rPr>
              <w:t>é</w:t>
            </w:r>
            <w:r w:rsidRPr="00FB1A1C">
              <w:rPr>
                <w:lang w:val="fr-FR"/>
              </w:rPr>
              <w:t xml:space="preserve"> élaborés</w:t>
            </w:r>
            <w:r>
              <w:rPr>
                <w:lang w:val="fr-FR"/>
              </w:rPr>
              <w:t xml:space="preserve"> et le processus d’appel d’offre </w:t>
            </w:r>
            <w:r w:rsidRPr="00FB1A1C">
              <w:rPr>
                <w:lang w:val="fr-FR"/>
              </w:rPr>
              <w:t>est en cours.</w:t>
            </w:r>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3"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Text48"/>
                  <w:enabled/>
                  <w:calcOnExit w:val="0"/>
                  <w:textInput>
                    <w:type w:val="number"/>
                    <w:format w:val="0.00"/>
                  </w:textInput>
                </w:ffData>
              </w:fldChar>
            </w:r>
            <w:bookmarkStart w:id="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r w:rsidRPr="00627A1C">
              <w:t xml:space="preserve">                          </w:t>
            </w:r>
            <w:r w:rsidRPr="00627A1C">
              <w:fldChar w:fldCharType="begin">
                <w:ffData>
                  <w:name w:val="Text50"/>
                  <w:enabled/>
                  <w:calcOnExit w:val="0"/>
                  <w:textInput>
                    <w:type w:val="number"/>
                    <w:format w:val="0.00"/>
                  </w:textInput>
                </w:ffData>
              </w:fldChar>
            </w:r>
            <w:bookmarkStart w:id="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p>
        </w:tc>
      </w:tr>
      <w:tr w:rsidR="003758E5" w:rsidRPr="00E368B3"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proofErr w:type="gramStart"/>
            <w:r w:rsidRPr="00F72415">
              <w:rPr>
                <w:lang w:val="fr-FR"/>
              </w:rPr>
              <w:t>paix?</w:t>
            </w:r>
            <w:proofErr w:type="gramEnd"/>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8" w:name="Check2"/>
            <w:r>
              <w:rPr>
                <w:lang w:val="fr-FR"/>
              </w:rPr>
              <w:instrText xml:space="preserve"> FORMCHECKBOX </w:instrText>
            </w:r>
            <w:r w:rsidR="004D50E2">
              <w:rPr>
                <w:lang w:val="fr-FR"/>
              </w:rPr>
            </w:r>
            <w:r w:rsidR="004D50E2">
              <w:rPr>
                <w:lang w:val="fr-FR"/>
              </w:rPr>
              <w:fldChar w:fldCharType="separate"/>
            </w:r>
            <w:r>
              <w:rPr>
                <w:lang w:val="fr-FR"/>
              </w:rPr>
              <w:fldChar w:fldCharType="end"/>
            </w:r>
            <w:bookmarkEnd w:id="8"/>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9" w:name="Check3"/>
            <w:r>
              <w:rPr>
                <w:lang w:val="fr-FR"/>
              </w:rPr>
              <w:instrText xml:space="preserve"> FORMCHECKBOX </w:instrText>
            </w:r>
            <w:r w:rsidR="004D50E2">
              <w:rPr>
                <w:lang w:val="fr-FR"/>
              </w:rPr>
            </w:r>
            <w:r w:rsidR="004D50E2">
              <w:rPr>
                <w:lang w:val="fr-FR"/>
              </w:rPr>
              <w:fldChar w:fldCharType="separate"/>
            </w:r>
            <w:r>
              <w:rPr>
                <w:lang w:val="fr-FR"/>
              </w:rPr>
              <w:fldChar w:fldCharType="end"/>
            </w:r>
            <w:bookmarkEnd w:id="9"/>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4BFAC67" w:rsidR="00F72415" w:rsidRDefault="00125C65" w:rsidP="00F72415">
            <w:pPr>
              <w:rPr>
                <w:lang w:val="fr-FR"/>
              </w:rPr>
            </w:pPr>
            <w:r>
              <w:rPr>
                <w:lang w:val="fr-FR"/>
              </w:rPr>
              <w:fldChar w:fldCharType="begin">
                <w:ffData>
                  <w:name w:val="Check5"/>
                  <w:enabled/>
                  <w:calcOnExit w:val="0"/>
                  <w:checkBox>
                    <w:sizeAuto/>
                    <w:default w:val="1"/>
                  </w:checkBox>
                </w:ffData>
              </w:fldChar>
            </w:r>
            <w:bookmarkStart w:id="10" w:name="Check5"/>
            <w:r>
              <w:rPr>
                <w:lang w:val="fr-FR"/>
              </w:rPr>
              <w:instrText xml:space="preserve"> FORMCHECKBOX </w:instrText>
            </w:r>
            <w:r w:rsidR="004D50E2">
              <w:rPr>
                <w:lang w:val="fr-FR"/>
              </w:rPr>
            </w:r>
            <w:r w:rsidR="004D50E2">
              <w:rPr>
                <w:lang w:val="fr-FR"/>
              </w:rPr>
              <w:fldChar w:fldCharType="separate"/>
            </w:r>
            <w:r>
              <w:rPr>
                <w:lang w:val="fr-FR"/>
              </w:rPr>
              <w:fldChar w:fldCharType="end"/>
            </w:r>
            <w:bookmarkEnd w:id="10"/>
            <w:proofErr w:type="spellStart"/>
            <w:r w:rsidR="00F72415" w:rsidRPr="00F72415">
              <w:rPr>
                <w:lang w:val="fr-FR"/>
              </w:rPr>
              <w:t>Eﬀet</w:t>
            </w:r>
            <w:proofErr w:type="spellEnd"/>
            <w:r w:rsidR="00F72415"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11" w:name="Check4"/>
            <w:r>
              <w:rPr>
                <w:lang w:val="fr-FR"/>
              </w:rPr>
              <w:instrText xml:space="preserve"> FORMCHECKBOX </w:instrText>
            </w:r>
            <w:r w:rsidR="004D50E2">
              <w:rPr>
                <w:lang w:val="fr-FR"/>
              </w:rPr>
            </w:r>
            <w:r w:rsidR="004D50E2">
              <w:rPr>
                <w:lang w:val="fr-FR"/>
              </w:rPr>
              <w:fldChar w:fldCharType="separate"/>
            </w:r>
            <w:r>
              <w:rPr>
                <w:lang w:val="fr-FR"/>
              </w:rPr>
              <w:fldChar w:fldCharType="end"/>
            </w:r>
            <w:bookmarkEnd w:id="11"/>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12" w:name="Check7"/>
            <w:r>
              <w:rPr>
                <w:lang w:val="fr-FR"/>
              </w:rPr>
              <w:instrText xml:space="preserve"> FORMCHECKBOX </w:instrText>
            </w:r>
            <w:r w:rsidR="004D50E2">
              <w:rPr>
                <w:lang w:val="fr-FR"/>
              </w:rPr>
            </w:r>
            <w:r w:rsidR="004D50E2">
              <w:rPr>
                <w:lang w:val="fr-FR"/>
              </w:rPr>
              <w:fldChar w:fldCharType="separate"/>
            </w:r>
            <w:r>
              <w:rPr>
                <w:lang w:val="fr-FR"/>
              </w:rPr>
              <w:fldChar w:fldCharType="end"/>
            </w:r>
            <w:bookmarkEnd w:id="12"/>
            <w:r w:rsidR="00F72415" w:rsidRPr="00F72415">
              <w:rPr>
                <w:lang w:val="fr-FR"/>
              </w:rPr>
              <w:t>Je ne sais pas</w:t>
            </w:r>
          </w:p>
          <w:p w14:paraId="0847F164" w14:textId="141AA4B9" w:rsidR="00F72415" w:rsidRPr="001C15CC" w:rsidRDefault="00F72415" w:rsidP="001A1E86">
            <w:pPr>
              <w:rPr>
                <w:lang w:val="fr-FR"/>
              </w:rPr>
            </w:pPr>
            <w:r>
              <w:rPr>
                <w:lang w:val="fr-FR"/>
              </w:rPr>
              <w:fldChar w:fldCharType="begin">
                <w:ffData>
                  <w:name w:val="Check6"/>
                  <w:enabled/>
                  <w:calcOnExit w:val="0"/>
                  <w:checkBox>
                    <w:sizeAuto/>
                    <w:default w:val="0"/>
                  </w:checkBox>
                </w:ffData>
              </w:fldChar>
            </w:r>
            <w:bookmarkStart w:id="13" w:name="Check6"/>
            <w:r>
              <w:rPr>
                <w:lang w:val="fr-FR"/>
              </w:rPr>
              <w:instrText xml:space="preserve"> FORMCHECKBOX </w:instrText>
            </w:r>
            <w:r w:rsidR="004D50E2">
              <w:rPr>
                <w:lang w:val="fr-FR"/>
              </w:rPr>
            </w:r>
            <w:r w:rsidR="004D50E2">
              <w:rPr>
                <w:lang w:val="fr-FR"/>
              </w:rPr>
              <w:fldChar w:fldCharType="separate"/>
            </w:r>
            <w:r>
              <w:rPr>
                <w:lang w:val="fr-FR"/>
              </w:rPr>
              <w:fldChar w:fldCharType="end"/>
            </w:r>
            <w:bookmarkEnd w:id="13"/>
            <w:r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5BDFFD8B" w14:textId="77777777" w:rsidR="00F72415"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p w14:paraId="3B0EB5AF" w14:textId="77777777" w:rsidR="00BF288D" w:rsidRDefault="00BF288D" w:rsidP="00E76CA1">
            <w:pPr>
              <w:rPr>
                <w:lang w:val="fr-FR"/>
              </w:rPr>
            </w:pPr>
          </w:p>
          <w:p w14:paraId="7EEBEBDE" w14:textId="70F727EF" w:rsidR="00BF288D" w:rsidRPr="00FB1A1C" w:rsidRDefault="00BF288D" w:rsidP="002E4244">
            <w:pPr>
              <w:jc w:val="both"/>
              <w:rPr>
                <w:rFonts w:ascii="Cambria" w:hAnsi="Cambria"/>
                <w:lang w:val="fr-FR"/>
              </w:rPr>
            </w:pPr>
            <w:r w:rsidRPr="00FB1A1C">
              <w:rPr>
                <w:rFonts w:ascii="Cambria" w:hAnsi="Cambria"/>
                <w:lang w:val="fr-FR"/>
              </w:rPr>
              <w:t>Plusieurs agences des Nations Unies dont UNLIREC et ONUDC interviennent en Haïti sur la question du contrôle des armes et des munitions. Du 11 au 17 mai, une équipe composée de représentants de UNLIREC et ONUDC ont séjourné en Haïti, dans le but d’accompagner et renforcer les institutions nationales « La Feuille de route des Caraïbes sur les Armes à Feu en Haïti »</w:t>
            </w:r>
            <w:r w:rsidR="002E4244" w:rsidRPr="00FB1A1C">
              <w:rPr>
                <w:rFonts w:ascii="Cambria" w:hAnsi="Cambria"/>
                <w:lang w:val="fr-FR"/>
              </w:rPr>
              <w:t>.</w:t>
            </w:r>
          </w:p>
          <w:p w14:paraId="48D103E6" w14:textId="77777777" w:rsidR="00BF288D" w:rsidRPr="00FB1A1C" w:rsidRDefault="00BF288D" w:rsidP="002E4244">
            <w:pPr>
              <w:jc w:val="both"/>
              <w:rPr>
                <w:rFonts w:ascii="Cambria" w:hAnsi="Cambria"/>
                <w:lang w:val="fr-FR"/>
              </w:rPr>
            </w:pPr>
            <w:r w:rsidRPr="00FB1A1C">
              <w:rPr>
                <w:rFonts w:ascii="Cambria" w:hAnsi="Cambria"/>
                <w:lang w:val="fr-FR"/>
              </w:rPr>
              <w:t xml:space="preserve">Deux ateliers de travail avec les membres de </w:t>
            </w:r>
            <w:proofErr w:type="spellStart"/>
            <w:r w:rsidRPr="00FB1A1C">
              <w:rPr>
                <w:rFonts w:ascii="Cambria" w:hAnsi="Cambria"/>
                <w:lang w:val="fr-FR"/>
              </w:rPr>
              <w:t>Task</w:t>
            </w:r>
            <w:proofErr w:type="spellEnd"/>
            <w:r w:rsidRPr="00FB1A1C">
              <w:rPr>
                <w:rFonts w:ascii="Cambria" w:hAnsi="Cambria"/>
                <w:lang w:val="fr-FR"/>
              </w:rPr>
              <w:t xml:space="preserve"> Force qui travaille sur l’ébauche de projet de décret sur les armes et munitions. Au cours de ces ateliers, le représentant du ministère de la Justice a présenté le travail réalisé ce groupe de travail. L’expert Juridique de UNLIREC a analysé les commentaires formulés par la </w:t>
            </w:r>
            <w:proofErr w:type="spellStart"/>
            <w:r w:rsidRPr="00FB1A1C">
              <w:rPr>
                <w:rFonts w:ascii="Cambria" w:hAnsi="Cambria"/>
                <w:lang w:val="fr-FR"/>
              </w:rPr>
              <w:t>Task</w:t>
            </w:r>
            <w:proofErr w:type="spellEnd"/>
            <w:r w:rsidRPr="00FB1A1C">
              <w:rPr>
                <w:rFonts w:ascii="Cambria" w:hAnsi="Cambria"/>
                <w:lang w:val="fr-FR"/>
              </w:rPr>
              <w:t xml:space="preserve"> Force et produire des propositions juridiques y relatifs.  Le deuxième jour, UNLIREC a présenté aux membres de la </w:t>
            </w:r>
            <w:proofErr w:type="spellStart"/>
            <w:r w:rsidRPr="00FB1A1C">
              <w:rPr>
                <w:rFonts w:ascii="Cambria" w:hAnsi="Cambria"/>
                <w:lang w:val="fr-FR"/>
              </w:rPr>
              <w:t>Task</w:t>
            </w:r>
            <w:proofErr w:type="spellEnd"/>
            <w:r w:rsidRPr="00FB1A1C">
              <w:rPr>
                <w:rFonts w:ascii="Cambria" w:hAnsi="Cambria"/>
                <w:lang w:val="fr-FR"/>
              </w:rPr>
              <w:t xml:space="preserve"> Force les recommandations de l’étude sur le contrôle des agences de sécurité privées, cette séance était très animée compte tenue de la complexité des agences de sécurité en Haïti. </w:t>
            </w:r>
          </w:p>
          <w:p w14:paraId="4B042C2B" w14:textId="6204EDAF" w:rsidR="002E4244" w:rsidRPr="00BF288D" w:rsidRDefault="002E4244" w:rsidP="002E4244">
            <w:pPr>
              <w:jc w:val="both"/>
              <w:rPr>
                <w:lang w:val="fr-FR"/>
              </w:rPr>
            </w:pPr>
            <w:r w:rsidRPr="00FB1A1C">
              <w:rPr>
                <w:rFonts w:ascii="Cambria" w:hAnsi="Cambria"/>
                <w:lang w:val="fr-FR"/>
              </w:rPr>
              <w:t xml:space="preserve">Trois journées de formation des acteurs étatiques concernés par l’objectif 1, 2&amp;3 sur la Feuille de Route des Caraïbes sur les Armes à feu en Haïti. Rappelons, la formation pour les objectifs 1&amp;4 ont été déjà réalisés via zoom. Les institutions participantes : </w:t>
            </w:r>
            <w:proofErr w:type="gramStart"/>
            <w:r w:rsidRPr="00FB1A1C">
              <w:rPr>
                <w:rFonts w:ascii="Cambria" w:hAnsi="Cambria"/>
                <w:lang w:val="fr-FR"/>
              </w:rPr>
              <w:t>Ministère</w:t>
            </w:r>
            <w:proofErr w:type="gramEnd"/>
            <w:r w:rsidRPr="00FB1A1C">
              <w:rPr>
                <w:rFonts w:ascii="Cambria" w:hAnsi="Cambria"/>
                <w:lang w:val="fr-FR"/>
              </w:rPr>
              <w:t xml:space="preserve"> de la Justice, Ministère de l’intérieur et des collectivités territoriales, Ministère de la Défense, Ministères des Affaires Etrangères et des Cultes, Ministère de la Jeunesse des sports et de l’Action Civique, Direction Générale de la PNH, La CNDRR,</w:t>
            </w:r>
            <w:r w:rsidR="00182F8E">
              <w:rPr>
                <w:rFonts w:ascii="Cambria" w:hAnsi="Cambria"/>
                <w:lang w:val="fr-FR"/>
              </w:rPr>
              <w:t xml:space="preserve"> </w:t>
            </w:r>
            <w:r w:rsidRPr="00FB1A1C">
              <w:rPr>
                <w:rFonts w:ascii="Cambria" w:hAnsi="Cambria"/>
                <w:lang w:val="fr-FR"/>
              </w:rPr>
              <w:t>La Direction Générale des douanes, Autorité Portuaire National, La CNDDR, Secrétaire Général de la Primature, UNPOL, PNUD, BINUH.</w:t>
            </w:r>
            <w:r w:rsidRPr="002E4244">
              <w:rPr>
                <w:b/>
                <w:bCs/>
                <w:lang w:val="fr-FR"/>
              </w:rPr>
              <w:t xml:space="preserve"> </w:t>
            </w:r>
          </w:p>
        </w:tc>
      </w:tr>
      <w:tr w:rsidR="002C187A" w:rsidRPr="0000631E" w14:paraId="04EF3772" w14:textId="77777777" w:rsidTr="00116E27">
        <w:tc>
          <w:tcPr>
            <w:tcW w:w="4756" w:type="dxa"/>
            <w:shd w:val="clear" w:color="auto" w:fill="auto"/>
          </w:tcPr>
          <w:p w14:paraId="3FC8EBFD" w14:textId="4AF972EF" w:rsidR="002C187A" w:rsidRPr="00675507" w:rsidRDefault="00675507" w:rsidP="009A1CD3">
            <w:pPr>
              <w:rPr>
                <w:lang w:val="fr-FR"/>
              </w:rPr>
            </w:pPr>
            <w:proofErr w:type="gramStart"/>
            <w:r w:rsidRPr="00675507">
              <w:rPr>
                <w:b/>
                <w:bCs/>
                <w:u w:val="single"/>
                <w:lang w:val="fr-FR"/>
              </w:rPr>
              <w:lastRenderedPageBreak/>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4187770E" w14:textId="07FFE93C" w:rsidR="002C187A" w:rsidRPr="00BF288D" w:rsidRDefault="002C187A" w:rsidP="00BF288D">
            <w:pPr>
              <w:rPr>
                <w:lang w:val="fr-FR"/>
              </w:rPr>
            </w:pPr>
          </w:p>
        </w:tc>
      </w:tr>
    </w:tbl>
    <w:p w14:paraId="1615BE42" w14:textId="77777777" w:rsidR="00924855" w:rsidRDefault="00924855" w:rsidP="00116E27">
      <w:pPr>
        <w:ind w:left="-567"/>
        <w:rPr>
          <w:b/>
          <w:u w:val="single"/>
          <w:lang w:val="fr-FR"/>
        </w:rPr>
      </w:pPr>
    </w:p>
    <w:p w14:paraId="401385A4" w14:textId="77777777" w:rsidR="003758E5" w:rsidRDefault="00600B5F" w:rsidP="00116E27">
      <w:pPr>
        <w:ind w:left="-567"/>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E1EDC97" w:rsidR="003758E5" w:rsidRPr="003758E5" w:rsidRDefault="001745E8" w:rsidP="001B7DD1">
      <w:pPr>
        <w:pStyle w:val="ListParagraph"/>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4D50E2"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4D50E2"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4D50E2"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4D50E2"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4D50E2"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4D50E2"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proofErr w:type="gramStart"/>
      <w:r w:rsidR="00600B5F" w:rsidRPr="000960DC">
        <w:rPr>
          <w:lang w:val="fr-FR"/>
        </w:rPr>
        <w:t>):</w:t>
      </w:r>
      <w:proofErr w:type="gramEnd"/>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B232" w14:textId="77777777" w:rsidR="004D50E2" w:rsidRDefault="004D50E2" w:rsidP="00E76CA1">
      <w:r>
        <w:separator/>
      </w:r>
    </w:p>
  </w:endnote>
  <w:endnote w:type="continuationSeparator" w:id="0">
    <w:p w14:paraId="1B3D8DB7" w14:textId="77777777" w:rsidR="004D50E2" w:rsidRDefault="004D50E2" w:rsidP="00E76CA1">
      <w:r>
        <w:continuationSeparator/>
      </w:r>
    </w:p>
  </w:endnote>
  <w:endnote w:type="continuationNotice" w:id="1">
    <w:p w14:paraId="74A9023A" w14:textId="77777777" w:rsidR="004D50E2" w:rsidRDefault="004D5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F03A5D" w:rsidRDefault="00F03A5D">
    <w:pPr>
      <w:pStyle w:val="Footer"/>
      <w:jc w:val="center"/>
    </w:pPr>
    <w:r>
      <w:fldChar w:fldCharType="begin"/>
    </w:r>
    <w:r>
      <w:instrText xml:space="preserve"> PAGE   \* MERGEFORMAT </w:instrText>
    </w:r>
    <w:r>
      <w:fldChar w:fldCharType="separate"/>
    </w:r>
    <w:r w:rsidR="006E09A4">
      <w:rPr>
        <w:noProof/>
      </w:rPr>
      <w:t>17</w:t>
    </w:r>
    <w:r>
      <w:fldChar w:fldCharType="end"/>
    </w:r>
  </w:p>
  <w:p w14:paraId="6E791841" w14:textId="77777777" w:rsidR="00F03A5D" w:rsidRDefault="00F03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86C5" w14:textId="77777777" w:rsidR="004D50E2" w:rsidRDefault="004D50E2" w:rsidP="00E76CA1">
      <w:r>
        <w:separator/>
      </w:r>
    </w:p>
  </w:footnote>
  <w:footnote w:type="continuationSeparator" w:id="0">
    <w:p w14:paraId="06C68A36" w14:textId="77777777" w:rsidR="004D50E2" w:rsidRDefault="004D50E2" w:rsidP="00E76CA1">
      <w:r>
        <w:continuationSeparator/>
      </w:r>
    </w:p>
  </w:footnote>
  <w:footnote w:type="continuationNotice" w:id="1">
    <w:p w14:paraId="6675A181" w14:textId="77777777" w:rsidR="004D50E2" w:rsidRDefault="004D5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F03A5D" w:rsidRDefault="00F03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5E0"/>
    <w:multiLevelType w:val="hybridMultilevel"/>
    <w:tmpl w:val="B7827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11272B50"/>
    <w:multiLevelType w:val="hybridMultilevel"/>
    <w:tmpl w:val="C6D425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E815CC"/>
    <w:multiLevelType w:val="hybridMultilevel"/>
    <w:tmpl w:val="F17813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3C3094B"/>
    <w:multiLevelType w:val="hybridMultilevel"/>
    <w:tmpl w:val="27960B8E"/>
    <w:lvl w:ilvl="0" w:tplc="2922847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95553"/>
    <w:multiLevelType w:val="hybridMultilevel"/>
    <w:tmpl w:val="D0888446"/>
    <w:lvl w:ilvl="0" w:tplc="6ADE4412">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6" w15:restartNumberingAfterBreak="0">
    <w:nsid w:val="3AAD4D56"/>
    <w:multiLevelType w:val="hybridMultilevel"/>
    <w:tmpl w:val="4C3617C6"/>
    <w:lvl w:ilvl="0" w:tplc="0409000F">
      <w:start w:val="1"/>
      <w:numFmt w:val="decimal"/>
      <w:lvlText w:val="%1."/>
      <w:lvlJc w:val="left"/>
      <w:pPr>
        <w:ind w:left="-90" w:hanging="360"/>
      </w:pPr>
      <w:rPr>
        <w:rFont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449C5179"/>
    <w:multiLevelType w:val="hybridMultilevel"/>
    <w:tmpl w:val="A16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57DD0"/>
    <w:multiLevelType w:val="hybridMultilevel"/>
    <w:tmpl w:val="5AAE5490"/>
    <w:lvl w:ilvl="0" w:tplc="04090001">
      <w:start w:val="1"/>
      <w:numFmt w:val="bullet"/>
      <w:lvlText w:val=""/>
      <w:lvlJc w:val="left"/>
      <w:pPr>
        <w:ind w:left="0" w:hanging="360"/>
      </w:pPr>
      <w:rPr>
        <w:rFonts w:ascii="Symbol" w:hAnsi="Symbol" w:hint="default"/>
      </w:rPr>
    </w:lvl>
    <w:lvl w:ilvl="1" w:tplc="6C042C44">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487868">
    <w:abstractNumId w:val="10"/>
  </w:num>
  <w:num w:numId="2" w16cid:durableId="678234677">
    <w:abstractNumId w:val="11"/>
  </w:num>
  <w:num w:numId="3" w16cid:durableId="1601110311">
    <w:abstractNumId w:val="5"/>
  </w:num>
  <w:num w:numId="4" w16cid:durableId="132522510">
    <w:abstractNumId w:val="7"/>
  </w:num>
  <w:num w:numId="5" w16cid:durableId="1868905443">
    <w:abstractNumId w:val="8"/>
  </w:num>
  <w:num w:numId="6" w16cid:durableId="1308509768">
    <w:abstractNumId w:val="4"/>
  </w:num>
  <w:num w:numId="7" w16cid:durableId="500316278">
    <w:abstractNumId w:val="1"/>
  </w:num>
  <w:num w:numId="8" w16cid:durableId="1994943059">
    <w:abstractNumId w:val="2"/>
  </w:num>
  <w:num w:numId="9" w16cid:durableId="1868522838">
    <w:abstractNumId w:val="0"/>
  </w:num>
  <w:num w:numId="10" w16cid:durableId="846675693">
    <w:abstractNumId w:val="6"/>
  </w:num>
  <w:num w:numId="11" w16cid:durableId="601911802">
    <w:abstractNumId w:val="9"/>
  </w:num>
  <w:num w:numId="12" w16cid:durableId="111104999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361"/>
    <w:rsid w:val="000022C4"/>
    <w:rsid w:val="00002815"/>
    <w:rsid w:val="00005737"/>
    <w:rsid w:val="000057A9"/>
    <w:rsid w:val="0000631E"/>
    <w:rsid w:val="00006DBE"/>
    <w:rsid w:val="00006EC0"/>
    <w:rsid w:val="00010EB0"/>
    <w:rsid w:val="0001109A"/>
    <w:rsid w:val="00013D36"/>
    <w:rsid w:val="00013D69"/>
    <w:rsid w:val="00014B13"/>
    <w:rsid w:val="000164C8"/>
    <w:rsid w:val="00025EFA"/>
    <w:rsid w:val="00031640"/>
    <w:rsid w:val="00045C24"/>
    <w:rsid w:val="00050759"/>
    <w:rsid w:val="00051625"/>
    <w:rsid w:val="00051F71"/>
    <w:rsid w:val="0005216F"/>
    <w:rsid w:val="00052745"/>
    <w:rsid w:val="00052DE5"/>
    <w:rsid w:val="00053EAE"/>
    <w:rsid w:val="000554F8"/>
    <w:rsid w:val="00063017"/>
    <w:rsid w:val="000731D0"/>
    <w:rsid w:val="00075D98"/>
    <w:rsid w:val="0008134A"/>
    <w:rsid w:val="0008233D"/>
    <w:rsid w:val="00082738"/>
    <w:rsid w:val="00084F64"/>
    <w:rsid w:val="00091CFD"/>
    <w:rsid w:val="00092442"/>
    <w:rsid w:val="00093759"/>
    <w:rsid w:val="000960DC"/>
    <w:rsid w:val="000A3A0B"/>
    <w:rsid w:val="000A45F4"/>
    <w:rsid w:val="000A4660"/>
    <w:rsid w:val="000A51DA"/>
    <w:rsid w:val="000A6719"/>
    <w:rsid w:val="000B4E5C"/>
    <w:rsid w:val="000B7954"/>
    <w:rsid w:val="000C17D5"/>
    <w:rsid w:val="000C7EA0"/>
    <w:rsid w:val="000D4F4B"/>
    <w:rsid w:val="000E05AE"/>
    <w:rsid w:val="000E6A96"/>
    <w:rsid w:val="000F05A2"/>
    <w:rsid w:val="000F13B1"/>
    <w:rsid w:val="000F43A8"/>
    <w:rsid w:val="000F508F"/>
    <w:rsid w:val="000F67CF"/>
    <w:rsid w:val="00102C0E"/>
    <w:rsid w:val="001100AA"/>
    <w:rsid w:val="00112741"/>
    <w:rsid w:val="00113D2B"/>
    <w:rsid w:val="00113EC4"/>
    <w:rsid w:val="00116449"/>
    <w:rsid w:val="0011666C"/>
    <w:rsid w:val="00116E27"/>
    <w:rsid w:val="00117EE7"/>
    <w:rsid w:val="00120FA6"/>
    <w:rsid w:val="00121B2D"/>
    <w:rsid w:val="00125C65"/>
    <w:rsid w:val="001307FA"/>
    <w:rsid w:val="00131824"/>
    <w:rsid w:val="00136B32"/>
    <w:rsid w:val="00137E41"/>
    <w:rsid w:val="00137E90"/>
    <w:rsid w:val="001444EE"/>
    <w:rsid w:val="00145766"/>
    <w:rsid w:val="001458E9"/>
    <w:rsid w:val="0015044D"/>
    <w:rsid w:val="00153CD9"/>
    <w:rsid w:val="00155AFB"/>
    <w:rsid w:val="00156AFA"/>
    <w:rsid w:val="00156C4C"/>
    <w:rsid w:val="00157BF2"/>
    <w:rsid w:val="001607B2"/>
    <w:rsid w:val="0016088D"/>
    <w:rsid w:val="00161D02"/>
    <w:rsid w:val="00163C17"/>
    <w:rsid w:val="00170D3A"/>
    <w:rsid w:val="001745E8"/>
    <w:rsid w:val="0018095F"/>
    <w:rsid w:val="00180E63"/>
    <w:rsid w:val="00182F8E"/>
    <w:rsid w:val="0018313E"/>
    <w:rsid w:val="0018446E"/>
    <w:rsid w:val="00185425"/>
    <w:rsid w:val="00186529"/>
    <w:rsid w:val="00187E92"/>
    <w:rsid w:val="00192F1D"/>
    <w:rsid w:val="001948EA"/>
    <w:rsid w:val="00194D4C"/>
    <w:rsid w:val="00196AA8"/>
    <w:rsid w:val="001A1E86"/>
    <w:rsid w:val="001A2539"/>
    <w:rsid w:val="001A3157"/>
    <w:rsid w:val="001A374F"/>
    <w:rsid w:val="001A4786"/>
    <w:rsid w:val="001A76DE"/>
    <w:rsid w:val="001B1EAF"/>
    <w:rsid w:val="001B458D"/>
    <w:rsid w:val="001B4FC7"/>
    <w:rsid w:val="001B5D16"/>
    <w:rsid w:val="001B6DFD"/>
    <w:rsid w:val="001B7DD1"/>
    <w:rsid w:val="001C15CC"/>
    <w:rsid w:val="001C4484"/>
    <w:rsid w:val="001C46E9"/>
    <w:rsid w:val="001C5691"/>
    <w:rsid w:val="001C56B8"/>
    <w:rsid w:val="001C5B82"/>
    <w:rsid w:val="001C5CDD"/>
    <w:rsid w:val="001D1C14"/>
    <w:rsid w:val="001D575F"/>
    <w:rsid w:val="001D6683"/>
    <w:rsid w:val="001D67F9"/>
    <w:rsid w:val="001E0CA7"/>
    <w:rsid w:val="001E660A"/>
    <w:rsid w:val="001F308A"/>
    <w:rsid w:val="0020130A"/>
    <w:rsid w:val="00205EB7"/>
    <w:rsid w:val="0020791D"/>
    <w:rsid w:val="002129DA"/>
    <w:rsid w:val="0021550A"/>
    <w:rsid w:val="00215F41"/>
    <w:rsid w:val="00217A2E"/>
    <w:rsid w:val="00217EB6"/>
    <w:rsid w:val="00222E07"/>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3E5D"/>
    <w:rsid w:val="00254AC2"/>
    <w:rsid w:val="0025525B"/>
    <w:rsid w:val="0027242A"/>
    <w:rsid w:val="00272A58"/>
    <w:rsid w:val="00273AD0"/>
    <w:rsid w:val="0027458A"/>
    <w:rsid w:val="002761A0"/>
    <w:rsid w:val="00280FEA"/>
    <w:rsid w:val="002820E6"/>
    <w:rsid w:val="002822AF"/>
    <w:rsid w:val="00282BD9"/>
    <w:rsid w:val="002855BF"/>
    <w:rsid w:val="00286F66"/>
    <w:rsid w:val="00287878"/>
    <w:rsid w:val="002940E8"/>
    <w:rsid w:val="00296C15"/>
    <w:rsid w:val="00297E1C"/>
    <w:rsid w:val="002A1877"/>
    <w:rsid w:val="002A4D15"/>
    <w:rsid w:val="002B0F98"/>
    <w:rsid w:val="002B17D2"/>
    <w:rsid w:val="002B3207"/>
    <w:rsid w:val="002B346A"/>
    <w:rsid w:val="002B351E"/>
    <w:rsid w:val="002B41D8"/>
    <w:rsid w:val="002B4426"/>
    <w:rsid w:val="002B5F4F"/>
    <w:rsid w:val="002B740B"/>
    <w:rsid w:val="002C187A"/>
    <w:rsid w:val="002C20A8"/>
    <w:rsid w:val="002C2A6D"/>
    <w:rsid w:val="002C5DD0"/>
    <w:rsid w:val="002C7051"/>
    <w:rsid w:val="002D087E"/>
    <w:rsid w:val="002D2FBB"/>
    <w:rsid w:val="002D4247"/>
    <w:rsid w:val="002D68D7"/>
    <w:rsid w:val="002D6DA0"/>
    <w:rsid w:val="002E10E6"/>
    <w:rsid w:val="002E1CED"/>
    <w:rsid w:val="002E3D20"/>
    <w:rsid w:val="002E3F50"/>
    <w:rsid w:val="002E4244"/>
    <w:rsid w:val="002E46C8"/>
    <w:rsid w:val="002E5250"/>
    <w:rsid w:val="002E61AA"/>
    <w:rsid w:val="002E6F58"/>
    <w:rsid w:val="002E745D"/>
    <w:rsid w:val="002F10F6"/>
    <w:rsid w:val="002F15D9"/>
    <w:rsid w:val="002F26EC"/>
    <w:rsid w:val="002F42EA"/>
    <w:rsid w:val="002F6B6F"/>
    <w:rsid w:val="003040D8"/>
    <w:rsid w:val="0030455E"/>
    <w:rsid w:val="00305626"/>
    <w:rsid w:val="003107C9"/>
    <w:rsid w:val="00316D58"/>
    <w:rsid w:val="00317FAC"/>
    <w:rsid w:val="003212BB"/>
    <w:rsid w:val="00321C92"/>
    <w:rsid w:val="003235DF"/>
    <w:rsid w:val="00323ABC"/>
    <w:rsid w:val="00324A7C"/>
    <w:rsid w:val="00324FE5"/>
    <w:rsid w:val="0032699D"/>
    <w:rsid w:val="00333EC9"/>
    <w:rsid w:val="0033515C"/>
    <w:rsid w:val="00335F56"/>
    <w:rsid w:val="00336BF8"/>
    <w:rsid w:val="00342356"/>
    <w:rsid w:val="00343425"/>
    <w:rsid w:val="00343551"/>
    <w:rsid w:val="0034386B"/>
    <w:rsid w:val="00346D73"/>
    <w:rsid w:val="003473C6"/>
    <w:rsid w:val="00351669"/>
    <w:rsid w:val="00355C69"/>
    <w:rsid w:val="0035676B"/>
    <w:rsid w:val="0036386A"/>
    <w:rsid w:val="00366549"/>
    <w:rsid w:val="00372156"/>
    <w:rsid w:val="003722AE"/>
    <w:rsid w:val="0037561F"/>
    <w:rsid w:val="0037563A"/>
    <w:rsid w:val="003758E5"/>
    <w:rsid w:val="00380849"/>
    <w:rsid w:val="003818DB"/>
    <w:rsid w:val="0038232B"/>
    <w:rsid w:val="003834CD"/>
    <w:rsid w:val="00383908"/>
    <w:rsid w:val="00391614"/>
    <w:rsid w:val="00395A35"/>
    <w:rsid w:val="003966E6"/>
    <w:rsid w:val="003968D7"/>
    <w:rsid w:val="003A613D"/>
    <w:rsid w:val="003A6341"/>
    <w:rsid w:val="003B3A5F"/>
    <w:rsid w:val="003B4F6E"/>
    <w:rsid w:val="003B5338"/>
    <w:rsid w:val="003C2A9E"/>
    <w:rsid w:val="003C5283"/>
    <w:rsid w:val="003C5CC6"/>
    <w:rsid w:val="003D12C7"/>
    <w:rsid w:val="003D228B"/>
    <w:rsid w:val="003D4CD7"/>
    <w:rsid w:val="003D4D7C"/>
    <w:rsid w:val="003E56B9"/>
    <w:rsid w:val="003F08B1"/>
    <w:rsid w:val="003F21BE"/>
    <w:rsid w:val="003F36FB"/>
    <w:rsid w:val="003F660A"/>
    <w:rsid w:val="00401516"/>
    <w:rsid w:val="004017BD"/>
    <w:rsid w:val="00402083"/>
    <w:rsid w:val="004023AC"/>
    <w:rsid w:val="00402514"/>
    <w:rsid w:val="0040513F"/>
    <w:rsid w:val="00405DE7"/>
    <w:rsid w:val="00411A5F"/>
    <w:rsid w:val="00413EAF"/>
    <w:rsid w:val="00414097"/>
    <w:rsid w:val="00416BEF"/>
    <w:rsid w:val="004213AF"/>
    <w:rsid w:val="00425AF8"/>
    <w:rsid w:val="004327B0"/>
    <w:rsid w:val="00433EF7"/>
    <w:rsid w:val="00437584"/>
    <w:rsid w:val="00437FF5"/>
    <w:rsid w:val="00442A74"/>
    <w:rsid w:val="0045149A"/>
    <w:rsid w:val="0046101E"/>
    <w:rsid w:val="00461944"/>
    <w:rsid w:val="00464188"/>
    <w:rsid w:val="00470EC3"/>
    <w:rsid w:val="00476758"/>
    <w:rsid w:val="00477CF8"/>
    <w:rsid w:val="00480A02"/>
    <w:rsid w:val="0048168F"/>
    <w:rsid w:val="00482CB3"/>
    <w:rsid w:val="00482EBC"/>
    <w:rsid w:val="00484092"/>
    <w:rsid w:val="00484169"/>
    <w:rsid w:val="0048437C"/>
    <w:rsid w:val="00495AC5"/>
    <w:rsid w:val="004965A3"/>
    <w:rsid w:val="004A210E"/>
    <w:rsid w:val="004A49E6"/>
    <w:rsid w:val="004B0EA3"/>
    <w:rsid w:val="004B1E1E"/>
    <w:rsid w:val="004B5601"/>
    <w:rsid w:val="004B5B20"/>
    <w:rsid w:val="004B7BB8"/>
    <w:rsid w:val="004C3DC3"/>
    <w:rsid w:val="004C4272"/>
    <w:rsid w:val="004C4F3B"/>
    <w:rsid w:val="004C5A06"/>
    <w:rsid w:val="004D141E"/>
    <w:rsid w:val="004D50E2"/>
    <w:rsid w:val="004E33A8"/>
    <w:rsid w:val="004E3B3E"/>
    <w:rsid w:val="004E3BD7"/>
    <w:rsid w:val="004E4E75"/>
    <w:rsid w:val="004E5518"/>
    <w:rsid w:val="004E600D"/>
    <w:rsid w:val="004E6614"/>
    <w:rsid w:val="004F016F"/>
    <w:rsid w:val="004F7D22"/>
    <w:rsid w:val="00500587"/>
    <w:rsid w:val="00505758"/>
    <w:rsid w:val="005129DA"/>
    <w:rsid w:val="00513612"/>
    <w:rsid w:val="00513D8E"/>
    <w:rsid w:val="00515C66"/>
    <w:rsid w:val="00515EEF"/>
    <w:rsid w:val="005174D6"/>
    <w:rsid w:val="0051786C"/>
    <w:rsid w:val="0052062E"/>
    <w:rsid w:val="005208FF"/>
    <w:rsid w:val="00521468"/>
    <w:rsid w:val="005216B2"/>
    <w:rsid w:val="00524A80"/>
    <w:rsid w:val="00526655"/>
    <w:rsid w:val="00526735"/>
    <w:rsid w:val="00526B32"/>
    <w:rsid w:val="0053126F"/>
    <w:rsid w:val="00533A3C"/>
    <w:rsid w:val="00535054"/>
    <w:rsid w:val="005357D9"/>
    <w:rsid w:val="00536175"/>
    <w:rsid w:val="005405E1"/>
    <w:rsid w:val="00541F2E"/>
    <w:rsid w:val="0054416C"/>
    <w:rsid w:val="00544390"/>
    <w:rsid w:val="00544781"/>
    <w:rsid w:val="005460E0"/>
    <w:rsid w:val="005470AF"/>
    <w:rsid w:val="00547D66"/>
    <w:rsid w:val="00547F47"/>
    <w:rsid w:val="00550982"/>
    <w:rsid w:val="0055185F"/>
    <w:rsid w:val="005538D2"/>
    <w:rsid w:val="00553A7C"/>
    <w:rsid w:val="00553D53"/>
    <w:rsid w:val="00557957"/>
    <w:rsid w:val="0056007A"/>
    <w:rsid w:val="0056086D"/>
    <w:rsid w:val="00561C6B"/>
    <w:rsid w:val="005647DC"/>
    <w:rsid w:val="0057086A"/>
    <w:rsid w:val="00570F63"/>
    <w:rsid w:val="005718ED"/>
    <w:rsid w:val="0058153F"/>
    <w:rsid w:val="0058301B"/>
    <w:rsid w:val="00590937"/>
    <w:rsid w:val="0059166A"/>
    <w:rsid w:val="00592733"/>
    <w:rsid w:val="00593B59"/>
    <w:rsid w:val="00595DBA"/>
    <w:rsid w:val="005A0FF0"/>
    <w:rsid w:val="005A2661"/>
    <w:rsid w:val="005A26F8"/>
    <w:rsid w:val="005A56E0"/>
    <w:rsid w:val="005C187A"/>
    <w:rsid w:val="005C1FC7"/>
    <w:rsid w:val="005C46F4"/>
    <w:rsid w:val="005C4963"/>
    <w:rsid w:val="005C4BBA"/>
    <w:rsid w:val="005C68B4"/>
    <w:rsid w:val="005D15A3"/>
    <w:rsid w:val="005D2343"/>
    <w:rsid w:val="005D545C"/>
    <w:rsid w:val="005D5A4A"/>
    <w:rsid w:val="005D653E"/>
    <w:rsid w:val="005E3B28"/>
    <w:rsid w:val="005F0CC2"/>
    <w:rsid w:val="005F2A4E"/>
    <w:rsid w:val="005F439F"/>
    <w:rsid w:val="005F77DA"/>
    <w:rsid w:val="00600B5F"/>
    <w:rsid w:val="00600E1A"/>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4E8E"/>
    <w:rsid w:val="00635112"/>
    <w:rsid w:val="00643A9E"/>
    <w:rsid w:val="00646FF7"/>
    <w:rsid w:val="006500AC"/>
    <w:rsid w:val="00651323"/>
    <w:rsid w:val="00656A65"/>
    <w:rsid w:val="006578BB"/>
    <w:rsid w:val="00657A0F"/>
    <w:rsid w:val="006608DA"/>
    <w:rsid w:val="006645BE"/>
    <w:rsid w:val="006648F5"/>
    <w:rsid w:val="00664EA0"/>
    <w:rsid w:val="0067044E"/>
    <w:rsid w:val="00670D17"/>
    <w:rsid w:val="00671040"/>
    <w:rsid w:val="0067321D"/>
    <w:rsid w:val="006734B3"/>
    <w:rsid w:val="0067356E"/>
    <w:rsid w:val="00673D6E"/>
    <w:rsid w:val="00675507"/>
    <w:rsid w:val="006811AD"/>
    <w:rsid w:val="0068294B"/>
    <w:rsid w:val="006907EE"/>
    <w:rsid w:val="00691C2F"/>
    <w:rsid w:val="006947B7"/>
    <w:rsid w:val="006969E7"/>
    <w:rsid w:val="006A07CA"/>
    <w:rsid w:val="006A207B"/>
    <w:rsid w:val="006A2E42"/>
    <w:rsid w:val="006A5032"/>
    <w:rsid w:val="006A5B0E"/>
    <w:rsid w:val="006A7C8E"/>
    <w:rsid w:val="006B4DED"/>
    <w:rsid w:val="006C1819"/>
    <w:rsid w:val="006C29FB"/>
    <w:rsid w:val="006C2BF7"/>
    <w:rsid w:val="006D0366"/>
    <w:rsid w:val="006D3593"/>
    <w:rsid w:val="006D3F0B"/>
    <w:rsid w:val="006D5799"/>
    <w:rsid w:val="006D60AB"/>
    <w:rsid w:val="006D6B92"/>
    <w:rsid w:val="006E09A4"/>
    <w:rsid w:val="006E10BF"/>
    <w:rsid w:val="006E2489"/>
    <w:rsid w:val="006E4DA8"/>
    <w:rsid w:val="006E7CF8"/>
    <w:rsid w:val="006F0257"/>
    <w:rsid w:val="006F0654"/>
    <w:rsid w:val="006F0B62"/>
    <w:rsid w:val="006F0F2D"/>
    <w:rsid w:val="006F1516"/>
    <w:rsid w:val="006F4051"/>
    <w:rsid w:val="006F4A07"/>
    <w:rsid w:val="006F690E"/>
    <w:rsid w:val="006F74C9"/>
    <w:rsid w:val="007058CE"/>
    <w:rsid w:val="007065B1"/>
    <w:rsid w:val="007073F6"/>
    <w:rsid w:val="007118F5"/>
    <w:rsid w:val="0071286E"/>
    <w:rsid w:val="007133CF"/>
    <w:rsid w:val="0071506D"/>
    <w:rsid w:val="00715EC6"/>
    <w:rsid w:val="00720431"/>
    <w:rsid w:val="0072746A"/>
    <w:rsid w:val="00727AD6"/>
    <w:rsid w:val="007308CD"/>
    <w:rsid w:val="007317AD"/>
    <w:rsid w:val="0073324E"/>
    <w:rsid w:val="00734278"/>
    <w:rsid w:val="00740B1E"/>
    <w:rsid w:val="0074108E"/>
    <w:rsid w:val="00741135"/>
    <w:rsid w:val="00742F27"/>
    <w:rsid w:val="00742FDD"/>
    <w:rsid w:val="007435E3"/>
    <w:rsid w:val="00744AB6"/>
    <w:rsid w:val="007451EC"/>
    <w:rsid w:val="00745803"/>
    <w:rsid w:val="00747601"/>
    <w:rsid w:val="00751279"/>
    <w:rsid w:val="00751324"/>
    <w:rsid w:val="00751DAF"/>
    <w:rsid w:val="00753159"/>
    <w:rsid w:val="00753687"/>
    <w:rsid w:val="007569BB"/>
    <w:rsid w:val="00757DB2"/>
    <w:rsid w:val="00761508"/>
    <w:rsid w:val="007626C9"/>
    <w:rsid w:val="00764773"/>
    <w:rsid w:val="00764B9C"/>
    <w:rsid w:val="0076624E"/>
    <w:rsid w:val="007712FB"/>
    <w:rsid w:val="007717E2"/>
    <w:rsid w:val="007740D4"/>
    <w:rsid w:val="007756B0"/>
    <w:rsid w:val="00782959"/>
    <w:rsid w:val="00782E30"/>
    <w:rsid w:val="0078378E"/>
    <w:rsid w:val="00785E5E"/>
    <w:rsid w:val="0078600B"/>
    <w:rsid w:val="00790676"/>
    <w:rsid w:val="00791410"/>
    <w:rsid w:val="00792F6E"/>
    <w:rsid w:val="007937AE"/>
    <w:rsid w:val="00793DE6"/>
    <w:rsid w:val="00793E8B"/>
    <w:rsid w:val="007958F2"/>
    <w:rsid w:val="00796D8F"/>
    <w:rsid w:val="007A1B5F"/>
    <w:rsid w:val="007A37FF"/>
    <w:rsid w:val="007A4F3E"/>
    <w:rsid w:val="007A5985"/>
    <w:rsid w:val="007A777F"/>
    <w:rsid w:val="007B10F6"/>
    <w:rsid w:val="007B1BE5"/>
    <w:rsid w:val="007B368E"/>
    <w:rsid w:val="007B5B14"/>
    <w:rsid w:val="007B5D05"/>
    <w:rsid w:val="007B7CDC"/>
    <w:rsid w:val="007C0973"/>
    <w:rsid w:val="007C304F"/>
    <w:rsid w:val="007C595C"/>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7A89"/>
    <w:rsid w:val="0085105B"/>
    <w:rsid w:val="00853068"/>
    <w:rsid w:val="00861669"/>
    <w:rsid w:val="008632DB"/>
    <w:rsid w:val="008640A5"/>
    <w:rsid w:val="00865821"/>
    <w:rsid w:val="00865AFA"/>
    <w:rsid w:val="00865FA0"/>
    <w:rsid w:val="008664A8"/>
    <w:rsid w:val="00866627"/>
    <w:rsid w:val="00866E96"/>
    <w:rsid w:val="00874634"/>
    <w:rsid w:val="00875EA5"/>
    <w:rsid w:val="00881D4B"/>
    <w:rsid w:val="00891AE7"/>
    <w:rsid w:val="008A1155"/>
    <w:rsid w:val="008A3181"/>
    <w:rsid w:val="008B1B75"/>
    <w:rsid w:val="008B3518"/>
    <w:rsid w:val="008B5A12"/>
    <w:rsid w:val="008B7E23"/>
    <w:rsid w:val="008C782A"/>
    <w:rsid w:val="008E1083"/>
    <w:rsid w:val="008E3872"/>
    <w:rsid w:val="008E729D"/>
    <w:rsid w:val="008E78E5"/>
    <w:rsid w:val="008F01A3"/>
    <w:rsid w:val="008F5112"/>
    <w:rsid w:val="008F6703"/>
    <w:rsid w:val="008F7388"/>
    <w:rsid w:val="00900D78"/>
    <w:rsid w:val="00901C1E"/>
    <w:rsid w:val="00910FE1"/>
    <w:rsid w:val="0091229B"/>
    <w:rsid w:val="00912D25"/>
    <w:rsid w:val="00915C96"/>
    <w:rsid w:val="00915D77"/>
    <w:rsid w:val="00916DF8"/>
    <w:rsid w:val="0091758E"/>
    <w:rsid w:val="009216A8"/>
    <w:rsid w:val="00921C68"/>
    <w:rsid w:val="00924115"/>
    <w:rsid w:val="00924855"/>
    <w:rsid w:val="0092673B"/>
    <w:rsid w:val="0093134E"/>
    <w:rsid w:val="00931786"/>
    <w:rsid w:val="00937ABE"/>
    <w:rsid w:val="0094076C"/>
    <w:rsid w:val="00945925"/>
    <w:rsid w:val="00952D96"/>
    <w:rsid w:val="00952DE4"/>
    <w:rsid w:val="00953C30"/>
    <w:rsid w:val="009568EF"/>
    <w:rsid w:val="00956B79"/>
    <w:rsid w:val="00965F6B"/>
    <w:rsid w:val="00970D92"/>
    <w:rsid w:val="00970F4C"/>
    <w:rsid w:val="0097130A"/>
    <w:rsid w:val="00974D94"/>
    <w:rsid w:val="009774FE"/>
    <w:rsid w:val="009832F8"/>
    <w:rsid w:val="009839DA"/>
    <w:rsid w:val="00985E49"/>
    <w:rsid w:val="00986B00"/>
    <w:rsid w:val="00990282"/>
    <w:rsid w:val="00991418"/>
    <w:rsid w:val="0099429E"/>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40E7"/>
    <w:rsid w:val="009C7856"/>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11260"/>
    <w:rsid w:val="00A150B5"/>
    <w:rsid w:val="00A276CA"/>
    <w:rsid w:val="00A31988"/>
    <w:rsid w:val="00A34FE2"/>
    <w:rsid w:val="00A35FDA"/>
    <w:rsid w:val="00A360E8"/>
    <w:rsid w:val="00A41736"/>
    <w:rsid w:val="00A41F17"/>
    <w:rsid w:val="00A4395F"/>
    <w:rsid w:val="00A43B9C"/>
    <w:rsid w:val="00A4581B"/>
    <w:rsid w:val="00A45BD4"/>
    <w:rsid w:val="00A46B06"/>
    <w:rsid w:val="00A471E3"/>
    <w:rsid w:val="00A47DDA"/>
    <w:rsid w:val="00A509C6"/>
    <w:rsid w:val="00A50AEA"/>
    <w:rsid w:val="00A52A49"/>
    <w:rsid w:val="00A53C94"/>
    <w:rsid w:val="00A53DBD"/>
    <w:rsid w:val="00A54EC4"/>
    <w:rsid w:val="00A56DD8"/>
    <w:rsid w:val="00A6017D"/>
    <w:rsid w:val="00A64309"/>
    <w:rsid w:val="00A6484C"/>
    <w:rsid w:val="00A64A02"/>
    <w:rsid w:val="00A656C0"/>
    <w:rsid w:val="00A66688"/>
    <w:rsid w:val="00A72B7A"/>
    <w:rsid w:val="00A77540"/>
    <w:rsid w:val="00A81DF0"/>
    <w:rsid w:val="00A8266F"/>
    <w:rsid w:val="00A843B5"/>
    <w:rsid w:val="00A855EA"/>
    <w:rsid w:val="00A86B3F"/>
    <w:rsid w:val="00A86F4D"/>
    <w:rsid w:val="00A87C05"/>
    <w:rsid w:val="00A9067B"/>
    <w:rsid w:val="00A90E80"/>
    <w:rsid w:val="00A9152F"/>
    <w:rsid w:val="00A91FCD"/>
    <w:rsid w:val="00A96579"/>
    <w:rsid w:val="00A96786"/>
    <w:rsid w:val="00A9791E"/>
    <w:rsid w:val="00AA1DFA"/>
    <w:rsid w:val="00AA2E50"/>
    <w:rsid w:val="00AA363D"/>
    <w:rsid w:val="00AA7C77"/>
    <w:rsid w:val="00AB1104"/>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26E9"/>
    <w:rsid w:val="00AE4399"/>
    <w:rsid w:val="00AF2D89"/>
    <w:rsid w:val="00AF7DA4"/>
    <w:rsid w:val="00B00EBD"/>
    <w:rsid w:val="00B02ACF"/>
    <w:rsid w:val="00B0370E"/>
    <w:rsid w:val="00B03E68"/>
    <w:rsid w:val="00B05E35"/>
    <w:rsid w:val="00B124BD"/>
    <w:rsid w:val="00B12FB8"/>
    <w:rsid w:val="00B1734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51409"/>
    <w:rsid w:val="00B613E6"/>
    <w:rsid w:val="00B6401E"/>
    <w:rsid w:val="00B652A1"/>
    <w:rsid w:val="00B6641B"/>
    <w:rsid w:val="00B702C0"/>
    <w:rsid w:val="00B72458"/>
    <w:rsid w:val="00B735DD"/>
    <w:rsid w:val="00B737D1"/>
    <w:rsid w:val="00B7459B"/>
    <w:rsid w:val="00B749E2"/>
    <w:rsid w:val="00B74CE9"/>
    <w:rsid w:val="00B7553C"/>
    <w:rsid w:val="00B75C20"/>
    <w:rsid w:val="00B82635"/>
    <w:rsid w:val="00B82C51"/>
    <w:rsid w:val="00B82E71"/>
    <w:rsid w:val="00B8367F"/>
    <w:rsid w:val="00B91F39"/>
    <w:rsid w:val="00BA3317"/>
    <w:rsid w:val="00BA4ECF"/>
    <w:rsid w:val="00BA4F96"/>
    <w:rsid w:val="00BA5D85"/>
    <w:rsid w:val="00BA6209"/>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288D"/>
    <w:rsid w:val="00BF41E2"/>
    <w:rsid w:val="00BF43F8"/>
    <w:rsid w:val="00BF4E1E"/>
    <w:rsid w:val="00BF6BFB"/>
    <w:rsid w:val="00C03A4D"/>
    <w:rsid w:val="00C0670D"/>
    <w:rsid w:val="00C07A0C"/>
    <w:rsid w:val="00C107F6"/>
    <w:rsid w:val="00C12D6A"/>
    <w:rsid w:val="00C13590"/>
    <w:rsid w:val="00C145CF"/>
    <w:rsid w:val="00C21952"/>
    <w:rsid w:val="00C221D7"/>
    <w:rsid w:val="00C2331C"/>
    <w:rsid w:val="00C27302"/>
    <w:rsid w:val="00C30188"/>
    <w:rsid w:val="00C30624"/>
    <w:rsid w:val="00C30F72"/>
    <w:rsid w:val="00C312C0"/>
    <w:rsid w:val="00C33887"/>
    <w:rsid w:val="00C418DF"/>
    <w:rsid w:val="00C41926"/>
    <w:rsid w:val="00C42FB9"/>
    <w:rsid w:val="00C459FC"/>
    <w:rsid w:val="00C52BDA"/>
    <w:rsid w:val="00C578BE"/>
    <w:rsid w:val="00C61129"/>
    <w:rsid w:val="00C616AD"/>
    <w:rsid w:val="00C63C0A"/>
    <w:rsid w:val="00C640B2"/>
    <w:rsid w:val="00C72CF8"/>
    <w:rsid w:val="00C731D9"/>
    <w:rsid w:val="00C74E37"/>
    <w:rsid w:val="00C846A4"/>
    <w:rsid w:val="00C847EE"/>
    <w:rsid w:val="00C853D5"/>
    <w:rsid w:val="00C874B6"/>
    <w:rsid w:val="00C955F4"/>
    <w:rsid w:val="00C96336"/>
    <w:rsid w:val="00CA1B43"/>
    <w:rsid w:val="00CA6C99"/>
    <w:rsid w:val="00CB02F7"/>
    <w:rsid w:val="00CB25A2"/>
    <w:rsid w:val="00CB4B5C"/>
    <w:rsid w:val="00CB5499"/>
    <w:rsid w:val="00CC2015"/>
    <w:rsid w:val="00CC26EB"/>
    <w:rsid w:val="00CC59E5"/>
    <w:rsid w:val="00CD2F67"/>
    <w:rsid w:val="00CD3754"/>
    <w:rsid w:val="00CD502F"/>
    <w:rsid w:val="00CD5E04"/>
    <w:rsid w:val="00CD5E74"/>
    <w:rsid w:val="00CE0239"/>
    <w:rsid w:val="00CE132D"/>
    <w:rsid w:val="00CE3184"/>
    <w:rsid w:val="00CE3BEA"/>
    <w:rsid w:val="00CE499C"/>
    <w:rsid w:val="00CE7C3A"/>
    <w:rsid w:val="00CF04AE"/>
    <w:rsid w:val="00D03D06"/>
    <w:rsid w:val="00D046BD"/>
    <w:rsid w:val="00D06A43"/>
    <w:rsid w:val="00D07542"/>
    <w:rsid w:val="00D079BC"/>
    <w:rsid w:val="00D12CC9"/>
    <w:rsid w:val="00D13792"/>
    <w:rsid w:val="00D147C9"/>
    <w:rsid w:val="00D163B4"/>
    <w:rsid w:val="00D21E2D"/>
    <w:rsid w:val="00D22B42"/>
    <w:rsid w:val="00D26972"/>
    <w:rsid w:val="00D30647"/>
    <w:rsid w:val="00D3351A"/>
    <w:rsid w:val="00D34147"/>
    <w:rsid w:val="00D36AF6"/>
    <w:rsid w:val="00D36E09"/>
    <w:rsid w:val="00D37BA4"/>
    <w:rsid w:val="00D41969"/>
    <w:rsid w:val="00D44632"/>
    <w:rsid w:val="00D450BB"/>
    <w:rsid w:val="00D5259B"/>
    <w:rsid w:val="00D5552B"/>
    <w:rsid w:val="00D557FD"/>
    <w:rsid w:val="00D569A1"/>
    <w:rsid w:val="00D61557"/>
    <w:rsid w:val="00D632A3"/>
    <w:rsid w:val="00D65589"/>
    <w:rsid w:val="00D65BB5"/>
    <w:rsid w:val="00D6788F"/>
    <w:rsid w:val="00D70EC5"/>
    <w:rsid w:val="00D755D9"/>
    <w:rsid w:val="00D76947"/>
    <w:rsid w:val="00D82C29"/>
    <w:rsid w:val="00D8421B"/>
    <w:rsid w:val="00D84A39"/>
    <w:rsid w:val="00D85131"/>
    <w:rsid w:val="00D8543B"/>
    <w:rsid w:val="00D9483A"/>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13E5"/>
    <w:rsid w:val="00E13590"/>
    <w:rsid w:val="00E15DDF"/>
    <w:rsid w:val="00E2217C"/>
    <w:rsid w:val="00E271E4"/>
    <w:rsid w:val="00E31B37"/>
    <w:rsid w:val="00E33CB7"/>
    <w:rsid w:val="00E34912"/>
    <w:rsid w:val="00E3564C"/>
    <w:rsid w:val="00E35E72"/>
    <w:rsid w:val="00E368B3"/>
    <w:rsid w:val="00E41079"/>
    <w:rsid w:val="00E42721"/>
    <w:rsid w:val="00E43490"/>
    <w:rsid w:val="00E4352E"/>
    <w:rsid w:val="00E44AF0"/>
    <w:rsid w:val="00E5082E"/>
    <w:rsid w:val="00E513CC"/>
    <w:rsid w:val="00E51A66"/>
    <w:rsid w:val="00E5415A"/>
    <w:rsid w:val="00E5487E"/>
    <w:rsid w:val="00E54C30"/>
    <w:rsid w:val="00E55349"/>
    <w:rsid w:val="00E55557"/>
    <w:rsid w:val="00E62ED2"/>
    <w:rsid w:val="00E658A1"/>
    <w:rsid w:val="00E671FC"/>
    <w:rsid w:val="00E71252"/>
    <w:rsid w:val="00E7397F"/>
    <w:rsid w:val="00E7406B"/>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EF4286"/>
    <w:rsid w:val="00F0120E"/>
    <w:rsid w:val="00F03A5D"/>
    <w:rsid w:val="00F04601"/>
    <w:rsid w:val="00F05682"/>
    <w:rsid w:val="00F162A3"/>
    <w:rsid w:val="00F17161"/>
    <w:rsid w:val="00F177AC"/>
    <w:rsid w:val="00F20F55"/>
    <w:rsid w:val="00F2227D"/>
    <w:rsid w:val="00F2233A"/>
    <w:rsid w:val="00F23D0F"/>
    <w:rsid w:val="00F2629E"/>
    <w:rsid w:val="00F32725"/>
    <w:rsid w:val="00F34857"/>
    <w:rsid w:val="00F3653F"/>
    <w:rsid w:val="00F36B57"/>
    <w:rsid w:val="00F3788F"/>
    <w:rsid w:val="00F41E30"/>
    <w:rsid w:val="00F434C7"/>
    <w:rsid w:val="00F50F8B"/>
    <w:rsid w:val="00F5504F"/>
    <w:rsid w:val="00F5578A"/>
    <w:rsid w:val="00F56A95"/>
    <w:rsid w:val="00F63733"/>
    <w:rsid w:val="00F63B1C"/>
    <w:rsid w:val="00F63FBE"/>
    <w:rsid w:val="00F664B6"/>
    <w:rsid w:val="00F71684"/>
    <w:rsid w:val="00F72415"/>
    <w:rsid w:val="00F75EBF"/>
    <w:rsid w:val="00F76C54"/>
    <w:rsid w:val="00F76F11"/>
    <w:rsid w:val="00F773B2"/>
    <w:rsid w:val="00F778A1"/>
    <w:rsid w:val="00F80B98"/>
    <w:rsid w:val="00F81B93"/>
    <w:rsid w:val="00F84319"/>
    <w:rsid w:val="00F858BA"/>
    <w:rsid w:val="00F86077"/>
    <w:rsid w:val="00F86697"/>
    <w:rsid w:val="00F8747A"/>
    <w:rsid w:val="00F90494"/>
    <w:rsid w:val="00F90BC0"/>
    <w:rsid w:val="00F92DC8"/>
    <w:rsid w:val="00F933A1"/>
    <w:rsid w:val="00F94E76"/>
    <w:rsid w:val="00FA0393"/>
    <w:rsid w:val="00FA1F56"/>
    <w:rsid w:val="00FA2ECD"/>
    <w:rsid w:val="00FA49A7"/>
    <w:rsid w:val="00FA703B"/>
    <w:rsid w:val="00FB1A1C"/>
    <w:rsid w:val="00FB1CB1"/>
    <w:rsid w:val="00FB27F5"/>
    <w:rsid w:val="00FB5C17"/>
    <w:rsid w:val="00FC00B2"/>
    <w:rsid w:val="00FC14D4"/>
    <w:rsid w:val="00FC1C72"/>
    <w:rsid w:val="00FC5060"/>
    <w:rsid w:val="00FC7475"/>
    <w:rsid w:val="00FD00AA"/>
    <w:rsid w:val="00FD0105"/>
    <w:rsid w:val="00FD0B1C"/>
    <w:rsid w:val="00FD2745"/>
    <w:rsid w:val="00FD7A4A"/>
    <w:rsid w:val="00FE2242"/>
    <w:rsid w:val="00FE2348"/>
    <w:rsid w:val="00FE41B0"/>
    <w:rsid w:val="00FE63C1"/>
    <w:rsid w:val="00FF1B3A"/>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C459F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Bullets,normal,List Paragraph1,Normal1,Normal2,Normal3,Normal4,Normal5,Normal6,Normal7,References,Liste 1,Numbered List Paragraph,ReferencesCxSpLast,Colorful List - Accent 11,List Paragraph (numbered (a)),WB Para,Normal11,Normal8,Premier"/>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1">
    <w:name w:val="Unresolved Mention1"/>
    <w:basedOn w:val="DefaultParagraphFont"/>
    <w:uiPriority w:val="99"/>
    <w:semiHidden/>
    <w:unhideWhenUsed/>
    <w:rsid w:val="00117EE7"/>
    <w:rPr>
      <w:color w:val="605E5C"/>
      <w:shd w:val="clear" w:color="auto" w:fill="E1DFDD"/>
    </w:rPr>
  </w:style>
  <w:style w:type="character" w:customStyle="1" w:styleId="Aucun">
    <w:name w:val="Aucun"/>
    <w:rsid w:val="007C595C"/>
    <w:rPr>
      <w:lang w:val="fr-FR"/>
    </w:rPr>
  </w:style>
  <w:style w:type="character" w:customStyle="1" w:styleId="ListParagraphChar">
    <w:name w:val="List Paragraph Char"/>
    <w:aliases w:val="Bullets Char,normal Char,List Paragraph1 Char,Normal1 Char,Normal2 Char,Normal3 Char,Normal4 Char,Normal5 Char,Normal6 Char,Normal7 Char,References Char,Liste 1 Char,Numbered List Paragraph Char,ReferencesCxSpLast Char,WB Para Char"/>
    <w:link w:val="ListParagraph"/>
    <w:uiPriority w:val="34"/>
    <w:locked/>
    <w:rsid w:val="00125C65"/>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C459FC"/>
    <w:rPr>
      <w:rFonts w:asciiTheme="majorHAnsi" w:eastAsiaTheme="majorEastAsia" w:hAnsiTheme="majorHAnsi" w:cstheme="majorBidi"/>
      <w:color w:val="1F3763" w:themeColor="accent1" w:themeShade="7F"/>
      <w:sz w:val="24"/>
      <w:szCs w:val="24"/>
      <w:lang w:val="en-GB" w:eastAsia="en-GB"/>
    </w:rPr>
  </w:style>
  <w:style w:type="character" w:customStyle="1" w:styleId="UnresolvedMention2">
    <w:name w:val="Unresolved Mention2"/>
    <w:basedOn w:val="DefaultParagraphFont"/>
    <w:uiPriority w:val="99"/>
    <w:semiHidden/>
    <w:unhideWhenUsed/>
    <w:rsid w:val="00C4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3531">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twitter.com/IOMHaiti/status/151938162060779110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witter.com/IOMHaiti/status/1517477398501015554" TargetMode="External"/><Relationship Id="rId2" Type="http://schemas.openxmlformats.org/officeDocument/2006/relationships/customXml" Target="../customXml/item2.xml"/><Relationship Id="rId16" Type="http://schemas.openxmlformats.org/officeDocument/2006/relationships/hyperlink" Target="https://twitter.com/IOMHaiti/status/15067357154760212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witter.com/IOMHaiti/status/1494676544790351875" TargetMode="External"/><Relationship Id="rId10" Type="http://schemas.openxmlformats.org/officeDocument/2006/relationships/footnotes" Target="footnotes.xml"/><Relationship Id="rId19" Type="http://schemas.openxmlformats.org/officeDocument/2006/relationships/hyperlink" Target="https://twitter.com/IOMHaiti/status/151938162060779110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616FA94FC26344814AA6FE731B67B2" ma:contentTypeVersion="16" ma:contentTypeDescription="Create a new document." ma:contentTypeScope="" ma:versionID="fc72062e1832517abe5863420b974b50">
  <xsd:schema xmlns:xsd="http://www.w3.org/2001/XMLSchema" xmlns:xs="http://www.w3.org/2001/XMLSchema" xmlns:p="http://schemas.microsoft.com/office/2006/metadata/properties" xmlns:ns2="305b661b-2560-49f0-a4d5-a5e447653fb6" xmlns:ns3="0fe82d3d-21e7-4f19-ab21-3ac9669bf145" targetNamespace="http://schemas.microsoft.com/office/2006/metadata/properties" ma:root="true" ma:fieldsID="8ba52e342b3daf28f2821cdb60712555" ns2:_="" ns3:_="">
    <xsd:import namespace="305b661b-2560-49f0-a4d5-a5e447653fb6"/>
    <xsd:import namespace="0fe82d3d-21e7-4f19-ab21-3ac9669bf1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b661b-2560-49f0-a4d5-a5e447653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82d3d-21e7-4f19-ab21-3ac9669bf1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70c06-cad0-4fa0-93e2-8af63f3edc75}" ma:internalName="TaxCatchAll" ma:showField="CatchAllData" ma:web="0fe82d3d-21e7-4f19-ab21-3ac9669bf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e82d3d-21e7-4f19-ab21-3ac9669bf145" xsi:nil="true"/>
    <lcf76f155ced4ddcb4097134ff3c332f xmlns="305b661b-2560-49f0-a4d5-a5e447653fb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168C37FB-89F6-4171-8641-45BBCFFC4C9A}">
  <ds:schemaRefs>
    <ds:schemaRef ds:uri="http://schemas.openxmlformats.org/officeDocument/2006/bibliography"/>
  </ds:schemaRefs>
</ds:datastoreItem>
</file>

<file path=customXml/itemProps3.xml><?xml version="1.0" encoding="utf-8"?>
<ds:datastoreItem xmlns:ds="http://schemas.openxmlformats.org/officeDocument/2006/customXml" ds:itemID="{D13EA978-C8C3-4A54-8A38-0B8CA45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b661b-2560-49f0-a4d5-a5e447653fb6"/>
    <ds:schemaRef ds:uri="0fe82d3d-21e7-4f19-ab21-3ac9669bf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0fe82d3d-21e7-4f19-ab21-3ac9669bf145"/>
    <ds:schemaRef ds:uri="305b661b-2560-49f0-a4d5-a5e447653fb6"/>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6039</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Tony Kouemo</cp:lastModifiedBy>
  <cp:revision>2</cp:revision>
  <cp:lastPrinted>2014-02-10T17:12:00Z</cp:lastPrinted>
  <dcterms:created xsi:type="dcterms:W3CDTF">2022-06-13T20:34:00Z</dcterms:created>
  <dcterms:modified xsi:type="dcterms:W3CDTF">2022-06-13T20:34:00Z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0x01010004616FA94FC26344814AA6FE731B67B2</vt:lpwstr>
  </property>
</Properties>
</file>