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2AED1AE3"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0F43A8" w:rsidRPr="00136BFF">
        <w:rPr>
          <w:b/>
          <w:lang w:val="fr-FR"/>
        </w:rPr>
        <w:t>RAPPORT DE PROGRES DE PROJET PBF</w:t>
      </w:r>
    </w:p>
    <w:p w14:paraId="7FF6AF87" w14:textId="0905FCCB" w:rsidR="000F43A8" w:rsidRPr="00773416" w:rsidRDefault="006024F9"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773416" w:rsidRPr="00773416">
        <w:rPr>
          <w:bCs/>
          <w:iCs/>
          <w:snapToGrid w:val="0"/>
          <w:szCs w:val="28"/>
          <w:lang w:val="fr-FR"/>
        </w:rPr>
        <w:t xml:space="preserve">République démocratique du </w:t>
      </w:r>
      <w:r w:rsidR="00773416">
        <w:rPr>
          <w:bCs/>
          <w:iCs/>
          <w:snapToGrid w:val="0"/>
          <w:szCs w:val="28"/>
          <w:lang w:val="fr-FR"/>
        </w:rPr>
        <w:t>Congo</w:t>
      </w:r>
    </w:p>
    <w:p w14:paraId="35B8BCCA" w14:textId="366DBCB4"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6024F9" w:rsidRPr="001948EA">
        <w:rPr>
          <w:b/>
          <w:bCs/>
          <w:caps/>
          <w:sz w:val="22"/>
          <w:szCs w:val="22"/>
          <w:lang w:val="fr-FR"/>
        </w:rPr>
        <w:t>RAPPORT :</w:t>
      </w:r>
      <w:r w:rsidRPr="001948EA">
        <w:rPr>
          <w:b/>
          <w:bCs/>
          <w:caps/>
          <w:sz w:val="22"/>
          <w:szCs w:val="22"/>
          <w:lang w:val="fr-FR"/>
        </w:rPr>
        <w:t xml:space="preserve"> SEMESTRIEL</w:t>
      </w:r>
    </w:p>
    <w:p w14:paraId="0B2F56D8" w14:textId="5A9BDCB8" w:rsidR="000554F8" w:rsidRDefault="00500587" w:rsidP="000F43A8">
      <w:pPr>
        <w:jc w:val="center"/>
        <w:rPr>
          <w:bCs/>
          <w:iCs/>
          <w:snapToGrid w:val="0"/>
          <w:szCs w:val="28"/>
        </w:rPr>
      </w:pPr>
      <w:r>
        <w:rPr>
          <w:b/>
          <w:bCs/>
          <w:caps/>
        </w:rPr>
        <w:t>ANNEE</w:t>
      </w:r>
      <w:r w:rsidR="000F43A8">
        <w:rPr>
          <w:b/>
          <w:bCs/>
          <w:caps/>
        </w:rPr>
        <w:t xml:space="preserve"> DE RAPPORT: </w:t>
      </w:r>
      <w:r w:rsidR="00773416">
        <w:rPr>
          <w:bCs/>
          <w:iCs/>
          <w:snapToGrid w:val="0"/>
          <w:szCs w:val="28"/>
        </w:rPr>
        <w:t>2022</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773416" w14:paraId="26E9F2DE" w14:textId="77777777" w:rsidTr="6595E2F0">
        <w:trPr>
          <w:trHeight w:val="422"/>
        </w:trPr>
        <w:tc>
          <w:tcPr>
            <w:tcW w:w="10080" w:type="dxa"/>
            <w:gridSpan w:val="2"/>
          </w:tcPr>
          <w:p w14:paraId="11EF4F5F" w14:textId="26985506"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017501"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773416">
              <w:rPr>
                <w:rFonts w:ascii="Times New Roman" w:hAnsi="Times New Roman" w:cs="Times New Roman"/>
                <w:bCs/>
                <w:iCs/>
                <w:snapToGrid w:val="0"/>
                <w:sz w:val="24"/>
                <w:szCs w:val="24"/>
                <w:lang w:val="fr-CD"/>
              </w:rPr>
              <w:t>R</w:t>
            </w:r>
            <w:r w:rsidR="00773416" w:rsidRPr="006235C0">
              <w:rPr>
                <w:rFonts w:ascii="Times New Roman" w:hAnsi="Times New Roman" w:cs="Times New Roman"/>
                <w:bCs/>
                <w:iCs/>
                <w:snapToGrid w:val="0"/>
                <w:sz w:val="24"/>
                <w:szCs w:val="24"/>
                <w:lang w:val="fr-CD"/>
              </w:rPr>
              <w:t>enforcer la cohésion sociale et la confiance entre la population et les autorités à travers la police de proximité, le dialogue et la revitalisation socio-économique</w:t>
            </w:r>
          </w:p>
          <w:p w14:paraId="262315D6" w14:textId="77777777" w:rsidR="00773416" w:rsidRPr="001D61A5" w:rsidRDefault="00773416" w:rsidP="000F43A8">
            <w:pPr>
              <w:rPr>
                <w:b/>
                <w:lang w:val="fr-FR"/>
              </w:rPr>
            </w:pPr>
          </w:p>
          <w:p w14:paraId="24C4A490" w14:textId="3320B802" w:rsidR="00773416" w:rsidRPr="00773416" w:rsidRDefault="000F43A8" w:rsidP="000F43A8">
            <w:pPr>
              <w:rPr>
                <w:b/>
              </w:rPr>
            </w:pPr>
            <w:proofErr w:type="spellStart"/>
            <w:r w:rsidRPr="00773416">
              <w:rPr>
                <w:b/>
                <w:lang w:val="en-US"/>
              </w:rPr>
              <w:t>Numéro</w:t>
            </w:r>
            <w:proofErr w:type="spellEnd"/>
            <w:r w:rsidRPr="00773416">
              <w:rPr>
                <w:b/>
                <w:lang w:val="en-US"/>
              </w:rPr>
              <w:t xml:space="preserve"> </w:t>
            </w:r>
            <w:proofErr w:type="spellStart"/>
            <w:r w:rsidRPr="00773416">
              <w:rPr>
                <w:b/>
                <w:lang w:val="en-US"/>
              </w:rPr>
              <w:t>Projet</w:t>
            </w:r>
            <w:proofErr w:type="spellEnd"/>
            <w:r w:rsidRPr="00773416">
              <w:rPr>
                <w:b/>
                <w:lang w:val="en-US"/>
              </w:rPr>
              <w:t xml:space="preserve"> / MPTF Gateway</w:t>
            </w:r>
            <w:r w:rsidR="00793DE6" w:rsidRPr="00773416">
              <w:rPr>
                <w:b/>
                <w:lang w:val="en-US"/>
              </w:rPr>
              <w:t xml:space="preserve">: </w:t>
            </w:r>
            <w:r w:rsidR="00634741">
              <w:rPr>
                <w:lang w:val="en-US"/>
              </w:rPr>
              <w:t xml:space="preserve"> PRF</w:t>
            </w:r>
            <w:r w:rsidR="00773416" w:rsidRPr="00976749">
              <w:rPr>
                <w:lang w:val="en-US"/>
              </w:rPr>
              <w:t>-</w:t>
            </w:r>
            <w:r w:rsidR="00773416">
              <w:rPr>
                <w:lang w:val="en-US"/>
              </w:rPr>
              <w:t>00</w:t>
            </w:r>
            <w:r w:rsidR="00773416" w:rsidRPr="00976749">
              <w:rPr>
                <w:lang w:val="en-US"/>
              </w:rPr>
              <w:t>123720</w:t>
            </w:r>
          </w:p>
        </w:tc>
      </w:tr>
      <w:tr w:rsidR="00A43B9C" w:rsidRPr="00BB4A8C" w14:paraId="27B16979" w14:textId="77777777" w:rsidTr="6595E2F0">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3A69D8BF" w:rsidR="000F43A8" w:rsidRPr="0069221B" w:rsidRDefault="00634741" w:rsidP="000F43A8">
            <w:pPr>
              <w:tabs>
                <w:tab w:val="left" w:pos="0"/>
              </w:tabs>
              <w:suppressAutoHyphens/>
              <w:rPr>
                <w:b/>
                <w:spacing w:val="-3"/>
                <w:lang w:val="fr-FR"/>
              </w:rPr>
            </w:pPr>
            <w:r>
              <w:fldChar w:fldCharType="begin">
                <w:ffData>
                  <w:name w:val="Check1"/>
                  <w:enabled/>
                  <w:calcOnExit w:val="0"/>
                  <w:checkBox>
                    <w:sizeAuto/>
                    <w:default w:val="0"/>
                  </w:checkBox>
                </w:ffData>
              </w:fldChar>
            </w:r>
            <w:r w:rsidRPr="00BB4A8C">
              <w:rPr>
                <w:lang w:val="fr-FR"/>
              </w:rPr>
              <w:instrText xml:space="preserve"> </w:instrText>
            </w:r>
            <w:bookmarkStart w:id="0" w:name="Check1"/>
            <w:r w:rsidRPr="00BB4A8C">
              <w:rPr>
                <w:lang w:val="fr-FR"/>
              </w:rPr>
              <w:instrText xml:space="preserve">FORMCHECKBOX </w:instrText>
            </w:r>
            <w:r w:rsidR="00BB4A8C">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BB4A8C">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F326AB6"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093CAE"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66E06016"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017501" w:rsidRPr="000F43A8">
              <w:rPr>
                <w:b/>
                <w:bCs/>
                <w:iCs/>
                <w:lang w:val="fr-FR"/>
              </w:rPr>
              <w:t>récipiendaire :</w:t>
            </w:r>
            <w:r w:rsidRPr="000F43A8">
              <w:rPr>
                <w:b/>
                <w:bCs/>
                <w:iCs/>
                <w:lang w:val="fr-FR"/>
              </w:rPr>
              <w:t xml:space="preserve"> </w:t>
            </w:r>
          </w:p>
          <w:p w14:paraId="2FF52B1A" w14:textId="77777777" w:rsidR="00A43B9C" w:rsidRPr="00773416" w:rsidRDefault="00A43B9C" w:rsidP="00A43B9C">
            <w:pPr>
              <w:rPr>
                <w:b/>
                <w:bCs/>
                <w:iCs/>
                <w:sz w:val="22"/>
                <w:szCs w:val="22"/>
                <w:lang w:val="fr-FR"/>
              </w:rPr>
            </w:pPr>
          </w:p>
          <w:p w14:paraId="13A9252A" w14:textId="05EB1B19" w:rsidR="00773416" w:rsidRPr="00773416" w:rsidRDefault="00634741" w:rsidP="00773416">
            <w:pPr>
              <w:rPr>
                <w:sz w:val="22"/>
                <w:szCs w:val="22"/>
                <w:lang w:val="fr-FR"/>
              </w:rPr>
            </w:pPr>
            <w:r>
              <w:rPr>
                <w:sz w:val="22"/>
                <w:szCs w:val="22"/>
                <w:lang w:val="fr-FR"/>
              </w:rPr>
              <w:t xml:space="preserve">RUNO : </w:t>
            </w:r>
            <w:r w:rsidR="00773416" w:rsidRPr="00773416">
              <w:rPr>
                <w:sz w:val="22"/>
                <w:szCs w:val="22"/>
                <w:lang w:val="fr-FR"/>
              </w:rPr>
              <w:t>Organisation Internationale pour les Migrations (OIM) (Agence coordinatrice) ;</w:t>
            </w:r>
          </w:p>
          <w:p w14:paraId="5B0381B7" w14:textId="052FF900" w:rsidR="00773416" w:rsidRPr="00773416" w:rsidRDefault="00634741" w:rsidP="00773416">
            <w:pPr>
              <w:rPr>
                <w:sz w:val="22"/>
                <w:szCs w:val="22"/>
                <w:lang w:val="fr-FR"/>
              </w:rPr>
            </w:pPr>
            <w:r>
              <w:rPr>
                <w:sz w:val="22"/>
                <w:szCs w:val="22"/>
                <w:lang w:val="fr-FR"/>
              </w:rPr>
              <w:t xml:space="preserve">RUNO : </w:t>
            </w:r>
            <w:r w:rsidR="00773416" w:rsidRPr="00773416">
              <w:rPr>
                <w:sz w:val="22"/>
                <w:szCs w:val="22"/>
                <w:lang w:val="fr-FR"/>
              </w:rPr>
              <w:t xml:space="preserve">Programme des Nations Unies pour </w:t>
            </w:r>
            <w:r w:rsidR="00120698" w:rsidRPr="00773416">
              <w:rPr>
                <w:sz w:val="22"/>
                <w:szCs w:val="22"/>
                <w:lang w:val="fr-FR"/>
              </w:rPr>
              <w:t>le Développement</w:t>
            </w:r>
            <w:r w:rsidR="00773416" w:rsidRPr="00773416">
              <w:rPr>
                <w:sz w:val="22"/>
                <w:szCs w:val="22"/>
                <w:lang w:val="fr-FR"/>
              </w:rPr>
              <w:t xml:space="preserve"> (PNUD) ; </w:t>
            </w:r>
          </w:p>
          <w:p w14:paraId="309431EF" w14:textId="1C703178" w:rsidR="00773416" w:rsidRPr="00773416" w:rsidRDefault="00634741" w:rsidP="00773416">
            <w:pPr>
              <w:rPr>
                <w:sz w:val="22"/>
                <w:szCs w:val="22"/>
                <w:lang w:val="fr-FR"/>
              </w:rPr>
            </w:pPr>
            <w:r>
              <w:rPr>
                <w:sz w:val="22"/>
                <w:szCs w:val="22"/>
                <w:lang w:val="fr-FR"/>
              </w:rPr>
              <w:t xml:space="preserve">RUNO : </w:t>
            </w:r>
            <w:r w:rsidR="00773416" w:rsidRPr="00773416">
              <w:rPr>
                <w:sz w:val="22"/>
                <w:szCs w:val="22"/>
                <w:lang w:val="fr-FR"/>
              </w:rPr>
              <w:t>Entité des Nations Unies pour l’égalité de sexe et l’autonomisation des Femmes (ONU Femmes).</w:t>
            </w:r>
          </w:p>
          <w:p w14:paraId="0673E8AA" w14:textId="70AF6456" w:rsidR="00A43B9C" w:rsidRPr="00773416"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p>
        </w:tc>
      </w:tr>
      <w:tr w:rsidR="00793DE6" w:rsidRPr="00634741" w14:paraId="72CE853D" w14:textId="77777777" w:rsidTr="6595E2F0">
        <w:trPr>
          <w:trHeight w:val="368"/>
        </w:trPr>
        <w:tc>
          <w:tcPr>
            <w:tcW w:w="10080" w:type="dxa"/>
            <w:gridSpan w:val="2"/>
          </w:tcPr>
          <w:p w14:paraId="5C2804C5" w14:textId="045E7AE0" w:rsidR="00793DE6" w:rsidRPr="000F43A8" w:rsidRDefault="000F43A8" w:rsidP="00F23D0F">
            <w:pPr>
              <w:rPr>
                <w:b/>
                <w:bCs/>
                <w:iCs/>
                <w:lang w:val="fr-FR"/>
              </w:rPr>
            </w:pPr>
            <w:r w:rsidRPr="000F43A8">
              <w:rPr>
                <w:b/>
                <w:bCs/>
                <w:iCs/>
                <w:lang w:val="fr-FR"/>
              </w:rPr>
              <w:t xml:space="preserve">Date du premier transfert de </w:t>
            </w:r>
            <w:r w:rsidR="00112A6B" w:rsidRPr="000F43A8">
              <w:rPr>
                <w:b/>
                <w:bCs/>
                <w:iCs/>
                <w:lang w:val="fr-FR"/>
              </w:rPr>
              <w:t>fonds :</w:t>
            </w:r>
            <w:r w:rsidR="00793DE6" w:rsidRPr="000F43A8">
              <w:rPr>
                <w:b/>
                <w:bCs/>
                <w:iCs/>
                <w:lang w:val="fr-FR"/>
              </w:rPr>
              <w:t xml:space="preserve"> </w:t>
            </w:r>
            <w:r w:rsidR="00773416" w:rsidRPr="00532037">
              <w:rPr>
                <w:iCs/>
                <w:lang w:val="fr-FR"/>
              </w:rPr>
              <w:t>17/09/2020</w:t>
            </w:r>
          </w:p>
          <w:p w14:paraId="064BF427" w14:textId="396F0CE3" w:rsidR="004D141E" w:rsidRPr="001D61A5" w:rsidRDefault="000F43A8" w:rsidP="00F23D0F">
            <w:pPr>
              <w:rPr>
                <w:bCs/>
                <w:iCs/>
                <w:snapToGrid w:val="0"/>
                <w:lang w:val="fr-FR"/>
              </w:rPr>
            </w:pPr>
            <w:r w:rsidRPr="000F43A8">
              <w:rPr>
                <w:b/>
                <w:bCs/>
                <w:iCs/>
                <w:lang w:val="fr-FR"/>
              </w:rPr>
              <w:t xml:space="preserve">Date de fin de </w:t>
            </w:r>
            <w:r w:rsidR="003F21B4" w:rsidRPr="000F43A8">
              <w:rPr>
                <w:b/>
                <w:bCs/>
                <w:iCs/>
                <w:lang w:val="fr-FR"/>
              </w:rPr>
              <w:t>projet :</w:t>
            </w:r>
            <w:r w:rsidR="00793DE6" w:rsidRPr="000F43A8">
              <w:rPr>
                <w:b/>
                <w:bCs/>
                <w:iCs/>
                <w:lang w:val="fr-FR"/>
              </w:rPr>
              <w:t xml:space="preserve"> </w:t>
            </w:r>
            <w:r w:rsidR="0078761F">
              <w:rPr>
                <w:iCs/>
                <w:lang w:val="fr-CD"/>
              </w:rPr>
              <w:t>16</w:t>
            </w:r>
            <w:r w:rsidR="0078761F" w:rsidRPr="003B30F3">
              <w:rPr>
                <w:iCs/>
                <w:lang w:val="fr-CD"/>
              </w:rPr>
              <w:t>/0</w:t>
            </w:r>
            <w:r w:rsidR="0078761F">
              <w:rPr>
                <w:iCs/>
                <w:lang w:val="fr-CD"/>
              </w:rPr>
              <w:t>9</w:t>
            </w:r>
            <w:r w:rsidR="0078761F" w:rsidRPr="003B30F3">
              <w:rPr>
                <w:iCs/>
                <w:lang w:val="fr-CD"/>
              </w:rPr>
              <w:t>/2022</w:t>
            </w:r>
            <w:r w:rsidR="00634741">
              <w:rPr>
                <w:iCs/>
                <w:lang w:val="fr-CD"/>
              </w:rPr>
              <w:t xml:space="preserve"> (avec 6 mois d’extension sans coût)</w:t>
            </w:r>
          </w:p>
          <w:p w14:paraId="2AE235F0" w14:textId="0F9D7829"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B658D1" w:rsidRPr="000F43A8">
              <w:rPr>
                <w:b/>
                <w:iCs/>
                <w:snapToGrid w:val="0"/>
                <w:lang w:val="fr-FR"/>
              </w:rPr>
              <w:t>œuvre ?</w:t>
            </w:r>
            <w:r w:rsidR="0025220B" w:rsidRPr="000F43A8">
              <w:rPr>
                <w:bCs/>
                <w:iCs/>
                <w:snapToGrid w:val="0"/>
                <w:lang w:val="fr-FR"/>
              </w:rPr>
              <w:t xml:space="preserve"> </w:t>
            </w:r>
            <w:r w:rsidR="0078761F" w:rsidRPr="00BB4A8C">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089CD878"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C15C72">
              <w:rPr>
                <w:b/>
                <w:bCs/>
                <w:iCs/>
                <w:lang w:val="fr-FR"/>
              </w:rPr>
              <w:t>PBF</w:t>
            </w:r>
            <w:r w:rsidR="00C15C72" w:rsidRPr="005D721B">
              <w:rPr>
                <w:b/>
                <w:bCs/>
                <w:iCs/>
                <w:lang w:val="fr-FR"/>
              </w:rPr>
              <w:t xml:space="preserve"> :</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B4A8C">
              <w:rPr>
                <w:lang w:val="fr-FR"/>
              </w:rPr>
            </w:r>
            <w:r w:rsidR="00BB4A8C">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B4A8C">
              <w:rPr>
                <w:lang w:val="fr-FR"/>
              </w:rPr>
            </w:r>
            <w:r w:rsidR="00BB4A8C">
              <w:rPr>
                <w:lang w:val="fr-FR"/>
              </w:rPr>
              <w:fldChar w:fldCharType="separate"/>
            </w:r>
            <w:r w:rsidRPr="005D721B">
              <w:rPr>
                <w:lang w:val="fr-FR"/>
              </w:rPr>
              <w:fldChar w:fldCharType="end"/>
            </w:r>
            <w:r w:rsidRPr="005D721B">
              <w:rPr>
                <w:lang w:val="fr-FR"/>
              </w:rPr>
              <w:t xml:space="preserve"> Initiative de promotion de la jeunesse</w:t>
            </w:r>
          </w:p>
          <w:p w14:paraId="422AAC34" w14:textId="0F51B276" w:rsidR="000F43A8" w:rsidRPr="005D721B" w:rsidRDefault="0078761F" w:rsidP="000F43A8">
            <w:pPr>
              <w:rPr>
                <w:sz w:val="22"/>
                <w:szCs w:val="22"/>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BB4A8C">
              <w:rPr>
                <w:lang w:val="fr-FR"/>
              </w:rPr>
            </w:r>
            <w:r w:rsidR="00BB4A8C">
              <w:rPr>
                <w:lang w:val="fr-FR"/>
              </w:rPr>
              <w:fldChar w:fldCharType="separate"/>
            </w:r>
            <w:r>
              <w:rPr>
                <w:lang w:val="fr-FR"/>
              </w:rPr>
              <w:fldChar w:fldCharType="end"/>
            </w:r>
            <w:r w:rsidR="000F43A8" w:rsidRPr="005D721B">
              <w:rPr>
                <w:lang w:val="fr-FR"/>
              </w:rPr>
              <w:t xml:space="preserve"> Transition entre différentes configurations de </w:t>
            </w:r>
            <w:r w:rsidR="000F43A8"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B4A8C">
              <w:rPr>
                <w:lang w:val="fr-FR"/>
              </w:rPr>
            </w:r>
            <w:r w:rsidR="00BB4A8C">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BB4A8C"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7B753D4D" w14:textId="77777777" w:rsidR="00117EE7" w:rsidRPr="00117EE7" w:rsidRDefault="00117EE7" w:rsidP="001B7DD1">
            <w:pPr>
              <w:pStyle w:val="ListParagraph"/>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bookmarkStart w:id="1" w:name="_Hlk106092593"/>
          </w:p>
          <w:tbl>
            <w:tblPr>
              <w:tblStyle w:val="TableGrid"/>
              <w:tblW w:w="0" w:type="auto"/>
              <w:tblLook w:val="04A0" w:firstRow="1" w:lastRow="0" w:firstColumn="1" w:lastColumn="0" w:noHBand="0" w:noVBand="1"/>
            </w:tblPr>
            <w:tblGrid>
              <w:gridCol w:w="3799"/>
              <w:gridCol w:w="2018"/>
              <w:gridCol w:w="2018"/>
              <w:gridCol w:w="2019"/>
            </w:tblGrid>
            <w:tr w:rsidR="001A2539" w:rsidRPr="00BB4A8C" w14:paraId="3D65A18C" w14:textId="77777777" w:rsidTr="00E81748">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BB4A8C" w14:paraId="5F79C4FD" w14:textId="77777777" w:rsidTr="00E81748">
              <w:tc>
                <w:tcPr>
                  <w:tcW w:w="3799" w:type="dxa"/>
                </w:tcPr>
                <w:p w14:paraId="7EF33D3D" w14:textId="7C1C0C2E" w:rsidR="001A2539" w:rsidRPr="000960DC" w:rsidRDefault="002F2023" w:rsidP="001A2539">
                  <w:pPr>
                    <w:rPr>
                      <w:b/>
                      <w:bCs/>
                      <w:iCs/>
                      <w:lang w:val="fr-FR"/>
                    </w:rPr>
                  </w:pPr>
                  <w:r w:rsidRPr="00001ACA">
                    <w:rPr>
                      <w:bCs/>
                      <w:iCs/>
                      <w:snapToGrid w:val="0"/>
                      <w:lang w:val="fr-FR"/>
                    </w:rPr>
                    <w:t>OIM</w:t>
                  </w:r>
                </w:p>
              </w:tc>
              <w:tc>
                <w:tcPr>
                  <w:tcW w:w="2018" w:type="dxa"/>
                </w:tcPr>
                <w:p w14:paraId="54815501" w14:textId="09ACFB58" w:rsidR="001A2539" w:rsidRPr="000960DC" w:rsidRDefault="0085712C" w:rsidP="001A2539">
                  <w:pPr>
                    <w:jc w:val="center"/>
                    <w:rPr>
                      <w:b/>
                      <w:bCs/>
                      <w:iCs/>
                      <w:lang w:val="fr-FR"/>
                    </w:rPr>
                  </w:pPr>
                  <w:r w:rsidRPr="00001ACA">
                    <w:rPr>
                      <w:iCs/>
                      <w:snapToGrid w:val="0"/>
                      <w:sz w:val="22"/>
                      <w:szCs w:val="22"/>
                      <w:lang w:val="fr-FR"/>
                    </w:rPr>
                    <w:t>2.444.129</w:t>
                  </w:r>
                </w:p>
              </w:tc>
              <w:tc>
                <w:tcPr>
                  <w:tcW w:w="2018" w:type="dxa"/>
                </w:tcPr>
                <w:p w14:paraId="00A6ED58" w14:textId="4C331E48" w:rsidR="001A2539" w:rsidRPr="000960DC" w:rsidRDefault="00D92CF4" w:rsidP="001A2539">
                  <w:pPr>
                    <w:jc w:val="center"/>
                    <w:rPr>
                      <w:b/>
                      <w:bCs/>
                      <w:iCs/>
                      <w:lang w:val="fr-FR"/>
                    </w:rPr>
                  </w:pPr>
                  <w:r>
                    <w:rPr>
                      <w:b/>
                      <w:bCs/>
                      <w:iCs/>
                      <w:lang w:val="fr-FR"/>
                    </w:rPr>
                    <w:t>977 652</w:t>
                  </w:r>
                </w:p>
              </w:tc>
              <w:tc>
                <w:tcPr>
                  <w:tcW w:w="2019" w:type="dxa"/>
                </w:tcPr>
                <w:p w14:paraId="1EEC049D" w14:textId="601D9CA7" w:rsidR="001A2539" w:rsidRPr="000960DC" w:rsidRDefault="007D32F5" w:rsidP="001A2539">
                  <w:pPr>
                    <w:jc w:val="center"/>
                    <w:rPr>
                      <w:b/>
                      <w:bCs/>
                      <w:iCs/>
                      <w:lang w:val="fr-FR"/>
                    </w:rPr>
                  </w:pPr>
                  <w:r>
                    <w:rPr>
                      <w:b/>
                      <w:bCs/>
                      <w:iCs/>
                      <w:lang w:val="fr-FR"/>
                    </w:rPr>
                    <w:t>1 842 686</w:t>
                  </w:r>
                </w:p>
              </w:tc>
            </w:tr>
            <w:tr w:rsidR="001A662D" w:rsidRPr="00BB4A8C" w14:paraId="0CD61B42" w14:textId="77777777" w:rsidTr="00E81748">
              <w:tc>
                <w:tcPr>
                  <w:tcW w:w="3799" w:type="dxa"/>
                </w:tcPr>
                <w:p w14:paraId="5D870DF7" w14:textId="0B828A83" w:rsidR="001A662D" w:rsidRPr="000960DC" w:rsidRDefault="001A662D" w:rsidP="001A662D">
                  <w:pPr>
                    <w:rPr>
                      <w:b/>
                      <w:bCs/>
                      <w:iCs/>
                      <w:lang w:val="fr-FR"/>
                    </w:rPr>
                  </w:pPr>
                  <w:r w:rsidRPr="00001ACA">
                    <w:rPr>
                      <w:bCs/>
                      <w:iCs/>
                      <w:snapToGrid w:val="0"/>
                      <w:lang w:val="fr-FR"/>
                    </w:rPr>
                    <w:t>UNDP</w:t>
                  </w:r>
                </w:p>
              </w:tc>
              <w:tc>
                <w:tcPr>
                  <w:tcW w:w="2018" w:type="dxa"/>
                </w:tcPr>
                <w:p w14:paraId="212F9C0B" w14:textId="6B0F8D1B" w:rsidR="001A662D" w:rsidRPr="000960DC" w:rsidRDefault="001A662D" w:rsidP="001A662D">
                  <w:pPr>
                    <w:jc w:val="center"/>
                    <w:rPr>
                      <w:b/>
                      <w:bCs/>
                      <w:iCs/>
                      <w:lang w:val="fr-FR"/>
                    </w:rPr>
                  </w:pPr>
                  <w:r w:rsidRPr="00001ACA">
                    <w:rPr>
                      <w:iCs/>
                      <w:sz w:val="22"/>
                      <w:szCs w:val="22"/>
                      <w:lang w:val="fr-FR"/>
                    </w:rPr>
                    <w:t>1.231.356</w:t>
                  </w:r>
                </w:p>
              </w:tc>
              <w:tc>
                <w:tcPr>
                  <w:tcW w:w="2018" w:type="dxa"/>
                </w:tcPr>
                <w:p w14:paraId="3A820745" w14:textId="4EA527DD" w:rsidR="001A662D" w:rsidRPr="00634741" w:rsidRDefault="00DA132A" w:rsidP="001A662D">
                  <w:pPr>
                    <w:jc w:val="center"/>
                    <w:rPr>
                      <w:b/>
                      <w:bCs/>
                      <w:lang w:val="fr-FR" w:eastAsia="zh-CN"/>
                    </w:rPr>
                  </w:pPr>
                  <w:r w:rsidRPr="00634741">
                    <w:rPr>
                      <w:b/>
                      <w:bCs/>
                      <w:lang w:val="fr-FR" w:eastAsia="zh-CN"/>
                    </w:rPr>
                    <w:t>492 542,40</w:t>
                  </w:r>
                </w:p>
              </w:tc>
              <w:tc>
                <w:tcPr>
                  <w:tcW w:w="2019" w:type="dxa"/>
                </w:tcPr>
                <w:p w14:paraId="295DC187" w14:textId="30F72838" w:rsidR="001A662D" w:rsidRPr="00634741" w:rsidRDefault="00DA132A" w:rsidP="001A662D">
                  <w:pPr>
                    <w:jc w:val="center"/>
                    <w:rPr>
                      <w:b/>
                      <w:bCs/>
                      <w:lang w:val="fr-FR" w:eastAsia="zh-CN"/>
                    </w:rPr>
                  </w:pPr>
                  <w:r w:rsidRPr="00634741">
                    <w:rPr>
                      <w:b/>
                      <w:bCs/>
                      <w:lang w:val="fr-FR" w:eastAsia="zh-CN"/>
                    </w:rPr>
                    <w:t>277 819,64 </w:t>
                  </w:r>
                </w:p>
              </w:tc>
            </w:tr>
            <w:tr w:rsidR="001A662D" w:rsidRPr="00BB4A8C" w14:paraId="6D432D7C" w14:textId="77777777" w:rsidTr="00E81748">
              <w:tc>
                <w:tcPr>
                  <w:tcW w:w="3799" w:type="dxa"/>
                </w:tcPr>
                <w:p w14:paraId="0CE063D5" w14:textId="24CBB8E4" w:rsidR="001A662D" w:rsidRPr="000960DC" w:rsidRDefault="001A662D" w:rsidP="001A662D">
                  <w:pPr>
                    <w:rPr>
                      <w:b/>
                      <w:bCs/>
                      <w:iCs/>
                      <w:lang w:val="fr-FR"/>
                    </w:rPr>
                  </w:pPr>
                  <w:r>
                    <w:rPr>
                      <w:bCs/>
                      <w:iCs/>
                      <w:snapToGrid w:val="0"/>
                      <w:lang w:val="fr-FR"/>
                    </w:rPr>
                    <w:t xml:space="preserve">ONU Femmes                                          </w:t>
                  </w:r>
                </w:p>
              </w:tc>
              <w:tc>
                <w:tcPr>
                  <w:tcW w:w="2018" w:type="dxa"/>
                </w:tcPr>
                <w:p w14:paraId="1762A657" w14:textId="14CECB81" w:rsidR="001A662D" w:rsidRPr="000960DC" w:rsidRDefault="001A662D" w:rsidP="001A662D">
                  <w:pPr>
                    <w:jc w:val="center"/>
                    <w:rPr>
                      <w:b/>
                      <w:bCs/>
                      <w:iCs/>
                      <w:lang w:val="fr-FR"/>
                    </w:rPr>
                  </w:pPr>
                  <w:r w:rsidRPr="00001ACA">
                    <w:rPr>
                      <w:color w:val="000000"/>
                      <w:sz w:val="22"/>
                      <w:szCs w:val="22"/>
                      <w:lang w:val="fr-FR"/>
                    </w:rPr>
                    <w:t>879.540</w:t>
                  </w:r>
                </w:p>
              </w:tc>
              <w:tc>
                <w:tcPr>
                  <w:tcW w:w="2018" w:type="dxa"/>
                </w:tcPr>
                <w:p w14:paraId="3E9427C7" w14:textId="5C61E190" w:rsidR="001A662D" w:rsidRPr="000960DC" w:rsidRDefault="00082DDF" w:rsidP="001A662D">
                  <w:pPr>
                    <w:jc w:val="center"/>
                    <w:rPr>
                      <w:b/>
                      <w:bCs/>
                      <w:iCs/>
                      <w:lang w:val="fr-FR"/>
                    </w:rPr>
                  </w:pPr>
                  <w:r w:rsidRPr="00657D09">
                    <w:rPr>
                      <w:b/>
                      <w:bCs/>
                      <w:lang w:val="fr-FR" w:eastAsia="zh-CN"/>
                    </w:rPr>
                    <w:t>351 816</w:t>
                  </w:r>
                </w:p>
              </w:tc>
              <w:tc>
                <w:tcPr>
                  <w:tcW w:w="2019" w:type="dxa"/>
                </w:tcPr>
                <w:p w14:paraId="54C6E4C5" w14:textId="32173904" w:rsidR="001A662D" w:rsidRPr="000960DC" w:rsidRDefault="00082DDF" w:rsidP="001A662D">
                  <w:pPr>
                    <w:jc w:val="center"/>
                    <w:rPr>
                      <w:b/>
                      <w:bCs/>
                      <w:iCs/>
                      <w:lang w:val="fr-FR"/>
                    </w:rPr>
                  </w:pPr>
                  <w:r w:rsidRPr="00657D09">
                    <w:rPr>
                      <w:b/>
                      <w:bCs/>
                      <w:color w:val="000000"/>
                      <w:lang w:val="fr-FR" w:eastAsia="zh-CN"/>
                    </w:rPr>
                    <w:t>336 003,73</w:t>
                  </w:r>
                </w:p>
              </w:tc>
            </w:tr>
            <w:tr w:rsidR="001A2539" w:rsidRPr="00BB4A8C" w14:paraId="2D0EA8FE" w14:textId="77777777" w:rsidTr="00E81748">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3FF310EA" w:rsidR="001A2539" w:rsidRPr="000960DC" w:rsidRDefault="00262847" w:rsidP="001A2539">
                  <w:pPr>
                    <w:jc w:val="center"/>
                    <w:rPr>
                      <w:b/>
                      <w:bCs/>
                      <w:iCs/>
                      <w:lang w:val="fr-FR"/>
                    </w:rPr>
                  </w:pPr>
                  <w:r w:rsidRPr="00001ACA">
                    <w:rPr>
                      <w:b/>
                      <w:color w:val="000000"/>
                      <w:sz w:val="22"/>
                      <w:szCs w:val="22"/>
                      <w:lang w:val="fr-FR"/>
                    </w:rPr>
                    <w:t>4.555.025</w:t>
                  </w:r>
                </w:p>
              </w:tc>
              <w:tc>
                <w:tcPr>
                  <w:tcW w:w="2018" w:type="dxa"/>
                </w:tcPr>
                <w:p w14:paraId="60B62F51" w14:textId="6ADCBF44" w:rsidR="001A2539" w:rsidRPr="000960DC" w:rsidRDefault="0076639C" w:rsidP="001A2539">
                  <w:pPr>
                    <w:jc w:val="center"/>
                    <w:rPr>
                      <w:b/>
                      <w:bCs/>
                      <w:iCs/>
                      <w:lang w:val="fr-FR"/>
                    </w:rPr>
                  </w:pPr>
                  <w:r w:rsidRPr="0076639C">
                    <w:rPr>
                      <w:b/>
                      <w:bCs/>
                      <w:iCs/>
                      <w:lang w:val="fr-FR"/>
                    </w:rPr>
                    <w:t>1</w:t>
                  </w:r>
                  <w:r w:rsidR="00634741">
                    <w:rPr>
                      <w:b/>
                      <w:bCs/>
                      <w:iCs/>
                      <w:lang w:val="fr-FR"/>
                    </w:rPr>
                    <w:t> </w:t>
                  </w:r>
                  <w:r w:rsidRPr="0076639C">
                    <w:rPr>
                      <w:b/>
                      <w:bCs/>
                      <w:iCs/>
                      <w:lang w:val="fr-FR"/>
                    </w:rPr>
                    <w:t>822</w:t>
                  </w:r>
                  <w:r w:rsidR="00634741">
                    <w:rPr>
                      <w:b/>
                      <w:bCs/>
                      <w:iCs/>
                      <w:lang w:val="fr-FR"/>
                    </w:rPr>
                    <w:t xml:space="preserve"> </w:t>
                  </w:r>
                  <w:r w:rsidRPr="0076639C">
                    <w:rPr>
                      <w:b/>
                      <w:bCs/>
                      <w:iCs/>
                      <w:lang w:val="fr-FR"/>
                    </w:rPr>
                    <w:t>010</w:t>
                  </w:r>
                  <w:r w:rsidR="00A73F8D">
                    <w:rPr>
                      <w:b/>
                      <w:bCs/>
                      <w:iCs/>
                      <w:lang w:val="fr-FR"/>
                    </w:rPr>
                    <w:t>,4</w:t>
                  </w:r>
                </w:p>
              </w:tc>
              <w:tc>
                <w:tcPr>
                  <w:tcW w:w="2019" w:type="dxa"/>
                </w:tcPr>
                <w:p w14:paraId="4842283E" w14:textId="7D9A9835" w:rsidR="001A2539" w:rsidRPr="000960DC" w:rsidRDefault="00A73F8D" w:rsidP="001A2539">
                  <w:pPr>
                    <w:jc w:val="center"/>
                    <w:rPr>
                      <w:b/>
                      <w:bCs/>
                      <w:iCs/>
                      <w:lang w:val="fr-FR"/>
                    </w:rPr>
                  </w:pPr>
                  <w:r>
                    <w:rPr>
                      <w:b/>
                      <w:bCs/>
                      <w:iCs/>
                      <w:lang w:val="fr-FR"/>
                    </w:rPr>
                    <w:t>2</w:t>
                  </w:r>
                  <w:r w:rsidR="0077078E">
                    <w:rPr>
                      <w:b/>
                      <w:bCs/>
                      <w:iCs/>
                      <w:lang w:val="fr-FR"/>
                    </w:rPr>
                    <w:t xml:space="preserve"> </w:t>
                  </w:r>
                  <w:r>
                    <w:rPr>
                      <w:b/>
                      <w:bCs/>
                      <w:iCs/>
                      <w:lang w:val="fr-FR"/>
                    </w:rPr>
                    <w:t>456</w:t>
                  </w:r>
                  <w:r w:rsidR="0077078E">
                    <w:rPr>
                      <w:b/>
                      <w:bCs/>
                      <w:iCs/>
                      <w:lang w:val="fr-FR"/>
                    </w:rPr>
                    <w:t xml:space="preserve"> </w:t>
                  </w:r>
                  <w:r>
                    <w:rPr>
                      <w:b/>
                      <w:bCs/>
                      <w:iCs/>
                      <w:lang w:val="fr-FR"/>
                    </w:rPr>
                    <w:t>509,37</w:t>
                  </w:r>
                </w:p>
              </w:tc>
            </w:tr>
          </w:tbl>
          <w:p w14:paraId="374E19D6" w14:textId="77777777" w:rsidR="001A2539" w:rsidRPr="001A2539" w:rsidRDefault="001A2539" w:rsidP="00F23D0F">
            <w:pPr>
              <w:rPr>
                <w:iCs/>
                <w:lang w:val="fr-FR"/>
              </w:rPr>
            </w:pPr>
          </w:p>
          <w:p w14:paraId="5324AF29" w14:textId="7497DB09" w:rsidR="001C56B8" w:rsidRPr="000960DC"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DA3A01">
              <w:rPr>
                <w:rFonts w:ascii="Times New Roman" w:hAnsi="Times New Roman" w:cs="Times New Roman"/>
                <w:bCs/>
                <w:iCs/>
                <w:snapToGrid w:val="0"/>
                <w:sz w:val="24"/>
                <w:szCs w:val="24"/>
                <w:lang w:val="fr-FR"/>
              </w:rPr>
              <w:t>projet</w:t>
            </w:r>
            <w:r w:rsidR="00DA3A01"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77078E">
              <w:rPr>
                <w:rFonts w:ascii="Times New Roman" w:hAnsi="Times New Roman" w:cs="Times New Roman"/>
                <w:bCs/>
                <w:iCs/>
                <w:snapToGrid w:val="0"/>
                <w:sz w:val="24"/>
                <w:szCs w:val="24"/>
              </w:rPr>
              <w:fldChar w:fldCharType="begin">
                <w:ffData>
                  <w:name w:val="Text51"/>
                  <w:enabled/>
                  <w:calcOnExit w:val="0"/>
                  <w:textInput>
                    <w:type w:val="number"/>
                    <w:default w:val="54%"/>
                    <w:format w:val="0%"/>
                  </w:textInput>
                </w:ffData>
              </w:fldChar>
            </w:r>
            <w:bookmarkStart w:id="2" w:name="Text51"/>
            <w:r w:rsidR="0077078E" w:rsidRPr="00657D09">
              <w:rPr>
                <w:rFonts w:ascii="Times New Roman" w:hAnsi="Times New Roman" w:cs="Times New Roman"/>
                <w:bCs/>
                <w:iCs/>
                <w:snapToGrid w:val="0"/>
                <w:sz w:val="24"/>
                <w:szCs w:val="24"/>
                <w:lang w:val="fr-FR"/>
              </w:rPr>
              <w:instrText xml:space="preserve"> FORMTEXT </w:instrText>
            </w:r>
            <w:r w:rsidR="0077078E">
              <w:rPr>
                <w:rFonts w:ascii="Times New Roman" w:hAnsi="Times New Roman" w:cs="Times New Roman"/>
                <w:bCs/>
                <w:iCs/>
                <w:snapToGrid w:val="0"/>
                <w:sz w:val="24"/>
                <w:szCs w:val="24"/>
              </w:rPr>
            </w:r>
            <w:r w:rsidR="0077078E">
              <w:rPr>
                <w:rFonts w:ascii="Times New Roman" w:hAnsi="Times New Roman" w:cs="Times New Roman"/>
                <w:bCs/>
                <w:iCs/>
                <w:snapToGrid w:val="0"/>
                <w:sz w:val="24"/>
                <w:szCs w:val="24"/>
              </w:rPr>
              <w:fldChar w:fldCharType="separate"/>
            </w:r>
            <w:r w:rsidR="0077078E" w:rsidRPr="00657D09">
              <w:rPr>
                <w:rFonts w:ascii="Times New Roman" w:hAnsi="Times New Roman" w:cs="Times New Roman"/>
                <w:bCs/>
                <w:iCs/>
                <w:noProof/>
                <w:snapToGrid w:val="0"/>
                <w:sz w:val="24"/>
                <w:szCs w:val="24"/>
                <w:lang w:val="fr-FR"/>
              </w:rPr>
              <w:t>54%</w:t>
            </w:r>
            <w:r w:rsidR="0077078E">
              <w:rPr>
                <w:rFonts w:ascii="Times New Roman" w:hAnsi="Times New Roman" w:cs="Times New Roman"/>
                <w:bCs/>
                <w:iCs/>
                <w:snapToGrid w:val="0"/>
                <w:sz w:val="24"/>
                <w:szCs w:val="24"/>
              </w:rPr>
              <w:fldChar w:fldCharType="end"/>
            </w:r>
            <w:bookmarkEnd w:id="2"/>
          </w:p>
          <w:bookmarkEnd w:id="1"/>
          <w:p w14:paraId="0F96CB0C" w14:textId="77777777" w:rsidR="001A2539" w:rsidRPr="00BF4E1E" w:rsidRDefault="001A2539"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BalloonText"/>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lastRenderedPageBreak/>
              <w:t xml:space="preserve">Les modèles de budget sont disponibles </w:t>
            </w:r>
            <w:hyperlink r:id="rId13" w:history="1">
              <w:r w:rsidRPr="000960DC">
                <w:rPr>
                  <w:rStyle w:val="Hyperlink"/>
                  <w:rFonts w:ascii="Times New Roman" w:hAnsi="Times New Roman" w:cs="Times New Roman"/>
                  <w:i/>
                  <w:iCs/>
                  <w:sz w:val="24"/>
                  <w:szCs w:val="24"/>
                  <w:lang w:val="fr-FR"/>
                </w:rPr>
                <w:t>ici</w:t>
              </w:r>
            </w:hyperlink>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54448469" w:rsidR="001A2539" w:rsidRDefault="008D465B"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002F59A7" w:rsidRPr="000F43A8">
              <w:rPr>
                <w:rFonts w:ascii="Times New Roman" w:hAnsi="Times New Roman" w:cs="Times New Roman"/>
                <w:b/>
                <w:bCs/>
                <w:sz w:val="24"/>
                <w:szCs w:val="24"/>
                <w:lang w:val="fr-FR"/>
              </w:rPr>
              <w:t>genre :</w:t>
            </w:r>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701CA803" w14:textId="30480795" w:rsidR="009F6A41" w:rsidRPr="001A2539" w:rsidRDefault="001A2539"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4D48AB">
              <w:rPr>
                <w:rFonts w:asciiTheme="minorHAnsi" w:hAnsiTheme="minorHAnsi" w:cstheme="minorBidi"/>
                <w:sz w:val="24"/>
                <w:szCs w:val="24"/>
                <w:lang w:val="fr-FR"/>
              </w:rPr>
              <w:t xml:space="preserve"> : </w:t>
            </w:r>
            <w:r w:rsidR="009F6A41" w:rsidRPr="004D48AB">
              <w:rPr>
                <w:rFonts w:asciiTheme="minorHAnsi" w:hAnsiTheme="minorHAnsi" w:cstheme="minorBidi"/>
                <w:sz w:val="24"/>
                <w:szCs w:val="24"/>
                <w:lang w:val="fr-FR"/>
              </w:rPr>
              <w:t>41,72%</w:t>
            </w:r>
          </w:p>
          <w:p w14:paraId="3B688265"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70C2EA9C" w14:textId="35721520" w:rsidR="00970F4C" w:rsidRPr="002F4750" w:rsidRDefault="000F43A8"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r w:rsidR="002F59A7" w:rsidRPr="6595E2F0">
              <w:rPr>
                <w:rFonts w:asciiTheme="minorHAnsi" w:hAnsiTheme="minorHAnsi" w:cstheme="minorBidi"/>
                <w:sz w:val="24"/>
                <w:szCs w:val="24"/>
                <w:lang w:val="fr-FR"/>
              </w:rPr>
              <w:t>femmes :</w:t>
            </w:r>
            <w:r w:rsidR="00970F4C" w:rsidRPr="6595E2F0">
              <w:rPr>
                <w:rFonts w:asciiTheme="minorHAnsi" w:hAnsiTheme="minorHAnsi" w:cstheme="minorBidi"/>
                <w:sz w:val="24"/>
                <w:szCs w:val="24"/>
                <w:lang w:val="fr-FR"/>
              </w:rPr>
              <w:t xml:space="preserve"> </w:t>
            </w:r>
            <w:r w:rsidR="00C72687" w:rsidRPr="00C72687">
              <w:rPr>
                <w:rFonts w:asciiTheme="minorHAnsi" w:hAnsiTheme="minorHAnsi" w:cstheme="minorBidi"/>
                <w:sz w:val="24"/>
                <w:szCs w:val="24"/>
                <w:lang w:val="fr-FR"/>
              </w:rPr>
              <w:t>1,019,671 USD</w:t>
            </w:r>
          </w:p>
          <w:p w14:paraId="708C1084"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639EFB0D" w14:textId="630BE7D8"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r w:rsidR="002F59A7" w:rsidRPr="6595E2F0">
              <w:rPr>
                <w:rFonts w:asciiTheme="minorHAnsi" w:hAnsiTheme="minorHAnsi" w:cstheme="minorBidi"/>
                <w:lang w:val="fr-FR"/>
              </w:rPr>
              <w:t>femmes :</w:t>
            </w:r>
            <w:r w:rsidR="00657D09">
              <w:rPr>
                <w:rFonts w:asciiTheme="minorHAnsi" w:hAnsiTheme="minorHAnsi" w:cstheme="minorBidi"/>
                <w:lang w:val="fr-FR"/>
              </w:rPr>
              <w:t xml:space="preserve"> </w:t>
            </w:r>
            <w:r w:rsidR="00657D09" w:rsidRPr="00657D09">
              <w:rPr>
                <w:lang w:val="fr-FR"/>
              </w:rPr>
              <w:t xml:space="preserve">$650 000 </w:t>
            </w:r>
          </w:p>
        </w:tc>
      </w:tr>
      <w:tr w:rsidR="009B18EB" w:rsidRPr="00BB4A8C" w14:paraId="0DF7F010" w14:textId="77777777" w:rsidTr="6595E2F0">
        <w:trPr>
          <w:trHeight w:val="1124"/>
        </w:trPr>
        <w:tc>
          <w:tcPr>
            <w:tcW w:w="10080" w:type="dxa"/>
            <w:gridSpan w:val="2"/>
          </w:tcPr>
          <w:p w14:paraId="0084A294" w14:textId="403AA011" w:rsidR="009B18EB" w:rsidRPr="000F43A8" w:rsidRDefault="000F43A8" w:rsidP="00F23D0F">
            <w:pPr>
              <w:rPr>
                <w:b/>
                <w:bCs/>
                <w:iCs/>
                <w:lang w:val="fr-FR" w:eastAsia="zh-CN"/>
              </w:rPr>
            </w:pPr>
            <w:r w:rsidRPr="000F43A8">
              <w:rPr>
                <w:b/>
                <w:bCs/>
                <w:iCs/>
                <w:lang w:val="fr-FR"/>
              </w:rPr>
              <w:lastRenderedPageBreak/>
              <w:t xml:space="preserve">Marquer de genre du </w:t>
            </w:r>
            <w:r w:rsidR="007D6558" w:rsidRPr="000F43A8">
              <w:rPr>
                <w:b/>
                <w:bCs/>
                <w:iCs/>
                <w:lang w:val="fr-FR"/>
              </w:rPr>
              <w:t>projet :</w:t>
            </w:r>
            <w:r w:rsidR="009B18EB" w:rsidRPr="000F43A8">
              <w:rPr>
                <w:b/>
                <w:bCs/>
                <w:iCs/>
                <w:lang w:val="fr-FR"/>
              </w:rPr>
              <w:t xml:space="preserve"> </w:t>
            </w:r>
            <w:r w:rsidR="003273CC">
              <w:rPr>
                <w:b/>
                <w:bCs/>
                <w:iCs/>
                <w:lang w:val="fr-FR"/>
              </w:rPr>
              <w:t>2</w:t>
            </w:r>
            <w:r w:rsidR="003273CC" w:rsidRPr="00376990">
              <w:rPr>
                <w:rStyle w:val="FootnoteReference"/>
                <w:b/>
                <w:bCs/>
                <w:iCs/>
                <w:lang w:val="zh-CN"/>
              </w:rPr>
              <w:footnoteReference w:id="2"/>
            </w:r>
          </w:p>
          <w:p w14:paraId="2D3D6412" w14:textId="6846CB18" w:rsidR="007D6558" w:rsidRPr="00376990" w:rsidRDefault="000F43A8" w:rsidP="007D6558">
            <w:pPr>
              <w:spacing w:line="276" w:lineRule="auto"/>
              <w:jc w:val="both"/>
              <w:rPr>
                <w:b/>
                <w:bCs/>
                <w:iCs/>
                <w:lang w:val="zh-CN"/>
              </w:rPr>
            </w:pPr>
            <w:r w:rsidRPr="000F43A8">
              <w:rPr>
                <w:b/>
                <w:bCs/>
                <w:iCs/>
                <w:lang w:val="fr-FR"/>
              </w:rPr>
              <w:t xml:space="preserve">Marquer de risque du </w:t>
            </w:r>
            <w:r w:rsidR="007D6558" w:rsidRPr="000F43A8">
              <w:rPr>
                <w:b/>
                <w:bCs/>
                <w:iCs/>
                <w:lang w:val="fr-FR"/>
              </w:rPr>
              <w:t>projet :</w:t>
            </w:r>
            <w:r w:rsidR="009B18EB" w:rsidRPr="000F43A8">
              <w:rPr>
                <w:b/>
                <w:bCs/>
                <w:iCs/>
                <w:lang w:val="fr-FR"/>
              </w:rPr>
              <w:t xml:space="preserve"> </w:t>
            </w:r>
            <w:r w:rsidR="007D6558">
              <w:rPr>
                <w:b/>
                <w:bCs/>
                <w:iCs/>
                <w:lang w:val="fr-FR"/>
              </w:rPr>
              <w:t>1</w:t>
            </w:r>
          </w:p>
          <w:p w14:paraId="55B14D86" w14:textId="2C433728" w:rsidR="009B18EB" w:rsidRPr="00FA2B35"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A06738" w:rsidRPr="00E63196">
              <w:rPr>
                <w:b/>
                <w:bCs/>
                <w:iCs/>
                <w:lang w:val="fr-FR"/>
              </w:rPr>
              <w:t>État de droit</w:t>
            </w:r>
          </w:p>
        </w:tc>
      </w:tr>
      <w:tr w:rsidR="00793DE6" w:rsidRPr="00BB4A8C" w14:paraId="27192C5C" w14:textId="77777777" w:rsidTr="6595E2F0">
        <w:trPr>
          <w:trHeight w:val="1124"/>
        </w:trPr>
        <w:tc>
          <w:tcPr>
            <w:tcW w:w="10080" w:type="dxa"/>
            <w:gridSpan w:val="2"/>
          </w:tcPr>
          <w:p w14:paraId="7BC15C3E" w14:textId="106F23C8" w:rsidR="000F43A8" w:rsidRPr="00136BFF" w:rsidRDefault="000F43A8" w:rsidP="000F43A8">
            <w:pPr>
              <w:rPr>
                <w:b/>
                <w:bCs/>
                <w:sz w:val="22"/>
                <w:lang w:val="fr-FR"/>
              </w:rPr>
            </w:pPr>
            <w:r w:rsidRPr="00136BFF">
              <w:rPr>
                <w:b/>
                <w:bCs/>
                <w:sz w:val="22"/>
                <w:lang w:val="fr-FR"/>
              </w:rPr>
              <w:t xml:space="preserve">Préparation du </w:t>
            </w:r>
            <w:r w:rsidR="00ED5556" w:rsidRPr="00136BFF">
              <w:rPr>
                <w:b/>
                <w:bCs/>
                <w:sz w:val="22"/>
                <w:lang w:val="fr-FR"/>
              </w:rPr>
              <w:t>rapport :</w:t>
            </w:r>
          </w:p>
          <w:p w14:paraId="43FCACD6" w14:textId="7AB35717" w:rsidR="000F43A8" w:rsidRPr="00826923" w:rsidRDefault="000F43A8" w:rsidP="000F43A8">
            <w:pPr>
              <w:rPr>
                <w:lang w:val="fr-FR"/>
              </w:rPr>
            </w:pPr>
            <w:r w:rsidRPr="00826923">
              <w:rPr>
                <w:lang w:val="fr-FR"/>
              </w:rPr>
              <w:t xml:space="preserve">Rapport préparé </w:t>
            </w:r>
            <w:r w:rsidR="00837AAC" w:rsidRPr="00826923">
              <w:rPr>
                <w:lang w:val="fr-FR"/>
              </w:rPr>
              <w:t>par :</w:t>
            </w:r>
            <w:r w:rsidRPr="00826923">
              <w:rPr>
                <w:lang w:val="fr-FR"/>
              </w:rPr>
              <w:t xml:space="preserve"> </w:t>
            </w:r>
            <w:r w:rsidR="00ED5556" w:rsidRPr="00614B63">
              <w:rPr>
                <w:lang w:val="fr-FR"/>
              </w:rPr>
              <w:t>Equipe</w:t>
            </w:r>
            <w:r w:rsidR="003E4EC4">
              <w:rPr>
                <w:lang w:val="fr-FR"/>
              </w:rPr>
              <w:t>s</w:t>
            </w:r>
            <w:r w:rsidR="00ED5556" w:rsidRPr="00614B63">
              <w:rPr>
                <w:lang w:val="fr-FR"/>
              </w:rPr>
              <w:t xml:space="preserve"> OIM, PNUD et ONU FEMMES</w:t>
            </w:r>
          </w:p>
          <w:p w14:paraId="4F7F6063" w14:textId="6A193946" w:rsidR="000F43A8" w:rsidRPr="00826923" w:rsidRDefault="000F43A8" w:rsidP="000F43A8">
            <w:pPr>
              <w:rPr>
                <w:lang w:val="fr-FR"/>
              </w:rPr>
            </w:pPr>
            <w:r w:rsidRPr="00826923">
              <w:rPr>
                <w:lang w:val="fr-FR"/>
              </w:rPr>
              <w:t xml:space="preserve">Rapport approuvé </w:t>
            </w:r>
            <w:r w:rsidR="00837AAC" w:rsidRPr="00826923">
              <w:rPr>
                <w:lang w:val="fr-FR"/>
              </w:rPr>
              <w:t>par :</w:t>
            </w:r>
            <w:r w:rsidRPr="00826923">
              <w:rPr>
                <w:lang w:val="fr-FR"/>
              </w:rPr>
              <w:t xml:space="preserve"> </w:t>
            </w:r>
            <w:r w:rsidR="00634741">
              <w:rPr>
                <w:lang w:val="fr-FR"/>
              </w:rPr>
              <w:fldChar w:fldCharType="begin">
                <w:ffData>
                  <w:name w:val="Text11"/>
                  <w:enabled/>
                  <w:calcOnExit w:val="0"/>
                  <w:textInput>
                    <w:default w:val="Fabien Samboussy, Chef de Mission OIM DRC"/>
                    <w:format w:val="FIRST CAPITAL"/>
                  </w:textInput>
                </w:ffData>
              </w:fldChar>
            </w:r>
            <w:r w:rsidR="00634741">
              <w:rPr>
                <w:lang w:val="fr-FR"/>
              </w:rPr>
              <w:instrText xml:space="preserve"> </w:instrText>
            </w:r>
            <w:bookmarkStart w:id="3" w:name="Text11"/>
            <w:r w:rsidR="00634741">
              <w:rPr>
                <w:lang w:val="fr-FR"/>
              </w:rPr>
              <w:instrText xml:space="preserve">FORMTEXT </w:instrText>
            </w:r>
            <w:r w:rsidR="00634741">
              <w:rPr>
                <w:lang w:val="fr-FR"/>
              </w:rPr>
            </w:r>
            <w:r w:rsidR="00634741">
              <w:rPr>
                <w:lang w:val="fr-FR"/>
              </w:rPr>
              <w:fldChar w:fldCharType="separate"/>
            </w:r>
            <w:r w:rsidR="00634741">
              <w:rPr>
                <w:noProof/>
                <w:lang w:val="fr-FR"/>
              </w:rPr>
              <w:t>Fabien Samboussy, Chef de Mission OIM DRC</w:t>
            </w:r>
            <w:r w:rsidR="00634741">
              <w:rPr>
                <w:lang w:val="fr-FR"/>
              </w:rPr>
              <w:fldChar w:fldCharType="end"/>
            </w:r>
            <w:bookmarkEnd w:id="3"/>
          </w:p>
          <w:p w14:paraId="64A19D37" w14:textId="78C2EDBD" w:rsidR="000F43A8" w:rsidRPr="00751DE5" w:rsidRDefault="000F43A8" w:rsidP="000F43A8">
            <w:pPr>
              <w:rPr>
                <w:lang w:val="fr-FR"/>
              </w:rPr>
            </w:pPr>
            <w:r w:rsidRPr="00826923">
              <w:rPr>
                <w:lang w:val="fr-FR"/>
              </w:rPr>
              <w:t xml:space="preserve">Le Secrétariat PBF a-t-il revu le </w:t>
            </w:r>
            <w:r w:rsidR="00837AAC" w:rsidRPr="00826923">
              <w:rPr>
                <w:lang w:val="fr-FR"/>
              </w:rPr>
              <w:t>rapport</w:t>
            </w:r>
            <w:r w:rsidR="00837AAC" w:rsidRPr="00136BFF">
              <w:rPr>
                <w:sz w:val="22"/>
                <w:lang w:val="fr-FR"/>
              </w:rPr>
              <w:t xml:space="preserve"> :</w:t>
            </w:r>
            <w:r w:rsidRPr="00136BFF">
              <w:rPr>
                <w:sz w:val="22"/>
                <w:lang w:val="fr-FR"/>
              </w:rPr>
              <w:t xml:space="preserve"> </w:t>
            </w:r>
            <w:r w:rsidR="00634741">
              <w:fldChar w:fldCharType="begin">
                <w:ffData>
                  <w:name w:val="secretariatreview"/>
                  <w:enabled/>
                  <w:calcOnExit w:val="0"/>
                  <w:ddList>
                    <w:listEntry w:val="Oui"/>
                    <w:listEntry w:val="Veuillez sélectionner"/>
                    <w:listEntry w:val="Non"/>
                  </w:ddList>
                </w:ffData>
              </w:fldChar>
            </w:r>
            <w:r w:rsidR="00634741" w:rsidRPr="00BB4A8C">
              <w:rPr>
                <w:lang w:val="fr-FR"/>
              </w:rPr>
              <w:instrText xml:space="preserve"> </w:instrText>
            </w:r>
            <w:bookmarkStart w:id="4" w:name="secretariatreview"/>
            <w:r w:rsidR="00634741" w:rsidRPr="00BB4A8C">
              <w:rPr>
                <w:lang w:val="fr-FR"/>
              </w:rPr>
              <w:instrText xml:space="preserve">FORMDROPDOWN </w:instrText>
            </w:r>
            <w:r w:rsidR="00BB4A8C">
              <w:fldChar w:fldCharType="separate"/>
            </w:r>
            <w:r w:rsidR="00634741">
              <w:fldChar w:fldCharType="end"/>
            </w:r>
            <w:bookmarkEnd w:id="4"/>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3F21B4" w:rsidRDefault="00F778A1" w:rsidP="001B7DD1">
      <w:pPr>
        <w:numPr>
          <w:ilvl w:val="0"/>
          <w:numId w:val="3"/>
        </w:numPr>
        <w:jc w:val="both"/>
        <w:rPr>
          <w:i/>
          <w:iCs/>
          <w:lang w:val="fr-FR"/>
        </w:rPr>
      </w:pPr>
      <w:r w:rsidRPr="003F21B4">
        <w:rPr>
          <w:i/>
          <w:iCs/>
          <w:lang w:val="fr-FR"/>
        </w:rPr>
        <w:t>Évitez les acronymes et le jargon des Nations Unies, utilisez un langage général / commun.</w:t>
      </w:r>
    </w:p>
    <w:p w14:paraId="580E26F8" w14:textId="77777777" w:rsidR="00F778A1" w:rsidRPr="003F21B4" w:rsidRDefault="00F778A1" w:rsidP="001B7DD1">
      <w:pPr>
        <w:numPr>
          <w:ilvl w:val="0"/>
          <w:numId w:val="3"/>
        </w:numPr>
        <w:jc w:val="both"/>
        <w:rPr>
          <w:i/>
          <w:iCs/>
          <w:lang w:val="fr-FR"/>
        </w:rPr>
      </w:pPr>
      <w:r w:rsidRPr="003F21B4">
        <w:rPr>
          <w:i/>
          <w:iCs/>
          <w:lang w:val="fr-FR"/>
        </w:rPr>
        <w:t>Décrivez ce que le projet a fait dans la période de rapport, plutôt que les intentions du projet.</w:t>
      </w:r>
    </w:p>
    <w:p w14:paraId="28C32ECF" w14:textId="77777777" w:rsidR="003758E5" w:rsidRPr="003F21B4" w:rsidRDefault="00F778A1" w:rsidP="001B7DD1">
      <w:pPr>
        <w:numPr>
          <w:ilvl w:val="0"/>
          <w:numId w:val="3"/>
        </w:numPr>
        <w:jc w:val="both"/>
        <w:rPr>
          <w:i/>
          <w:iCs/>
          <w:lang w:val="fr-FR"/>
        </w:rPr>
      </w:pPr>
      <w:r w:rsidRPr="003F21B4">
        <w:rPr>
          <w:i/>
          <w:iCs/>
          <w:lang w:val="fr-FR"/>
        </w:rPr>
        <w:t>Soyez aussi concret que possible. Évitez les discours théoriques, vagues ou conceptuels.</w:t>
      </w:r>
    </w:p>
    <w:p w14:paraId="15E400A7" w14:textId="77777777" w:rsidR="003758E5" w:rsidRPr="003F21B4" w:rsidRDefault="00F778A1" w:rsidP="001B7DD1">
      <w:pPr>
        <w:numPr>
          <w:ilvl w:val="0"/>
          <w:numId w:val="3"/>
        </w:numPr>
        <w:jc w:val="both"/>
        <w:rPr>
          <w:i/>
          <w:iCs/>
          <w:lang w:val="fr-FR"/>
        </w:rPr>
      </w:pPr>
      <w:r w:rsidRPr="003F21B4">
        <w:rPr>
          <w:i/>
          <w:iCs/>
          <w:lang w:val="fr-FR"/>
        </w:rPr>
        <w:t>Veillez à ce que l'analyse et l'évaluation des progrès du projet tiennent compte des spécificités du sexe et de l'âge.</w:t>
      </w:r>
    </w:p>
    <w:p w14:paraId="3179F35C" w14:textId="29DFC919" w:rsidR="00EA0BBF" w:rsidRPr="003F21B4" w:rsidRDefault="00C955F4" w:rsidP="00EA0BBF">
      <w:pPr>
        <w:numPr>
          <w:ilvl w:val="0"/>
          <w:numId w:val="3"/>
        </w:numPr>
        <w:jc w:val="both"/>
        <w:rPr>
          <w:i/>
          <w:iCs/>
          <w:lang w:val="fr-FR"/>
        </w:rPr>
      </w:pPr>
      <w:r w:rsidRPr="003F21B4">
        <w:rPr>
          <w:i/>
          <w:iCs/>
          <w:lang w:val="fr-FR"/>
        </w:rPr>
        <w:t xml:space="preserve">Veuillez inclure </w:t>
      </w:r>
      <w:r w:rsidR="001B4FC7" w:rsidRPr="003F21B4">
        <w:rPr>
          <w:i/>
          <w:iCs/>
          <w:lang w:val="fr-FR"/>
        </w:rPr>
        <w:t>des</w:t>
      </w:r>
      <w:r w:rsidRPr="003F21B4">
        <w:rPr>
          <w:i/>
          <w:iCs/>
          <w:lang w:val="fr-FR"/>
        </w:rPr>
        <w:t xml:space="preserve"> considérations, ajustements et résultats liés au COVID-19 et répond</w:t>
      </w:r>
      <w:r w:rsidR="001B4FC7" w:rsidRPr="003F21B4">
        <w:rPr>
          <w:i/>
          <w:iCs/>
          <w:lang w:val="fr-FR"/>
        </w:rPr>
        <w:t>ez</w:t>
      </w:r>
      <w:r w:rsidRPr="003F21B4">
        <w:rPr>
          <w:i/>
          <w:iCs/>
          <w:lang w:val="fr-FR"/>
        </w:rPr>
        <w:t xml:space="preserve"> à la section IV.</w:t>
      </w:r>
      <w:r w:rsidR="00117EE7" w:rsidRPr="003F21B4">
        <w:rPr>
          <w:i/>
          <w:iCs/>
          <w:lang w:val="fr-FR"/>
        </w:rPr>
        <w:t xml:space="preserve"> CETTE SECTION EST OPTIONELLE</w:t>
      </w:r>
    </w:p>
    <w:p w14:paraId="093281E7" w14:textId="71AE28C5" w:rsidR="00EA0BBF" w:rsidRDefault="00EA0BBF" w:rsidP="00EA0BBF">
      <w:pPr>
        <w:jc w:val="both"/>
        <w:rPr>
          <w:i/>
          <w:iCs/>
          <w:lang w:val="fr-FR"/>
        </w:rPr>
      </w:pP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20D0A200" w14:textId="2E29029B" w:rsidR="00117EE7" w:rsidRDefault="00117EE7" w:rsidP="00117EE7">
      <w:pPr>
        <w:ind w:left="-810"/>
      </w:pPr>
    </w:p>
    <w:p w14:paraId="53F22390" w14:textId="77777777" w:rsidR="00633B7B" w:rsidRDefault="00633B7B" w:rsidP="00633B7B">
      <w:pPr>
        <w:ind w:left="-810"/>
        <w:jc w:val="both"/>
        <w:rPr>
          <w:lang w:val="fr-FR"/>
        </w:rPr>
      </w:pPr>
      <w:r>
        <w:rPr>
          <w:lang w:val="fr-FR"/>
        </w:rPr>
        <w:t>Au cours des six</w:t>
      </w:r>
      <w:r w:rsidRPr="00561CCB">
        <w:rPr>
          <w:lang w:val="fr-FR"/>
        </w:rPr>
        <w:t xml:space="preserve"> derniers mois</w:t>
      </w:r>
      <w:r>
        <w:rPr>
          <w:lang w:val="fr-FR"/>
        </w:rPr>
        <w:t xml:space="preserve">, </w:t>
      </w:r>
      <w:r w:rsidRPr="00561CCB">
        <w:rPr>
          <w:lang w:val="fr-FR"/>
        </w:rPr>
        <w:t>le projet a enregistré des réalisations significatives</w:t>
      </w:r>
      <w:r>
        <w:rPr>
          <w:lang w:val="fr-FR"/>
        </w:rPr>
        <w:t xml:space="preserve"> telles que :</w:t>
      </w:r>
    </w:p>
    <w:p w14:paraId="0B4B333E" w14:textId="77777777" w:rsidR="00633B7B" w:rsidRDefault="00633B7B" w:rsidP="00633B7B">
      <w:pPr>
        <w:ind w:left="-810"/>
        <w:jc w:val="both"/>
        <w:rPr>
          <w:lang w:val="fr-FR"/>
        </w:rPr>
      </w:pPr>
    </w:p>
    <w:p w14:paraId="145126F2" w14:textId="3185220D" w:rsidR="00075042" w:rsidRDefault="00633B7B" w:rsidP="00633B7B">
      <w:pPr>
        <w:pStyle w:val="ListParagraph"/>
        <w:numPr>
          <w:ilvl w:val="0"/>
          <w:numId w:val="5"/>
        </w:numPr>
        <w:jc w:val="both"/>
        <w:rPr>
          <w:lang w:val="fr-FR"/>
        </w:rPr>
      </w:pPr>
      <w:r>
        <w:rPr>
          <w:lang w:val="fr-FR"/>
        </w:rPr>
        <w:t xml:space="preserve">La construction de 11 bâtiments dont six dortoirs, quatre blocs de latrines et </w:t>
      </w:r>
      <w:r w:rsidR="00BA1E9D">
        <w:rPr>
          <w:lang w:val="fr-FR"/>
        </w:rPr>
        <w:t xml:space="preserve">de </w:t>
      </w:r>
      <w:r>
        <w:rPr>
          <w:lang w:val="fr-FR"/>
        </w:rPr>
        <w:t xml:space="preserve">douches, un bâtiment comprenant le magasin et </w:t>
      </w:r>
      <w:r w:rsidR="00BF231C">
        <w:rPr>
          <w:lang w:val="fr-FR"/>
        </w:rPr>
        <w:t xml:space="preserve">un </w:t>
      </w:r>
      <w:r>
        <w:rPr>
          <w:lang w:val="fr-FR"/>
        </w:rPr>
        <w:t xml:space="preserve">dépôt à l’école de police de </w:t>
      </w:r>
      <w:proofErr w:type="spellStart"/>
      <w:r>
        <w:rPr>
          <w:lang w:val="fr-FR"/>
        </w:rPr>
        <w:t>Tshipuka</w:t>
      </w:r>
      <w:proofErr w:type="spellEnd"/>
      <w:r w:rsidRPr="00F31CF1">
        <w:rPr>
          <w:lang w:val="fr-FR"/>
        </w:rPr>
        <w:t xml:space="preserve">. </w:t>
      </w:r>
      <w:r>
        <w:rPr>
          <w:lang w:val="fr-FR"/>
        </w:rPr>
        <w:t xml:space="preserve">Pour rappel, cette école a abrité la formation de base de 200 policiers de Tshikapa pendant cinq mois. </w:t>
      </w:r>
    </w:p>
    <w:p w14:paraId="5EF98286" w14:textId="03342939" w:rsidR="00633B7B" w:rsidRDefault="00E17344" w:rsidP="00633B7B">
      <w:pPr>
        <w:pStyle w:val="ListParagraph"/>
        <w:numPr>
          <w:ilvl w:val="0"/>
          <w:numId w:val="5"/>
        </w:numPr>
        <w:jc w:val="both"/>
        <w:rPr>
          <w:lang w:val="fr-FR"/>
        </w:rPr>
      </w:pPr>
      <w:r>
        <w:rPr>
          <w:lang w:val="fr-FR"/>
        </w:rPr>
        <w:t xml:space="preserve">Dans le cadre de la </w:t>
      </w:r>
      <w:r w:rsidR="007D4F17">
        <w:rPr>
          <w:lang w:val="fr-FR"/>
        </w:rPr>
        <w:t>préparation du</w:t>
      </w:r>
      <w:r>
        <w:rPr>
          <w:lang w:val="fr-FR"/>
        </w:rPr>
        <w:t xml:space="preserve"> centre de formation</w:t>
      </w:r>
      <w:r w:rsidR="000452E3">
        <w:rPr>
          <w:lang w:val="fr-FR"/>
        </w:rPr>
        <w:t xml:space="preserve"> de la police</w:t>
      </w:r>
      <w:r w:rsidR="00BF231C">
        <w:rPr>
          <w:lang w:val="fr-FR"/>
        </w:rPr>
        <w:t xml:space="preserve"> à </w:t>
      </w:r>
      <w:proofErr w:type="spellStart"/>
      <w:r w:rsidR="00BF231C">
        <w:rPr>
          <w:lang w:val="fr-FR"/>
        </w:rPr>
        <w:t>Tshipuka</w:t>
      </w:r>
      <w:proofErr w:type="spellEnd"/>
      <w:r>
        <w:rPr>
          <w:lang w:val="fr-FR"/>
        </w:rPr>
        <w:t xml:space="preserve">, un </w:t>
      </w:r>
      <w:r w:rsidR="00633B7B">
        <w:rPr>
          <w:lang w:val="fr-FR"/>
        </w:rPr>
        <w:t>forage</w:t>
      </w:r>
      <w:r>
        <w:rPr>
          <w:lang w:val="fr-FR"/>
        </w:rPr>
        <w:t xml:space="preserve"> a été </w:t>
      </w:r>
      <w:r w:rsidR="00BF231C">
        <w:rPr>
          <w:lang w:val="fr-FR"/>
        </w:rPr>
        <w:t xml:space="preserve">également </w:t>
      </w:r>
      <w:r w:rsidR="000452E3">
        <w:rPr>
          <w:lang w:val="fr-FR"/>
        </w:rPr>
        <w:t xml:space="preserve">construit pour </w:t>
      </w:r>
      <w:r w:rsidR="00E77C79">
        <w:rPr>
          <w:lang w:val="fr-FR"/>
        </w:rPr>
        <w:t>desservir en eau potable les policiers et les populations</w:t>
      </w:r>
      <w:r w:rsidR="00633B7B">
        <w:rPr>
          <w:lang w:val="fr-FR"/>
        </w:rPr>
        <w:t xml:space="preserve"> environnantes qui parcouraient des dizaines de kilomètres pour puiser de l’eau</w:t>
      </w:r>
      <w:r w:rsidR="00B5561C">
        <w:rPr>
          <w:lang w:val="fr-FR"/>
        </w:rPr>
        <w:t xml:space="preserve"> (effet multiplicateur du projet)</w:t>
      </w:r>
      <w:r w:rsidR="00633B7B">
        <w:rPr>
          <w:lang w:val="fr-FR"/>
        </w:rPr>
        <w:t>.</w:t>
      </w:r>
    </w:p>
    <w:p w14:paraId="0FA040EB" w14:textId="7CEA5AB7" w:rsidR="00684735" w:rsidRPr="00684735" w:rsidRDefault="00066A82" w:rsidP="00DA1C11">
      <w:pPr>
        <w:pStyle w:val="ListParagraph"/>
        <w:numPr>
          <w:ilvl w:val="0"/>
          <w:numId w:val="5"/>
        </w:numPr>
        <w:jc w:val="both"/>
        <w:rPr>
          <w:lang w:val="fr-FR" w:eastAsia="fr-FR"/>
        </w:rPr>
      </w:pPr>
      <w:r w:rsidRPr="00684735">
        <w:rPr>
          <w:lang w:val="fr-FR"/>
        </w:rPr>
        <w:t xml:space="preserve">Au total, </w:t>
      </w:r>
      <w:r w:rsidR="00633B7B" w:rsidRPr="00684735">
        <w:rPr>
          <w:lang w:val="fr-FR"/>
        </w:rPr>
        <w:t xml:space="preserve">200 policiers de la province du Kasaï </w:t>
      </w:r>
      <w:r w:rsidRPr="00684735">
        <w:rPr>
          <w:lang w:val="fr-FR"/>
        </w:rPr>
        <w:t xml:space="preserve">ont </w:t>
      </w:r>
      <w:r w:rsidR="000628A0" w:rsidRPr="00684735">
        <w:rPr>
          <w:lang w:val="fr-FR"/>
        </w:rPr>
        <w:t>bénéficié</w:t>
      </w:r>
      <w:r w:rsidRPr="00684735">
        <w:rPr>
          <w:lang w:val="fr-FR"/>
        </w:rPr>
        <w:t xml:space="preserve"> d’une </w:t>
      </w:r>
      <w:r w:rsidR="000628A0" w:rsidRPr="00684735">
        <w:rPr>
          <w:lang w:val="fr-FR"/>
        </w:rPr>
        <w:t>formation de</w:t>
      </w:r>
      <w:r w:rsidR="00633B7B" w:rsidRPr="00684735">
        <w:rPr>
          <w:lang w:val="fr-FR"/>
        </w:rPr>
        <w:t xml:space="preserve"> cinq mois</w:t>
      </w:r>
      <w:r w:rsidR="000F20CA" w:rsidRPr="00684735">
        <w:rPr>
          <w:lang w:val="fr-FR"/>
        </w:rPr>
        <w:t xml:space="preserve"> sur la doctrine de police de proximité</w:t>
      </w:r>
      <w:r w:rsidR="00633B7B" w:rsidRPr="00684735">
        <w:rPr>
          <w:lang w:val="fr-FR"/>
        </w:rPr>
        <w:t xml:space="preserve">, </w:t>
      </w:r>
      <w:r w:rsidR="007A35E6" w:rsidRPr="00684735">
        <w:rPr>
          <w:lang w:val="fr-FR"/>
        </w:rPr>
        <w:t xml:space="preserve">soit </w:t>
      </w:r>
      <w:r w:rsidR="00633B7B" w:rsidRPr="00684735">
        <w:rPr>
          <w:lang w:val="fr-FR"/>
        </w:rPr>
        <w:t>de septembre 2021 à février 2022</w:t>
      </w:r>
      <w:r w:rsidR="00FF42E3" w:rsidRPr="00684735">
        <w:rPr>
          <w:lang w:val="fr-FR"/>
        </w:rPr>
        <w:t>. Cette formation a également p</w:t>
      </w:r>
      <w:r w:rsidR="00684735" w:rsidRPr="00684735">
        <w:rPr>
          <w:lang w:val="fr-FR"/>
        </w:rPr>
        <w:t xml:space="preserve">orté sur des </w:t>
      </w:r>
      <w:r w:rsidR="00684735" w:rsidRPr="00684735">
        <w:rPr>
          <w:lang w:val="fr-FR" w:eastAsia="fr-FR"/>
        </w:rPr>
        <w:t xml:space="preserve">thématiques </w:t>
      </w:r>
      <w:r w:rsidR="00696511">
        <w:rPr>
          <w:lang w:val="fr-FR" w:eastAsia="fr-FR"/>
        </w:rPr>
        <w:t xml:space="preserve">relatives aux </w:t>
      </w:r>
      <w:r w:rsidR="00684735" w:rsidRPr="00684735">
        <w:rPr>
          <w:lang w:val="fr-FR" w:eastAsia="fr-FR"/>
        </w:rPr>
        <w:t xml:space="preserve">violences basées sur le </w:t>
      </w:r>
      <w:r w:rsidR="00696511" w:rsidRPr="00684735">
        <w:rPr>
          <w:lang w:val="fr-FR" w:eastAsia="fr-FR"/>
        </w:rPr>
        <w:t xml:space="preserve">genre, </w:t>
      </w:r>
      <w:r w:rsidR="00696511">
        <w:rPr>
          <w:lang w:val="fr-FR" w:eastAsia="fr-FR"/>
        </w:rPr>
        <w:t xml:space="preserve">aux </w:t>
      </w:r>
      <w:r w:rsidR="00696511" w:rsidRPr="00684735">
        <w:rPr>
          <w:lang w:val="fr-FR" w:eastAsia="fr-FR"/>
        </w:rPr>
        <w:t>droits</w:t>
      </w:r>
      <w:r w:rsidR="00684735" w:rsidRPr="00684735">
        <w:rPr>
          <w:lang w:val="fr-FR" w:eastAsia="fr-FR"/>
        </w:rPr>
        <w:t xml:space="preserve"> </w:t>
      </w:r>
      <w:r w:rsidR="00696511">
        <w:rPr>
          <w:lang w:val="fr-FR" w:eastAsia="fr-FR"/>
        </w:rPr>
        <w:t>de l’homme</w:t>
      </w:r>
      <w:r w:rsidR="00684735" w:rsidRPr="00684735">
        <w:rPr>
          <w:lang w:val="fr-FR" w:eastAsia="fr-FR"/>
        </w:rPr>
        <w:t xml:space="preserve">, </w:t>
      </w:r>
      <w:r w:rsidR="00696511">
        <w:rPr>
          <w:lang w:val="fr-FR" w:eastAsia="fr-FR"/>
        </w:rPr>
        <w:t xml:space="preserve">à la </w:t>
      </w:r>
      <w:r w:rsidR="00684735" w:rsidRPr="00684735">
        <w:rPr>
          <w:lang w:val="fr-FR" w:eastAsia="fr-FR"/>
        </w:rPr>
        <w:t>lutte contre les violences basées sur le genre, la prévention de l’exploitation et des abus sexuels (PSEA)</w:t>
      </w:r>
    </w:p>
    <w:p w14:paraId="251146F1" w14:textId="4B3D5673" w:rsidR="00633B7B" w:rsidRDefault="000F20CA" w:rsidP="00633B7B">
      <w:pPr>
        <w:pStyle w:val="ListParagraph"/>
        <w:numPr>
          <w:ilvl w:val="0"/>
          <w:numId w:val="5"/>
        </w:numPr>
        <w:jc w:val="both"/>
        <w:rPr>
          <w:lang w:val="fr-FR"/>
        </w:rPr>
      </w:pPr>
      <w:r>
        <w:rPr>
          <w:lang w:val="fr-FR"/>
        </w:rPr>
        <w:t xml:space="preserve">Les </w:t>
      </w:r>
      <w:r w:rsidR="00633B7B">
        <w:rPr>
          <w:lang w:val="fr-FR"/>
        </w:rPr>
        <w:t xml:space="preserve">policiers </w:t>
      </w:r>
      <w:r>
        <w:rPr>
          <w:lang w:val="fr-FR"/>
        </w:rPr>
        <w:t xml:space="preserve">formés </w:t>
      </w:r>
      <w:r w:rsidR="00633B7B">
        <w:rPr>
          <w:lang w:val="fr-FR"/>
        </w:rPr>
        <w:t>ont effectué un stage pratique</w:t>
      </w:r>
      <w:r w:rsidR="0009792A">
        <w:rPr>
          <w:lang w:val="fr-FR"/>
        </w:rPr>
        <w:t xml:space="preserve"> d’un mois</w:t>
      </w:r>
      <w:r w:rsidR="00633B7B">
        <w:rPr>
          <w:lang w:val="fr-FR"/>
        </w:rPr>
        <w:t xml:space="preserve"> avant d’être déployés sur l’ensemble de la Commune de </w:t>
      </w:r>
      <w:proofErr w:type="spellStart"/>
      <w:r w:rsidR="00633B7B">
        <w:rPr>
          <w:lang w:val="fr-FR"/>
        </w:rPr>
        <w:t>Kanzala</w:t>
      </w:r>
      <w:proofErr w:type="spellEnd"/>
      <w:r w:rsidR="00633B7B">
        <w:rPr>
          <w:lang w:val="fr-FR"/>
        </w:rPr>
        <w:t>, Ville de Tshikapa</w:t>
      </w:r>
      <w:r w:rsidR="00633B7B" w:rsidRPr="00F31CF1">
        <w:rPr>
          <w:lang w:val="fr-FR"/>
        </w:rPr>
        <w:t xml:space="preserve">. </w:t>
      </w:r>
      <w:r w:rsidR="00633B7B">
        <w:rPr>
          <w:lang w:val="fr-FR"/>
        </w:rPr>
        <w:t xml:space="preserve">La fin du stage a été sanctionné par une cérémonie de clôture organisée le 12 avril 2022 à Tshikapa en présence </w:t>
      </w:r>
      <w:r w:rsidR="00A27A8C">
        <w:rPr>
          <w:lang w:val="fr-FR"/>
        </w:rPr>
        <w:t xml:space="preserve">des autorités provinciales et locales de Tshikapa </w:t>
      </w:r>
      <w:r w:rsidR="00532887">
        <w:rPr>
          <w:lang w:val="fr-FR"/>
        </w:rPr>
        <w:t xml:space="preserve">ainsi que des autorités de la Police Nationale Congolaise notamment du </w:t>
      </w:r>
      <w:r w:rsidR="00633B7B">
        <w:rPr>
          <w:lang w:val="fr-FR"/>
        </w:rPr>
        <w:t xml:space="preserve">Commissaire Général Adjoint de la Police Nationale Congolaise, </w:t>
      </w:r>
      <w:r w:rsidR="00532887">
        <w:rPr>
          <w:lang w:val="fr-FR"/>
        </w:rPr>
        <w:t xml:space="preserve">et </w:t>
      </w:r>
      <w:r w:rsidR="00633B7B">
        <w:rPr>
          <w:lang w:val="fr-FR"/>
        </w:rPr>
        <w:t xml:space="preserve">du Coordonnateur de la Cellule de la Réforme de la Police. </w:t>
      </w:r>
    </w:p>
    <w:p w14:paraId="22DB537C" w14:textId="2957399E" w:rsidR="00633B7B" w:rsidRDefault="005672DD" w:rsidP="00633B7B">
      <w:pPr>
        <w:pStyle w:val="ListParagraph"/>
        <w:numPr>
          <w:ilvl w:val="0"/>
          <w:numId w:val="5"/>
        </w:numPr>
        <w:jc w:val="both"/>
        <w:rPr>
          <w:lang w:val="fr-FR"/>
        </w:rPr>
      </w:pPr>
      <w:r>
        <w:rPr>
          <w:lang w:val="fr-FR"/>
        </w:rPr>
        <w:t xml:space="preserve">Pendant la période de rapportage, des </w:t>
      </w:r>
      <w:r w:rsidR="00633B7B">
        <w:rPr>
          <w:lang w:val="fr-FR"/>
        </w:rPr>
        <w:t xml:space="preserve">activités </w:t>
      </w:r>
      <w:r w:rsidR="000E27E4">
        <w:rPr>
          <w:lang w:val="fr-FR"/>
        </w:rPr>
        <w:t xml:space="preserve">visant à </w:t>
      </w:r>
      <w:r w:rsidR="00633B7B">
        <w:rPr>
          <w:lang w:val="fr-FR"/>
        </w:rPr>
        <w:t>rapproche</w:t>
      </w:r>
      <w:r w:rsidR="000E27E4">
        <w:rPr>
          <w:lang w:val="fr-FR"/>
        </w:rPr>
        <w:t xml:space="preserve">r la </w:t>
      </w:r>
      <w:r w:rsidR="00633B7B">
        <w:rPr>
          <w:lang w:val="fr-FR"/>
        </w:rPr>
        <w:t>Police</w:t>
      </w:r>
      <w:r w:rsidR="000E27E4">
        <w:rPr>
          <w:lang w:val="fr-FR"/>
        </w:rPr>
        <w:t xml:space="preserve"> et la </w:t>
      </w:r>
      <w:r w:rsidR="00633B7B">
        <w:rPr>
          <w:lang w:val="fr-FR"/>
        </w:rPr>
        <w:t xml:space="preserve">Population </w:t>
      </w:r>
      <w:r w:rsidR="000E27E4">
        <w:rPr>
          <w:lang w:val="fr-FR"/>
        </w:rPr>
        <w:t xml:space="preserve">ont été également organisée dans </w:t>
      </w:r>
      <w:r w:rsidR="00633B7B">
        <w:rPr>
          <w:lang w:val="fr-FR"/>
        </w:rPr>
        <w:t xml:space="preserve">la Commune de </w:t>
      </w:r>
      <w:proofErr w:type="spellStart"/>
      <w:r w:rsidR="00633B7B">
        <w:rPr>
          <w:lang w:val="fr-FR"/>
        </w:rPr>
        <w:t>Kanzala</w:t>
      </w:r>
      <w:proofErr w:type="spellEnd"/>
      <w:r w:rsidR="0009792A">
        <w:rPr>
          <w:lang w:val="fr-FR"/>
        </w:rPr>
        <w:t xml:space="preserve"> du 03 au 08 mai 2022</w:t>
      </w:r>
      <w:r w:rsidR="00633B7B">
        <w:rPr>
          <w:lang w:val="fr-FR"/>
        </w:rPr>
        <w:t xml:space="preserve">. </w:t>
      </w:r>
      <w:r w:rsidR="009D57FC">
        <w:rPr>
          <w:lang w:val="fr-FR"/>
        </w:rPr>
        <w:t xml:space="preserve">Ces </w:t>
      </w:r>
      <w:r w:rsidR="00633B7B">
        <w:rPr>
          <w:lang w:val="fr-FR"/>
        </w:rPr>
        <w:t xml:space="preserve">activités </w:t>
      </w:r>
      <w:r w:rsidR="009D57FC">
        <w:rPr>
          <w:lang w:val="fr-FR"/>
        </w:rPr>
        <w:t xml:space="preserve">comprennent entre autres des compétitions </w:t>
      </w:r>
      <w:r w:rsidR="00633B7B">
        <w:rPr>
          <w:lang w:val="fr-FR"/>
        </w:rPr>
        <w:t>des matchs de foot avec les équipes mixtes constituées des joueurs issus de la population et de la Police</w:t>
      </w:r>
      <w:r w:rsidR="00922E3E">
        <w:rPr>
          <w:lang w:val="fr-FR"/>
        </w:rPr>
        <w:t xml:space="preserve">, </w:t>
      </w:r>
      <w:r w:rsidR="00633B7B">
        <w:rPr>
          <w:lang w:val="fr-FR"/>
        </w:rPr>
        <w:t xml:space="preserve">une marche de santé police-population sur les grandes artères de la Commune de </w:t>
      </w:r>
      <w:proofErr w:type="spellStart"/>
      <w:r w:rsidR="00633B7B">
        <w:rPr>
          <w:lang w:val="fr-FR"/>
        </w:rPr>
        <w:t>Kanzala</w:t>
      </w:r>
      <w:proofErr w:type="spellEnd"/>
      <w:r w:rsidR="00633B7B">
        <w:rPr>
          <w:lang w:val="fr-FR"/>
        </w:rPr>
        <w:t xml:space="preserve"> ; des activités inclusives de lutte contre l’insalubrité publique dans les quartiers de la commune; des conférences débats animés par les membres de CLSP, des forums des quartiers et les Policiers formés ; une tribune d’expression populaire entre les Policiers de circulation routières et les chauffeurs de taxi motos et un concert public animé par un orchestre composé des policiers et la population civile. </w:t>
      </w:r>
    </w:p>
    <w:p w14:paraId="3DB10CB0" w14:textId="237AD4E9" w:rsidR="00457310" w:rsidRDefault="00DC2453" w:rsidP="00633B7B">
      <w:pPr>
        <w:pStyle w:val="ListParagraph"/>
        <w:numPr>
          <w:ilvl w:val="0"/>
          <w:numId w:val="5"/>
        </w:numPr>
        <w:jc w:val="both"/>
        <w:rPr>
          <w:lang w:val="fr-FR"/>
        </w:rPr>
      </w:pPr>
      <w:r>
        <w:rPr>
          <w:lang w:val="fr-FR"/>
        </w:rPr>
        <w:t xml:space="preserve">A ce jour, les travaux de construction du </w:t>
      </w:r>
      <w:r w:rsidR="00633B7B">
        <w:rPr>
          <w:lang w:val="fr-FR"/>
        </w:rPr>
        <w:t xml:space="preserve">Commissariat de référence et </w:t>
      </w:r>
      <w:r>
        <w:rPr>
          <w:lang w:val="fr-FR"/>
        </w:rPr>
        <w:t xml:space="preserve">des </w:t>
      </w:r>
      <w:r w:rsidR="00D27B46">
        <w:rPr>
          <w:lang w:val="fr-FR"/>
        </w:rPr>
        <w:t>t</w:t>
      </w:r>
      <w:r w:rsidR="00633B7B">
        <w:rPr>
          <w:lang w:val="fr-FR"/>
        </w:rPr>
        <w:t xml:space="preserve">rois Sous-Commissariats dans la commune de </w:t>
      </w:r>
      <w:proofErr w:type="spellStart"/>
      <w:r w:rsidR="00633B7B">
        <w:rPr>
          <w:lang w:val="fr-FR"/>
        </w:rPr>
        <w:t>Kanzala</w:t>
      </w:r>
      <w:proofErr w:type="spellEnd"/>
      <w:r w:rsidR="00B43080">
        <w:rPr>
          <w:lang w:val="fr-FR"/>
        </w:rPr>
        <w:t xml:space="preserve"> ont atteint </w:t>
      </w:r>
      <w:r w:rsidR="00633B7B">
        <w:rPr>
          <w:lang w:val="fr-FR"/>
        </w:rPr>
        <w:t>60%</w:t>
      </w:r>
      <w:r w:rsidR="00B43080">
        <w:rPr>
          <w:lang w:val="fr-FR"/>
        </w:rPr>
        <w:t xml:space="preserve"> de mise en œuvre</w:t>
      </w:r>
      <w:r w:rsidR="00633B7B">
        <w:rPr>
          <w:lang w:val="fr-FR"/>
        </w:rPr>
        <w:t xml:space="preserve">. </w:t>
      </w:r>
      <w:r w:rsidR="00BC17BD">
        <w:rPr>
          <w:lang w:val="fr-FR"/>
        </w:rPr>
        <w:t xml:space="preserve">Les travaux seront </w:t>
      </w:r>
      <w:r w:rsidR="00F71E61">
        <w:rPr>
          <w:lang w:val="fr-FR"/>
        </w:rPr>
        <w:t>par</w:t>
      </w:r>
      <w:r w:rsidR="00DF2883">
        <w:rPr>
          <w:lang w:val="fr-FR"/>
        </w:rPr>
        <w:t>achevés</w:t>
      </w:r>
      <w:r w:rsidR="00BC17BD">
        <w:rPr>
          <w:lang w:val="fr-FR"/>
        </w:rPr>
        <w:t xml:space="preserve"> au plus tard le 04 aout 2022. </w:t>
      </w:r>
    </w:p>
    <w:p w14:paraId="531E7DE8" w14:textId="0FA8670E" w:rsidR="00633B7B" w:rsidRPr="006F700C" w:rsidRDefault="00CA07D6" w:rsidP="00633B7B">
      <w:pPr>
        <w:pStyle w:val="ListParagraph"/>
        <w:numPr>
          <w:ilvl w:val="0"/>
          <w:numId w:val="5"/>
        </w:numPr>
        <w:jc w:val="both"/>
        <w:rPr>
          <w:lang w:val="fr-FR"/>
        </w:rPr>
      </w:pPr>
      <w:r>
        <w:rPr>
          <w:lang w:val="fr-FR"/>
        </w:rPr>
        <w:t xml:space="preserve">De plus, </w:t>
      </w:r>
      <w:r w:rsidR="00FF0A48">
        <w:rPr>
          <w:lang w:val="fr-FR"/>
        </w:rPr>
        <w:t xml:space="preserve">des </w:t>
      </w:r>
      <w:r w:rsidR="00633B7B" w:rsidRPr="006F700C">
        <w:rPr>
          <w:lang w:val="fr-FR"/>
        </w:rPr>
        <w:t>m</w:t>
      </w:r>
      <w:r w:rsidR="00633B7B">
        <w:rPr>
          <w:lang w:val="fr-FR"/>
        </w:rPr>
        <w:t>obiliers</w:t>
      </w:r>
      <w:r w:rsidR="00633B7B" w:rsidRPr="006F700C">
        <w:rPr>
          <w:lang w:val="fr-FR"/>
        </w:rPr>
        <w:t xml:space="preserve"> et autres fournitures</w:t>
      </w:r>
      <w:r w:rsidR="00A9125D">
        <w:rPr>
          <w:lang w:val="fr-FR"/>
        </w:rPr>
        <w:t xml:space="preserve"> </w:t>
      </w:r>
      <w:r w:rsidR="00633B7B" w:rsidRPr="006F700C">
        <w:rPr>
          <w:lang w:val="fr-FR"/>
        </w:rPr>
        <w:t xml:space="preserve">de bureau </w:t>
      </w:r>
      <w:r w:rsidR="00FF0A48">
        <w:rPr>
          <w:lang w:val="fr-FR"/>
        </w:rPr>
        <w:t xml:space="preserve">ont été acquis </w:t>
      </w:r>
      <w:r w:rsidR="00633B7B" w:rsidRPr="006F700C">
        <w:rPr>
          <w:lang w:val="fr-FR"/>
        </w:rPr>
        <w:t>pour équiper les bâtiments en</w:t>
      </w:r>
      <w:r w:rsidR="00633B7B">
        <w:rPr>
          <w:lang w:val="fr-FR"/>
        </w:rPr>
        <w:t xml:space="preserve"> </w:t>
      </w:r>
      <w:r w:rsidR="00633B7B" w:rsidRPr="006F700C">
        <w:rPr>
          <w:lang w:val="fr-FR"/>
        </w:rPr>
        <w:t>cours de construction</w:t>
      </w:r>
      <w:r w:rsidR="00633B7B">
        <w:rPr>
          <w:lang w:val="fr-FR"/>
        </w:rPr>
        <w:t xml:space="preserve"> </w:t>
      </w:r>
      <w:r w:rsidR="00FF0A48">
        <w:rPr>
          <w:lang w:val="fr-FR"/>
        </w:rPr>
        <w:t xml:space="preserve">ainsi que </w:t>
      </w:r>
      <w:r w:rsidR="00633B7B">
        <w:rPr>
          <w:lang w:val="fr-FR"/>
        </w:rPr>
        <w:t>40</w:t>
      </w:r>
      <w:r w:rsidR="00633B7B" w:rsidRPr="006F700C">
        <w:rPr>
          <w:lang w:val="fr-FR"/>
        </w:rPr>
        <w:t xml:space="preserve"> motos </w:t>
      </w:r>
      <w:r w:rsidR="00FF0A48">
        <w:rPr>
          <w:lang w:val="fr-FR"/>
        </w:rPr>
        <w:t xml:space="preserve">pour faciliter la mobilité </w:t>
      </w:r>
      <w:r w:rsidR="00633B7B">
        <w:rPr>
          <w:lang w:val="fr-FR"/>
        </w:rPr>
        <w:t>des policiers formés.</w:t>
      </w:r>
      <w:r w:rsidR="00633B7B" w:rsidRPr="006F700C">
        <w:rPr>
          <w:lang w:val="fr-FR"/>
        </w:rPr>
        <w:t xml:space="preserve">   </w:t>
      </w:r>
    </w:p>
    <w:p w14:paraId="53D12085" w14:textId="4C5EF4E1" w:rsidR="00633B7B" w:rsidRDefault="00457310" w:rsidP="00633B7B">
      <w:pPr>
        <w:pStyle w:val="ListParagraph"/>
        <w:numPr>
          <w:ilvl w:val="0"/>
          <w:numId w:val="6"/>
        </w:numPr>
        <w:ind w:left="-142"/>
        <w:jc w:val="both"/>
        <w:rPr>
          <w:lang w:val="fr-FR"/>
        </w:rPr>
      </w:pPr>
      <w:r>
        <w:rPr>
          <w:lang w:val="fr-FR"/>
        </w:rPr>
        <w:t xml:space="preserve">Au total, trois (3) projets à impact rapide ont été identifiés et validés </w:t>
      </w:r>
      <w:r w:rsidR="001D5FB5">
        <w:rPr>
          <w:lang w:val="fr-FR"/>
        </w:rPr>
        <w:t xml:space="preserve">par les forums </w:t>
      </w:r>
      <w:r>
        <w:rPr>
          <w:lang w:val="fr-FR"/>
        </w:rPr>
        <w:t xml:space="preserve">en faveur des jeunes désœuvrés et les personnes affectées par le déplacement vivant à </w:t>
      </w:r>
      <w:proofErr w:type="spellStart"/>
      <w:r>
        <w:rPr>
          <w:lang w:val="fr-FR"/>
        </w:rPr>
        <w:t>Kanzala</w:t>
      </w:r>
      <w:proofErr w:type="spellEnd"/>
      <w:r>
        <w:rPr>
          <w:lang w:val="fr-FR"/>
        </w:rPr>
        <w:t xml:space="preserve">. </w:t>
      </w:r>
      <w:r w:rsidR="00633B7B">
        <w:rPr>
          <w:lang w:val="fr-FR"/>
        </w:rPr>
        <w:t xml:space="preserve">Il s’agit notamment des micros-subventions visant </w:t>
      </w:r>
      <w:r w:rsidR="00BF3C56">
        <w:rPr>
          <w:lang w:val="fr-FR"/>
        </w:rPr>
        <w:t xml:space="preserve">à </w:t>
      </w:r>
      <w:r w:rsidR="00633B7B">
        <w:rPr>
          <w:lang w:val="fr-FR"/>
        </w:rPr>
        <w:t xml:space="preserve">appuyer dans les domaines de lutte contre le banditisme urbain, </w:t>
      </w:r>
      <w:r w:rsidR="00384169">
        <w:rPr>
          <w:lang w:val="fr-FR"/>
        </w:rPr>
        <w:t xml:space="preserve">la </w:t>
      </w:r>
      <w:r w:rsidR="00633B7B">
        <w:rPr>
          <w:lang w:val="fr-FR"/>
        </w:rPr>
        <w:t xml:space="preserve">lutte contre l’insalubrité publique et de lutte contre la pollution sonore dans la Commune de </w:t>
      </w:r>
      <w:proofErr w:type="spellStart"/>
      <w:r w:rsidR="00633B7B">
        <w:rPr>
          <w:lang w:val="fr-FR"/>
        </w:rPr>
        <w:t>Kanzala</w:t>
      </w:r>
      <w:proofErr w:type="spellEnd"/>
      <w:r w:rsidR="00633B7B">
        <w:rPr>
          <w:lang w:val="fr-FR"/>
        </w:rPr>
        <w:t xml:space="preserve">.  </w:t>
      </w:r>
    </w:p>
    <w:p w14:paraId="18D97618" w14:textId="28C0AAB1" w:rsidR="00633B7B" w:rsidRDefault="00633B7B" w:rsidP="00633B7B">
      <w:pPr>
        <w:pStyle w:val="ListParagraph"/>
        <w:numPr>
          <w:ilvl w:val="0"/>
          <w:numId w:val="6"/>
        </w:numPr>
        <w:ind w:left="-142"/>
        <w:jc w:val="both"/>
        <w:rPr>
          <w:lang w:val="fr-FR"/>
        </w:rPr>
      </w:pPr>
      <w:r>
        <w:rPr>
          <w:lang w:val="fr-FR"/>
        </w:rPr>
        <w:lastRenderedPageBreak/>
        <w:t>L’évaluation interne à mi-parcours réalisée en mars 202</w:t>
      </w:r>
      <w:r w:rsidR="004C0FA3">
        <w:rPr>
          <w:lang w:val="fr-FR"/>
        </w:rPr>
        <w:t>2</w:t>
      </w:r>
      <w:r>
        <w:rPr>
          <w:lang w:val="fr-FR"/>
        </w:rPr>
        <w:t xml:space="preserve"> et ayant permis de mettre à jour les indicateurs de progrès du projet.</w:t>
      </w:r>
    </w:p>
    <w:p w14:paraId="69944025" w14:textId="4A862EF2" w:rsidR="00633B7B" w:rsidRDefault="00633B7B" w:rsidP="00633B7B">
      <w:pPr>
        <w:pStyle w:val="ListParagraph"/>
        <w:numPr>
          <w:ilvl w:val="0"/>
          <w:numId w:val="6"/>
        </w:numPr>
        <w:ind w:left="-142"/>
        <w:jc w:val="both"/>
        <w:rPr>
          <w:lang w:val="fr-FR"/>
        </w:rPr>
      </w:pPr>
      <w:r>
        <w:rPr>
          <w:lang w:val="fr-FR"/>
        </w:rPr>
        <w:t>L’i</w:t>
      </w:r>
      <w:r w:rsidRPr="00D361AF">
        <w:rPr>
          <w:lang w:val="fr-FR"/>
        </w:rPr>
        <w:t xml:space="preserve">dentification et </w:t>
      </w:r>
      <w:r w:rsidR="00E26B89">
        <w:rPr>
          <w:lang w:val="fr-FR"/>
        </w:rPr>
        <w:t xml:space="preserve">le </w:t>
      </w:r>
      <w:r w:rsidRPr="00D361AF">
        <w:rPr>
          <w:lang w:val="fr-FR"/>
        </w:rPr>
        <w:t>diagnostic des chaines des valeurs porteuses </w:t>
      </w:r>
      <w:r w:rsidR="00BC17BD">
        <w:rPr>
          <w:lang w:val="fr-FR"/>
        </w:rPr>
        <w:t xml:space="preserve">au profit des jeunes filles et garçons qui bénéficierons des </w:t>
      </w:r>
      <w:r w:rsidR="00E36724">
        <w:rPr>
          <w:lang w:val="fr-FR"/>
        </w:rPr>
        <w:t>micro-subventions</w:t>
      </w:r>
      <w:r w:rsidR="00BC17BD">
        <w:rPr>
          <w:lang w:val="fr-FR"/>
        </w:rPr>
        <w:t xml:space="preserve"> pour leur réinsertion </w:t>
      </w:r>
      <w:r w:rsidR="00E36724">
        <w:rPr>
          <w:lang w:val="fr-FR"/>
        </w:rPr>
        <w:t>socioéconomique</w:t>
      </w:r>
      <w:r w:rsidR="00E36724" w:rsidRPr="00D361AF">
        <w:rPr>
          <w:lang w:val="fr-FR"/>
        </w:rPr>
        <w:t xml:space="preserve"> ;</w:t>
      </w:r>
    </w:p>
    <w:p w14:paraId="776DCBF1" w14:textId="760A0CD4" w:rsidR="00633B7B" w:rsidRDefault="00633B7B" w:rsidP="00633B7B">
      <w:pPr>
        <w:pStyle w:val="ListParagraph"/>
        <w:numPr>
          <w:ilvl w:val="0"/>
          <w:numId w:val="6"/>
        </w:numPr>
        <w:ind w:left="-142"/>
        <w:jc w:val="both"/>
        <w:rPr>
          <w:lang w:val="fr-FR"/>
        </w:rPr>
      </w:pPr>
      <w:r>
        <w:rPr>
          <w:lang w:val="fr-FR"/>
        </w:rPr>
        <w:t>Le</w:t>
      </w:r>
      <w:r w:rsidR="00661BF5">
        <w:rPr>
          <w:lang w:val="fr-FR"/>
        </w:rPr>
        <w:t xml:space="preserve"> </w:t>
      </w:r>
      <w:r>
        <w:rPr>
          <w:lang w:val="fr-FR"/>
        </w:rPr>
        <w:t>r</w:t>
      </w:r>
      <w:r w:rsidRPr="00D361AF">
        <w:rPr>
          <w:lang w:val="fr-FR"/>
        </w:rPr>
        <w:t xml:space="preserve">enforcement des capacités </w:t>
      </w:r>
      <w:r w:rsidR="00671B7E">
        <w:rPr>
          <w:lang w:val="fr-FR"/>
        </w:rPr>
        <w:t xml:space="preserve">en mai 2022 de </w:t>
      </w:r>
      <w:r w:rsidR="00AD1041">
        <w:rPr>
          <w:lang w:val="fr-FR"/>
        </w:rPr>
        <w:t>quarante (</w:t>
      </w:r>
      <w:r w:rsidRPr="00D361AF">
        <w:rPr>
          <w:lang w:val="fr-FR"/>
        </w:rPr>
        <w:t>40</w:t>
      </w:r>
      <w:r w:rsidR="00AD1041">
        <w:rPr>
          <w:lang w:val="fr-FR"/>
        </w:rPr>
        <w:t>)</w:t>
      </w:r>
      <w:r w:rsidRPr="00D361AF">
        <w:rPr>
          <w:lang w:val="fr-FR"/>
        </w:rPr>
        <w:t xml:space="preserve"> acteurs locaux </w:t>
      </w:r>
      <w:r w:rsidR="00BC17BD">
        <w:rPr>
          <w:lang w:val="fr-FR"/>
        </w:rPr>
        <w:t>don</w:t>
      </w:r>
      <w:r w:rsidR="004752DC">
        <w:rPr>
          <w:lang w:val="fr-FR"/>
        </w:rPr>
        <w:t>t, entre autres</w:t>
      </w:r>
      <w:r w:rsidR="00E36724">
        <w:rPr>
          <w:lang w:val="fr-FR"/>
        </w:rPr>
        <w:t>, les membres des Comités Locaux de Paix et de Développement et les représentants des ministères techniques du gouvernement provincial du Kasaï</w:t>
      </w:r>
      <w:r w:rsidR="009F46A9">
        <w:rPr>
          <w:lang w:val="fr-FR"/>
        </w:rPr>
        <w:t xml:space="preserve">. La formation </w:t>
      </w:r>
      <w:r w:rsidR="004C12ED">
        <w:rPr>
          <w:lang w:val="fr-FR"/>
        </w:rPr>
        <w:t xml:space="preserve">a </w:t>
      </w:r>
      <w:r w:rsidR="009F46A9">
        <w:rPr>
          <w:lang w:val="fr-FR"/>
        </w:rPr>
        <w:t>port</w:t>
      </w:r>
      <w:r w:rsidR="004C12ED">
        <w:rPr>
          <w:lang w:val="fr-FR"/>
        </w:rPr>
        <w:t xml:space="preserve">é </w:t>
      </w:r>
      <w:r w:rsidR="00BB4A8C">
        <w:rPr>
          <w:lang w:val="fr-FR"/>
        </w:rPr>
        <w:t xml:space="preserve">sur </w:t>
      </w:r>
      <w:r w:rsidR="00BB4A8C" w:rsidRPr="00D361AF">
        <w:rPr>
          <w:lang w:val="fr-FR"/>
        </w:rPr>
        <w:t>l’élaboration</w:t>
      </w:r>
      <w:r w:rsidRPr="00D361AF">
        <w:rPr>
          <w:lang w:val="fr-FR"/>
        </w:rPr>
        <w:t xml:space="preserve"> de plans d’actions prioritaires de paix et de développement (PAPD)</w:t>
      </w:r>
      <w:r w:rsidR="00E36724">
        <w:rPr>
          <w:lang w:val="fr-FR"/>
        </w:rPr>
        <w:t xml:space="preserve"> </w:t>
      </w:r>
    </w:p>
    <w:p w14:paraId="0C96EA24" w14:textId="77777777" w:rsidR="00633B7B" w:rsidRPr="00D361AF" w:rsidRDefault="00633B7B" w:rsidP="00633B7B">
      <w:pPr>
        <w:pStyle w:val="ListParagraph"/>
        <w:numPr>
          <w:ilvl w:val="0"/>
          <w:numId w:val="6"/>
        </w:numPr>
        <w:ind w:left="-142"/>
        <w:jc w:val="both"/>
        <w:rPr>
          <w:lang w:val="fr-FR"/>
        </w:rPr>
      </w:pPr>
      <w:r>
        <w:rPr>
          <w:lang w:val="fr-FR"/>
        </w:rPr>
        <w:t>La v</w:t>
      </w:r>
      <w:r w:rsidRPr="00D361AF">
        <w:rPr>
          <w:lang w:val="fr-FR"/>
        </w:rPr>
        <w:t xml:space="preserve">alidation du Plan </w:t>
      </w:r>
      <w:r>
        <w:rPr>
          <w:lang w:val="fr-FR"/>
        </w:rPr>
        <w:t>L</w:t>
      </w:r>
      <w:r w:rsidRPr="00D361AF">
        <w:rPr>
          <w:lang w:val="fr-FR"/>
        </w:rPr>
        <w:t xml:space="preserve">ocal de </w:t>
      </w:r>
      <w:r>
        <w:rPr>
          <w:lang w:val="fr-FR"/>
        </w:rPr>
        <w:t>D</w:t>
      </w:r>
      <w:r w:rsidRPr="00D361AF">
        <w:rPr>
          <w:lang w:val="fr-FR"/>
        </w:rPr>
        <w:t xml:space="preserve">éveloppement </w:t>
      </w:r>
      <w:r>
        <w:rPr>
          <w:lang w:val="fr-FR"/>
        </w:rPr>
        <w:t xml:space="preserve">(PLD) </w:t>
      </w:r>
      <w:r w:rsidRPr="00D361AF">
        <w:rPr>
          <w:lang w:val="fr-FR"/>
        </w:rPr>
        <w:t>assorti du plan d’actions prioritaires et plan local d’investissement</w:t>
      </w:r>
    </w:p>
    <w:p w14:paraId="14A11E61" w14:textId="77777777" w:rsidR="00633B7B" w:rsidRPr="00EA0BBF" w:rsidRDefault="00633B7B" w:rsidP="00633B7B">
      <w:pPr>
        <w:jc w:val="both"/>
        <w:rPr>
          <w:i/>
          <w:iCs/>
          <w:lang w:val="fr-FR"/>
        </w:rPr>
      </w:pPr>
    </w:p>
    <w:p w14:paraId="6770C94C" w14:textId="77777777" w:rsidR="00634741" w:rsidRPr="00F778A1" w:rsidRDefault="00634741" w:rsidP="00634741">
      <w:pPr>
        <w:ind w:left="-810" w:right="-154"/>
        <w:rPr>
          <w:lang w:val="fr-FR"/>
        </w:rPr>
      </w:pPr>
      <w:r w:rsidRPr="00F778A1">
        <w:rPr>
          <w:lang w:val="fr-FR"/>
        </w:rPr>
        <w:t>POUR LES PROJETS DAN</w:t>
      </w:r>
      <w:r>
        <w:rPr>
          <w:lang w:val="fr-FR"/>
        </w:rPr>
        <w:t>S LES SIX DERNIERS MOIS DE MISE EN ŒUVRE :</w:t>
      </w:r>
    </w:p>
    <w:p w14:paraId="6CE748AA" w14:textId="2931574E" w:rsidR="00634741" w:rsidRPr="00DA139B" w:rsidRDefault="00634741" w:rsidP="00634741">
      <w:pPr>
        <w:ind w:left="-810" w:right="-154"/>
        <w:rPr>
          <w:lang w:val="fr-FR"/>
        </w:rPr>
      </w:pPr>
      <w:r w:rsidRPr="00476758">
        <w:rPr>
          <w:lang w:val="fr-FR"/>
        </w:rPr>
        <w:t>Résumez 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Pr="00476758">
        <w:rPr>
          <w:lang w:val="fr-FR"/>
        </w:rPr>
        <w:t xml:space="preserve"> </w:t>
      </w:r>
      <w:r w:rsidRPr="00DA139B">
        <w:rPr>
          <w:lang w:val="fr-FR"/>
        </w:rPr>
        <w:t>(</w:t>
      </w:r>
      <w:r w:rsidR="00BB4A8C" w:rsidRPr="00DA139B">
        <w:rPr>
          <w:lang w:val="fr-FR"/>
        </w:rPr>
        <w:t>Limite</w:t>
      </w:r>
      <w:r w:rsidRPr="00DA139B">
        <w:rPr>
          <w:lang w:val="fr-FR"/>
        </w:rPr>
        <w:t xml:space="preserve"> de 1500 </w:t>
      </w:r>
      <w:r w:rsidRPr="00F778A1">
        <w:rPr>
          <w:lang w:val="fr-FR"/>
        </w:rPr>
        <w:t>caractères</w:t>
      </w:r>
      <w:proofErr w:type="gramStart"/>
      <w:r w:rsidRPr="00DA139B">
        <w:rPr>
          <w:lang w:val="fr-FR"/>
        </w:rPr>
        <w:t>):</w:t>
      </w:r>
      <w:proofErr w:type="gramEnd"/>
      <w:r w:rsidRPr="00DA139B">
        <w:rPr>
          <w:lang w:val="fr-FR"/>
        </w:rPr>
        <w:t xml:space="preserve"> </w:t>
      </w:r>
    </w:p>
    <w:p w14:paraId="7FDB9CB6" w14:textId="1305978A" w:rsidR="00634741" w:rsidRPr="00DA139B" w:rsidRDefault="00634741" w:rsidP="00634741">
      <w:pPr>
        <w:ind w:left="-810"/>
        <w:rPr>
          <w:lang w:val="fr-FR"/>
        </w:rPr>
      </w:pPr>
      <w:r>
        <w:rPr>
          <w:lang w:val="fr-FR"/>
        </w:rPr>
        <w:fldChar w:fldCharType="begin">
          <w:ffData>
            <w:name w:val=""/>
            <w:enabled/>
            <w:calcOnExit w:val="0"/>
            <w:textInput>
              <w:maxLength w:val="150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0D5F6A82" w14:textId="7F405E38" w:rsidR="004F6E64" w:rsidRPr="00FE249E" w:rsidRDefault="004F6E64" w:rsidP="00BB4A8C">
      <w:pPr>
        <w:jc w:val="both"/>
        <w:rPr>
          <w:lang w:val="fr-FR"/>
        </w:rPr>
      </w:pPr>
      <w:r w:rsidRPr="00FE249E">
        <w:rPr>
          <w:lang w:val="fr-FR"/>
        </w:rPr>
        <w:t xml:space="preserve">Il faut dire qu’au stade actuel, le projet enregistre un progrès </w:t>
      </w:r>
      <w:r w:rsidR="00AE66F4" w:rsidRPr="00FE249E">
        <w:rPr>
          <w:lang w:val="fr-FR"/>
        </w:rPr>
        <w:t xml:space="preserve">notable </w:t>
      </w:r>
      <w:r w:rsidRPr="00FE249E">
        <w:rPr>
          <w:lang w:val="fr-FR"/>
        </w:rPr>
        <w:t>dan</w:t>
      </w:r>
      <w:r w:rsidR="004A265D" w:rsidRPr="00FE249E">
        <w:rPr>
          <w:lang w:val="fr-FR"/>
        </w:rPr>
        <w:t xml:space="preserve">s </w:t>
      </w:r>
      <w:r w:rsidRPr="00FE249E">
        <w:rPr>
          <w:lang w:val="fr-FR"/>
        </w:rPr>
        <w:t>le renforcement des institutions mais aussi dans la structuration sociétale</w:t>
      </w:r>
      <w:r w:rsidR="004A265D" w:rsidRPr="00FE249E">
        <w:rPr>
          <w:lang w:val="fr-FR"/>
        </w:rPr>
        <w:t xml:space="preserve"> </w:t>
      </w:r>
      <w:r w:rsidRPr="00FE249E">
        <w:rPr>
          <w:lang w:val="fr-FR"/>
        </w:rPr>
        <w:t>et que ces actions combinées</w:t>
      </w:r>
      <w:r w:rsidR="001A59D9">
        <w:rPr>
          <w:lang w:val="fr-FR"/>
        </w:rPr>
        <w:t xml:space="preserve"> (</w:t>
      </w:r>
      <w:r w:rsidR="0092174B">
        <w:rPr>
          <w:lang w:val="fr-FR"/>
        </w:rPr>
        <w:t>renforcement</w:t>
      </w:r>
      <w:r w:rsidR="001A59D9">
        <w:rPr>
          <w:lang w:val="fr-FR"/>
        </w:rPr>
        <w:t xml:space="preserve"> des capacités de la police,</w:t>
      </w:r>
      <w:r w:rsidR="0092174B">
        <w:rPr>
          <w:lang w:val="fr-FR"/>
        </w:rPr>
        <w:t xml:space="preserve"> comités Locaux de sécurité de proximité et un appui </w:t>
      </w:r>
      <w:r w:rsidR="00D90D3F">
        <w:rPr>
          <w:lang w:val="fr-FR"/>
        </w:rPr>
        <w:t>à la réalisation</w:t>
      </w:r>
      <w:r w:rsidR="00B90282">
        <w:rPr>
          <w:lang w:val="fr-FR"/>
        </w:rPr>
        <w:t xml:space="preserve"> d’initiatives économique</w:t>
      </w:r>
      <w:r w:rsidR="00D90D3F">
        <w:rPr>
          <w:lang w:val="fr-FR"/>
        </w:rPr>
        <w:t>s</w:t>
      </w:r>
      <w:r w:rsidR="00B90282">
        <w:rPr>
          <w:lang w:val="fr-FR"/>
        </w:rPr>
        <w:t xml:space="preserve"> et sociales)</w:t>
      </w:r>
      <w:r w:rsidRPr="00FE249E">
        <w:rPr>
          <w:lang w:val="fr-FR"/>
        </w:rPr>
        <w:t xml:space="preserve"> </w:t>
      </w:r>
      <w:r w:rsidR="00E33A01" w:rsidRPr="00FE249E">
        <w:rPr>
          <w:lang w:val="fr-FR"/>
        </w:rPr>
        <w:t xml:space="preserve">ont </w:t>
      </w:r>
      <w:r w:rsidRPr="00FE249E">
        <w:rPr>
          <w:lang w:val="fr-FR"/>
        </w:rPr>
        <w:t>contribu</w:t>
      </w:r>
      <w:r w:rsidR="00E33A01" w:rsidRPr="00FE249E">
        <w:rPr>
          <w:lang w:val="fr-FR"/>
        </w:rPr>
        <w:t>é</w:t>
      </w:r>
      <w:r w:rsidRPr="00FE249E">
        <w:rPr>
          <w:lang w:val="fr-FR"/>
        </w:rPr>
        <w:t xml:space="preserve"> </w:t>
      </w:r>
      <w:r w:rsidR="004A265D" w:rsidRPr="00FE249E">
        <w:rPr>
          <w:lang w:val="fr-FR"/>
        </w:rPr>
        <w:t xml:space="preserve">au renforcement de la confiance </w:t>
      </w:r>
      <w:r w:rsidR="00D13FDC" w:rsidRPr="00FE249E">
        <w:rPr>
          <w:lang w:val="fr-FR"/>
        </w:rPr>
        <w:t xml:space="preserve">mutuelle </w:t>
      </w:r>
      <w:r w:rsidR="004A265D" w:rsidRPr="00FE249E">
        <w:rPr>
          <w:lang w:val="fr-FR"/>
        </w:rPr>
        <w:t xml:space="preserve">entre les communautés et la </w:t>
      </w:r>
      <w:r w:rsidR="008C030B">
        <w:rPr>
          <w:lang w:val="fr-FR"/>
        </w:rPr>
        <w:t>P</w:t>
      </w:r>
      <w:r w:rsidR="004A265D" w:rsidRPr="00FE249E">
        <w:rPr>
          <w:lang w:val="fr-FR"/>
        </w:rPr>
        <w:t xml:space="preserve">olice </w:t>
      </w:r>
      <w:r w:rsidR="008C030B">
        <w:rPr>
          <w:lang w:val="fr-FR"/>
        </w:rPr>
        <w:t>N</w:t>
      </w:r>
      <w:r w:rsidR="004A265D" w:rsidRPr="00FE249E">
        <w:rPr>
          <w:lang w:val="fr-FR"/>
        </w:rPr>
        <w:t xml:space="preserve">ationale </w:t>
      </w:r>
      <w:r w:rsidR="008C030B">
        <w:rPr>
          <w:lang w:val="fr-FR"/>
        </w:rPr>
        <w:t>C</w:t>
      </w:r>
      <w:r w:rsidR="004A265D" w:rsidRPr="00FE249E">
        <w:rPr>
          <w:lang w:val="fr-FR"/>
        </w:rPr>
        <w:t>ongolaise</w:t>
      </w:r>
      <w:r w:rsidR="008C030B">
        <w:rPr>
          <w:lang w:val="fr-FR"/>
        </w:rPr>
        <w:t xml:space="preserve"> (PNC)</w:t>
      </w:r>
      <w:r w:rsidRPr="00FE249E">
        <w:rPr>
          <w:lang w:val="fr-FR"/>
        </w:rPr>
        <w:t xml:space="preserve">. </w:t>
      </w:r>
      <w:r w:rsidR="00E33A01" w:rsidRPr="00FE249E">
        <w:rPr>
          <w:lang w:val="fr-FR"/>
        </w:rPr>
        <w:t>Cela renforce le sentiment de sécurité au sein des populations locales qui l’ont exprimé lors des entretiens</w:t>
      </w:r>
      <w:r w:rsidR="00504C15">
        <w:rPr>
          <w:lang w:val="fr-FR"/>
        </w:rPr>
        <w:t xml:space="preserve"> et enquêtes réalisés (voir le rapport ci-joint)</w:t>
      </w:r>
      <w:r w:rsidR="00E33A01" w:rsidRPr="00FE249E">
        <w:rPr>
          <w:lang w:val="fr-FR"/>
        </w:rPr>
        <w:t xml:space="preserve">. </w:t>
      </w:r>
      <w:r w:rsidRPr="00FE249E">
        <w:rPr>
          <w:lang w:val="fr-FR"/>
        </w:rPr>
        <w:t xml:space="preserve">En effet, tant </w:t>
      </w:r>
      <w:r w:rsidR="004A265D" w:rsidRPr="00FE249E">
        <w:rPr>
          <w:lang w:val="fr-FR"/>
        </w:rPr>
        <w:t xml:space="preserve">au niveau provincial </w:t>
      </w:r>
      <w:r w:rsidRPr="00FE249E">
        <w:rPr>
          <w:lang w:val="fr-FR"/>
        </w:rPr>
        <w:t xml:space="preserve">que local, </w:t>
      </w:r>
      <w:r w:rsidR="00E33A01" w:rsidRPr="00FE249E">
        <w:rPr>
          <w:lang w:val="fr-FR"/>
        </w:rPr>
        <w:t>les actions telles que la formation des agents de police</w:t>
      </w:r>
      <w:r w:rsidR="009249D6" w:rsidRPr="00FE249E">
        <w:rPr>
          <w:lang w:val="fr-FR"/>
        </w:rPr>
        <w:t>, la mise en place des Comité Locaux de Sécurité et de Paix</w:t>
      </w:r>
      <w:r w:rsidR="00CD3E7B" w:rsidRPr="00FE249E">
        <w:rPr>
          <w:lang w:val="fr-FR"/>
        </w:rPr>
        <w:t xml:space="preserve"> et le Comité Local de Paix et de Développement</w:t>
      </w:r>
      <w:r w:rsidR="009249D6" w:rsidRPr="00FE249E">
        <w:rPr>
          <w:lang w:val="fr-FR"/>
        </w:rPr>
        <w:t xml:space="preserve"> constituent des bases de transformation sociétales, car favorisant la participation de toutes les couches de la société (femmes, jeunes, </w:t>
      </w:r>
      <w:r w:rsidR="00531CEF" w:rsidRPr="00FE249E">
        <w:rPr>
          <w:lang w:val="fr-FR"/>
        </w:rPr>
        <w:t>etc.</w:t>
      </w:r>
      <w:r w:rsidR="009249D6" w:rsidRPr="00FE249E">
        <w:rPr>
          <w:lang w:val="fr-FR"/>
        </w:rPr>
        <w:t xml:space="preserve">) au dialogue </w:t>
      </w:r>
      <w:r w:rsidR="00055AF6" w:rsidRPr="00FE249E">
        <w:rPr>
          <w:lang w:val="fr-FR"/>
        </w:rPr>
        <w:t xml:space="preserve">communautaire et la construction d’une société </w:t>
      </w:r>
      <w:r w:rsidR="00DB12F5" w:rsidRPr="00FE249E">
        <w:rPr>
          <w:lang w:val="fr-FR"/>
        </w:rPr>
        <w:t>paisible</w:t>
      </w:r>
      <w:r w:rsidRPr="00FE249E">
        <w:rPr>
          <w:lang w:val="fr-FR"/>
        </w:rPr>
        <w:t xml:space="preserve">. Même si ces actions doivent encore être renforcées, elles témoignent de l’intérêt des autorités et des communautés pour la question et concourent à restaurer l’environnement institutionnel et la structuration sociétale qui sont un préalable à la sécurité, la cohésion sociale et la </w:t>
      </w:r>
      <w:r w:rsidR="00DB12F5" w:rsidRPr="00FE249E">
        <w:rPr>
          <w:lang w:val="fr-FR"/>
        </w:rPr>
        <w:t>résilience des communautés</w:t>
      </w:r>
      <w:r w:rsidRPr="00FE249E">
        <w:rPr>
          <w:lang w:val="fr-FR"/>
        </w:rPr>
        <w:t>. Désormais, cette structuration procure</w:t>
      </w:r>
      <w:r w:rsidR="00B44C04" w:rsidRPr="00FE249E">
        <w:rPr>
          <w:lang w:val="fr-FR"/>
        </w:rPr>
        <w:t xml:space="preserve"> à la communauté </w:t>
      </w:r>
      <w:r w:rsidRPr="00FE249E">
        <w:rPr>
          <w:lang w:val="fr-FR"/>
        </w:rPr>
        <w:t xml:space="preserve">d’importants outils </w:t>
      </w:r>
      <w:r w:rsidR="00B44C04" w:rsidRPr="00FE249E">
        <w:rPr>
          <w:lang w:val="fr-FR"/>
        </w:rPr>
        <w:t xml:space="preserve">pour </w:t>
      </w:r>
      <w:r w:rsidRPr="00FE249E">
        <w:rPr>
          <w:lang w:val="fr-FR"/>
        </w:rPr>
        <w:t>l’identification et l’atténuation des vulnérabilités pouvant exposer particulièrement les jeunes et les femmes</w:t>
      </w:r>
      <w:r w:rsidR="00B44C04" w:rsidRPr="00FE249E">
        <w:rPr>
          <w:lang w:val="fr-FR"/>
        </w:rPr>
        <w:t xml:space="preserve">. </w:t>
      </w:r>
      <w:r w:rsidRPr="00FE249E">
        <w:rPr>
          <w:lang w:val="fr-FR"/>
        </w:rPr>
        <w:t xml:space="preserve">Des entretiens conduits avec quelques leaders communautaires et responsables </w:t>
      </w:r>
      <w:r w:rsidR="00B44C04" w:rsidRPr="00FE249E">
        <w:rPr>
          <w:lang w:val="fr-FR"/>
        </w:rPr>
        <w:t>de la police</w:t>
      </w:r>
      <w:r w:rsidRPr="00FE249E">
        <w:rPr>
          <w:lang w:val="fr-FR"/>
        </w:rPr>
        <w:t xml:space="preserve"> au niveau local, il ressort que ces derniers ont une bonne appréciation des appuis reçus. Ils </w:t>
      </w:r>
      <w:r w:rsidR="00033168" w:rsidRPr="00FE249E">
        <w:rPr>
          <w:lang w:val="fr-FR"/>
        </w:rPr>
        <w:t>pensent</w:t>
      </w:r>
      <w:r w:rsidRPr="00FE249E">
        <w:rPr>
          <w:lang w:val="fr-FR"/>
        </w:rPr>
        <w:t xml:space="preserve"> que </w:t>
      </w:r>
      <w:r w:rsidR="00B44C04" w:rsidRPr="00FE249E">
        <w:rPr>
          <w:lang w:val="fr-FR"/>
        </w:rPr>
        <w:t xml:space="preserve">cela </w:t>
      </w:r>
      <w:r w:rsidRPr="00FE249E">
        <w:rPr>
          <w:lang w:val="fr-FR"/>
        </w:rPr>
        <w:t xml:space="preserve">engendrera </w:t>
      </w:r>
      <w:r w:rsidR="00B44C04" w:rsidRPr="00FE249E">
        <w:rPr>
          <w:lang w:val="fr-FR"/>
        </w:rPr>
        <w:t xml:space="preserve">probablement </w:t>
      </w:r>
      <w:r w:rsidRPr="00FE249E">
        <w:rPr>
          <w:lang w:val="fr-FR"/>
        </w:rPr>
        <w:t xml:space="preserve">des changements </w:t>
      </w:r>
      <w:r w:rsidR="00B44C04" w:rsidRPr="00FE249E">
        <w:rPr>
          <w:lang w:val="fr-FR"/>
        </w:rPr>
        <w:t xml:space="preserve">positifs </w:t>
      </w:r>
      <w:r w:rsidRPr="00FE249E">
        <w:rPr>
          <w:lang w:val="fr-FR"/>
        </w:rPr>
        <w:t>au sein des populations.</w:t>
      </w:r>
    </w:p>
    <w:p w14:paraId="747441B6" w14:textId="62A5DE33" w:rsidR="00634741" w:rsidRDefault="00634741" w:rsidP="00BB4A8C">
      <w:pPr>
        <w:rPr>
          <w:lang w:val="fr-FR"/>
        </w:rPr>
      </w:pPr>
    </w:p>
    <w:p w14:paraId="104A2485" w14:textId="0767BB91" w:rsidR="00BB4A8C" w:rsidRDefault="00BB4A8C" w:rsidP="00BB4A8C">
      <w:pPr>
        <w:rPr>
          <w:lang w:val="fr-FR"/>
        </w:rPr>
      </w:pPr>
    </w:p>
    <w:p w14:paraId="31935476" w14:textId="7C1C01D7" w:rsidR="00BB4A8C" w:rsidRDefault="00BB4A8C" w:rsidP="00BB4A8C">
      <w:pPr>
        <w:rPr>
          <w:lang w:val="fr-FR"/>
        </w:rPr>
      </w:pPr>
    </w:p>
    <w:p w14:paraId="597F802D" w14:textId="0B652DEB" w:rsidR="00BB4A8C" w:rsidRDefault="00BB4A8C" w:rsidP="00BB4A8C">
      <w:pPr>
        <w:rPr>
          <w:lang w:val="fr-FR"/>
        </w:rPr>
      </w:pPr>
    </w:p>
    <w:p w14:paraId="439F559B" w14:textId="52A3EEDA" w:rsidR="00BB4A8C" w:rsidRDefault="00BB4A8C" w:rsidP="00BB4A8C">
      <w:pPr>
        <w:rPr>
          <w:lang w:val="fr-FR"/>
        </w:rPr>
      </w:pPr>
    </w:p>
    <w:p w14:paraId="760F0F56" w14:textId="3ACC56E5" w:rsidR="00BB4A8C" w:rsidRDefault="00BB4A8C" w:rsidP="00BB4A8C">
      <w:pPr>
        <w:rPr>
          <w:lang w:val="fr-FR"/>
        </w:rPr>
      </w:pPr>
    </w:p>
    <w:p w14:paraId="4C2E6462" w14:textId="2ACDF199" w:rsidR="00BB4A8C" w:rsidRDefault="00BB4A8C" w:rsidP="00BB4A8C">
      <w:pPr>
        <w:rPr>
          <w:lang w:val="fr-FR"/>
        </w:rPr>
      </w:pPr>
    </w:p>
    <w:p w14:paraId="39BA46EF" w14:textId="3A401C2F" w:rsidR="00BB4A8C" w:rsidRDefault="00BB4A8C" w:rsidP="00BB4A8C">
      <w:pPr>
        <w:rPr>
          <w:lang w:val="fr-FR"/>
        </w:rPr>
      </w:pPr>
    </w:p>
    <w:p w14:paraId="48861D5A" w14:textId="5C20DD36" w:rsidR="00BB4A8C" w:rsidRDefault="00BB4A8C" w:rsidP="00BB4A8C">
      <w:pPr>
        <w:rPr>
          <w:lang w:val="fr-FR"/>
        </w:rPr>
      </w:pPr>
    </w:p>
    <w:p w14:paraId="73D34073" w14:textId="0A5C61D5" w:rsidR="00BB4A8C" w:rsidRDefault="00BB4A8C" w:rsidP="00BB4A8C">
      <w:pPr>
        <w:rPr>
          <w:lang w:val="fr-FR"/>
        </w:rPr>
      </w:pPr>
    </w:p>
    <w:p w14:paraId="1521EB25" w14:textId="514697D9" w:rsidR="00BB4A8C" w:rsidRDefault="00BB4A8C" w:rsidP="00BB4A8C">
      <w:pPr>
        <w:rPr>
          <w:lang w:val="fr-FR"/>
        </w:rPr>
      </w:pPr>
    </w:p>
    <w:p w14:paraId="1C3C3C85" w14:textId="4DEA883E" w:rsidR="00BB4A8C" w:rsidRDefault="00BB4A8C" w:rsidP="00BB4A8C">
      <w:pPr>
        <w:rPr>
          <w:lang w:val="fr-FR"/>
        </w:rPr>
      </w:pPr>
    </w:p>
    <w:p w14:paraId="397988C4" w14:textId="77777777" w:rsidR="00BB4A8C" w:rsidRDefault="00BB4A8C" w:rsidP="00BB4A8C">
      <w:pPr>
        <w:rPr>
          <w:lang w:val="fr-FR"/>
        </w:rPr>
      </w:pPr>
    </w:p>
    <w:p w14:paraId="331B0CB7" w14:textId="2FC39A74" w:rsidR="00634741" w:rsidRDefault="00634741" w:rsidP="00117EE7">
      <w:pPr>
        <w:ind w:left="-810"/>
        <w:rPr>
          <w:lang w:val="fr-FR"/>
        </w:rPr>
      </w:pPr>
    </w:p>
    <w:p w14:paraId="7E092309" w14:textId="77777777" w:rsidR="00634741" w:rsidRPr="00633B7B" w:rsidRDefault="00634741" w:rsidP="00117EE7">
      <w:pPr>
        <w:ind w:left="-810"/>
        <w:rPr>
          <w:lang w:val="fr-FR"/>
        </w:rPr>
      </w:pPr>
    </w:p>
    <w:p w14:paraId="793C9A94" w14:textId="66F9CDEC" w:rsidR="00F5504F" w:rsidRPr="000960DC" w:rsidRDefault="00476758" w:rsidP="00117EE7">
      <w:pPr>
        <w:ind w:left="-810"/>
        <w:rPr>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146D57B0" w14:textId="77777777" w:rsidR="00DE568C" w:rsidRPr="00305E81" w:rsidRDefault="00DE568C" w:rsidP="00675507">
      <w:pPr>
        <w:ind w:left="-720"/>
        <w:rPr>
          <w:b/>
          <w:lang w:val="fr-FR"/>
        </w:rPr>
      </w:pPr>
    </w:p>
    <w:p w14:paraId="3672573B" w14:textId="77777777" w:rsidR="00DE568C" w:rsidRPr="005F7F71" w:rsidRDefault="00DE568C" w:rsidP="00DE568C">
      <w:pPr>
        <w:rPr>
          <w:b/>
          <w:u w:val="single"/>
          <w:lang w:val="fr-FR"/>
        </w:rPr>
      </w:pPr>
    </w:p>
    <w:p w14:paraId="5B8930EC" w14:textId="77777777" w:rsidR="00DE568C" w:rsidRPr="005F7F71" w:rsidRDefault="00DE568C" w:rsidP="00DE568C">
      <w:pPr>
        <w:ind w:left="-720"/>
        <w:jc w:val="both"/>
        <w:rPr>
          <w:b/>
          <w:lang w:val="fr-CD"/>
        </w:rPr>
      </w:pPr>
      <w:r w:rsidRPr="005F7F71">
        <w:rPr>
          <w:b/>
          <w:u w:val="single"/>
          <w:lang w:val="fr-FR"/>
        </w:rPr>
        <w:t>Résultat 1 :</w:t>
      </w:r>
      <w:r w:rsidRPr="00AF3EC4">
        <w:rPr>
          <w:b/>
          <w:lang w:val="fr-FR"/>
        </w:rPr>
        <w:t xml:space="preserve"> La sécurité des populations locales est renforcée grâce à la mise en place de services de sécurité de proximité</w:t>
      </w:r>
    </w:p>
    <w:p w14:paraId="3926BA4E" w14:textId="77777777" w:rsidR="00DE568C" w:rsidRPr="005F7F71" w:rsidRDefault="00DE568C" w:rsidP="00DE568C">
      <w:pPr>
        <w:ind w:left="-720"/>
        <w:jc w:val="both"/>
        <w:rPr>
          <w:b/>
          <w:lang w:val="fr-FR"/>
        </w:rPr>
      </w:pPr>
    </w:p>
    <w:p w14:paraId="1DC623BF" w14:textId="77777777" w:rsidR="00DE568C" w:rsidRPr="0009494D" w:rsidRDefault="00DE568C" w:rsidP="00DE5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5472F7">
        <w:rPr>
          <w:b/>
          <w:sz w:val="22"/>
          <w:szCs w:val="22"/>
          <w:highlight w:val="yellow"/>
          <w:lang w:val="fr-FR"/>
        </w:rPr>
        <w:t>ON TRACK</w:t>
      </w:r>
    </w:p>
    <w:p w14:paraId="55560EF5" w14:textId="77777777" w:rsidR="00DE568C" w:rsidRPr="005F7F71" w:rsidRDefault="00DE568C" w:rsidP="00DE568C">
      <w:pPr>
        <w:ind w:left="-720"/>
        <w:jc w:val="both"/>
        <w:rPr>
          <w:b/>
          <w:lang w:val="fr-FR"/>
        </w:rPr>
      </w:pPr>
    </w:p>
    <w:p w14:paraId="6188AC29" w14:textId="77777777" w:rsidR="00DE568C" w:rsidRPr="00A22EB9" w:rsidRDefault="00DE568C" w:rsidP="00DE568C">
      <w:pPr>
        <w:ind w:left="-720"/>
        <w:jc w:val="both"/>
        <w:rPr>
          <w:bCs/>
          <w:lang w:val="fr-FR"/>
        </w:rPr>
      </w:pPr>
      <w:r w:rsidRPr="00A22EB9">
        <w:rPr>
          <w:b/>
          <w:lang w:val="fr-FR"/>
        </w:rPr>
        <w:t xml:space="preserve">Résumé de </w:t>
      </w:r>
      <w:r w:rsidRPr="00A22EB9">
        <w:rPr>
          <w:b/>
          <w:bCs/>
          <w:color w:val="212121"/>
          <w:lang w:val="fr-FR"/>
        </w:rPr>
        <w:t>progrès</w:t>
      </w:r>
      <w:r w:rsidRPr="00A22EB9">
        <w:rPr>
          <w:b/>
          <w:lang w:val="fr-FR"/>
        </w:rPr>
        <w:t xml:space="preserve"> : </w:t>
      </w:r>
    </w:p>
    <w:p w14:paraId="534194F5" w14:textId="77777777" w:rsidR="00DE568C" w:rsidRPr="00A22EB9" w:rsidRDefault="00DE568C" w:rsidP="00DE568C">
      <w:pPr>
        <w:ind w:left="-720"/>
        <w:jc w:val="both"/>
        <w:rPr>
          <w:b/>
          <w:bCs/>
          <w:iCs/>
          <w:lang w:val="fr-FR"/>
        </w:rPr>
      </w:pPr>
    </w:p>
    <w:p w14:paraId="577C8BF8" w14:textId="77777777" w:rsidR="00E978E5" w:rsidRDefault="00DE568C" w:rsidP="00DE568C">
      <w:pPr>
        <w:ind w:left="-720"/>
        <w:jc w:val="both"/>
        <w:rPr>
          <w:iCs/>
          <w:lang w:val="fr-FR"/>
        </w:rPr>
      </w:pPr>
      <w:r>
        <w:rPr>
          <w:iCs/>
          <w:lang w:val="fr-FR"/>
        </w:rPr>
        <w:t>Depuis l</w:t>
      </w:r>
      <w:r w:rsidR="00500F09">
        <w:rPr>
          <w:iCs/>
          <w:lang w:val="fr-FR"/>
        </w:rPr>
        <w:t xml:space="preserve">e déploiement des </w:t>
      </w:r>
      <w:r w:rsidRPr="00835FEC">
        <w:rPr>
          <w:iCs/>
          <w:lang w:val="fr-FR"/>
        </w:rPr>
        <w:t>200 policiers</w:t>
      </w:r>
      <w:r w:rsidR="00AB52F0">
        <w:rPr>
          <w:iCs/>
          <w:lang w:val="fr-FR"/>
        </w:rPr>
        <w:t xml:space="preserve"> </w:t>
      </w:r>
      <w:r w:rsidRPr="00835FEC">
        <w:rPr>
          <w:iCs/>
          <w:lang w:val="fr-FR"/>
        </w:rPr>
        <w:t>(</w:t>
      </w:r>
      <w:r w:rsidR="007F78F7">
        <w:rPr>
          <w:iCs/>
          <w:lang w:val="fr-FR"/>
        </w:rPr>
        <w:t xml:space="preserve">dont </w:t>
      </w:r>
      <w:r w:rsidRPr="00835FEC">
        <w:rPr>
          <w:iCs/>
          <w:lang w:val="fr-FR"/>
        </w:rPr>
        <w:t>194 hommes</w:t>
      </w:r>
      <w:r w:rsidR="007F78F7">
        <w:rPr>
          <w:iCs/>
          <w:lang w:val="fr-FR"/>
        </w:rPr>
        <w:t xml:space="preserve"> et </w:t>
      </w:r>
      <w:r>
        <w:rPr>
          <w:iCs/>
          <w:lang w:val="fr-FR"/>
        </w:rPr>
        <w:t>six</w:t>
      </w:r>
      <w:r w:rsidRPr="00835FEC">
        <w:rPr>
          <w:iCs/>
          <w:lang w:val="fr-FR"/>
        </w:rPr>
        <w:t xml:space="preserve"> femmes) </w:t>
      </w:r>
      <w:r w:rsidR="00500F09">
        <w:rPr>
          <w:iCs/>
          <w:lang w:val="fr-FR"/>
        </w:rPr>
        <w:t xml:space="preserve">dans la commune de </w:t>
      </w:r>
      <w:proofErr w:type="spellStart"/>
      <w:r w:rsidR="00500F09">
        <w:rPr>
          <w:iCs/>
          <w:lang w:val="fr-FR"/>
        </w:rPr>
        <w:t>Kanzala</w:t>
      </w:r>
      <w:proofErr w:type="spellEnd"/>
      <w:r w:rsidR="00500F09">
        <w:rPr>
          <w:iCs/>
          <w:lang w:val="fr-FR"/>
        </w:rPr>
        <w:t xml:space="preserve"> dans la </w:t>
      </w:r>
      <w:r w:rsidR="003F5952">
        <w:rPr>
          <w:iCs/>
          <w:lang w:val="fr-FR"/>
        </w:rPr>
        <w:t>province du Kasaï</w:t>
      </w:r>
      <w:r>
        <w:rPr>
          <w:iCs/>
          <w:lang w:val="fr-FR"/>
        </w:rPr>
        <w:t xml:space="preserve">, une amélioration de la situation sécuritaire est observée dans la Commune de </w:t>
      </w:r>
      <w:proofErr w:type="spellStart"/>
      <w:r>
        <w:rPr>
          <w:iCs/>
          <w:lang w:val="fr-FR"/>
        </w:rPr>
        <w:t>Kanzala</w:t>
      </w:r>
      <w:proofErr w:type="spellEnd"/>
      <w:r w:rsidRPr="00835FEC">
        <w:rPr>
          <w:iCs/>
          <w:lang w:val="fr-FR"/>
        </w:rPr>
        <w:t>.</w:t>
      </w:r>
      <w:r>
        <w:rPr>
          <w:iCs/>
          <w:lang w:val="fr-FR"/>
        </w:rPr>
        <w:t xml:space="preserve"> </w:t>
      </w:r>
      <w:r w:rsidR="00E36724">
        <w:rPr>
          <w:iCs/>
          <w:lang w:val="fr-FR"/>
        </w:rPr>
        <w:t xml:space="preserve"> (Cf </w:t>
      </w:r>
      <w:r w:rsidR="00BF5191">
        <w:rPr>
          <w:iCs/>
          <w:lang w:val="fr-FR"/>
        </w:rPr>
        <w:t>rapport</w:t>
      </w:r>
      <w:r w:rsidR="00E36724">
        <w:rPr>
          <w:iCs/>
          <w:lang w:val="fr-FR"/>
        </w:rPr>
        <w:t xml:space="preserve"> d’évaluation à mi-parcours du projet</w:t>
      </w:r>
      <w:r w:rsidR="00BF5191">
        <w:rPr>
          <w:iCs/>
          <w:lang w:val="fr-FR"/>
        </w:rPr>
        <w:t>)</w:t>
      </w:r>
      <w:r w:rsidR="008435E7">
        <w:rPr>
          <w:iCs/>
          <w:lang w:val="fr-FR"/>
        </w:rPr>
        <w:t xml:space="preserve">. </w:t>
      </w:r>
    </w:p>
    <w:p w14:paraId="41107E2D" w14:textId="77777777" w:rsidR="00E978E5" w:rsidRDefault="00E978E5" w:rsidP="00DE568C">
      <w:pPr>
        <w:ind w:left="-720"/>
        <w:jc w:val="both"/>
        <w:rPr>
          <w:iCs/>
          <w:lang w:val="fr-FR"/>
        </w:rPr>
      </w:pPr>
    </w:p>
    <w:p w14:paraId="19A1283E" w14:textId="636B8081" w:rsidR="00DE568C" w:rsidRPr="00835FEC" w:rsidRDefault="008435E7" w:rsidP="00DE568C">
      <w:pPr>
        <w:ind w:left="-720"/>
        <w:jc w:val="both"/>
        <w:rPr>
          <w:iCs/>
          <w:lang w:val="fr-FR"/>
        </w:rPr>
      </w:pPr>
      <w:r>
        <w:rPr>
          <w:iCs/>
          <w:lang w:val="fr-FR"/>
        </w:rPr>
        <w:t>L</w:t>
      </w:r>
      <w:r w:rsidR="002157FD">
        <w:rPr>
          <w:lang w:val="fr-FR"/>
        </w:rPr>
        <w:t xml:space="preserve">e projet a accompagné le comité local de sécurité de proximité (CLSP), installé en septembre </w:t>
      </w:r>
      <w:r w:rsidR="00E978E5">
        <w:rPr>
          <w:lang w:val="fr-FR"/>
        </w:rPr>
        <w:t>2021, dans</w:t>
      </w:r>
      <w:r w:rsidR="002157FD">
        <w:rPr>
          <w:lang w:val="fr-FR"/>
        </w:rPr>
        <w:t xml:space="preserve"> l'élaboration de plans du</w:t>
      </w:r>
      <w:r w:rsidR="002157FD" w:rsidRPr="00835FEC">
        <w:rPr>
          <w:iCs/>
          <w:lang w:val="fr-FR"/>
        </w:rPr>
        <w:t xml:space="preserve"> </w:t>
      </w:r>
      <w:r w:rsidR="002157FD">
        <w:rPr>
          <w:iCs/>
          <w:lang w:val="fr-FR"/>
        </w:rPr>
        <w:t xml:space="preserve"> </w:t>
      </w:r>
      <w:r w:rsidR="00DE568C">
        <w:rPr>
          <w:iCs/>
          <w:lang w:val="fr-FR"/>
        </w:rPr>
        <w:t xml:space="preserve"> diagnostic local de sécurité </w:t>
      </w:r>
      <w:r w:rsidR="002157FD">
        <w:rPr>
          <w:iCs/>
          <w:lang w:val="fr-FR"/>
        </w:rPr>
        <w:t xml:space="preserve">(DLS) </w:t>
      </w:r>
      <w:r w:rsidR="00DE568C">
        <w:rPr>
          <w:iCs/>
          <w:lang w:val="fr-FR"/>
        </w:rPr>
        <w:t xml:space="preserve">et le </w:t>
      </w:r>
      <w:r w:rsidR="002157FD">
        <w:rPr>
          <w:iCs/>
          <w:lang w:val="fr-FR"/>
        </w:rPr>
        <w:t>p</w:t>
      </w:r>
      <w:r w:rsidR="00DE568C">
        <w:rPr>
          <w:iCs/>
          <w:lang w:val="fr-FR"/>
        </w:rPr>
        <w:t>lan local de sécurité</w:t>
      </w:r>
      <w:r w:rsidR="002157FD">
        <w:rPr>
          <w:iCs/>
          <w:lang w:val="fr-FR"/>
        </w:rPr>
        <w:t xml:space="preserve"> (PLS)</w:t>
      </w:r>
      <w:r w:rsidR="00DE568C">
        <w:rPr>
          <w:iCs/>
          <w:lang w:val="fr-FR"/>
        </w:rPr>
        <w:t xml:space="preserve">. </w:t>
      </w:r>
      <w:r w:rsidR="002157FD">
        <w:rPr>
          <w:iCs/>
          <w:lang w:val="fr-FR"/>
        </w:rPr>
        <w:t>Le projet a</w:t>
      </w:r>
      <w:r w:rsidR="00DE568C">
        <w:rPr>
          <w:iCs/>
          <w:lang w:val="fr-FR"/>
        </w:rPr>
        <w:t xml:space="preserve"> également accompagné</w:t>
      </w:r>
      <w:r w:rsidR="002157FD">
        <w:rPr>
          <w:iCs/>
          <w:lang w:val="fr-FR"/>
        </w:rPr>
        <w:t xml:space="preserve"> le CLSP</w:t>
      </w:r>
      <w:r w:rsidR="00DE568C">
        <w:rPr>
          <w:iCs/>
          <w:lang w:val="fr-FR"/>
        </w:rPr>
        <w:t xml:space="preserve"> dans le plaidoyer pour </w:t>
      </w:r>
      <w:r w:rsidR="002157FD">
        <w:rPr>
          <w:iCs/>
          <w:lang w:val="fr-FR"/>
        </w:rPr>
        <w:t xml:space="preserve">le </w:t>
      </w:r>
      <w:r w:rsidR="00DE568C">
        <w:rPr>
          <w:iCs/>
          <w:lang w:val="fr-FR"/>
        </w:rPr>
        <w:t>financement du plan local de sécurité. Le Gouvernement provincial a</w:t>
      </w:r>
      <w:r w:rsidR="002157FD">
        <w:rPr>
          <w:iCs/>
          <w:lang w:val="fr-FR"/>
        </w:rPr>
        <w:t xml:space="preserve"> ainsi</w:t>
      </w:r>
      <w:r w:rsidR="00DE568C">
        <w:rPr>
          <w:iCs/>
          <w:lang w:val="fr-FR"/>
        </w:rPr>
        <w:t xml:space="preserve"> pris l’engagement au cours de l’atelier de présentation du Plan Local de Sécurité (PLS), de doter le CLSP d’un arrêté portant sur l</w:t>
      </w:r>
      <w:r w:rsidR="00DE568C" w:rsidRPr="00835FEC">
        <w:rPr>
          <w:iCs/>
          <w:lang w:val="fr-FR"/>
        </w:rPr>
        <w:t>a</w:t>
      </w:r>
      <w:r w:rsidR="00DE568C">
        <w:rPr>
          <w:iCs/>
          <w:lang w:val="fr-FR"/>
        </w:rPr>
        <w:t xml:space="preserve"> mise à disposition d</w:t>
      </w:r>
      <w:r w:rsidR="00634741">
        <w:rPr>
          <w:iCs/>
          <w:lang w:val="fr-FR"/>
        </w:rPr>
        <w:t>u</w:t>
      </w:r>
      <w:r w:rsidR="00DE568C">
        <w:rPr>
          <w:iCs/>
          <w:lang w:val="fr-FR"/>
        </w:rPr>
        <w:t xml:space="preserve"> CLSP</w:t>
      </w:r>
      <w:r w:rsidR="00DE568C" w:rsidRPr="00835FEC">
        <w:rPr>
          <w:iCs/>
          <w:lang w:val="fr-FR"/>
        </w:rPr>
        <w:t xml:space="preserve"> </w:t>
      </w:r>
      <w:r w:rsidR="00DE568C">
        <w:rPr>
          <w:iCs/>
          <w:lang w:val="fr-FR"/>
        </w:rPr>
        <w:t>de fonds pour son fonctionnement. Notons qu’</w:t>
      </w:r>
      <w:r w:rsidR="00DE568C" w:rsidRPr="00835FEC">
        <w:rPr>
          <w:iCs/>
          <w:lang w:val="fr-FR"/>
        </w:rPr>
        <w:t xml:space="preserve">un bâtiment </w:t>
      </w:r>
      <w:r w:rsidR="00DE568C">
        <w:rPr>
          <w:iCs/>
          <w:lang w:val="fr-FR"/>
        </w:rPr>
        <w:t>avait été déjà mis à leur disposition par les</w:t>
      </w:r>
      <w:r w:rsidR="00DE568C" w:rsidRPr="00835FEC">
        <w:rPr>
          <w:iCs/>
          <w:lang w:val="fr-FR"/>
        </w:rPr>
        <w:t xml:space="preserve"> autorités locales</w:t>
      </w:r>
      <w:r w:rsidR="00DE568C">
        <w:rPr>
          <w:iCs/>
          <w:lang w:val="fr-FR"/>
        </w:rPr>
        <w:t xml:space="preserve">. </w:t>
      </w:r>
      <w:r w:rsidR="002157FD">
        <w:rPr>
          <w:iCs/>
          <w:lang w:val="fr-FR"/>
        </w:rPr>
        <w:t xml:space="preserve"> </w:t>
      </w:r>
    </w:p>
    <w:p w14:paraId="56919954" w14:textId="77777777" w:rsidR="00DE568C" w:rsidRPr="00835FEC" w:rsidRDefault="00DE568C" w:rsidP="00DE568C">
      <w:pPr>
        <w:ind w:left="-720"/>
        <w:jc w:val="both"/>
        <w:rPr>
          <w:iCs/>
          <w:lang w:val="fr-FR"/>
        </w:rPr>
      </w:pPr>
    </w:p>
    <w:p w14:paraId="2AB41E4F" w14:textId="1E087644" w:rsidR="00DE568C" w:rsidRPr="00954111" w:rsidRDefault="00DE568C" w:rsidP="00DE568C">
      <w:pPr>
        <w:ind w:left="-720"/>
        <w:jc w:val="both"/>
        <w:rPr>
          <w:iCs/>
          <w:lang w:val="fr-FR"/>
        </w:rPr>
      </w:pPr>
      <w:r>
        <w:rPr>
          <w:iCs/>
          <w:lang w:val="fr-FR"/>
        </w:rPr>
        <w:t xml:space="preserve">Mis en place depuis septembre 2021, les </w:t>
      </w:r>
      <w:r w:rsidR="00C61626">
        <w:rPr>
          <w:iCs/>
          <w:lang w:val="fr-FR"/>
        </w:rPr>
        <w:t>quatre (4)</w:t>
      </w:r>
      <w:r>
        <w:rPr>
          <w:iCs/>
          <w:lang w:val="fr-FR"/>
        </w:rPr>
        <w:t xml:space="preserve"> forums des quartiers ont </w:t>
      </w:r>
      <w:r w:rsidR="00483E9B">
        <w:rPr>
          <w:iCs/>
          <w:lang w:val="fr-FR"/>
        </w:rPr>
        <w:t xml:space="preserve">également bénéficié du soutien du projet pour </w:t>
      </w:r>
      <w:r>
        <w:rPr>
          <w:iCs/>
          <w:lang w:val="fr-FR"/>
        </w:rPr>
        <w:t xml:space="preserve">la priorisation et </w:t>
      </w:r>
      <w:r w:rsidR="00483E9B">
        <w:rPr>
          <w:iCs/>
          <w:lang w:val="fr-FR"/>
        </w:rPr>
        <w:t xml:space="preserve">la </w:t>
      </w:r>
      <w:r>
        <w:rPr>
          <w:iCs/>
          <w:lang w:val="fr-FR"/>
        </w:rPr>
        <w:t>planification de</w:t>
      </w:r>
      <w:r w:rsidR="00483E9B">
        <w:rPr>
          <w:iCs/>
          <w:lang w:val="fr-FR"/>
        </w:rPr>
        <w:t xml:space="preserve"> </w:t>
      </w:r>
      <w:r>
        <w:rPr>
          <w:iCs/>
          <w:lang w:val="fr-FR"/>
        </w:rPr>
        <w:t>projets à impact rapide, issus du Plan Local de Sécurité</w:t>
      </w:r>
      <w:r w:rsidRPr="00835FEC">
        <w:rPr>
          <w:iCs/>
          <w:lang w:val="fr-FR"/>
        </w:rPr>
        <w:t xml:space="preserve">. </w:t>
      </w:r>
      <w:r w:rsidR="00EB75E3">
        <w:rPr>
          <w:iCs/>
          <w:lang w:val="fr-FR"/>
        </w:rPr>
        <w:t xml:space="preserve">Le </w:t>
      </w:r>
      <w:r w:rsidR="00060E9B">
        <w:rPr>
          <w:iCs/>
          <w:lang w:val="fr-FR"/>
        </w:rPr>
        <w:t>projet a</w:t>
      </w:r>
      <w:r w:rsidR="002157FD">
        <w:rPr>
          <w:iCs/>
          <w:lang w:val="fr-FR"/>
        </w:rPr>
        <w:t xml:space="preserve"> accompagné le CLSP et les forums des quartier</w:t>
      </w:r>
      <w:r w:rsidR="00060E9B">
        <w:rPr>
          <w:iCs/>
          <w:lang w:val="fr-FR"/>
        </w:rPr>
        <w:t>s</w:t>
      </w:r>
      <w:r w:rsidR="00EB75E3">
        <w:rPr>
          <w:iCs/>
          <w:lang w:val="fr-FR"/>
        </w:rPr>
        <w:t xml:space="preserve"> </w:t>
      </w:r>
      <w:r w:rsidR="002157FD">
        <w:rPr>
          <w:iCs/>
          <w:lang w:val="fr-FR"/>
        </w:rPr>
        <w:t xml:space="preserve">à traduire le plan local de sécurité </w:t>
      </w:r>
      <w:r w:rsidR="00F52287">
        <w:rPr>
          <w:iCs/>
          <w:lang w:val="fr-FR"/>
        </w:rPr>
        <w:t>à</w:t>
      </w:r>
      <w:r w:rsidR="00EB75E3">
        <w:rPr>
          <w:iCs/>
          <w:lang w:val="fr-FR"/>
        </w:rPr>
        <w:t xml:space="preserve"> </w:t>
      </w:r>
      <w:r>
        <w:rPr>
          <w:iCs/>
          <w:lang w:val="fr-FR"/>
        </w:rPr>
        <w:t>des plans opérationnels 2022 qui repren</w:t>
      </w:r>
      <w:r w:rsidR="00EB75E3">
        <w:rPr>
          <w:iCs/>
          <w:lang w:val="fr-FR"/>
        </w:rPr>
        <w:t xml:space="preserve">nent </w:t>
      </w:r>
      <w:r>
        <w:rPr>
          <w:iCs/>
          <w:lang w:val="fr-FR"/>
        </w:rPr>
        <w:t>les projets à impact rapide ciblés par chaque Forum des quartiers, pour une durée d’exécution de 2 mois (mi-juin – mi-août 2022)</w:t>
      </w:r>
      <w:r w:rsidRPr="00835FEC">
        <w:rPr>
          <w:iCs/>
          <w:lang w:val="fr-FR"/>
        </w:rPr>
        <w:t>.</w:t>
      </w:r>
      <w:r w:rsidR="002157FD">
        <w:rPr>
          <w:iCs/>
          <w:lang w:val="fr-FR"/>
        </w:rPr>
        <w:t xml:space="preserve">  </w:t>
      </w:r>
      <w:r w:rsidR="00F52287">
        <w:rPr>
          <w:iCs/>
          <w:lang w:val="fr-FR"/>
        </w:rPr>
        <w:t>Cf rapport d’évaluation à mi-parcours du projet</w:t>
      </w:r>
    </w:p>
    <w:p w14:paraId="5AFB7AAA" w14:textId="77777777" w:rsidR="00DE568C" w:rsidRPr="00954111" w:rsidRDefault="00DE568C" w:rsidP="00DE568C">
      <w:pPr>
        <w:ind w:left="-720"/>
        <w:jc w:val="both"/>
        <w:rPr>
          <w:iCs/>
          <w:lang w:val="fr-FR"/>
        </w:rPr>
      </w:pPr>
    </w:p>
    <w:p w14:paraId="4825C1E6" w14:textId="77777777" w:rsidR="00DE568C" w:rsidRPr="00835FEC" w:rsidRDefault="00DE568C" w:rsidP="00DE568C">
      <w:pPr>
        <w:ind w:left="-720"/>
        <w:jc w:val="both"/>
        <w:rPr>
          <w:iCs/>
          <w:lang w:val="fr-FR"/>
        </w:rPr>
      </w:pPr>
    </w:p>
    <w:p w14:paraId="6B8C70F0" w14:textId="2800EFEA" w:rsidR="00DE568C" w:rsidRDefault="00DE568C" w:rsidP="00DE568C">
      <w:pPr>
        <w:ind w:left="-720"/>
        <w:jc w:val="both"/>
        <w:rPr>
          <w:iCs/>
          <w:lang w:val="fr-FR"/>
        </w:rPr>
      </w:pPr>
      <w:r>
        <w:rPr>
          <w:iCs/>
          <w:lang w:val="fr-FR"/>
        </w:rPr>
        <w:t xml:space="preserve">Les activités énumérées </w:t>
      </w:r>
      <w:r w:rsidR="00D132F3">
        <w:rPr>
          <w:iCs/>
          <w:lang w:val="fr-FR"/>
        </w:rPr>
        <w:t xml:space="preserve">ci-haut </w:t>
      </w:r>
      <w:r>
        <w:rPr>
          <w:iCs/>
          <w:lang w:val="fr-FR"/>
        </w:rPr>
        <w:t xml:space="preserve">ont </w:t>
      </w:r>
      <w:r w:rsidR="00D132F3">
        <w:rPr>
          <w:iCs/>
          <w:lang w:val="fr-FR"/>
        </w:rPr>
        <w:t xml:space="preserve">facilité le </w:t>
      </w:r>
      <w:r>
        <w:rPr>
          <w:iCs/>
          <w:lang w:val="fr-FR"/>
        </w:rPr>
        <w:t xml:space="preserve">rapprochement entre </w:t>
      </w:r>
      <w:r w:rsidR="00D132F3">
        <w:rPr>
          <w:iCs/>
          <w:lang w:val="fr-FR"/>
        </w:rPr>
        <w:t xml:space="preserve">la </w:t>
      </w:r>
      <w:r>
        <w:rPr>
          <w:iCs/>
          <w:lang w:val="fr-FR"/>
        </w:rPr>
        <w:t xml:space="preserve">population et </w:t>
      </w:r>
      <w:r w:rsidR="00D132F3">
        <w:rPr>
          <w:iCs/>
          <w:lang w:val="fr-FR"/>
        </w:rPr>
        <w:t xml:space="preserve">la </w:t>
      </w:r>
      <w:r>
        <w:rPr>
          <w:iCs/>
          <w:lang w:val="fr-FR"/>
        </w:rPr>
        <w:t>police</w:t>
      </w:r>
      <w:r w:rsidR="00D132F3">
        <w:rPr>
          <w:iCs/>
          <w:lang w:val="fr-FR"/>
        </w:rPr>
        <w:t xml:space="preserve">. </w:t>
      </w:r>
      <w:r w:rsidR="00A41FDD">
        <w:rPr>
          <w:iCs/>
          <w:lang w:val="fr-FR"/>
        </w:rPr>
        <w:t xml:space="preserve">Elles ont également </w:t>
      </w:r>
      <w:r w:rsidR="00060E9B">
        <w:rPr>
          <w:iCs/>
          <w:lang w:val="fr-FR"/>
        </w:rPr>
        <w:t>contribué à rétablir</w:t>
      </w:r>
      <w:r w:rsidR="00A41FDD">
        <w:rPr>
          <w:iCs/>
          <w:lang w:val="fr-FR"/>
        </w:rPr>
        <w:t xml:space="preserve"> </w:t>
      </w:r>
      <w:r>
        <w:rPr>
          <w:iCs/>
          <w:lang w:val="fr-FR"/>
        </w:rPr>
        <w:t xml:space="preserve">la confiance </w:t>
      </w:r>
      <w:r w:rsidR="00A41FDD">
        <w:rPr>
          <w:iCs/>
          <w:lang w:val="fr-FR"/>
        </w:rPr>
        <w:t xml:space="preserve">entre ces derniers </w:t>
      </w:r>
      <w:r w:rsidR="0008506E">
        <w:rPr>
          <w:iCs/>
          <w:lang w:val="fr-FR"/>
        </w:rPr>
        <w:t xml:space="preserve">dans le but de </w:t>
      </w:r>
      <w:r>
        <w:rPr>
          <w:iCs/>
          <w:lang w:val="fr-FR"/>
        </w:rPr>
        <w:t xml:space="preserve">mutualiser les efforts dans la </w:t>
      </w:r>
      <w:r w:rsidR="0008506E">
        <w:rPr>
          <w:iCs/>
          <w:lang w:val="fr-FR"/>
        </w:rPr>
        <w:t xml:space="preserve">prévention et la résolution des </w:t>
      </w:r>
      <w:r>
        <w:rPr>
          <w:iCs/>
          <w:lang w:val="fr-FR"/>
        </w:rPr>
        <w:t>différents problèmes sécurit</w:t>
      </w:r>
      <w:r w:rsidR="0008506E">
        <w:rPr>
          <w:iCs/>
          <w:lang w:val="fr-FR"/>
        </w:rPr>
        <w:t xml:space="preserve">aires </w:t>
      </w:r>
      <w:r>
        <w:rPr>
          <w:iCs/>
          <w:lang w:val="fr-FR"/>
        </w:rPr>
        <w:t>dans les quartiers.</w:t>
      </w:r>
      <w:r w:rsidR="00060E9B">
        <w:rPr>
          <w:iCs/>
          <w:lang w:val="fr-FR"/>
        </w:rPr>
        <w:t xml:space="preserve"> </w:t>
      </w:r>
      <w:r w:rsidR="00735D3D">
        <w:rPr>
          <w:iCs/>
          <w:lang w:val="fr-FR"/>
        </w:rPr>
        <w:t xml:space="preserve">En effet, l’évaluation à mi-parcours du projet montre que </w:t>
      </w:r>
      <w:r w:rsidR="00735D3D" w:rsidRPr="00657D09">
        <w:rPr>
          <w:iCs/>
          <w:lang w:val="fr-FR"/>
        </w:rPr>
        <w:t xml:space="preserve">75% des membres de la communauté enquêtés dans la commune de </w:t>
      </w:r>
      <w:proofErr w:type="spellStart"/>
      <w:r w:rsidR="00735D3D" w:rsidRPr="00657D09">
        <w:rPr>
          <w:iCs/>
          <w:lang w:val="fr-FR"/>
        </w:rPr>
        <w:t>Kanzala</w:t>
      </w:r>
      <w:proofErr w:type="spellEnd"/>
      <w:r w:rsidR="00735D3D" w:rsidRPr="00657D09">
        <w:rPr>
          <w:iCs/>
          <w:lang w:val="fr-FR"/>
        </w:rPr>
        <w:t xml:space="preserve"> confirment qu’ils font confiance à la police pour assurer leur sécurité au quotidien</w:t>
      </w:r>
      <w:r w:rsidR="00091D2B">
        <w:rPr>
          <w:iCs/>
          <w:lang w:val="fr-FR"/>
        </w:rPr>
        <w:t xml:space="preserve">. On note </w:t>
      </w:r>
      <w:r w:rsidR="00BB4A8C">
        <w:rPr>
          <w:iCs/>
          <w:lang w:val="fr-FR"/>
        </w:rPr>
        <w:t>également qu’à</w:t>
      </w:r>
      <w:r w:rsidR="008C7C63">
        <w:rPr>
          <w:iCs/>
          <w:lang w:val="fr-FR"/>
        </w:rPr>
        <w:t xml:space="preserve"> l’issue de la formation de base dont ils ont bénéficié, les </w:t>
      </w:r>
      <w:r>
        <w:rPr>
          <w:iCs/>
          <w:lang w:val="fr-FR"/>
        </w:rPr>
        <w:t>policiers</w:t>
      </w:r>
      <w:r w:rsidR="00A91EBA">
        <w:rPr>
          <w:iCs/>
          <w:lang w:val="fr-FR"/>
        </w:rPr>
        <w:t xml:space="preserve"> démontrent une meilleure connaissance de leur </w:t>
      </w:r>
      <w:r>
        <w:rPr>
          <w:iCs/>
          <w:lang w:val="fr-FR"/>
        </w:rPr>
        <w:t>travail</w:t>
      </w:r>
      <w:r w:rsidR="00A91EBA">
        <w:rPr>
          <w:iCs/>
          <w:lang w:val="fr-FR"/>
        </w:rPr>
        <w:t xml:space="preserve"> </w:t>
      </w:r>
      <w:r>
        <w:rPr>
          <w:iCs/>
          <w:lang w:val="fr-FR"/>
        </w:rPr>
        <w:t xml:space="preserve">et l’importance de collaborer avec la population dans l’accomplissement de leur mission de sécuriser les personnes et leurs biens. </w:t>
      </w:r>
      <w:r w:rsidR="00091D2B">
        <w:rPr>
          <w:iCs/>
          <w:lang w:val="fr-FR"/>
        </w:rPr>
        <w:t xml:space="preserve">A ce titre, </w:t>
      </w:r>
      <w:r w:rsidR="00091D2B" w:rsidRPr="009A7003">
        <w:rPr>
          <w:iCs/>
          <w:lang w:val="fr-FR"/>
        </w:rPr>
        <w:t xml:space="preserve">68% de la population enquêtée </w:t>
      </w:r>
      <w:r w:rsidR="00CE197B">
        <w:rPr>
          <w:iCs/>
          <w:lang w:val="fr-FR"/>
        </w:rPr>
        <w:t xml:space="preserve">(sur un échantillon de 420 personnes enquêtées) </w:t>
      </w:r>
      <w:r w:rsidR="00091D2B" w:rsidRPr="009A7003">
        <w:rPr>
          <w:iCs/>
          <w:lang w:val="fr-FR"/>
        </w:rPr>
        <w:t>estime être en sécurité dans leurs quartiers</w:t>
      </w:r>
      <w:r w:rsidR="00274B28">
        <w:rPr>
          <w:iCs/>
          <w:lang w:val="fr-FR"/>
        </w:rPr>
        <w:t xml:space="preserve"> et </w:t>
      </w:r>
      <w:r w:rsidR="00274B28" w:rsidRPr="00657D09">
        <w:rPr>
          <w:iCs/>
          <w:lang w:val="fr-FR"/>
        </w:rPr>
        <w:t>63% totalement satisfaite des services rendus par la police</w:t>
      </w:r>
      <w:r w:rsidR="00091D2B" w:rsidRPr="009A7003">
        <w:rPr>
          <w:iCs/>
          <w:lang w:val="fr-FR"/>
        </w:rPr>
        <w:t>.</w:t>
      </w:r>
      <w:r w:rsidR="00091D2B">
        <w:rPr>
          <w:iCs/>
          <w:lang w:val="fr-FR"/>
        </w:rPr>
        <w:t xml:space="preserve"> </w:t>
      </w:r>
      <w:r>
        <w:rPr>
          <w:iCs/>
          <w:lang w:val="fr-FR"/>
        </w:rPr>
        <w:t xml:space="preserve">L’analyse et le traitement de certaines questions sécuritaires </w:t>
      </w:r>
      <w:r w:rsidR="0058560B">
        <w:rPr>
          <w:iCs/>
          <w:lang w:val="fr-FR"/>
        </w:rPr>
        <w:t xml:space="preserve">se discutent dans les </w:t>
      </w:r>
      <w:r>
        <w:rPr>
          <w:iCs/>
          <w:lang w:val="fr-FR"/>
        </w:rPr>
        <w:t>forum</w:t>
      </w:r>
      <w:r w:rsidR="0058560B">
        <w:rPr>
          <w:iCs/>
          <w:lang w:val="fr-FR"/>
        </w:rPr>
        <w:t xml:space="preserve">s de </w:t>
      </w:r>
      <w:r>
        <w:rPr>
          <w:iCs/>
          <w:lang w:val="fr-FR"/>
        </w:rPr>
        <w:t>quartiers et au niveau du CLSP</w:t>
      </w:r>
      <w:r w:rsidR="00E93E05">
        <w:rPr>
          <w:iCs/>
          <w:lang w:val="fr-FR"/>
        </w:rPr>
        <w:t xml:space="preserve">. Cela </w:t>
      </w:r>
      <w:r>
        <w:rPr>
          <w:iCs/>
          <w:lang w:val="fr-FR"/>
        </w:rPr>
        <w:t>a permis à la Police de cibler les endroits les plus chaud</w:t>
      </w:r>
      <w:r w:rsidR="00E93E05">
        <w:rPr>
          <w:iCs/>
          <w:lang w:val="fr-FR"/>
        </w:rPr>
        <w:t xml:space="preserve">s </w:t>
      </w:r>
      <w:r>
        <w:rPr>
          <w:iCs/>
          <w:lang w:val="fr-FR"/>
        </w:rPr>
        <w:t xml:space="preserve">et envisager l’installation des </w:t>
      </w:r>
      <w:r w:rsidRPr="0039312C">
        <w:rPr>
          <w:iCs/>
          <w:lang w:val="fr-FR"/>
        </w:rPr>
        <w:t>dispositifs sécuritaires appropriés répondant aux besoins exprimés par la population</w:t>
      </w:r>
      <w:r>
        <w:rPr>
          <w:iCs/>
          <w:lang w:val="fr-FR"/>
        </w:rPr>
        <w:t xml:space="preserve">. </w:t>
      </w:r>
    </w:p>
    <w:p w14:paraId="747AA54F" w14:textId="77777777" w:rsidR="00516B86" w:rsidRDefault="00516B86" w:rsidP="00DE568C">
      <w:pPr>
        <w:ind w:left="-720"/>
        <w:jc w:val="both"/>
        <w:rPr>
          <w:iCs/>
          <w:lang w:val="fr-FR"/>
        </w:rPr>
      </w:pPr>
    </w:p>
    <w:p w14:paraId="05D5A5F8" w14:textId="7E61D550" w:rsidR="00DE568C" w:rsidRPr="00835FEC" w:rsidRDefault="00DE568C" w:rsidP="00DE568C">
      <w:pPr>
        <w:ind w:left="-720"/>
        <w:jc w:val="both"/>
        <w:rPr>
          <w:iCs/>
          <w:lang w:val="fr-FR"/>
        </w:rPr>
      </w:pPr>
      <w:r>
        <w:rPr>
          <w:iCs/>
          <w:lang w:val="fr-FR"/>
        </w:rPr>
        <w:t xml:space="preserve">La production du Plan Local de Sécurité a aussi permis à la Population et à la Police de comprendre les causes profondes de certaines situations d’insécurité dans la Commune et envisager ensemble des solutions </w:t>
      </w:r>
      <w:r w:rsidRPr="00DB4E53">
        <w:rPr>
          <w:iCs/>
          <w:lang w:val="fr-FR"/>
        </w:rPr>
        <w:t>en terme</w:t>
      </w:r>
      <w:r>
        <w:rPr>
          <w:iCs/>
          <w:lang w:val="fr-FR"/>
        </w:rPr>
        <w:t>s</w:t>
      </w:r>
      <w:r w:rsidRPr="00DB4E53">
        <w:rPr>
          <w:iCs/>
          <w:lang w:val="fr-FR"/>
        </w:rPr>
        <w:t xml:space="preserve"> de réponses conjointe</w:t>
      </w:r>
      <w:r>
        <w:rPr>
          <w:iCs/>
          <w:lang w:val="fr-FR"/>
        </w:rPr>
        <w:t>s</w:t>
      </w:r>
      <w:r w:rsidRPr="00DB4E53">
        <w:rPr>
          <w:iCs/>
          <w:lang w:val="fr-FR"/>
        </w:rPr>
        <w:t xml:space="preserve"> et concertées contenant une partie d’intervention policière et </w:t>
      </w:r>
      <w:r>
        <w:rPr>
          <w:iCs/>
          <w:lang w:val="fr-FR"/>
        </w:rPr>
        <w:t xml:space="preserve">une </w:t>
      </w:r>
      <w:r w:rsidRPr="00DB4E53">
        <w:rPr>
          <w:iCs/>
          <w:lang w:val="fr-FR"/>
        </w:rPr>
        <w:t xml:space="preserve">autre </w:t>
      </w:r>
      <w:r>
        <w:rPr>
          <w:iCs/>
          <w:lang w:val="fr-FR"/>
        </w:rPr>
        <w:t>visant</w:t>
      </w:r>
      <w:r w:rsidRPr="00DB4E53">
        <w:rPr>
          <w:iCs/>
          <w:lang w:val="fr-FR"/>
        </w:rPr>
        <w:t xml:space="preserve"> </w:t>
      </w:r>
      <w:r w:rsidR="00C44B94">
        <w:rPr>
          <w:iCs/>
          <w:lang w:val="fr-FR"/>
        </w:rPr>
        <w:t xml:space="preserve">le renforcement de </w:t>
      </w:r>
      <w:r w:rsidRPr="00DB4E53">
        <w:rPr>
          <w:iCs/>
          <w:lang w:val="fr-FR"/>
        </w:rPr>
        <w:t>la participation communautaire par la sensibilisation</w:t>
      </w:r>
      <w:r w:rsidR="006A188E">
        <w:rPr>
          <w:iCs/>
          <w:lang w:val="fr-FR"/>
        </w:rPr>
        <w:t xml:space="preserve">. </w:t>
      </w:r>
      <w:r w:rsidR="001E7960">
        <w:rPr>
          <w:iCs/>
          <w:lang w:val="fr-FR"/>
        </w:rPr>
        <w:t>Cela</w:t>
      </w:r>
      <w:r w:rsidR="0003716A">
        <w:rPr>
          <w:iCs/>
          <w:lang w:val="fr-FR"/>
        </w:rPr>
        <w:t xml:space="preserve"> a abouti à l’élaboration</w:t>
      </w:r>
      <w:r w:rsidR="00634741">
        <w:rPr>
          <w:iCs/>
          <w:lang w:val="fr-FR"/>
        </w:rPr>
        <w:t xml:space="preserve"> de</w:t>
      </w:r>
      <w:r w:rsidR="006A188E">
        <w:rPr>
          <w:iCs/>
          <w:lang w:val="fr-FR"/>
        </w:rPr>
        <w:t xml:space="preserve"> huit (</w:t>
      </w:r>
      <w:r w:rsidRPr="00DB4E53">
        <w:rPr>
          <w:iCs/>
          <w:lang w:val="fr-FR"/>
        </w:rPr>
        <w:t>8</w:t>
      </w:r>
      <w:r w:rsidR="006A188E">
        <w:rPr>
          <w:iCs/>
          <w:lang w:val="fr-FR"/>
        </w:rPr>
        <w:t>)</w:t>
      </w:r>
      <w:r w:rsidRPr="00DB4E53">
        <w:rPr>
          <w:iCs/>
          <w:lang w:val="fr-FR"/>
        </w:rPr>
        <w:t xml:space="preserve"> projets prioritaires s’alignant sur le plan local de sécurité</w:t>
      </w:r>
      <w:r w:rsidRPr="000D06D6">
        <w:rPr>
          <w:iCs/>
          <w:lang w:val="fr-FR"/>
        </w:rPr>
        <w:t>.</w:t>
      </w:r>
      <w:r>
        <w:rPr>
          <w:iCs/>
          <w:lang w:val="fr-FR"/>
        </w:rPr>
        <w:t xml:space="preserve"> La mise </w:t>
      </w:r>
      <w:r>
        <w:rPr>
          <w:iCs/>
          <w:lang w:val="fr-FR"/>
        </w:rPr>
        <w:lastRenderedPageBreak/>
        <w:t>en œuvre de ces projets pourrait apporter une solution à beaucoup des problèmes sécuritaires</w:t>
      </w:r>
      <w:r w:rsidRPr="000D06D6">
        <w:rPr>
          <w:iCs/>
          <w:lang w:val="fr-FR"/>
        </w:rPr>
        <w:t xml:space="preserve"> </w:t>
      </w:r>
      <w:r>
        <w:rPr>
          <w:iCs/>
          <w:lang w:val="fr-FR"/>
        </w:rPr>
        <w:t xml:space="preserve">notamment la réduction de la fréquence de cas de banditisme urbain, la lutte contre l’insalubrité, ce qui protégerait la population contre différentes maladies et les marchés informels installés le long du boulevard, exposant les femmes et enfants aux accidents de circulation. </w:t>
      </w:r>
    </w:p>
    <w:p w14:paraId="704CDB74" w14:textId="77777777" w:rsidR="00DE568C" w:rsidRDefault="00DE568C" w:rsidP="00DE568C">
      <w:pPr>
        <w:pStyle w:val="ListParagraph"/>
        <w:rPr>
          <w:b/>
          <w:i/>
          <w:sz w:val="22"/>
          <w:szCs w:val="22"/>
          <w:lang w:val="fr-CD" w:eastAsia="zh-CN"/>
        </w:rPr>
      </w:pPr>
    </w:p>
    <w:p w14:paraId="4F8BF277" w14:textId="77777777" w:rsidR="00DE568C" w:rsidRPr="003D4157" w:rsidRDefault="00DE568C" w:rsidP="00DE568C">
      <w:pPr>
        <w:shd w:val="clear" w:color="auto" w:fill="D9D9D9" w:themeFill="background1" w:themeFillShade="D9"/>
        <w:ind w:left="-720"/>
        <w:jc w:val="both"/>
        <w:rPr>
          <w:lang w:val="fr-FR"/>
        </w:rPr>
      </w:pPr>
      <w:r w:rsidRPr="003D4157">
        <w:rPr>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3D4157">
        <w:rPr>
          <w:lang w:val="fr-FR"/>
        </w:rPr>
        <w:t xml:space="preserve"> :</w:t>
      </w:r>
    </w:p>
    <w:p w14:paraId="46E1ACDA" w14:textId="77777777" w:rsidR="00DE568C" w:rsidRDefault="00DE568C" w:rsidP="00DE568C">
      <w:pPr>
        <w:ind w:left="-720"/>
        <w:jc w:val="both"/>
        <w:rPr>
          <w:b/>
          <w:lang w:val="fr-FR"/>
        </w:rPr>
      </w:pPr>
    </w:p>
    <w:p w14:paraId="52033924" w14:textId="4CBF2CAE" w:rsidR="00DE568C" w:rsidRDefault="00DE568C" w:rsidP="00DE568C">
      <w:pPr>
        <w:ind w:left="-720"/>
        <w:jc w:val="both"/>
        <w:rPr>
          <w:bCs/>
          <w:lang w:val="fr-FR"/>
        </w:rPr>
      </w:pPr>
      <w:r w:rsidRPr="001A4C0A">
        <w:rPr>
          <w:bCs/>
          <w:lang w:val="fr-FR"/>
        </w:rPr>
        <w:t xml:space="preserve">Le projet </w:t>
      </w:r>
      <w:r>
        <w:rPr>
          <w:bCs/>
          <w:lang w:val="fr-FR"/>
        </w:rPr>
        <w:t>étant à</w:t>
      </w:r>
      <w:r w:rsidRPr="001A4C0A">
        <w:rPr>
          <w:bCs/>
          <w:lang w:val="fr-FR"/>
        </w:rPr>
        <w:t xml:space="preserve"> caractère inclusif et sensible au genre </w:t>
      </w:r>
      <w:r>
        <w:rPr>
          <w:bCs/>
          <w:lang w:val="fr-FR"/>
        </w:rPr>
        <w:t xml:space="preserve">selon sa </w:t>
      </w:r>
      <w:r w:rsidRPr="001A4C0A">
        <w:rPr>
          <w:bCs/>
          <w:lang w:val="fr-FR"/>
        </w:rPr>
        <w:t>nature, les activités menées sous ce résultat, ont</w:t>
      </w:r>
      <w:r>
        <w:rPr>
          <w:bCs/>
          <w:lang w:val="fr-FR"/>
        </w:rPr>
        <w:t xml:space="preserve"> </w:t>
      </w:r>
      <w:r w:rsidRPr="00F203A9">
        <w:rPr>
          <w:lang w:val="fr-FR"/>
        </w:rPr>
        <w:t>tenu compte de l</w:t>
      </w:r>
      <w:r>
        <w:rPr>
          <w:lang w:val="fr-FR"/>
        </w:rPr>
        <w:t>’égalité de sexe autant que possible</w:t>
      </w:r>
      <w:r w:rsidRPr="001A4C0A">
        <w:rPr>
          <w:bCs/>
          <w:lang w:val="fr-FR"/>
        </w:rPr>
        <w:t>.</w:t>
      </w:r>
      <w:r>
        <w:rPr>
          <w:bCs/>
          <w:lang w:val="fr-FR"/>
        </w:rPr>
        <w:t xml:space="preserve"> En effet, toutes les activités menées ont considérablement impliqué les femmes à tous les niveaux. Leur représentation au sein des CLSP</w:t>
      </w:r>
      <w:r w:rsidR="00F52287">
        <w:rPr>
          <w:bCs/>
          <w:lang w:val="fr-FR"/>
        </w:rPr>
        <w:t xml:space="preserve"> (3 femmes</w:t>
      </w:r>
      <w:r w:rsidR="00634741">
        <w:rPr>
          <w:bCs/>
          <w:lang w:val="fr-FR"/>
        </w:rPr>
        <w:t xml:space="preserve"> </w:t>
      </w:r>
      <w:r w:rsidR="004C601D">
        <w:rPr>
          <w:bCs/>
          <w:lang w:val="fr-FR"/>
        </w:rPr>
        <w:t>sur 10 personnes</w:t>
      </w:r>
      <w:r w:rsidR="00F52287">
        <w:rPr>
          <w:bCs/>
          <w:lang w:val="fr-FR"/>
        </w:rPr>
        <w:t>)</w:t>
      </w:r>
      <w:r>
        <w:rPr>
          <w:bCs/>
          <w:lang w:val="fr-FR"/>
        </w:rPr>
        <w:t xml:space="preserve"> et Forums des Quartiers (12 femmes</w:t>
      </w:r>
      <w:r w:rsidR="00337FEA">
        <w:rPr>
          <w:bCs/>
          <w:lang w:val="fr-FR"/>
        </w:rPr>
        <w:t>/30</w:t>
      </w:r>
      <w:r w:rsidR="00BB4A8C">
        <w:rPr>
          <w:bCs/>
          <w:lang w:val="fr-FR"/>
        </w:rPr>
        <w:t>personnes)</w:t>
      </w:r>
      <w:r>
        <w:rPr>
          <w:bCs/>
          <w:lang w:val="fr-FR"/>
        </w:rPr>
        <w:t xml:space="preserve"> en est une parfaite illustration.  </w:t>
      </w:r>
      <w:r w:rsidRPr="001A4C0A">
        <w:rPr>
          <w:bCs/>
          <w:lang w:val="fr-FR"/>
        </w:rPr>
        <w:t>Cependant</w:t>
      </w:r>
      <w:r>
        <w:rPr>
          <w:bCs/>
          <w:lang w:val="fr-FR"/>
        </w:rPr>
        <w:t>,</w:t>
      </w:r>
      <w:r w:rsidRPr="001A4C0A">
        <w:rPr>
          <w:bCs/>
          <w:lang w:val="fr-FR"/>
        </w:rPr>
        <w:t xml:space="preserve"> </w:t>
      </w:r>
      <w:r w:rsidR="00C32D58">
        <w:rPr>
          <w:bCs/>
          <w:lang w:val="fr-FR"/>
        </w:rPr>
        <w:t xml:space="preserve">la représentation de la femme reste toujours très faible. </w:t>
      </w:r>
      <w:r w:rsidR="00D93125">
        <w:rPr>
          <w:bCs/>
          <w:lang w:val="fr-FR"/>
        </w:rPr>
        <w:t xml:space="preserve">Lors de la </w:t>
      </w:r>
      <w:r w:rsidRPr="001A4C0A">
        <w:rPr>
          <w:bCs/>
          <w:lang w:val="fr-FR"/>
        </w:rPr>
        <w:t xml:space="preserve">formation de base de la </w:t>
      </w:r>
      <w:r w:rsidR="00D93125" w:rsidRPr="001A4C0A">
        <w:rPr>
          <w:bCs/>
          <w:lang w:val="fr-FR"/>
        </w:rPr>
        <w:t>police</w:t>
      </w:r>
      <w:r w:rsidR="00D93125">
        <w:rPr>
          <w:bCs/>
          <w:lang w:val="fr-FR"/>
        </w:rPr>
        <w:t xml:space="preserve">, </w:t>
      </w:r>
      <w:r w:rsidR="00D93125" w:rsidRPr="001A4C0A">
        <w:rPr>
          <w:bCs/>
          <w:lang w:val="fr-FR"/>
        </w:rPr>
        <w:t>seulement</w:t>
      </w:r>
      <w:r w:rsidR="00D93125">
        <w:rPr>
          <w:bCs/>
          <w:lang w:val="fr-FR"/>
        </w:rPr>
        <w:t xml:space="preserve"> six femmes </w:t>
      </w:r>
      <w:r w:rsidRPr="001A4C0A">
        <w:rPr>
          <w:bCs/>
          <w:lang w:val="fr-FR"/>
        </w:rPr>
        <w:t xml:space="preserve">sur les </w:t>
      </w:r>
      <w:r>
        <w:rPr>
          <w:bCs/>
          <w:lang w:val="fr-FR"/>
        </w:rPr>
        <w:t>deux cents (</w:t>
      </w:r>
      <w:r w:rsidRPr="001A4C0A">
        <w:rPr>
          <w:bCs/>
          <w:lang w:val="fr-FR"/>
        </w:rPr>
        <w:t>200</w:t>
      </w:r>
      <w:r>
        <w:rPr>
          <w:bCs/>
          <w:lang w:val="fr-FR"/>
        </w:rPr>
        <w:t>)</w:t>
      </w:r>
      <w:r w:rsidRPr="001A4C0A">
        <w:rPr>
          <w:bCs/>
          <w:lang w:val="fr-FR"/>
        </w:rPr>
        <w:t xml:space="preserve"> polic</w:t>
      </w:r>
      <w:r>
        <w:rPr>
          <w:bCs/>
          <w:lang w:val="fr-FR"/>
        </w:rPr>
        <w:t>iers y ont pris part</w:t>
      </w:r>
      <w:r w:rsidRPr="001A4C0A">
        <w:rPr>
          <w:bCs/>
          <w:lang w:val="fr-FR"/>
        </w:rPr>
        <w:t xml:space="preserve">. </w:t>
      </w:r>
      <w:r w:rsidR="00DF2883">
        <w:rPr>
          <w:bCs/>
          <w:lang w:val="fr-FR"/>
        </w:rPr>
        <w:t>Toutefois</w:t>
      </w:r>
      <w:r w:rsidR="009A532F">
        <w:rPr>
          <w:bCs/>
          <w:lang w:val="fr-FR"/>
        </w:rPr>
        <w:t>, les responsables de la police nationale congolaise au niveau de la province ont pris l’engagement d’assurer une plus grande mobilisation des femmes pour les prochaines échéances.</w:t>
      </w:r>
    </w:p>
    <w:p w14:paraId="4755D04D" w14:textId="77777777" w:rsidR="007B4993" w:rsidRDefault="007B4993" w:rsidP="00DE568C">
      <w:pPr>
        <w:ind w:left="-720"/>
        <w:jc w:val="both"/>
        <w:rPr>
          <w:bCs/>
          <w:highlight w:val="yellow"/>
          <w:lang w:val="fr-FR"/>
        </w:rPr>
      </w:pPr>
    </w:p>
    <w:p w14:paraId="2F52C228" w14:textId="4F476ADD" w:rsidR="00FB7588" w:rsidRDefault="007B4993" w:rsidP="00FB7588">
      <w:pPr>
        <w:ind w:left="-720"/>
        <w:jc w:val="both"/>
        <w:rPr>
          <w:lang w:val="fr-FR" w:eastAsia="fr-FR"/>
        </w:rPr>
      </w:pPr>
      <w:r>
        <w:rPr>
          <w:bCs/>
          <w:lang w:val="fr-FR"/>
        </w:rPr>
        <w:t xml:space="preserve">De plus, </w:t>
      </w:r>
      <w:r>
        <w:rPr>
          <w:lang w:val="fr-FR" w:eastAsia="fr-FR"/>
        </w:rPr>
        <w:t xml:space="preserve">100 acteurs de la société civile du </w:t>
      </w:r>
      <w:proofErr w:type="spellStart"/>
      <w:r>
        <w:rPr>
          <w:lang w:val="fr-FR" w:eastAsia="fr-FR"/>
        </w:rPr>
        <w:t>Kasai</w:t>
      </w:r>
      <w:proofErr w:type="spellEnd"/>
      <w:r w:rsidR="00BC699F">
        <w:rPr>
          <w:lang w:val="fr-FR" w:eastAsia="fr-FR"/>
        </w:rPr>
        <w:t xml:space="preserve"> et des médias</w:t>
      </w:r>
      <w:r>
        <w:rPr>
          <w:lang w:val="fr-FR" w:eastAsia="fr-FR"/>
        </w:rPr>
        <w:t xml:space="preserve">, dont 33 femmes, ont </w:t>
      </w:r>
      <w:r w:rsidR="002F3B56">
        <w:rPr>
          <w:lang w:val="fr-FR" w:eastAsia="fr-FR"/>
        </w:rPr>
        <w:t>bénéficié de renforcement des capacités sur l</w:t>
      </w:r>
      <w:r w:rsidR="003D43C0">
        <w:rPr>
          <w:lang w:val="fr-FR" w:eastAsia="fr-FR"/>
        </w:rPr>
        <w:t>a police de proximité</w:t>
      </w:r>
      <w:r>
        <w:rPr>
          <w:lang w:val="fr-FR" w:eastAsia="fr-FR"/>
        </w:rPr>
        <w:t xml:space="preserve"> dans la commune de </w:t>
      </w:r>
      <w:proofErr w:type="spellStart"/>
      <w:r>
        <w:rPr>
          <w:lang w:val="fr-FR" w:eastAsia="fr-FR"/>
        </w:rPr>
        <w:t>Kanzala</w:t>
      </w:r>
      <w:proofErr w:type="spellEnd"/>
      <w:r>
        <w:rPr>
          <w:lang w:val="fr-FR" w:eastAsia="fr-FR"/>
        </w:rPr>
        <w:t xml:space="preserve"> à Tshikapa au Kasaï du 06 au 10 juin 2022. Parmi ces participants figurent 50 acteurs de la société civile issus de 25 organisations de défense des droits de la femme, des jeunes et celles à base communautaire, et 50 journalistes issus 10 radios communautaires et </w:t>
      </w:r>
      <w:r w:rsidR="003D43C0">
        <w:rPr>
          <w:lang w:val="fr-FR" w:eastAsia="fr-FR"/>
        </w:rPr>
        <w:t>deux (</w:t>
      </w:r>
      <w:r>
        <w:rPr>
          <w:lang w:val="fr-FR" w:eastAsia="fr-FR"/>
        </w:rPr>
        <w:t>2</w:t>
      </w:r>
      <w:r w:rsidR="003D43C0">
        <w:rPr>
          <w:lang w:val="fr-FR" w:eastAsia="fr-FR"/>
        </w:rPr>
        <w:t>)</w:t>
      </w:r>
      <w:r>
        <w:rPr>
          <w:lang w:val="fr-FR" w:eastAsia="fr-FR"/>
        </w:rPr>
        <w:t xml:space="preserve"> médias en lignes. La formation était </w:t>
      </w:r>
      <w:r w:rsidR="003D43C0">
        <w:rPr>
          <w:lang w:val="fr-FR" w:eastAsia="fr-FR"/>
        </w:rPr>
        <w:t xml:space="preserve">axée </w:t>
      </w:r>
      <w:r w:rsidR="00BC699F">
        <w:rPr>
          <w:lang w:val="fr-FR" w:eastAsia="fr-FR"/>
        </w:rPr>
        <w:t xml:space="preserve">aussi </w:t>
      </w:r>
      <w:r>
        <w:rPr>
          <w:lang w:val="fr-FR" w:eastAsia="fr-FR"/>
        </w:rPr>
        <w:t xml:space="preserve">sur la déontologie des journalistes, les droits humains, la lutte contre la violence sexuelle et celle basée au genre. </w:t>
      </w:r>
      <w:r w:rsidR="00FB7588">
        <w:rPr>
          <w:lang w:val="fr-FR" w:eastAsia="fr-FR"/>
        </w:rPr>
        <w:t xml:space="preserve">Du </w:t>
      </w:r>
      <w:r w:rsidR="00FB7588" w:rsidRPr="00971D98">
        <w:rPr>
          <w:lang w:val="fr-FR" w:eastAsia="fr-FR"/>
        </w:rPr>
        <w:t xml:space="preserve">07 au 13 juin 2022, </w:t>
      </w:r>
      <w:bookmarkStart w:id="5" w:name="_Hlk106034967"/>
      <w:r w:rsidR="00FB7588" w:rsidRPr="00971D98">
        <w:rPr>
          <w:lang w:val="fr-FR" w:eastAsia="fr-FR"/>
        </w:rPr>
        <w:t xml:space="preserve">295 </w:t>
      </w:r>
      <w:r w:rsidR="00FB7588">
        <w:rPr>
          <w:lang w:val="fr-FR" w:eastAsia="fr-FR"/>
        </w:rPr>
        <w:t xml:space="preserve">individus </w:t>
      </w:r>
      <w:r w:rsidR="00FB7588" w:rsidRPr="00971D98">
        <w:rPr>
          <w:lang w:val="fr-FR" w:eastAsia="fr-FR"/>
        </w:rPr>
        <w:t xml:space="preserve">dont 154 </w:t>
      </w:r>
      <w:r w:rsidR="00FB7588">
        <w:rPr>
          <w:lang w:val="fr-FR" w:eastAsia="fr-FR"/>
        </w:rPr>
        <w:t>femmes,</w:t>
      </w:r>
      <w:r w:rsidR="00FB7588" w:rsidRPr="00971D98">
        <w:rPr>
          <w:lang w:val="fr-FR" w:eastAsia="fr-FR"/>
        </w:rPr>
        <w:t xml:space="preserve"> </w:t>
      </w:r>
      <w:bookmarkEnd w:id="5"/>
      <w:r w:rsidR="00FB7588" w:rsidRPr="00971D98">
        <w:rPr>
          <w:lang w:val="fr-FR" w:eastAsia="fr-FR"/>
        </w:rPr>
        <w:t>ont pris part</w:t>
      </w:r>
      <w:r w:rsidR="00FB7588">
        <w:rPr>
          <w:lang w:val="fr-FR" w:eastAsia="fr-FR"/>
        </w:rPr>
        <w:t xml:space="preserve"> à</w:t>
      </w:r>
      <w:r w:rsidR="00FB7588" w:rsidRPr="00971D98">
        <w:rPr>
          <w:lang w:val="fr-FR" w:eastAsia="fr-FR"/>
        </w:rPr>
        <w:t xml:space="preserve"> l’organisation d’une conférence débat sur la police de proximité, une activité ayant eu lieu dans le terrain de l’Institut Supérieur Médical de Tshikapa en présence du représentant du Gouverneur du Kasaï</w:t>
      </w:r>
      <w:r w:rsidR="00FB7588">
        <w:rPr>
          <w:lang w:val="fr-FR" w:eastAsia="fr-FR"/>
        </w:rPr>
        <w:t xml:space="preserve">, notamment sur des thèmes </w:t>
      </w:r>
      <w:r w:rsidR="00634741">
        <w:rPr>
          <w:lang w:val="fr-FR" w:eastAsia="fr-FR"/>
        </w:rPr>
        <w:t>relatifs</w:t>
      </w:r>
      <w:r w:rsidR="00634741" w:rsidRPr="00971D98">
        <w:rPr>
          <w:lang w:val="fr-FR" w:eastAsia="fr-FR"/>
        </w:rPr>
        <w:t xml:space="preserve"> </w:t>
      </w:r>
      <w:r w:rsidR="00FB7588" w:rsidRPr="00971D98">
        <w:rPr>
          <w:lang w:val="fr-FR" w:eastAsia="fr-FR"/>
        </w:rPr>
        <w:t>à la police de proximité, l’autonomisation de la femme et de la fille, le</w:t>
      </w:r>
      <w:r w:rsidR="00634741">
        <w:rPr>
          <w:lang w:val="fr-FR" w:eastAsia="fr-FR"/>
        </w:rPr>
        <w:t>s</w:t>
      </w:r>
      <w:r w:rsidR="00FB7588" w:rsidRPr="00971D98">
        <w:rPr>
          <w:lang w:val="fr-FR" w:eastAsia="fr-FR"/>
        </w:rPr>
        <w:t xml:space="preserve"> VBG</w:t>
      </w:r>
      <w:r w:rsidR="00FB7588">
        <w:rPr>
          <w:lang w:val="fr-FR" w:eastAsia="fr-FR"/>
        </w:rPr>
        <w:t xml:space="preserve">. </w:t>
      </w:r>
    </w:p>
    <w:p w14:paraId="70C0CBAE" w14:textId="77777777" w:rsidR="00FB7588" w:rsidRPr="007B4993" w:rsidRDefault="00FB7588" w:rsidP="007B4993">
      <w:pPr>
        <w:ind w:left="-720"/>
        <w:jc w:val="both"/>
        <w:rPr>
          <w:bCs/>
          <w:lang w:val="fr-FR"/>
        </w:rPr>
      </w:pPr>
    </w:p>
    <w:p w14:paraId="1AB8DC6D" w14:textId="06DEC91E" w:rsidR="007B4993" w:rsidRPr="00A64A75" w:rsidRDefault="007B4993" w:rsidP="00DE568C">
      <w:pPr>
        <w:ind w:left="-720"/>
        <w:jc w:val="both"/>
        <w:rPr>
          <w:bCs/>
          <w:lang w:val="fr-FR"/>
        </w:rPr>
      </w:pPr>
      <w:r>
        <w:rPr>
          <w:bCs/>
          <w:lang w:val="fr-FR"/>
        </w:rPr>
        <w:t xml:space="preserve"> </w:t>
      </w:r>
    </w:p>
    <w:p w14:paraId="74369DCE" w14:textId="77777777" w:rsidR="00DE568C" w:rsidRPr="00647546" w:rsidRDefault="00DE568C" w:rsidP="00DE568C">
      <w:pPr>
        <w:ind w:left="-720"/>
        <w:jc w:val="both"/>
        <w:rPr>
          <w:bCs/>
          <w:highlight w:val="yellow"/>
          <w:lang w:val="fr-FR"/>
        </w:rPr>
      </w:pPr>
    </w:p>
    <w:p w14:paraId="6E50E1F7" w14:textId="77777777" w:rsidR="00DE568C" w:rsidRPr="005F7F71" w:rsidRDefault="00DE568C" w:rsidP="00DE568C">
      <w:pPr>
        <w:ind w:left="-720"/>
        <w:jc w:val="both"/>
        <w:rPr>
          <w:b/>
          <w:lang w:val="fr-FR"/>
        </w:rPr>
      </w:pPr>
      <w:r w:rsidRPr="005F7F71">
        <w:rPr>
          <w:b/>
          <w:u w:val="single"/>
          <w:lang w:val="fr-FR"/>
        </w:rPr>
        <w:t>Résultat 2 :</w:t>
      </w:r>
      <w:r>
        <w:rPr>
          <w:b/>
          <w:u w:val="single"/>
          <w:lang w:val="fr-FR"/>
        </w:rPr>
        <w:t xml:space="preserve"> </w:t>
      </w:r>
      <w:r w:rsidRPr="00F51727">
        <w:rPr>
          <w:b/>
          <w:lang w:val="fr-FR"/>
        </w:rPr>
        <w:t xml:space="preserve">L’intégration sociale et économique et la résilience des communautés, en particulier celle des groupes vulnérables, est renforcée comme alternative à la violence.    </w:t>
      </w:r>
    </w:p>
    <w:p w14:paraId="2FF9C3EE" w14:textId="77777777" w:rsidR="00DE568C" w:rsidRPr="005F7F71" w:rsidRDefault="00DE568C" w:rsidP="00DE568C">
      <w:pPr>
        <w:ind w:left="-720"/>
        <w:jc w:val="both"/>
        <w:rPr>
          <w:b/>
          <w:lang w:val="fr-FR"/>
        </w:rPr>
      </w:pPr>
    </w:p>
    <w:p w14:paraId="1BDE5D67" w14:textId="77777777" w:rsidR="00DE568C" w:rsidRPr="00005B46" w:rsidRDefault="00DE568C" w:rsidP="00DE5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5472F7">
        <w:rPr>
          <w:b/>
          <w:sz w:val="22"/>
          <w:szCs w:val="22"/>
          <w:highlight w:val="yellow"/>
          <w:lang w:val="fr-FR"/>
        </w:rPr>
        <w:t>ON TRACK</w:t>
      </w:r>
    </w:p>
    <w:p w14:paraId="3CB1E706" w14:textId="77777777" w:rsidR="00DE568C" w:rsidRPr="005F7F71" w:rsidRDefault="00DE568C" w:rsidP="00DE568C">
      <w:pPr>
        <w:ind w:left="-720"/>
        <w:jc w:val="both"/>
        <w:rPr>
          <w:b/>
          <w:lang w:val="fr-FR"/>
        </w:rPr>
      </w:pPr>
    </w:p>
    <w:p w14:paraId="0FF8AA46" w14:textId="77777777" w:rsidR="00DE568C" w:rsidRDefault="00DE568C" w:rsidP="00DE568C">
      <w:pPr>
        <w:ind w:left="-720"/>
        <w:jc w:val="both"/>
        <w:rPr>
          <w:sz w:val="22"/>
          <w:lang w:val="fr-FR"/>
        </w:rPr>
      </w:pPr>
      <w:r w:rsidRPr="005F7F71">
        <w:rPr>
          <w:b/>
          <w:lang w:val="fr-FR"/>
        </w:rPr>
        <w:t xml:space="preserve">Résumé de </w:t>
      </w:r>
      <w:r w:rsidRPr="005F7F71">
        <w:rPr>
          <w:b/>
          <w:bCs/>
          <w:color w:val="212121"/>
          <w:lang w:val="fr-FR"/>
        </w:rPr>
        <w:t>progrès</w:t>
      </w:r>
      <w:r w:rsidRPr="005F7F71">
        <w:rPr>
          <w:b/>
          <w:lang w:val="fr-FR"/>
        </w:rPr>
        <w:t xml:space="preserve"> :</w:t>
      </w:r>
      <w:r>
        <w:rPr>
          <w:b/>
          <w:lang w:val="fr-FR"/>
        </w:rPr>
        <w:t xml:space="preserve"> </w:t>
      </w:r>
    </w:p>
    <w:p w14:paraId="51A8F1C8" w14:textId="77777777" w:rsidR="00DE568C" w:rsidRDefault="00DE568C" w:rsidP="00DE568C">
      <w:pPr>
        <w:ind w:left="-720"/>
        <w:jc w:val="both"/>
        <w:rPr>
          <w:sz w:val="22"/>
          <w:lang w:val="fr-FR"/>
        </w:rPr>
      </w:pPr>
    </w:p>
    <w:p w14:paraId="595061E4" w14:textId="5F194A91" w:rsidR="00DE568C" w:rsidRDefault="00DE568C" w:rsidP="00DE568C">
      <w:pPr>
        <w:ind w:left="-720"/>
        <w:jc w:val="both"/>
        <w:rPr>
          <w:sz w:val="22"/>
          <w:lang w:val="fr-FR"/>
        </w:rPr>
      </w:pPr>
      <w:r w:rsidRPr="00E45DED">
        <w:rPr>
          <w:iCs/>
          <w:lang w:val="fr-FR"/>
        </w:rPr>
        <w:t>La mise en place du Comité local de Paix et de développement (CLPD) a été suivie par le renforcement des capacités des membres en matière de décentralisation, développement participatif, gouvernance locale, planification stratégique</w:t>
      </w:r>
      <w:r>
        <w:rPr>
          <w:iCs/>
          <w:lang w:val="fr-FR"/>
        </w:rPr>
        <w:t xml:space="preserve"> &amp; opérationnelle</w:t>
      </w:r>
      <w:r w:rsidRPr="00E45DED">
        <w:rPr>
          <w:iCs/>
          <w:lang w:val="fr-FR"/>
        </w:rPr>
        <w:t xml:space="preserve"> et </w:t>
      </w:r>
      <w:r>
        <w:rPr>
          <w:iCs/>
          <w:lang w:val="fr-FR"/>
        </w:rPr>
        <w:t xml:space="preserve">le </w:t>
      </w:r>
      <w:r w:rsidRPr="00E45DED">
        <w:rPr>
          <w:iCs/>
          <w:lang w:val="fr-FR"/>
        </w:rPr>
        <w:t xml:space="preserve">budget participatif. En moyenne </w:t>
      </w:r>
      <w:r w:rsidR="00D838BC">
        <w:rPr>
          <w:iCs/>
          <w:lang w:val="fr-FR"/>
        </w:rPr>
        <w:t>3</w:t>
      </w:r>
      <w:r w:rsidR="00D838BC" w:rsidRPr="00E45DED">
        <w:rPr>
          <w:iCs/>
          <w:lang w:val="fr-FR"/>
        </w:rPr>
        <w:t>0</w:t>
      </w:r>
      <w:r w:rsidRPr="00E45DED">
        <w:rPr>
          <w:iCs/>
          <w:lang w:val="fr-FR"/>
        </w:rPr>
        <w:t xml:space="preserve"> participants dont 12 femmes membres du CLPD</w:t>
      </w:r>
      <w:r>
        <w:rPr>
          <w:iCs/>
          <w:lang w:val="fr-FR"/>
        </w:rPr>
        <w:t xml:space="preserve">, </w:t>
      </w:r>
      <w:r w:rsidRPr="00E45DED">
        <w:rPr>
          <w:iCs/>
          <w:lang w:val="fr-FR"/>
        </w:rPr>
        <w:t>services techniques étatiques et autorités locales</w:t>
      </w:r>
      <w:r>
        <w:rPr>
          <w:iCs/>
          <w:lang w:val="fr-FR"/>
        </w:rPr>
        <w:t xml:space="preserve"> (Ministère provincial du plan, Divisions provinciales du Plan, Décentralisation, Genre, Aménagement du territoire, développement rural, la mairie de Tshikapa et la Commune de </w:t>
      </w:r>
      <w:proofErr w:type="spellStart"/>
      <w:r>
        <w:rPr>
          <w:iCs/>
          <w:lang w:val="fr-FR"/>
        </w:rPr>
        <w:t>Kanzala</w:t>
      </w:r>
      <w:proofErr w:type="spellEnd"/>
      <w:r>
        <w:rPr>
          <w:iCs/>
          <w:lang w:val="fr-FR"/>
        </w:rPr>
        <w:t xml:space="preserve">), </w:t>
      </w:r>
      <w:r w:rsidRPr="00E45DED">
        <w:rPr>
          <w:iCs/>
          <w:lang w:val="fr-FR"/>
        </w:rPr>
        <w:t>ont</w:t>
      </w:r>
      <w:r>
        <w:rPr>
          <w:iCs/>
          <w:lang w:val="fr-FR"/>
        </w:rPr>
        <w:t xml:space="preserve"> </w:t>
      </w:r>
      <w:r w:rsidRPr="00E45DED">
        <w:rPr>
          <w:iCs/>
          <w:lang w:val="fr-FR"/>
        </w:rPr>
        <w:t>pris part active</w:t>
      </w:r>
      <w:r w:rsidR="00634741">
        <w:rPr>
          <w:iCs/>
          <w:lang w:val="fr-FR"/>
        </w:rPr>
        <w:t>ment</w:t>
      </w:r>
      <w:r>
        <w:rPr>
          <w:iCs/>
          <w:lang w:val="fr-FR"/>
        </w:rPr>
        <w:t xml:space="preserve"> </w:t>
      </w:r>
      <w:r w:rsidRPr="00E45DED">
        <w:rPr>
          <w:iCs/>
          <w:lang w:val="fr-FR"/>
        </w:rPr>
        <w:t xml:space="preserve">aux différents ateliers organisés respectivement du 07 au 09 avril et du 18 au 26 mai 2022.  Il est à noter </w:t>
      </w:r>
      <w:r w:rsidRPr="0099016E">
        <w:rPr>
          <w:iCs/>
          <w:lang w:val="fr-FR"/>
        </w:rPr>
        <w:t>qu’à</w:t>
      </w:r>
      <w:r w:rsidRPr="00E45DED">
        <w:rPr>
          <w:bCs/>
          <w:szCs w:val="26"/>
          <w:lang w:val="fr-FR"/>
        </w:rPr>
        <w:t xml:space="preserve"> l’issue de la formation sur la planification stratégique et opérationnelle, quelques participants, désignés sur base de leur degré d’intérêt aux différentes présentations, ont été commissionnés pour renforcer les capacités de </w:t>
      </w:r>
      <w:r>
        <w:rPr>
          <w:bCs/>
          <w:szCs w:val="26"/>
          <w:lang w:val="fr-FR"/>
        </w:rPr>
        <w:t>10 chefs des</w:t>
      </w:r>
      <w:r w:rsidRPr="00E45DED">
        <w:rPr>
          <w:bCs/>
          <w:szCs w:val="26"/>
          <w:lang w:val="fr-FR"/>
        </w:rPr>
        <w:t xml:space="preserve"> quartiers d’abord </w:t>
      </w:r>
      <w:r>
        <w:rPr>
          <w:bCs/>
          <w:szCs w:val="26"/>
          <w:lang w:val="fr-FR"/>
        </w:rPr>
        <w:t>et d</w:t>
      </w:r>
      <w:r w:rsidRPr="00E45DED">
        <w:rPr>
          <w:bCs/>
          <w:szCs w:val="26"/>
          <w:lang w:val="fr-FR"/>
        </w:rPr>
        <w:t>es membres de</w:t>
      </w:r>
      <w:r>
        <w:rPr>
          <w:bCs/>
          <w:szCs w:val="26"/>
          <w:lang w:val="fr-FR"/>
        </w:rPr>
        <w:t>s</w:t>
      </w:r>
      <w:r w:rsidRPr="00E45DED">
        <w:rPr>
          <w:bCs/>
          <w:szCs w:val="26"/>
          <w:lang w:val="fr-FR"/>
        </w:rPr>
        <w:t xml:space="preserve"> </w:t>
      </w:r>
      <w:r>
        <w:rPr>
          <w:bCs/>
          <w:szCs w:val="26"/>
          <w:lang w:val="fr-FR"/>
        </w:rPr>
        <w:t>quatre</w:t>
      </w:r>
      <w:r w:rsidRPr="00E45DED">
        <w:rPr>
          <w:bCs/>
          <w:szCs w:val="26"/>
          <w:lang w:val="fr-FR"/>
        </w:rPr>
        <w:t xml:space="preserve"> for</w:t>
      </w:r>
      <w:r>
        <w:rPr>
          <w:bCs/>
          <w:szCs w:val="26"/>
          <w:lang w:val="fr-FR"/>
        </w:rPr>
        <w:t>ums</w:t>
      </w:r>
      <w:r w:rsidRPr="00E45DED">
        <w:rPr>
          <w:bCs/>
          <w:szCs w:val="26"/>
          <w:lang w:val="fr-FR"/>
        </w:rPr>
        <w:t xml:space="preserve"> de quartiers du CLPD</w:t>
      </w:r>
      <w:r>
        <w:rPr>
          <w:bCs/>
          <w:szCs w:val="26"/>
          <w:lang w:val="fr-FR"/>
        </w:rPr>
        <w:t xml:space="preserve"> </w:t>
      </w:r>
      <w:r w:rsidRPr="00E45DED">
        <w:rPr>
          <w:bCs/>
          <w:szCs w:val="26"/>
          <w:lang w:val="fr-FR"/>
        </w:rPr>
        <w:t xml:space="preserve">pour enfin déboucher à la structuration des cellules de développement. </w:t>
      </w:r>
      <w:r>
        <w:rPr>
          <w:bCs/>
          <w:szCs w:val="26"/>
          <w:lang w:val="fr-FR"/>
        </w:rPr>
        <w:t>De la sensibilisation sur le développement participatif, huit</w:t>
      </w:r>
      <w:r w:rsidRPr="00E45DED">
        <w:rPr>
          <w:bCs/>
          <w:szCs w:val="26"/>
          <w:lang w:val="fr-FR"/>
        </w:rPr>
        <w:t xml:space="preserve"> cellules de </w:t>
      </w:r>
      <w:r w:rsidRPr="00E45DED">
        <w:rPr>
          <w:bCs/>
          <w:szCs w:val="26"/>
          <w:lang w:val="fr-FR"/>
        </w:rPr>
        <w:lastRenderedPageBreak/>
        <w:t xml:space="preserve">développement composées d’au moins </w:t>
      </w:r>
      <w:r>
        <w:rPr>
          <w:bCs/>
          <w:szCs w:val="26"/>
          <w:lang w:val="fr-FR"/>
        </w:rPr>
        <w:t>six</w:t>
      </w:r>
      <w:r w:rsidRPr="00E45DED">
        <w:rPr>
          <w:bCs/>
          <w:szCs w:val="26"/>
          <w:lang w:val="fr-FR"/>
        </w:rPr>
        <w:t xml:space="preserve"> personnes seront constituées à cet effet. </w:t>
      </w:r>
      <w:r>
        <w:rPr>
          <w:bCs/>
          <w:szCs w:val="26"/>
          <w:lang w:val="fr-FR"/>
        </w:rPr>
        <w:t xml:space="preserve"> </w:t>
      </w:r>
      <w:r w:rsidRPr="00E45DED">
        <w:rPr>
          <w:bCs/>
          <w:szCs w:val="26"/>
          <w:lang w:val="fr-FR"/>
        </w:rPr>
        <w:t xml:space="preserve">Parmi ces </w:t>
      </w:r>
      <w:r>
        <w:rPr>
          <w:bCs/>
          <w:szCs w:val="26"/>
          <w:lang w:val="fr-FR"/>
        </w:rPr>
        <w:t>six</w:t>
      </w:r>
      <w:r w:rsidRPr="00E45DED">
        <w:rPr>
          <w:bCs/>
          <w:szCs w:val="26"/>
          <w:lang w:val="fr-FR"/>
        </w:rPr>
        <w:t xml:space="preserve"> personnes, il y aura un chef de rue ou de localité, soit encore tous les deux, un délégué d’une confession religieuse, un délégué d’une </w:t>
      </w:r>
      <w:r w:rsidR="00BC2C23">
        <w:rPr>
          <w:bCs/>
          <w:szCs w:val="26"/>
          <w:lang w:val="fr-FR"/>
        </w:rPr>
        <w:t>Organisation de la Socié</w:t>
      </w:r>
      <w:r w:rsidR="009D4E68">
        <w:rPr>
          <w:bCs/>
          <w:szCs w:val="26"/>
          <w:lang w:val="fr-FR"/>
        </w:rPr>
        <w:t>té Civile (</w:t>
      </w:r>
      <w:r w:rsidRPr="00E45DED">
        <w:rPr>
          <w:bCs/>
          <w:szCs w:val="26"/>
          <w:lang w:val="fr-FR"/>
        </w:rPr>
        <w:t>OSC</w:t>
      </w:r>
      <w:r w:rsidR="009D4E68">
        <w:rPr>
          <w:bCs/>
          <w:szCs w:val="26"/>
          <w:lang w:val="fr-FR"/>
        </w:rPr>
        <w:t>)</w:t>
      </w:r>
      <w:r w:rsidRPr="00E45DED">
        <w:rPr>
          <w:bCs/>
          <w:szCs w:val="26"/>
          <w:lang w:val="fr-FR"/>
        </w:rPr>
        <w:t>, un délégué d’organisation des jeunes (formelle ou informelle) et un délégué d’une organisation des femmes (formelle ou informelle).</w:t>
      </w:r>
      <w:r>
        <w:rPr>
          <w:bCs/>
          <w:szCs w:val="26"/>
          <w:lang w:val="fr-FR"/>
        </w:rPr>
        <w:t xml:space="preserve"> </w:t>
      </w:r>
    </w:p>
    <w:p w14:paraId="7BC858AB" w14:textId="77777777" w:rsidR="00DE568C" w:rsidRDefault="00DE568C" w:rsidP="00DE568C">
      <w:pPr>
        <w:ind w:left="-720"/>
        <w:jc w:val="both"/>
        <w:rPr>
          <w:sz w:val="22"/>
          <w:lang w:val="fr-FR"/>
        </w:rPr>
      </w:pPr>
    </w:p>
    <w:p w14:paraId="4FFE8717" w14:textId="1DCF1A1B" w:rsidR="00DE568C" w:rsidRDefault="00DE568C" w:rsidP="00DE568C">
      <w:pPr>
        <w:ind w:left="-720"/>
        <w:jc w:val="both"/>
        <w:rPr>
          <w:sz w:val="22"/>
          <w:lang w:val="fr-FR"/>
        </w:rPr>
      </w:pPr>
      <w:r>
        <w:rPr>
          <w:bCs/>
          <w:szCs w:val="26"/>
          <w:lang w:val="fr-FR"/>
        </w:rPr>
        <w:t>Outre le renforcement des capacités, les</w:t>
      </w:r>
      <w:r w:rsidR="00DF2883">
        <w:rPr>
          <w:bCs/>
          <w:szCs w:val="26"/>
          <w:lang w:val="fr-FR"/>
        </w:rPr>
        <w:t xml:space="preserve"> personnes</w:t>
      </w:r>
      <w:r>
        <w:rPr>
          <w:bCs/>
          <w:szCs w:val="26"/>
          <w:lang w:val="fr-FR"/>
        </w:rPr>
        <w:t xml:space="preserve"> formé</w:t>
      </w:r>
      <w:r w:rsidR="00DF2883">
        <w:rPr>
          <w:bCs/>
          <w:szCs w:val="26"/>
          <w:lang w:val="fr-FR"/>
        </w:rPr>
        <w:t>e</w:t>
      </w:r>
      <w:r>
        <w:rPr>
          <w:bCs/>
          <w:szCs w:val="26"/>
          <w:lang w:val="fr-FR"/>
        </w:rPr>
        <w:t>s regroupé</w:t>
      </w:r>
      <w:r w:rsidR="00634741">
        <w:rPr>
          <w:bCs/>
          <w:szCs w:val="26"/>
          <w:lang w:val="fr-FR"/>
        </w:rPr>
        <w:t>e</w:t>
      </w:r>
      <w:r>
        <w:rPr>
          <w:bCs/>
          <w:szCs w:val="26"/>
          <w:lang w:val="fr-FR"/>
        </w:rPr>
        <w:t>s en quatre groupes thématiques (Gouvernance, Secteurs sociaux, Secteurs productifs</w:t>
      </w:r>
      <w:r w:rsidR="00634741">
        <w:rPr>
          <w:bCs/>
          <w:szCs w:val="26"/>
          <w:lang w:val="fr-FR"/>
        </w:rPr>
        <w:t>,</w:t>
      </w:r>
      <w:r>
        <w:rPr>
          <w:bCs/>
          <w:szCs w:val="26"/>
          <w:lang w:val="fr-FR"/>
        </w:rPr>
        <w:t xml:space="preserve"> et Infrastructures et environnement) participent au processus d’élaboration du Plan Local de Sécurité assorti de</w:t>
      </w:r>
      <w:r w:rsidR="00DF2883">
        <w:rPr>
          <w:bCs/>
          <w:szCs w:val="26"/>
          <w:lang w:val="fr-FR"/>
        </w:rPr>
        <w:t xml:space="preserve">s </w:t>
      </w:r>
      <w:r w:rsidR="00DF2883" w:rsidRPr="00D361AF">
        <w:rPr>
          <w:lang w:val="fr-FR"/>
        </w:rPr>
        <w:t>plans d’actions prioritaires de paix et de développement</w:t>
      </w:r>
      <w:r w:rsidR="00F46687">
        <w:rPr>
          <w:bCs/>
          <w:szCs w:val="26"/>
          <w:lang w:val="fr-FR"/>
        </w:rPr>
        <w:t xml:space="preserve"> (</w:t>
      </w:r>
      <w:r w:rsidR="00DF2883">
        <w:rPr>
          <w:bCs/>
          <w:szCs w:val="26"/>
          <w:lang w:val="fr-FR"/>
        </w:rPr>
        <w:t>P</w:t>
      </w:r>
      <w:r w:rsidR="00DF2883" w:rsidRPr="00AA0FFA">
        <w:rPr>
          <w:bCs/>
          <w:szCs w:val="26"/>
          <w:lang w:val="fr-FR"/>
        </w:rPr>
        <w:t>APD</w:t>
      </w:r>
      <w:r w:rsidR="00F46687">
        <w:rPr>
          <w:bCs/>
          <w:szCs w:val="26"/>
          <w:lang w:val="fr-FR"/>
        </w:rPr>
        <w:t>)</w:t>
      </w:r>
      <w:r>
        <w:rPr>
          <w:bCs/>
          <w:szCs w:val="26"/>
          <w:lang w:val="fr-FR"/>
        </w:rPr>
        <w:t xml:space="preserve"> et </w:t>
      </w:r>
      <w:r w:rsidR="00DF2883">
        <w:rPr>
          <w:bCs/>
          <w:szCs w:val="26"/>
          <w:lang w:val="fr-FR"/>
        </w:rPr>
        <w:t xml:space="preserve">les plans intégrés </w:t>
      </w:r>
      <w:r w:rsidR="001125FF">
        <w:rPr>
          <w:bCs/>
          <w:szCs w:val="26"/>
          <w:lang w:val="fr-FR"/>
        </w:rPr>
        <w:t>loca</w:t>
      </w:r>
      <w:r w:rsidR="00F46687">
        <w:rPr>
          <w:bCs/>
          <w:szCs w:val="26"/>
          <w:lang w:val="fr-FR"/>
        </w:rPr>
        <w:t>ux</w:t>
      </w:r>
      <w:r w:rsidR="001125FF">
        <w:rPr>
          <w:bCs/>
          <w:szCs w:val="26"/>
          <w:lang w:val="fr-FR"/>
        </w:rPr>
        <w:t xml:space="preserve"> </w:t>
      </w:r>
      <w:r w:rsidR="00F46687">
        <w:rPr>
          <w:bCs/>
          <w:szCs w:val="26"/>
          <w:lang w:val="fr-FR"/>
        </w:rPr>
        <w:t>(</w:t>
      </w:r>
      <w:r w:rsidR="001125FF">
        <w:rPr>
          <w:bCs/>
          <w:szCs w:val="26"/>
          <w:lang w:val="fr-FR"/>
        </w:rPr>
        <w:t>P</w:t>
      </w:r>
      <w:r w:rsidR="00DF2883">
        <w:rPr>
          <w:bCs/>
          <w:szCs w:val="26"/>
          <w:lang w:val="fr-FR"/>
        </w:rPr>
        <w:t>IL</w:t>
      </w:r>
      <w:r w:rsidR="00F46687">
        <w:rPr>
          <w:bCs/>
          <w:szCs w:val="26"/>
          <w:lang w:val="fr-FR"/>
        </w:rPr>
        <w:t>)</w:t>
      </w:r>
      <w:r>
        <w:rPr>
          <w:bCs/>
          <w:szCs w:val="26"/>
          <w:lang w:val="fr-FR"/>
        </w:rPr>
        <w:t xml:space="preserve"> à travers la collecte et le diagnostic participatif des besoins de développement </w:t>
      </w:r>
      <w:r w:rsidRPr="00AA0FFA">
        <w:rPr>
          <w:bCs/>
          <w:szCs w:val="26"/>
          <w:lang w:val="fr-FR"/>
        </w:rPr>
        <w:t>intégra</w:t>
      </w:r>
      <w:r>
        <w:rPr>
          <w:bCs/>
          <w:szCs w:val="26"/>
          <w:lang w:val="fr-FR"/>
        </w:rPr>
        <w:t>n</w:t>
      </w:r>
      <w:r w:rsidRPr="00AA0FFA">
        <w:rPr>
          <w:bCs/>
          <w:szCs w:val="26"/>
          <w:lang w:val="fr-FR"/>
        </w:rPr>
        <w:t xml:space="preserve">t l’analyse des conflits et de la dimension genre </w:t>
      </w:r>
      <w:r>
        <w:rPr>
          <w:bCs/>
          <w:szCs w:val="26"/>
          <w:lang w:val="fr-FR"/>
        </w:rPr>
        <w:t xml:space="preserve">en </w:t>
      </w:r>
      <w:r w:rsidRPr="00AA0FFA">
        <w:rPr>
          <w:bCs/>
          <w:szCs w:val="26"/>
          <w:lang w:val="fr-FR"/>
        </w:rPr>
        <w:t xml:space="preserve">lien avec les plans locaux de sécurité de proximité </w:t>
      </w:r>
      <w:r>
        <w:rPr>
          <w:bCs/>
          <w:szCs w:val="26"/>
          <w:lang w:val="fr-FR"/>
        </w:rPr>
        <w:t xml:space="preserve">(PLS). </w:t>
      </w:r>
    </w:p>
    <w:p w14:paraId="729157A4" w14:textId="77777777" w:rsidR="00DE568C" w:rsidRDefault="00DE568C" w:rsidP="00DE568C">
      <w:pPr>
        <w:ind w:left="-720"/>
        <w:jc w:val="both"/>
        <w:rPr>
          <w:sz w:val="22"/>
          <w:lang w:val="fr-FR"/>
        </w:rPr>
      </w:pPr>
    </w:p>
    <w:p w14:paraId="170C56BB" w14:textId="14FE1106" w:rsidR="002F5279" w:rsidRDefault="00DE568C" w:rsidP="002F5279">
      <w:pPr>
        <w:ind w:left="-720"/>
        <w:jc w:val="both"/>
        <w:rPr>
          <w:sz w:val="22"/>
          <w:lang w:val="fr-FR"/>
        </w:rPr>
      </w:pPr>
      <w:r>
        <w:rPr>
          <w:bCs/>
          <w:szCs w:val="26"/>
          <w:lang w:val="fr-FR"/>
        </w:rPr>
        <w:t xml:space="preserve">Le caractère participatif du processus d’élaboration du PLD- PAPD – PIL augure une appropriation du processus de développement par les communautés locales et autorités étatiques. </w:t>
      </w:r>
    </w:p>
    <w:p w14:paraId="71DFC441" w14:textId="77777777" w:rsidR="002F5279" w:rsidRPr="002F5279" w:rsidRDefault="002F5279" w:rsidP="002F5279">
      <w:pPr>
        <w:ind w:left="-720"/>
        <w:jc w:val="both"/>
        <w:rPr>
          <w:sz w:val="22"/>
          <w:lang w:val="fr-FR"/>
        </w:rPr>
      </w:pPr>
    </w:p>
    <w:p w14:paraId="6922E0CB" w14:textId="77777777" w:rsidR="00DE568C" w:rsidRPr="00835FEC" w:rsidRDefault="00DE568C" w:rsidP="00DE568C">
      <w:pPr>
        <w:ind w:left="-720"/>
        <w:jc w:val="both"/>
        <w:rPr>
          <w:lang w:val="fr-FR"/>
        </w:rPr>
      </w:pPr>
    </w:p>
    <w:p w14:paraId="5253F7BB" w14:textId="77777777" w:rsidR="00DE568C" w:rsidRPr="00835FEC" w:rsidRDefault="00DE568C" w:rsidP="00DE568C">
      <w:pPr>
        <w:ind w:left="-720"/>
        <w:jc w:val="both"/>
        <w:rPr>
          <w:iCs/>
          <w:lang w:val="fr-FR"/>
        </w:rPr>
      </w:pPr>
    </w:p>
    <w:p w14:paraId="7A53AD0D" w14:textId="0AE962A3" w:rsidR="00DE568C" w:rsidRDefault="00DE568C" w:rsidP="00DE568C">
      <w:pPr>
        <w:ind w:left="-720"/>
        <w:jc w:val="both"/>
        <w:rPr>
          <w:lang w:val="fr-FR"/>
        </w:rPr>
      </w:pPr>
      <w:r w:rsidRPr="00835FEC">
        <w:rPr>
          <w:lang w:val="fr-FR"/>
        </w:rPr>
        <w:t>Les activités</w:t>
      </w:r>
      <w:r w:rsidR="00EC200A">
        <w:rPr>
          <w:lang w:val="fr-FR"/>
        </w:rPr>
        <w:t xml:space="preserve"> mises en œuvre lors de la période de rapportage</w:t>
      </w:r>
      <w:r w:rsidRPr="00835FEC">
        <w:rPr>
          <w:lang w:val="fr-FR"/>
        </w:rPr>
        <w:t xml:space="preserve"> lancent d’ores et déjà le processus d’atteinte du résultat </w:t>
      </w:r>
      <w:r w:rsidR="00185B87">
        <w:rPr>
          <w:lang w:val="fr-FR"/>
        </w:rPr>
        <w:t>ciblé</w:t>
      </w:r>
      <w:r w:rsidRPr="00835FEC">
        <w:rPr>
          <w:lang w:val="fr-FR"/>
        </w:rPr>
        <w:t xml:space="preserve">. En effet, à travers ce résultat, 500 personnes dont 50% de femmes </w:t>
      </w:r>
      <w:r w:rsidR="00DB6418">
        <w:rPr>
          <w:lang w:val="fr-FR"/>
        </w:rPr>
        <w:t xml:space="preserve">sont ciblées avec </w:t>
      </w:r>
      <w:r w:rsidRPr="00835FEC">
        <w:rPr>
          <w:lang w:val="fr-FR"/>
        </w:rPr>
        <w:t>une emphase particulière sur les jeunes filles et les jeunes garçons</w:t>
      </w:r>
      <w:r w:rsidR="00657D09">
        <w:rPr>
          <w:lang w:val="fr-FR"/>
        </w:rPr>
        <w:t>.</w:t>
      </w:r>
    </w:p>
    <w:p w14:paraId="3679AE07" w14:textId="77777777" w:rsidR="00293DBC" w:rsidRPr="00835FEC" w:rsidRDefault="00293DBC" w:rsidP="00DE568C">
      <w:pPr>
        <w:ind w:left="-720"/>
        <w:jc w:val="both"/>
        <w:rPr>
          <w:lang w:val="fr-FR"/>
        </w:rPr>
      </w:pPr>
    </w:p>
    <w:p w14:paraId="7722D00B" w14:textId="77777777" w:rsidR="00DE568C" w:rsidRPr="00835FEC" w:rsidRDefault="00DE568C" w:rsidP="00DE568C">
      <w:pPr>
        <w:pStyle w:val="ListParagraph"/>
        <w:ind w:left="-90"/>
        <w:jc w:val="both"/>
        <w:rPr>
          <w:i/>
          <w:iCs/>
          <w:lang w:val="fr-FR"/>
        </w:rPr>
      </w:pPr>
    </w:p>
    <w:p w14:paraId="0D942DCF" w14:textId="77777777" w:rsidR="00DE568C" w:rsidRPr="000D06D6" w:rsidRDefault="00DE568C" w:rsidP="00DE568C">
      <w:pPr>
        <w:shd w:val="clear" w:color="auto" w:fill="D9D9D9" w:themeFill="background1" w:themeFillShade="D9"/>
        <w:ind w:left="-720"/>
        <w:jc w:val="both"/>
        <w:rPr>
          <w:highlight w:val="yellow"/>
          <w:lang w:val="fr-FR"/>
        </w:rPr>
      </w:pPr>
      <w:r w:rsidRPr="000D06D6">
        <w:rPr>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0D06D6">
        <w:rPr>
          <w:lang w:val="fr-FR"/>
        </w:rPr>
        <w:t xml:space="preserve"> :</w:t>
      </w:r>
    </w:p>
    <w:p w14:paraId="08AE22C3" w14:textId="77777777" w:rsidR="00DE568C" w:rsidRPr="00835FEC" w:rsidRDefault="00DE568C" w:rsidP="00DE568C">
      <w:pPr>
        <w:ind w:left="-720"/>
        <w:jc w:val="both"/>
        <w:rPr>
          <w:rFonts w:asciiTheme="majorHAnsi" w:hAnsiTheme="majorHAnsi" w:cstheme="majorHAnsi"/>
          <w:lang w:val="fr-CD"/>
        </w:rPr>
      </w:pPr>
    </w:p>
    <w:p w14:paraId="1B784E09" w14:textId="77777777" w:rsidR="00DE568C" w:rsidRPr="00835FEC" w:rsidRDefault="00DE568C" w:rsidP="00DE568C">
      <w:pPr>
        <w:ind w:left="-720"/>
        <w:jc w:val="both"/>
        <w:rPr>
          <w:lang w:val="fr-CD"/>
        </w:rPr>
      </w:pPr>
      <w:r w:rsidRPr="00835FEC">
        <w:rPr>
          <w:lang w:val="fr-CD"/>
        </w:rPr>
        <w:t>Les femmes sont représentées à travers toutes les activités mises en place dans le cadre de ce projet : elles siègent aux postes de direction des cadres de concertation mis en place par le projet (CLSP, forums de quartiers) et participent activement aux formations. Pendant les séances de sensibilisation et les tribunes publiques, le projet veille à ce que la distribution de parole entre les hommes et les femmes et en particulier les jeunes (filles) soit équilibrée.</w:t>
      </w:r>
    </w:p>
    <w:p w14:paraId="715675C6" w14:textId="1FA54F7D" w:rsidR="00DE568C" w:rsidRPr="00835FEC" w:rsidRDefault="00DE568C" w:rsidP="00DE568C">
      <w:pPr>
        <w:ind w:left="-720"/>
        <w:jc w:val="both"/>
        <w:rPr>
          <w:lang w:val="fr-CD"/>
        </w:rPr>
      </w:pPr>
      <w:r w:rsidRPr="00835FEC">
        <w:rPr>
          <w:lang w:val="fr-CD"/>
        </w:rPr>
        <w:t>Pendant l’étude de base, des outils ont été conçus uniquement pour recueillir les points de vue des jeunes. Sur l’ensemble des activités mises en œuvre dans le cadre du projet, des activités déjà réalisées visaient en priorité les femmes et les jeunes, entre autres :  des activités de la communication et mobilisation inclusive des femmes et des jeunes à risques</w:t>
      </w:r>
      <w:r>
        <w:rPr>
          <w:lang w:val="fr-CD"/>
        </w:rPr>
        <w:t>,</w:t>
      </w:r>
      <w:r w:rsidRPr="00835FEC">
        <w:rPr>
          <w:lang w:val="fr-CD"/>
        </w:rPr>
        <w:t xml:space="preserve"> </w:t>
      </w:r>
      <w:r>
        <w:rPr>
          <w:lang w:val="fr-CD"/>
        </w:rPr>
        <w:t>d</w:t>
      </w:r>
      <w:r w:rsidRPr="00835FEC">
        <w:rPr>
          <w:lang w:val="fr-CD"/>
        </w:rPr>
        <w:t xml:space="preserve">es activités récréatives au profit des jeunes/femmes) </w:t>
      </w:r>
      <w:r>
        <w:rPr>
          <w:lang w:val="fr-CD"/>
        </w:rPr>
        <w:t>et</w:t>
      </w:r>
      <w:r w:rsidRPr="00835FEC">
        <w:rPr>
          <w:lang w:val="fr-CD"/>
        </w:rPr>
        <w:t xml:space="preserve"> la formation professionnelle des jeunes et des femmes </w:t>
      </w:r>
      <w:r w:rsidR="004C601D">
        <w:rPr>
          <w:lang w:val="fr-CD"/>
        </w:rPr>
        <w:t>sur les</w:t>
      </w:r>
      <w:r w:rsidRPr="00835FEC">
        <w:rPr>
          <w:lang w:val="fr-CD"/>
        </w:rPr>
        <w:t xml:space="preserve"> métiers porteurs. </w:t>
      </w:r>
    </w:p>
    <w:p w14:paraId="1CF12A36" w14:textId="23E72E7A" w:rsidR="00DE568C" w:rsidRPr="00835FEC" w:rsidRDefault="00DE568C" w:rsidP="00DE568C">
      <w:pPr>
        <w:ind w:left="-720"/>
        <w:jc w:val="both"/>
        <w:rPr>
          <w:lang w:val="fr-CD"/>
        </w:rPr>
      </w:pPr>
      <w:r>
        <w:rPr>
          <w:lang w:val="fr-CD"/>
        </w:rPr>
        <w:t>Aussi, p</w:t>
      </w:r>
      <w:r w:rsidRPr="00835FEC">
        <w:rPr>
          <w:lang w:val="fr-CD"/>
        </w:rPr>
        <w:t xml:space="preserve">armi les </w:t>
      </w:r>
      <w:r w:rsidR="004C601D" w:rsidRPr="00835FEC">
        <w:rPr>
          <w:lang w:val="fr-CD"/>
        </w:rPr>
        <w:t>for</w:t>
      </w:r>
      <w:r w:rsidR="004C601D">
        <w:rPr>
          <w:lang w:val="fr-CD"/>
        </w:rPr>
        <w:t>a</w:t>
      </w:r>
      <w:r w:rsidR="004C601D" w:rsidRPr="00835FEC">
        <w:rPr>
          <w:lang w:val="fr-CD"/>
        </w:rPr>
        <w:t xml:space="preserve"> </w:t>
      </w:r>
      <w:r w:rsidRPr="00835FEC">
        <w:rPr>
          <w:lang w:val="fr-CD"/>
        </w:rPr>
        <w:t xml:space="preserve">des quartiers, les six délégués sont composés de deux femmes et une jeune fille, de deux hommes et un jeune garçon. Le CLSP compte 10 personnes dont quatre femmes </w:t>
      </w:r>
      <w:r>
        <w:rPr>
          <w:lang w:val="fr-CD"/>
        </w:rPr>
        <w:t>et</w:t>
      </w:r>
      <w:r w:rsidRPr="00835FEC">
        <w:rPr>
          <w:lang w:val="fr-CD"/>
        </w:rPr>
        <w:t xml:space="preserve"> est dirigée par une femme. </w:t>
      </w:r>
    </w:p>
    <w:p w14:paraId="4C5365B9" w14:textId="03A787C5" w:rsidR="00DE568C" w:rsidRPr="00BB4A8C" w:rsidRDefault="00375723" w:rsidP="00BB4A8C">
      <w:pPr>
        <w:ind w:left="-720"/>
        <w:jc w:val="both"/>
        <w:rPr>
          <w:bCs/>
          <w:lang w:val="fr-CD"/>
        </w:rPr>
      </w:pPr>
      <w:r w:rsidRPr="00BB4A8C">
        <w:rPr>
          <w:bCs/>
          <w:lang w:val="fr-CD"/>
        </w:rPr>
        <w:t>Par ailleurs, les interventions du projet en lien avec le résultat 2 sont conformes aux principes de la Résolution 1325 à travers la promotion de la participation des femmes et leurs rôles dans la résolution des conflits et la consolidation de la paix.  A titre illustratif, sur les 30 membres que compte le CLPD, 12 sont les femmes, soit 40%. Sur les quatre (4) membres du secrétariat permanent du CLPD, 2 sont les femmes, soit 50%. En outre, il importe de souligner que conformément à la stratégie générale de mise en œuvre de toutes les activités, le projet intègre la dimension genre. A cet effet, 50% femmes et 30% des jeunes (filles et garçons) seront les bénéficiaires directs des activités de la haute intensité de la main d’œuvre (HIMO).</w:t>
      </w:r>
    </w:p>
    <w:p w14:paraId="09DF2041" w14:textId="4FE50879" w:rsidR="00117EE7" w:rsidRPr="00DA3A01" w:rsidRDefault="00117EE7" w:rsidP="00117EE7">
      <w:pPr>
        <w:ind w:left="-720"/>
        <w:rPr>
          <w:b/>
          <w:lang w:val="fr-FR"/>
        </w:rPr>
      </w:pPr>
    </w:p>
    <w:p w14:paraId="1F076BB6"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p w14:paraId="49BA26EE" w14:textId="77777777" w:rsidR="00117EE7" w:rsidRDefault="00117EE7" w:rsidP="003758E5">
      <w:pPr>
        <w:rPr>
          <w:b/>
          <w:u w:val="single"/>
          <w:lang w:val="fr-FR"/>
        </w:rPr>
      </w:pPr>
    </w:p>
    <w:tbl>
      <w:tblPr>
        <w:tblW w:w="138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1984"/>
        <w:gridCol w:w="1276"/>
        <w:gridCol w:w="1279"/>
        <w:gridCol w:w="1559"/>
        <w:gridCol w:w="1843"/>
        <w:gridCol w:w="2977"/>
      </w:tblGrid>
      <w:tr w:rsidR="001D61A5" w:rsidRPr="00BB4A8C" w14:paraId="0D2FBCDD" w14:textId="77777777" w:rsidTr="00657D09">
        <w:trPr>
          <w:trHeight w:val="291"/>
          <w:tblHeader/>
        </w:trPr>
        <w:tc>
          <w:tcPr>
            <w:tcW w:w="2976" w:type="dxa"/>
            <w:vMerge w:val="restart"/>
            <w:shd w:val="clear" w:color="auto" w:fill="auto"/>
          </w:tcPr>
          <w:p w14:paraId="5869BDF5" w14:textId="77777777" w:rsidR="001D61A5" w:rsidRPr="00E0709D" w:rsidRDefault="001D61A5" w:rsidP="00BC1CBF">
            <w:pPr>
              <w:spacing w:line="276" w:lineRule="auto"/>
              <w:jc w:val="center"/>
              <w:rPr>
                <w:b/>
                <w:sz w:val="22"/>
                <w:szCs w:val="22"/>
                <w:lang w:val="fr-FR" w:eastAsia="en-US"/>
              </w:rPr>
            </w:pPr>
          </w:p>
        </w:tc>
        <w:tc>
          <w:tcPr>
            <w:tcW w:w="1984" w:type="dxa"/>
            <w:vMerge w:val="restart"/>
            <w:shd w:val="clear" w:color="auto" w:fill="EEECE1"/>
          </w:tcPr>
          <w:p w14:paraId="6BA940E2" w14:textId="77777777" w:rsidR="001D61A5" w:rsidRPr="00E0709D" w:rsidRDefault="001D61A5" w:rsidP="00BC1CBF">
            <w:pPr>
              <w:spacing w:line="276" w:lineRule="auto"/>
              <w:jc w:val="center"/>
              <w:rPr>
                <w:b/>
                <w:sz w:val="22"/>
                <w:szCs w:val="22"/>
                <w:lang w:val="fr-FR" w:eastAsia="en-US"/>
              </w:rPr>
            </w:pPr>
            <w:r w:rsidRPr="00E0709D">
              <w:rPr>
                <w:b/>
                <w:sz w:val="22"/>
                <w:szCs w:val="22"/>
                <w:lang w:val="fr-FR" w:eastAsia="en-US"/>
              </w:rPr>
              <w:t>Indicateurs</w:t>
            </w:r>
          </w:p>
        </w:tc>
        <w:tc>
          <w:tcPr>
            <w:tcW w:w="1276" w:type="dxa"/>
            <w:vMerge w:val="restart"/>
            <w:shd w:val="clear" w:color="auto" w:fill="EEECE1"/>
          </w:tcPr>
          <w:p w14:paraId="572B18FC" w14:textId="77777777" w:rsidR="001D61A5" w:rsidRPr="00E0709D" w:rsidRDefault="001D61A5" w:rsidP="00BC1CBF">
            <w:pPr>
              <w:spacing w:line="276" w:lineRule="auto"/>
              <w:jc w:val="center"/>
              <w:rPr>
                <w:b/>
                <w:sz w:val="22"/>
                <w:szCs w:val="22"/>
                <w:lang w:val="fr-FR" w:eastAsia="en-US"/>
              </w:rPr>
            </w:pPr>
            <w:r w:rsidRPr="00E0709D">
              <w:rPr>
                <w:b/>
                <w:sz w:val="22"/>
                <w:szCs w:val="22"/>
                <w:lang w:val="fr-FR" w:eastAsia="en-US"/>
              </w:rPr>
              <w:t>Base de données</w:t>
            </w:r>
          </w:p>
        </w:tc>
        <w:tc>
          <w:tcPr>
            <w:tcW w:w="1279" w:type="dxa"/>
            <w:vMerge w:val="restart"/>
            <w:shd w:val="clear" w:color="auto" w:fill="EEECE1"/>
          </w:tcPr>
          <w:p w14:paraId="2B6A5131" w14:textId="77777777" w:rsidR="001D61A5" w:rsidRPr="00E0709D" w:rsidRDefault="001D61A5" w:rsidP="00BC1CBF">
            <w:pPr>
              <w:spacing w:line="276" w:lineRule="auto"/>
              <w:jc w:val="center"/>
              <w:rPr>
                <w:b/>
                <w:sz w:val="22"/>
                <w:szCs w:val="22"/>
                <w:lang w:val="fr-FR" w:eastAsia="en-US"/>
              </w:rPr>
            </w:pPr>
            <w:r w:rsidRPr="00E0709D">
              <w:rPr>
                <w:b/>
                <w:sz w:val="22"/>
                <w:szCs w:val="22"/>
                <w:lang w:val="fr-FR" w:eastAsia="en-US"/>
              </w:rPr>
              <w:t>Cible de fin de projet</w:t>
            </w:r>
          </w:p>
        </w:tc>
        <w:tc>
          <w:tcPr>
            <w:tcW w:w="1559" w:type="dxa"/>
            <w:vMerge w:val="restart"/>
          </w:tcPr>
          <w:p w14:paraId="28B98FE1" w14:textId="77777777" w:rsidR="001D61A5" w:rsidRPr="00E0709D" w:rsidRDefault="001D61A5" w:rsidP="00BC1CBF">
            <w:pPr>
              <w:spacing w:line="276" w:lineRule="auto"/>
              <w:jc w:val="center"/>
              <w:rPr>
                <w:b/>
                <w:sz w:val="22"/>
                <w:szCs w:val="22"/>
                <w:lang w:val="fr-FR" w:eastAsia="en-US"/>
              </w:rPr>
            </w:pPr>
            <w:r w:rsidRPr="00E0709D">
              <w:rPr>
                <w:b/>
                <w:sz w:val="22"/>
                <w:szCs w:val="22"/>
                <w:lang w:val="fr-FR" w:eastAsia="en-US"/>
              </w:rPr>
              <w:t xml:space="preserve">Etapes d’indicateur/ </w:t>
            </w:r>
            <w:proofErr w:type="spellStart"/>
            <w:r w:rsidRPr="00E0709D">
              <w:rPr>
                <w:b/>
                <w:sz w:val="22"/>
                <w:szCs w:val="22"/>
                <w:lang w:val="fr-FR" w:eastAsia="en-US"/>
              </w:rPr>
              <w:t>milestone</w:t>
            </w:r>
            <w:proofErr w:type="spellEnd"/>
          </w:p>
        </w:tc>
        <w:tc>
          <w:tcPr>
            <w:tcW w:w="1843" w:type="dxa"/>
            <w:vMerge w:val="restart"/>
          </w:tcPr>
          <w:p w14:paraId="71D184B9" w14:textId="77777777" w:rsidR="001D61A5" w:rsidRPr="00E0709D" w:rsidRDefault="001D61A5" w:rsidP="00BC1CBF">
            <w:pPr>
              <w:spacing w:line="276" w:lineRule="auto"/>
              <w:jc w:val="center"/>
              <w:rPr>
                <w:b/>
                <w:sz w:val="22"/>
                <w:szCs w:val="22"/>
                <w:lang w:val="fr-FR" w:eastAsia="en-US"/>
              </w:rPr>
            </w:pPr>
            <w:r w:rsidRPr="00E0709D">
              <w:rPr>
                <w:b/>
                <w:sz w:val="22"/>
                <w:szCs w:val="22"/>
                <w:lang w:val="fr-FR" w:eastAsia="en-US"/>
              </w:rPr>
              <w:t>Progrès actuel de l’indicateur</w:t>
            </w:r>
          </w:p>
        </w:tc>
        <w:tc>
          <w:tcPr>
            <w:tcW w:w="2977" w:type="dxa"/>
            <w:vMerge w:val="restart"/>
          </w:tcPr>
          <w:p w14:paraId="0DDDB32F" w14:textId="77777777" w:rsidR="001D61A5" w:rsidRPr="00E0709D" w:rsidRDefault="001D61A5" w:rsidP="00BC1CBF">
            <w:pPr>
              <w:spacing w:line="276" w:lineRule="auto"/>
              <w:jc w:val="center"/>
              <w:rPr>
                <w:b/>
                <w:sz w:val="22"/>
                <w:szCs w:val="22"/>
                <w:lang w:val="fr-FR" w:eastAsia="en-US"/>
              </w:rPr>
            </w:pPr>
            <w:r w:rsidRPr="00E0709D">
              <w:rPr>
                <w:b/>
                <w:sz w:val="22"/>
                <w:szCs w:val="22"/>
                <w:lang w:val="fr-FR" w:eastAsia="en-US"/>
              </w:rPr>
              <w:t>Raisons pour les retards ou changements</w:t>
            </w:r>
          </w:p>
        </w:tc>
      </w:tr>
      <w:tr w:rsidR="001D61A5" w:rsidRPr="00BB4A8C" w14:paraId="07181C77" w14:textId="77777777" w:rsidTr="00657D09">
        <w:trPr>
          <w:trHeight w:val="291"/>
          <w:tblHeader/>
        </w:trPr>
        <w:tc>
          <w:tcPr>
            <w:tcW w:w="2976" w:type="dxa"/>
            <w:vMerge/>
            <w:shd w:val="clear" w:color="auto" w:fill="auto"/>
          </w:tcPr>
          <w:p w14:paraId="7B6D12E5" w14:textId="77777777" w:rsidR="001D61A5" w:rsidRPr="00E0709D" w:rsidRDefault="001D61A5" w:rsidP="00BC1CBF">
            <w:pPr>
              <w:spacing w:line="276" w:lineRule="auto"/>
              <w:jc w:val="center"/>
              <w:rPr>
                <w:b/>
                <w:sz w:val="22"/>
                <w:szCs w:val="22"/>
                <w:lang w:val="fr-FR" w:eastAsia="en-US"/>
              </w:rPr>
            </w:pPr>
          </w:p>
        </w:tc>
        <w:tc>
          <w:tcPr>
            <w:tcW w:w="1984" w:type="dxa"/>
            <w:vMerge/>
            <w:shd w:val="clear" w:color="auto" w:fill="EEECE1"/>
          </w:tcPr>
          <w:p w14:paraId="227AC644" w14:textId="77777777" w:rsidR="001D61A5" w:rsidRPr="00E0709D" w:rsidRDefault="001D61A5" w:rsidP="00BC1CBF">
            <w:pPr>
              <w:spacing w:line="276" w:lineRule="auto"/>
              <w:jc w:val="center"/>
              <w:rPr>
                <w:b/>
                <w:sz w:val="22"/>
                <w:szCs w:val="22"/>
                <w:lang w:val="fr-FR" w:eastAsia="en-US"/>
              </w:rPr>
            </w:pPr>
          </w:p>
        </w:tc>
        <w:tc>
          <w:tcPr>
            <w:tcW w:w="1276" w:type="dxa"/>
            <w:vMerge/>
            <w:shd w:val="clear" w:color="auto" w:fill="EEECE1"/>
          </w:tcPr>
          <w:p w14:paraId="5B14E7E8" w14:textId="77777777" w:rsidR="001D61A5" w:rsidRPr="00E0709D" w:rsidRDefault="001D61A5" w:rsidP="00BC1CBF">
            <w:pPr>
              <w:spacing w:line="276" w:lineRule="auto"/>
              <w:jc w:val="center"/>
              <w:rPr>
                <w:b/>
                <w:sz w:val="22"/>
                <w:szCs w:val="22"/>
                <w:lang w:val="fr-FR" w:eastAsia="en-US"/>
              </w:rPr>
            </w:pPr>
          </w:p>
        </w:tc>
        <w:tc>
          <w:tcPr>
            <w:tcW w:w="1279" w:type="dxa"/>
            <w:vMerge/>
            <w:shd w:val="clear" w:color="auto" w:fill="EEECE1"/>
          </w:tcPr>
          <w:p w14:paraId="4C119AE1" w14:textId="77777777" w:rsidR="001D61A5" w:rsidRPr="00E0709D" w:rsidRDefault="001D61A5" w:rsidP="00BC1CBF">
            <w:pPr>
              <w:spacing w:line="276" w:lineRule="auto"/>
              <w:jc w:val="center"/>
              <w:rPr>
                <w:b/>
                <w:sz w:val="22"/>
                <w:szCs w:val="22"/>
                <w:lang w:val="fr-FR" w:eastAsia="en-US"/>
              </w:rPr>
            </w:pPr>
          </w:p>
        </w:tc>
        <w:tc>
          <w:tcPr>
            <w:tcW w:w="1559" w:type="dxa"/>
            <w:vMerge/>
          </w:tcPr>
          <w:p w14:paraId="5A6F7D48" w14:textId="77777777" w:rsidR="001D61A5" w:rsidRPr="00E0709D" w:rsidRDefault="001D61A5" w:rsidP="00BC1CBF">
            <w:pPr>
              <w:spacing w:line="276" w:lineRule="auto"/>
              <w:jc w:val="center"/>
              <w:rPr>
                <w:b/>
                <w:sz w:val="22"/>
                <w:szCs w:val="22"/>
                <w:lang w:val="fr-FR" w:eastAsia="en-US"/>
              </w:rPr>
            </w:pPr>
          </w:p>
        </w:tc>
        <w:tc>
          <w:tcPr>
            <w:tcW w:w="1843" w:type="dxa"/>
            <w:vMerge/>
          </w:tcPr>
          <w:p w14:paraId="0226214E" w14:textId="77777777" w:rsidR="001D61A5" w:rsidRPr="00E0709D" w:rsidRDefault="001D61A5" w:rsidP="00BC1CBF">
            <w:pPr>
              <w:spacing w:line="276" w:lineRule="auto"/>
              <w:jc w:val="center"/>
              <w:rPr>
                <w:b/>
                <w:sz w:val="22"/>
                <w:szCs w:val="22"/>
                <w:lang w:val="fr-FR" w:eastAsia="en-US"/>
              </w:rPr>
            </w:pPr>
          </w:p>
        </w:tc>
        <w:tc>
          <w:tcPr>
            <w:tcW w:w="2977" w:type="dxa"/>
            <w:vMerge/>
          </w:tcPr>
          <w:p w14:paraId="0BD86144" w14:textId="77777777" w:rsidR="001D61A5" w:rsidRPr="00E0709D" w:rsidRDefault="001D61A5" w:rsidP="00BC1CBF">
            <w:pPr>
              <w:spacing w:line="276" w:lineRule="auto"/>
              <w:jc w:val="center"/>
              <w:rPr>
                <w:b/>
                <w:sz w:val="22"/>
                <w:szCs w:val="22"/>
                <w:lang w:val="fr-FR" w:eastAsia="en-US"/>
              </w:rPr>
            </w:pPr>
          </w:p>
        </w:tc>
      </w:tr>
      <w:tr w:rsidR="001D61A5" w:rsidRPr="00BB4A8C" w14:paraId="0FCF173C" w14:textId="77777777" w:rsidTr="00657D09">
        <w:trPr>
          <w:trHeight w:val="467"/>
        </w:trPr>
        <w:tc>
          <w:tcPr>
            <w:tcW w:w="2976" w:type="dxa"/>
            <w:vMerge/>
            <w:shd w:val="clear" w:color="auto" w:fill="auto"/>
          </w:tcPr>
          <w:p w14:paraId="4308B286" w14:textId="77777777" w:rsidR="001D61A5" w:rsidRPr="00E0709D" w:rsidRDefault="001D61A5" w:rsidP="00BC1CBF">
            <w:pPr>
              <w:spacing w:line="276" w:lineRule="auto"/>
              <w:jc w:val="both"/>
              <w:rPr>
                <w:b/>
                <w:bCs/>
                <w:sz w:val="22"/>
                <w:szCs w:val="22"/>
                <w:lang w:val="fr-FR" w:eastAsia="en-US"/>
              </w:rPr>
            </w:pPr>
          </w:p>
        </w:tc>
        <w:tc>
          <w:tcPr>
            <w:tcW w:w="1984" w:type="dxa"/>
            <w:vMerge/>
            <w:shd w:val="clear" w:color="auto" w:fill="EEECE1"/>
          </w:tcPr>
          <w:p w14:paraId="3FB59D31" w14:textId="77777777" w:rsidR="001D61A5" w:rsidRPr="00E0709D" w:rsidRDefault="001D61A5" w:rsidP="00BC1CBF">
            <w:pPr>
              <w:spacing w:line="276" w:lineRule="auto"/>
              <w:jc w:val="both"/>
              <w:rPr>
                <w:sz w:val="22"/>
                <w:szCs w:val="22"/>
                <w:lang w:val="fr-FR" w:eastAsia="en-US"/>
              </w:rPr>
            </w:pPr>
          </w:p>
        </w:tc>
        <w:tc>
          <w:tcPr>
            <w:tcW w:w="1276" w:type="dxa"/>
            <w:vMerge/>
            <w:shd w:val="clear" w:color="auto" w:fill="EEECE1"/>
          </w:tcPr>
          <w:p w14:paraId="355C43EF" w14:textId="77777777" w:rsidR="001D61A5" w:rsidRPr="00E0709D" w:rsidRDefault="001D61A5" w:rsidP="00BC1CBF">
            <w:pPr>
              <w:spacing w:line="276" w:lineRule="auto"/>
              <w:jc w:val="both"/>
              <w:rPr>
                <w:b/>
                <w:sz w:val="18"/>
                <w:szCs w:val="22"/>
                <w:lang w:val="fr-FR" w:eastAsia="en-US"/>
              </w:rPr>
            </w:pPr>
          </w:p>
        </w:tc>
        <w:tc>
          <w:tcPr>
            <w:tcW w:w="1279" w:type="dxa"/>
            <w:vMerge/>
            <w:shd w:val="clear" w:color="auto" w:fill="EEECE1"/>
          </w:tcPr>
          <w:p w14:paraId="2FA6E737" w14:textId="77777777" w:rsidR="001D61A5" w:rsidRPr="00E0709D" w:rsidRDefault="001D61A5" w:rsidP="00BC1CBF">
            <w:pPr>
              <w:spacing w:line="276" w:lineRule="auto"/>
              <w:jc w:val="center"/>
              <w:rPr>
                <w:b/>
                <w:sz w:val="22"/>
                <w:szCs w:val="22"/>
                <w:lang w:val="fr-FR" w:eastAsia="en-US"/>
              </w:rPr>
            </w:pPr>
          </w:p>
        </w:tc>
        <w:tc>
          <w:tcPr>
            <w:tcW w:w="1559" w:type="dxa"/>
            <w:vMerge/>
          </w:tcPr>
          <w:p w14:paraId="3100F615" w14:textId="77777777" w:rsidR="001D61A5" w:rsidRPr="00E0709D" w:rsidRDefault="001D61A5" w:rsidP="00BC1CBF">
            <w:pPr>
              <w:spacing w:line="276" w:lineRule="auto"/>
              <w:jc w:val="both"/>
              <w:rPr>
                <w:sz w:val="22"/>
                <w:szCs w:val="22"/>
                <w:lang w:val="fr-FR" w:eastAsia="en-US"/>
              </w:rPr>
            </w:pPr>
          </w:p>
        </w:tc>
        <w:tc>
          <w:tcPr>
            <w:tcW w:w="1843" w:type="dxa"/>
            <w:vMerge/>
          </w:tcPr>
          <w:p w14:paraId="0CED59F3" w14:textId="77777777" w:rsidR="001D61A5" w:rsidRPr="00E0709D" w:rsidRDefault="001D61A5" w:rsidP="00BC1CBF">
            <w:pPr>
              <w:spacing w:line="276" w:lineRule="auto"/>
              <w:jc w:val="both"/>
              <w:rPr>
                <w:sz w:val="22"/>
                <w:szCs w:val="22"/>
                <w:lang w:val="fr-FR" w:eastAsia="en-US"/>
              </w:rPr>
            </w:pPr>
          </w:p>
        </w:tc>
        <w:tc>
          <w:tcPr>
            <w:tcW w:w="2977" w:type="dxa"/>
            <w:vMerge/>
          </w:tcPr>
          <w:p w14:paraId="08A07C59" w14:textId="77777777" w:rsidR="001D61A5" w:rsidRPr="00E0709D" w:rsidRDefault="001D61A5" w:rsidP="00BC1CBF">
            <w:pPr>
              <w:spacing w:line="276" w:lineRule="auto"/>
              <w:jc w:val="both"/>
              <w:rPr>
                <w:sz w:val="22"/>
                <w:szCs w:val="22"/>
                <w:lang w:val="fr-FR" w:eastAsia="en-US"/>
              </w:rPr>
            </w:pPr>
          </w:p>
        </w:tc>
      </w:tr>
      <w:tr w:rsidR="001D61A5" w:rsidRPr="00BB4A8C" w14:paraId="0E8A31C5" w14:textId="77777777" w:rsidTr="00657D09">
        <w:trPr>
          <w:trHeight w:val="467"/>
        </w:trPr>
        <w:tc>
          <w:tcPr>
            <w:tcW w:w="2976" w:type="dxa"/>
            <w:shd w:val="clear" w:color="auto" w:fill="auto"/>
          </w:tcPr>
          <w:p w14:paraId="16BB156B"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Objectif : Ce projet vise à atténuer le vide sécuritaire dans les communautés où le risque de violence est particulièrement élevé, à travers la mise en place de services de sécurité de proximité et le renforcement des opportunités de subsistance pour les plus vulnérables. Les quartiers et communes d'intervention à Tshikapa seront déterminés conjointement avec les autorités locales, et la PNC et UNPOL.</w:t>
            </w:r>
          </w:p>
        </w:tc>
        <w:tc>
          <w:tcPr>
            <w:tcW w:w="1984" w:type="dxa"/>
            <w:shd w:val="clear" w:color="auto" w:fill="EEECE1"/>
          </w:tcPr>
          <w:p w14:paraId="22315B53" w14:textId="77777777" w:rsidR="001D61A5" w:rsidRPr="00202703" w:rsidRDefault="001D61A5" w:rsidP="00BC1CBF">
            <w:pPr>
              <w:spacing w:line="276" w:lineRule="auto"/>
              <w:jc w:val="both"/>
              <w:rPr>
                <w:sz w:val="22"/>
                <w:szCs w:val="22"/>
                <w:lang w:val="fr-FR" w:eastAsia="en-US"/>
              </w:rPr>
            </w:pPr>
          </w:p>
        </w:tc>
        <w:tc>
          <w:tcPr>
            <w:tcW w:w="1276" w:type="dxa"/>
            <w:shd w:val="clear" w:color="auto" w:fill="EEECE1"/>
          </w:tcPr>
          <w:p w14:paraId="5A89547F" w14:textId="36DADE76" w:rsidR="001D61A5" w:rsidRPr="00202703" w:rsidRDefault="001D61A5" w:rsidP="00BC1CBF">
            <w:pPr>
              <w:spacing w:line="276" w:lineRule="auto"/>
              <w:jc w:val="both"/>
              <w:rPr>
                <w:sz w:val="22"/>
                <w:szCs w:val="22"/>
                <w:lang w:val="fr-FR" w:eastAsia="en-US"/>
              </w:rPr>
            </w:pPr>
          </w:p>
        </w:tc>
        <w:tc>
          <w:tcPr>
            <w:tcW w:w="1279" w:type="dxa"/>
            <w:shd w:val="clear" w:color="auto" w:fill="EEECE1"/>
          </w:tcPr>
          <w:p w14:paraId="617B61B4" w14:textId="77777777" w:rsidR="001D61A5" w:rsidRPr="00202703" w:rsidRDefault="001D61A5" w:rsidP="00BC1CBF">
            <w:pPr>
              <w:spacing w:line="276" w:lineRule="auto"/>
              <w:jc w:val="both"/>
              <w:rPr>
                <w:sz w:val="22"/>
                <w:szCs w:val="22"/>
                <w:lang w:val="fr-FR" w:eastAsia="en-US"/>
              </w:rPr>
            </w:pPr>
          </w:p>
        </w:tc>
        <w:tc>
          <w:tcPr>
            <w:tcW w:w="1559" w:type="dxa"/>
          </w:tcPr>
          <w:p w14:paraId="556020DD" w14:textId="77777777" w:rsidR="001D61A5" w:rsidRPr="00202703" w:rsidRDefault="001D61A5" w:rsidP="00BC1CBF">
            <w:pPr>
              <w:spacing w:line="276" w:lineRule="auto"/>
              <w:jc w:val="both"/>
              <w:rPr>
                <w:sz w:val="22"/>
                <w:szCs w:val="22"/>
                <w:lang w:val="fr-FR" w:eastAsia="en-US"/>
              </w:rPr>
            </w:pPr>
          </w:p>
        </w:tc>
        <w:tc>
          <w:tcPr>
            <w:tcW w:w="1843" w:type="dxa"/>
          </w:tcPr>
          <w:p w14:paraId="63D99C65" w14:textId="77777777" w:rsidR="001D61A5" w:rsidRPr="00202703" w:rsidRDefault="001D61A5" w:rsidP="00BC1CBF">
            <w:pPr>
              <w:spacing w:line="276" w:lineRule="auto"/>
              <w:jc w:val="both"/>
              <w:rPr>
                <w:sz w:val="22"/>
                <w:szCs w:val="22"/>
                <w:lang w:val="fr-FR" w:eastAsia="en-US"/>
              </w:rPr>
            </w:pPr>
          </w:p>
        </w:tc>
        <w:tc>
          <w:tcPr>
            <w:tcW w:w="2977" w:type="dxa"/>
          </w:tcPr>
          <w:p w14:paraId="2E51ADED" w14:textId="77777777" w:rsidR="001D61A5" w:rsidRPr="00202703" w:rsidRDefault="001D61A5" w:rsidP="00BC1CBF">
            <w:pPr>
              <w:spacing w:line="276" w:lineRule="auto"/>
              <w:jc w:val="both"/>
              <w:rPr>
                <w:sz w:val="22"/>
                <w:szCs w:val="22"/>
                <w:lang w:val="fr-FR" w:eastAsia="en-US"/>
              </w:rPr>
            </w:pPr>
          </w:p>
        </w:tc>
      </w:tr>
      <w:tr w:rsidR="001D61A5" w:rsidRPr="00BB4A8C" w14:paraId="49B7E150" w14:textId="77777777" w:rsidTr="00657D09">
        <w:trPr>
          <w:trHeight w:val="467"/>
        </w:trPr>
        <w:tc>
          <w:tcPr>
            <w:tcW w:w="2976" w:type="dxa"/>
            <w:vMerge w:val="restart"/>
            <w:shd w:val="clear" w:color="auto" w:fill="auto"/>
          </w:tcPr>
          <w:p w14:paraId="66A40FC8"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Résultat 1 : La sécurité des populations locales est renforcée grâce à la mise en place de services de sécurité de proximité</w:t>
            </w:r>
          </w:p>
        </w:tc>
        <w:tc>
          <w:tcPr>
            <w:tcW w:w="1984" w:type="dxa"/>
            <w:shd w:val="clear" w:color="auto" w:fill="EEECE1"/>
          </w:tcPr>
          <w:p w14:paraId="3EFE54DB"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 xml:space="preserve">% des membres des communautés ciblées ayant affirmé qu'ils font confiance à la </w:t>
            </w:r>
            <w:r w:rsidRPr="00202703">
              <w:rPr>
                <w:sz w:val="22"/>
                <w:szCs w:val="22"/>
                <w:lang w:val="fr-FR" w:eastAsia="en-US"/>
              </w:rPr>
              <w:lastRenderedPageBreak/>
              <w:t>police pour assurer leur sécurité au quotidien (désagrégé par sexe et par âge)</w:t>
            </w:r>
          </w:p>
        </w:tc>
        <w:tc>
          <w:tcPr>
            <w:tcW w:w="1276" w:type="dxa"/>
            <w:shd w:val="clear" w:color="auto" w:fill="EEECE1"/>
          </w:tcPr>
          <w:p w14:paraId="3E0A304C" w14:textId="77777777" w:rsidR="001D61A5" w:rsidRPr="00202703" w:rsidRDefault="001D61A5" w:rsidP="00BC1CBF">
            <w:pPr>
              <w:spacing w:line="276" w:lineRule="auto"/>
              <w:jc w:val="both"/>
              <w:rPr>
                <w:sz w:val="22"/>
                <w:szCs w:val="22"/>
                <w:lang w:val="fr-FR"/>
              </w:rPr>
            </w:pPr>
            <w:r w:rsidRPr="00202703">
              <w:rPr>
                <w:sz w:val="22"/>
                <w:szCs w:val="22"/>
                <w:lang w:val="fr-FR"/>
              </w:rPr>
              <w:lastRenderedPageBreak/>
              <w:t>26,10</w:t>
            </w:r>
          </w:p>
        </w:tc>
        <w:tc>
          <w:tcPr>
            <w:tcW w:w="1279" w:type="dxa"/>
            <w:shd w:val="clear" w:color="auto" w:fill="EEECE1"/>
          </w:tcPr>
          <w:p w14:paraId="27EBAC2D"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75%</w:t>
            </w:r>
          </w:p>
        </w:tc>
        <w:tc>
          <w:tcPr>
            <w:tcW w:w="1559" w:type="dxa"/>
          </w:tcPr>
          <w:p w14:paraId="173908A7"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75%</w:t>
            </w:r>
          </w:p>
        </w:tc>
        <w:tc>
          <w:tcPr>
            <w:tcW w:w="1843" w:type="dxa"/>
          </w:tcPr>
          <w:p w14:paraId="020D9B08" w14:textId="76EEBD68" w:rsidR="001D61A5" w:rsidRPr="00202703" w:rsidRDefault="006B3928" w:rsidP="00BC1CBF">
            <w:pPr>
              <w:spacing w:line="276" w:lineRule="auto"/>
              <w:jc w:val="both"/>
              <w:rPr>
                <w:sz w:val="22"/>
                <w:szCs w:val="22"/>
                <w:lang w:val="fr-FR" w:eastAsia="en-US"/>
              </w:rPr>
            </w:pPr>
            <w:r>
              <w:rPr>
                <w:sz w:val="22"/>
                <w:szCs w:val="22"/>
                <w:lang w:val="fr-FR" w:eastAsia="en-US"/>
              </w:rPr>
              <w:t xml:space="preserve">75%, soit </w:t>
            </w:r>
            <w:r w:rsidRPr="00202703">
              <w:rPr>
                <w:sz w:val="22"/>
                <w:szCs w:val="22"/>
                <w:lang w:val="fr-FR" w:eastAsia="en-US"/>
              </w:rPr>
              <w:t xml:space="preserve">100% </w:t>
            </w:r>
            <w:r>
              <w:rPr>
                <w:sz w:val="22"/>
                <w:szCs w:val="22"/>
                <w:lang w:val="fr-FR" w:eastAsia="en-US"/>
              </w:rPr>
              <w:t>de réalisation de l’indicateur</w:t>
            </w:r>
            <w:r w:rsidRPr="00202703">
              <w:rPr>
                <w:sz w:val="22"/>
                <w:szCs w:val="22"/>
                <w:lang w:val="fr-FR" w:eastAsia="en-US"/>
              </w:rPr>
              <w:t xml:space="preserve"> </w:t>
            </w:r>
          </w:p>
        </w:tc>
        <w:tc>
          <w:tcPr>
            <w:tcW w:w="2977" w:type="dxa"/>
          </w:tcPr>
          <w:p w14:paraId="5F012366" w14:textId="48C8AB15" w:rsidR="001D61A5" w:rsidRPr="00202703" w:rsidRDefault="001D61A5" w:rsidP="00BC1CBF">
            <w:pPr>
              <w:spacing w:line="276" w:lineRule="auto"/>
              <w:jc w:val="both"/>
              <w:rPr>
                <w:sz w:val="22"/>
                <w:szCs w:val="22"/>
                <w:lang w:val="fr-FR" w:eastAsia="en-US"/>
              </w:rPr>
            </w:pPr>
          </w:p>
        </w:tc>
      </w:tr>
      <w:tr w:rsidR="001D61A5" w:rsidRPr="00BB4A8C" w14:paraId="55DA42D2" w14:textId="77777777" w:rsidTr="00657D09">
        <w:trPr>
          <w:trHeight w:val="467"/>
        </w:trPr>
        <w:tc>
          <w:tcPr>
            <w:tcW w:w="2976" w:type="dxa"/>
            <w:vMerge/>
            <w:shd w:val="clear" w:color="auto" w:fill="auto"/>
          </w:tcPr>
          <w:p w14:paraId="2E4BA210" w14:textId="77777777" w:rsidR="001D61A5" w:rsidRPr="00202703" w:rsidRDefault="001D61A5" w:rsidP="00BC1CBF">
            <w:pPr>
              <w:spacing w:line="276" w:lineRule="auto"/>
              <w:jc w:val="both"/>
              <w:rPr>
                <w:sz w:val="22"/>
                <w:szCs w:val="22"/>
                <w:lang w:val="fr-FR" w:eastAsia="en-US"/>
              </w:rPr>
            </w:pPr>
          </w:p>
        </w:tc>
        <w:tc>
          <w:tcPr>
            <w:tcW w:w="1984" w:type="dxa"/>
            <w:shd w:val="clear" w:color="auto" w:fill="EEECE1"/>
          </w:tcPr>
          <w:p w14:paraId="26951E26"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 de la population estimant être en sécurité dans leur quartier/village (désagrégé par sexe et par âge)</w:t>
            </w:r>
          </w:p>
        </w:tc>
        <w:tc>
          <w:tcPr>
            <w:tcW w:w="1276" w:type="dxa"/>
            <w:shd w:val="clear" w:color="auto" w:fill="EEECE1"/>
          </w:tcPr>
          <w:p w14:paraId="41B26595" w14:textId="0518DE3B" w:rsidR="001D61A5" w:rsidRPr="00202703" w:rsidRDefault="001D61A5" w:rsidP="00BC1CBF">
            <w:pPr>
              <w:spacing w:line="276" w:lineRule="auto"/>
              <w:jc w:val="both"/>
              <w:rPr>
                <w:sz w:val="22"/>
                <w:szCs w:val="22"/>
                <w:lang w:val="fr-FR"/>
              </w:rPr>
            </w:pPr>
            <w:r w:rsidRPr="00202703">
              <w:rPr>
                <w:sz w:val="22"/>
                <w:szCs w:val="22"/>
                <w:lang w:val="fr-FR"/>
              </w:rPr>
              <w:t>29,24</w:t>
            </w:r>
            <w:r w:rsidR="00E1603F">
              <w:rPr>
                <w:sz w:val="22"/>
                <w:szCs w:val="22"/>
                <w:lang w:val="fr-FR"/>
              </w:rPr>
              <w:t>%</w:t>
            </w:r>
          </w:p>
        </w:tc>
        <w:tc>
          <w:tcPr>
            <w:tcW w:w="1279" w:type="dxa"/>
            <w:shd w:val="clear" w:color="auto" w:fill="EEECE1"/>
          </w:tcPr>
          <w:p w14:paraId="73EFCD6F"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83%</w:t>
            </w:r>
          </w:p>
        </w:tc>
        <w:tc>
          <w:tcPr>
            <w:tcW w:w="1559" w:type="dxa"/>
          </w:tcPr>
          <w:p w14:paraId="51A90007" w14:textId="65707132" w:rsidR="001D61A5" w:rsidRPr="00202703" w:rsidRDefault="00E1603F" w:rsidP="00BC1CBF">
            <w:pPr>
              <w:spacing w:line="276" w:lineRule="auto"/>
              <w:jc w:val="both"/>
              <w:rPr>
                <w:sz w:val="22"/>
                <w:szCs w:val="22"/>
                <w:lang w:val="fr-FR" w:eastAsia="en-US"/>
              </w:rPr>
            </w:pPr>
            <w:r>
              <w:rPr>
                <w:sz w:val="22"/>
                <w:szCs w:val="22"/>
                <w:lang w:val="fr-FR" w:eastAsia="en-US"/>
              </w:rPr>
              <w:t>68%</w:t>
            </w:r>
          </w:p>
        </w:tc>
        <w:tc>
          <w:tcPr>
            <w:tcW w:w="1843" w:type="dxa"/>
          </w:tcPr>
          <w:p w14:paraId="5B72EB2D" w14:textId="3FE53CBC" w:rsidR="001D61A5" w:rsidRPr="00202703" w:rsidRDefault="005B44D8" w:rsidP="00BC1CBF">
            <w:pPr>
              <w:pStyle w:val="ListParagraph"/>
              <w:spacing w:line="276" w:lineRule="auto"/>
              <w:jc w:val="both"/>
              <w:rPr>
                <w:sz w:val="22"/>
                <w:szCs w:val="22"/>
                <w:lang w:val="fr-FR" w:eastAsia="en-US"/>
              </w:rPr>
            </w:pPr>
            <w:r>
              <w:rPr>
                <w:sz w:val="22"/>
                <w:szCs w:val="22"/>
                <w:lang w:val="fr-FR" w:eastAsia="en-US"/>
              </w:rPr>
              <w:t xml:space="preserve">68%, soit </w:t>
            </w:r>
            <w:r w:rsidRPr="00202703">
              <w:rPr>
                <w:sz w:val="22"/>
                <w:szCs w:val="22"/>
                <w:lang w:val="fr-FR" w:eastAsia="en-US"/>
              </w:rPr>
              <w:t xml:space="preserve">100% </w:t>
            </w:r>
            <w:r>
              <w:rPr>
                <w:sz w:val="22"/>
                <w:szCs w:val="22"/>
                <w:lang w:val="fr-FR" w:eastAsia="en-US"/>
              </w:rPr>
              <w:t>de réalisation de l’indicateur</w:t>
            </w:r>
          </w:p>
        </w:tc>
        <w:tc>
          <w:tcPr>
            <w:tcW w:w="2977" w:type="dxa"/>
          </w:tcPr>
          <w:p w14:paraId="62B506FF" w14:textId="3B8EA541" w:rsidR="001D61A5" w:rsidRPr="00202703" w:rsidRDefault="00975D39" w:rsidP="00BC1CBF">
            <w:pPr>
              <w:jc w:val="both"/>
              <w:rPr>
                <w:sz w:val="22"/>
                <w:szCs w:val="22"/>
                <w:lang w:val="fr-FR" w:eastAsia="en-US"/>
              </w:rPr>
            </w:pPr>
            <w:r>
              <w:rPr>
                <w:sz w:val="22"/>
                <w:szCs w:val="22"/>
                <w:lang w:val="fr-FR" w:eastAsia="en-US"/>
              </w:rPr>
              <w:t xml:space="preserve"> </w:t>
            </w:r>
          </w:p>
        </w:tc>
      </w:tr>
      <w:tr w:rsidR="001D61A5" w:rsidRPr="00BB4A8C" w14:paraId="1B3AB7DF" w14:textId="77777777" w:rsidTr="00657D09">
        <w:trPr>
          <w:trHeight w:val="310"/>
        </w:trPr>
        <w:tc>
          <w:tcPr>
            <w:tcW w:w="2976" w:type="dxa"/>
            <w:vMerge/>
            <w:shd w:val="clear" w:color="auto" w:fill="auto"/>
          </w:tcPr>
          <w:p w14:paraId="3142587E" w14:textId="77777777" w:rsidR="001D61A5" w:rsidRPr="00202703" w:rsidRDefault="001D61A5" w:rsidP="00BC1CBF">
            <w:pPr>
              <w:spacing w:line="276" w:lineRule="auto"/>
              <w:jc w:val="both"/>
              <w:rPr>
                <w:sz w:val="22"/>
                <w:szCs w:val="22"/>
                <w:lang w:val="fr-FR" w:eastAsia="en-US"/>
              </w:rPr>
            </w:pPr>
          </w:p>
        </w:tc>
        <w:tc>
          <w:tcPr>
            <w:tcW w:w="1984" w:type="dxa"/>
            <w:shd w:val="clear" w:color="auto" w:fill="EEECE1"/>
          </w:tcPr>
          <w:p w14:paraId="5949AA52"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 de la population ayant affirmé que les CLSP contribuent à l'amélioration de la situation sécuritaire (désagrégé par sexe et par âge)</w:t>
            </w:r>
          </w:p>
        </w:tc>
        <w:tc>
          <w:tcPr>
            <w:tcW w:w="1276" w:type="dxa"/>
            <w:shd w:val="clear" w:color="auto" w:fill="EEECE1"/>
          </w:tcPr>
          <w:p w14:paraId="7A17EFBD" w14:textId="27CFC79D" w:rsidR="001D61A5" w:rsidRPr="00202703" w:rsidRDefault="001D61A5" w:rsidP="00BC1CBF">
            <w:pPr>
              <w:spacing w:line="276" w:lineRule="auto"/>
              <w:jc w:val="both"/>
              <w:rPr>
                <w:sz w:val="22"/>
                <w:szCs w:val="22"/>
                <w:lang w:val="fr-FR"/>
              </w:rPr>
            </w:pPr>
            <w:r w:rsidRPr="00202703">
              <w:rPr>
                <w:sz w:val="22"/>
                <w:szCs w:val="22"/>
                <w:lang w:val="fr-FR"/>
              </w:rPr>
              <w:t>3</w:t>
            </w:r>
            <w:r w:rsidR="0074040E">
              <w:rPr>
                <w:sz w:val="22"/>
                <w:szCs w:val="22"/>
                <w:lang w:val="fr-FR"/>
              </w:rPr>
              <w:t>%</w:t>
            </w:r>
          </w:p>
        </w:tc>
        <w:tc>
          <w:tcPr>
            <w:tcW w:w="1279" w:type="dxa"/>
            <w:shd w:val="clear" w:color="auto" w:fill="EEECE1"/>
          </w:tcPr>
          <w:p w14:paraId="035531B5"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50%</w:t>
            </w:r>
          </w:p>
        </w:tc>
        <w:tc>
          <w:tcPr>
            <w:tcW w:w="1559" w:type="dxa"/>
          </w:tcPr>
          <w:p w14:paraId="76608C98" w14:textId="77777777" w:rsidR="001D61A5" w:rsidRPr="00202703" w:rsidRDefault="001D61A5" w:rsidP="00BC1CBF">
            <w:pPr>
              <w:spacing w:line="276" w:lineRule="auto"/>
              <w:jc w:val="both"/>
              <w:rPr>
                <w:sz w:val="22"/>
                <w:szCs w:val="22"/>
                <w:highlight w:val="yellow"/>
                <w:lang w:val="fr-FR" w:eastAsia="en-US"/>
              </w:rPr>
            </w:pPr>
            <w:r w:rsidRPr="00202703">
              <w:rPr>
                <w:sz w:val="22"/>
                <w:szCs w:val="22"/>
                <w:lang w:val="fr-FR" w:eastAsia="en-US"/>
              </w:rPr>
              <w:t>83%</w:t>
            </w:r>
          </w:p>
        </w:tc>
        <w:tc>
          <w:tcPr>
            <w:tcW w:w="1843" w:type="dxa"/>
          </w:tcPr>
          <w:p w14:paraId="70FEAAFD" w14:textId="3E1983E2" w:rsidR="001D61A5" w:rsidRPr="008E2A6C" w:rsidRDefault="00A31B91" w:rsidP="00BC1CBF">
            <w:pPr>
              <w:spacing w:line="276" w:lineRule="auto"/>
              <w:jc w:val="both"/>
              <w:rPr>
                <w:sz w:val="22"/>
                <w:szCs w:val="22"/>
                <w:highlight w:val="yellow"/>
                <w:lang w:val="fr-FR" w:eastAsia="en-US"/>
              </w:rPr>
            </w:pPr>
            <w:r w:rsidRPr="00202703">
              <w:rPr>
                <w:sz w:val="22"/>
                <w:szCs w:val="22"/>
                <w:lang w:val="fr-FR" w:eastAsia="en-US"/>
              </w:rPr>
              <w:t>83%</w:t>
            </w:r>
            <w:r>
              <w:rPr>
                <w:sz w:val="22"/>
                <w:szCs w:val="22"/>
                <w:lang w:val="fr-FR" w:eastAsia="en-US"/>
              </w:rPr>
              <w:t xml:space="preserve">, soit </w:t>
            </w:r>
            <w:r w:rsidRPr="00202703">
              <w:rPr>
                <w:sz w:val="22"/>
                <w:szCs w:val="22"/>
                <w:lang w:val="fr-FR" w:eastAsia="en-US"/>
              </w:rPr>
              <w:t>1</w:t>
            </w:r>
            <w:r>
              <w:rPr>
                <w:sz w:val="22"/>
                <w:szCs w:val="22"/>
                <w:lang w:val="fr-FR" w:eastAsia="en-US"/>
              </w:rPr>
              <w:t>66</w:t>
            </w:r>
            <w:r w:rsidRPr="00202703">
              <w:rPr>
                <w:sz w:val="22"/>
                <w:szCs w:val="22"/>
                <w:lang w:val="fr-FR" w:eastAsia="en-US"/>
              </w:rPr>
              <w:t xml:space="preserve">% </w:t>
            </w:r>
            <w:r>
              <w:rPr>
                <w:sz w:val="22"/>
                <w:szCs w:val="22"/>
                <w:lang w:val="fr-FR" w:eastAsia="en-US"/>
              </w:rPr>
              <w:t>de réalisation de l’indicateur</w:t>
            </w:r>
            <w:r w:rsidRPr="00202703" w:rsidDel="00236050">
              <w:rPr>
                <w:sz w:val="22"/>
                <w:szCs w:val="22"/>
                <w:lang w:val="fr-FR" w:eastAsia="en-US"/>
              </w:rPr>
              <w:t xml:space="preserve"> </w:t>
            </w:r>
          </w:p>
        </w:tc>
        <w:tc>
          <w:tcPr>
            <w:tcW w:w="2977" w:type="dxa"/>
          </w:tcPr>
          <w:p w14:paraId="74F2A1EB" w14:textId="6AFEF307" w:rsidR="001D61A5" w:rsidRPr="00202703" w:rsidRDefault="00E1603F" w:rsidP="00BC1CBF">
            <w:pPr>
              <w:spacing w:line="276" w:lineRule="auto"/>
              <w:jc w:val="both"/>
              <w:rPr>
                <w:sz w:val="22"/>
                <w:szCs w:val="22"/>
                <w:highlight w:val="yellow"/>
                <w:lang w:val="fr-FR" w:eastAsia="en-US"/>
              </w:rPr>
            </w:pPr>
            <w:r w:rsidRPr="00BB4A8C">
              <w:rPr>
                <w:sz w:val="22"/>
                <w:szCs w:val="22"/>
                <w:lang w:val="fr-FR" w:eastAsia="en-US"/>
              </w:rPr>
              <w:t>A l’issue de l’étude de base, la cible a été sous-estimée</w:t>
            </w:r>
          </w:p>
        </w:tc>
      </w:tr>
      <w:tr w:rsidR="001D61A5" w:rsidRPr="00BB4A8C" w14:paraId="257488FA" w14:textId="77777777" w:rsidTr="00657D09">
        <w:trPr>
          <w:trHeight w:val="422"/>
        </w:trPr>
        <w:tc>
          <w:tcPr>
            <w:tcW w:w="2976" w:type="dxa"/>
            <w:vMerge/>
            <w:shd w:val="clear" w:color="auto" w:fill="auto"/>
          </w:tcPr>
          <w:p w14:paraId="36ACB776" w14:textId="77777777" w:rsidR="001D61A5" w:rsidRPr="00202703" w:rsidRDefault="001D61A5" w:rsidP="00BC1CBF">
            <w:pPr>
              <w:spacing w:line="276" w:lineRule="auto"/>
              <w:jc w:val="both"/>
              <w:rPr>
                <w:sz w:val="22"/>
                <w:szCs w:val="22"/>
                <w:lang w:val="fr-FR" w:eastAsia="en-US"/>
              </w:rPr>
            </w:pPr>
          </w:p>
        </w:tc>
        <w:tc>
          <w:tcPr>
            <w:tcW w:w="1984" w:type="dxa"/>
            <w:shd w:val="clear" w:color="auto" w:fill="EEECE1"/>
          </w:tcPr>
          <w:p w14:paraId="1B06EE5B"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Nombre d'incidents de sécurité/ ou de conflits inter communautaires rapportés dans les localités ciblées par le projet</w:t>
            </w:r>
          </w:p>
        </w:tc>
        <w:tc>
          <w:tcPr>
            <w:tcW w:w="1276" w:type="dxa"/>
            <w:shd w:val="clear" w:color="auto" w:fill="EEECE1"/>
          </w:tcPr>
          <w:p w14:paraId="73F2CD48"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196</w:t>
            </w:r>
          </w:p>
        </w:tc>
        <w:tc>
          <w:tcPr>
            <w:tcW w:w="1279" w:type="dxa"/>
            <w:shd w:val="clear" w:color="auto" w:fill="EEECE1"/>
          </w:tcPr>
          <w:p w14:paraId="44BA3426"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40</w:t>
            </w:r>
          </w:p>
        </w:tc>
        <w:tc>
          <w:tcPr>
            <w:tcW w:w="1559" w:type="dxa"/>
          </w:tcPr>
          <w:p w14:paraId="366F6C59" w14:textId="77777777" w:rsidR="001D61A5" w:rsidRPr="00202703" w:rsidRDefault="001D61A5" w:rsidP="00BC1CBF">
            <w:pPr>
              <w:spacing w:line="276" w:lineRule="auto"/>
              <w:jc w:val="both"/>
              <w:rPr>
                <w:sz w:val="22"/>
                <w:szCs w:val="22"/>
                <w:lang w:val="fr-FR" w:eastAsia="en-US"/>
              </w:rPr>
            </w:pPr>
            <w:r w:rsidRPr="00202703">
              <w:rPr>
                <w:sz w:val="22"/>
                <w:szCs w:val="22"/>
                <w:lang w:val="fr-FR" w:eastAsia="en-US"/>
              </w:rPr>
              <w:t>49</w:t>
            </w:r>
          </w:p>
        </w:tc>
        <w:tc>
          <w:tcPr>
            <w:tcW w:w="1843" w:type="dxa"/>
          </w:tcPr>
          <w:p w14:paraId="6B9C644D" w14:textId="40C73191" w:rsidR="001D61A5" w:rsidRPr="00BB4A8C" w:rsidRDefault="008E2A6C" w:rsidP="00BC1CBF">
            <w:pPr>
              <w:spacing w:after="14" w:line="259" w:lineRule="auto"/>
              <w:rPr>
                <w:sz w:val="22"/>
                <w:szCs w:val="22"/>
                <w:lang w:eastAsia="en-US"/>
              </w:rPr>
            </w:pPr>
            <w:r>
              <w:rPr>
                <w:sz w:val="22"/>
                <w:szCs w:val="22"/>
                <w:lang w:val="fr-FR" w:eastAsia="en-US"/>
              </w:rPr>
              <w:t xml:space="preserve">49, soit </w:t>
            </w:r>
            <w:r w:rsidRPr="00202703">
              <w:rPr>
                <w:sz w:val="22"/>
                <w:szCs w:val="22"/>
                <w:lang w:val="fr-FR" w:eastAsia="en-US"/>
              </w:rPr>
              <w:t>1</w:t>
            </w:r>
            <w:r>
              <w:rPr>
                <w:sz w:val="22"/>
                <w:szCs w:val="22"/>
                <w:lang w:val="fr-FR" w:eastAsia="en-US"/>
              </w:rPr>
              <w:t>22</w:t>
            </w:r>
            <w:r w:rsidRPr="00202703">
              <w:rPr>
                <w:sz w:val="22"/>
                <w:szCs w:val="22"/>
                <w:lang w:val="fr-FR" w:eastAsia="en-US"/>
              </w:rPr>
              <w:t xml:space="preserve">% </w:t>
            </w:r>
            <w:r>
              <w:rPr>
                <w:sz w:val="22"/>
                <w:szCs w:val="22"/>
                <w:lang w:val="fr-FR" w:eastAsia="en-US"/>
              </w:rPr>
              <w:t>de réalisation de l’indicateur</w:t>
            </w:r>
          </w:p>
        </w:tc>
        <w:tc>
          <w:tcPr>
            <w:tcW w:w="2977" w:type="dxa"/>
          </w:tcPr>
          <w:p w14:paraId="69C0D33C" w14:textId="3CFF05B3" w:rsidR="001D61A5" w:rsidRPr="00202703" w:rsidRDefault="00C36724" w:rsidP="00BC1CBF">
            <w:pPr>
              <w:spacing w:line="276" w:lineRule="auto"/>
              <w:jc w:val="both"/>
              <w:rPr>
                <w:sz w:val="22"/>
                <w:szCs w:val="22"/>
                <w:lang w:val="fr-FR" w:eastAsia="en-US"/>
              </w:rPr>
            </w:pPr>
            <w:r>
              <w:rPr>
                <w:sz w:val="22"/>
                <w:szCs w:val="22"/>
                <w:lang w:val="fr-FR" w:eastAsia="en-US"/>
              </w:rPr>
              <w:t xml:space="preserve">L’écart s’explique par le fait que le projet n’est pas encore arrivé à terme. </w:t>
            </w:r>
          </w:p>
        </w:tc>
      </w:tr>
      <w:tr w:rsidR="009F6542" w:rsidRPr="00BB4A8C" w14:paraId="1FC91752" w14:textId="77777777" w:rsidTr="00657D09">
        <w:trPr>
          <w:trHeight w:val="422"/>
        </w:trPr>
        <w:tc>
          <w:tcPr>
            <w:tcW w:w="2976" w:type="dxa"/>
            <w:vMerge/>
            <w:shd w:val="clear" w:color="auto" w:fill="auto"/>
          </w:tcPr>
          <w:p w14:paraId="02B7B30B" w14:textId="77777777" w:rsidR="009F6542" w:rsidRPr="00202703" w:rsidRDefault="009F6542" w:rsidP="009F6542">
            <w:pPr>
              <w:spacing w:line="276" w:lineRule="auto"/>
              <w:jc w:val="both"/>
              <w:rPr>
                <w:sz w:val="22"/>
                <w:szCs w:val="22"/>
                <w:lang w:val="fr-FR" w:eastAsia="en-US"/>
              </w:rPr>
            </w:pPr>
          </w:p>
        </w:tc>
        <w:tc>
          <w:tcPr>
            <w:tcW w:w="1984" w:type="dxa"/>
            <w:shd w:val="clear" w:color="auto" w:fill="EEECE1"/>
            <w:vAlign w:val="center"/>
          </w:tcPr>
          <w:p w14:paraId="5C5C66C4"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 de personnes satisfaites des </w:t>
            </w:r>
            <w:r w:rsidRPr="00202703">
              <w:rPr>
                <w:sz w:val="22"/>
                <w:szCs w:val="22"/>
                <w:lang w:val="fr-FR" w:eastAsia="en-US"/>
              </w:rPr>
              <w:lastRenderedPageBreak/>
              <w:t xml:space="preserve">services rendus par la police  </w:t>
            </w:r>
          </w:p>
        </w:tc>
        <w:tc>
          <w:tcPr>
            <w:tcW w:w="1276" w:type="dxa"/>
            <w:shd w:val="clear" w:color="auto" w:fill="EEECE1"/>
          </w:tcPr>
          <w:p w14:paraId="5FDF48C4" w14:textId="04F73D6A" w:rsidR="009F6542" w:rsidRPr="00202703" w:rsidRDefault="009F6542" w:rsidP="009F6542">
            <w:pPr>
              <w:spacing w:line="276" w:lineRule="auto"/>
              <w:rPr>
                <w:sz w:val="22"/>
                <w:szCs w:val="22"/>
                <w:lang w:val="fr-FR"/>
              </w:rPr>
            </w:pPr>
            <w:r w:rsidRPr="00202703">
              <w:rPr>
                <w:sz w:val="22"/>
                <w:szCs w:val="22"/>
                <w:lang w:val="fr-FR"/>
              </w:rPr>
              <w:lastRenderedPageBreak/>
              <w:t>26,44</w:t>
            </w:r>
            <w:r>
              <w:rPr>
                <w:sz w:val="22"/>
                <w:szCs w:val="22"/>
                <w:lang w:val="fr-FR"/>
              </w:rPr>
              <w:t>%</w:t>
            </w:r>
          </w:p>
        </w:tc>
        <w:tc>
          <w:tcPr>
            <w:tcW w:w="1279" w:type="dxa"/>
            <w:shd w:val="clear" w:color="auto" w:fill="EEECE1"/>
          </w:tcPr>
          <w:p w14:paraId="13F776B3" w14:textId="77777777" w:rsidR="009F6542" w:rsidRPr="00202703" w:rsidRDefault="009F6542" w:rsidP="009F6542">
            <w:pPr>
              <w:spacing w:line="276" w:lineRule="auto"/>
              <w:jc w:val="center"/>
              <w:rPr>
                <w:sz w:val="22"/>
                <w:szCs w:val="22"/>
                <w:lang w:val="fr-FR" w:eastAsia="en-US"/>
              </w:rPr>
            </w:pPr>
            <w:r w:rsidRPr="00202703">
              <w:rPr>
                <w:sz w:val="22"/>
                <w:szCs w:val="22"/>
                <w:lang w:val="fr-FR" w:eastAsia="en-US"/>
              </w:rPr>
              <w:t>76%</w:t>
            </w:r>
          </w:p>
        </w:tc>
        <w:tc>
          <w:tcPr>
            <w:tcW w:w="1559" w:type="dxa"/>
          </w:tcPr>
          <w:p w14:paraId="17916F4C" w14:textId="4A96D4F1" w:rsidR="009F6542" w:rsidRPr="00202703" w:rsidRDefault="009F6542" w:rsidP="009F6542">
            <w:pPr>
              <w:spacing w:line="276" w:lineRule="auto"/>
              <w:jc w:val="both"/>
              <w:rPr>
                <w:sz w:val="22"/>
                <w:szCs w:val="22"/>
                <w:lang w:val="fr-FR" w:eastAsia="en-US"/>
              </w:rPr>
            </w:pPr>
            <w:r>
              <w:rPr>
                <w:sz w:val="22"/>
                <w:szCs w:val="22"/>
                <w:lang w:val="fr-FR" w:eastAsia="en-US"/>
              </w:rPr>
              <w:t>76%</w:t>
            </w:r>
          </w:p>
        </w:tc>
        <w:tc>
          <w:tcPr>
            <w:tcW w:w="1843" w:type="dxa"/>
          </w:tcPr>
          <w:p w14:paraId="416767EA" w14:textId="34C554A1" w:rsidR="009F6542" w:rsidRPr="00202703" w:rsidRDefault="009F6542" w:rsidP="009F6542">
            <w:pPr>
              <w:pStyle w:val="ListParagraph"/>
              <w:spacing w:after="14" w:line="259" w:lineRule="auto"/>
              <w:ind w:left="360"/>
              <w:rPr>
                <w:sz w:val="22"/>
                <w:szCs w:val="22"/>
                <w:lang w:val="fr-FR" w:eastAsia="en-US"/>
              </w:rPr>
            </w:pPr>
            <w:r>
              <w:rPr>
                <w:sz w:val="22"/>
                <w:szCs w:val="22"/>
                <w:lang w:val="fr-FR" w:eastAsia="en-US"/>
              </w:rPr>
              <w:t xml:space="preserve">76%, soit </w:t>
            </w:r>
            <w:r w:rsidRPr="00202703">
              <w:rPr>
                <w:sz w:val="22"/>
                <w:szCs w:val="22"/>
                <w:lang w:val="fr-FR" w:eastAsia="en-US"/>
              </w:rPr>
              <w:t xml:space="preserve">100% </w:t>
            </w:r>
            <w:r>
              <w:rPr>
                <w:sz w:val="22"/>
                <w:szCs w:val="22"/>
                <w:lang w:val="fr-FR" w:eastAsia="en-US"/>
              </w:rPr>
              <w:t xml:space="preserve">de </w:t>
            </w:r>
            <w:r>
              <w:rPr>
                <w:sz w:val="22"/>
                <w:szCs w:val="22"/>
                <w:lang w:val="fr-FR" w:eastAsia="en-US"/>
              </w:rPr>
              <w:lastRenderedPageBreak/>
              <w:t>réalisation de l’indicateur</w:t>
            </w:r>
          </w:p>
        </w:tc>
        <w:tc>
          <w:tcPr>
            <w:tcW w:w="2977" w:type="dxa"/>
          </w:tcPr>
          <w:p w14:paraId="370A436A" w14:textId="0EC867BC" w:rsidR="009F6542" w:rsidRPr="00202703" w:rsidRDefault="009F6542" w:rsidP="009F6542">
            <w:pPr>
              <w:spacing w:line="276" w:lineRule="auto"/>
              <w:jc w:val="both"/>
              <w:rPr>
                <w:sz w:val="22"/>
                <w:szCs w:val="22"/>
                <w:lang w:val="fr-FR" w:eastAsia="en-US"/>
              </w:rPr>
            </w:pPr>
          </w:p>
        </w:tc>
      </w:tr>
      <w:tr w:rsidR="009F6542" w:rsidRPr="00BB4A8C" w14:paraId="16205225" w14:textId="77777777" w:rsidTr="00657D09">
        <w:trPr>
          <w:trHeight w:val="422"/>
        </w:trPr>
        <w:tc>
          <w:tcPr>
            <w:tcW w:w="2976" w:type="dxa"/>
            <w:vMerge w:val="restart"/>
            <w:shd w:val="clear" w:color="auto" w:fill="auto"/>
          </w:tcPr>
          <w:p w14:paraId="00906827"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Produit 1.1: La police a des capacités renforcées pour assurer la sécurité des populations</w:t>
            </w:r>
          </w:p>
        </w:tc>
        <w:tc>
          <w:tcPr>
            <w:tcW w:w="1984" w:type="dxa"/>
            <w:shd w:val="clear" w:color="auto" w:fill="EEECE1"/>
            <w:vAlign w:val="center"/>
          </w:tcPr>
          <w:p w14:paraId="3EF85EF5"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Nombre d'agents de police formés sur l'approche et les principes de police de proximité </w:t>
            </w:r>
          </w:p>
        </w:tc>
        <w:tc>
          <w:tcPr>
            <w:tcW w:w="1276" w:type="dxa"/>
            <w:shd w:val="clear" w:color="auto" w:fill="EEECE1"/>
          </w:tcPr>
          <w:p w14:paraId="595FBF16" w14:textId="55583133" w:rsidR="009F6542" w:rsidRPr="00202703" w:rsidRDefault="009F6542" w:rsidP="009F6542">
            <w:pPr>
              <w:spacing w:line="276" w:lineRule="auto"/>
              <w:jc w:val="both"/>
              <w:rPr>
                <w:sz w:val="22"/>
                <w:szCs w:val="22"/>
                <w:lang w:val="fr-FR"/>
              </w:rPr>
            </w:pPr>
            <w:r>
              <w:rPr>
                <w:sz w:val="22"/>
                <w:szCs w:val="22"/>
                <w:lang w:val="fr-FR"/>
              </w:rPr>
              <w:t>00</w:t>
            </w:r>
          </w:p>
        </w:tc>
        <w:tc>
          <w:tcPr>
            <w:tcW w:w="1279" w:type="dxa"/>
            <w:shd w:val="clear" w:color="auto" w:fill="EEECE1"/>
            <w:vAlign w:val="center"/>
          </w:tcPr>
          <w:p w14:paraId="49328B61"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200</w:t>
            </w:r>
          </w:p>
        </w:tc>
        <w:tc>
          <w:tcPr>
            <w:tcW w:w="1559" w:type="dxa"/>
            <w:shd w:val="clear" w:color="auto" w:fill="FFFFFF" w:themeFill="background1"/>
          </w:tcPr>
          <w:p w14:paraId="3319E0A8"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200</w:t>
            </w:r>
          </w:p>
        </w:tc>
        <w:tc>
          <w:tcPr>
            <w:tcW w:w="1843" w:type="dxa"/>
            <w:shd w:val="clear" w:color="auto" w:fill="FFFFFF" w:themeFill="background1"/>
          </w:tcPr>
          <w:p w14:paraId="02CC4D66" w14:textId="3BF96C52" w:rsidR="009F6542" w:rsidRPr="00BB4A8C" w:rsidRDefault="00DB05DF" w:rsidP="009F6542">
            <w:pPr>
              <w:spacing w:after="14" w:line="259" w:lineRule="auto"/>
              <w:rPr>
                <w:sz w:val="22"/>
                <w:szCs w:val="22"/>
                <w:lang w:eastAsia="en-US"/>
              </w:rPr>
            </w:pPr>
            <w:r w:rsidRPr="00202703">
              <w:rPr>
                <w:sz w:val="22"/>
                <w:szCs w:val="22"/>
                <w:lang w:val="fr-FR" w:eastAsia="en-US"/>
              </w:rPr>
              <w:t>200</w:t>
            </w:r>
            <w:r>
              <w:rPr>
                <w:sz w:val="22"/>
                <w:szCs w:val="22"/>
                <w:lang w:val="fr-FR" w:eastAsia="en-US"/>
              </w:rPr>
              <w:t xml:space="preserve">, soit </w:t>
            </w:r>
            <w:r w:rsidRPr="00202703">
              <w:rPr>
                <w:sz w:val="22"/>
                <w:szCs w:val="22"/>
                <w:lang w:val="fr-FR" w:eastAsia="en-US"/>
              </w:rPr>
              <w:t xml:space="preserve">100% </w:t>
            </w:r>
            <w:r>
              <w:rPr>
                <w:sz w:val="22"/>
                <w:szCs w:val="22"/>
                <w:lang w:val="fr-FR" w:eastAsia="en-US"/>
              </w:rPr>
              <w:t>de réalisation de l’indicateur</w:t>
            </w:r>
          </w:p>
        </w:tc>
        <w:tc>
          <w:tcPr>
            <w:tcW w:w="2977" w:type="dxa"/>
            <w:shd w:val="clear" w:color="auto" w:fill="FFFFFF" w:themeFill="background1"/>
          </w:tcPr>
          <w:p w14:paraId="72C1F6A7" w14:textId="77777777" w:rsidR="009F6542" w:rsidRPr="00202703" w:rsidRDefault="009F6542" w:rsidP="009F6542">
            <w:pPr>
              <w:spacing w:line="276" w:lineRule="auto"/>
              <w:jc w:val="both"/>
              <w:rPr>
                <w:sz w:val="22"/>
                <w:szCs w:val="22"/>
                <w:lang w:val="fr-FR" w:eastAsia="en-US"/>
              </w:rPr>
            </w:pPr>
          </w:p>
        </w:tc>
      </w:tr>
      <w:tr w:rsidR="009F6542" w:rsidRPr="00BB4A8C" w14:paraId="4BA4FB90" w14:textId="77777777" w:rsidTr="00657D09">
        <w:trPr>
          <w:trHeight w:val="422"/>
        </w:trPr>
        <w:tc>
          <w:tcPr>
            <w:tcW w:w="2976" w:type="dxa"/>
            <w:vMerge/>
            <w:shd w:val="clear" w:color="auto" w:fill="auto"/>
          </w:tcPr>
          <w:p w14:paraId="70FC0804" w14:textId="77777777" w:rsidR="009F6542" w:rsidRPr="00202703" w:rsidRDefault="009F6542" w:rsidP="009F6542">
            <w:pPr>
              <w:spacing w:line="276" w:lineRule="auto"/>
              <w:jc w:val="both"/>
              <w:rPr>
                <w:sz w:val="22"/>
                <w:szCs w:val="22"/>
                <w:lang w:val="fr-FR" w:eastAsia="en-US"/>
              </w:rPr>
            </w:pPr>
          </w:p>
        </w:tc>
        <w:tc>
          <w:tcPr>
            <w:tcW w:w="1984" w:type="dxa"/>
            <w:shd w:val="clear" w:color="auto" w:fill="EEECE1"/>
            <w:vAlign w:val="center"/>
          </w:tcPr>
          <w:p w14:paraId="0FCC7299"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Nombre cadres de la police formés sur les notions de redevabilité de la police </w:t>
            </w:r>
          </w:p>
        </w:tc>
        <w:tc>
          <w:tcPr>
            <w:tcW w:w="1276" w:type="dxa"/>
            <w:shd w:val="clear" w:color="auto" w:fill="EEECE1"/>
          </w:tcPr>
          <w:p w14:paraId="315515D9" w14:textId="77777777" w:rsidR="009F6542" w:rsidRPr="00202703" w:rsidRDefault="009F6542" w:rsidP="009F6542">
            <w:pPr>
              <w:spacing w:line="276" w:lineRule="auto"/>
              <w:jc w:val="both"/>
              <w:rPr>
                <w:sz w:val="22"/>
                <w:szCs w:val="22"/>
                <w:lang w:val="fr-FR"/>
              </w:rPr>
            </w:pPr>
            <w:r w:rsidRPr="00202703">
              <w:rPr>
                <w:sz w:val="22"/>
                <w:szCs w:val="22"/>
                <w:lang w:val="fr-FR"/>
              </w:rPr>
              <w:t>1</w:t>
            </w:r>
          </w:p>
        </w:tc>
        <w:tc>
          <w:tcPr>
            <w:tcW w:w="1279" w:type="dxa"/>
            <w:shd w:val="clear" w:color="auto" w:fill="EEECE1"/>
            <w:vAlign w:val="center"/>
          </w:tcPr>
          <w:p w14:paraId="02A5AFC7" w14:textId="77777777" w:rsidR="009F6542" w:rsidRDefault="009F6542" w:rsidP="009F6542">
            <w:pPr>
              <w:spacing w:line="276" w:lineRule="auto"/>
              <w:jc w:val="both"/>
              <w:rPr>
                <w:sz w:val="22"/>
                <w:szCs w:val="22"/>
                <w:lang w:val="fr-FR" w:eastAsia="en-US"/>
              </w:rPr>
            </w:pPr>
            <w:r w:rsidRPr="00202703">
              <w:rPr>
                <w:sz w:val="22"/>
                <w:szCs w:val="22"/>
                <w:lang w:val="fr-FR" w:eastAsia="en-US"/>
              </w:rPr>
              <w:t>30</w:t>
            </w:r>
          </w:p>
          <w:p w14:paraId="2833FD80" w14:textId="3B7495DA" w:rsidR="009F6542" w:rsidRPr="00202703" w:rsidRDefault="009F6542" w:rsidP="009F6542">
            <w:pPr>
              <w:spacing w:line="276" w:lineRule="auto"/>
              <w:jc w:val="both"/>
              <w:rPr>
                <w:sz w:val="22"/>
                <w:szCs w:val="22"/>
                <w:lang w:val="fr-FR" w:eastAsia="en-US"/>
              </w:rPr>
            </w:pPr>
          </w:p>
        </w:tc>
        <w:tc>
          <w:tcPr>
            <w:tcW w:w="1559" w:type="dxa"/>
            <w:shd w:val="clear" w:color="auto" w:fill="FFFFFF" w:themeFill="background1"/>
          </w:tcPr>
          <w:p w14:paraId="6D90DEE7"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 30</w:t>
            </w:r>
          </w:p>
        </w:tc>
        <w:tc>
          <w:tcPr>
            <w:tcW w:w="1843" w:type="dxa"/>
            <w:shd w:val="clear" w:color="auto" w:fill="FFFFFF" w:themeFill="background1"/>
          </w:tcPr>
          <w:p w14:paraId="69C44817" w14:textId="7E2453FE" w:rsidR="009F6542" w:rsidRPr="00BB4A8C" w:rsidRDefault="000F6ABD" w:rsidP="009F6542">
            <w:pPr>
              <w:spacing w:after="14" w:line="259" w:lineRule="auto"/>
              <w:rPr>
                <w:sz w:val="22"/>
                <w:szCs w:val="22"/>
                <w:lang w:eastAsia="en-US"/>
              </w:rPr>
            </w:pPr>
            <w:r w:rsidRPr="00202703">
              <w:rPr>
                <w:sz w:val="22"/>
                <w:szCs w:val="22"/>
                <w:lang w:val="fr-FR" w:eastAsia="en-US"/>
              </w:rPr>
              <w:t>30</w:t>
            </w:r>
            <w:r>
              <w:rPr>
                <w:sz w:val="22"/>
                <w:szCs w:val="22"/>
                <w:lang w:val="fr-FR" w:eastAsia="en-US"/>
              </w:rPr>
              <w:t xml:space="preserve">, soit </w:t>
            </w:r>
            <w:r w:rsidRPr="00202703">
              <w:rPr>
                <w:sz w:val="22"/>
                <w:szCs w:val="22"/>
                <w:lang w:val="fr-FR" w:eastAsia="en-US"/>
              </w:rPr>
              <w:t xml:space="preserve">100% </w:t>
            </w:r>
            <w:r>
              <w:rPr>
                <w:sz w:val="22"/>
                <w:szCs w:val="22"/>
                <w:lang w:val="fr-FR" w:eastAsia="en-US"/>
              </w:rPr>
              <w:t>de réalisation de l’indicateur</w:t>
            </w:r>
          </w:p>
        </w:tc>
        <w:tc>
          <w:tcPr>
            <w:tcW w:w="2977" w:type="dxa"/>
            <w:shd w:val="clear" w:color="auto" w:fill="FFFFFF" w:themeFill="background1"/>
          </w:tcPr>
          <w:p w14:paraId="2A0E8415" w14:textId="77777777" w:rsidR="009F6542" w:rsidRPr="00202703" w:rsidRDefault="009F6542" w:rsidP="009F6542">
            <w:pPr>
              <w:spacing w:line="276" w:lineRule="auto"/>
              <w:jc w:val="both"/>
              <w:rPr>
                <w:sz w:val="22"/>
                <w:szCs w:val="22"/>
                <w:lang w:val="fr-FR" w:eastAsia="en-US"/>
              </w:rPr>
            </w:pPr>
          </w:p>
          <w:p w14:paraId="09EDD86C" w14:textId="77777777" w:rsidR="009F6542" w:rsidRPr="00202703" w:rsidRDefault="009F6542" w:rsidP="009F6542">
            <w:pPr>
              <w:spacing w:line="276" w:lineRule="auto"/>
              <w:jc w:val="both"/>
              <w:rPr>
                <w:sz w:val="22"/>
                <w:szCs w:val="22"/>
                <w:lang w:val="fr-FR" w:eastAsia="en-US"/>
              </w:rPr>
            </w:pPr>
          </w:p>
          <w:p w14:paraId="049462F5" w14:textId="77777777" w:rsidR="009F6542" w:rsidRPr="00202703" w:rsidRDefault="009F6542" w:rsidP="009F6542">
            <w:pPr>
              <w:spacing w:line="276" w:lineRule="auto"/>
              <w:jc w:val="center"/>
              <w:rPr>
                <w:sz w:val="22"/>
                <w:szCs w:val="22"/>
                <w:lang w:val="fr-FR" w:eastAsia="en-US"/>
              </w:rPr>
            </w:pPr>
          </w:p>
        </w:tc>
      </w:tr>
      <w:tr w:rsidR="009F6542" w:rsidRPr="00BB4A8C" w14:paraId="5DB78029" w14:textId="77777777" w:rsidTr="00657D09">
        <w:trPr>
          <w:trHeight w:val="422"/>
        </w:trPr>
        <w:tc>
          <w:tcPr>
            <w:tcW w:w="2976" w:type="dxa"/>
            <w:vMerge/>
            <w:shd w:val="clear" w:color="auto" w:fill="auto"/>
          </w:tcPr>
          <w:p w14:paraId="1353A3C0" w14:textId="77777777" w:rsidR="009F6542" w:rsidRPr="00202703" w:rsidRDefault="009F6542" w:rsidP="009F6542">
            <w:pPr>
              <w:spacing w:line="276" w:lineRule="auto"/>
              <w:jc w:val="both"/>
              <w:rPr>
                <w:sz w:val="22"/>
                <w:szCs w:val="22"/>
                <w:lang w:val="fr-FR" w:eastAsia="en-US"/>
              </w:rPr>
            </w:pPr>
          </w:p>
        </w:tc>
        <w:tc>
          <w:tcPr>
            <w:tcW w:w="1984" w:type="dxa"/>
            <w:shd w:val="clear" w:color="auto" w:fill="EEECE1"/>
            <w:vAlign w:val="center"/>
          </w:tcPr>
          <w:p w14:paraId="0ABDA776"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Nombre de bâtiments de la PNC construits / réhabilités pour abriter les unités de police de proximité </w:t>
            </w:r>
          </w:p>
        </w:tc>
        <w:tc>
          <w:tcPr>
            <w:tcW w:w="1276" w:type="dxa"/>
            <w:shd w:val="clear" w:color="auto" w:fill="EEECE1"/>
          </w:tcPr>
          <w:p w14:paraId="344E80F6" w14:textId="5EBFA555" w:rsidR="009F6542" w:rsidRDefault="009F6542" w:rsidP="009F6542">
            <w:pPr>
              <w:spacing w:line="276" w:lineRule="auto"/>
              <w:jc w:val="center"/>
              <w:rPr>
                <w:sz w:val="22"/>
                <w:szCs w:val="22"/>
                <w:lang w:val="fr-FR" w:eastAsia="en-US"/>
              </w:rPr>
            </w:pPr>
          </w:p>
          <w:p w14:paraId="7936840B" w14:textId="77777777" w:rsidR="009F6542" w:rsidRDefault="009F6542" w:rsidP="009F6542">
            <w:pPr>
              <w:spacing w:line="276" w:lineRule="auto"/>
              <w:jc w:val="center"/>
              <w:rPr>
                <w:sz w:val="22"/>
                <w:szCs w:val="22"/>
                <w:lang w:val="fr-FR" w:eastAsia="en-US"/>
              </w:rPr>
            </w:pPr>
          </w:p>
          <w:p w14:paraId="634E3F7A" w14:textId="77777777" w:rsidR="009F6542" w:rsidRDefault="009F6542" w:rsidP="009F6542">
            <w:pPr>
              <w:spacing w:line="276" w:lineRule="auto"/>
              <w:jc w:val="center"/>
              <w:rPr>
                <w:sz w:val="22"/>
                <w:szCs w:val="22"/>
                <w:lang w:val="fr-FR" w:eastAsia="en-US"/>
              </w:rPr>
            </w:pPr>
          </w:p>
          <w:p w14:paraId="28CE21E0" w14:textId="336452EF" w:rsidR="009F6542" w:rsidRPr="00202703" w:rsidRDefault="009F6542" w:rsidP="009F6542">
            <w:pPr>
              <w:spacing w:line="276" w:lineRule="auto"/>
              <w:jc w:val="center"/>
              <w:rPr>
                <w:sz w:val="22"/>
                <w:szCs w:val="22"/>
                <w:lang w:val="fr-FR" w:eastAsia="en-US"/>
              </w:rPr>
            </w:pPr>
            <w:r>
              <w:rPr>
                <w:sz w:val="22"/>
                <w:szCs w:val="22"/>
                <w:lang w:val="fr-FR" w:eastAsia="en-US"/>
              </w:rPr>
              <w:t>0</w:t>
            </w:r>
          </w:p>
        </w:tc>
        <w:tc>
          <w:tcPr>
            <w:tcW w:w="1279" w:type="dxa"/>
            <w:shd w:val="clear" w:color="auto" w:fill="EEECE1"/>
            <w:vAlign w:val="center"/>
          </w:tcPr>
          <w:p w14:paraId="06F65736" w14:textId="77777777" w:rsidR="009F6542" w:rsidRPr="00202703" w:rsidRDefault="009F6542" w:rsidP="009F6542">
            <w:pPr>
              <w:spacing w:line="276" w:lineRule="auto"/>
              <w:jc w:val="center"/>
              <w:rPr>
                <w:sz w:val="22"/>
                <w:szCs w:val="22"/>
                <w:lang w:val="fr-FR" w:eastAsia="en-US"/>
              </w:rPr>
            </w:pPr>
            <w:r w:rsidRPr="00202703">
              <w:rPr>
                <w:sz w:val="22"/>
                <w:szCs w:val="22"/>
                <w:lang w:val="fr-FR" w:eastAsia="en-US"/>
              </w:rPr>
              <w:t>5</w:t>
            </w:r>
          </w:p>
        </w:tc>
        <w:tc>
          <w:tcPr>
            <w:tcW w:w="1559" w:type="dxa"/>
            <w:shd w:val="clear" w:color="auto" w:fill="FFFFFF" w:themeFill="background1"/>
          </w:tcPr>
          <w:p w14:paraId="43D615E1" w14:textId="52B7384D" w:rsidR="009F6542" w:rsidRPr="00202703" w:rsidRDefault="009F6542" w:rsidP="009F6542">
            <w:pPr>
              <w:spacing w:line="276" w:lineRule="auto"/>
              <w:jc w:val="both"/>
              <w:rPr>
                <w:sz w:val="22"/>
                <w:szCs w:val="22"/>
                <w:lang w:val="fr-FR" w:eastAsia="en-US"/>
              </w:rPr>
            </w:pPr>
            <w:r>
              <w:rPr>
                <w:sz w:val="22"/>
                <w:szCs w:val="22"/>
                <w:lang w:val="fr-FR" w:eastAsia="en-US"/>
              </w:rPr>
              <w:t>0</w:t>
            </w:r>
          </w:p>
        </w:tc>
        <w:tc>
          <w:tcPr>
            <w:tcW w:w="1843" w:type="dxa"/>
            <w:shd w:val="clear" w:color="auto" w:fill="FFFFFF" w:themeFill="background1"/>
          </w:tcPr>
          <w:p w14:paraId="07121EA6" w14:textId="59F7B3B8" w:rsidR="009F6542" w:rsidRPr="00202703" w:rsidRDefault="00C54047" w:rsidP="009F6542">
            <w:pPr>
              <w:spacing w:line="276" w:lineRule="auto"/>
              <w:jc w:val="both"/>
              <w:rPr>
                <w:sz w:val="22"/>
                <w:szCs w:val="22"/>
                <w:lang w:val="fr-FR" w:eastAsia="en-US"/>
              </w:rPr>
            </w:pPr>
            <w:r>
              <w:rPr>
                <w:sz w:val="22"/>
                <w:szCs w:val="22"/>
                <w:lang w:val="fr-FR" w:eastAsia="en-US"/>
              </w:rPr>
              <w:t>0</w:t>
            </w:r>
            <w:r w:rsidR="009F6542">
              <w:rPr>
                <w:sz w:val="22"/>
                <w:szCs w:val="22"/>
                <w:lang w:val="fr-FR" w:eastAsia="en-US"/>
              </w:rPr>
              <w:t xml:space="preserve"> </w:t>
            </w:r>
          </w:p>
        </w:tc>
        <w:tc>
          <w:tcPr>
            <w:tcW w:w="2977" w:type="dxa"/>
            <w:shd w:val="clear" w:color="auto" w:fill="FFFFFF" w:themeFill="background1"/>
          </w:tcPr>
          <w:p w14:paraId="10C7B0C7" w14:textId="0EB67A34"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 4 </w:t>
            </w:r>
            <w:r>
              <w:rPr>
                <w:sz w:val="22"/>
                <w:szCs w:val="22"/>
                <w:lang w:val="fr-FR" w:eastAsia="en-US"/>
              </w:rPr>
              <w:t xml:space="preserve">bâtiments sont </w:t>
            </w:r>
            <w:r w:rsidRPr="00202703">
              <w:rPr>
                <w:sz w:val="22"/>
                <w:szCs w:val="22"/>
                <w:lang w:val="fr-FR" w:eastAsia="en-US"/>
              </w:rPr>
              <w:t>en cours de construction</w:t>
            </w:r>
            <w:r>
              <w:rPr>
                <w:sz w:val="22"/>
                <w:szCs w:val="22"/>
                <w:lang w:val="fr-FR" w:eastAsia="en-US"/>
              </w:rPr>
              <w:t xml:space="preserve"> et 1 n’est pas encore entamé. </w:t>
            </w:r>
          </w:p>
          <w:p w14:paraId="5D2E8BD6" w14:textId="57D57252" w:rsidR="009F6542" w:rsidRPr="00202703" w:rsidRDefault="009F6542" w:rsidP="009F6542">
            <w:pPr>
              <w:spacing w:line="276" w:lineRule="auto"/>
              <w:jc w:val="both"/>
              <w:rPr>
                <w:sz w:val="22"/>
                <w:szCs w:val="22"/>
                <w:lang w:val="fr-FR" w:eastAsia="en-US"/>
              </w:rPr>
            </w:pPr>
          </w:p>
        </w:tc>
      </w:tr>
      <w:tr w:rsidR="009F6542" w:rsidRPr="00BB4A8C" w14:paraId="77FDBD37" w14:textId="77777777" w:rsidTr="00657D09">
        <w:trPr>
          <w:trHeight w:val="422"/>
        </w:trPr>
        <w:tc>
          <w:tcPr>
            <w:tcW w:w="2976" w:type="dxa"/>
            <w:vMerge/>
            <w:shd w:val="clear" w:color="auto" w:fill="auto"/>
          </w:tcPr>
          <w:p w14:paraId="63BC828E" w14:textId="77777777" w:rsidR="009F6542" w:rsidRPr="00202703" w:rsidRDefault="009F6542" w:rsidP="009F6542">
            <w:pPr>
              <w:spacing w:line="276" w:lineRule="auto"/>
              <w:jc w:val="both"/>
              <w:rPr>
                <w:sz w:val="22"/>
                <w:szCs w:val="22"/>
                <w:lang w:val="fr-FR" w:eastAsia="en-US"/>
              </w:rPr>
            </w:pPr>
          </w:p>
        </w:tc>
        <w:tc>
          <w:tcPr>
            <w:tcW w:w="1984" w:type="dxa"/>
            <w:shd w:val="clear" w:color="auto" w:fill="EEECE1"/>
            <w:vAlign w:val="center"/>
          </w:tcPr>
          <w:p w14:paraId="51E95D5F"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Nombre de policiers qui connaissent les principes de masculinité positive et les appliquent dans leur travail et dans leur vie privée.  </w:t>
            </w:r>
          </w:p>
        </w:tc>
        <w:tc>
          <w:tcPr>
            <w:tcW w:w="1276" w:type="dxa"/>
            <w:shd w:val="clear" w:color="auto" w:fill="EEECE1"/>
          </w:tcPr>
          <w:p w14:paraId="1D0C480D" w14:textId="77777777" w:rsidR="009F6542" w:rsidRDefault="009F6542" w:rsidP="009F6542">
            <w:pPr>
              <w:spacing w:line="276" w:lineRule="auto"/>
              <w:jc w:val="both"/>
              <w:rPr>
                <w:sz w:val="22"/>
                <w:szCs w:val="22"/>
                <w:lang w:val="fr-FR"/>
              </w:rPr>
            </w:pPr>
          </w:p>
          <w:p w14:paraId="5C1A153B" w14:textId="77777777" w:rsidR="009F6542" w:rsidRDefault="009F6542" w:rsidP="009F6542">
            <w:pPr>
              <w:spacing w:line="276" w:lineRule="auto"/>
              <w:jc w:val="both"/>
              <w:rPr>
                <w:sz w:val="22"/>
                <w:szCs w:val="22"/>
                <w:lang w:val="fr-FR"/>
              </w:rPr>
            </w:pPr>
          </w:p>
          <w:p w14:paraId="41099791" w14:textId="77777777" w:rsidR="009F6542" w:rsidRDefault="009F6542" w:rsidP="009F6542">
            <w:pPr>
              <w:spacing w:line="276" w:lineRule="auto"/>
              <w:jc w:val="both"/>
              <w:rPr>
                <w:sz w:val="22"/>
                <w:szCs w:val="22"/>
                <w:lang w:val="fr-FR"/>
              </w:rPr>
            </w:pPr>
          </w:p>
          <w:p w14:paraId="77B1C3B5" w14:textId="77777777" w:rsidR="009F6542" w:rsidRDefault="009F6542" w:rsidP="009F6542">
            <w:pPr>
              <w:spacing w:line="276" w:lineRule="auto"/>
              <w:jc w:val="both"/>
              <w:rPr>
                <w:sz w:val="22"/>
                <w:szCs w:val="22"/>
                <w:lang w:val="fr-FR"/>
              </w:rPr>
            </w:pPr>
          </w:p>
          <w:p w14:paraId="00AFF2E9" w14:textId="71738492" w:rsidR="009F6542" w:rsidRPr="00202703" w:rsidRDefault="009F6542" w:rsidP="009F6542">
            <w:pPr>
              <w:spacing w:line="276" w:lineRule="auto"/>
              <w:jc w:val="both"/>
              <w:rPr>
                <w:sz w:val="22"/>
                <w:szCs w:val="22"/>
                <w:lang w:val="fr-FR"/>
              </w:rPr>
            </w:pPr>
            <w:r w:rsidRPr="00202703">
              <w:rPr>
                <w:sz w:val="22"/>
                <w:szCs w:val="22"/>
                <w:lang w:val="fr-FR"/>
              </w:rPr>
              <w:t>34</w:t>
            </w:r>
          </w:p>
        </w:tc>
        <w:tc>
          <w:tcPr>
            <w:tcW w:w="1279" w:type="dxa"/>
            <w:shd w:val="clear" w:color="auto" w:fill="EEECE1"/>
            <w:vAlign w:val="center"/>
          </w:tcPr>
          <w:p w14:paraId="79068F9C"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200</w:t>
            </w:r>
          </w:p>
        </w:tc>
        <w:tc>
          <w:tcPr>
            <w:tcW w:w="1559" w:type="dxa"/>
            <w:shd w:val="clear" w:color="auto" w:fill="FFFFFF" w:themeFill="background1"/>
          </w:tcPr>
          <w:p w14:paraId="0E58C91D" w14:textId="77777777" w:rsidR="009F6542" w:rsidRDefault="009F6542" w:rsidP="009F6542">
            <w:pPr>
              <w:spacing w:line="276" w:lineRule="auto"/>
              <w:jc w:val="both"/>
              <w:rPr>
                <w:sz w:val="22"/>
                <w:szCs w:val="22"/>
                <w:lang w:val="fr-FR" w:eastAsia="en-US"/>
              </w:rPr>
            </w:pPr>
          </w:p>
          <w:p w14:paraId="4A7609A6" w14:textId="77777777" w:rsidR="009F6542" w:rsidRDefault="009F6542" w:rsidP="009F6542">
            <w:pPr>
              <w:spacing w:line="276" w:lineRule="auto"/>
              <w:jc w:val="both"/>
              <w:rPr>
                <w:sz w:val="22"/>
                <w:szCs w:val="22"/>
                <w:lang w:val="fr-FR" w:eastAsia="en-US"/>
              </w:rPr>
            </w:pPr>
          </w:p>
          <w:p w14:paraId="362CD720" w14:textId="77777777" w:rsidR="009F6542" w:rsidRDefault="009F6542" w:rsidP="009F6542">
            <w:pPr>
              <w:spacing w:line="276" w:lineRule="auto"/>
              <w:jc w:val="both"/>
              <w:rPr>
                <w:sz w:val="22"/>
                <w:szCs w:val="22"/>
                <w:lang w:val="fr-FR" w:eastAsia="en-US"/>
              </w:rPr>
            </w:pPr>
          </w:p>
          <w:p w14:paraId="651A129E" w14:textId="77777777" w:rsidR="009F6542" w:rsidRDefault="009F6542" w:rsidP="009F6542">
            <w:pPr>
              <w:spacing w:line="276" w:lineRule="auto"/>
              <w:jc w:val="both"/>
              <w:rPr>
                <w:sz w:val="22"/>
                <w:szCs w:val="22"/>
                <w:lang w:val="fr-FR" w:eastAsia="en-US"/>
              </w:rPr>
            </w:pPr>
          </w:p>
          <w:p w14:paraId="0BC05201" w14:textId="3E3DD4D0" w:rsidR="009F6542" w:rsidRPr="00202703" w:rsidRDefault="009F6542" w:rsidP="009F6542">
            <w:pPr>
              <w:spacing w:line="276" w:lineRule="auto"/>
              <w:jc w:val="both"/>
              <w:rPr>
                <w:sz w:val="22"/>
                <w:szCs w:val="22"/>
                <w:lang w:val="fr-FR" w:eastAsia="en-US"/>
              </w:rPr>
            </w:pPr>
            <w:r w:rsidRPr="00202703">
              <w:rPr>
                <w:sz w:val="22"/>
                <w:szCs w:val="22"/>
                <w:lang w:val="fr-FR" w:eastAsia="en-US"/>
              </w:rPr>
              <w:t>125</w:t>
            </w:r>
          </w:p>
        </w:tc>
        <w:tc>
          <w:tcPr>
            <w:tcW w:w="1843" w:type="dxa"/>
            <w:shd w:val="clear" w:color="auto" w:fill="FFFFFF" w:themeFill="background1"/>
          </w:tcPr>
          <w:p w14:paraId="1F698A2D" w14:textId="77777777" w:rsidR="009F6542" w:rsidRDefault="009F6542" w:rsidP="009F6542">
            <w:pPr>
              <w:spacing w:line="276" w:lineRule="auto"/>
              <w:jc w:val="both"/>
              <w:rPr>
                <w:sz w:val="22"/>
                <w:szCs w:val="22"/>
                <w:lang w:val="fr-FR" w:eastAsia="en-US"/>
              </w:rPr>
            </w:pPr>
          </w:p>
          <w:p w14:paraId="211F01CA" w14:textId="77777777" w:rsidR="009F6542" w:rsidRDefault="009F6542" w:rsidP="009F6542">
            <w:pPr>
              <w:spacing w:line="276" w:lineRule="auto"/>
              <w:jc w:val="both"/>
              <w:rPr>
                <w:sz w:val="22"/>
                <w:szCs w:val="22"/>
                <w:lang w:val="fr-FR" w:eastAsia="en-US"/>
              </w:rPr>
            </w:pPr>
          </w:p>
          <w:p w14:paraId="2C29829B" w14:textId="77777777" w:rsidR="009F6542" w:rsidRDefault="009F6542" w:rsidP="009F6542">
            <w:pPr>
              <w:spacing w:line="276" w:lineRule="auto"/>
              <w:jc w:val="both"/>
              <w:rPr>
                <w:sz w:val="22"/>
                <w:szCs w:val="22"/>
                <w:lang w:val="fr-FR" w:eastAsia="en-US"/>
              </w:rPr>
            </w:pPr>
          </w:p>
          <w:p w14:paraId="6C16B8D1" w14:textId="4AFC90C3" w:rsidR="009F6542" w:rsidRPr="00BB4A8C" w:rsidRDefault="002E3BEA" w:rsidP="009F6542">
            <w:pPr>
              <w:spacing w:line="276" w:lineRule="auto"/>
              <w:jc w:val="both"/>
              <w:rPr>
                <w:sz w:val="22"/>
                <w:szCs w:val="22"/>
                <w:lang w:eastAsia="en-US"/>
              </w:rPr>
            </w:pPr>
            <w:r>
              <w:rPr>
                <w:sz w:val="22"/>
                <w:szCs w:val="22"/>
                <w:lang w:val="fr-FR" w:eastAsia="en-US"/>
              </w:rPr>
              <w:t>125, soit 62</w:t>
            </w:r>
            <w:r w:rsidRPr="00202703">
              <w:rPr>
                <w:sz w:val="22"/>
                <w:szCs w:val="22"/>
                <w:lang w:val="fr-FR" w:eastAsia="en-US"/>
              </w:rPr>
              <w:t xml:space="preserve">% </w:t>
            </w:r>
            <w:r>
              <w:rPr>
                <w:sz w:val="22"/>
                <w:szCs w:val="22"/>
                <w:lang w:val="fr-FR" w:eastAsia="en-US"/>
              </w:rPr>
              <w:t>de réalisation de l’indicateur</w:t>
            </w:r>
          </w:p>
        </w:tc>
        <w:tc>
          <w:tcPr>
            <w:tcW w:w="2977" w:type="dxa"/>
            <w:shd w:val="clear" w:color="auto" w:fill="FFFFFF" w:themeFill="background1"/>
          </w:tcPr>
          <w:p w14:paraId="3EBD1C91" w14:textId="5DAF3EB9" w:rsidR="009F6542" w:rsidRPr="00202703" w:rsidRDefault="009F6542" w:rsidP="009F6542">
            <w:pPr>
              <w:spacing w:line="276" w:lineRule="auto"/>
              <w:jc w:val="both"/>
              <w:rPr>
                <w:sz w:val="22"/>
                <w:szCs w:val="22"/>
                <w:lang w:val="fr-FR" w:eastAsia="en-US"/>
              </w:rPr>
            </w:pPr>
            <w:r>
              <w:rPr>
                <w:sz w:val="22"/>
                <w:szCs w:val="22"/>
                <w:lang w:val="fr-FR" w:eastAsia="en-US"/>
              </w:rPr>
              <w:t xml:space="preserve">Les formations des policiers ne sont pas encore terminées. </w:t>
            </w:r>
          </w:p>
        </w:tc>
      </w:tr>
      <w:tr w:rsidR="009F6542" w:rsidRPr="00BB4A8C" w14:paraId="2F2638A5" w14:textId="77777777" w:rsidTr="00657D09">
        <w:trPr>
          <w:trHeight w:val="422"/>
        </w:trPr>
        <w:tc>
          <w:tcPr>
            <w:tcW w:w="2976" w:type="dxa"/>
            <w:vMerge/>
            <w:shd w:val="clear" w:color="auto" w:fill="auto"/>
          </w:tcPr>
          <w:p w14:paraId="5C50DF50" w14:textId="77777777" w:rsidR="009F6542" w:rsidRPr="00202703" w:rsidRDefault="009F6542" w:rsidP="009F6542">
            <w:pPr>
              <w:spacing w:line="276" w:lineRule="auto"/>
              <w:jc w:val="both"/>
              <w:rPr>
                <w:sz w:val="22"/>
                <w:szCs w:val="22"/>
                <w:lang w:val="fr-FR" w:eastAsia="en-US"/>
              </w:rPr>
            </w:pPr>
          </w:p>
        </w:tc>
        <w:tc>
          <w:tcPr>
            <w:tcW w:w="1984" w:type="dxa"/>
            <w:shd w:val="clear" w:color="auto" w:fill="EEECE1"/>
            <w:vAlign w:val="center"/>
          </w:tcPr>
          <w:p w14:paraId="2593F57A"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Nombre de policiers formés sur la gestion et à la maintenance des équipements et infrastructures.  </w:t>
            </w:r>
          </w:p>
        </w:tc>
        <w:tc>
          <w:tcPr>
            <w:tcW w:w="1276" w:type="dxa"/>
            <w:shd w:val="clear" w:color="auto" w:fill="EEECE1"/>
          </w:tcPr>
          <w:p w14:paraId="383D1500" w14:textId="0599C8EB" w:rsidR="009F6542" w:rsidRPr="00202703" w:rsidRDefault="009F6542" w:rsidP="009F6542">
            <w:pPr>
              <w:spacing w:line="276" w:lineRule="auto"/>
              <w:jc w:val="both"/>
              <w:rPr>
                <w:sz w:val="22"/>
                <w:szCs w:val="22"/>
                <w:lang w:val="fr-FR"/>
              </w:rPr>
            </w:pPr>
            <w:r>
              <w:rPr>
                <w:sz w:val="22"/>
                <w:szCs w:val="22"/>
                <w:lang w:val="fr-FR"/>
              </w:rPr>
              <w:t>00</w:t>
            </w:r>
          </w:p>
        </w:tc>
        <w:tc>
          <w:tcPr>
            <w:tcW w:w="1279" w:type="dxa"/>
            <w:shd w:val="clear" w:color="auto" w:fill="EEECE1"/>
            <w:vAlign w:val="center"/>
          </w:tcPr>
          <w:p w14:paraId="1A5B6603"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10</w:t>
            </w:r>
          </w:p>
        </w:tc>
        <w:tc>
          <w:tcPr>
            <w:tcW w:w="1559" w:type="dxa"/>
            <w:shd w:val="clear" w:color="auto" w:fill="FFFFFF" w:themeFill="background1"/>
          </w:tcPr>
          <w:p w14:paraId="3F653FBB" w14:textId="564A77A8" w:rsidR="009F6542" w:rsidRPr="00202703" w:rsidRDefault="009F6542" w:rsidP="009F6542">
            <w:pPr>
              <w:spacing w:line="276" w:lineRule="auto"/>
              <w:jc w:val="both"/>
              <w:rPr>
                <w:sz w:val="22"/>
                <w:szCs w:val="22"/>
                <w:lang w:val="fr-FR" w:eastAsia="en-US"/>
              </w:rPr>
            </w:pPr>
            <w:r>
              <w:rPr>
                <w:sz w:val="22"/>
                <w:szCs w:val="22"/>
                <w:lang w:val="fr-FR" w:eastAsia="en-US"/>
              </w:rPr>
              <w:t>0</w:t>
            </w:r>
          </w:p>
        </w:tc>
        <w:tc>
          <w:tcPr>
            <w:tcW w:w="1843" w:type="dxa"/>
            <w:shd w:val="clear" w:color="auto" w:fill="FFFFFF" w:themeFill="background1"/>
          </w:tcPr>
          <w:p w14:paraId="2A4ABD14" w14:textId="23EC4EE1" w:rsidR="009F6542" w:rsidRPr="00202703" w:rsidRDefault="00A0422A" w:rsidP="009F6542">
            <w:pPr>
              <w:spacing w:line="276" w:lineRule="auto"/>
              <w:jc w:val="both"/>
              <w:rPr>
                <w:sz w:val="22"/>
                <w:szCs w:val="22"/>
                <w:lang w:val="fr-FR" w:eastAsia="en-US"/>
              </w:rPr>
            </w:pPr>
            <w:r>
              <w:rPr>
                <w:sz w:val="22"/>
                <w:szCs w:val="22"/>
                <w:lang w:val="fr-FR" w:eastAsia="en-US"/>
              </w:rPr>
              <w:t>0</w:t>
            </w:r>
            <w:r w:rsidR="009F6542" w:rsidRPr="00202703">
              <w:rPr>
                <w:sz w:val="22"/>
                <w:szCs w:val="22"/>
                <w:lang w:val="fr-FR" w:eastAsia="en-US"/>
              </w:rPr>
              <w:t xml:space="preserve"> </w:t>
            </w:r>
          </w:p>
        </w:tc>
        <w:tc>
          <w:tcPr>
            <w:tcW w:w="2977" w:type="dxa"/>
            <w:shd w:val="clear" w:color="auto" w:fill="FFFFFF" w:themeFill="background1"/>
          </w:tcPr>
          <w:p w14:paraId="1044816F"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L’activité n’est pas encore exécutée</w:t>
            </w:r>
          </w:p>
        </w:tc>
      </w:tr>
      <w:tr w:rsidR="009F6542" w:rsidRPr="00BB4A8C" w14:paraId="3880B395" w14:textId="77777777" w:rsidTr="00657D09">
        <w:trPr>
          <w:trHeight w:val="422"/>
        </w:trPr>
        <w:tc>
          <w:tcPr>
            <w:tcW w:w="2976" w:type="dxa"/>
            <w:vMerge/>
            <w:shd w:val="clear" w:color="auto" w:fill="auto"/>
          </w:tcPr>
          <w:p w14:paraId="6857EA0E" w14:textId="77777777" w:rsidR="009F6542" w:rsidRPr="00202703" w:rsidRDefault="009F6542" w:rsidP="009F6542">
            <w:pPr>
              <w:spacing w:line="276" w:lineRule="auto"/>
              <w:jc w:val="both"/>
              <w:rPr>
                <w:sz w:val="22"/>
                <w:szCs w:val="22"/>
                <w:lang w:val="fr-FR" w:eastAsia="en-US"/>
              </w:rPr>
            </w:pPr>
          </w:p>
        </w:tc>
        <w:tc>
          <w:tcPr>
            <w:tcW w:w="1984" w:type="dxa"/>
            <w:shd w:val="clear" w:color="auto" w:fill="EEECE1"/>
            <w:vAlign w:val="center"/>
          </w:tcPr>
          <w:p w14:paraId="0FBB0C4E"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 de la population ayant le sentiment d'être en sécurité grâce au déploiement des unités de police de proximité (désagrégé par sexe et par âge) </w:t>
            </w:r>
          </w:p>
        </w:tc>
        <w:tc>
          <w:tcPr>
            <w:tcW w:w="1276" w:type="dxa"/>
            <w:shd w:val="clear" w:color="auto" w:fill="EEECE1"/>
          </w:tcPr>
          <w:p w14:paraId="15D3D16C" w14:textId="17DB4E93" w:rsidR="009F6542" w:rsidRPr="00202703" w:rsidRDefault="009F6542" w:rsidP="009F6542">
            <w:pPr>
              <w:spacing w:line="276" w:lineRule="auto"/>
              <w:jc w:val="both"/>
              <w:rPr>
                <w:sz w:val="22"/>
                <w:szCs w:val="22"/>
                <w:lang w:val="fr-FR"/>
              </w:rPr>
            </w:pPr>
            <w:r w:rsidRPr="00202703">
              <w:rPr>
                <w:sz w:val="22"/>
                <w:szCs w:val="22"/>
                <w:lang w:val="fr-FR"/>
              </w:rPr>
              <w:t>23</w:t>
            </w:r>
            <w:r>
              <w:rPr>
                <w:sz w:val="22"/>
                <w:szCs w:val="22"/>
                <w:lang w:val="fr-FR"/>
              </w:rPr>
              <w:t>%</w:t>
            </w:r>
          </w:p>
        </w:tc>
        <w:tc>
          <w:tcPr>
            <w:tcW w:w="1279" w:type="dxa"/>
            <w:shd w:val="clear" w:color="auto" w:fill="EEECE1"/>
            <w:vAlign w:val="center"/>
          </w:tcPr>
          <w:p w14:paraId="7A15E1D7"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68%</w:t>
            </w:r>
          </w:p>
        </w:tc>
        <w:tc>
          <w:tcPr>
            <w:tcW w:w="1559" w:type="dxa"/>
          </w:tcPr>
          <w:p w14:paraId="3485EB7E"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74%</w:t>
            </w:r>
          </w:p>
        </w:tc>
        <w:tc>
          <w:tcPr>
            <w:tcW w:w="1843" w:type="dxa"/>
          </w:tcPr>
          <w:p w14:paraId="10A81A51" w14:textId="758CF7EE" w:rsidR="009F6542" w:rsidRPr="00202703" w:rsidRDefault="00DB51FF" w:rsidP="009F6542">
            <w:pPr>
              <w:spacing w:line="276" w:lineRule="auto"/>
              <w:jc w:val="both"/>
              <w:rPr>
                <w:sz w:val="22"/>
                <w:szCs w:val="22"/>
                <w:lang w:val="fr-FR" w:eastAsia="en-US"/>
              </w:rPr>
            </w:pPr>
            <w:r w:rsidRPr="00202703">
              <w:rPr>
                <w:sz w:val="22"/>
                <w:szCs w:val="22"/>
                <w:lang w:val="fr-FR" w:eastAsia="en-US"/>
              </w:rPr>
              <w:t>74</w:t>
            </w:r>
            <w:r w:rsidR="00BB4A8C" w:rsidRPr="00202703">
              <w:rPr>
                <w:sz w:val="22"/>
                <w:szCs w:val="22"/>
                <w:lang w:val="fr-FR" w:eastAsia="en-US"/>
              </w:rPr>
              <w:t>%</w:t>
            </w:r>
            <w:r w:rsidR="00BB4A8C">
              <w:rPr>
                <w:sz w:val="22"/>
                <w:szCs w:val="22"/>
                <w:lang w:val="fr-FR" w:eastAsia="en-US"/>
              </w:rPr>
              <w:t>,</w:t>
            </w:r>
            <w:r>
              <w:rPr>
                <w:sz w:val="22"/>
                <w:szCs w:val="22"/>
                <w:lang w:val="fr-FR" w:eastAsia="en-US"/>
              </w:rPr>
              <w:t xml:space="preserve"> soit </w:t>
            </w:r>
            <w:r w:rsidRPr="00202703">
              <w:rPr>
                <w:sz w:val="22"/>
                <w:szCs w:val="22"/>
                <w:lang w:val="fr-FR" w:eastAsia="en-US"/>
              </w:rPr>
              <w:t>10</w:t>
            </w:r>
            <w:r>
              <w:rPr>
                <w:sz w:val="22"/>
                <w:szCs w:val="22"/>
                <w:lang w:val="fr-FR" w:eastAsia="en-US"/>
              </w:rPr>
              <w:t>8</w:t>
            </w:r>
            <w:r w:rsidRPr="00202703">
              <w:rPr>
                <w:sz w:val="22"/>
                <w:szCs w:val="22"/>
                <w:lang w:val="fr-FR" w:eastAsia="en-US"/>
              </w:rPr>
              <w:t xml:space="preserve">% </w:t>
            </w:r>
            <w:r>
              <w:rPr>
                <w:sz w:val="22"/>
                <w:szCs w:val="22"/>
                <w:lang w:val="fr-FR" w:eastAsia="en-US"/>
              </w:rPr>
              <w:t>de réalisation de l’indicateur</w:t>
            </w:r>
          </w:p>
        </w:tc>
        <w:tc>
          <w:tcPr>
            <w:tcW w:w="2977" w:type="dxa"/>
          </w:tcPr>
          <w:p w14:paraId="7D3A01D4" w14:textId="5440BE31" w:rsidR="009F6542" w:rsidRDefault="009F6542" w:rsidP="009F6542">
            <w:pPr>
              <w:spacing w:line="276" w:lineRule="auto"/>
              <w:jc w:val="both"/>
              <w:rPr>
                <w:sz w:val="22"/>
                <w:szCs w:val="22"/>
                <w:lang w:val="fr-FR" w:eastAsia="en-US"/>
              </w:rPr>
            </w:pPr>
          </w:p>
          <w:p w14:paraId="1C064B3A" w14:textId="3CD0AD26" w:rsidR="009F6542" w:rsidRPr="00202703" w:rsidRDefault="009F6542" w:rsidP="009F6542">
            <w:pPr>
              <w:spacing w:line="276" w:lineRule="auto"/>
              <w:jc w:val="both"/>
              <w:rPr>
                <w:sz w:val="22"/>
                <w:szCs w:val="22"/>
                <w:lang w:val="fr-FR" w:eastAsia="en-US"/>
              </w:rPr>
            </w:pPr>
            <w:r w:rsidRPr="009A7003">
              <w:rPr>
                <w:sz w:val="22"/>
                <w:szCs w:val="22"/>
                <w:lang w:val="fr-FR" w:eastAsia="en-US"/>
              </w:rPr>
              <w:t>A l’issue de l’étude de base, la cible a été sous-estimée</w:t>
            </w:r>
          </w:p>
        </w:tc>
      </w:tr>
      <w:tr w:rsidR="009F6542" w:rsidRPr="00BB4A8C" w14:paraId="2E43D835" w14:textId="77777777" w:rsidTr="00657D09">
        <w:trPr>
          <w:trHeight w:val="2553"/>
        </w:trPr>
        <w:tc>
          <w:tcPr>
            <w:tcW w:w="2976" w:type="dxa"/>
            <w:vMerge/>
            <w:shd w:val="clear" w:color="auto" w:fill="auto"/>
          </w:tcPr>
          <w:p w14:paraId="3C7627DB" w14:textId="77777777" w:rsidR="009F6542" w:rsidRPr="00202703" w:rsidRDefault="009F6542" w:rsidP="009F6542">
            <w:pPr>
              <w:spacing w:line="276" w:lineRule="auto"/>
              <w:jc w:val="both"/>
              <w:rPr>
                <w:sz w:val="22"/>
                <w:szCs w:val="22"/>
                <w:lang w:val="fr-FR" w:eastAsia="en-US"/>
              </w:rPr>
            </w:pPr>
          </w:p>
        </w:tc>
        <w:tc>
          <w:tcPr>
            <w:tcW w:w="1984" w:type="dxa"/>
            <w:shd w:val="clear" w:color="auto" w:fill="EEECE1"/>
            <w:vAlign w:val="center"/>
          </w:tcPr>
          <w:p w14:paraId="1BE3D666"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 de la population ayant affirmé que la mise en place de la police de proximité a contribué à l'amélioration de la sécurité locale (désagrégé par sexe et par âge) </w:t>
            </w:r>
          </w:p>
        </w:tc>
        <w:tc>
          <w:tcPr>
            <w:tcW w:w="1276" w:type="dxa"/>
            <w:shd w:val="clear" w:color="auto" w:fill="EEECE1"/>
          </w:tcPr>
          <w:p w14:paraId="73730D65" w14:textId="77777777" w:rsidR="009F6542" w:rsidRDefault="009F6542" w:rsidP="009F6542">
            <w:pPr>
              <w:spacing w:line="276" w:lineRule="auto"/>
              <w:jc w:val="both"/>
              <w:rPr>
                <w:sz w:val="22"/>
                <w:szCs w:val="22"/>
                <w:lang w:val="fr-FR"/>
              </w:rPr>
            </w:pPr>
          </w:p>
          <w:p w14:paraId="6325705C" w14:textId="77777777" w:rsidR="009F6542" w:rsidRDefault="009F6542" w:rsidP="009F6542">
            <w:pPr>
              <w:spacing w:line="276" w:lineRule="auto"/>
              <w:jc w:val="both"/>
              <w:rPr>
                <w:sz w:val="22"/>
                <w:szCs w:val="22"/>
                <w:lang w:val="fr-FR"/>
              </w:rPr>
            </w:pPr>
          </w:p>
          <w:p w14:paraId="1E0D0975" w14:textId="77777777" w:rsidR="009F6542" w:rsidRDefault="009F6542" w:rsidP="009F6542">
            <w:pPr>
              <w:spacing w:line="276" w:lineRule="auto"/>
              <w:jc w:val="both"/>
              <w:rPr>
                <w:sz w:val="22"/>
                <w:szCs w:val="22"/>
                <w:lang w:val="fr-FR"/>
              </w:rPr>
            </w:pPr>
          </w:p>
          <w:p w14:paraId="27F4BF6C" w14:textId="77777777" w:rsidR="009F6542" w:rsidRDefault="009F6542" w:rsidP="009F6542">
            <w:pPr>
              <w:spacing w:line="276" w:lineRule="auto"/>
              <w:jc w:val="both"/>
              <w:rPr>
                <w:sz w:val="22"/>
                <w:szCs w:val="22"/>
                <w:lang w:val="fr-FR"/>
              </w:rPr>
            </w:pPr>
          </w:p>
          <w:p w14:paraId="0EA4D8BB" w14:textId="77C6FD6A" w:rsidR="009F6542" w:rsidRPr="00202703" w:rsidRDefault="009F6542" w:rsidP="009F6542">
            <w:pPr>
              <w:spacing w:line="276" w:lineRule="auto"/>
              <w:jc w:val="both"/>
              <w:rPr>
                <w:sz w:val="22"/>
                <w:szCs w:val="22"/>
                <w:lang w:val="fr-FR"/>
              </w:rPr>
            </w:pPr>
            <w:r w:rsidRPr="00202703">
              <w:rPr>
                <w:sz w:val="22"/>
                <w:szCs w:val="22"/>
                <w:lang w:val="fr-FR"/>
              </w:rPr>
              <w:t>21,18</w:t>
            </w:r>
            <w:r>
              <w:rPr>
                <w:sz w:val="22"/>
                <w:szCs w:val="22"/>
                <w:lang w:val="fr-FR"/>
              </w:rPr>
              <w:t>%</w:t>
            </w:r>
          </w:p>
        </w:tc>
        <w:tc>
          <w:tcPr>
            <w:tcW w:w="1279" w:type="dxa"/>
            <w:shd w:val="clear" w:color="auto" w:fill="EEECE1"/>
            <w:vAlign w:val="center"/>
          </w:tcPr>
          <w:p w14:paraId="651B30F5"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63%</w:t>
            </w:r>
          </w:p>
        </w:tc>
        <w:tc>
          <w:tcPr>
            <w:tcW w:w="1559" w:type="dxa"/>
          </w:tcPr>
          <w:p w14:paraId="0434A52D" w14:textId="77777777" w:rsidR="009F6542" w:rsidRDefault="009F6542" w:rsidP="009F6542">
            <w:pPr>
              <w:spacing w:line="276" w:lineRule="auto"/>
              <w:jc w:val="both"/>
              <w:rPr>
                <w:sz w:val="22"/>
                <w:szCs w:val="22"/>
                <w:lang w:val="fr-FR" w:eastAsia="en-US"/>
              </w:rPr>
            </w:pPr>
          </w:p>
          <w:p w14:paraId="765473C8" w14:textId="77777777" w:rsidR="009F6542" w:rsidRDefault="009F6542" w:rsidP="009F6542">
            <w:pPr>
              <w:spacing w:line="276" w:lineRule="auto"/>
              <w:jc w:val="both"/>
              <w:rPr>
                <w:sz w:val="22"/>
                <w:szCs w:val="22"/>
                <w:lang w:val="fr-FR" w:eastAsia="en-US"/>
              </w:rPr>
            </w:pPr>
          </w:p>
          <w:p w14:paraId="21874888" w14:textId="77777777" w:rsidR="009F6542" w:rsidRDefault="009F6542" w:rsidP="009F6542">
            <w:pPr>
              <w:spacing w:line="276" w:lineRule="auto"/>
              <w:jc w:val="both"/>
              <w:rPr>
                <w:sz w:val="22"/>
                <w:szCs w:val="22"/>
                <w:lang w:val="fr-FR" w:eastAsia="en-US"/>
              </w:rPr>
            </w:pPr>
          </w:p>
          <w:p w14:paraId="33204533" w14:textId="77777777" w:rsidR="009F6542" w:rsidRDefault="009F6542" w:rsidP="009F6542">
            <w:pPr>
              <w:spacing w:line="276" w:lineRule="auto"/>
              <w:jc w:val="both"/>
              <w:rPr>
                <w:sz w:val="22"/>
                <w:szCs w:val="22"/>
                <w:lang w:val="fr-FR" w:eastAsia="en-US"/>
              </w:rPr>
            </w:pPr>
          </w:p>
          <w:p w14:paraId="5F321B97" w14:textId="514A86C0" w:rsidR="009F6542" w:rsidRPr="00202703" w:rsidRDefault="009F6542" w:rsidP="009F6542">
            <w:pPr>
              <w:spacing w:line="276" w:lineRule="auto"/>
              <w:jc w:val="both"/>
              <w:rPr>
                <w:sz w:val="22"/>
                <w:szCs w:val="22"/>
                <w:lang w:val="fr-FR" w:eastAsia="en-US"/>
              </w:rPr>
            </w:pPr>
            <w:r w:rsidRPr="00202703">
              <w:rPr>
                <w:sz w:val="22"/>
                <w:szCs w:val="22"/>
                <w:lang w:val="fr-FR" w:eastAsia="en-US"/>
              </w:rPr>
              <w:t>77%</w:t>
            </w:r>
          </w:p>
        </w:tc>
        <w:tc>
          <w:tcPr>
            <w:tcW w:w="1843" w:type="dxa"/>
          </w:tcPr>
          <w:p w14:paraId="205961F9" w14:textId="25274866" w:rsidR="009F6542" w:rsidRPr="00BB4A8C" w:rsidRDefault="00751B1F" w:rsidP="009F6542">
            <w:pPr>
              <w:spacing w:line="276" w:lineRule="auto"/>
              <w:jc w:val="both"/>
              <w:rPr>
                <w:sz w:val="22"/>
                <w:szCs w:val="22"/>
                <w:lang w:eastAsia="en-US"/>
              </w:rPr>
            </w:pPr>
            <w:r w:rsidRPr="00202703">
              <w:rPr>
                <w:sz w:val="22"/>
                <w:szCs w:val="22"/>
                <w:lang w:val="fr-FR" w:eastAsia="en-US"/>
              </w:rPr>
              <w:t>77%</w:t>
            </w:r>
            <w:r>
              <w:rPr>
                <w:sz w:val="22"/>
                <w:szCs w:val="22"/>
                <w:lang w:val="fr-FR" w:eastAsia="en-US"/>
              </w:rPr>
              <w:t xml:space="preserve">, soit </w:t>
            </w:r>
            <w:r w:rsidRPr="00202703">
              <w:rPr>
                <w:sz w:val="22"/>
                <w:szCs w:val="22"/>
                <w:lang w:val="fr-FR" w:eastAsia="en-US"/>
              </w:rPr>
              <w:t>1</w:t>
            </w:r>
            <w:r>
              <w:rPr>
                <w:sz w:val="22"/>
                <w:szCs w:val="22"/>
                <w:lang w:val="fr-FR" w:eastAsia="en-US"/>
              </w:rPr>
              <w:t>22</w:t>
            </w:r>
            <w:r w:rsidRPr="00202703">
              <w:rPr>
                <w:sz w:val="22"/>
                <w:szCs w:val="22"/>
                <w:lang w:val="fr-FR" w:eastAsia="en-US"/>
              </w:rPr>
              <w:t xml:space="preserve">% </w:t>
            </w:r>
            <w:r>
              <w:rPr>
                <w:sz w:val="22"/>
                <w:szCs w:val="22"/>
                <w:lang w:val="fr-FR" w:eastAsia="en-US"/>
              </w:rPr>
              <w:t>de réalisation de l’indicateur</w:t>
            </w:r>
          </w:p>
        </w:tc>
        <w:tc>
          <w:tcPr>
            <w:tcW w:w="2977" w:type="dxa"/>
          </w:tcPr>
          <w:p w14:paraId="63A758BF" w14:textId="502CB76A" w:rsidR="009F6542" w:rsidRDefault="009F6542" w:rsidP="009F6542">
            <w:pPr>
              <w:spacing w:line="276" w:lineRule="auto"/>
              <w:jc w:val="both"/>
              <w:rPr>
                <w:sz w:val="22"/>
                <w:szCs w:val="22"/>
                <w:lang w:val="fr-FR" w:eastAsia="en-US"/>
              </w:rPr>
            </w:pPr>
            <w:r w:rsidRPr="009A7003">
              <w:rPr>
                <w:sz w:val="22"/>
                <w:szCs w:val="22"/>
                <w:lang w:val="fr-FR" w:eastAsia="en-US"/>
              </w:rPr>
              <w:t>A l’issue de l’étude de base, la cible a été sous-estimée</w:t>
            </w:r>
          </w:p>
          <w:p w14:paraId="0CAC55EB" w14:textId="77777777" w:rsidR="00C15B0D" w:rsidRDefault="00C15B0D" w:rsidP="009F6542">
            <w:pPr>
              <w:spacing w:line="276" w:lineRule="auto"/>
              <w:jc w:val="both"/>
              <w:rPr>
                <w:sz w:val="22"/>
                <w:szCs w:val="22"/>
                <w:lang w:val="fr-FR" w:eastAsia="en-US"/>
              </w:rPr>
            </w:pPr>
          </w:p>
          <w:p w14:paraId="781602B6" w14:textId="77777777" w:rsidR="00C15B0D" w:rsidRDefault="00C15B0D" w:rsidP="009F6542">
            <w:pPr>
              <w:spacing w:line="276" w:lineRule="auto"/>
              <w:jc w:val="both"/>
              <w:rPr>
                <w:sz w:val="22"/>
                <w:szCs w:val="22"/>
                <w:lang w:val="fr-FR" w:eastAsia="en-US"/>
              </w:rPr>
            </w:pPr>
          </w:p>
          <w:p w14:paraId="1185FB87" w14:textId="77777777" w:rsidR="00C15B0D" w:rsidRDefault="00C15B0D" w:rsidP="009F6542">
            <w:pPr>
              <w:spacing w:line="276" w:lineRule="auto"/>
              <w:jc w:val="both"/>
              <w:rPr>
                <w:sz w:val="22"/>
                <w:szCs w:val="22"/>
                <w:lang w:val="fr-FR" w:eastAsia="en-US"/>
              </w:rPr>
            </w:pPr>
          </w:p>
          <w:p w14:paraId="20105970" w14:textId="3ABA20B8" w:rsidR="00C15B0D" w:rsidRPr="00202703" w:rsidRDefault="00C15B0D" w:rsidP="009F6542">
            <w:pPr>
              <w:spacing w:line="276" w:lineRule="auto"/>
              <w:jc w:val="both"/>
              <w:rPr>
                <w:sz w:val="22"/>
                <w:szCs w:val="22"/>
                <w:lang w:val="fr-FR" w:eastAsia="en-US"/>
              </w:rPr>
            </w:pPr>
          </w:p>
        </w:tc>
      </w:tr>
      <w:tr w:rsidR="009F6542" w:rsidRPr="00202703" w14:paraId="51AFB08E" w14:textId="77777777" w:rsidTr="00657D09">
        <w:trPr>
          <w:trHeight w:val="210"/>
        </w:trPr>
        <w:tc>
          <w:tcPr>
            <w:tcW w:w="2976" w:type="dxa"/>
            <w:vMerge/>
            <w:shd w:val="clear" w:color="auto" w:fill="auto"/>
          </w:tcPr>
          <w:p w14:paraId="7BCA3DC5" w14:textId="77777777" w:rsidR="009F6542" w:rsidRPr="00202703" w:rsidRDefault="009F6542" w:rsidP="009F6542">
            <w:pPr>
              <w:spacing w:line="276" w:lineRule="auto"/>
              <w:jc w:val="both"/>
              <w:rPr>
                <w:sz w:val="22"/>
                <w:szCs w:val="22"/>
                <w:lang w:val="fr-FR" w:eastAsia="en-US"/>
              </w:rPr>
            </w:pPr>
          </w:p>
        </w:tc>
        <w:tc>
          <w:tcPr>
            <w:tcW w:w="1984" w:type="dxa"/>
            <w:vMerge w:val="restart"/>
            <w:shd w:val="clear" w:color="auto" w:fill="EEECE1"/>
            <w:vAlign w:val="center"/>
          </w:tcPr>
          <w:p w14:paraId="18B0AA93"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 de réduction du taux de criminalité dans les zones </w:t>
            </w:r>
            <w:r w:rsidRPr="00202703">
              <w:rPr>
                <w:sz w:val="22"/>
                <w:szCs w:val="22"/>
                <w:lang w:val="fr-FR" w:eastAsia="en-US"/>
              </w:rPr>
              <w:lastRenderedPageBreak/>
              <w:t>cibles (désagrégé par type de crime)</w:t>
            </w:r>
          </w:p>
        </w:tc>
        <w:tc>
          <w:tcPr>
            <w:tcW w:w="1276" w:type="dxa"/>
            <w:shd w:val="clear" w:color="auto" w:fill="EEECE1"/>
          </w:tcPr>
          <w:p w14:paraId="4C8C948E" w14:textId="59EC106E" w:rsidR="009F6542" w:rsidRPr="00202703" w:rsidRDefault="009F6542" w:rsidP="009F6542">
            <w:pPr>
              <w:spacing w:line="276" w:lineRule="auto"/>
              <w:jc w:val="both"/>
              <w:rPr>
                <w:sz w:val="22"/>
                <w:szCs w:val="22"/>
                <w:lang w:val="fr-FR"/>
              </w:rPr>
            </w:pPr>
            <w:r w:rsidRPr="00202703">
              <w:rPr>
                <w:sz w:val="22"/>
                <w:szCs w:val="22"/>
                <w:lang w:val="fr-FR"/>
              </w:rPr>
              <w:lastRenderedPageBreak/>
              <w:t>79,60</w:t>
            </w:r>
            <w:r>
              <w:rPr>
                <w:sz w:val="22"/>
                <w:szCs w:val="22"/>
                <w:lang w:val="fr-FR"/>
              </w:rPr>
              <w:t>%</w:t>
            </w:r>
          </w:p>
        </w:tc>
        <w:tc>
          <w:tcPr>
            <w:tcW w:w="1279" w:type="dxa"/>
            <w:shd w:val="clear" w:color="auto" w:fill="EEECE1"/>
            <w:vAlign w:val="center"/>
          </w:tcPr>
          <w:p w14:paraId="482BEC8B" w14:textId="77777777" w:rsidR="009F6542" w:rsidRPr="00202703" w:rsidRDefault="009F6542" w:rsidP="009F6542">
            <w:pPr>
              <w:spacing w:line="276" w:lineRule="auto"/>
              <w:jc w:val="both"/>
              <w:rPr>
                <w:sz w:val="22"/>
                <w:szCs w:val="22"/>
                <w:lang w:val="fr-FR" w:eastAsia="en-US"/>
              </w:rPr>
            </w:pPr>
          </w:p>
        </w:tc>
        <w:tc>
          <w:tcPr>
            <w:tcW w:w="1559" w:type="dxa"/>
            <w:vMerge w:val="restart"/>
          </w:tcPr>
          <w:p w14:paraId="581E6BFB" w14:textId="77777777" w:rsidR="009F6542" w:rsidRPr="00202703" w:rsidRDefault="009F6542" w:rsidP="009F6542">
            <w:pPr>
              <w:spacing w:line="276" w:lineRule="auto"/>
              <w:jc w:val="both"/>
              <w:rPr>
                <w:sz w:val="22"/>
                <w:szCs w:val="22"/>
                <w:lang w:val="fr-FR"/>
              </w:rPr>
            </w:pPr>
            <w:r w:rsidRPr="00202703">
              <w:rPr>
                <w:sz w:val="22"/>
                <w:szCs w:val="22"/>
                <w:lang w:val="fr-FR"/>
              </w:rPr>
              <w:t>Vols de Bien et Cambriolage : 83%</w:t>
            </w:r>
          </w:p>
          <w:p w14:paraId="22217412" w14:textId="0A818A6F" w:rsidR="009F6542" w:rsidRPr="00202703" w:rsidRDefault="009F6542" w:rsidP="009F6542">
            <w:pPr>
              <w:spacing w:line="276" w:lineRule="auto"/>
              <w:jc w:val="both"/>
              <w:rPr>
                <w:sz w:val="22"/>
                <w:szCs w:val="22"/>
                <w:lang w:val="fr-FR"/>
              </w:rPr>
            </w:pPr>
            <w:r w:rsidRPr="00202703">
              <w:rPr>
                <w:sz w:val="22"/>
                <w:szCs w:val="22"/>
                <w:lang w:val="fr-FR"/>
              </w:rPr>
              <w:t>Viol : 75%</w:t>
            </w:r>
          </w:p>
          <w:p w14:paraId="786EA1FD" w14:textId="4D9834D8" w:rsidR="009F6542" w:rsidRPr="00202703" w:rsidRDefault="009F6542" w:rsidP="009F6542">
            <w:pPr>
              <w:spacing w:line="276" w:lineRule="auto"/>
              <w:jc w:val="both"/>
              <w:rPr>
                <w:sz w:val="22"/>
                <w:szCs w:val="22"/>
                <w:lang w:val="fr-FR"/>
              </w:rPr>
            </w:pPr>
            <w:r w:rsidRPr="00202703">
              <w:rPr>
                <w:sz w:val="22"/>
                <w:szCs w:val="22"/>
                <w:lang w:val="fr-FR"/>
              </w:rPr>
              <w:lastRenderedPageBreak/>
              <w:t>Agression physique : 83%</w:t>
            </w:r>
          </w:p>
          <w:p w14:paraId="474963BE" w14:textId="77777777" w:rsidR="009F6542" w:rsidRPr="00202703" w:rsidRDefault="009F6542" w:rsidP="009F6542">
            <w:pPr>
              <w:spacing w:line="276" w:lineRule="auto"/>
              <w:jc w:val="both"/>
              <w:rPr>
                <w:sz w:val="22"/>
                <w:szCs w:val="22"/>
                <w:lang w:val="fr-FR"/>
              </w:rPr>
            </w:pPr>
            <w:r w:rsidRPr="00202703">
              <w:rPr>
                <w:sz w:val="22"/>
                <w:szCs w:val="22"/>
                <w:lang w:val="fr-FR"/>
              </w:rPr>
              <w:t>Exécution sommaire : 100%</w:t>
            </w:r>
          </w:p>
          <w:p w14:paraId="65843B2D" w14:textId="5F43EA1F" w:rsidR="009F6542" w:rsidRPr="00305E81" w:rsidRDefault="009F6542" w:rsidP="009F6542">
            <w:pPr>
              <w:spacing w:line="276" w:lineRule="auto"/>
              <w:jc w:val="both"/>
              <w:rPr>
                <w:sz w:val="22"/>
                <w:szCs w:val="22"/>
                <w:lang w:val="fr-FR"/>
              </w:rPr>
            </w:pPr>
            <w:r w:rsidRPr="00305E81">
              <w:rPr>
                <w:sz w:val="22"/>
                <w:szCs w:val="22"/>
                <w:lang w:val="fr-FR"/>
              </w:rPr>
              <w:t>Conflit armée intercommunautaire : 100%</w:t>
            </w:r>
          </w:p>
          <w:p w14:paraId="1CDF0E4F" w14:textId="77777777" w:rsidR="009F6542" w:rsidRPr="00202703" w:rsidRDefault="009F6542" w:rsidP="009F6542">
            <w:pPr>
              <w:spacing w:line="276" w:lineRule="auto"/>
              <w:jc w:val="both"/>
              <w:rPr>
                <w:sz w:val="22"/>
                <w:szCs w:val="22"/>
              </w:rPr>
            </w:pPr>
            <w:r w:rsidRPr="00202703">
              <w:rPr>
                <w:sz w:val="22"/>
                <w:szCs w:val="22"/>
              </w:rPr>
              <w:t>% Moyen: 88%</w:t>
            </w:r>
          </w:p>
          <w:p w14:paraId="3434A1D3" w14:textId="77777777" w:rsidR="009F6542" w:rsidRPr="00202703" w:rsidRDefault="009F6542" w:rsidP="009F6542">
            <w:pPr>
              <w:spacing w:line="276" w:lineRule="auto"/>
              <w:jc w:val="both"/>
              <w:rPr>
                <w:sz w:val="22"/>
                <w:szCs w:val="22"/>
                <w:lang w:val="fr-FR"/>
              </w:rPr>
            </w:pPr>
          </w:p>
          <w:p w14:paraId="6230ED2C" w14:textId="77777777" w:rsidR="009F6542" w:rsidRPr="00202703" w:rsidRDefault="009F6542" w:rsidP="009F6542">
            <w:pPr>
              <w:spacing w:line="276" w:lineRule="auto"/>
              <w:jc w:val="both"/>
              <w:rPr>
                <w:sz w:val="22"/>
                <w:szCs w:val="22"/>
                <w:lang w:val="fr-FR" w:eastAsia="en-US"/>
              </w:rPr>
            </w:pPr>
          </w:p>
        </w:tc>
        <w:tc>
          <w:tcPr>
            <w:tcW w:w="1843" w:type="dxa"/>
            <w:vMerge w:val="restart"/>
          </w:tcPr>
          <w:p w14:paraId="1A0F0FA9" w14:textId="77777777" w:rsidR="00610B6A" w:rsidRPr="00202703" w:rsidRDefault="00610B6A" w:rsidP="00610B6A">
            <w:pPr>
              <w:spacing w:line="276" w:lineRule="auto"/>
              <w:jc w:val="both"/>
              <w:rPr>
                <w:sz w:val="22"/>
                <w:szCs w:val="22"/>
                <w:lang w:val="fr-FR"/>
              </w:rPr>
            </w:pPr>
            <w:r w:rsidRPr="00CA465A">
              <w:rPr>
                <w:sz w:val="22"/>
                <w:szCs w:val="22"/>
                <w:lang w:val="fr-FR"/>
              </w:rPr>
              <w:lastRenderedPageBreak/>
              <w:t xml:space="preserve">88%, soit </w:t>
            </w:r>
            <w:r w:rsidRPr="00202703">
              <w:rPr>
                <w:sz w:val="22"/>
                <w:szCs w:val="22"/>
                <w:lang w:val="fr-FR"/>
              </w:rPr>
              <w:t>Vols de Bien et Cambriolage : 83%</w:t>
            </w:r>
            <w:r>
              <w:rPr>
                <w:sz w:val="22"/>
                <w:szCs w:val="22"/>
                <w:lang w:val="fr-FR"/>
              </w:rPr>
              <w:t xml:space="preserve">, </w:t>
            </w:r>
          </w:p>
          <w:p w14:paraId="4ED885EF" w14:textId="77777777" w:rsidR="00610B6A" w:rsidRPr="00202703" w:rsidRDefault="00610B6A" w:rsidP="00610B6A">
            <w:pPr>
              <w:spacing w:line="276" w:lineRule="auto"/>
              <w:jc w:val="both"/>
              <w:rPr>
                <w:sz w:val="22"/>
                <w:szCs w:val="22"/>
                <w:lang w:val="fr-FR"/>
              </w:rPr>
            </w:pPr>
            <w:r w:rsidRPr="00202703">
              <w:rPr>
                <w:sz w:val="22"/>
                <w:szCs w:val="22"/>
                <w:lang w:val="fr-FR"/>
              </w:rPr>
              <w:lastRenderedPageBreak/>
              <w:t>Viol : 75%</w:t>
            </w:r>
          </w:p>
          <w:p w14:paraId="6396FCDC" w14:textId="77777777" w:rsidR="00610B6A" w:rsidRPr="00202703" w:rsidRDefault="00610B6A" w:rsidP="00610B6A">
            <w:pPr>
              <w:spacing w:line="276" w:lineRule="auto"/>
              <w:jc w:val="both"/>
              <w:rPr>
                <w:sz w:val="22"/>
                <w:szCs w:val="22"/>
                <w:lang w:val="fr-FR"/>
              </w:rPr>
            </w:pPr>
            <w:r w:rsidRPr="00202703">
              <w:rPr>
                <w:sz w:val="22"/>
                <w:szCs w:val="22"/>
                <w:lang w:val="fr-FR"/>
              </w:rPr>
              <w:t>Agression physique : 83%</w:t>
            </w:r>
          </w:p>
          <w:p w14:paraId="326F785D" w14:textId="77777777" w:rsidR="00610B6A" w:rsidRPr="00202703" w:rsidRDefault="00610B6A" w:rsidP="00610B6A">
            <w:pPr>
              <w:spacing w:line="276" w:lineRule="auto"/>
              <w:jc w:val="both"/>
              <w:rPr>
                <w:sz w:val="22"/>
                <w:szCs w:val="22"/>
                <w:lang w:val="fr-FR"/>
              </w:rPr>
            </w:pPr>
            <w:r w:rsidRPr="00202703">
              <w:rPr>
                <w:sz w:val="22"/>
                <w:szCs w:val="22"/>
                <w:lang w:val="fr-FR"/>
              </w:rPr>
              <w:t>Exécution sommaire : 100%</w:t>
            </w:r>
          </w:p>
          <w:p w14:paraId="79694599" w14:textId="77777777" w:rsidR="00610B6A" w:rsidRPr="00305E81" w:rsidRDefault="00610B6A" w:rsidP="00610B6A">
            <w:pPr>
              <w:spacing w:line="276" w:lineRule="auto"/>
              <w:jc w:val="both"/>
              <w:rPr>
                <w:sz w:val="22"/>
                <w:szCs w:val="22"/>
                <w:lang w:val="fr-FR"/>
              </w:rPr>
            </w:pPr>
            <w:r w:rsidRPr="00305E81">
              <w:rPr>
                <w:sz w:val="22"/>
                <w:szCs w:val="22"/>
                <w:lang w:val="fr-FR"/>
              </w:rPr>
              <w:t>Conflit armée intercommunautaire : 100%</w:t>
            </w:r>
          </w:p>
          <w:p w14:paraId="0A07A2CE" w14:textId="5E855099" w:rsidR="009F6542" w:rsidRPr="00202703" w:rsidRDefault="009F6542" w:rsidP="009F6542">
            <w:pPr>
              <w:spacing w:line="276" w:lineRule="auto"/>
              <w:jc w:val="both"/>
              <w:rPr>
                <w:sz w:val="22"/>
                <w:szCs w:val="22"/>
                <w:lang w:val="fr-FR" w:eastAsia="en-US"/>
              </w:rPr>
            </w:pPr>
          </w:p>
        </w:tc>
        <w:tc>
          <w:tcPr>
            <w:tcW w:w="2977" w:type="dxa"/>
            <w:vMerge w:val="restart"/>
          </w:tcPr>
          <w:p w14:paraId="61FD68F0" w14:textId="77777777" w:rsidR="009F6542" w:rsidRPr="00202703" w:rsidRDefault="009F6542" w:rsidP="009F6542">
            <w:pPr>
              <w:spacing w:line="276" w:lineRule="auto"/>
              <w:jc w:val="both"/>
              <w:rPr>
                <w:sz w:val="22"/>
                <w:szCs w:val="22"/>
                <w:lang w:val="fr-FR" w:eastAsia="en-US"/>
              </w:rPr>
            </w:pPr>
          </w:p>
        </w:tc>
      </w:tr>
      <w:tr w:rsidR="009F6542" w:rsidRPr="00202703" w14:paraId="64F8C658" w14:textId="77777777" w:rsidTr="00657D09">
        <w:trPr>
          <w:trHeight w:val="291"/>
        </w:trPr>
        <w:tc>
          <w:tcPr>
            <w:tcW w:w="2976" w:type="dxa"/>
            <w:vMerge/>
            <w:shd w:val="clear" w:color="auto" w:fill="auto"/>
          </w:tcPr>
          <w:p w14:paraId="5C150A9B" w14:textId="77777777" w:rsidR="009F6542" w:rsidRPr="00202703" w:rsidRDefault="009F6542" w:rsidP="009F6542">
            <w:pPr>
              <w:spacing w:line="276" w:lineRule="auto"/>
              <w:jc w:val="both"/>
              <w:rPr>
                <w:sz w:val="22"/>
                <w:szCs w:val="22"/>
                <w:lang w:val="fr-FR" w:eastAsia="en-US"/>
              </w:rPr>
            </w:pPr>
          </w:p>
        </w:tc>
        <w:tc>
          <w:tcPr>
            <w:tcW w:w="1984" w:type="dxa"/>
            <w:vMerge/>
            <w:shd w:val="clear" w:color="auto" w:fill="EEECE1"/>
            <w:vAlign w:val="center"/>
          </w:tcPr>
          <w:p w14:paraId="2E44C00A" w14:textId="77777777" w:rsidR="009F6542" w:rsidRPr="00202703" w:rsidRDefault="009F6542" w:rsidP="009F6542">
            <w:pPr>
              <w:spacing w:line="276" w:lineRule="auto"/>
              <w:jc w:val="both"/>
              <w:rPr>
                <w:sz w:val="22"/>
                <w:szCs w:val="22"/>
                <w:lang w:val="fr-FR" w:eastAsia="en-US"/>
              </w:rPr>
            </w:pPr>
          </w:p>
        </w:tc>
        <w:tc>
          <w:tcPr>
            <w:tcW w:w="1276" w:type="dxa"/>
            <w:shd w:val="clear" w:color="auto" w:fill="EEECE1"/>
          </w:tcPr>
          <w:p w14:paraId="1E881068" w14:textId="77777777" w:rsidR="009F6542" w:rsidRPr="00202703" w:rsidRDefault="009F6542" w:rsidP="009F6542">
            <w:pPr>
              <w:spacing w:line="276" w:lineRule="auto"/>
              <w:jc w:val="both"/>
              <w:rPr>
                <w:sz w:val="22"/>
                <w:szCs w:val="22"/>
                <w:lang w:val="fr-FR" w:eastAsia="en-US"/>
              </w:rPr>
            </w:pPr>
          </w:p>
        </w:tc>
        <w:tc>
          <w:tcPr>
            <w:tcW w:w="1279" w:type="dxa"/>
            <w:tcBorders>
              <w:left w:val="single" w:sz="4" w:space="0" w:color="auto"/>
            </w:tcBorders>
            <w:shd w:val="clear" w:color="auto" w:fill="EEECE1"/>
            <w:vAlign w:val="center"/>
          </w:tcPr>
          <w:p w14:paraId="64EA3846" w14:textId="77777777" w:rsidR="009F6542" w:rsidRPr="00202703" w:rsidRDefault="009F6542" w:rsidP="009F6542">
            <w:pPr>
              <w:spacing w:line="276" w:lineRule="auto"/>
              <w:jc w:val="both"/>
              <w:rPr>
                <w:sz w:val="22"/>
                <w:szCs w:val="22"/>
                <w:lang w:val="fr-FR" w:eastAsia="en-US"/>
              </w:rPr>
            </w:pPr>
          </w:p>
        </w:tc>
        <w:tc>
          <w:tcPr>
            <w:tcW w:w="1559" w:type="dxa"/>
            <w:vMerge/>
          </w:tcPr>
          <w:p w14:paraId="087DD51C" w14:textId="77777777" w:rsidR="009F6542" w:rsidRPr="00202703" w:rsidRDefault="009F6542" w:rsidP="009F6542">
            <w:pPr>
              <w:spacing w:line="276" w:lineRule="auto"/>
              <w:jc w:val="both"/>
              <w:rPr>
                <w:sz w:val="22"/>
                <w:szCs w:val="22"/>
                <w:lang w:val="fr-FR" w:eastAsia="en-US"/>
              </w:rPr>
            </w:pPr>
          </w:p>
        </w:tc>
        <w:tc>
          <w:tcPr>
            <w:tcW w:w="1843" w:type="dxa"/>
            <w:vMerge/>
          </w:tcPr>
          <w:p w14:paraId="5E655A6D" w14:textId="77777777" w:rsidR="009F6542" w:rsidRPr="00202703" w:rsidRDefault="009F6542" w:rsidP="009F6542">
            <w:pPr>
              <w:spacing w:line="276" w:lineRule="auto"/>
              <w:jc w:val="both"/>
              <w:rPr>
                <w:sz w:val="22"/>
                <w:szCs w:val="22"/>
                <w:lang w:val="fr-FR" w:eastAsia="en-US"/>
              </w:rPr>
            </w:pPr>
          </w:p>
        </w:tc>
        <w:tc>
          <w:tcPr>
            <w:tcW w:w="2977" w:type="dxa"/>
            <w:vMerge/>
          </w:tcPr>
          <w:p w14:paraId="714AFDD5" w14:textId="77777777" w:rsidR="009F6542" w:rsidRPr="00202703" w:rsidRDefault="009F6542" w:rsidP="009F6542">
            <w:pPr>
              <w:spacing w:line="276" w:lineRule="auto"/>
              <w:jc w:val="both"/>
              <w:rPr>
                <w:sz w:val="22"/>
                <w:szCs w:val="22"/>
                <w:lang w:val="fr-FR" w:eastAsia="en-US"/>
              </w:rPr>
            </w:pPr>
          </w:p>
        </w:tc>
      </w:tr>
      <w:tr w:rsidR="009F6542" w:rsidRPr="00202703" w14:paraId="117124D7" w14:textId="77777777" w:rsidTr="00657D09">
        <w:trPr>
          <w:trHeight w:val="422"/>
        </w:trPr>
        <w:tc>
          <w:tcPr>
            <w:tcW w:w="2976" w:type="dxa"/>
            <w:vMerge/>
            <w:shd w:val="clear" w:color="auto" w:fill="auto"/>
          </w:tcPr>
          <w:p w14:paraId="36DE0273" w14:textId="77777777" w:rsidR="009F6542" w:rsidRPr="00202703" w:rsidRDefault="009F6542" w:rsidP="009F6542">
            <w:pPr>
              <w:spacing w:line="276" w:lineRule="auto"/>
              <w:jc w:val="both"/>
              <w:rPr>
                <w:sz w:val="22"/>
                <w:szCs w:val="22"/>
                <w:lang w:val="fr-FR" w:eastAsia="en-US"/>
              </w:rPr>
            </w:pPr>
          </w:p>
        </w:tc>
        <w:tc>
          <w:tcPr>
            <w:tcW w:w="1984" w:type="dxa"/>
            <w:vMerge/>
            <w:shd w:val="clear" w:color="auto" w:fill="EEECE1"/>
            <w:vAlign w:val="center"/>
          </w:tcPr>
          <w:p w14:paraId="7E10BF81" w14:textId="77777777" w:rsidR="009F6542" w:rsidRPr="00202703" w:rsidRDefault="009F6542" w:rsidP="009F6542">
            <w:pPr>
              <w:spacing w:line="276" w:lineRule="auto"/>
              <w:jc w:val="both"/>
              <w:rPr>
                <w:sz w:val="22"/>
                <w:szCs w:val="22"/>
                <w:lang w:val="fr-FR" w:eastAsia="en-US"/>
              </w:rPr>
            </w:pPr>
          </w:p>
        </w:tc>
        <w:tc>
          <w:tcPr>
            <w:tcW w:w="1276" w:type="dxa"/>
            <w:shd w:val="clear" w:color="auto" w:fill="EEECE1"/>
          </w:tcPr>
          <w:p w14:paraId="638FADE0" w14:textId="40CB2894" w:rsidR="009F6542" w:rsidRPr="00202703" w:rsidRDefault="009F6542" w:rsidP="009F6542">
            <w:pPr>
              <w:spacing w:line="276" w:lineRule="auto"/>
              <w:jc w:val="both"/>
              <w:rPr>
                <w:sz w:val="22"/>
                <w:szCs w:val="22"/>
                <w:lang w:val="fr-FR" w:eastAsia="en-US"/>
              </w:rPr>
            </w:pPr>
          </w:p>
        </w:tc>
        <w:tc>
          <w:tcPr>
            <w:tcW w:w="1279" w:type="dxa"/>
            <w:tcBorders>
              <w:left w:val="single" w:sz="4" w:space="0" w:color="auto"/>
            </w:tcBorders>
            <w:shd w:val="clear" w:color="auto" w:fill="EEECE1"/>
            <w:vAlign w:val="center"/>
          </w:tcPr>
          <w:p w14:paraId="1A0E4783" w14:textId="77777777" w:rsidR="009F6542" w:rsidRPr="00202703" w:rsidRDefault="009F6542" w:rsidP="009F6542">
            <w:pPr>
              <w:spacing w:line="276" w:lineRule="auto"/>
              <w:ind w:left="657"/>
              <w:jc w:val="both"/>
              <w:rPr>
                <w:sz w:val="22"/>
                <w:szCs w:val="22"/>
                <w:lang w:val="fr-FR" w:eastAsia="en-US"/>
              </w:rPr>
            </w:pPr>
            <w:r w:rsidRPr="00202703">
              <w:rPr>
                <w:sz w:val="22"/>
                <w:szCs w:val="22"/>
                <w:lang w:val="fr-FR" w:eastAsia="en-US"/>
              </w:rPr>
              <w:t>90%</w:t>
            </w:r>
          </w:p>
        </w:tc>
        <w:tc>
          <w:tcPr>
            <w:tcW w:w="1559" w:type="dxa"/>
            <w:vMerge/>
          </w:tcPr>
          <w:p w14:paraId="30DA3DF7" w14:textId="77777777" w:rsidR="009F6542" w:rsidRPr="00202703" w:rsidRDefault="009F6542" w:rsidP="009F6542">
            <w:pPr>
              <w:spacing w:line="276" w:lineRule="auto"/>
              <w:jc w:val="both"/>
              <w:rPr>
                <w:sz w:val="22"/>
                <w:szCs w:val="22"/>
                <w:lang w:val="fr-FR" w:eastAsia="en-US"/>
              </w:rPr>
            </w:pPr>
          </w:p>
        </w:tc>
        <w:tc>
          <w:tcPr>
            <w:tcW w:w="1843" w:type="dxa"/>
            <w:vMerge/>
          </w:tcPr>
          <w:p w14:paraId="3F87EA3F" w14:textId="77777777" w:rsidR="009F6542" w:rsidRPr="00202703" w:rsidRDefault="009F6542" w:rsidP="009F6542">
            <w:pPr>
              <w:spacing w:line="276" w:lineRule="auto"/>
              <w:jc w:val="both"/>
              <w:rPr>
                <w:sz w:val="22"/>
                <w:szCs w:val="22"/>
                <w:lang w:val="fr-FR" w:eastAsia="en-US"/>
              </w:rPr>
            </w:pPr>
          </w:p>
        </w:tc>
        <w:tc>
          <w:tcPr>
            <w:tcW w:w="2977" w:type="dxa"/>
            <w:vMerge/>
          </w:tcPr>
          <w:p w14:paraId="5C325198" w14:textId="77777777" w:rsidR="009F6542" w:rsidRPr="00202703" w:rsidRDefault="009F6542" w:rsidP="009F6542">
            <w:pPr>
              <w:spacing w:line="276" w:lineRule="auto"/>
              <w:jc w:val="both"/>
              <w:rPr>
                <w:sz w:val="22"/>
                <w:szCs w:val="22"/>
                <w:lang w:val="fr-FR" w:eastAsia="en-US"/>
              </w:rPr>
            </w:pPr>
          </w:p>
        </w:tc>
      </w:tr>
      <w:tr w:rsidR="009F6542" w:rsidRPr="00BB4A8C" w14:paraId="6C892665" w14:textId="77777777" w:rsidTr="00657D09">
        <w:trPr>
          <w:trHeight w:val="422"/>
        </w:trPr>
        <w:tc>
          <w:tcPr>
            <w:tcW w:w="2976" w:type="dxa"/>
            <w:vMerge w:val="restart"/>
            <w:shd w:val="clear" w:color="auto" w:fill="auto"/>
          </w:tcPr>
          <w:p w14:paraId="3C9EFFCE"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Produit 1.2: Des mécanismes de redevabilité interne et externe sont opérationnels pour améliorer la qualité des services de sécurité envers les populations</w:t>
            </w:r>
          </w:p>
        </w:tc>
        <w:tc>
          <w:tcPr>
            <w:tcW w:w="1984" w:type="dxa"/>
            <w:shd w:val="clear" w:color="auto" w:fill="EEECE1"/>
            <w:vAlign w:val="center"/>
          </w:tcPr>
          <w:p w14:paraId="3AC8686A"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Nombre de séances de discussion sur le travail de la police organisés devant les communautés </w:t>
            </w:r>
          </w:p>
        </w:tc>
        <w:tc>
          <w:tcPr>
            <w:tcW w:w="1276" w:type="dxa"/>
            <w:shd w:val="clear" w:color="auto" w:fill="EEECE1"/>
          </w:tcPr>
          <w:p w14:paraId="355A7789" w14:textId="4CE0941A" w:rsidR="009F6542" w:rsidRPr="00202703" w:rsidRDefault="009F6542" w:rsidP="009F6542">
            <w:pPr>
              <w:jc w:val="both"/>
              <w:rPr>
                <w:sz w:val="22"/>
                <w:szCs w:val="22"/>
                <w:lang w:val="fr-FR"/>
              </w:rPr>
            </w:pPr>
            <w:r>
              <w:rPr>
                <w:sz w:val="22"/>
                <w:szCs w:val="22"/>
                <w:lang w:val="fr-FR"/>
              </w:rPr>
              <w:t>00</w:t>
            </w:r>
          </w:p>
        </w:tc>
        <w:tc>
          <w:tcPr>
            <w:tcW w:w="1279" w:type="dxa"/>
            <w:tcBorders>
              <w:left w:val="single" w:sz="4" w:space="0" w:color="auto"/>
            </w:tcBorders>
            <w:shd w:val="clear" w:color="auto" w:fill="EEECE1"/>
            <w:vAlign w:val="center"/>
          </w:tcPr>
          <w:p w14:paraId="6AA8921E" w14:textId="5E9E7738" w:rsidR="009F6542" w:rsidRPr="00202703" w:rsidRDefault="009F6542" w:rsidP="009F6542">
            <w:pPr>
              <w:spacing w:line="276" w:lineRule="auto"/>
              <w:jc w:val="both"/>
              <w:rPr>
                <w:sz w:val="22"/>
                <w:szCs w:val="22"/>
                <w:lang w:val="fr-FR" w:eastAsia="en-US"/>
              </w:rPr>
            </w:pPr>
            <w:r>
              <w:rPr>
                <w:sz w:val="22"/>
                <w:szCs w:val="22"/>
                <w:lang w:val="fr-FR" w:eastAsia="en-US"/>
              </w:rPr>
              <w:t>5</w:t>
            </w:r>
          </w:p>
        </w:tc>
        <w:tc>
          <w:tcPr>
            <w:tcW w:w="1559" w:type="dxa"/>
          </w:tcPr>
          <w:p w14:paraId="5FFA7073" w14:textId="19621BE9" w:rsidR="009F6542" w:rsidRPr="00202703" w:rsidRDefault="009F6542" w:rsidP="009F6542">
            <w:pPr>
              <w:spacing w:line="276" w:lineRule="auto"/>
              <w:jc w:val="both"/>
              <w:rPr>
                <w:sz w:val="22"/>
                <w:szCs w:val="22"/>
                <w:lang w:val="fr-FR" w:eastAsia="en-US"/>
              </w:rPr>
            </w:pPr>
            <w:r>
              <w:rPr>
                <w:sz w:val="22"/>
                <w:szCs w:val="22"/>
                <w:lang w:val="fr-FR" w:eastAsia="en-US"/>
              </w:rPr>
              <w:t>0</w:t>
            </w:r>
          </w:p>
        </w:tc>
        <w:tc>
          <w:tcPr>
            <w:tcW w:w="1843" w:type="dxa"/>
          </w:tcPr>
          <w:p w14:paraId="25B8C6AB" w14:textId="0DB6D0B7" w:rsidR="009F6542" w:rsidRPr="00202703" w:rsidRDefault="00A044D6" w:rsidP="009F6542">
            <w:pPr>
              <w:spacing w:line="276" w:lineRule="auto"/>
              <w:jc w:val="both"/>
              <w:rPr>
                <w:sz w:val="22"/>
                <w:szCs w:val="22"/>
                <w:lang w:val="fr-FR" w:eastAsia="en-US"/>
              </w:rPr>
            </w:pPr>
            <w:r>
              <w:rPr>
                <w:sz w:val="22"/>
                <w:szCs w:val="22"/>
                <w:lang w:val="fr-FR" w:eastAsia="en-US"/>
              </w:rPr>
              <w:t>0</w:t>
            </w:r>
          </w:p>
        </w:tc>
        <w:tc>
          <w:tcPr>
            <w:tcW w:w="2977" w:type="dxa"/>
          </w:tcPr>
          <w:p w14:paraId="3CAA4E43"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Le moment prévu pour la réalisation de ces activités dans le plan de travail n’est pas encore arrivé.</w:t>
            </w:r>
          </w:p>
        </w:tc>
      </w:tr>
      <w:tr w:rsidR="009F6542" w:rsidRPr="00BB4A8C" w14:paraId="290B5FC7" w14:textId="77777777" w:rsidTr="00657D09">
        <w:trPr>
          <w:trHeight w:val="422"/>
        </w:trPr>
        <w:tc>
          <w:tcPr>
            <w:tcW w:w="2976" w:type="dxa"/>
            <w:vMerge/>
            <w:shd w:val="clear" w:color="auto" w:fill="auto"/>
          </w:tcPr>
          <w:p w14:paraId="6492EA86" w14:textId="77777777" w:rsidR="009F6542" w:rsidRPr="00202703" w:rsidRDefault="009F6542" w:rsidP="009F6542">
            <w:pPr>
              <w:spacing w:line="276" w:lineRule="auto"/>
              <w:jc w:val="both"/>
              <w:rPr>
                <w:sz w:val="22"/>
                <w:szCs w:val="22"/>
                <w:lang w:val="fr-FR" w:eastAsia="en-US"/>
              </w:rPr>
            </w:pPr>
          </w:p>
        </w:tc>
        <w:tc>
          <w:tcPr>
            <w:tcW w:w="1984" w:type="dxa"/>
            <w:shd w:val="clear" w:color="auto" w:fill="EEECE1"/>
            <w:vAlign w:val="center"/>
          </w:tcPr>
          <w:p w14:paraId="733BFE01"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Nombre de dossiers de discipline enregistrés et traités au niveau de l'antenne provinciale de l'IGPNC </w:t>
            </w:r>
          </w:p>
        </w:tc>
        <w:tc>
          <w:tcPr>
            <w:tcW w:w="1276" w:type="dxa"/>
            <w:shd w:val="clear" w:color="auto" w:fill="EEECE1"/>
          </w:tcPr>
          <w:p w14:paraId="5F8C58B5" w14:textId="77777777" w:rsidR="009F6542" w:rsidRPr="00202703" w:rsidRDefault="009F6542" w:rsidP="009F6542">
            <w:pPr>
              <w:spacing w:line="276" w:lineRule="auto"/>
              <w:rPr>
                <w:sz w:val="22"/>
                <w:szCs w:val="22"/>
                <w:lang w:val="fr-FR" w:eastAsia="en-US"/>
              </w:rPr>
            </w:pPr>
            <w:r w:rsidRPr="00202703">
              <w:rPr>
                <w:sz w:val="22"/>
                <w:szCs w:val="22"/>
                <w:lang w:val="fr-FR" w:eastAsia="en-US"/>
              </w:rPr>
              <w:t>0</w:t>
            </w:r>
          </w:p>
        </w:tc>
        <w:tc>
          <w:tcPr>
            <w:tcW w:w="1279" w:type="dxa"/>
            <w:shd w:val="clear" w:color="auto" w:fill="EEECE1"/>
            <w:vAlign w:val="center"/>
          </w:tcPr>
          <w:p w14:paraId="26340AC5" w14:textId="77777777" w:rsidR="009F6542" w:rsidRPr="00202703" w:rsidRDefault="009F6542" w:rsidP="009F6542">
            <w:pPr>
              <w:spacing w:line="276" w:lineRule="auto"/>
              <w:jc w:val="center"/>
              <w:rPr>
                <w:sz w:val="22"/>
                <w:szCs w:val="22"/>
                <w:lang w:val="fr-FR" w:eastAsia="en-US"/>
              </w:rPr>
            </w:pPr>
            <w:r w:rsidRPr="00202703">
              <w:rPr>
                <w:sz w:val="22"/>
                <w:szCs w:val="22"/>
                <w:lang w:val="fr-FR" w:eastAsia="en-US"/>
              </w:rPr>
              <w:t>5</w:t>
            </w:r>
          </w:p>
        </w:tc>
        <w:tc>
          <w:tcPr>
            <w:tcW w:w="1559" w:type="dxa"/>
          </w:tcPr>
          <w:p w14:paraId="358DFA70" w14:textId="575BB3FD" w:rsidR="009F6542" w:rsidRPr="00202703" w:rsidRDefault="009F6542" w:rsidP="009F6542">
            <w:pPr>
              <w:spacing w:line="276" w:lineRule="auto"/>
              <w:jc w:val="both"/>
              <w:rPr>
                <w:sz w:val="22"/>
                <w:szCs w:val="22"/>
                <w:lang w:val="fr-FR" w:eastAsia="en-US"/>
              </w:rPr>
            </w:pPr>
            <w:r>
              <w:rPr>
                <w:sz w:val="22"/>
                <w:szCs w:val="22"/>
                <w:lang w:val="fr-FR" w:eastAsia="en-US"/>
              </w:rPr>
              <w:t>0</w:t>
            </w:r>
          </w:p>
        </w:tc>
        <w:tc>
          <w:tcPr>
            <w:tcW w:w="1843" w:type="dxa"/>
          </w:tcPr>
          <w:p w14:paraId="22CD707C" w14:textId="5DC12D44" w:rsidR="009F6542" w:rsidRPr="00202703" w:rsidRDefault="00A044D6" w:rsidP="009F6542">
            <w:pPr>
              <w:spacing w:line="276" w:lineRule="auto"/>
              <w:jc w:val="both"/>
              <w:rPr>
                <w:sz w:val="22"/>
                <w:szCs w:val="22"/>
                <w:lang w:val="fr-FR" w:eastAsia="en-US"/>
              </w:rPr>
            </w:pPr>
            <w:r>
              <w:rPr>
                <w:sz w:val="22"/>
                <w:szCs w:val="22"/>
                <w:lang w:val="fr-FR" w:eastAsia="en-US"/>
              </w:rPr>
              <w:t>0</w:t>
            </w:r>
          </w:p>
        </w:tc>
        <w:tc>
          <w:tcPr>
            <w:tcW w:w="2977" w:type="dxa"/>
          </w:tcPr>
          <w:p w14:paraId="3E60F7B3"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Parce que le IGPNC n’est pas encore installé à Tshikapa</w:t>
            </w:r>
          </w:p>
        </w:tc>
      </w:tr>
      <w:tr w:rsidR="009F6542" w:rsidRPr="00BB4A8C" w14:paraId="14D774E1" w14:textId="77777777" w:rsidTr="00657D09">
        <w:trPr>
          <w:trHeight w:val="422"/>
        </w:trPr>
        <w:tc>
          <w:tcPr>
            <w:tcW w:w="2976" w:type="dxa"/>
            <w:vMerge/>
            <w:shd w:val="clear" w:color="auto" w:fill="auto"/>
          </w:tcPr>
          <w:p w14:paraId="34660F4A" w14:textId="77777777" w:rsidR="009F6542" w:rsidRPr="00202703" w:rsidRDefault="009F6542" w:rsidP="009F6542">
            <w:pPr>
              <w:spacing w:line="276" w:lineRule="auto"/>
              <w:jc w:val="both"/>
              <w:rPr>
                <w:sz w:val="22"/>
                <w:szCs w:val="22"/>
                <w:lang w:val="fr-FR" w:eastAsia="en-US"/>
              </w:rPr>
            </w:pPr>
          </w:p>
        </w:tc>
        <w:tc>
          <w:tcPr>
            <w:tcW w:w="1984" w:type="dxa"/>
            <w:shd w:val="clear" w:color="auto" w:fill="EEECE1"/>
            <w:vAlign w:val="center"/>
          </w:tcPr>
          <w:p w14:paraId="4A6553FD"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Nombre d'activités de coaching organisées pour les </w:t>
            </w:r>
            <w:r w:rsidRPr="00202703">
              <w:rPr>
                <w:sz w:val="22"/>
                <w:szCs w:val="22"/>
                <w:lang w:val="fr-FR" w:eastAsia="en-US"/>
              </w:rPr>
              <w:lastRenderedPageBreak/>
              <w:t xml:space="preserve">unités de police de proximité </w:t>
            </w:r>
          </w:p>
        </w:tc>
        <w:tc>
          <w:tcPr>
            <w:tcW w:w="1276" w:type="dxa"/>
            <w:shd w:val="clear" w:color="auto" w:fill="EEECE1"/>
          </w:tcPr>
          <w:p w14:paraId="7C3CBA23" w14:textId="77777777" w:rsidR="009F6542" w:rsidRDefault="009F6542" w:rsidP="009F6542">
            <w:pPr>
              <w:jc w:val="both"/>
              <w:rPr>
                <w:sz w:val="22"/>
                <w:szCs w:val="22"/>
                <w:lang w:val="fr-FR"/>
              </w:rPr>
            </w:pPr>
          </w:p>
          <w:p w14:paraId="4B698B89" w14:textId="413EF4C0" w:rsidR="009F6542" w:rsidRDefault="009F6542" w:rsidP="009F6542">
            <w:pPr>
              <w:jc w:val="both"/>
              <w:rPr>
                <w:sz w:val="22"/>
                <w:szCs w:val="22"/>
                <w:lang w:val="fr-FR"/>
              </w:rPr>
            </w:pPr>
          </w:p>
          <w:p w14:paraId="274048B0" w14:textId="77777777" w:rsidR="009F6542" w:rsidRDefault="009F6542" w:rsidP="009F6542">
            <w:pPr>
              <w:jc w:val="both"/>
              <w:rPr>
                <w:sz w:val="22"/>
                <w:szCs w:val="22"/>
                <w:lang w:val="fr-FR"/>
              </w:rPr>
            </w:pPr>
          </w:p>
          <w:p w14:paraId="2C53DD0A" w14:textId="40BDC634" w:rsidR="009F6542" w:rsidRPr="00202703" w:rsidRDefault="009F6542" w:rsidP="009F6542">
            <w:pPr>
              <w:jc w:val="both"/>
              <w:rPr>
                <w:sz w:val="22"/>
                <w:szCs w:val="22"/>
                <w:lang w:val="fr-FR"/>
              </w:rPr>
            </w:pPr>
            <w:r>
              <w:rPr>
                <w:sz w:val="22"/>
                <w:szCs w:val="22"/>
                <w:lang w:val="fr-FR"/>
              </w:rPr>
              <w:t>00</w:t>
            </w:r>
          </w:p>
        </w:tc>
        <w:tc>
          <w:tcPr>
            <w:tcW w:w="1279" w:type="dxa"/>
            <w:shd w:val="clear" w:color="auto" w:fill="EEECE1"/>
            <w:vAlign w:val="center"/>
          </w:tcPr>
          <w:p w14:paraId="28539117" w14:textId="2D64EDCC" w:rsidR="009F6542" w:rsidRPr="00202703" w:rsidRDefault="009F6542" w:rsidP="009F6542">
            <w:pPr>
              <w:spacing w:line="276" w:lineRule="auto"/>
              <w:jc w:val="both"/>
              <w:rPr>
                <w:sz w:val="22"/>
                <w:szCs w:val="22"/>
                <w:lang w:val="fr-FR" w:eastAsia="en-US"/>
              </w:rPr>
            </w:pPr>
            <w:r>
              <w:rPr>
                <w:sz w:val="22"/>
                <w:szCs w:val="22"/>
                <w:lang w:val="fr-FR" w:eastAsia="en-US"/>
              </w:rPr>
              <w:t>8</w:t>
            </w:r>
          </w:p>
        </w:tc>
        <w:tc>
          <w:tcPr>
            <w:tcW w:w="1559" w:type="dxa"/>
          </w:tcPr>
          <w:p w14:paraId="432A1B32" w14:textId="77777777" w:rsidR="009F6542" w:rsidRDefault="009F6542" w:rsidP="009F6542">
            <w:pPr>
              <w:spacing w:line="276" w:lineRule="auto"/>
              <w:jc w:val="both"/>
              <w:rPr>
                <w:sz w:val="22"/>
                <w:szCs w:val="22"/>
                <w:lang w:val="fr-FR" w:eastAsia="en-US"/>
              </w:rPr>
            </w:pPr>
          </w:p>
          <w:p w14:paraId="6C1D92F1" w14:textId="77777777" w:rsidR="009F6542" w:rsidRDefault="009F6542" w:rsidP="009F6542">
            <w:pPr>
              <w:spacing w:line="276" w:lineRule="auto"/>
              <w:jc w:val="both"/>
              <w:rPr>
                <w:sz w:val="22"/>
                <w:szCs w:val="22"/>
                <w:lang w:val="fr-FR" w:eastAsia="en-US"/>
              </w:rPr>
            </w:pPr>
          </w:p>
          <w:p w14:paraId="28F1EBA2" w14:textId="2B40A469" w:rsidR="009F6542" w:rsidRPr="00202703" w:rsidRDefault="009F6542" w:rsidP="009F6542">
            <w:pPr>
              <w:spacing w:line="276" w:lineRule="auto"/>
              <w:jc w:val="both"/>
              <w:rPr>
                <w:sz w:val="22"/>
                <w:szCs w:val="22"/>
                <w:lang w:val="fr-FR" w:eastAsia="en-US"/>
              </w:rPr>
            </w:pPr>
            <w:r>
              <w:rPr>
                <w:sz w:val="22"/>
                <w:szCs w:val="22"/>
                <w:lang w:val="fr-FR" w:eastAsia="en-US"/>
              </w:rPr>
              <w:t>0</w:t>
            </w:r>
          </w:p>
        </w:tc>
        <w:tc>
          <w:tcPr>
            <w:tcW w:w="1843" w:type="dxa"/>
          </w:tcPr>
          <w:p w14:paraId="67B93DD4" w14:textId="77777777" w:rsidR="009F6542" w:rsidRDefault="009F6542" w:rsidP="009F6542">
            <w:pPr>
              <w:spacing w:line="276" w:lineRule="auto"/>
              <w:jc w:val="both"/>
              <w:rPr>
                <w:sz w:val="22"/>
                <w:szCs w:val="22"/>
                <w:lang w:val="fr-FR" w:eastAsia="en-US"/>
              </w:rPr>
            </w:pPr>
          </w:p>
          <w:p w14:paraId="50F77B38" w14:textId="77777777" w:rsidR="009F6542" w:rsidRDefault="009F6542" w:rsidP="009F6542">
            <w:pPr>
              <w:spacing w:line="276" w:lineRule="auto"/>
              <w:jc w:val="both"/>
              <w:rPr>
                <w:sz w:val="22"/>
                <w:szCs w:val="22"/>
                <w:lang w:val="fr-FR" w:eastAsia="en-US"/>
              </w:rPr>
            </w:pPr>
          </w:p>
          <w:p w14:paraId="63E97C3E" w14:textId="3D8D39F6" w:rsidR="009F6542" w:rsidRPr="00202703" w:rsidRDefault="00BC5C3D" w:rsidP="009F6542">
            <w:pPr>
              <w:spacing w:line="276" w:lineRule="auto"/>
              <w:jc w:val="both"/>
              <w:rPr>
                <w:sz w:val="22"/>
                <w:szCs w:val="22"/>
                <w:lang w:val="fr-FR" w:eastAsia="en-US"/>
              </w:rPr>
            </w:pPr>
            <w:r>
              <w:rPr>
                <w:sz w:val="22"/>
                <w:szCs w:val="22"/>
                <w:lang w:val="fr-FR" w:eastAsia="en-US"/>
              </w:rPr>
              <w:t>0</w:t>
            </w:r>
          </w:p>
        </w:tc>
        <w:tc>
          <w:tcPr>
            <w:tcW w:w="2977" w:type="dxa"/>
          </w:tcPr>
          <w:p w14:paraId="0F5040ED"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Les policiers sont toujours en formation à </w:t>
            </w:r>
            <w:proofErr w:type="spellStart"/>
            <w:r w:rsidRPr="00202703">
              <w:rPr>
                <w:sz w:val="22"/>
                <w:szCs w:val="22"/>
                <w:lang w:val="fr-FR" w:eastAsia="en-US"/>
              </w:rPr>
              <w:t>Tshipuka</w:t>
            </w:r>
            <w:proofErr w:type="spellEnd"/>
            <w:r w:rsidRPr="00202703">
              <w:rPr>
                <w:sz w:val="22"/>
                <w:szCs w:val="22"/>
                <w:lang w:val="fr-FR" w:eastAsia="en-US"/>
              </w:rPr>
              <w:t>.</w:t>
            </w:r>
          </w:p>
        </w:tc>
      </w:tr>
      <w:tr w:rsidR="009F6542" w:rsidRPr="00BB4A8C" w14:paraId="4BFB3E57" w14:textId="77777777" w:rsidTr="00657D09">
        <w:trPr>
          <w:trHeight w:val="422"/>
        </w:trPr>
        <w:tc>
          <w:tcPr>
            <w:tcW w:w="2976" w:type="dxa"/>
            <w:vMerge w:val="restart"/>
            <w:shd w:val="clear" w:color="auto" w:fill="auto"/>
          </w:tcPr>
          <w:p w14:paraId="28AB98BB"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Produit 1.3: La gestion de la sécurité au niveau communautaire est améliorée à travers une approche inclusive et participative</w:t>
            </w:r>
          </w:p>
        </w:tc>
        <w:tc>
          <w:tcPr>
            <w:tcW w:w="1984" w:type="dxa"/>
            <w:shd w:val="clear" w:color="auto" w:fill="EEECE1"/>
            <w:vAlign w:val="center"/>
          </w:tcPr>
          <w:p w14:paraId="5A0F123A"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Nombre de Comités Locaux de Paix et Sécurité et de forums de quartiers opérationnels </w:t>
            </w:r>
          </w:p>
        </w:tc>
        <w:tc>
          <w:tcPr>
            <w:tcW w:w="1276" w:type="dxa"/>
            <w:shd w:val="clear" w:color="auto" w:fill="EEECE1"/>
          </w:tcPr>
          <w:p w14:paraId="0F3B222D"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0</w:t>
            </w:r>
          </w:p>
        </w:tc>
        <w:tc>
          <w:tcPr>
            <w:tcW w:w="1279" w:type="dxa"/>
            <w:shd w:val="clear" w:color="auto" w:fill="EEECE1"/>
            <w:vAlign w:val="center"/>
          </w:tcPr>
          <w:p w14:paraId="6A9AC96C"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6</w:t>
            </w:r>
          </w:p>
        </w:tc>
        <w:tc>
          <w:tcPr>
            <w:tcW w:w="1559" w:type="dxa"/>
          </w:tcPr>
          <w:p w14:paraId="4F2E3376"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6</w:t>
            </w:r>
          </w:p>
        </w:tc>
        <w:tc>
          <w:tcPr>
            <w:tcW w:w="1843" w:type="dxa"/>
          </w:tcPr>
          <w:p w14:paraId="54A1E70A" w14:textId="77777777" w:rsidR="004651B9" w:rsidRPr="00202703" w:rsidRDefault="004651B9" w:rsidP="004651B9">
            <w:pPr>
              <w:spacing w:line="276" w:lineRule="auto"/>
              <w:jc w:val="both"/>
              <w:rPr>
                <w:sz w:val="22"/>
                <w:szCs w:val="22"/>
                <w:lang w:val="fr-FR" w:eastAsia="en-US"/>
              </w:rPr>
            </w:pPr>
            <w:r w:rsidRPr="00202703">
              <w:rPr>
                <w:sz w:val="22"/>
                <w:szCs w:val="22"/>
                <w:lang w:val="fr-FR" w:eastAsia="en-US"/>
              </w:rPr>
              <w:t>6</w:t>
            </w:r>
            <w:r>
              <w:rPr>
                <w:sz w:val="22"/>
                <w:szCs w:val="22"/>
                <w:lang w:val="fr-FR" w:eastAsia="en-US"/>
              </w:rPr>
              <w:t>, soit 100</w:t>
            </w:r>
            <w:r w:rsidRPr="00202703">
              <w:rPr>
                <w:sz w:val="22"/>
                <w:szCs w:val="22"/>
                <w:lang w:val="fr-FR" w:eastAsia="en-US"/>
              </w:rPr>
              <w:t>% d’atteinte de l’indicateur</w:t>
            </w:r>
            <w:r>
              <w:rPr>
                <w:sz w:val="22"/>
                <w:szCs w:val="22"/>
                <w:lang w:val="fr-FR" w:eastAsia="en-US"/>
              </w:rPr>
              <w:t>,</w:t>
            </w:r>
            <w:r w:rsidRPr="00202703">
              <w:rPr>
                <w:sz w:val="22"/>
                <w:szCs w:val="22"/>
                <w:lang w:val="fr-FR" w:eastAsia="en-US"/>
              </w:rPr>
              <w:t xml:space="preserve"> 6 comités déjà mis en place (1 CLSP et 4 Forums de quartiers et 1Comité Local de paix et de développement)</w:t>
            </w:r>
          </w:p>
          <w:p w14:paraId="53CF083B" w14:textId="66952C6C" w:rsidR="009F6542" w:rsidRPr="00202703" w:rsidRDefault="009F6542" w:rsidP="009F6542">
            <w:pPr>
              <w:spacing w:line="276" w:lineRule="auto"/>
              <w:jc w:val="both"/>
              <w:rPr>
                <w:sz w:val="22"/>
                <w:szCs w:val="22"/>
                <w:lang w:val="fr-FR" w:eastAsia="en-US"/>
              </w:rPr>
            </w:pPr>
          </w:p>
        </w:tc>
        <w:tc>
          <w:tcPr>
            <w:tcW w:w="2977" w:type="dxa"/>
          </w:tcPr>
          <w:p w14:paraId="487BAF27"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Une forte implication des autorités locales et toutes les parties prenantes</w:t>
            </w:r>
          </w:p>
        </w:tc>
      </w:tr>
      <w:tr w:rsidR="009F6542" w:rsidRPr="00BB4A8C" w14:paraId="37C841EB" w14:textId="77777777" w:rsidTr="00657D09">
        <w:trPr>
          <w:trHeight w:val="422"/>
        </w:trPr>
        <w:tc>
          <w:tcPr>
            <w:tcW w:w="2976" w:type="dxa"/>
            <w:vMerge/>
            <w:shd w:val="clear" w:color="auto" w:fill="auto"/>
          </w:tcPr>
          <w:p w14:paraId="00935AEA" w14:textId="77777777" w:rsidR="009F6542" w:rsidRPr="00202703" w:rsidRDefault="009F6542" w:rsidP="009F6542">
            <w:pPr>
              <w:spacing w:line="276" w:lineRule="auto"/>
              <w:jc w:val="both"/>
              <w:rPr>
                <w:sz w:val="22"/>
                <w:szCs w:val="22"/>
                <w:lang w:val="fr-FR" w:eastAsia="en-US"/>
              </w:rPr>
            </w:pPr>
          </w:p>
        </w:tc>
        <w:tc>
          <w:tcPr>
            <w:tcW w:w="1984" w:type="dxa"/>
            <w:shd w:val="clear" w:color="auto" w:fill="EEECE1"/>
            <w:vAlign w:val="center"/>
          </w:tcPr>
          <w:p w14:paraId="3013652D"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 xml:space="preserve">Nombre de personnes (désagrégé par âge et par sexe) sensibilisées sur les questions sécuritaires et les mécanismes de gouvernance locale en matière de sécurité </w:t>
            </w:r>
          </w:p>
        </w:tc>
        <w:tc>
          <w:tcPr>
            <w:tcW w:w="1276" w:type="dxa"/>
            <w:shd w:val="clear" w:color="auto" w:fill="EEECE1"/>
          </w:tcPr>
          <w:p w14:paraId="731D4297" w14:textId="61087846" w:rsidR="009F6542" w:rsidRPr="00202703" w:rsidRDefault="009F6542" w:rsidP="009F6542">
            <w:pPr>
              <w:spacing w:line="276" w:lineRule="auto"/>
              <w:jc w:val="both"/>
              <w:rPr>
                <w:sz w:val="22"/>
                <w:szCs w:val="22"/>
                <w:lang w:val="fr-FR"/>
              </w:rPr>
            </w:pPr>
            <w:r>
              <w:rPr>
                <w:sz w:val="22"/>
                <w:szCs w:val="22"/>
                <w:lang w:val="fr-FR"/>
              </w:rPr>
              <w:t>00</w:t>
            </w:r>
          </w:p>
        </w:tc>
        <w:tc>
          <w:tcPr>
            <w:tcW w:w="1279" w:type="dxa"/>
            <w:shd w:val="clear" w:color="auto" w:fill="EEECE1"/>
            <w:vAlign w:val="center"/>
          </w:tcPr>
          <w:p w14:paraId="44909EFE" w14:textId="77777777" w:rsidR="009F6542" w:rsidRPr="00202703" w:rsidRDefault="009F6542" w:rsidP="009F6542">
            <w:pPr>
              <w:spacing w:line="276" w:lineRule="auto"/>
              <w:jc w:val="both"/>
              <w:rPr>
                <w:sz w:val="22"/>
                <w:szCs w:val="22"/>
                <w:lang w:val="fr-FR" w:eastAsia="en-US"/>
              </w:rPr>
            </w:pPr>
            <w:r w:rsidRPr="00202703">
              <w:rPr>
                <w:sz w:val="22"/>
                <w:szCs w:val="22"/>
                <w:lang w:val="fr-FR" w:eastAsia="en-US"/>
              </w:rPr>
              <w:t>400</w:t>
            </w:r>
          </w:p>
        </w:tc>
        <w:tc>
          <w:tcPr>
            <w:tcW w:w="1559" w:type="dxa"/>
          </w:tcPr>
          <w:p w14:paraId="7B30495E" w14:textId="22064538" w:rsidR="009F6542" w:rsidRPr="00202703" w:rsidRDefault="009F6542" w:rsidP="009F6542">
            <w:pPr>
              <w:spacing w:line="276" w:lineRule="auto"/>
              <w:jc w:val="both"/>
              <w:rPr>
                <w:sz w:val="22"/>
                <w:szCs w:val="22"/>
                <w:lang w:val="fr-FR" w:eastAsia="en-US"/>
              </w:rPr>
            </w:pPr>
            <w:r w:rsidRPr="00202703">
              <w:rPr>
                <w:sz w:val="22"/>
                <w:szCs w:val="22"/>
                <w:lang w:val="fr-FR" w:eastAsia="en-US"/>
              </w:rPr>
              <w:t>1553 dont 583 Femmes</w:t>
            </w:r>
          </w:p>
        </w:tc>
        <w:tc>
          <w:tcPr>
            <w:tcW w:w="1843" w:type="dxa"/>
          </w:tcPr>
          <w:p w14:paraId="067B85DA" w14:textId="6AC0BBF4" w:rsidR="009F6542" w:rsidRPr="00202703" w:rsidRDefault="00E44DFC" w:rsidP="009F6542">
            <w:pPr>
              <w:spacing w:line="276" w:lineRule="auto"/>
              <w:jc w:val="both"/>
              <w:rPr>
                <w:sz w:val="22"/>
                <w:szCs w:val="22"/>
                <w:lang w:val="fr-FR" w:eastAsia="en-US"/>
              </w:rPr>
            </w:pPr>
            <w:r w:rsidRPr="00202703">
              <w:rPr>
                <w:sz w:val="22"/>
                <w:szCs w:val="22"/>
                <w:lang w:val="fr-FR" w:eastAsia="en-US"/>
              </w:rPr>
              <w:t>1553 dont 583 Femmes,</w:t>
            </w:r>
            <w:r>
              <w:rPr>
                <w:sz w:val="22"/>
                <w:szCs w:val="22"/>
                <w:lang w:val="fr-FR" w:eastAsia="en-US"/>
              </w:rPr>
              <w:t xml:space="preserve"> soit </w:t>
            </w:r>
            <w:r w:rsidRPr="00202703">
              <w:rPr>
                <w:sz w:val="22"/>
                <w:szCs w:val="22"/>
                <w:lang w:val="fr-FR" w:eastAsia="en-US"/>
              </w:rPr>
              <w:t>388%</w:t>
            </w:r>
            <w:r>
              <w:rPr>
                <w:sz w:val="22"/>
                <w:szCs w:val="22"/>
                <w:lang w:val="fr-FR" w:eastAsia="en-US"/>
              </w:rPr>
              <w:t xml:space="preserve">, d’atteinte de l’indicateur  </w:t>
            </w:r>
          </w:p>
        </w:tc>
        <w:tc>
          <w:tcPr>
            <w:tcW w:w="2977" w:type="dxa"/>
          </w:tcPr>
          <w:p w14:paraId="4BCAA27C" w14:textId="7EF7792C" w:rsidR="009F6542" w:rsidRPr="00202703" w:rsidRDefault="009F6542" w:rsidP="009F6542">
            <w:pPr>
              <w:spacing w:line="276" w:lineRule="auto"/>
              <w:jc w:val="both"/>
              <w:rPr>
                <w:sz w:val="22"/>
                <w:szCs w:val="22"/>
                <w:lang w:val="fr-FR" w:eastAsia="en-US"/>
              </w:rPr>
            </w:pPr>
            <w:r>
              <w:rPr>
                <w:sz w:val="22"/>
                <w:szCs w:val="22"/>
                <w:lang w:val="fr-FR" w:eastAsia="en-US"/>
              </w:rPr>
              <w:t xml:space="preserve">L’écart s’explique par le fait que les sensibilisations ont touché plus de personnes que prévu suit à la mobilisation de la population. </w:t>
            </w:r>
          </w:p>
        </w:tc>
      </w:tr>
      <w:tr w:rsidR="007B64DF" w:rsidRPr="00BB4A8C" w14:paraId="26586B4E" w14:textId="77777777" w:rsidTr="00657D09">
        <w:trPr>
          <w:trHeight w:val="422"/>
        </w:trPr>
        <w:tc>
          <w:tcPr>
            <w:tcW w:w="2976" w:type="dxa"/>
            <w:vMerge/>
            <w:shd w:val="clear" w:color="auto" w:fill="auto"/>
          </w:tcPr>
          <w:p w14:paraId="1895AA2B"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40ADE646"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Nombre de membres de la communauté participant aux </w:t>
            </w:r>
            <w:r w:rsidRPr="00202703">
              <w:rPr>
                <w:sz w:val="22"/>
                <w:szCs w:val="22"/>
                <w:lang w:val="fr-FR" w:eastAsia="en-US"/>
              </w:rPr>
              <w:lastRenderedPageBreak/>
              <w:t xml:space="preserve">mécanismes de gouvernance locale en matière de sécurité (désagrégé par sexe) </w:t>
            </w:r>
          </w:p>
        </w:tc>
        <w:tc>
          <w:tcPr>
            <w:tcW w:w="1276" w:type="dxa"/>
            <w:shd w:val="clear" w:color="auto" w:fill="EEECE1"/>
          </w:tcPr>
          <w:p w14:paraId="6A67DD2D" w14:textId="77777777" w:rsidR="007B64DF" w:rsidRPr="00202703" w:rsidRDefault="007B64DF" w:rsidP="007B64DF">
            <w:pPr>
              <w:spacing w:line="276" w:lineRule="auto"/>
              <w:jc w:val="both"/>
              <w:rPr>
                <w:sz w:val="22"/>
                <w:szCs w:val="22"/>
                <w:lang w:val="fr-FR"/>
              </w:rPr>
            </w:pPr>
            <w:r w:rsidRPr="00202703">
              <w:rPr>
                <w:sz w:val="22"/>
                <w:szCs w:val="22"/>
                <w:lang w:val="fr-FR"/>
              </w:rPr>
              <w:lastRenderedPageBreak/>
              <w:t>10</w:t>
            </w:r>
          </w:p>
        </w:tc>
        <w:tc>
          <w:tcPr>
            <w:tcW w:w="1279" w:type="dxa"/>
            <w:shd w:val="clear" w:color="auto" w:fill="EEECE1"/>
            <w:vAlign w:val="center"/>
          </w:tcPr>
          <w:p w14:paraId="2D9CE7B5"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10 membres dont 30% de femmes</w:t>
            </w:r>
          </w:p>
        </w:tc>
        <w:tc>
          <w:tcPr>
            <w:tcW w:w="1559" w:type="dxa"/>
          </w:tcPr>
          <w:p w14:paraId="7771D4DB"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56</w:t>
            </w:r>
          </w:p>
        </w:tc>
        <w:tc>
          <w:tcPr>
            <w:tcW w:w="1843" w:type="dxa"/>
          </w:tcPr>
          <w:p w14:paraId="1F52945F"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56</w:t>
            </w:r>
            <w:r>
              <w:rPr>
                <w:sz w:val="22"/>
                <w:szCs w:val="22"/>
                <w:lang w:val="fr-FR" w:eastAsia="en-US"/>
              </w:rPr>
              <w:t xml:space="preserve">, soit </w:t>
            </w:r>
            <w:r w:rsidRPr="00202703">
              <w:rPr>
                <w:sz w:val="22"/>
                <w:szCs w:val="22"/>
                <w:lang w:val="fr-FR" w:eastAsia="en-US"/>
              </w:rPr>
              <w:t>560%</w:t>
            </w:r>
            <w:r>
              <w:rPr>
                <w:sz w:val="22"/>
                <w:szCs w:val="22"/>
                <w:lang w:val="fr-FR" w:eastAsia="en-US"/>
              </w:rPr>
              <w:t xml:space="preserve"> du niveau de réalisation de l’indicateur</w:t>
            </w:r>
          </w:p>
          <w:p w14:paraId="43AA632E" w14:textId="2154DFB5" w:rsidR="007B64DF" w:rsidRPr="00202703" w:rsidRDefault="007B64DF" w:rsidP="007B64DF">
            <w:pPr>
              <w:spacing w:line="276" w:lineRule="auto"/>
              <w:jc w:val="both"/>
              <w:rPr>
                <w:sz w:val="22"/>
                <w:szCs w:val="22"/>
                <w:lang w:val="fr-FR" w:eastAsia="en-US"/>
              </w:rPr>
            </w:pPr>
          </w:p>
        </w:tc>
        <w:tc>
          <w:tcPr>
            <w:tcW w:w="2977" w:type="dxa"/>
          </w:tcPr>
          <w:p w14:paraId="7AABA7FC"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lastRenderedPageBreak/>
              <w:t xml:space="preserve">Au départ il était considéré seulement 10 membres du CLSP. Mais actuellement sur les 10 il s’est ajouté 46 </w:t>
            </w:r>
            <w:r w:rsidRPr="00202703">
              <w:rPr>
                <w:sz w:val="22"/>
                <w:szCs w:val="22"/>
                <w:lang w:val="fr-FR" w:eastAsia="en-US"/>
              </w:rPr>
              <w:lastRenderedPageBreak/>
              <w:t>membres des forums de quartiers.</w:t>
            </w:r>
          </w:p>
        </w:tc>
      </w:tr>
      <w:tr w:rsidR="007B64DF" w:rsidRPr="00BB4A8C" w14:paraId="5438CD79" w14:textId="77777777" w:rsidTr="00657D09">
        <w:trPr>
          <w:trHeight w:val="422"/>
        </w:trPr>
        <w:tc>
          <w:tcPr>
            <w:tcW w:w="2976" w:type="dxa"/>
            <w:vMerge/>
            <w:shd w:val="clear" w:color="auto" w:fill="auto"/>
          </w:tcPr>
          <w:p w14:paraId="29195373"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4BA31A86"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des autorités locales et /ou coutumières et des agents de sécurité engagés dans la promotion du Genre et la communication pour le changement de comportements (CCC) sur les SGBV. </w:t>
            </w:r>
          </w:p>
        </w:tc>
        <w:tc>
          <w:tcPr>
            <w:tcW w:w="1276" w:type="dxa"/>
            <w:shd w:val="clear" w:color="auto" w:fill="EEECE1"/>
          </w:tcPr>
          <w:p w14:paraId="4B3D65EA" w14:textId="1E213309" w:rsidR="007B64DF" w:rsidRPr="00202703" w:rsidRDefault="007B64DF" w:rsidP="007B64DF">
            <w:pPr>
              <w:spacing w:line="276" w:lineRule="auto"/>
              <w:jc w:val="both"/>
              <w:rPr>
                <w:sz w:val="22"/>
                <w:szCs w:val="22"/>
                <w:lang w:val="fr-FR" w:eastAsia="en-US"/>
              </w:rPr>
            </w:pPr>
            <w:r w:rsidRPr="00202703">
              <w:rPr>
                <w:sz w:val="22"/>
                <w:szCs w:val="22"/>
                <w:lang w:val="fr-FR" w:eastAsia="en-US"/>
              </w:rPr>
              <w:t>0</w:t>
            </w:r>
            <w:r>
              <w:rPr>
                <w:sz w:val="22"/>
                <w:szCs w:val="22"/>
                <w:lang w:val="fr-FR" w:eastAsia="en-US"/>
              </w:rPr>
              <w:t>%</w:t>
            </w:r>
          </w:p>
        </w:tc>
        <w:tc>
          <w:tcPr>
            <w:tcW w:w="1279" w:type="dxa"/>
            <w:shd w:val="clear" w:color="auto" w:fill="EEECE1"/>
            <w:vAlign w:val="center"/>
          </w:tcPr>
          <w:p w14:paraId="0D7B96AE"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50%</w:t>
            </w:r>
          </w:p>
        </w:tc>
        <w:tc>
          <w:tcPr>
            <w:tcW w:w="1559" w:type="dxa"/>
          </w:tcPr>
          <w:p w14:paraId="59504E6D" w14:textId="4A5E5D1A"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78DD94CB"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0% </w:t>
            </w:r>
          </w:p>
        </w:tc>
        <w:tc>
          <w:tcPr>
            <w:tcW w:w="2977" w:type="dxa"/>
          </w:tcPr>
          <w:p w14:paraId="67A230D8" w14:textId="5B4FFD18" w:rsidR="007B64DF" w:rsidRPr="00202703" w:rsidRDefault="007B64DF" w:rsidP="007B64DF">
            <w:pPr>
              <w:spacing w:line="276" w:lineRule="auto"/>
              <w:jc w:val="both"/>
              <w:rPr>
                <w:sz w:val="22"/>
                <w:szCs w:val="22"/>
                <w:lang w:val="fr-FR" w:eastAsia="en-US"/>
              </w:rPr>
            </w:pPr>
            <w:r>
              <w:rPr>
                <w:sz w:val="22"/>
                <w:szCs w:val="22"/>
                <w:lang w:val="fr-FR" w:eastAsia="en-US"/>
              </w:rPr>
              <w:t xml:space="preserve">L’indicateur sera renseigné à l’évaluation finale du projet </w:t>
            </w:r>
          </w:p>
        </w:tc>
      </w:tr>
      <w:tr w:rsidR="007B64DF" w:rsidRPr="00BB4A8C" w14:paraId="7C2381D4" w14:textId="77777777" w:rsidTr="00657D09">
        <w:trPr>
          <w:trHeight w:val="422"/>
        </w:trPr>
        <w:tc>
          <w:tcPr>
            <w:tcW w:w="2976" w:type="dxa"/>
            <w:vMerge/>
            <w:shd w:val="clear" w:color="auto" w:fill="auto"/>
          </w:tcPr>
          <w:p w14:paraId="222F703A"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10F12FAC"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d'hommes et de femmes ayant affirmé que le tissu social est renforcé grâce aux activités de rapprochement des communautés initiées par le projet </w:t>
            </w:r>
          </w:p>
        </w:tc>
        <w:tc>
          <w:tcPr>
            <w:tcW w:w="1276" w:type="dxa"/>
            <w:shd w:val="clear" w:color="auto" w:fill="EEECE1"/>
          </w:tcPr>
          <w:p w14:paraId="0FBEA1B8" w14:textId="4F29FAB2" w:rsidR="007B64DF" w:rsidRPr="00202703" w:rsidRDefault="007B64DF" w:rsidP="007B64DF">
            <w:pPr>
              <w:spacing w:line="276" w:lineRule="auto"/>
              <w:jc w:val="both"/>
              <w:rPr>
                <w:sz w:val="22"/>
                <w:szCs w:val="22"/>
              </w:rPr>
            </w:pPr>
            <w:r w:rsidRPr="00202703">
              <w:rPr>
                <w:sz w:val="22"/>
                <w:szCs w:val="22"/>
              </w:rPr>
              <w:t>24,60</w:t>
            </w:r>
            <w:r>
              <w:rPr>
                <w:sz w:val="22"/>
                <w:szCs w:val="22"/>
              </w:rPr>
              <w:t>%</w:t>
            </w:r>
          </w:p>
        </w:tc>
        <w:tc>
          <w:tcPr>
            <w:tcW w:w="1279" w:type="dxa"/>
            <w:shd w:val="clear" w:color="auto" w:fill="EEECE1"/>
            <w:vAlign w:val="center"/>
          </w:tcPr>
          <w:p w14:paraId="1F4EC738"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70%</w:t>
            </w:r>
          </w:p>
        </w:tc>
        <w:tc>
          <w:tcPr>
            <w:tcW w:w="1559" w:type="dxa"/>
          </w:tcPr>
          <w:p w14:paraId="2C3D6BBD" w14:textId="21269147"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4B5AF492"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0%</w:t>
            </w:r>
          </w:p>
        </w:tc>
        <w:tc>
          <w:tcPr>
            <w:tcW w:w="2977" w:type="dxa"/>
          </w:tcPr>
          <w:p w14:paraId="7B6566BE"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Le moment prévu pour la réalisation de ces activités n’est pas encore arrivé</w:t>
            </w:r>
          </w:p>
        </w:tc>
      </w:tr>
      <w:tr w:rsidR="007B64DF" w:rsidRPr="00202703" w14:paraId="380FCE71" w14:textId="77777777" w:rsidTr="00657D09">
        <w:trPr>
          <w:trHeight w:val="422"/>
        </w:trPr>
        <w:tc>
          <w:tcPr>
            <w:tcW w:w="2976" w:type="dxa"/>
            <w:vMerge w:val="restart"/>
            <w:shd w:val="clear" w:color="auto" w:fill="auto"/>
          </w:tcPr>
          <w:p w14:paraId="79389720"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Produit 1.4: Les Plans Locaux de sécurité de proximité sont </w:t>
            </w:r>
            <w:r w:rsidRPr="00202703">
              <w:rPr>
                <w:sz w:val="22"/>
                <w:szCs w:val="22"/>
                <w:lang w:val="fr-FR" w:eastAsia="en-US"/>
              </w:rPr>
              <w:lastRenderedPageBreak/>
              <w:t>élaborés et mis en œuvre par les communautés</w:t>
            </w:r>
          </w:p>
        </w:tc>
        <w:tc>
          <w:tcPr>
            <w:tcW w:w="1984" w:type="dxa"/>
            <w:shd w:val="clear" w:color="auto" w:fill="EEECE1"/>
            <w:vAlign w:val="center"/>
          </w:tcPr>
          <w:p w14:paraId="0B0AA33C"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lastRenderedPageBreak/>
              <w:t xml:space="preserve">Nombre de plans locaux de sécurité de proximité </w:t>
            </w:r>
            <w:r w:rsidRPr="00202703">
              <w:rPr>
                <w:sz w:val="22"/>
                <w:szCs w:val="22"/>
                <w:lang w:val="fr-FR" w:eastAsia="en-US"/>
              </w:rPr>
              <w:lastRenderedPageBreak/>
              <w:t xml:space="preserve">élaborés et ayant fait l'objet de mesure d'application </w:t>
            </w:r>
          </w:p>
        </w:tc>
        <w:tc>
          <w:tcPr>
            <w:tcW w:w="1276" w:type="dxa"/>
            <w:shd w:val="clear" w:color="auto" w:fill="EEECE1"/>
          </w:tcPr>
          <w:p w14:paraId="3224EAF9" w14:textId="77777777" w:rsidR="007B64DF" w:rsidRPr="00202703" w:rsidRDefault="007B64DF" w:rsidP="007B64DF">
            <w:pPr>
              <w:spacing w:line="276" w:lineRule="auto"/>
              <w:rPr>
                <w:sz w:val="22"/>
                <w:szCs w:val="22"/>
                <w:lang w:val="fr-FR" w:eastAsia="en-US"/>
              </w:rPr>
            </w:pPr>
            <w:r w:rsidRPr="00202703">
              <w:rPr>
                <w:sz w:val="22"/>
                <w:szCs w:val="22"/>
                <w:lang w:val="fr-FR" w:eastAsia="en-US"/>
              </w:rPr>
              <w:lastRenderedPageBreak/>
              <w:t>0</w:t>
            </w:r>
          </w:p>
        </w:tc>
        <w:tc>
          <w:tcPr>
            <w:tcW w:w="1279" w:type="dxa"/>
            <w:shd w:val="clear" w:color="auto" w:fill="EEECE1"/>
            <w:vAlign w:val="center"/>
          </w:tcPr>
          <w:p w14:paraId="4D571272"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1</w:t>
            </w:r>
          </w:p>
        </w:tc>
        <w:tc>
          <w:tcPr>
            <w:tcW w:w="1559" w:type="dxa"/>
          </w:tcPr>
          <w:p w14:paraId="206B7DE7"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1</w:t>
            </w:r>
          </w:p>
        </w:tc>
        <w:tc>
          <w:tcPr>
            <w:tcW w:w="1843" w:type="dxa"/>
          </w:tcPr>
          <w:p w14:paraId="56C9BC44" w14:textId="5FA01AAC" w:rsidR="007B64DF" w:rsidRPr="00202703" w:rsidRDefault="00AE42D7" w:rsidP="007B64DF">
            <w:pPr>
              <w:spacing w:line="276" w:lineRule="auto"/>
              <w:jc w:val="both"/>
              <w:rPr>
                <w:sz w:val="22"/>
                <w:szCs w:val="22"/>
                <w:lang w:val="fr-FR" w:eastAsia="en-US"/>
              </w:rPr>
            </w:pPr>
            <w:r>
              <w:rPr>
                <w:sz w:val="22"/>
                <w:szCs w:val="22"/>
                <w:lang w:val="fr-FR" w:eastAsia="en-US"/>
              </w:rPr>
              <w:t xml:space="preserve">1, soit </w:t>
            </w:r>
            <w:r w:rsidRPr="00202703">
              <w:rPr>
                <w:sz w:val="22"/>
                <w:szCs w:val="22"/>
                <w:lang w:val="fr-FR" w:eastAsia="en-US"/>
              </w:rPr>
              <w:t xml:space="preserve">100% </w:t>
            </w:r>
            <w:r>
              <w:rPr>
                <w:sz w:val="22"/>
                <w:szCs w:val="22"/>
                <w:lang w:val="fr-FR" w:eastAsia="en-US"/>
              </w:rPr>
              <w:t>de réalisation</w:t>
            </w:r>
          </w:p>
        </w:tc>
        <w:tc>
          <w:tcPr>
            <w:tcW w:w="2977" w:type="dxa"/>
          </w:tcPr>
          <w:p w14:paraId="14486322" w14:textId="77777777" w:rsidR="007B64DF" w:rsidRPr="00202703" w:rsidRDefault="007B64DF" w:rsidP="007B64DF">
            <w:pPr>
              <w:spacing w:line="276" w:lineRule="auto"/>
              <w:jc w:val="both"/>
              <w:rPr>
                <w:sz w:val="22"/>
                <w:szCs w:val="22"/>
                <w:lang w:val="fr-FR" w:eastAsia="en-US"/>
              </w:rPr>
            </w:pPr>
          </w:p>
        </w:tc>
      </w:tr>
      <w:tr w:rsidR="007B64DF" w:rsidRPr="00BB4A8C" w14:paraId="244A4E6B" w14:textId="77777777" w:rsidTr="00657D09">
        <w:trPr>
          <w:trHeight w:val="422"/>
        </w:trPr>
        <w:tc>
          <w:tcPr>
            <w:tcW w:w="2976" w:type="dxa"/>
            <w:vMerge/>
            <w:shd w:val="clear" w:color="auto" w:fill="auto"/>
          </w:tcPr>
          <w:p w14:paraId="516F9CA4"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41D92661"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Nombre de diagnostics et de plans locaux de sécurité sensibles au genre (30% axés sur les besoins spécifiques des femmes et des jeunes filles) </w:t>
            </w:r>
          </w:p>
        </w:tc>
        <w:tc>
          <w:tcPr>
            <w:tcW w:w="1276" w:type="dxa"/>
            <w:shd w:val="clear" w:color="auto" w:fill="EEECE1"/>
          </w:tcPr>
          <w:p w14:paraId="42A2392B" w14:textId="77777777" w:rsidR="007B64DF" w:rsidRPr="00202703" w:rsidRDefault="007B64DF" w:rsidP="007B64DF">
            <w:pPr>
              <w:spacing w:line="276" w:lineRule="auto"/>
              <w:rPr>
                <w:sz w:val="22"/>
                <w:szCs w:val="22"/>
                <w:lang w:val="fr-FR" w:eastAsia="en-US"/>
              </w:rPr>
            </w:pPr>
            <w:r w:rsidRPr="00202703">
              <w:rPr>
                <w:sz w:val="22"/>
                <w:szCs w:val="22"/>
                <w:lang w:val="fr-FR" w:eastAsia="en-US"/>
              </w:rPr>
              <w:t>0</w:t>
            </w:r>
          </w:p>
        </w:tc>
        <w:tc>
          <w:tcPr>
            <w:tcW w:w="1279" w:type="dxa"/>
            <w:shd w:val="clear" w:color="auto" w:fill="EEECE1"/>
            <w:vAlign w:val="center"/>
          </w:tcPr>
          <w:p w14:paraId="64780FF8"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1</w:t>
            </w:r>
          </w:p>
        </w:tc>
        <w:tc>
          <w:tcPr>
            <w:tcW w:w="1559" w:type="dxa"/>
          </w:tcPr>
          <w:p w14:paraId="6D0985C4"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1</w:t>
            </w:r>
          </w:p>
        </w:tc>
        <w:tc>
          <w:tcPr>
            <w:tcW w:w="1843" w:type="dxa"/>
          </w:tcPr>
          <w:p w14:paraId="215DA6E4" w14:textId="1C2C1613" w:rsidR="007B64DF" w:rsidRPr="00202703" w:rsidRDefault="0055643E" w:rsidP="007B64DF">
            <w:pPr>
              <w:spacing w:line="276" w:lineRule="auto"/>
              <w:jc w:val="both"/>
              <w:rPr>
                <w:sz w:val="22"/>
                <w:szCs w:val="22"/>
                <w:lang w:val="fr-FR" w:eastAsia="en-US"/>
              </w:rPr>
            </w:pPr>
            <w:r>
              <w:rPr>
                <w:sz w:val="22"/>
                <w:szCs w:val="22"/>
                <w:lang w:val="fr-FR" w:eastAsia="en-US"/>
              </w:rPr>
              <w:t xml:space="preserve">1, soit </w:t>
            </w:r>
            <w:r w:rsidRPr="00202703">
              <w:rPr>
                <w:sz w:val="22"/>
                <w:szCs w:val="22"/>
                <w:lang w:val="fr-FR" w:eastAsia="en-US"/>
              </w:rPr>
              <w:t xml:space="preserve">100% </w:t>
            </w:r>
            <w:r>
              <w:rPr>
                <w:sz w:val="22"/>
                <w:szCs w:val="22"/>
                <w:lang w:val="fr-FR" w:eastAsia="en-US"/>
              </w:rPr>
              <w:t>de réalisation de l’indicateur</w:t>
            </w:r>
          </w:p>
        </w:tc>
        <w:tc>
          <w:tcPr>
            <w:tcW w:w="2977" w:type="dxa"/>
          </w:tcPr>
          <w:p w14:paraId="20D847E1" w14:textId="77777777" w:rsidR="007B64DF" w:rsidRPr="00202703" w:rsidRDefault="007B64DF" w:rsidP="007B64DF">
            <w:pPr>
              <w:spacing w:line="276" w:lineRule="auto"/>
              <w:jc w:val="both"/>
              <w:rPr>
                <w:sz w:val="22"/>
                <w:szCs w:val="22"/>
                <w:lang w:val="fr-FR" w:eastAsia="en-US"/>
              </w:rPr>
            </w:pPr>
          </w:p>
        </w:tc>
      </w:tr>
      <w:tr w:rsidR="007B64DF" w:rsidRPr="00BB4A8C" w14:paraId="2462D61F" w14:textId="77777777" w:rsidTr="00657D09">
        <w:trPr>
          <w:trHeight w:val="422"/>
        </w:trPr>
        <w:tc>
          <w:tcPr>
            <w:tcW w:w="2976" w:type="dxa"/>
            <w:vMerge/>
            <w:shd w:val="clear" w:color="auto" w:fill="auto"/>
          </w:tcPr>
          <w:p w14:paraId="51AF23E1"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470053BE"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Nombre de cas d'abus et d'exploitation sexuelle reportés et investigués au sein de la Police </w:t>
            </w:r>
          </w:p>
        </w:tc>
        <w:tc>
          <w:tcPr>
            <w:tcW w:w="1276" w:type="dxa"/>
            <w:shd w:val="clear" w:color="auto" w:fill="EEECE1"/>
          </w:tcPr>
          <w:p w14:paraId="7299742A" w14:textId="77777777" w:rsidR="007B64DF" w:rsidRPr="00202703" w:rsidRDefault="007B64DF" w:rsidP="007B64DF">
            <w:pPr>
              <w:jc w:val="both"/>
              <w:rPr>
                <w:sz w:val="22"/>
                <w:szCs w:val="22"/>
              </w:rPr>
            </w:pPr>
            <w:r w:rsidRPr="00202703">
              <w:rPr>
                <w:sz w:val="22"/>
                <w:szCs w:val="22"/>
              </w:rPr>
              <w:t>166</w:t>
            </w:r>
          </w:p>
        </w:tc>
        <w:tc>
          <w:tcPr>
            <w:tcW w:w="1279" w:type="dxa"/>
            <w:shd w:val="clear" w:color="auto" w:fill="EEECE1"/>
            <w:vAlign w:val="center"/>
          </w:tcPr>
          <w:p w14:paraId="040A6ECA"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50</w:t>
            </w:r>
          </w:p>
        </w:tc>
        <w:tc>
          <w:tcPr>
            <w:tcW w:w="1559" w:type="dxa"/>
          </w:tcPr>
          <w:p w14:paraId="1F48F4DB"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32</w:t>
            </w:r>
          </w:p>
        </w:tc>
        <w:tc>
          <w:tcPr>
            <w:tcW w:w="1843" w:type="dxa"/>
          </w:tcPr>
          <w:p w14:paraId="4CE6353F" w14:textId="74AB195B" w:rsidR="007B64DF" w:rsidRPr="00202703" w:rsidRDefault="00A2439F" w:rsidP="007B64DF">
            <w:pPr>
              <w:spacing w:line="276" w:lineRule="auto"/>
              <w:jc w:val="both"/>
              <w:rPr>
                <w:sz w:val="22"/>
                <w:szCs w:val="22"/>
                <w:lang w:val="fr-FR" w:eastAsia="en-US"/>
              </w:rPr>
            </w:pPr>
            <w:r>
              <w:rPr>
                <w:sz w:val="22"/>
                <w:szCs w:val="22"/>
                <w:lang w:val="fr-FR" w:eastAsia="en-US"/>
              </w:rPr>
              <w:t>32, soit 116</w:t>
            </w:r>
            <w:r w:rsidRPr="00202703">
              <w:rPr>
                <w:sz w:val="22"/>
                <w:szCs w:val="22"/>
                <w:lang w:val="fr-FR" w:eastAsia="en-US"/>
              </w:rPr>
              <w:t xml:space="preserve">% </w:t>
            </w:r>
            <w:r>
              <w:rPr>
                <w:sz w:val="22"/>
                <w:szCs w:val="22"/>
                <w:lang w:val="fr-FR" w:eastAsia="en-US"/>
              </w:rPr>
              <w:t>de réalisation de l’indicateur</w:t>
            </w:r>
          </w:p>
        </w:tc>
        <w:tc>
          <w:tcPr>
            <w:tcW w:w="2977" w:type="dxa"/>
          </w:tcPr>
          <w:p w14:paraId="36959ADD" w14:textId="77777777" w:rsidR="007B64DF" w:rsidRPr="00202703" w:rsidRDefault="007B64DF" w:rsidP="007B64DF">
            <w:pPr>
              <w:spacing w:line="276" w:lineRule="auto"/>
              <w:jc w:val="both"/>
              <w:rPr>
                <w:sz w:val="22"/>
                <w:szCs w:val="22"/>
                <w:lang w:val="fr-FR" w:eastAsia="en-US"/>
              </w:rPr>
            </w:pPr>
          </w:p>
        </w:tc>
      </w:tr>
      <w:tr w:rsidR="007B64DF" w:rsidRPr="00BB4A8C" w14:paraId="32D3DC58" w14:textId="77777777" w:rsidTr="00657D09">
        <w:trPr>
          <w:trHeight w:val="422"/>
        </w:trPr>
        <w:tc>
          <w:tcPr>
            <w:tcW w:w="2976" w:type="dxa"/>
            <w:vMerge w:val="restart"/>
            <w:shd w:val="clear" w:color="auto" w:fill="auto"/>
          </w:tcPr>
          <w:p w14:paraId="7EBD21D3"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Résultat 2 : L'intégration sociale et économique et la résilience des communautés, en particulier celle des groupes vulnérables, est renforcée comme alternative à la violence</w:t>
            </w:r>
          </w:p>
        </w:tc>
        <w:tc>
          <w:tcPr>
            <w:tcW w:w="1984" w:type="dxa"/>
            <w:shd w:val="clear" w:color="auto" w:fill="EEECE1"/>
            <w:vAlign w:val="center"/>
          </w:tcPr>
          <w:p w14:paraId="38C78F31"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Augmentation de l'offre ou demande de production </w:t>
            </w:r>
          </w:p>
        </w:tc>
        <w:tc>
          <w:tcPr>
            <w:tcW w:w="1276" w:type="dxa"/>
            <w:shd w:val="clear" w:color="auto" w:fill="EEECE1"/>
          </w:tcPr>
          <w:p w14:paraId="5ACD283C" w14:textId="1FD25B5C" w:rsidR="007B64DF" w:rsidRPr="001D61A5" w:rsidRDefault="007B64DF" w:rsidP="007B64DF">
            <w:pPr>
              <w:spacing w:line="276" w:lineRule="auto"/>
              <w:jc w:val="both"/>
              <w:rPr>
                <w:sz w:val="22"/>
                <w:szCs w:val="22"/>
                <w:lang w:val="fr-FR"/>
              </w:rPr>
            </w:pPr>
            <w:r>
              <w:rPr>
                <w:sz w:val="22"/>
                <w:szCs w:val="22"/>
                <w:lang w:val="fr-FR"/>
              </w:rPr>
              <w:t>0%</w:t>
            </w:r>
          </w:p>
        </w:tc>
        <w:tc>
          <w:tcPr>
            <w:tcW w:w="1279" w:type="dxa"/>
            <w:shd w:val="clear" w:color="auto" w:fill="EEECE1"/>
            <w:vAlign w:val="center"/>
          </w:tcPr>
          <w:p w14:paraId="0B8D730C"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60%</w:t>
            </w:r>
          </w:p>
        </w:tc>
        <w:tc>
          <w:tcPr>
            <w:tcW w:w="1559" w:type="dxa"/>
          </w:tcPr>
          <w:p w14:paraId="4C834064" w14:textId="62F8B9E8"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624A1C89"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0%</w:t>
            </w:r>
          </w:p>
        </w:tc>
        <w:tc>
          <w:tcPr>
            <w:tcW w:w="2977" w:type="dxa"/>
          </w:tcPr>
          <w:p w14:paraId="5035964D" w14:textId="6E33A9F1" w:rsidR="007B64DF" w:rsidRPr="00202703" w:rsidRDefault="007B64DF" w:rsidP="007B64DF">
            <w:pPr>
              <w:spacing w:line="276" w:lineRule="auto"/>
              <w:jc w:val="both"/>
              <w:rPr>
                <w:sz w:val="22"/>
                <w:szCs w:val="22"/>
                <w:lang w:val="fr-FR" w:eastAsia="en-US"/>
              </w:rPr>
            </w:pPr>
            <w:r>
              <w:rPr>
                <w:sz w:val="22"/>
                <w:szCs w:val="22"/>
                <w:lang w:val="fr-FR" w:eastAsia="en-US"/>
              </w:rPr>
              <w:t xml:space="preserve"> </w:t>
            </w:r>
            <w:r>
              <w:rPr>
                <w:sz w:val="22"/>
                <w:szCs w:val="22"/>
                <w:lang w:val="fr-FR" w:eastAsia="en-US"/>
              </w:rPr>
              <w:t>L’</w:t>
            </w:r>
            <w:r w:rsidRPr="00202703">
              <w:rPr>
                <w:sz w:val="22"/>
                <w:szCs w:val="22"/>
                <w:lang w:val="fr-FR" w:eastAsia="en-US"/>
              </w:rPr>
              <w:t xml:space="preserve">Analyse des offres des ONG de mise en œuvre </w:t>
            </w:r>
            <w:r>
              <w:rPr>
                <w:sz w:val="22"/>
                <w:szCs w:val="22"/>
                <w:lang w:val="fr-FR" w:eastAsia="en-US"/>
              </w:rPr>
              <w:t xml:space="preserve">est </w:t>
            </w:r>
            <w:r w:rsidRPr="00202703">
              <w:rPr>
                <w:sz w:val="22"/>
                <w:szCs w:val="22"/>
                <w:lang w:val="fr-FR" w:eastAsia="en-US"/>
              </w:rPr>
              <w:t>réalisée et la contractualisation</w:t>
            </w:r>
            <w:r>
              <w:rPr>
                <w:sz w:val="22"/>
                <w:szCs w:val="22"/>
                <w:lang w:val="fr-FR" w:eastAsia="en-US"/>
              </w:rPr>
              <w:t xml:space="preserve"> de l’ONG </w:t>
            </w:r>
            <w:r w:rsidRPr="00202703">
              <w:rPr>
                <w:sz w:val="22"/>
                <w:szCs w:val="22"/>
                <w:lang w:val="fr-FR" w:eastAsia="en-US"/>
              </w:rPr>
              <w:t>pour la mise en œuvre des AGR</w:t>
            </w:r>
            <w:r>
              <w:rPr>
                <w:sz w:val="22"/>
                <w:szCs w:val="22"/>
                <w:lang w:val="fr-FR" w:eastAsia="en-US"/>
              </w:rPr>
              <w:t xml:space="preserve"> est en cours de finalisation.</w:t>
            </w:r>
          </w:p>
        </w:tc>
      </w:tr>
      <w:tr w:rsidR="007B64DF" w:rsidRPr="00BB4A8C" w14:paraId="6AA5C0FE" w14:textId="77777777" w:rsidTr="00657D09">
        <w:trPr>
          <w:trHeight w:val="422"/>
        </w:trPr>
        <w:tc>
          <w:tcPr>
            <w:tcW w:w="2976" w:type="dxa"/>
            <w:vMerge/>
            <w:shd w:val="clear" w:color="auto" w:fill="auto"/>
          </w:tcPr>
          <w:p w14:paraId="04B8E3AE"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4403372B"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d'augmentation des revenus des bénéficiaires </w:t>
            </w:r>
            <w:r w:rsidRPr="00202703">
              <w:rPr>
                <w:sz w:val="22"/>
                <w:szCs w:val="22"/>
                <w:lang w:val="fr-FR" w:eastAsia="en-US"/>
              </w:rPr>
              <w:lastRenderedPageBreak/>
              <w:t xml:space="preserve">(désagrégé par sexe et par âge) </w:t>
            </w:r>
          </w:p>
        </w:tc>
        <w:tc>
          <w:tcPr>
            <w:tcW w:w="1276" w:type="dxa"/>
            <w:shd w:val="clear" w:color="auto" w:fill="EEECE1"/>
          </w:tcPr>
          <w:p w14:paraId="4A6845DC" w14:textId="28D8029F" w:rsidR="007B64DF" w:rsidRPr="00202703" w:rsidRDefault="007B64DF" w:rsidP="007B64DF">
            <w:pPr>
              <w:spacing w:line="276" w:lineRule="auto"/>
              <w:jc w:val="both"/>
              <w:rPr>
                <w:sz w:val="22"/>
                <w:szCs w:val="22"/>
              </w:rPr>
            </w:pPr>
            <w:r w:rsidRPr="00202703">
              <w:rPr>
                <w:sz w:val="22"/>
                <w:szCs w:val="22"/>
              </w:rPr>
              <w:lastRenderedPageBreak/>
              <w:t>3,80</w:t>
            </w:r>
            <w:r>
              <w:rPr>
                <w:sz w:val="22"/>
                <w:szCs w:val="22"/>
              </w:rPr>
              <w:t xml:space="preserve"> %</w:t>
            </w:r>
          </w:p>
        </w:tc>
        <w:tc>
          <w:tcPr>
            <w:tcW w:w="1279" w:type="dxa"/>
            <w:shd w:val="clear" w:color="auto" w:fill="EEECE1"/>
            <w:vAlign w:val="center"/>
          </w:tcPr>
          <w:p w14:paraId="1D4CEF93"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60%</w:t>
            </w:r>
          </w:p>
        </w:tc>
        <w:tc>
          <w:tcPr>
            <w:tcW w:w="1559" w:type="dxa"/>
          </w:tcPr>
          <w:p w14:paraId="2B8FAE66" w14:textId="4F0B7B42"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42224A48"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0%</w:t>
            </w:r>
          </w:p>
        </w:tc>
        <w:tc>
          <w:tcPr>
            <w:tcW w:w="2977" w:type="dxa"/>
          </w:tcPr>
          <w:p w14:paraId="38889415"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Les AGR ne sont pas encore réalisées</w:t>
            </w:r>
          </w:p>
        </w:tc>
      </w:tr>
      <w:tr w:rsidR="007B64DF" w:rsidRPr="00BB4A8C" w14:paraId="243CBD75" w14:textId="77777777" w:rsidTr="00657D09">
        <w:trPr>
          <w:trHeight w:val="422"/>
        </w:trPr>
        <w:tc>
          <w:tcPr>
            <w:tcW w:w="2976" w:type="dxa"/>
            <w:vMerge/>
            <w:shd w:val="clear" w:color="auto" w:fill="auto"/>
          </w:tcPr>
          <w:p w14:paraId="73E9C888"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6ABEF7B3"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Nombre d'emplois crées à travers les AGR (désagrégé par catégories : victimes ; démobilisés volontaires ; homme ; femmes) ;   </w:t>
            </w:r>
          </w:p>
        </w:tc>
        <w:tc>
          <w:tcPr>
            <w:tcW w:w="1276" w:type="dxa"/>
            <w:shd w:val="clear" w:color="auto" w:fill="EEECE1"/>
          </w:tcPr>
          <w:p w14:paraId="3B317641" w14:textId="5BBC33F1" w:rsidR="007B64DF" w:rsidRPr="00202703" w:rsidRDefault="007B64DF" w:rsidP="007B64DF">
            <w:pPr>
              <w:spacing w:line="276" w:lineRule="auto"/>
              <w:rPr>
                <w:sz w:val="22"/>
                <w:szCs w:val="22"/>
                <w:lang w:val="fr-FR" w:eastAsia="en-US"/>
              </w:rPr>
            </w:pPr>
            <w:r w:rsidRPr="00202703">
              <w:rPr>
                <w:sz w:val="22"/>
                <w:szCs w:val="22"/>
                <w:lang w:val="fr-FR" w:eastAsia="en-US"/>
              </w:rPr>
              <w:t>0</w:t>
            </w:r>
          </w:p>
        </w:tc>
        <w:tc>
          <w:tcPr>
            <w:tcW w:w="1279" w:type="dxa"/>
            <w:shd w:val="clear" w:color="auto" w:fill="EEECE1"/>
            <w:vAlign w:val="center"/>
          </w:tcPr>
          <w:p w14:paraId="7392687D"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500</w:t>
            </w:r>
          </w:p>
        </w:tc>
        <w:tc>
          <w:tcPr>
            <w:tcW w:w="1559" w:type="dxa"/>
          </w:tcPr>
          <w:p w14:paraId="52BF6B2F" w14:textId="068484CC"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147FD9F2" w14:textId="24E73637" w:rsidR="007B64DF" w:rsidRPr="00202703" w:rsidRDefault="00B043FA" w:rsidP="007B64DF">
            <w:pPr>
              <w:spacing w:line="276" w:lineRule="auto"/>
              <w:jc w:val="both"/>
              <w:rPr>
                <w:sz w:val="22"/>
                <w:szCs w:val="22"/>
                <w:lang w:val="fr-FR" w:eastAsia="en-US"/>
              </w:rPr>
            </w:pPr>
            <w:r>
              <w:rPr>
                <w:sz w:val="22"/>
                <w:szCs w:val="22"/>
                <w:lang w:val="fr-FR" w:eastAsia="en-US"/>
              </w:rPr>
              <w:t>0</w:t>
            </w:r>
          </w:p>
        </w:tc>
        <w:tc>
          <w:tcPr>
            <w:tcW w:w="2977" w:type="dxa"/>
          </w:tcPr>
          <w:p w14:paraId="07D8D3A9" w14:textId="5517A6FC" w:rsidR="007B64DF" w:rsidRPr="00202703" w:rsidRDefault="007B64DF" w:rsidP="007B64DF">
            <w:pPr>
              <w:spacing w:line="276" w:lineRule="auto"/>
              <w:jc w:val="both"/>
              <w:rPr>
                <w:sz w:val="22"/>
                <w:szCs w:val="22"/>
                <w:lang w:val="fr-FR" w:eastAsia="en-US"/>
              </w:rPr>
            </w:pPr>
            <w:r>
              <w:rPr>
                <w:sz w:val="22"/>
                <w:szCs w:val="22"/>
                <w:lang w:val="fr-FR" w:eastAsia="en-US"/>
              </w:rPr>
              <w:t>L’</w:t>
            </w:r>
            <w:r w:rsidRPr="00202703">
              <w:rPr>
                <w:sz w:val="22"/>
                <w:szCs w:val="22"/>
                <w:lang w:val="fr-FR" w:eastAsia="en-US"/>
              </w:rPr>
              <w:t xml:space="preserve">Analyse des offres des ONG de mise en œuvre </w:t>
            </w:r>
            <w:r>
              <w:rPr>
                <w:sz w:val="22"/>
                <w:szCs w:val="22"/>
                <w:lang w:val="fr-FR" w:eastAsia="en-US"/>
              </w:rPr>
              <w:t xml:space="preserve">est </w:t>
            </w:r>
            <w:r w:rsidRPr="00202703">
              <w:rPr>
                <w:sz w:val="22"/>
                <w:szCs w:val="22"/>
                <w:lang w:val="fr-FR" w:eastAsia="en-US"/>
              </w:rPr>
              <w:t>réalisée et la contractualisation</w:t>
            </w:r>
            <w:r>
              <w:rPr>
                <w:sz w:val="22"/>
                <w:szCs w:val="22"/>
                <w:lang w:val="fr-FR" w:eastAsia="en-US"/>
              </w:rPr>
              <w:t xml:space="preserve"> de l’ONG </w:t>
            </w:r>
            <w:r w:rsidRPr="00202703">
              <w:rPr>
                <w:sz w:val="22"/>
                <w:szCs w:val="22"/>
                <w:lang w:val="fr-FR" w:eastAsia="en-US"/>
              </w:rPr>
              <w:t>pour la mise en œuvre des AGR</w:t>
            </w:r>
            <w:r>
              <w:rPr>
                <w:sz w:val="22"/>
                <w:szCs w:val="22"/>
                <w:lang w:val="fr-FR" w:eastAsia="en-US"/>
              </w:rPr>
              <w:t xml:space="preserve"> est en cours de finalisation.</w:t>
            </w:r>
            <w:r w:rsidRPr="00202703">
              <w:rPr>
                <w:sz w:val="22"/>
                <w:szCs w:val="22"/>
                <w:lang w:val="fr-FR" w:eastAsia="en-US"/>
              </w:rPr>
              <w:t xml:space="preserve"> </w:t>
            </w:r>
            <w:r w:rsidRPr="00202703">
              <w:rPr>
                <w:sz w:val="22"/>
                <w:szCs w:val="22"/>
                <w:lang w:val="fr-FR" w:eastAsia="en-US"/>
              </w:rPr>
              <w:t>.</w:t>
            </w:r>
          </w:p>
        </w:tc>
      </w:tr>
      <w:tr w:rsidR="007B64DF" w:rsidRPr="00BB4A8C" w14:paraId="29E9FB9F" w14:textId="77777777" w:rsidTr="00657D09">
        <w:trPr>
          <w:trHeight w:val="422"/>
        </w:trPr>
        <w:tc>
          <w:tcPr>
            <w:tcW w:w="2976" w:type="dxa"/>
            <w:vMerge/>
            <w:shd w:val="clear" w:color="auto" w:fill="auto"/>
          </w:tcPr>
          <w:p w14:paraId="493CFAC9"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436DBD39"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de bénéficiaires déclarant être en mesure de subvenir à leurs besoins et ceux de leurs familles </w:t>
            </w:r>
          </w:p>
        </w:tc>
        <w:tc>
          <w:tcPr>
            <w:tcW w:w="1276" w:type="dxa"/>
            <w:shd w:val="clear" w:color="auto" w:fill="EEECE1"/>
          </w:tcPr>
          <w:p w14:paraId="64010321" w14:textId="76F83AE1" w:rsidR="007B64DF" w:rsidRPr="00202703" w:rsidRDefault="007B64DF" w:rsidP="007B64DF">
            <w:pPr>
              <w:spacing w:line="276" w:lineRule="auto"/>
              <w:jc w:val="both"/>
              <w:rPr>
                <w:sz w:val="22"/>
                <w:szCs w:val="22"/>
              </w:rPr>
            </w:pPr>
            <w:r w:rsidRPr="00202703">
              <w:rPr>
                <w:sz w:val="22"/>
                <w:szCs w:val="22"/>
              </w:rPr>
              <w:t>23,80</w:t>
            </w:r>
            <w:r>
              <w:rPr>
                <w:sz w:val="22"/>
                <w:szCs w:val="22"/>
              </w:rPr>
              <w:t>%</w:t>
            </w:r>
          </w:p>
        </w:tc>
        <w:tc>
          <w:tcPr>
            <w:tcW w:w="1279" w:type="dxa"/>
            <w:shd w:val="clear" w:color="auto" w:fill="EEECE1"/>
            <w:vAlign w:val="center"/>
          </w:tcPr>
          <w:p w14:paraId="15E1F783"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80%</w:t>
            </w:r>
          </w:p>
        </w:tc>
        <w:tc>
          <w:tcPr>
            <w:tcW w:w="1559" w:type="dxa"/>
          </w:tcPr>
          <w:p w14:paraId="18E10CFF" w14:textId="076DE492"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0CBC5327"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0%</w:t>
            </w:r>
          </w:p>
        </w:tc>
        <w:tc>
          <w:tcPr>
            <w:tcW w:w="2977" w:type="dxa"/>
          </w:tcPr>
          <w:p w14:paraId="2FCEC1B5" w14:textId="1DE67268" w:rsidR="007B64DF" w:rsidRPr="00202703" w:rsidRDefault="007B64DF" w:rsidP="007B64DF">
            <w:pPr>
              <w:spacing w:line="276" w:lineRule="auto"/>
              <w:jc w:val="both"/>
              <w:rPr>
                <w:sz w:val="22"/>
                <w:szCs w:val="22"/>
                <w:lang w:val="fr-FR" w:eastAsia="en-US"/>
              </w:rPr>
            </w:pPr>
            <w:r>
              <w:rPr>
                <w:sz w:val="22"/>
                <w:szCs w:val="22"/>
                <w:lang w:val="fr-FR" w:eastAsia="en-US"/>
              </w:rPr>
              <w:t xml:space="preserve"> </w:t>
            </w:r>
            <w:r>
              <w:rPr>
                <w:sz w:val="22"/>
                <w:szCs w:val="22"/>
                <w:lang w:val="fr-FR" w:eastAsia="en-US"/>
              </w:rPr>
              <w:t>L’</w:t>
            </w:r>
            <w:r w:rsidRPr="00202703">
              <w:rPr>
                <w:sz w:val="22"/>
                <w:szCs w:val="22"/>
                <w:lang w:val="fr-FR" w:eastAsia="en-US"/>
              </w:rPr>
              <w:t xml:space="preserve">Analyse des offres des ONG de mise en œuvre </w:t>
            </w:r>
            <w:r>
              <w:rPr>
                <w:sz w:val="22"/>
                <w:szCs w:val="22"/>
                <w:lang w:val="fr-FR" w:eastAsia="en-US"/>
              </w:rPr>
              <w:t xml:space="preserve">est </w:t>
            </w:r>
            <w:r w:rsidRPr="00202703">
              <w:rPr>
                <w:sz w:val="22"/>
                <w:szCs w:val="22"/>
                <w:lang w:val="fr-FR" w:eastAsia="en-US"/>
              </w:rPr>
              <w:t>réalisée et la contractualisation</w:t>
            </w:r>
            <w:r>
              <w:rPr>
                <w:sz w:val="22"/>
                <w:szCs w:val="22"/>
                <w:lang w:val="fr-FR" w:eastAsia="en-US"/>
              </w:rPr>
              <w:t xml:space="preserve"> de l’ONG </w:t>
            </w:r>
            <w:r w:rsidRPr="00202703">
              <w:rPr>
                <w:sz w:val="22"/>
                <w:szCs w:val="22"/>
                <w:lang w:val="fr-FR" w:eastAsia="en-US"/>
              </w:rPr>
              <w:t>pour la mise en œuvre des AGR</w:t>
            </w:r>
            <w:r>
              <w:rPr>
                <w:sz w:val="22"/>
                <w:szCs w:val="22"/>
                <w:lang w:val="fr-FR" w:eastAsia="en-US"/>
              </w:rPr>
              <w:t xml:space="preserve"> est en cours de finalisation</w:t>
            </w:r>
            <w:r>
              <w:rPr>
                <w:sz w:val="22"/>
                <w:szCs w:val="22"/>
                <w:lang w:val="fr-FR" w:eastAsia="en-US"/>
              </w:rPr>
              <w:t>.</w:t>
            </w:r>
            <w:r w:rsidRPr="00202703">
              <w:rPr>
                <w:sz w:val="22"/>
                <w:szCs w:val="22"/>
                <w:lang w:val="fr-FR" w:eastAsia="en-US"/>
              </w:rPr>
              <w:t xml:space="preserve"> </w:t>
            </w:r>
          </w:p>
        </w:tc>
      </w:tr>
      <w:tr w:rsidR="007B64DF" w:rsidRPr="00BB4A8C" w14:paraId="4D8812CD" w14:textId="77777777" w:rsidTr="00657D09">
        <w:trPr>
          <w:trHeight w:val="422"/>
        </w:trPr>
        <w:tc>
          <w:tcPr>
            <w:tcW w:w="2976" w:type="dxa"/>
            <w:vMerge w:val="restart"/>
            <w:shd w:val="clear" w:color="auto" w:fill="auto"/>
          </w:tcPr>
          <w:p w14:paraId="1066C573"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Produit 2.1: Les plans locaux de paix et de développement (PLPD) intégrant l'analyse des conflits et la dimension genre, en lien avec les plans locaux de sécurité de proximité, sont élaborés et mis en œuvre,</w:t>
            </w:r>
          </w:p>
        </w:tc>
        <w:tc>
          <w:tcPr>
            <w:tcW w:w="1984" w:type="dxa"/>
            <w:shd w:val="clear" w:color="auto" w:fill="EEECE1"/>
            <w:vAlign w:val="center"/>
          </w:tcPr>
          <w:p w14:paraId="51B19994"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Nombre de plan locaux de paix et de développement élaborés et ayant fait l'objet de mesures d'application </w:t>
            </w:r>
          </w:p>
        </w:tc>
        <w:tc>
          <w:tcPr>
            <w:tcW w:w="1276" w:type="dxa"/>
            <w:shd w:val="clear" w:color="auto" w:fill="EEECE1"/>
          </w:tcPr>
          <w:p w14:paraId="255DA393"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0</w:t>
            </w:r>
          </w:p>
        </w:tc>
        <w:tc>
          <w:tcPr>
            <w:tcW w:w="1279" w:type="dxa"/>
            <w:shd w:val="clear" w:color="auto" w:fill="EEECE1"/>
            <w:vAlign w:val="center"/>
          </w:tcPr>
          <w:p w14:paraId="14590BF5"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10</w:t>
            </w:r>
          </w:p>
        </w:tc>
        <w:tc>
          <w:tcPr>
            <w:tcW w:w="1559" w:type="dxa"/>
          </w:tcPr>
          <w:p w14:paraId="372C6968" w14:textId="2CBFD08E"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3DD4857C" w14:textId="0B65864F"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0% </w:t>
            </w:r>
          </w:p>
        </w:tc>
        <w:tc>
          <w:tcPr>
            <w:tcW w:w="2977" w:type="dxa"/>
          </w:tcPr>
          <w:p w14:paraId="1D11C38F" w14:textId="6CBE274D" w:rsidR="007B64DF" w:rsidRPr="00202703" w:rsidRDefault="007B64DF" w:rsidP="007B64DF">
            <w:pPr>
              <w:spacing w:line="276" w:lineRule="auto"/>
              <w:jc w:val="both"/>
              <w:rPr>
                <w:sz w:val="22"/>
                <w:szCs w:val="22"/>
                <w:lang w:val="fr-FR" w:eastAsia="en-US"/>
              </w:rPr>
            </w:pPr>
            <w:r w:rsidRPr="00202703">
              <w:rPr>
                <w:sz w:val="22"/>
                <w:szCs w:val="22"/>
                <w:lang w:val="fr-FR" w:eastAsia="en-US"/>
              </w:rPr>
              <w:t>L’activité liée à l’élaboration des plans locaux est en cours d’élaborations</w:t>
            </w:r>
            <w:r>
              <w:rPr>
                <w:sz w:val="22"/>
                <w:szCs w:val="22"/>
                <w:lang w:val="fr-FR" w:eastAsia="en-US"/>
              </w:rPr>
              <w:t>.</w:t>
            </w:r>
            <w:r w:rsidRPr="00202703">
              <w:rPr>
                <w:strike/>
                <w:sz w:val="22"/>
                <w:szCs w:val="22"/>
                <w:lang w:val="fr-FR" w:eastAsia="en-US"/>
              </w:rPr>
              <w:t xml:space="preserve"> </w:t>
            </w:r>
            <w:r w:rsidRPr="00202703">
              <w:rPr>
                <w:sz w:val="22"/>
                <w:szCs w:val="22"/>
                <w:lang w:val="fr-FR" w:eastAsia="en-US"/>
              </w:rPr>
              <w:t>Diagnostic participatif des besoins de développement réalisé et données collectées en cours d’analyse</w:t>
            </w:r>
          </w:p>
        </w:tc>
      </w:tr>
      <w:tr w:rsidR="007B64DF" w:rsidRPr="00BB4A8C" w14:paraId="4331402E" w14:textId="77777777" w:rsidTr="00657D09">
        <w:trPr>
          <w:trHeight w:val="422"/>
        </w:trPr>
        <w:tc>
          <w:tcPr>
            <w:tcW w:w="2976" w:type="dxa"/>
            <w:vMerge/>
            <w:shd w:val="clear" w:color="auto" w:fill="auto"/>
          </w:tcPr>
          <w:p w14:paraId="784611BE"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3323ACF8"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Nombre de membres de la communauté participant à </w:t>
            </w:r>
            <w:r w:rsidRPr="00202703">
              <w:rPr>
                <w:sz w:val="22"/>
                <w:szCs w:val="22"/>
                <w:lang w:val="fr-FR" w:eastAsia="en-US"/>
              </w:rPr>
              <w:lastRenderedPageBreak/>
              <w:t xml:space="preserve">l'élaboration et à la mise en œuvre des CLPD </w:t>
            </w:r>
          </w:p>
        </w:tc>
        <w:tc>
          <w:tcPr>
            <w:tcW w:w="1276" w:type="dxa"/>
            <w:shd w:val="clear" w:color="auto" w:fill="EEECE1"/>
          </w:tcPr>
          <w:p w14:paraId="7AAF852D"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lastRenderedPageBreak/>
              <w:t>0</w:t>
            </w:r>
          </w:p>
        </w:tc>
        <w:tc>
          <w:tcPr>
            <w:tcW w:w="1279" w:type="dxa"/>
            <w:shd w:val="clear" w:color="auto" w:fill="EEECE1"/>
            <w:vAlign w:val="center"/>
          </w:tcPr>
          <w:p w14:paraId="3A94FC72"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30</w:t>
            </w:r>
          </w:p>
        </w:tc>
        <w:tc>
          <w:tcPr>
            <w:tcW w:w="1559" w:type="dxa"/>
          </w:tcPr>
          <w:p w14:paraId="00A566E0" w14:textId="55F6A6CA" w:rsidR="007B64DF" w:rsidRPr="00202703" w:rsidRDefault="007B64DF" w:rsidP="007B64DF">
            <w:pPr>
              <w:spacing w:line="276" w:lineRule="auto"/>
              <w:jc w:val="both"/>
              <w:rPr>
                <w:sz w:val="22"/>
                <w:szCs w:val="22"/>
                <w:lang w:val="fr-FR" w:eastAsia="en-US"/>
              </w:rPr>
            </w:pPr>
            <w:r>
              <w:rPr>
                <w:sz w:val="22"/>
                <w:szCs w:val="22"/>
                <w:lang w:val="fr-FR" w:eastAsia="en-US"/>
              </w:rPr>
              <w:t>30</w:t>
            </w:r>
          </w:p>
        </w:tc>
        <w:tc>
          <w:tcPr>
            <w:tcW w:w="1843" w:type="dxa"/>
          </w:tcPr>
          <w:p w14:paraId="64686176" w14:textId="3F887165" w:rsidR="007B64DF" w:rsidRPr="00202703" w:rsidRDefault="00510DD4" w:rsidP="007B64DF">
            <w:pPr>
              <w:spacing w:line="276" w:lineRule="auto"/>
              <w:jc w:val="both"/>
              <w:rPr>
                <w:sz w:val="22"/>
                <w:szCs w:val="22"/>
                <w:lang w:val="fr-FR" w:eastAsia="en-US"/>
              </w:rPr>
            </w:pPr>
            <w:r>
              <w:rPr>
                <w:sz w:val="22"/>
                <w:szCs w:val="22"/>
                <w:lang w:val="fr-FR" w:eastAsia="en-US"/>
              </w:rPr>
              <w:t xml:space="preserve">30, soit </w:t>
            </w:r>
            <w:r w:rsidRPr="00202703">
              <w:rPr>
                <w:sz w:val="22"/>
                <w:szCs w:val="22"/>
                <w:lang w:val="fr-FR" w:eastAsia="en-US"/>
              </w:rPr>
              <w:t>1</w:t>
            </w:r>
            <w:r>
              <w:rPr>
                <w:sz w:val="22"/>
                <w:szCs w:val="22"/>
                <w:lang w:val="fr-FR" w:eastAsia="en-US"/>
              </w:rPr>
              <w:t>00</w:t>
            </w:r>
            <w:r w:rsidRPr="00202703">
              <w:rPr>
                <w:sz w:val="22"/>
                <w:szCs w:val="22"/>
                <w:lang w:val="fr-FR" w:eastAsia="en-US"/>
              </w:rPr>
              <w:t xml:space="preserve">% </w:t>
            </w:r>
            <w:r>
              <w:rPr>
                <w:sz w:val="22"/>
                <w:szCs w:val="22"/>
                <w:lang w:val="fr-FR" w:eastAsia="en-US"/>
              </w:rPr>
              <w:t>de réalisation de l’indicateur</w:t>
            </w:r>
          </w:p>
        </w:tc>
        <w:tc>
          <w:tcPr>
            <w:tcW w:w="2977" w:type="dxa"/>
          </w:tcPr>
          <w:p w14:paraId="136FCDA7" w14:textId="70730FF9"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L’activité liée à l’élaboration des plans locaux (PLD - PAPD- PIL) </w:t>
            </w:r>
          </w:p>
        </w:tc>
      </w:tr>
      <w:tr w:rsidR="007B64DF" w:rsidRPr="00BB4A8C" w14:paraId="052457AB" w14:textId="77777777" w:rsidTr="00657D09">
        <w:trPr>
          <w:trHeight w:val="422"/>
        </w:trPr>
        <w:tc>
          <w:tcPr>
            <w:tcW w:w="2976" w:type="dxa"/>
            <w:vMerge w:val="restart"/>
            <w:shd w:val="clear" w:color="auto" w:fill="auto"/>
          </w:tcPr>
          <w:p w14:paraId="53780D9C"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Produit 2.3: Des infrastructures communautaires ouvrant à la relance socioéconomique et à la cohésion sociale des communautés, sont réhabilitées à travers la création d'emplois temporaires</w:t>
            </w:r>
          </w:p>
        </w:tc>
        <w:tc>
          <w:tcPr>
            <w:tcW w:w="1984" w:type="dxa"/>
            <w:shd w:val="clear" w:color="auto" w:fill="EEECE1"/>
            <w:vAlign w:val="center"/>
          </w:tcPr>
          <w:p w14:paraId="3FAEFEE6"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Nombre et type d'infrastructures communautaires réhabilitées/construites à travers l'approche HIMO </w:t>
            </w:r>
          </w:p>
        </w:tc>
        <w:tc>
          <w:tcPr>
            <w:tcW w:w="1276" w:type="dxa"/>
            <w:shd w:val="clear" w:color="auto" w:fill="EEECE1"/>
          </w:tcPr>
          <w:p w14:paraId="3775A69B" w14:textId="77777777" w:rsidR="007B64DF" w:rsidRPr="00202703" w:rsidRDefault="007B64DF" w:rsidP="007B64DF">
            <w:pPr>
              <w:spacing w:line="276" w:lineRule="auto"/>
              <w:rPr>
                <w:sz w:val="22"/>
                <w:szCs w:val="22"/>
                <w:lang w:val="fr-FR" w:eastAsia="en-US"/>
              </w:rPr>
            </w:pPr>
            <w:r w:rsidRPr="00202703">
              <w:rPr>
                <w:sz w:val="22"/>
                <w:szCs w:val="22"/>
                <w:lang w:val="fr-FR" w:eastAsia="en-US"/>
              </w:rPr>
              <w:t>0</w:t>
            </w:r>
          </w:p>
        </w:tc>
        <w:tc>
          <w:tcPr>
            <w:tcW w:w="1279" w:type="dxa"/>
            <w:shd w:val="clear" w:color="auto" w:fill="EEECE1"/>
            <w:vAlign w:val="center"/>
          </w:tcPr>
          <w:p w14:paraId="3785551C"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3</w:t>
            </w:r>
          </w:p>
        </w:tc>
        <w:tc>
          <w:tcPr>
            <w:tcW w:w="1559" w:type="dxa"/>
          </w:tcPr>
          <w:p w14:paraId="111EF3FB" w14:textId="0938ACF6"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6B82B1BB" w14:textId="5E500340" w:rsidR="007B64DF" w:rsidRPr="00202703" w:rsidRDefault="00FA2042" w:rsidP="007B64DF">
            <w:pPr>
              <w:spacing w:line="276" w:lineRule="auto"/>
              <w:jc w:val="both"/>
              <w:rPr>
                <w:sz w:val="22"/>
                <w:szCs w:val="22"/>
                <w:lang w:val="fr-FR" w:eastAsia="en-US"/>
              </w:rPr>
            </w:pPr>
            <w:r>
              <w:rPr>
                <w:sz w:val="22"/>
                <w:szCs w:val="22"/>
                <w:lang w:val="fr-FR" w:eastAsia="en-US"/>
              </w:rPr>
              <w:t>0</w:t>
            </w:r>
            <w:r w:rsidR="007B64DF" w:rsidRPr="00202703">
              <w:rPr>
                <w:sz w:val="22"/>
                <w:szCs w:val="22"/>
                <w:lang w:val="fr-FR" w:eastAsia="en-US"/>
              </w:rPr>
              <w:t xml:space="preserve"> </w:t>
            </w:r>
          </w:p>
        </w:tc>
        <w:tc>
          <w:tcPr>
            <w:tcW w:w="2977" w:type="dxa"/>
          </w:tcPr>
          <w:p w14:paraId="0FE95310" w14:textId="261D28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w:t>
            </w:r>
            <w:r>
              <w:rPr>
                <w:sz w:val="22"/>
                <w:szCs w:val="22"/>
                <w:lang w:val="fr-FR" w:eastAsia="en-US"/>
              </w:rPr>
              <w:t>L’</w:t>
            </w:r>
            <w:r w:rsidRPr="00202703">
              <w:rPr>
                <w:sz w:val="22"/>
                <w:szCs w:val="22"/>
                <w:lang w:val="fr-FR" w:eastAsia="en-US"/>
              </w:rPr>
              <w:t>Analyse des offres des ONG de mise en œuvre réalisée et la contractualisation</w:t>
            </w:r>
            <w:r>
              <w:rPr>
                <w:sz w:val="22"/>
                <w:szCs w:val="22"/>
                <w:lang w:val="fr-FR" w:eastAsia="en-US"/>
              </w:rPr>
              <w:t xml:space="preserve"> de l’ONG </w:t>
            </w:r>
            <w:r w:rsidRPr="00202703">
              <w:rPr>
                <w:sz w:val="22"/>
                <w:szCs w:val="22"/>
                <w:lang w:val="fr-FR" w:eastAsia="en-US"/>
              </w:rPr>
              <w:t>pour la mise en œuvre des activités HIMO et AGR</w:t>
            </w:r>
            <w:r>
              <w:rPr>
                <w:sz w:val="22"/>
                <w:szCs w:val="22"/>
                <w:lang w:val="fr-FR" w:eastAsia="en-US"/>
              </w:rPr>
              <w:t xml:space="preserve"> est en cours de finalisation.</w:t>
            </w:r>
            <w:r w:rsidRPr="00202703">
              <w:rPr>
                <w:sz w:val="22"/>
                <w:szCs w:val="22"/>
                <w:lang w:val="fr-FR" w:eastAsia="en-US"/>
              </w:rPr>
              <w:t xml:space="preserve"> Le rapport quant à l’estimation des coûts des travaux de réhabilitation est en cours d’appréciation</w:t>
            </w:r>
          </w:p>
        </w:tc>
      </w:tr>
      <w:tr w:rsidR="007B64DF" w:rsidRPr="002C6697" w14:paraId="410A93C2" w14:textId="77777777" w:rsidTr="00657D09">
        <w:trPr>
          <w:trHeight w:val="422"/>
        </w:trPr>
        <w:tc>
          <w:tcPr>
            <w:tcW w:w="2976" w:type="dxa"/>
            <w:vMerge/>
            <w:shd w:val="clear" w:color="auto" w:fill="auto"/>
          </w:tcPr>
          <w:p w14:paraId="5E440034"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71C8B6DC"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Nombre de bénéficiaires vulnérables des communautés locales embauchées dans le HIMO par provinces (désagrégé par sexe) </w:t>
            </w:r>
          </w:p>
        </w:tc>
        <w:tc>
          <w:tcPr>
            <w:tcW w:w="1276" w:type="dxa"/>
            <w:shd w:val="clear" w:color="auto" w:fill="EEECE1"/>
          </w:tcPr>
          <w:p w14:paraId="3C1C0C4F" w14:textId="77777777" w:rsidR="007B64DF" w:rsidRPr="00202703" w:rsidRDefault="007B64DF" w:rsidP="007B64DF">
            <w:pPr>
              <w:spacing w:line="276" w:lineRule="auto"/>
              <w:rPr>
                <w:sz w:val="22"/>
                <w:szCs w:val="22"/>
                <w:lang w:val="fr-FR" w:eastAsia="en-US"/>
              </w:rPr>
            </w:pPr>
            <w:r w:rsidRPr="00202703">
              <w:rPr>
                <w:sz w:val="22"/>
                <w:szCs w:val="22"/>
                <w:lang w:val="fr-FR" w:eastAsia="en-US"/>
              </w:rPr>
              <w:t>0</w:t>
            </w:r>
          </w:p>
        </w:tc>
        <w:tc>
          <w:tcPr>
            <w:tcW w:w="1279" w:type="dxa"/>
            <w:shd w:val="clear" w:color="auto" w:fill="EEECE1"/>
            <w:vAlign w:val="center"/>
          </w:tcPr>
          <w:p w14:paraId="1B110C3E"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500</w:t>
            </w:r>
          </w:p>
        </w:tc>
        <w:tc>
          <w:tcPr>
            <w:tcW w:w="1559" w:type="dxa"/>
          </w:tcPr>
          <w:p w14:paraId="780F5C52" w14:textId="47A621DD"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00559FAB" w14:textId="4B6E03CF" w:rsidR="007B64DF" w:rsidRPr="00202703" w:rsidRDefault="00FA2042" w:rsidP="007B64DF">
            <w:pPr>
              <w:spacing w:line="276" w:lineRule="auto"/>
              <w:jc w:val="both"/>
              <w:rPr>
                <w:sz w:val="22"/>
                <w:szCs w:val="22"/>
                <w:lang w:val="fr-FR" w:eastAsia="en-US"/>
              </w:rPr>
            </w:pPr>
            <w:r>
              <w:rPr>
                <w:sz w:val="22"/>
                <w:szCs w:val="22"/>
                <w:lang w:val="fr-FR" w:eastAsia="en-US"/>
              </w:rPr>
              <w:t>0</w:t>
            </w:r>
          </w:p>
        </w:tc>
        <w:tc>
          <w:tcPr>
            <w:tcW w:w="2977" w:type="dxa"/>
          </w:tcPr>
          <w:p w14:paraId="6FDB098F" w14:textId="03C640A2" w:rsidR="007B64DF" w:rsidRPr="00202703" w:rsidRDefault="007B64DF" w:rsidP="007B64DF">
            <w:pPr>
              <w:spacing w:line="276" w:lineRule="auto"/>
              <w:jc w:val="both"/>
              <w:rPr>
                <w:sz w:val="22"/>
                <w:szCs w:val="22"/>
                <w:lang w:val="fr-FR" w:eastAsia="en-US"/>
              </w:rPr>
            </w:pPr>
            <w:r w:rsidRPr="00202703">
              <w:rPr>
                <w:sz w:val="22"/>
                <w:szCs w:val="22"/>
                <w:lang w:val="fr-FR" w:eastAsia="en-US"/>
              </w:rPr>
              <w:t>Les activités HIMO seront entamées incessamment</w:t>
            </w:r>
            <w:r>
              <w:rPr>
                <w:sz w:val="22"/>
                <w:szCs w:val="22"/>
                <w:lang w:val="fr-FR" w:eastAsia="en-US"/>
              </w:rPr>
              <w:t>.</w:t>
            </w:r>
            <w:r w:rsidRPr="00202703">
              <w:rPr>
                <w:sz w:val="22"/>
                <w:szCs w:val="22"/>
                <w:lang w:val="fr-FR" w:eastAsia="en-US"/>
              </w:rPr>
              <w:t xml:space="preserve"> Pas encore embauchés</w:t>
            </w:r>
          </w:p>
        </w:tc>
      </w:tr>
      <w:tr w:rsidR="007B64DF" w:rsidRPr="00BB4A8C" w14:paraId="4A32EBE6" w14:textId="77777777" w:rsidTr="00657D09">
        <w:trPr>
          <w:trHeight w:val="422"/>
        </w:trPr>
        <w:tc>
          <w:tcPr>
            <w:tcW w:w="2976" w:type="dxa"/>
            <w:vMerge w:val="restart"/>
            <w:shd w:val="clear" w:color="auto" w:fill="auto"/>
          </w:tcPr>
          <w:p w14:paraId="4DD3556A"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Produit 2.4: Les jeunes et les femmes ont accès à des moyens de subsistance durables (à travers le lancement ou le renforcement d'activités </w:t>
            </w:r>
            <w:r w:rsidRPr="00202703">
              <w:rPr>
                <w:sz w:val="22"/>
                <w:szCs w:val="22"/>
                <w:lang w:val="fr-FR" w:eastAsia="en-US"/>
              </w:rPr>
              <w:lastRenderedPageBreak/>
              <w:t>génératrices de revenus innovantes, ainsi que la capitalisation sur leur épargne constituée) contribuant à réduire leurs vulnérabilités socioéconomiques</w:t>
            </w:r>
          </w:p>
        </w:tc>
        <w:tc>
          <w:tcPr>
            <w:tcW w:w="1984" w:type="dxa"/>
            <w:shd w:val="clear" w:color="auto" w:fill="EEECE1"/>
            <w:vAlign w:val="center"/>
          </w:tcPr>
          <w:p w14:paraId="3F80987A"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lastRenderedPageBreak/>
              <w:t xml:space="preserve">Nombre d'activités génératrices de revenus fonctionnelles (rendre compte sur </w:t>
            </w:r>
            <w:r w:rsidRPr="00202703">
              <w:rPr>
                <w:sz w:val="22"/>
                <w:szCs w:val="22"/>
                <w:lang w:val="fr-FR" w:eastAsia="en-US"/>
              </w:rPr>
              <w:lastRenderedPageBreak/>
              <w:t xml:space="preserve">leur capital et son évolution) </w:t>
            </w:r>
          </w:p>
        </w:tc>
        <w:tc>
          <w:tcPr>
            <w:tcW w:w="1276" w:type="dxa"/>
            <w:shd w:val="clear" w:color="auto" w:fill="EEECE1"/>
          </w:tcPr>
          <w:p w14:paraId="43665969" w14:textId="77777777" w:rsidR="007B64DF" w:rsidRPr="00202703" w:rsidRDefault="007B64DF" w:rsidP="007B64DF">
            <w:pPr>
              <w:spacing w:line="276" w:lineRule="auto"/>
              <w:rPr>
                <w:sz w:val="22"/>
                <w:szCs w:val="22"/>
                <w:lang w:val="fr-FR" w:eastAsia="en-US"/>
              </w:rPr>
            </w:pPr>
            <w:r w:rsidRPr="00202703">
              <w:rPr>
                <w:sz w:val="22"/>
                <w:szCs w:val="22"/>
                <w:lang w:val="fr-FR" w:eastAsia="en-US"/>
              </w:rPr>
              <w:lastRenderedPageBreak/>
              <w:t>0</w:t>
            </w:r>
          </w:p>
        </w:tc>
        <w:tc>
          <w:tcPr>
            <w:tcW w:w="1279" w:type="dxa"/>
            <w:shd w:val="clear" w:color="auto" w:fill="EEECE1"/>
            <w:vAlign w:val="center"/>
          </w:tcPr>
          <w:p w14:paraId="4880E9DC"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400</w:t>
            </w:r>
          </w:p>
        </w:tc>
        <w:tc>
          <w:tcPr>
            <w:tcW w:w="1559" w:type="dxa"/>
          </w:tcPr>
          <w:p w14:paraId="14987929" w14:textId="569504F3"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386CE460" w14:textId="2DEBB592" w:rsidR="007B64DF" w:rsidRPr="00202703" w:rsidRDefault="00FA2042" w:rsidP="007B64DF">
            <w:pPr>
              <w:spacing w:line="276" w:lineRule="auto"/>
              <w:jc w:val="both"/>
              <w:rPr>
                <w:sz w:val="22"/>
                <w:szCs w:val="22"/>
                <w:lang w:val="fr-FR" w:eastAsia="en-US"/>
              </w:rPr>
            </w:pPr>
            <w:r>
              <w:rPr>
                <w:sz w:val="22"/>
                <w:szCs w:val="22"/>
                <w:lang w:val="fr-FR" w:eastAsia="en-US"/>
              </w:rPr>
              <w:t>0</w:t>
            </w:r>
            <w:r w:rsidR="007B64DF" w:rsidRPr="00202703">
              <w:rPr>
                <w:sz w:val="22"/>
                <w:szCs w:val="22"/>
                <w:lang w:val="fr-FR" w:eastAsia="en-US"/>
              </w:rPr>
              <w:t xml:space="preserve"> </w:t>
            </w:r>
          </w:p>
        </w:tc>
        <w:tc>
          <w:tcPr>
            <w:tcW w:w="2977" w:type="dxa"/>
          </w:tcPr>
          <w:p w14:paraId="4481FF7B"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Les AGR sont consécutives aux activités HIMO  </w:t>
            </w:r>
          </w:p>
        </w:tc>
      </w:tr>
      <w:tr w:rsidR="007B64DF" w:rsidRPr="00BB4A8C" w14:paraId="2436306E" w14:textId="77777777" w:rsidTr="00657D09">
        <w:trPr>
          <w:trHeight w:val="422"/>
        </w:trPr>
        <w:tc>
          <w:tcPr>
            <w:tcW w:w="2976" w:type="dxa"/>
            <w:vMerge/>
            <w:shd w:val="clear" w:color="auto" w:fill="auto"/>
          </w:tcPr>
          <w:p w14:paraId="1E90A4B5"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2E0B788A"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Nombre de personnes formées comme formateurs des jeunes et des femmes sur les moyens de subsistance  </w:t>
            </w:r>
          </w:p>
        </w:tc>
        <w:tc>
          <w:tcPr>
            <w:tcW w:w="1276" w:type="dxa"/>
            <w:shd w:val="clear" w:color="auto" w:fill="EEECE1"/>
          </w:tcPr>
          <w:p w14:paraId="091C163C"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0</w:t>
            </w:r>
          </w:p>
        </w:tc>
        <w:tc>
          <w:tcPr>
            <w:tcW w:w="1279" w:type="dxa"/>
            <w:shd w:val="clear" w:color="auto" w:fill="EEECE1"/>
            <w:vAlign w:val="center"/>
          </w:tcPr>
          <w:p w14:paraId="158DB5F2"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200</w:t>
            </w:r>
          </w:p>
        </w:tc>
        <w:tc>
          <w:tcPr>
            <w:tcW w:w="1559" w:type="dxa"/>
          </w:tcPr>
          <w:p w14:paraId="7889B697" w14:textId="46A16CF8" w:rsidR="007B64DF" w:rsidRPr="00202703" w:rsidRDefault="007B64DF" w:rsidP="007B64DF">
            <w:pPr>
              <w:spacing w:line="276" w:lineRule="auto"/>
              <w:jc w:val="both"/>
              <w:rPr>
                <w:sz w:val="22"/>
                <w:szCs w:val="22"/>
                <w:lang w:val="fr-FR" w:eastAsia="en-US"/>
              </w:rPr>
            </w:pPr>
            <w:r>
              <w:rPr>
                <w:sz w:val="22"/>
                <w:szCs w:val="22"/>
                <w:lang w:val="fr-FR" w:eastAsia="en-US"/>
              </w:rPr>
              <w:t xml:space="preserve">35 personnes formées </w:t>
            </w:r>
          </w:p>
        </w:tc>
        <w:tc>
          <w:tcPr>
            <w:tcW w:w="1843" w:type="dxa"/>
          </w:tcPr>
          <w:p w14:paraId="562EA91A" w14:textId="763D16A4" w:rsidR="007B64DF" w:rsidRPr="00202703" w:rsidRDefault="002D08A8" w:rsidP="007B64DF">
            <w:pPr>
              <w:spacing w:line="276" w:lineRule="auto"/>
              <w:jc w:val="both"/>
              <w:rPr>
                <w:sz w:val="22"/>
                <w:szCs w:val="22"/>
                <w:lang w:val="fr-FR" w:eastAsia="en-US"/>
              </w:rPr>
            </w:pPr>
            <w:r w:rsidRPr="00202703">
              <w:rPr>
                <w:sz w:val="22"/>
                <w:szCs w:val="22"/>
                <w:lang w:val="fr-FR" w:eastAsia="en-US"/>
              </w:rPr>
              <w:t>35</w:t>
            </w:r>
            <w:r>
              <w:rPr>
                <w:sz w:val="22"/>
                <w:szCs w:val="22"/>
                <w:lang w:val="fr-FR" w:eastAsia="en-US"/>
              </w:rPr>
              <w:t>, soit 18</w:t>
            </w:r>
            <w:r w:rsidRPr="00202703">
              <w:rPr>
                <w:sz w:val="22"/>
                <w:szCs w:val="22"/>
                <w:lang w:val="fr-FR" w:eastAsia="en-US"/>
              </w:rPr>
              <w:t xml:space="preserve">% </w:t>
            </w:r>
            <w:r>
              <w:rPr>
                <w:sz w:val="22"/>
                <w:szCs w:val="22"/>
                <w:lang w:val="fr-FR" w:eastAsia="en-US"/>
              </w:rPr>
              <w:t>de réalisation de l’indicateur</w:t>
            </w:r>
          </w:p>
        </w:tc>
        <w:tc>
          <w:tcPr>
            <w:tcW w:w="2977" w:type="dxa"/>
          </w:tcPr>
          <w:p w14:paraId="571A3A2A"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La formation va continuer jusqu’atteindre 200 personnes.</w:t>
            </w:r>
          </w:p>
        </w:tc>
      </w:tr>
      <w:tr w:rsidR="007B64DF" w:rsidRPr="00BB4A8C" w14:paraId="174C0909" w14:textId="77777777" w:rsidTr="00657D09">
        <w:trPr>
          <w:trHeight w:val="422"/>
        </w:trPr>
        <w:tc>
          <w:tcPr>
            <w:tcW w:w="2976" w:type="dxa"/>
            <w:vMerge/>
            <w:shd w:val="clear" w:color="auto" w:fill="auto"/>
          </w:tcPr>
          <w:p w14:paraId="4DECB743"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0D3F743D"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Nombre de membres de communautés vulnérables impliquées dans les AGR pour la relance d'une économie durable (désagrégé par sexe et faire le suivi du capital et revenus) </w:t>
            </w:r>
          </w:p>
        </w:tc>
        <w:tc>
          <w:tcPr>
            <w:tcW w:w="1276" w:type="dxa"/>
            <w:shd w:val="clear" w:color="auto" w:fill="EEECE1"/>
          </w:tcPr>
          <w:p w14:paraId="565AF50B"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0</w:t>
            </w:r>
          </w:p>
        </w:tc>
        <w:tc>
          <w:tcPr>
            <w:tcW w:w="1279" w:type="dxa"/>
            <w:shd w:val="clear" w:color="auto" w:fill="EEECE1"/>
            <w:vAlign w:val="center"/>
          </w:tcPr>
          <w:p w14:paraId="7A777944"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400</w:t>
            </w:r>
          </w:p>
        </w:tc>
        <w:tc>
          <w:tcPr>
            <w:tcW w:w="1559" w:type="dxa"/>
          </w:tcPr>
          <w:p w14:paraId="5474107A" w14:textId="209A8DF6"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03A8EC05" w14:textId="6444DDEC" w:rsidR="007B64DF" w:rsidRPr="00202703" w:rsidRDefault="009C1200" w:rsidP="007B64DF">
            <w:pPr>
              <w:spacing w:line="276" w:lineRule="auto"/>
              <w:jc w:val="both"/>
              <w:rPr>
                <w:sz w:val="22"/>
                <w:szCs w:val="22"/>
                <w:lang w:val="fr-FR" w:eastAsia="en-US"/>
              </w:rPr>
            </w:pPr>
            <w:r>
              <w:rPr>
                <w:sz w:val="22"/>
                <w:szCs w:val="22"/>
                <w:lang w:val="fr-FR" w:eastAsia="en-US"/>
              </w:rPr>
              <w:t>0</w:t>
            </w:r>
          </w:p>
        </w:tc>
        <w:tc>
          <w:tcPr>
            <w:tcW w:w="2977" w:type="dxa"/>
          </w:tcPr>
          <w:p w14:paraId="02732B2D"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Les AGR sont consécutives à la mise en œuvre des activités HIMO</w:t>
            </w:r>
          </w:p>
        </w:tc>
      </w:tr>
      <w:tr w:rsidR="007B64DF" w:rsidRPr="00202703" w14:paraId="5D937591" w14:textId="77777777" w:rsidTr="00657D09">
        <w:trPr>
          <w:trHeight w:val="422"/>
        </w:trPr>
        <w:tc>
          <w:tcPr>
            <w:tcW w:w="2976" w:type="dxa"/>
            <w:vMerge/>
            <w:shd w:val="clear" w:color="auto" w:fill="auto"/>
          </w:tcPr>
          <w:p w14:paraId="5B034DC6"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28CB9BEB"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Nombre de chaînes de valeurs renforcées  </w:t>
            </w:r>
          </w:p>
        </w:tc>
        <w:tc>
          <w:tcPr>
            <w:tcW w:w="1276" w:type="dxa"/>
            <w:shd w:val="clear" w:color="auto" w:fill="EEECE1"/>
          </w:tcPr>
          <w:p w14:paraId="26294AEF" w14:textId="537CFEF5" w:rsidR="007B64DF" w:rsidRPr="00202703" w:rsidRDefault="007B64DF" w:rsidP="007B64DF">
            <w:pPr>
              <w:spacing w:line="276" w:lineRule="auto"/>
              <w:jc w:val="center"/>
              <w:rPr>
                <w:sz w:val="22"/>
                <w:szCs w:val="22"/>
                <w:lang w:val="fr-FR" w:eastAsia="en-US"/>
              </w:rPr>
            </w:pPr>
            <w:r>
              <w:rPr>
                <w:sz w:val="22"/>
                <w:szCs w:val="22"/>
                <w:lang w:val="fr-FR" w:eastAsia="en-US"/>
              </w:rPr>
              <w:t>00</w:t>
            </w:r>
          </w:p>
        </w:tc>
        <w:tc>
          <w:tcPr>
            <w:tcW w:w="1279" w:type="dxa"/>
            <w:shd w:val="clear" w:color="auto" w:fill="EEECE1"/>
            <w:vAlign w:val="center"/>
          </w:tcPr>
          <w:p w14:paraId="192C6E05"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4</w:t>
            </w:r>
          </w:p>
        </w:tc>
        <w:tc>
          <w:tcPr>
            <w:tcW w:w="1559" w:type="dxa"/>
          </w:tcPr>
          <w:p w14:paraId="58857C53" w14:textId="4102927B"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w:t>
            </w:r>
            <w:r>
              <w:rPr>
                <w:sz w:val="22"/>
                <w:szCs w:val="22"/>
                <w:lang w:val="fr-FR" w:eastAsia="en-US"/>
              </w:rPr>
              <w:t>0</w:t>
            </w:r>
          </w:p>
        </w:tc>
        <w:tc>
          <w:tcPr>
            <w:tcW w:w="1843" w:type="dxa"/>
          </w:tcPr>
          <w:p w14:paraId="13FF5312" w14:textId="1ABA5A2B" w:rsidR="007B64DF" w:rsidRPr="00202703" w:rsidRDefault="00AD1CAA" w:rsidP="007B64DF">
            <w:pPr>
              <w:spacing w:line="276" w:lineRule="auto"/>
              <w:jc w:val="both"/>
              <w:rPr>
                <w:sz w:val="22"/>
                <w:szCs w:val="22"/>
                <w:lang w:val="fr-FR" w:eastAsia="en-US"/>
              </w:rPr>
            </w:pPr>
            <w:r>
              <w:rPr>
                <w:sz w:val="22"/>
                <w:szCs w:val="22"/>
                <w:lang w:val="fr-FR" w:eastAsia="en-US"/>
              </w:rPr>
              <w:t>0</w:t>
            </w:r>
            <w:r w:rsidR="007B64DF" w:rsidRPr="00202703">
              <w:rPr>
                <w:sz w:val="22"/>
                <w:szCs w:val="22"/>
                <w:lang w:val="fr-FR" w:eastAsia="en-US"/>
              </w:rPr>
              <w:t xml:space="preserve"> </w:t>
            </w:r>
          </w:p>
        </w:tc>
        <w:tc>
          <w:tcPr>
            <w:tcW w:w="2977" w:type="dxa"/>
          </w:tcPr>
          <w:p w14:paraId="4522A7FD"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w:t>
            </w:r>
          </w:p>
        </w:tc>
      </w:tr>
      <w:tr w:rsidR="007B64DF" w:rsidRPr="00BB4A8C" w14:paraId="16FB1AC8" w14:textId="77777777" w:rsidTr="00657D09">
        <w:trPr>
          <w:trHeight w:val="422"/>
        </w:trPr>
        <w:tc>
          <w:tcPr>
            <w:tcW w:w="2976" w:type="dxa"/>
            <w:vMerge/>
            <w:shd w:val="clear" w:color="auto" w:fill="auto"/>
          </w:tcPr>
          <w:p w14:paraId="7D1221A6"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3BA1E5AD"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d'acteurs économiques locaux (producteurs agricoles) </w:t>
            </w:r>
            <w:r w:rsidRPr="00202703">
              <w:rPr>
                <w:sz w:val="22"/>
                <w:szCs w:val="22"/>
                <w:lang w:val="fr-FR" w:eastAsia="en-US"/>
              </w:rPr>
              <w:lastRenderedPageBreak/>
              <w:t xml:space="preserve">connectés aux marchés locaux </w:t>
            </w:r>
          </w:p>
        </w:tc>
        <w:tc>
          <w:tcPr>
            <w:tcW w:w="1276" w:type="dxa"/>
            <w:shd w:val="clear" w:color="auto" w:fill="EEECE1"/>
          </w:tcPr>
          <w:p w14:paraId="4CF4E7CD" w14:textId="6AAE0094" w:rsidR="007B64DF" w:rsidRPr="00202703" w:rsidRDefault="007B64DF" w:rsidP="007B64DF">
            <w:pPr>
              <w:spacing w:line="276" w:lineRule="auto"/>
              <w:rPr>
                <w:sz w:val="22"/>
                <w:szCs w:val="22"/>
                <w:lang w:val="fr-FR" w:eastAsia="en-US"/>
              </w:rPr>
            </w:pPr>
            <w:r w:rsidRPr="00202703">
              <w:rPr>
                <w:sz w:val="22"/>
                <w:szCs w:val="22"/>
                <w:lang w:val="fr-FR" w:eastAsia="en-US"/>
              </w:rPr>
              <w:lastRenderedPageBreak/>
              <w:t>0</w:t>
            </w:r>
            <w:r>
              <w:rPr>
                <w:sz w:val="22"/>
                <w:szCs w:val="22"/>
                <w:lang w:val="fr-FR" w:eastAsia="en-US"/>
              </w:rPr>
              <w:t>%</w:t>
            </w:r>
          </w:p>
        </w:tc>
        <w:tc>
          <w:tcPr>
            <w:tcW w:w="1279" w:type="dxa"/>
            <w:shd w:val="clear" w:color="auto" w:fill="EEECE1"/>
            <w:vAlign w:val="center"/>
          </w:tcPr>
          <w:p w14:paraId="6A6D8806" w14:textId="011476F0" w:rsidR="007B64DF" w:rsidRPr="00202703" w:rsidRDefault="007B64DF" w:rsidP="007B64DF">
            <w:pPr>
              <w:spacing w:line="276" w:lineRule="auto"/>
              <w:jc w:val="both"/>
              <w:rPr>
                <w:sz w:val="22"/>
                <w:szCs w:val="22"/>
                <w:lang w:val="fr-FR" w:eastAsia="en-US"/>
              </w:rPr>
            </w:pPr>
            <w:r>
              <w:rPr>
                <w:sz w:val="22"/>
                <w:szCs w:val="22"/>
                <w:lang w:val="fr-FR" w:eastAsia="en-US"/>
              </w:rPr>
              <w:t>40%</w:t>
            </w:r>
          </w:p>
        </w:tc>
        <w:tc>
          <w:tcPr>
            <w:tcW w:w="1559" w:type="dxa"/>
          </w:tcPr>
          <w:p w14:paraId="0708453F" w14:textId="58D7058C"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w:t>
            </w:r>
            <w:r w:rsidR="00AD1CAA">
              <w:rPr>
                <w:sz w:val="22"/>
                <w:szCs w:val="22"/>
                <w:lang w:val="fr-FR" w:eastAsia="en-US"/>
              </w:rPr>
              <w:t>0</w:t>
            </w:r>
          </w:p>
        </w:tc>
        <w:tc>
          <w:tcPr>
            <w:tcW w:w="1843" w:type="dxa"/>
          </w:tcPr>
          <w:p w14:paraId="6355270D" w14:textId="09237CFA"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0 </w:t>
            </w:r>
          </w:p>
        </w:tc>
        <w:tc>
          <w:tcPr>
            <w:tcW w:w="2977" w:type="dxa"/>
          </w:tcPr>
          <w:p w14:paraId="54C7FB28"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Activité consécutive à celle de l’identification et diagnostic des chaines des valeurs.</w:t>
            </w:r>
          </w:p>
        </w:tc>
      </w:tr>
      <w:tr w:rsidR="007B64DF" w:rsidRPr="002C6697" w14:paraId="67260CE2" w14:textId="77777777" w:rsidTr="00657D09">
        <w:trPr>
          <w:trHeight w:val="422"/>
        </w:trPr>
        <w:tc>
          <w:tcPr>
            <w:tcW w:w="2976" w:type="dxa"/>
            <w:vMerge/>
            <w:shd w:val="clear" w:color="auto" w:fill="auto"/>
          </w:tcPr>
          <w:p w14:paraId="3A3F17B0" w14:textId="77777777" w:rsidR="007B64DF" w:rsidRPr="00202703" w:rsidRDefault="007B64DF" w:rsidP="007B64DF">
            <w:pPr>
              <w:spacing w:line="276" w:lineRule="auto"/>
              <w:jc w:val="both"/>
              <w:rPr>
                <w:sz w:val="22"/>
                <w:szCs w:val="22"/>
                <w:lang w:val="fr-FR" w:eastAsia="en-US"/>
              </w:rPr>
            </w:pPr>
          </w:p>
        </w:tc>
        <w:tc>
          <w:tcPr>
            <w:tcW w:w="1984" w:type="dxa"/>
            <w:shd w:val="clear" w:color="auto" w:fill="EEECE1"/>
            <w:vAlign w:val="center"/>
          </w:tcPr>
          <w:p w14:paraId="217C9B26"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 de la population ayant affirmé que leur condition de vie s'est améliorée grâce à la mise en place des chaines de valeurs </w:t>
            </w:r>
          </w:p>
        </w:tc>
        <w:tc>
          <w:tcPr>
            <w:tcW w:w="1276" w:type="dxa"/>
            <w:shd w:val="clear" w:color="auto" w:fill="EEECE1"/>
          </w:tcPr>
          <w:p w14:paraId="4458BCF9" w14:textId="58A9E7F8" w:rsidR="007B64DF" w:rsidRPr="00202703" w:rsidRDefault="007B64DF" w:rsidP="007B64DF">
            <w:pPr>
              <w:spacing w:line="276" w:lineRule="auto"/>
              <w:rPr>
                <w:sz w:val="22"/>
                <w:szCs w:val="22"/>
                <w:lang w:val="fr-FR" w:eastAsia="en-US"/>
              </w:rPr>
            </w:pPr>
            <w:r w:rsidRPr="00202703">
              <w:rPr>
                <w:sz w:val="22"/>
                <w:szCs w:val="22"/>
                <w:lang w:val="fr-FR" w:eastAsia="en-US"/>
              </w:rPr>
              <w:t>0</w:t>
            </w:r>
            <w:r>
              <w:rPr>
                <w:sz w:val="22"/>
                <w:szCs w:val="22"/>
                <w:lang w:val="fr-FR" w:eastAsia="en-US"/>
              </w:rPr>
              <w:t>%</w:t>
            </w:r>
          </w:p>
        </w:tc>
        <w:tc>
          <w:tcPr>
            <w:tcW w:w="1279" w:type="dxa"/>
            <w:shd w:val="clear" w:color="auto" w:fill="EEECE1"/>
            <w:vAlign w:val="center"/>
          </w:tcPr>
          <w:p w14:paraId="1B5670D4"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60%</w:t>
            </w:r>
          </w:p>
        </w:tc>
        <w:tc>
          <w:tcPr>
            <w:tcW w:w="1559" w:type="dxa"/>
          </w:tcPr>
          <w:p w14:paraId="5E333CB8" w14:textId="317E479B" w:rsidR="007B64DF" w:rsidRPr="00202703" w:rsidRDefault="007B64DF" w:rsidP="007B64DF">
            <w:pPr>
              <w:spacing w:line="276" w:lineRule="auto"/>
              <w:jc w:val="both"/>
              <w:rPr>
                <w:sz w:val="22"/>
                <w:szCs w:val="22"/>
                <w:lang w:val="fr-FR" w:eastAsia="en-US"/>
              </w:rPr>
            </w:pPr>
            <w:r>
              <w:rPr>
                <w:sz w:val="22"/>
                <w:szCs w:val="22"/>
                <w:lang w:val="fr-FR" w:eastAsia="en-US"/>
              </w:rPr>
              <w:t>0%</w:t>
            </w:r>
          </w:p>
        </w:tc>
        <w:tc>
          <w:tcPr>
            <w:tcW w:w="1843" w:type="dxa"/>
          </w:tcPr>
          <w:p w14:paraId="6EAD5886" w14:textId="77777777" w:rsidR="007B64DF" w:rsidRPr="00202703" w:rsidRDefault="007B64DF" w:rsidP="007B64DF">
            <w:pPr>
              <w:spacing w:line="276" w:lineRule="auto"/>
              <w:jc w:val="both"/>
              <w:rPr>
                <w:sz w:val="22"/>
                <w:szCs w:val="22"/>
                <w:lang w:val="fr-FR" w:eastAsia="en-US"/>
              </w:rPr>
            </w:pPr>
            <w:r w:rsidRPr="00202703">
              <w:rPr>
                <w:sz w:val="22"/>
                <w:szCs w:val="22"/>
                <w:lang w:val="fr-FR" w:eastAsia="en-US"/>
              </w:rPr>
              <w:t xml:space="preserve">0% </w:t>
            </w:r>
          </w:p>
        </w:tc>
        <w:tc>
          <w:tcPr>
            <w:tcW w:w="2977" w:type="dxa"/>
          </w:tcPr>
          <w:p w14:paraId="0B2A0C49" w14:textId="5EB0CE04" w:rsidR="007B64DF" w:rsidRPr="00202703" w:rsidRDefault="007B64DF" w:rsidP="007B64DF">
            <w:pPr>
              <w:spacing w:line="276" w:lineRule="auto"/>
              <w:jc w:val="both"/>
              <w:rPr>
                <w:sz w:val="22"/>
                <w:szCs w:val="22"/>
                <w:lang w:val="fr-FR" w:eastAsia="en-US"/>
              </w:rPr>
            </w:pPr>
            <w:r w:rsidRPr="00202703">
              <w:rPr>
                <w:sz w:val="22"/>
                <w:szCs w:val="22"/>
                <w:lang w:val="fr-FR" w:eastAsia="en-US"/>
              </w:rPr>
              <w:t>Les AGR n’ont pas encore été entamées. Pas encore entamé</w:t>
            </w:r>
          </w:p>
        </w:tc>
      </w:tr>
    </w:tbl>
    <w:p w14:paraId="30F7835D" w14:textId="23AD4844" w:rsidR="001D61A5" w:rsidRDefault="001D61A5" w:rsidP="003758E5">
      <w:pPr>
        <w:rPr>
          <w:b/>
          <w:u w:val="single"/>
          <w:lang w:val="fr-FR"/>
        </w:rPr>
        <w:sectPr w:rsidR="001D61A5"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323E1C01"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00 caractères</w:t>
      </w:r>
      <w:proofErr w:type="gramStart"/>
      <w:r w:rsidRPr="00F778A1">
        <w:rPr>
          <w:lang w:val="fr-FR"/>
        </w:rPr>
        <w:t>):</w:t>
      </w:r>
      <w:proofErr w:type="gramEnd"/>
      <w:r w:rsidRPr="00F778A1">
        <w:rPr>
          <w:lang w:val="fr-FR"/>
        </w:rPr>
        <w:t xml:space="preserve"> </w:t>
      </w:r>
      <w:r>
        <w:rPr>
          <w:lang w:val="fr-FR"/>
        </w:rPr>
        <w:fldChar w:fldCharType="begin">
          <w:ffData>
            <w:name w:val="Text54"/>
            <w:enabled/>
            <w:calcOnExit w:val="0"/>
            <w:textInput/>
          </w:ffData>
        </w:fldChar>
      </w:r>
      <w:bookmarkStart w:id="6"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
    </w:p>
    <w:p w14:paraId="13C52B88" w14:textId="6F44284F" w:rsidR="00117EE7" w:rsidRDefault="008E20DF" w:rsidP="00117EE7">
      <w:pPr>
        <w:ind w:left="-810"/>
        <w:rPr>
          <w:lang w:val="fr-FR"/>
        </w:rPr>
      </w:pPr>
      <w:r>
        <w:rPr>
          <w:lang w:val="fr-FR"/>
        </w:rPr>
        <w:t xml:space="preserve">Pour les six mois restants, les principales activités prévues sont entre autres : </w:t>
      </w:r>
    </w:p>
    <w:p w14:paraId="24CB4E92" w14:textId="7DD39408" w:rsidR="008E20DF" w:rsidRDefault="008E20DF" w:rsidP="008E20DF">
      <w:pPr>
        <w:pStyle w:val="ListParagraph"/>
        <w:numPr>
          <w:ilvl w:val="0"/>
          <w:numId w:val="7"/>
        </w:numPr>
        <w:rPr>
          <w:lang w:val="fr-FR"/>
        </w:rPr>
      </w:pPr>
      <w:r>
        <w:rPr>
          <w:lang w:val="fr-FR"/>
        </w:rPr>
        <w:t>L</w:t>
      </w:r>
      <w:r w:rsidR="00196A15">
        <w:rPr>
          <w:lang w:val="fr-FR"/>
        </w:rPr>
        <w:t>’achèvement de la réhabilitation des bâtiments de la PNC,</w:t>
      </w:r>
    </w:p>
    <w:p w14:paraId="38E2E128" w14:textId="1BA3BAD4" w:rsidR="00196A15" w:rsidRDefault="00196A15" w:rsidP="008E20DF">
      <w:pPr>
        <w:pStyle w:val="ListParagraph"/>
        <w:numPr>
          <w:ilvl w:val="0"/>
          <w:numId w:val="7"/>
        </w:numPr>
        <w:rPr>
          <w:lang w:val="fr-FR"/>
        </w:rPr>
      </w:pPr>
      <w:r>
        <w:rPr>
          <w:lang w:val="fr-FR"/>
        </w:rPr>
        <w:t xml:space="preserve">La poursuite la formation des </w:t>
      </w:r>
      <w:r w:rsidRPr="00BB4A8C">
        <w:rPr>
          <w:lang w:val="fr-FR"/>
        </w:rPr>
        <w:t>formateurs des jeunes et des femmes sur les moyens de subsistance</w:t>
      </w:r>
      <w:r>
        <w:rPr>
          <w:lang w:val="fr-FR"/>
        </w:rPr>
        <w:t xml:space="preserve">, </w:t>
      </w:r>
    </w:p>
    <w:p w14:paraId="734308EA" w14:textId="4634B030" w:rsidR="00196A15" w:rsidRDefault="00196A15" w:rsidP="008E20DF">
      <w:pPr>
        <w:pStyle w:val="ListParagraph"/>
        <w:numPr>
          <w:ilvl w:val="0"/>
          <w:numId w:val="7"/>
        </w:numPr>
        <w:rPr>
          <w:lang w:val="fr-FR"/>
        </w:rPr>
      </w:pPr>
      <w:r>
        <w:rPr>
          <w:lang w:val="fr-FR"/>
        </w:rPr>
        <w:t xml:space="preserve">L’achèvement de l’analyse des offres des </w:t>
      </w:r>
      <w:proofErr w:type="spellStart"/>
      <w:r>
        <w:rPr>
          <w:lang w:val="fr-FR"/>
        </w:rPr>
        <w:t>ONGs</w:t>
      </w:r>
      <w:proofErr w:type="spellEnd"/>
      <w:r>
        <w:rPr>
          <w:lang w:val="fr-FR"/>
        </w:rPr>
        <w:t xml:space="preserve"> et le démarrage effectif des activités à HIMO et des AGR, </w:t>
      </w:r>
    </w:p>
    <w:p w14:paraId="6E57EA91" w14:textId="224C9068" w:rsidR="00196A15" w:rsidRDefault="00B368F7" w:rsidP="008E20DF">
      <w:pPr>
        <w:pStyle w:val="ListParagraph"/>
        <w:numPr>
          <w:ilvl w:val="0"/>
          <w:numId w:val="7"/>
        </w:numPr>
        <w:rPr>
          <w:lang w:val="fr-FR"/>
        </w:rPr>
      </w:pPr>
      <w:r>
        <w:rPr>
          <w:lang w:val="fr-FR"/>
        </w:rPr>
        <w:t xml:space="preserve">La conduite de l’évaluation finale du projet. </w:t>
      </w:r>
    </w:p>
    <w:p w14:paraId="6E4C9D60" w14:textId="77777777" w:rsidR="002F1C02" w:rsidRPr="00B31137" w:rsidRDefault="002F1C02" w:rsidP="00B31137">
      <w:pPr>
        <w:ind w:left="-810"/>
        <w:rPr>
          <w:lang w:val="fr-FR"/>
        </w:rPr>
      </w:pPr>
    </w:p>
    <w:p w14:paraId="4B20A3BF" w14:textId="151A342D"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xml:space="preserve">. </w:t>
      </w:r>
    </w:p>
    <w:p w14:paraId="44005818" w14:textId="0A246F63" w:rsidR="00D440A2" w:rsidRPr="00657D09" w:rsidRDefault="00117EE7" w:rsidP="00657D09">
      <w:pPr>
        <w:autoSpaceDE w:val="0"/>
        <w:autoSpaceDN w:val="0"/>
        <w:adjustRightInd w:val="0"/>
        <w:ind w:left="-567"/>
        <w:jc w:val="both"/>
        <w:rPr>
          <w:lang w:val="fr-FR"/>
        </w:rPr>
      </w:pPr>
      <w:r w:rsidRPr="00627A1C">
        <w:fldChar w:fldCharType="begin">
          <w:ffData>
            <w:name w:val=""/>
            <w:enabled/>
            <w:calcOnExit w:val="0"/>
            <w:textInput>
              <w:maxLength w:val="2000"/>
            </w:textInput>
          </w:ffData>
        </w:fldChar>
      </w:r>
      <w:r w:rsidRPr="00657D09">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r w:rsidR="00D440A2" w:rsidRPr="00657D09">
        <w:rPr>
          <w:lang w:val="fr-FR"/>
        </w:rPr>
        <w:t xml:space="preserve"> A cette étape de la vie du projet, </w:t>
      </w:r>
      <w:r w:rsidR="00D440A2">
        <w:rPr>
          <w:lang w:val="fr-FR"/>
        </w:rPr>
        <w:t>l’évaluation à mi-parcours fait ressortir</w:t>
      </w:r>
      <w:r w:rsidR="00D440A2" w:rsidRPr="00657D09">
        <w:rPr>
          <w:lang w:val="fr-FR"/>
        </w:rPr>
        <w:t xml:space="preserve"> une amélioration dans la collaboration entre la population et les services de sécurité. La population n’a pas enregistré un nombre important de tracasseries de la part de la PNC ces six derniers mois. </w:t>
      </w:r>
      <w:r w:rsidR="00D440A2">
        <w:rPr>
          <w:lang w:val="fr-FR"/>
        </w:rPr>
        <w:t>Ce qui implique un changement positif du travail de l</w:t>
      </w:r>
      <w:r w:rsidR="00D440A2" w:rsidRPr="00657D09">
        <w:rPr>
          <w:lang w:val="fr-FR"/>
        </w:rPr>
        <w:t>a police</w:t>
      </w:r>
      <w:r w:rsidR="00D440A2">
        <w:rPr>
          <w:lang w:val="fr-FR"/>
        </w:rPr>
        <w:t xml:space="preserve"> qui fait désormais </w:t>
      </w:r>
      <w:r w:rsidR="00D440A2" w:rsidRPr="00657D09">
        <w:rPr>
          <w:lang w:val="fr-FR"/>
        </w:rPr>
        <w:t>des investigations des cas de plaintes reçus et informe le concerné sur l’issue finale de l’investigation.</w:t>
      </w:r>
      <w:r w:rsidR="006864DF">
        <w:rPr>
          <w:lang w:val="fr-FR"/>
        </w:rPr>
        <w:t xml:space="preserve"> A titre illustratif, l</w:t>
      </w:r>
      <w:r w:rsidR="00D440A2" w:rsidRPr="00657D09">
        <w:rPr>
          <w:lang w:val="fr-FR"/>
        </w:rPr>
        <w:t xml:space="preserve">e jeune </w:t>
      </w:r>
      <w:proofErr w:type="spellStart"/>
      <w:r w:rsidR="00D440A2" w:rsidRPr="00657D09">
        <w:rPr>
          <w:lang w:val="fr-FR"/>
        </w:rPr>
        <w:t>Alidor</w:t>
      </w:r>
      <w:proofErr w:type="spellEnd"/>
      <w:r w:rsidR="00D440A2" w:rsidRPr="00657D09">
        <w:rPr>
          <w:lang w:val="fr-FR"/>
        </w:rPr>
        <w:t xml:space="preserve"> du quartier </w:t>
      </w:r>
      <w:proofErr w:type="spellStart"/>
      <w:r w:rsidR="00D440A2" w:rsidRPr="00657D09">
        <w:rPr>
          <w:lang w:val="fr-FR"/>
        </w:rPr>
        <w:t>Kamanyonga</w:t>
      </w:r>
      <w:proofErr w:type="spellEnd"/>
      <w:r w:rsidR="00D440A2" w:rsidRPr="00657D09">
        <w:rPr>
          <w:lang w:val="fr-FR"/>
        </w:rPr>
        <w:t xml:space="preserve"> explique </w:t>
      </w:r>
      <w:r w:rsidR="006864DF">
        <w:rPr>
          <w:lang w:val="fr-FR"/>
        </w:rPr>
        <w:t xml:space="preserve">que </w:t>
      </w:r>
      <w:r w:rsidR="00D440A2" w:rsidRPr="00657D09">
        <w:rPr>
          <w:lang w:val="fr-FR"/>
        </w:rPr>
        <w:t>: « Quand les policiers viennent au quartier pour arrêter une personne, ils s’adressent d’abord au chef de quartier, ils présentent le problème auprès du chef et c’est au chef de les conduire vers la personne recherchée, si le cas n’est pas grave ils trouvent la solution à l’amiable, si le cas est grave ils acheminent la personne au commissariat de la police ».</w:t>
      </w:r>
      <w:r w:rsidR="00743792">
        <w:rPr>
          <w:lang w:val="fr-FR"/>
        </w:rPr>
        <w:t xml:space="preserve"> </w:t>
      </w:r>
      <w:r w:rsidR="008841D5">
        <w:rPr>
          <w:lang w:val="fr-FR"/>
        </w:rPr>
        <w:t xml:space="preserve">De ce fait, </w:t>
      </w:r>
      <w:r w:rsidR="008841D5" w:rsidRPr="00657D09">
        <w:rPr>
          <w:lang w:val="fr-FR"/>
        </w:rPr>
        <w:t xml:space="preserve">74% de la population des quartiers enquêtés dans la commune de </w:t>
      </w:r>
      <w:proofErr w:type="spellStart"/>
      <w:r w:rsidR="008841D5" w:rsidRPr="00657D09">
        <w:rPr>
          <w:lang w:val="fr-FR"/>
        </w:rPr>
        <w:t>Kanzala</w:t>
      </w:r>
      <w:proofErr w:type="spellEnd"/>
      <w:r w:rsidR="008841D5" w:rsidRPr="00657D09">
        <w:rPr>
          <w:lang w:val="fr-FR"/>
        </w:rPr>
        <w:t xml:space="preserve"> fonde leur espoir dans les éléments de la police qui ont suivi la formation sur la police de proximité à </w:t>
      </w:r>
      <w:proofErr w:type="spellStart"/>
      <w:r w:rsidR="008841D5" w:rsidRPr="00657D09">
        <w:rPr>
          <w:lang w:val="fr-FR"/>
        </w:rPr>
        <w:t>Tshipuka</w:t>
      </w:r>
      <w:proofErr w:type="spellEnd"/>
      <w:r w:rsidR="008841D5" w:rsidRPr="00657D09">
        <w:rPr>
          <w:lang w:val="fr-FR"/>
        </w:rPr>
        <w:t xml:space="preserve"> au Kasaï oriental pour assurer efficacement leur sécurité</w:t>
      </w:r>
      <w:r w:rsidR="008841D5">
        <w:rPr>
          <w:lang w:val="fr-FR"/>
        </w:rPr>
        <w:t xml:space="preserve"> car cela devrait leur permettre de vaquer tranquillement aux activités quotidiennes. </w:t>
      </w:r>
    </w:p>
    <w:p w14:paraId="4188FB0D" w14:textId="5C4073D9" w:rsidR="00117EE7" w:rsidRPr="00657D09" w:rsidRDefault="00117EE7" w:rsidP="00117EE7">
      <w:pPr>
        <w:ind w:left="-810"/>
        <w:rPr>
          <w:lang w:val="fr-FR"/>
        </w:rPr>
      </w:pPr>
    </w:p>
    <w:p w14:paraId="380B8939" w14:textId="2D9C33D0" w:rsidR="00F72415" w:rsidRPr="00657D09" w:rsidRDefault="00F72415" w:rsidP="00117EE7">
      <w:pPr>
        <w:ind w:left="-810"/>
        <w:rPr>
          <w:lang w:val="fr-FR"/>
        </w:rPr>
      </w:pPr>
    </w:p>
    <w:p w14:paraId="5C7C7FD0" w14:textId="7751FB70" w:rsidR="00F72415" w:rsidRPr="000960DC" w:rsidRDefault="00F72415" w:rsidP="00117EE7">
      <w:pPr>
        <w:ind w:left="-81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r w:rsidR="00A61880" w:rsidRPr="000960DC">
        <w:rPr>
          <w:lang w:val="fr-FR"/>
        </w:rPr>
        <w:t>PowerPoint</w:t>
      </w:r>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[OPTIONAL]</w:t>
      </w:r>
      <w:r w:rsidR="00B149A5">
        <w:rPr>
          <w:lang w:val="fr-FR"/>
        </w:rPr>
        <w:t xml:space="preserve"> </w:t>
      </w:r>
      <w:r w:rsidR="00C90135">
        <w:object w:dxaOrig="1508" w:dyaOrig="983" w14:anchorId="0D46F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8.5pt" o:ole="">
            <v:imagedata r:id="rId16" o:title=""/>
          </v:shape>
          <o:OLEObject Type="Embed" ProgID="Word.Document.12" ShapeID="_x0000_i1025" DrawAspect="Icon" ObjectID="_1716962674" r:id="rId17">
            <o:FieldCodes>\s</o:FieldCodes>
          </o:OLEObject>
        </w:objec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BB4A8C" w14:paraId="3278E054" w14:textId="77777777" w:rsidTr="00116E27">
        <w:tc>
          <w:tcPr>
            <w:tcW w:w="4756" w:type="dxa"/>
            <w:shd w:val="clear" w:color="auto" w:fill="auto"/>
          </w:tcPr>
          <w:p w14:paraId="1A9F4B35" w14:textId="2B2D4766" w:rsidR="007118F5" w:rsidRPr="00675507" w:rsidRDefault="001A0FA4"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C14F0C4" w14:textId="77777777" w:rsidR="007118F5" w:rsidRPr="00675507" w:rsidRDefault="007118F5" w:rsidP="00234A5E">
            <w:pPr>
              <w:rPr>
                <w:iCs/>
                <w:lang w:val="fr-FR"/>
              </w:rPr>
            </w:pPr>
          </w:p>
          <w:p w14:paraId="2F101EFB" w14:textId="11A885E1" w:rsidR="001A0FA4" w:rsidRDefault="001A0FA4" w:rsidP="001A0FA4">
            <w:pPr>
              <w:jc w:val="both"/>
              <w:rPr>
                <w:lang w:val="fr-FR"/>
              </w:rPr>
            </w:pPr>
            <w:r>
              <w:rPr>
                <w:lang w:val="fr-FR"/>
              </w:rPr>
              <w:t>Pendant ces neuf derniers</w:t>
            </w:r>
            <w:r w:rsidRPr="009C2880">
              <w:rPr>
                <w:lang w:val="fr-FR"/>
              </w:rPr>
              <w:t xml:space="preserve"> mois,</w:t>
            </w:r>
            <w:r>
              <w:rPr>
                <w:lang w:val="fr-FR"/>
              </w:rPr>
              <w:t xml:space="preserve"> plusieurs activités de suivi qui ont été organisées </w:t>
            </w:r>
            <w:r w:rsidR="0011674F">
              <w:rPr>
                <w:lang w:val="fr-FR"/>
              </w:rPr>
              <w:t xml:space="preserve">en plus d’une évaluation à mi-parcours du </w:t>
            </w:r>
            <w:r w:rsidR="00157048">
              <w:rPr>
                <w:lang w:val="fr-FR"/>
              </w:rPr>
              <w:t>projet :</w:t>
            </w:r>
          </w:p>
          <w:p w14:paraId="1881423D" w14:textId="4B259992" w:rsidR="001A0FA4" w:rsidRDefault="001A0FA4" w:rsidP="001A0FA4">
            <w:pPr>
              <w:jc w:val="both"/>
              <w:rPr>
                <w:lang w:val="fr-FR"/>
              </w:rPr>
            </w:pPr>
            <w:r>
              <w:rPr>
                <w:lang w:val="fr-FR"/>
              </w:rPr>
              <w:t xml:space="preserve">Les réunions de coordination mensuelles : ces réunions connaissent </w:t>
            </w:r>
            <w:r w:rsidR="00375723">
              <w:rPr>
                <w:lang w:val="fr-FR"/>
              </w:rPr>
              <w:t xml:space="preserve">la </w:t>
            </w:r>
            <w:r>
              <w:rPr>
                <w:lang w:val="fr-FR"/>
              </w:rPr>
              <w:t xml:space="preserve">participation de toutes les agences membres du consortium et ont </w:t>
            </w:r>
            <w:r>
              <w:rPr>
                <w:lang w:val="fr-FR"/>
              </w:rPr>
              <w:lastRenderedPageBreak/>
              <w:t xml:space="preserve">permis d’évaluer chaque mois le niveau d’exécution du chronogramme, formuler des recommandations et mutualiser les efforts pour la mise en œuvre d’un bon nombre d’activités en commun. </w:t>
            </w:r>
          </w:p>
          <w:p w14:paraId="31D6DF16" w14:textId="32D1EAE7" w:rsidR="001A0FA4" w:rsidRDefault="001A0FA4" w:rsidP="001A0FA4">
            <w:pPr>
              <w:jc w:val="both"/>
              <w:rPr>
                <w:lang w:val="fr-FR"/>
              </w:rPr>
            </w:pPr>
            <w:r>
              <w:rPr>
                <w:lang w:val="fr-FR"/>
              </w:rPr>
              <w:t xml:space="preserve">La collecte des données qualitative et quantitative sur la perception de la population bénéficiaire du projet a permis au consortium d’évaluer l’impact de ses activités déjà réalisées, mais également </w:t>
            </w:r>
            <w:r w:rsidR="00375723">
              <w:rPr>
                <w:lang w:val="fr-FR"/>
              </w:rPr>
              <w:t xml:space="preserve">de </w:t>
            </w:r>
            <w:r>
              <w:rPr>
                <w:lang w:val="fr-FR"/>
              </w:rPr>
              <w:t xml:space="preserve">formuler des recommandations pour les prochaines activités. </w:t>
            </w:r>
          </w:p>
          <w:p w14:paraId="7A657819" w14:textId="3298E82F" w:rsidR="00997347" w:rsidRPr="001A0FA4" w:rsidRDefault="006C1819" w:rsidP="00234A5E">
            <w:pPr>
              <w:rPr>
                <w:i/>
                <w:lang w:val="fr-FR"/>
              </w:rPr>
            </w:pPr>
            <w:r w:rsidRPr="001A0FA4">
              <w:rPr>
                <w:i/>
                <w:lang w:val="fr-FR"/>
              </w:rPr>
              <w:t xml:space="preserve"> </w:t>
            </w:r>
          </w:p>
          <w:p w14:paraId="21BD62AD" w14:textId="77777777" w:rsidR="007118F5" w:rsidRPr="001A0FA4" w:rsidRDefault="007118F5" w:rsidP="00234A5E">
            <w:pPr>
              <w:rPr>
                <w:lang w:val="fr-FR"/>
              </w:rPr>
            </w:pPr>
          </w:p>
        </w:tc>
        <w:tc>
          <w:tcPr>
            <w:tcW w:w="5414" w:type="dxa"/>
            <w:shd w:val="clear" w:color="auto" w:fill="auto"/>
          </w:tcPr>
          <w:p w14:paraId="797F499B" w14:textId="3FD60EAB" w:rsidR="00997347" w:rsidRPr="00675507" w:rsidRDefault="00675507" w:rsidP="00AD73D3">
            <w:pPr>
              <w:rPr>
                <w:lang w:val="fr-FR"/>
              </w:rPr>
            </w:pPr>
            <w:r w:rsidRPr="00675507">
              <w:rPr>
                <w:lang w:val="fr-FR"/>
              </w:rPr>
              <w:lastRenderedPageBreak/>
              <w:t xml:space="preserve">Est-ce que les indicateurs des résultats ont des bases de </w:t>
            </w:r>
            <w:r w:rsidR="00157048" w:rsidRPr="00675507">
              <w:rPr>
                <w:lang w:val="fr-FR"/>
              </w:rPr>
              <w:t>référe</w:t>
            </w:r>
            <w:r w:rsidR="00157048">
              <w:rPr>
                <w:lang w:val="fr-FR"/>
              </w:rPr>
              <w:t>nce</w:t>
            </w:r>
            <w:r w:rsidR="00157048" w:rsidRPr="00675507">
              <w:rPr>
                <w:lang w:val="fr-FR"/>
              </w:rPr>
              <w:t xml:space="preserve"> ?</w:t>
            </w:r>
            <w:r w:rsidR="007118F5" w:rsidRPr="00675507">
              <w:rPr>
                <w:lang w:val="fr-FR"/>
              </w:rPr>
              <w:t xml:space="preserve"> </w:t>
            </w:r>
            <w:r w:rsidR="00652193">
              <w:fldChar w:fldCharType="begin">
                <w:ffData>
                  <w:name w:val="Dropdown3"/>
                  <w:enabled/>
                  <w:calcOnExit w:val="0"/>
                  <w:ddList>
                    <w:listEntry w:val="Oui"/>
                    <w:listEntry w:val="Veuillez sélectionner"/>
                    <w:listEntry w:val="Non"/>
                  </w:ddList>
                </w:ffData>
              </w:fldChar>
            </w:r>
            <w:r w:rsidR="00652193" w:rsidRPr="00657D09">
              <w:rPr>
                <w:lang w:val="fr-FR"/>
              </w:rPr>
              <w:instrText xml:space="preserve"> </w:instrText>
            </w:r>
            <w:bookmarkStart w:id="7" w:name="Dropdown3"/>
            <w:r w:rsidR="00652193" w:rsidRPr="00657D09">
              <w:rPr>
                <w:lang w:val="fr-FR"/>
              </w:rPr>
              <w:instrText xml:space="preserve">FORMDROPDOWN </w:instrText>
            </w:r>
            <w:r w:rsidR="00BB4A8C">
              <w:fldChar w:fldCharType="separate"/>
            </w:r>
            <w:r w:rsidR="00652193">
              <w:fldChar w:fldCharType="end"/>
            </w:r>
            <w:bookmarkEnd w:id="7"/>
          </w:p>
          <w:p w14:paraId="10B92B6C" w14:textId="7CBEE37E" w:rsidR="001A5AFB" w:rsidRDefault="001A5AFB" w:rsidP="001A5AFB">
            <w:pPr>
              <w:jc w:val="both"/>
              <w:rPr>
                <w:lang w:val="fr-FR"/>
              </w:rPr>
            </w:pPr>
            <w:r w:rsidRPr="00914B83">
              <w:rPr>
                <w:lang w:val="fr-FR"/>
              </w:rPr>
              <w:t xml:space="preserve"> </w:t>
            </w:r>
            <w:r>
              <w:rPr>
                <w:lang w:val="fr-FR"/>
              </w:rPr>
              <w:t>En plus de l</w:t>
            </w:r>
            <w:r w:rsidRPr="00914B83">
              <w:rPr>
                <w:lang w:val="fr-FR"/>
              </w:rPr>
              <w:t xml:space="preserve">’étude de base </w:t>
            </w:r>
            <w:r>
              <w:rPr>
                <w:lang w:val="fr-FR"/>
              </w:rPr>
              <w:t>qui av</w:t>
            </w:r>
            <w:r w:rsidRPr="00914B83">
              <w:rPr>
                <w:lang w:val="fr-FR"/>
              </w:rPr>
              <w:t>a</w:t>
            </w:r>
            <w:r>
              <w:rPr>
                <w:lang w:val="fr-FR"/>
              </w:rPr>
              <w:t>it</w:t>
            </w:r>
            <w:r w:rsidRPr="00914B83">
              <w:rPr>
                <w:lang w:val="fr-FR"/>
              </w:rPr>
              <w:t xml:space="preserve"> été réalisée</w:t>
            </w:r>
            <w:r>
              <w:rPr>
                <w:lang w:val="fr-FR"/>
              </w:rPr>
              <w:t xml:space="preserve"> au début du projet</w:t>
            </w:r>
            <w:r w:rsidRPr="00914B83">
              <w:rPr>
                <w:lang w:val="fr-FR"/>
              </w:rPr>
              <w:t xml:space="preserve">, </w:t>
            </w:r>
            <w:r>
              <w:rPr>
                <w:lang w:val="fr-FR"/>
              </w:rPr>
              <w:t>une évaluation à mi-parcours réalisée en mars 2022</w:t>
            </w:r>
            <w:r w:rsidR="00375723">
              <w:rPr>
                <w:lang w:val="fr-FR"/>
              </w:rPr>
              <w:t>,</w:t>
            </w:r>
            <w:r>
              <w:rPr>
                <w:lang w:val="fr-FR"/>
              </w:rPr>
              <w:t xml:space="preserve"> a permis de mettre à jour les indicateurs et mesurer l’état d’avancement du projet. </w:t>
            </w:r>
          </w:p>
          <w:p w14:paraId="2AC3969E" w14:textId="77777777" w:rsidR="001A5AFB" w:rsidRPr="005F7F71" w:rsidRDefault="001A5AFB" w:rsidP="001A5AFB">
            <w:pPr>
              <w:jc w:val="both"/>
              <w:rPr>
                <w:lang w:val="fr-FR"/>
              </w:rPr>
            </w:pPr>
            <w:r>
              <w:rPr>
                <w:lang w:val="fr-FR"/>
              </w:rPr>
              <w:t xml:space="preserve">Aussi, le système de tracking des indicateurs mis en place pour mesurer le progrès des résultats à la fin de chaque mois a facilité le suivi de la mise en œuvre et </w:t>
            </w:r>
            <w:r>
              <w:rPr>
                <w:lang w:val="fr-FR"/>
              </w:rPr>
              <w:lastRenderedPageBreak/>
              <w:t>d’alerter surtout sur les défis liés au délai de réalisation des objectifs du projet.</w:t>
            </w:r>
          </w:p>
          <w:p w14:paraId="2337B972" w14:textId="77777777" w:rsidR="007118F5" w:rsidRPr="00675507" w:rsidRDefault="007118F5" w:rsidP="00AD73D3">
            <w:pPr>
              <w:rPr>
                <w:lang w:val="fr-FR"/>
              </w:rPr>
            </w:pPr>
          </w:p>
          <w:p w14:paraId="7D96CA73" w14:textId="3FA5D148" w:rsidR="007118F5" w:rsidRPr="001D61A5" w:rsidRDefault="00675507" w:rsidP="00AD73D3">
            <w:pPr>
              <w:rPr>
                <w:lang w:val="fr-FR"/>
              </w:rPr>
            </w:pPr>
            <w:r w:rsidRPr="00675507">
              <w:rPr>
                <w:lang w:val="fr-FR"/>
              </w:rPr>
              <w:t xml:space="preserve">Le projet a-t-il lancé des enquêtes de perception ou d'autres collectes de données </w:t>
            </w:r>
            <w:r w:rsidR="005C20BF" w:rsidRPr="00675507">
              <w:rPr>
                <w:lang w:val="fr-FR"/>
              </w:rPr>
              <w:t>communautaires ?</w:t>
            </w:r>
            <w:r w:rsidR="007118F5" w:rsidRPr="00675507">
              <w:rPr>
                <w:lang w:val="fr-FR"/>
              </w:rPr>
              <w:t xml:space="preserve"> </w:t>
            </w:r>
            <w:r w:rsidR="00652193">
              <w:fldChar w:fldCharType="begin">
                <w:ffData>
                  <w:name w:val=""/>
                  <w:enabled/>
                  <w:calcOnExit w:val="0"/>
                  <w:ddList>
                    <w:listEntry w:val="Oui"/>
                    <w:listEntry w:val="Veuillez sélectionner"/>
                    <w:listEntry w:val="Non"/>
                  </w:ddList>
                </w:ffData>
              </w:fldChar>
            </w:r>
            <w:r w:rsidR="00652193" w:rsidRPr="00657D09">
              <w:rPr>
                <w:lang w:val="fr-FR"/>
              </w:rPr>
              <w:instrText xml:space="preserve"> FORMDROPDOWN </w:instrText>
            </w:r>
            <w:r w:rsidR="00BB4A8C">
              <w:fldChar w:fldCharType="separate"/>
            </w:r>
            <w:r w:rsidR="00652193">
              <w:fldChar w:fldCharType="end"/>
            </w:r>
          </w:p>
          <w:p w14:paraId="143791CC" w14:textId="77777777" w:rsidR="000F2E54" w:rsidRPr="001D61A5" w:rsidRDefault="000F2E54" w:rsidP="00AD73D3">
            <w:pPr>
              <w:rPr>
                <w:lang w:val="fr-FR"/>
              </w:rPr>
            </w:pPr>
          </w:p>
          <w:p w14:paraId="2BD200E3" w14:textId="575A7F03" w:rsidR="000F2E54" w:rsidRPr="00675507" w:rsidRDefault="000F2E54" w:rsidP="00AD73D3">
            <w:pPr>
              <w:rPr>
                <w:lang w:val="fr-FR"/>
              </w:rPr>
            </w:pPr>
            <w:r>
              <w:rPr>
                <w:lang w:val="fr-FR"/>
              </w:rPr>
              <w:t xml:space="preserve">En plus de l’évaluation à mi-parcours réalisée en mars 2022, une collecte de données a été organisée pour recueillir les perceptions des bénéficiaires sur les changements induits par le projet en matière de sécurité et de collaboration avec la police. Cette collecte de données a permis également d’actualiser la matrice des résultats.  </w:t>
            </w:r>
          </w:p>
        </w:tc>
      </w:tr>
      <w:tr w:rsidR="006C1819" w:rsidRPr="00BB4A8C" w14:paraId="36A88C83" w14:textId="77777777" w:rsidTr="00116E27">
        <w:tc>
          <w:tcPr>
            <w:tcW w:w="4756"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lastRenderedPageBreak/>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103A6255" w:rsidR="007118F5" w:rsidRPr="00AB15D6" w:rsidRDefault="00652193" w:rsidP="007118F5">
            <w:pPr>
              <w:rPr>
                <w:lang w:val="fr-FR"/>
              </w:rPr>
            </w:pPr>
            <w:r>
              <w:fldChar w:fldCharType="begin">
                <w:ffData>
                  <w:name w:val=""/>
                  <w:enabled/>
                  <w:calcOnExit w:val="0"/>
                  <w:ddList>
                    <w:listEntry w:val="Oui"/>
                    <w:listEntry w:val="Veuillez sélectionner"/>
                    <w:listEntry w:val="Non"/>
                  </w:ddList>
                </w:ffData>
              </w:fldChar>
            </w:r>
            <w:r w:rsidRPr="00657D09">
              <w:rPr>
                <w:lang w:val="fr-FR"/>
              </w:rPr>
              <w:instrText xml:space="preserve"> FORMDROPDOWN </w:instrText>
            </w:r>
            <w:r w:rsidR="00BB4A8C">
              <w:fldChar w:fldCharType="separate"/>
            </w:r>
            <w:r>
              <w:fldChar w:fldCharType="end"/>
            </w:r>
            <w:r w:rsidR="00AB15D6" w:rsidRPr="00AB15D6">
              <w:rPr>
                <w:lang w:val="fr-FR"/>
              </w:rPr>
              <w:t xml:space="preserve"> </w:t>
            </w:r>
            <w:r w:rsidR="00AB15D6">
              <w:rPr>
                <w:lang w:val="fr-FR"/>
              </w:rPr>
              <w:t xml:space="preserve"> </w:t>
            </w:r>
            <w:r w:rsidR="00AB15D6" w:rsidRPr="00AB15D6">
              <w:rPr>
                <w:lang w:val="fr-FR"/>
              </w:rPr>
              <w:t>Les enquêtes de perception ont été réalisées avec objectif de renseigner les indicateurs du projet. Ces enquêtes ont touché toutes les catégories des bénéficiaires du projet (parties prenantes du projet).</w:t>
            </w:r>
          </w:p>
        </w:tc>
        <w:tc>
          <w:tcPr>
            <w:tcW w:w="5414" w:type="dxa"/>
            <w:shd w:val="clear" w:color="auto" w:fill="auto"/>
          </w:tcPr>
          <w:p w14:paraId="7B8CF898" w14:textId="6B3D1C3E" w:rsidR="006C1819" w:rsidRPr="00B95E91"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8" w:name="evalbudget"/>
            <w:r w:rsidR="004D141E" w:rsidRPr="00675507">
              <w:rPr>
                <w:lang w:val="fr-FR"/>
              </w:rPr>
              <w:instrText xml:space="preserve"> FORMTEXT </w:instrText>
            </w:r>
            <w:r w:rsidR="004D141E"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8"/>
            <w:r w:rsidR="001B0E39">
              <w:rPr>
                <w:lang w:val="fr-FR"/>
              </w:rPr>
              <w:t>23,000</w:t>
            </w:r>
            <w:r w:rsidR="00B95E91">
              <w:rPr>
                <w:lang w:val="fr-FR"/>
              </w:rPr>
              <w:t xml:space="preserve"> USD</w:t>
            </w:r>
          </w:p>
          <w:p w14:paraId="6A29E557" w14:textId="77777777" w:rsidR="004D141E" w:rsidRPr="00675507" w:rsidRDefault="004D141E" w:rsidP="00E76CA1">
            <w:pPr>
              <w:rPr>
                <w:lang w:val="fr-FR"/>
              </w:rPr>
            </w:pPr>
          </w:p>
          <w:p w14:paraId="6FFC21C6" w14:textId="5C5D7E18" w:rsidR="00156C4C" w:rsidRPr="00A4703D"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rsidR="00652193">
              <w:fldChar w:fldCharType="begin">
                <w:ffData>
                  <w:name w:val="Text45"/>
                  <w:enabled/>
                  <w:calcOnExit w:val="0"/>
                  <w:textInput>
                    <w:default w:val="Le projet va bintôt lancer le recrutement d'un cabinet/consultant pour la réalisation de l'évaluation finale."/>
                    <w:maxLength w:val="1500"/>
                    <w:format w:val="FIRST CAPITAL"/>
                  </w:textInput>
                </w:ffData>
              </w:fldChar>
            </w:r>
            <w:r w:rsidR="00652193" w:rsidRPr="00657D09">
              <w:rPr>
                <w:lang w:val="fr-FR"/>
              </w:rPr>
              <w:instrText xml:space="preserve"> </w:instrText>
            </w:r>
            <w:bookmarkStart w:id="9" w:name="Text45"/>
            <w:r w:rsidR="00652193" w:rsidRPr="00657D09">
              <w:rPr>
                <w:lang w:val="fr-FR"/>
              </w:rPr>
              <w:instrText xml:space="preserve">FORMTEXT </w:instrText>
            </w:r>
            <w:r w:rsidR="00652193">
              <w:fldChar w:fldCharType="separate"/>
            </w:r>
            <w:r w:rsidR="00652193" w:rsidRPr="00657D09">
              <w:rPr>
                <w:noProof/>
                <w:lang w:val="fr-FR"/>
              </w:rPr>
              <w:t>Le projet va bintôt lancer le recrutement d'un cabinet/consultant pour la réalisation de l'évaluation finale.</w:t>
            </w:r>
            <w:r w:rsidR="00652193">
              <w:fldChar w:fldCharType="end"/>
            </w:r>
            <w:bookmarkEnd w:id="9"/>
            <w:r w:rsidR="00A4703D" w:rsidRPr="00BB4A8C">
              <w:rPr>
                <w:lang w:val="fr-FR"/>
              </w:rPr>
              <w:t xml:space="preserve"> </w:t>
            </w:r>
            <w:r w:rsidR="00A4703D">
              <w:rPr>
                <w:lang w:val="fr-FR"/>
              </w:rPr>
              <w:t>Les TdR de cette évaluation finale sont en cours d’élaboration</w:t>
            </w:r>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0"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1"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r w:rsidRPr="00627A1C">
              <w:t xml:space="preserve">                          </w:t>
            </w:r>
            <w:r w:rsidRPr="00627A1C">
              <w:fldChar w:fldCharType="begin">
                <w:ffData>
                  <w:name w:val="Text48"/>
                  <w:enabled/>
                  <w:calcOnExit w:val="0"/>
                  <w:textInput>
                    <w:type w:val="number"/>
                    <w:format w:val="0.00"/>
                  </w:textInput>
                </w:ffData>
              </w:fldChar>
            </w:r>
            <w:bookmarkStart w:id="12"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3"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r w:rsidRPr="00627A1C">
              <w:t xml:space="preserve">                          </w:t>
            </w:r>
            <w:r w:rsidRPr="00627A1C">
              <w:fldChar w:fldCharType="begin">
                <w:ffData>
                  <w:name w:val="Text50"/>
                  <w:enabled/>
                  <w:calcOnExit w:val="0"/>
                  <w:textInput>
                    <w:type w:val="number"/>
                    <w:format w:val="0.00"/>
                  </w:textInput>
                </w:ffData>
              </w:fldChar>
            </w:r>
            <w:bookmarkStart w:id="14"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p>
        </w:tc>
      </w:tr>
      <w:tr w:rsidR="003758E5" w:rsidRPr="00BB4A8C" w14:paraId="7A1F5937" w14:textId="77777777" w:rsidTr="00116E27">
        <w:tc>
          <w:tcPr>
            <w:tcW w:w="4756" w:type="dxa"/>
            <w:shd w:val="clear" w:color="auto" w:fill="auto"/>
          </w:tcPr>
          <w:p w14:paraId="270EDE9A" w14:textId="786DA86B" w:rsidR="003758E5" w:rsidRPr="00F72415" w:rsidRDefault="00F72415" w:rsidP="001A1E86">
            <w:pPr>
              <w:rPr>
                <w:lang w:val="fr-FR"/>
              </w:rPr>
            </w:pPr>
            <w:r w:rsidRPr="00F72415">
              <w:rPr>
                <w:b/>
                <w:bCs/>
                <w:u w:val="single"/>
                <w:lang w:val="fr-FR"/>
              </w:rPr>
              <w:t xml:space="preserve">Eﬀet catalytique (non ﬁnancier) </w:t>
            </w:r>
            <w:r w:rsidRPr="00F72415">
              <w:rPr>
                <w:lang w:val="fr-FR"/>
              </w:rPr>
              <w:t>: Le projet a-t-il permis ou créé un changement plus important ou à plus long terme dans la construction de la paix?</w:t>
            </w:r>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15" w:name="Check2"/>
            <w:r>
              <w:rPr>
                <w:lang w:val="fr-FR"/>
              </w:rPr>
              <w:instrText xml:space="preserve"> FORMCHECKBOX </w:instrText>
            </w:r>
            <w:r w:rsidR="00BB4A8C">
              <w:rPr>
                <w:lang w:val="fr-FR"/>
              </w:rPr>
            </w:r>
            <w:r w:rsidR="00BB4A8C">
              <w:rPr>
                <w:lang w:val="fr-FR"/>
              </w:rPr>
              <w:fldChar w:fldCharType="separate"/>
            </w:r>
            <w:r>
              <w:rPr>
                <w:lang w:val="fr-FR"/>
              </w:rPr>
              <w:fldChar w:fldCharType="end"/>
            </w:r>
            <w:bookmarkEnd w:id="15"/>
            <w:r w:rsidRPr="00F72415">
              <w:rPr>
                <w:lang w:val="fr-FR"/>
              </w:rPr>
              <w:t>Aucun eﬀet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16" w:name="Check3"/>
            <w:r>
              <w:rPr>
                <w:lang w:val="fr-FR"/>
              </w:rPr>
              <w:instrText xml:space="preserve"> FORMCHECKBOX </w:instrText>
            </w:r>
            <w:r w:rsidR="00BB4A8C">
              <w:rPr>
                <w:lang w:val="fr-FR"/>
              </w:rPr>
            </w:r>
            <w:r w:rsidR="00BB4A8C">
              <w:rPr>
                <w:lang w:val="fr-FR"/>
              </w:rPr>
              <w:fldChar w:fldCharType="separate"/>
            </w:r>
            <w:r>
              <w:rPr>
                <w:lang w:val="fr-FR"/>
              </w:rPr>
              <w:fldChar w:fldCharType="end"/>
            </w:r>
            <w:bookmarkEnd w:id="16"/>
            <w:r w:rsidR="001C15CC">
              <w:rPr>
                <w:lang w:val="fr-FR"/>
              </w:rPr>
              <w:t>Peu d’</w:t>
            </w:r>
            <w:r w:rsidRPr="00F72415">
              <w:rPr>
                <w:lang w:val="fr-FR"/>
              </w:rPr>
              <w:t xml:space="preserve">eﬀet catalytique </w:t>
            </w:r>
          </w:p>
          <w:p w14:paraId="3D10BB28" w14:textId="6D7D9768" w:rsidR="00F72415" w:rsidRDefault="00441374" w:rsidP="00F72415">
            <w:pPr>
              <w:rPr>
                <w:lang w:val="fr-FR"/>
              </w:rPr>
            </w:pPr>
            <w:r>
              <w:rPr>
                <w:lang w:val="fr-FR"/>
              </w:rPr>
              <w:fldChar w:fldCharType="begin">
                <w:ffData>
                  <w:name w:val="Check5"/>
                  <w:enabled/>
                  <w:calcOnExit w:val="0"/>
                  <w:checkBox>
                    <w:sizeAuto/>
                    <w:default w:val="0"/>
                  </w:checkBox>
                </w:ffData>
              </w:fldChar>
            </w:r>
            <w:r>
              <w:rPr>
                <w:lang w:val="fr-FR"/>
              </w:rPr>
              <w:instrText xml:space="preserve"> </w:instrText>
            </w:r>
            <w:bookmarkStart w:id="17" w:name="Check5"/>
            <w:r>
              <w:rPr>
                <w:lang w:val="fr-FR"/>
              </w:rPr>
              <w:instrText xml:space="preserve">FORMCHECKBOX </w:instrText>
            </w:r>
            <w:r w:rsidR="00BB4A8C">
              <w:rPr>
                <w:lang w:val="fr-FR"/>
              </w:rPr>
            </w:r>
            <w:r w:rsidR="00BB4A8C">
              <w:rPr>
                <w:lang w:val="fr-FR"/>
              </w:rPr>
              <w:fldChar w:fldCharType="separate"/>
            </w:r>
            <w:r>
              <w:rPr>
                <w:lang w:val="fr-FR"/>
              </w:rPr>
              <w:fldChar w:fldCharType="end"/>
            </w:r>
            <w:bookmarkEnd w:id="17"/>
            <w:r w:rsidR="00F72415" w:rsidRPr="00F72415">
              <w:rPr>
                <w:lang w:val="fr-FR"/>
              </w:rPr>
              <w:t xml:space="preserve">Eﬀet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18" w:name="Check4"/>
            <w:r>
              <w:rPr>
                <w:lang w:val="fr-FR"/>
              </w:rPr>
              <w:instrText xml:space="preserve"> FORMCHECKBOX </w:instrText>
            </w:r>
            <w:r w:rsidR="00BB4A8C">
              <w:rPr>
                <w:lang w:val="fr-FR"/>
              </w:rPr>
            </w:r>
            <w:r w:rsidR="00BB4A8C">
              <w:rPr>
                <w:lang w:val="fr-FR"/>
              </w:rPr>
              <w:fldChar w:fldCharType="separate"/>
            </w:r>
            <w:r>
              <w:rPr>
                <w:lang w:val="fr-FR"/>
              </w:rPr>
              <w:fldChar w:fldCharType="end"/>
            </w:r>
            <w:bookmarkEnd w:id="18"/>
            <w:r w:rsidRPr="00F72415">
              <w:rPr>
                <w:lang w:val="fr-FR"/>
              </w:rPr>
              <w:t xml:space="preserve">Eﬀet catalytique très important </w:t>
            </w:r>
          </w:p>
          <w:p w14:paraId="4E80655C" w14:textId="4B4427B7" w:rsidR="00F72415" w:rsidRPr="00F72415" w:rsidRDefault="00441374" w:rsidP="00F72415">
            <w:pPr>
              <w:rPr>
                <w:lang w:val="fr-FR"/>
              </w:rPr>
            </w:pPr>
            <w:r>
              <w:rPr>
                <w:lang w:val="fr-FR"/>
              </w:rPr>
              <w:fldChar w:fldCharType="begin">
                <w:ffData>
                  <w:name w:val="Check7"/>
                  <w:enabled/>
                  <w:calcOnExit w:val="0"/>
                  <w:checkBox>
                    <w:sizeAuto/>
                    <w:default w:val="1"/>
                  </w:checkBox>
                </w:ffData>
              </w:fldChar>
            </w:r>
            <w:r>
              <w:rPr>
                <w:lang w:val="fr-FR"/>
              </w:rPr>
              <w:instrText xml:space="preserve"> </w:instrText>
            </w:r>
            <w:bookmarkStart w:id="19" w:name="Check7"/>
            <w:r>
              <w:rPr>
                <w:lang w:val="fr-FR"/>
              </w:rPr>
              <w:instrText xml:space="preserve">FORMCHECKBOX </w:instrText>
            </w:r>
            <w:r w:rsidR="00BB4A8C">
              <w:rPr>
                <w:lang w:val="fr-FR"/>
              </w:rPr>
            </w:r>
            <w:r w:rsidR="00BB4A8C">
              <w:rPr>
                <w:lang w:val="fr-FR"/>
              </w:rPr>
              <w:fldChar w:fldCharType="separate"/>
            </w:r>
            <w:r>
              <w:rPr>
                <w:lang w:val="fr-FR"/>
              </w:rPr>
              <w:fldChar w:fldCharType="end"/>
            </w:r>
            <w:bookmarkEnd w:id="19"/>
            <w:r w:rsidR="00F72415" w:rsidRPr="00F72415">
              <w:rPr>
                <w:lang w:val="fr-FR"/>
              </w:rPr>
              <w:t>Je ne sais pas</w:t>
            </w:r>
          </w:p>
          <w:p w14:paraId="0847F164" w14:textId="141AA4B9" w:rsidR="00F72415" w:rsidRPr="001C15CC" w:rsidRDefault="00F72415" w:rsidP="001A1E86">
            <w:pPr>
              <w:rPr>
                <w:lang w:val="fr-FR"/>
              </w:rPr>
            </w:pPr>
            <w:r>
              <w:rPr>
                <w:lang w:val="fr-FR"/>
              </w:rPr>
              <w:fldChar w:fldCharType="begin">
                <w:ffData>
                  <w:name w:val="Check6"/>
                  <w:enabled/>
                  <w:calcOnExit w:val="0"/>
                  <w:checkBox>
                    <w:sizeAuto/>
                    <w:default w:val="0"/>
                  </w:checkBox>
                </w:ffData>
              </w:fldChar>
            </w:r>
            <w:bookmarkStart w:id="20" w:name="Check6"/>
            <w:r>
              <w:rPr>
                <w:lang w:val="fr-FR"/>
              </w:rPr>
              <w:instrText xml:space="preserve"> FORMCHECKBOX </w:instrText>
            </w:r>
            <w:r w:rsidR="00BB4A8C">
              <w:rPr>
                <w:lang w:val="fr-FR"/>
              </w:rPr>
            </w:r>
            <w:r w:rsidR="00BB4A8C">
              <w:rPr>
                <w:lang w:val="fr-FR"/>
              </w:rPr>
              <w:fldChar w:fldCharType="separate"/>
            </w:r>
            <w:r>
              <w:rPr>
                <w:lang w:val="fr-FR"/>
              </w:rPr>
              <w:fldChar w:fldCharType="end"/>
            </w:r>
            <w:bookmarkEnd w:id="20"/>
            <w:r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1C762675" w14:textId="77777777" w:rsidR="00F72415"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p w14:paraId="4B042C2B" w14:textId="28E48608" w:rsidR="00441374" w:rsidRPr="00C0670D" w:rsidRDefault="00441374" w:rsidP="00E76CA1">
            <w:pPr>
              <w:rPr>
                <w:lang w:val="fr-FR"/>
              </w:rPr>
            </w:pPr>
            <w:r>
              <w:rPr>
                <w:lang w:val="fr-FR"/>
              </w:rPr>
              <w:t xml:space="preserve">L’évaluation finale </w:t>
            </w:r>
            <w:r w:rsidR="0016243F">
              <w:rPr>
                <w:lang w:val="fr-FR"/>
              </w:rPr>
              <w:t>pourra</w:t>
            </w:r>
            <w:r>
              <w:rPr>
                <w:lang w:val="fr-FR"/>
              </w:rPr>
              <w:t xml:space="preserve"> nous situer sur cette question.</w:t>
            </w:r>
          </w:p>
        </w:tc>
      </w:tr>
      <w:tr w:rsidR="002C187A" w:rsidRPr="00627A1C" w14:paraId="04EF3772" w14:textId="77777777" w:rsidTr="00116E27">
        <w:tc>
          <w:tcPr>
            <w:tcW w:w="4756" w:type="dxa"/>
            <w:shd w:val="clear" w:color="auto" w:fill="auto"/>
          </w:tcPr>
          <w:p w14:paraId="3FC8EBFD" w14:textId="4AF972EF" w:rsidR="002C187A" w:rsidRPr="00675507" w:rsidRDefault="00675507" w:rsidP="009A1CD3">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401385A4" w14:textId="77777777" w:rsidR="003758E5" w:rsidRDefault="00600B5F" w:rsidP="00116E27">
      <w:pPr>
        <w:ind w:left="-567"/>
        <w:rPr>
          <w:b/>
          <w:u w:val="single"/>
          <w:lang w:val="fr-FR"/>
        </w:rPr>
      </w:pPr>
      <w:r w:rsidRPr="00547F47">
        <w:rPr>
          <w:b/>
          <w:u w:val="single"/>
          <w:lang w:val="fr-FR"/>
        </w:rPr>
        <w:t>Partie IV: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7D08117A" w14:textId="2305D647" w:rsidR="008807BA" w:rsidRPr="008807BA" w:rsidRDefault="001745E8" w:rsidP="008807BA">
      <w:pPr>
        <w:pStyle w:val="ListParagraph"/>
        <w:numPr>
          <w:ilvl w:val="0"/>
          <w:numId w:val="4"/>
        </w:numPr>
        <w:rPr>
          <w:b/>
          <w:u w:val="single"/>
          <w:lang w:val="fr-FR"/>
        </w:rPr>
      </w:pPr>
      <w:r w:rsidRPr="003758E5">
        <w:rPr>
          <w:lang w:val="fr-FR"/>
        </w:rPr>
        <w:lastRenderedPageBreak/>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657D09">
        <w:rPr>
          <w:lang w:val="fr-FR"/>
        </w:rPr>
        <w:t> :</w:t>
      </w:r>
      <w:r w:rsidR="003758E5" w:rsidRPr="00657D09">
        <w:rPr>
          <w:lang w:val="fr-FR"/>
        </w:rPr>
        <w:t xml:space="preserve"> </w:t>
      </w:r>
      <w:r w:rsidR="008807BA" w:rsidRPr="00657D09">
        <w:rPr>
          <w:lang w:val="fr-FR"/>
        </w:rPr>
        <w:t>$ 2 042.156</w:t>
      </w:r>
    </w:p>
    <w:p w14:paraId="32B68909" w14:textId="77777777" w:rsidR="00877D2F" w:rsidRDefault="00877D2F" w:rsidP="00877D2F">
      <w:pPr>
        <w:jc w:val="both"/>
        <w:rPr>
          <w:lang w:val="fr-FR"/>
        </w:rPr>
      </w:pPr>
    </w:p>
    <w:p w14:paraId="41240982" w14:textId="097398B8" w:rsidR="00877D2F" w:rsidRPr="00877D2F" w:rsidRDefault="00877D2F" w:rsidP="00877D2F">
      <w:pPr>
        <w:jc w:val="both"/>
        <w:rPr>
          <w:lang w:val="fr-FR"/>
        </w:rPr>
      </w:pPr>
      <w:r w:rsidRPr="00877D2F">
        <w:rPr>
          <w:lang w:val="fr-FR"/>
        </w:rPr>
        <w:t xml:space="preserve">Ces dépenses concernent essentiellement les test PCR lors des déplacements du personnel et des partenaires du projet, l’achat des masques ; gels hydroalcooliques et des dispositifs de lavage de mains.  </w:t>
      </w:r>
    </w:p>
    <w:p w14:paraId="27A73BC0" w14:textId="77777777" w:rsidR="008807BA" w:rsidRPr="008807BA" w:rsidRDefault="008807BA" w:rsidP="008807BA">
      <w:pPr>
        <w:ind w:left="-709"/>
        <w:rPr>
          <w:b/>
          <w:u w:val="single"/>
          <w:lang w:val="fr-FR"/>
        </w:rPr>
      </w:pPr>
    </w:p>
    <w:p w14:paraId="6288C896" w14:textId="77777777" w:rsidR="003758E5" w:rsidRDefault="003758E5" w:rsidP="003758E5">
      <w:pPr>
        <w:ind w:left="-709"/>
        <w:rPr>
          <w:lang w:val="fr-FR"/>
        </w:rPr>
      </w:pPr>
    </w:p>
    <w:p w14:paraId="4D02C683" w14:textId="5EE33982" w:rsidR="00910A7D" w:rsidRPr="00910A7D" w:rsidRDefault="003107C9" w:rsidP="00910A7D">
      <w:pPr>
        <w:pStyle w:val="ListParagraph"/>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910A7D">
        <w:rPr>
          <w:lang w:val="fr-FR"/>
        </w:rPr>
        <w:t xml:space="preserve"> : </w:t>
      </w:r>
      <w:r w:rsidR="00910A7D" w:rsidRPr="00910A7D">
        <w:rPr>
          <w:lang w:val="fr-FR"/>
        </w:rPr>
        <w:t xml:space="preserve">Au cours de la mise en œuvre du projet, notamment lors des activités de formation, et réunions techniques, les bénéficiaires ont été régulièrement rappelés au respect des mesures barrières (port de masque obligatoire, usage de gel hydroalcoolique, distanciation, lavage de mains) qui était une condition pour accéder aux salles de formation. A cet effet, des masques personnalisés (portant la visibilité du projet), des gels et dispositifs de lavage de de main ont été mis à disposition de partenaires et bénéficiaires.  </w:t>
      </w:r>
    </w:p>
    <w:p w14:paraId="1B1266F2" w14:textId="77777777" w:rsidR="00910A7D" w:rsidRPr="00910A7D" w:rsidRDefault="00910A7D" w:rsidP="00910A7D">
      <w:pPr>
        <w:rPr>
          <w:lang w:val="fr-FR"/>
        </w:rPr>
      </w:pPr>
    </w:p>
    <w:p w14:paraId="3A7B71C3" w14:textId="77777777" w:rsidR="003758E5" w:rsidRDefault="003758E5" w:rsidP="001C15CC">
      <w:pPr>
        <w:rPr>
          <w:b/>
          <w:u w:val="single"/>
          <w:lang w:val="fr-FR"/>
        </w:rPr>
      </w:pPr>
    </w:p>
    <w:p w14:paraId="699D8D32" w14:textId="3CFA17E3" w:rsidR="003758E5" w:rsidRPr="003758E5" w:rsidRDefault="002D6DA0" w:rsidP="001B7DD1">
      <w:pPr>
        <w:pStyle w:val="ListParagraph"/>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BB4A8C"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BB4A8C"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BB4A8C"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BB4A8C"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BB4A8C"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BB4A8C"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B9C2" w14:textId="77777777" w:rsidR="00EA46E8" w:rsidRDefault="00EA46E8" w:rsidP="00E76CA1">
      <w:r>
        <w:separator/>
      </w:r>
    </w:p>
  </w:endnote>
  <w:endnote w:type="continuationSeparator" w:id="0">
    <w:p w14:paraId="7D426326" w14:textId="77777777" w:rsidR="00EA46E8" w:rsidRDefault="00EA46E8" w:rsidP="00E76CA1">
      <w:r>
        <w:continuationSeparator/>
      </w:r>
    </w:p>
  </w:endnote>
  <w:endnote w:type="continuationNotice" w:id="1">
    <w:p w14:paraId="7071E3C9" w14:textId="77777777" w:rsidR="00EA46E8" w:rsidRDefault="00EA4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Footer"/>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4CC9" w14:textId="77777777" w:rsidR="00EA46E8" w:rsidRDefault="00EA46E8" w:rsidP="00E76CA1">
      <w:r>
        <w:separator/>
      </w:r>
    </w:p>
  </w:footnote>
  <w:footnote w:type="continuationSeparator" w:id="0">
    <w:p w14:paraId="4ED7C9C5" w14:textId="77777777" w:rsidR="00EA46E8" w:rsidRDefault="00EA46E8" w:rsidP="00E76CA1">
      <w:r>
        <w:continuationSeparator/>
      </w:r>
    </w:p>
  </w:footnote>
  <w:footnote w:type="continuationNotice" w:id="1">
    <w:p w14:paraId="72C2CC0F" w14:textId="77777777" w:rsidR="00EA46E8" w:rsidRDefault="00EA46E8"/>
  </w:footnote>
  <w:footnote w:id="2">
    <w:p w14:paraId="00E470D6" w14:textId="77777777" w:rsidR="003273CC" w:rsidRPr="00163ED8" w:rsidRDefault="003273CC" w:rsidP="003273CC">
      <w:pPr>
        <w:jc w:val="both"/>
        <w:rPr>
          <w:rFonts w:eastAsia="MS Mincho"/>
          <w:snapToGrid w:val="0"/>
          <w:sz w:val="20"/>
          <w:szCs w:val="20"/>
          <w:lang w:val="fr-CA"/>
        </w:rPr>
      </w:pPr>
      <w:r>
        <w:rPr>
          <w:rStyle w:val="FootnoteReference"/>
        </w:rPr>
        <w:footnoteRef/>
      </w:r>
      <w:r w:rsidRPr="00163ED8">
        <w:rPr>
          <w:rFonts w:eastAsia="MS Mincho"/>
          <w:snapToGrid w:val="0"/>
          <w:sz w:val="20"/>
          <w:szCs w:val="20"/>
          <w:lang w:val="fr-CA"/>
        </w:rPr>
        <w:t>Score 3</w:t>
      </w:r>
      <w:r>
        <w:rPr>
          <w:rFonts w:eastAsia="MS Mincho"/>
          <w:snapToGrid w:val="0"/>
          <w:sz w:val="20"/>
          <w:szCs w:val="20"/>
          <w:lang w:val="fr-CA"/>
        </w:rPr>
        <w:t> :</w:t>
      </w:r>
      <w:r w:rsidRPr="00163ED8">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56C97F42" w14:textId="77777777" w:rsidR="003273CC" w:rsidRPr="00163ED8" w:rsidRDefault="003273CC" w:rsidP="003273CC">
      <w:pPr>
        <w:jc w:val="both"/>
        <w:rPr>
          <w:rFonts w:eastAsia="MS Mincho"/>
          <w:snapToGrid w:val="0"/>
          <w:sz w:val="20"/>
          <w:szCs w:val="20"/>
          <w:lang w:val="fr-CA"/>
        </w:rPr>
      </w:pPr>
      <w:r w:rsidRPr="00163ED8">
        <w:rPr>
          <w:rFonts w:eastAsia="MS Mincho"/>
          <w:snapToGrid w:val="0"/>
          <w:sz w:val="20"/>
          <w:szCs w:val="20"/>
          <w:lang w:val="fr-CA"/>
        </w:rPr>
        <w:t>Score 2</w:t>
      </w:r>
      <w:r>
        <w:rPr>
          <w:rFonts w:eastAsia="MS Mincho"/>
          <w:snapToGrid w:val="0"/>
          <w:sz w:val="20"/>
          <w:szCs w:val="20"/>
          <w:lang w:val="fr-CA"/>
        </w:rPr>
        <w:t xml:space="preserve"> : </w:t>
      </w:r>
      <w:r w:rsidRPr="00163ED8">
        <w:rPr>
          <w:rFonts w:eastAsia="MS Mincho"/>
          <w:snapToGrid w:val="0"/>
          <w:sz w:val="20"/>
          <w:szCs w:val="20"/>
          <w:lang w:val="fr-CA"/>
        </w:rPr>
        <w:t>pour les projets qui ont l’égalité entre les sexes comme objectif significatif (minimum 30% du budget qui va à l’égalité entre les sexes et le renforcement des capacités des femmes).</w:t>
      </w:r>
    </w:p>
    <w:p w14:paraId="0B23E5B1" w14:textId="77777777" w:rsidR="003273CC" w:rsidRPr="00483210" w:rsidRDefault="003273CC" w:rsidP="003273CC">
      <w:pPr>
        <w:pStyle w:val="FootnoteText"/>
        <w:jc w:val="both"/>
        <w:rPr>
          <w:lang w:val="fr-FR"/>
        </w:rPr>
      </w:pPr>
      <w:r w:rsidRPr="00163ED8">
        <w:rPr>
          <w:rFonts w:eastAsia="MS Mincho"/>
          <w:snapToGrid w:val="0"/>
          <w:lang w:val="fr-CA"/>
        </w:rPr>
        <w:t>Score 1</w:t>
      </w:r>
      <w:r>
        <w:rPr>
          <w:rFonts w:eastAsia="MS Mincho"/>
          <w:snapToGrid w:val="0"/>
          <w:lang w:val="fr-CA"/>
        </w:rPr>
        <w:t xml:space="preserve"> : </w:t>
      </w:r>
      <w:r w:rsidRPr="00163ED8">
        <w:rPr>
          <w:rFonts w:eastAsia="MS Mincho"/>
          <w:snapToGrid w:val="0"/>
          <w:lang w:val="fr-CA"/>
        </w:rPr>
        <w:t>pour</w:t>
      </w:r>
      <w:r w:rsidRPr="00943387">
        <w:rPr>
          <w:rFonts w:eastAsia="MS Mincho"/>
          <w:snapToGrid w:val="0"/>
          <w:lang w:val="fr-CA"/>
        </w:rPr>
        <w:t xml:space="preserve"> les projets qui contribuent d’une certaine manière </w:t>
      </w:r>
      <w:r>
        <w:rPr>
          <w:rFonts w:eastAsia="MS Mincho"/>
          <w:snapToGrid w:val="0"/>
          <w:lang w:val="fr-CA"/>
        </w:rPr>
        <w:t>à</w:t>
      </w:r>
      <w:r w:rsidRPr="00943387">
        <w:rPr>
          <w:rFonts w:eastAsia="MS Mincho"/>
          <w:snapToGrid w:val="0"/>
          <w:lang w:val="fr-CA"/>
        </w:rPr>
        <w:t xml:space="preserve"> l’égalité entre les sexes, mais pas de manière significative (moins de </w:t>
      </w:r>
      <w:r>
        <w:rPr>
          <w:rFonts w:eastAsia="MS Mincho"/>
          <w:snapToGrid w:val="0"/>
          <w:lang w:val="fr-CA"/>
        </w:rPr>
        <w:t>30</w:t>
      </w:r>
      <w:r w:rsidRPr="00943387">
        <w:rPr>
          <w:rFonts w:eastAsia="MS Mincho"/>
          <w:snapToGrid w:val="0"/>
          <w:lang w:val="fr-CA"/>
        </w:rPr>
        <w:t>% du budget total).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2C70"/>
    <w:multiLevelType w:val="hybridMultilevel"/>
    <w:tmpl w:val="0ED2089A"/>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2"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46281FB9"/>
    <w:multiLevelType w:val="hybridMultilevel"/>
    <w:tmpl w:val="898AE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C257CF9"/>
    <w:multiLevelType w:val="hybridMultilevel"/>
    <w:tmpl w:val="8F16D60A"/>
    <w:lvl w:ilvl="0" w:tplc="D652B1C6">
      <w:start w:val="1553"/>
      <w:numFmt w:val="bullet"/>
      <w:lvlText w:val="-"/>
      <w:lvlJc w:val="left"/>
      <w:pPr>
        <w:ind w:left="-450" w:hanging="360"/>
      </w:pPr>
      <w:rPr>
        <w:rFonts w:ascii="Times New Roman" w:eastAsia="Times New Roman" w:hAnsi="Times New Roman" w:cs="Times New Roman" w:hint="default"/>
      </w:rPr>
    </w:lvl>
    <w:lvl w:ilvl="1" w:tplc="040C0003" w:tentative="1">
      <w:start w:val="1"/>
      <w:numFmt w:val="bullet"/>
      <w:lvlText w:val="o"/>
      <w:lvlJc w:val="left"/>
      <w:pPr>
        <w:ind w:left="270" w:hanging="360"/>
      </w:pPr>
      <w:rPr>
        <w:rFonts w:ascii="Courier New" w:hAnsi="Courier New" w:cs="Courier New" w:hint="default"/>
      </w:rPr>
    </w:lvl>
    <w:lvl w:ilvl="2" w:tplc="040C0005" w:tentative="1">
      <w:start w:val="1"/>
      <w:numFmt w:val="bullet"/>
      <w:lvlText w:val=""/>
      <w:lvlJc w:val="left"/>
      <w:pPr>
        <w:ind w:left="990" w:hanging="360"/>
      </w:pPr>
      <w:rPr>
        <w:rFonts w:ascii="Wingdings" w:hAnsi="Wingdings" w:hint="default"/>
      </w:rPr>
    </w:lvl>
    <w:lvl w:ilvl="3" w:tplc="040C0001" w:tentative="1">
      <w:start w:val="1"/>
      <w:numFmt w:val="bullet"/>
      <w:lvlText w:val=""/>
      <w:lvlJc w:val="left"/>
      <w:pPr>
        <w:ind w:left="1710" w:hanging="360"/>
      </w:pPr>
      <w:rPr>
        <w:rFonts w:ascii="Symbol" w:hAnsi="Symbol" w:hint="default"/>
      </w:rPr>
    </w:lvl>
    <w:lvl w:ilvl="4" w:tplc="040C0003" w:tentative="1">
      <w:start w:val="1"/>
      <w:numFmt w:val="bullet"/>
      <w:lvlText w:val="o"/>
      <w:lvlJc w:val="left"/>
      <w:pPr>
        <w:ind w:left="2430" w:hanging="360"/>
      </w:pPr>
      <w:rPr>
        <w:rFonts w:ascii="Courier New" w:hAnsi="Courier New" w:cs="Courier New" w:hint="default"/>
      </w:rPr>
    </w:lvl>
    <w:lvl w:ilvl="5" w:tplc="040C0005" w:tentative="1">
      <w:start w:val="1"/>
      <w:numFmt w:val="bullet"/>
      <w:lvlText w:val=""/>
      <w:lvlJc w:val="left"/>
      <w:pPr>
        <w:ind w:left="3150" w:hanging="360"/>
      </w:pPr>
      <w:rPr>
        <w:rFonts w:ascii="Wingdings" w:hAnsi="Wingdings" w:hint="default"/>
      </w:rPr>
    </w:lvl>
    <w:lvl w:ilvl="6" w:tplc="040C0001" w:tentative="1">
      <w:start w:val="1"/>
      <w:numFmt w:val="bullet"/>
      <w:lvlText w:val=""/>
      <w:lvlJc w:val="left"/>
      <w:pPr>
        <w:ind w:left="3870" w:hanging="360"/>
      </w:pPr>
      <w:rPr>
        <w:rFonts w:ascii="Symbol" w:hAnsi="Symbol" w:hint="default"/>
      </w:rPr>
    </w:lvl>
    <w:lvl w:ilvl="7" w:tplc="040C0003" w:tentative="1">
      <w:start w:val="1"/>
      <w:numFmt w:val="bullet"/>
      <w:lvlText w:val="o"/>
      <w:lvlJc w:val="left"/>
      <w:pPr>
        <w:ind w:left="4590" w:hanging="360"/>
      </w:pPr>
      <w:rPr>
        <w:rFonts w:ascii="Courier New" w:hAnsi="Courier New" w:cs="Courier New" w:hint="default"/>
      </w:rPr>
    </w:lvl>
    <w:lvl w:ilvl="8" w:tplc="040C0005" w:tentative="1">
      <w:start w:val="1"/>
      <w:numFmt w:val="bullet"/>
      <w:lvlText w:val=""/>
      <w:lvlJc w:val="left"/>
      <w:pPr>
        <w:ind w:left="5310"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494293">
    <w:abstractNumId w:val="5"/>
  </w:num>
  <w:num w:numId="2" w16cid:durableId="614365154">
    <w:abstractNumId w:val="6"/>
  </w:num>
  <w:num w:numId="3" w16cid:durableId="1444497190">
    <w:abstractNumId w:val="1"/>
  </w:num>
  <w:num w:numId="4" w16cid:durableId="333579009">
    <w:abstractNumId w:val="2"/>
  </w:num>
  <w:num w:numId="5" w16cid:durableId="247230160">
    <w:abstractNumId w:val="0"/>
  </w:num>
  <w:num w:numId="6" w16cid:durableId="1731803332">
    <w:abstractNumId w:val="3"/>
  </w:num>
  <w:num w:numId="7" w16cid:durableId="36313847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cumentProtection w:edit="forms" w:formatting="1"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43B7"/>
    <w:rsid w:val="00005737"/>
    <w:rsid w:val="000057A9"/>
    <w:rsid w:val="00006DBE"/>
    <w:rsid w:val="00006EC0"/>
    <w:rsid w:val="00010EB0"/>
    <w:rsid w:val="0001109A"/>
    <w:rsid w:val="00013D36"/>
    <w:rsid w:val="00013D69"/>
    <w:rsid w:val="00014B13"/>
    <w:rsid w:val="00017501"/>
    <w:rsid w:val="00025EFA"/>
    <w:rsid w:val="00031640"/>
    <w:rsid w:val="00033168"/>
    <w:rsid w:val="0003716A"/>
    <w:rsid w:val="000452E3"/>
    <w:rsid w:val="00045C24"/>
    <w:rsid w:val="00050759"/>
    <w:rsid w:val="00051F71"/>
    <w:rsid w:val="0005216F"/>
    <w:rsid w:val="00052745"/>
    <w:rsid w:val="00052DE5"/>
    <w:rsid w:val="000554F8"/>
    <w:rsid w:val="00055AF6"/>
    <w:rsid w:val="00060E9B"/>
    <w:rsid w:val="000628A0"/>
    <w:rsid w:val="00063017"/>
    <w:rsid w:val="00066A82"/>
    <w:rsid w:val="000731D0"/>
    <w:rsid w:val="00075042"/>
    <w:rsid w:val="00075D98"/>
    <w:rsid w:val="0008134A"/>
    <w:rsid w:val="0008233D"/>
    <w:rsid w:val="00082738"/>
    <w:rsid w:val="00082DDF"/>
    <w:rsid w:val="00084F64"/>
    <w:rsid w:val="0008506E"/>
    <w:rsid w:val="00091CFD"/>
    <w:rsid w:val="00091D2B"/>
    <w:rsid w:val="00092442"/>
    <w:rsid w:val="00093A7F"/>
    <w:rsid w:val="00093CAE"/>
    <w:rsid w:val="000960DC"/>
    <w:rsid w:val="0009792A"/>
    <w:rsid w:val="000A1C72"/>
    <w:rsid w:val="000A45F4"/>
    <w:rsid w:val="000A4660"/>
    <w:rsid w:val="000A51DA"/>
    <w:rsid w:val="000A6719"/>
    <w:rsid w:val="000B4E5C"/>
    <w:rsid w:val="000B6E7A"/>
    <w:rsid w:val="000B7954"/>
    <w:rsid w:val="000C7EA0"/>
    <w:rsid w:val="000D4F4B"/>
    <w:rsid w:val="000E05AE"/>
    <w:rsid w:val="000E27E4"/>
    <w:rsid w:val="000E6A96"/>
    <w:rsid w:val="000F05A2"/>
    <w:rsid w:val="000F13B1"/>
    <w:rsid w:val="000F20CA"/>
    <w:rsid w:val="000F2E54"/>
    <w:rsid w:val="000F43A8"/>
    <w:rsid w:val="000F5868"/>
    <w:rsid w:val="000F6ABD"/>
    <w:rsid w:val="00102C0E"/>
    <w:rsid w:val="001125FF"/>
    <w:rsid w:val="00112741"/>
    <w:rsid w:val="00112A6B"/>
    <w:rsid w:val="00113D2B"/>
    <w:rsid w:val="00113EC4"/>
    <w:rsid w:val="00116449"/>
    <w:rsid w:val="0011666C"/>
    <w:rsid w:val="0011674F"/>
    <w:rsid w:val="00116E27"/>
    <w:rsid w:val="00117EE7"/>
    <w:rsid w:val="00120698"/>
    <w:rsid w:val="00121B2D"/>
    <w:rsid w:val="00125DBF"/>
    <w:rsid w:val="001307FA"/>
    <w:rsid w:val="00131824"/>
    <w:rsid w:val="00136B32"/>
    <w:rsid w:val="00136BC9"/>
    <w:rsid w:val="00137FBA"/>
    <w:rsid w:val="001444EE"/>
    <w:rsid w:val="00145766"/>
    <w:rsid w:val="001458E9"/>
    <w:rsid w:val="00153CD9"/>
    <w:rsid w:val="00155AFB"/>
    <w:rsid w:val="00156AFA"/>
    <w:rsid w:val="00156C4C"/>
    <w:rsid w:val="00157048"/>
    <w:rsid w:val="00157BF2"/>
    <w:rsid w:val="001607B2"/>
    <w:rsid w:val="0016088D"/>
    <w:rsid w:val="00161D02"/>
    <w:rsid w:val="0016243F"/>
    <w:rsid w:val="00164BEC"/>
    <w:rsid w:val="001745E8"/>
    <w:rsid w:val="0018095F"/>
    <w:rsid w:val="0018313E"/>
    <w:rsid w:val="0018446E"/>
    <w:rsid w:val="00185425"/>
    <w:rsid w:val="00185B87"/>
    <w:rsid w:val="00186529"/>
    <w:rsid w:val="00192F1D"/>
    <w:rsid w:val="001948EA"/>
    <w:rsid w:val="00194D4C"/>
    <w:rsid w:val="00196A15"/>
    <w:rsid w:val="00196AA8"/>
    <w:rsid w:val="001A0FA4"/>
    <w:rsid w:val="001A1E86"/>
    <w:rsid w:val="001A2539"/>
    <w:rsid w:val="001A3157"/>
    <w:rsid w:val="001A374F"/>
    <w:rsid w:val="001A4786"/>
    <w:rsid w:val="001A59D9"/>
    <w:rsid w:val="001A5AFB"/>
    <w:rsid w:val="001A662D"/>
    <w:rsid w:val="001A6A4E"/>
    <w:rsid w:val="001B0E39"/>
    <w:rsid w:val="001B1EAF"/>
    <w:rsid w:val="001B458D"/>
    <w:rsid w:val="001B4FC7"/>
    <w:rsid w:val="001B5D16"/>
    <w:rsid w:val="001B5FA5"/>
    <w:rsid w:val="001B6DFD"/>
    <w:rsid w:val="001B7B77"/>
    <w:rsid w:val="001B7DD1"/>
    <w:rsid w:val="001C15CC"/>
    <w:rsid w:val="001C4484"/>
    <w:rsid w:val="001C46E9"/>
    <w:rsid w:val="001C5691"/>
    <w:rsid w:val="001C56B8"/>
    <w:rsid w:val="001C5B82"/>
    <w:rsid w:val="001D1C14"/>
    <w:rsid w:val="001D22A2"/>
    <w:rsid w:val="001D575F"/>
    <w:rsid w:val="001D5FB5"/>
    <w:rsid w:val="001D61A5"/>
    <w:rsid w:val="001D6683"/>
    <w:rsid w:val="001D67F9"/>
    <w:rsid w:val="001E4BDE"/>
    <w:rsid w:val="001E660A"/>
    <w:rsid w:val="001E7960"/>
    <w:rsid w:val="001F308A"/>
    <w:rsid w:val="0020130A"/>
    <w:rsid w:val="0020353A"/>
    <w:rsid w:val="00205EB7"/>
    <w:rsid w:val="0020791D"/>
    <w:rsid w:val="002129DA"/>
    <w:rsid w:val="0021550A"/>
    <w:rsid w:val="002157FD"/>
    <w:rsid w:val="00215F41"/>
    <w:rsid w:val="00217A2E"/>
    <w:rsid w:val="00217EB6"/>
    <w:rsid w:val="002247C2"/>
    <w:rsid w:val="002322E6"/>
    <w:rsid w:val="00233827"/>
    <w:rsid w:val="00234A5E"/>
    <w:rsid w:val="00236050"/>
    <w:rsid w:val="00236072"/>
    <w:rsid w:val="0023672E"/>
    <w:rsid w:val="00236AB3"/>
    <w:rsid w:val="002436F0"/>
    <w:rsid w:val="00245E73"/>
    <w:rsid w:val="00246135"/>
    <w:rsid w:val="00247F4E"/>
    <w:rsid w:val="00251E92"/>
    <w:rsid w:val="0025220B"/>
    <w:rsid w:val="00252B39"/>
    <w:rsid w:val="00254AC2"/>
    <w:rsid w:val="0025525B"/>
    <w:rsid w:val="00262847"/>
    <w:rsid w:val="0027242A"/>
    <w:rsid w:val="00272A58"/>
    <w:rsid w:val="00273AD0"/>
    <w:rsid w:val="00274B28"/>
    <w:rsid w:val="00280FEA"/>
    <w:rsid w:val="002822AF"/>
    <w:rsid w:val="00282BD9"/>
    <w:rsid w:val="00286F66"/>
    <w:rsid w:val="00287878"/>
    <w:rsid w:val="00293DBC"/>
    <w:rsid w:val="002940E8"/>
    <w:rsid w:val="00296527"/>
    <w:rsid w:val="00296C15"/>
    <w:rsid w:val="002A1877"/>
    <w:rsid w:val="002B0F98"/>
    <w:rsid w:val="002B3207"/>
    <w:rsid w:val="002B346A"/>
    <w:rsid w:val="002B351E"/>
    <w:rsid w:val="002B4426"/>
    <w:rsid w:val="002B456D"/>
    <w:rsid w:val="002B4823"/>
    <w:rsid w:val="002B5F4F"/>
    <w:rsid w:val="002B740B"/>
    <w:rsid w:val="002C187A"/>
    <w:rsid w:val="002C20A8"/>
    <w:rsid w:val="002C5DD0"/>
    <w:rsid w:val="002C6697"/>
    <w:rsid w:val="002C7051"/>
    <w:rsid w:val="002C71C8"/>
    <w:rsid w:val="002D08A8"/>
    <w:rsid w:val="002D2FBB"/>
    <w:rsid w:val="002D4247"/>
    <w:rsid w:val="002D68D7"/>
    <w:rsid w:val="002D6DA0"/>
    <w:rsid w:val="002E09DB"/>
    <w:rsid w:val="002E10E6"/>
    <w:rsid w:val="002E1CED"/>
    <w:rsid w:val="002E3BEA"/>
    <w:rsid w:val="002E40A7"/>
    <w:rsid w:val="002E5250"/>
    <w:rsid w:val="002E61AA"/>
    <w:rsid w:val="002E6F58"/>
    <w:rsid w:val="002E745D"/>
    <w:rsid w:val="002F10F6"/>
    <w:rsid w:val="002F15D9"/>
    <w:rsid w:val="002F1C02"/>
    <w:rsid w:val="002F2023"/>
    <w:rsid w:val="002F26EC"/>
    <w:rsid w:val="002F3B56"/>
    <w:rsid w:val="002F42EA"/>
    <w:rsid w:val="002F4750"/>
    <w:rsid w:val="002F5279"/>
    <w:rsid w:val="002F59A7"/>
    <w:rsid w:val="003040D8"/>
    <w:rsid w:val="0030455E"/>
    <w:rsid w:val="00305626"/>
    <w:rsid w:val="00305E81"/>
    <w:rsid w:val="003107C9"/>
    <w:rsid w:val="00316D58"/>
    <w:rsid w:val="003212BB"/>
    <w:rsid w:val="00321C92"/>
    <w:rsid w:val="003235DF"/>
    <w:rsid w:val="00323ABC"/>
    <w:rsid w:val="00324A7C"/>
    <w:rsid w:val="00324EA3"/>
    <w:rsid w:val="00324FE5"/>
    <w:rsid w:val="003273CC"/>
    <w:rsid w:val="00330146"/>
    <w:rsid w:val="00333EC9"/>
    <w:rsid w:val="0033515C"/>
    <w:rsid w:val="00335F56"/>
    <w:rsid w:val="00336BF8"/>
    <w:rsid w:val="00337FEA"/>
    <w:rsid w:val="003409BC"/>
    <w:rsid w:val="00342356"/>
    <w:rsid w:val="00343425"/>
    <w:rsid w:val="0034386B"/>
    <w:rsid w:val="00346D73"/>
    <w:rsid w:val="003473C6"/>
    <w:rsid w:val="00355C69"/>
    <w:rsid w:val="0035676B"/>
    <w:rsid w:val="0036386A"/>
    <w:rsid w:val="00366549"/>
    <w:rsid w:val="00372156"/>
    <w:rsid w:val="003722AE"/>
    <w:rsid w:val="0037561F"/>
    <w:rsid w:val="0037563A"/>
    <w:rsid w:val="00375723"/>
    <w:rsid w:val="003758E5"/>
    <w:rsid w:val="00380849"/>
    <w:rsid w:val="0038131F"/>
    <w:rsid w:val="003818DB"/>
    <w:rsid w:val="003834CD"/>
    <w:rsid w:val="00383908"/>
    <w:rsid w:val="00384169"/>
    <w:rsid w:val="00391614"/>
    <w:rsid w:val="003966E6"/>
    <w:rsid w:val="003968D7"/>
    <w:rsid w:val="003A613D"/>
    <w:rsid w:val="003A6341"/>
    <w:rsid w:val="003B3A5F"/>
    <w:rsid w:val="003B4F6E"/>
    <w:rsid w:val="003B5338"/>
    <w:rsid w:val="003C5283"/>
    <w:rsid w:val="003C5CC6"/>
    <w:rsid w:val="003D12C7"/>
    <w:rsid w:val="003D228B"/>
    <w:rsid w:val="003D43C0"/>
    <w:rsid w:val="003D4CD7"/>
    <w:rsid w:val="003D4D7C"/>
    <w:rsid w:val="003E4EC4"/>
    <w:rsid w:val="003E5562"/>
    <w:rsid w:val="003F08B1"/>
    <w:rsid w:val="003F21B4"/>
    <w:rsid w:val="003F21BE"/>
    <w:rsid w:val="003F36FB"/>
    <w:rsid w:val="003F5952"/>
    <w:rsid w:val="003F660A"/>
    <w:rsid w:val="004017BD"/>
    <w:rsid w:val="00402083"/>
    <w:rsid w:val="004023AC"/>
    <w:rsid w:val="00402514"/>
    <w:rsid w:val="0040513F"/>
    <w:rsid w:val="00405DE7"/>
    <w:rsid w:val="00411A5F"/>
    <w:rsid w:val="00413EAF"/>
    <w:rsid w:val="00414097"/>
    <w:rsid w:val="004213AF"/>
    <w:rsid w:val="00425AF8"/>
    <w:rsid w:val="00437CE8"/>
    <w:rsid w:val="00437FF5"/>
    <w:rsid w:val="00441374"/>
    <w:rsid w:val="00445026"/>
    <w:rsid w:val="0045149A"/>
    <w:rsid w:val="00457310"/>
    <w:rsid w:val="0046101E"/>
    <w:rsid w:val="00461944"/>
    <w:rsid w:val="00464188"/>
    <w:rsid w:val="004651B9"/>
    <w:rsid w:val="00470EC3"/>
    <w:rsid w:val="00474A70"/>
    <w:rsid w:val="004752DC"/>
    <w:rsid w:val="004760C7"/>
    <w:rsid w:val="00476758"/>
    <w:rsid w:val="00477CF8"/>
    <w:rsid w:val="00480A02"/>
    <w:rsid w:val="0048168F"/>
    <w:rsid w:val="00483E9B"/>
    <w:rsid w:val="00484092"/>
    <w:rsid w:val="00484169"/>
    <w:rsid w:val="00490BD8"/>
    <w:rsid w:val="00495AC5"/>
    <w:rsid w:val="004965A3"/>
    <w:rsid w:val="004A0DB7"/>
    <w:rsid w:val="004A106C"/>
    <w:rsid w:val="004A210E"/>
    <w:rsid w:val="004A265D"/>
    <w:rsid w:val="004A49E6"/>
    <w:rsid w:val="004B1E1E"/>
    <w:rsid w:val="004B5601"/>
    <w:rsid w:val="004B5B20"/>
    <w:rsid w:val="004C0FA3"/>
    <w:rsid w:val="004C12ED"/>
    <w:rsid w:val="004C3DC3"/>
    <w:rsid w:val="004C4272"/>
    <w:rsid w:val="004C4F3B"/>
    <w:rsid w:val="004C601D"/>
    <w:rsid w:val="004D141E"/>
    <w:rsid w:val="004D48AB"/>
    <w:rsid w:val="004E33A8"/>
    <w:rsid w:val="004E3B3E"/>
    <w:rsid w:val="004E3BD7"/>
    <w:rsid w:val="004E6614"/>
    <w:rsid w:val="004F016F"/>
    <w:rsid w:val="004F4A02"/>
    <w:rsid w:val="004F6E64"/>
    <w:rsid w:val="004F7D22"/>
    <w:rsid w:val="00500587"/>
    <w:rsid w:val="00500F09"/>
    <w:rsid w:val="00502124"/>
    <w:rsid w:val="00504C15"/>
    <w:rsid w:val="00505758"/>
    <w:rsid w:val="00510DD4"/>
    <w:rsid w:val="005129DA"/>
    <w:rsid w:val="00513612"/>
    <w:rsid w:val="00513D8E"/>
    <w:rsid w:val="00515075"/>
    <w:rsid w:val="00515E66"/>
    <w:rsid w:val="00515EEF"/>
    <w:rsid w:val="00516B86"/>
    <w:rsid w:val="005174D6"/>
    <w:rsid w:val="0051786C"/>
    <w:rsid w:val="005208FF"/>
    <w:rsid w:val="00521468"/>
    <w:rsid w:val="005216B2"/>
    <w:rsid w:val="00526655"/>
    <w:rsid w:val="00526735"/>
    <w:rsid w:val="00526B32"/>
    <w:rsid w:val="0053126F"/>
    <w:rsid w:val="00531CEF"/>
    <w:rsid w:val="00532887"/>
    <w:rsid w:val="00534577"/>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5643E"/>
    <w:rsid w:val="0056086D"/>
    <w:rsid w:val="00561C6B"/>
    <w:rsid w:val="005672DD"/>
    <w:rsid w:val="0057086A"/>
    <w:rsid w:val="005718ED"/>
    <w:rsid w:val="0058153F"/>
    <w:rsid w:val="0058277A"/>
    <w:rsid w:val="0058301B"/>
    <w:rsid w:val="0058560B"/>
    <w:rsid w:val="00590937"/>
    <w:rsid w:val="0059166A"/>
    <w:rsid w:val="00592733"/>
    <w:rsid w:val="00593B59"/>
    <w:rsid w:val="00595DBA"/>
    <w:rsid w:val="005A2661"/>
    <w:rsid w:val="005A26F8"/>
    <w:rsid w:val="005A56E0"/>
    <w:rsid w:val="005B4046"/>
    <w:rsid w:val="005B44D8"/>
    <w:rsid w:val="005B6D2F"/>
    <w:rsid w:val="005C187A"/>
    <w:rsid w:val="005C1FC7"/>
    <w:rsid w:val="005C20BF"/>
    <w:rsid w:val="005C45CD"/>
    <w:rsid w:val="005C4963"/>
    <w:rsid w:val="005C4BBA"/>
    <w:rsid w:val="005C68B4"/>
    <w:rsid w:val="005D15A3"/>
    <w:rsid w:val="005D2343"/>
    <w:rsid w:val="005D545C"/>
    <w:rsid w:val="005D5A4A"/>
    <w:rsid w:val="005D653E"/>
    <w:rsid w:val="005E3B28"/>
    <w:rsid w:val="005F0CC2"/>
    <w:rsid w:val="005F439F"/>
    <w:rsid w:val="005F77DA"/>
    <w:rsid w:val="00600B5F"/>
    <w:rsid w:val="00600E1A"/>
    <w:rsid w:val="006017A2"/>
    <w:rsid w:val="006024F9"/>
    <w:rsid w:val="00605275"/>
    <w:rsid w:val="006073A2"/>
    <w:rsid w:val="006073AB"/>
    <w:rsid w:val="0060796B"/>
    <w:rsid w:val="006100F5"/>
    <w:rsid w:val="00610B6A"/>
    <w:rsid w:val="0061467E"/>
    <w:rsid w:val="00615C30"/>
    <w:rsid w:val="00617539"/>
    <w:rsid w:val="00624881"/>
    <w:rsid w:val="00624B2F"/>
    <w:rsid w:val="00624F31"/>
    <w:rsid w:val="00626B3F"/>
    <w:rsid w:val="00627A1C"/>
    <w:rsid w:val="00631B01"/>
    <w:rsid w:val="00632971"/>
    <w:rsid w:val="00633B7B"/>
    <w:rsid w:val="006342E0"/>
    <w:rsid w:val="00634741"/>
    <w:rsid w:val="00635112"/>
    <w:rsid w:val="00643A9E"/>
    <w:rsid w:val="00646FF7"/>
    <w:rsid w:val="006500AC"/>
    <w:rsid w:val="00651323"/>
    <w:rsid w:val="00652193"/>
    <w:rsid w:val="00656A65"/>
    <w:rsid w:val="006578BB"/>
    <w:rsid w:val="00657A0F"/>
    <w:rsid w:val="00657D09"/>
    <w:rsid w:val="00661BF5"/>
    <w:rsid w:val="006645BE"/>
    <w:rsid w:val="006648F5"/>
    <w:rsid w:val="00664EA0"/>
    <w:rsid w:val="0067044E"/>
    <w:rsid w:val="00670D17"/>
    <w:rsid w:val="00671040"/>
    <w:rsid w:val="00671B7E"/>
    <w:rsid w:val="0067321D"/>
    <w:rsid w:val="006734B3"/>
    <w:rsid w:val="0067356E"/>
    <w:rsid w:val="00673D6E"/>
    <w:rsid w:val="00675507"/>
    <w:rsid w:val="00676391"/>
    <w:rsid w:val="006811AD"/>
    <w:rsid w:val="00684735"/>
    <w:rsid w:val="006864DF"/>
    <w:rsid w:val="006907EE"/>
    <w:rsid w:val="00691C2F"/>
    <w:rsid w:val="006947B7"/>
    <w:rsid w:val="00696511"/>
    <w:rsid w:val="006969E7"/>
    <w:rsid w:val="006A07CA"/>
    <w:rsid w:val="006A188E"/>
    <w:rsid w:val="006A207B"/>
    <w:rsid w:val="006A2E42"/>
    <w:rsid w:val="006A5032"/>
    <w:rsid w:val="006A5B0E"/>
    <w:rsid w:val="006B3928"/>
    <w:rsid w:val="006B4DED"/>
    <w:rsid w:val="006C1315"/>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46"/>
    <w:rsid w:val="006F0B62"/>
    <w:rsid w:val="006F0F2D"/>
    <w:rsid w:val="006F1516"/>
    <w:rsid w:val="006F408D"/>
    <w:rsid w:val="006F4A07"/>
    <w:rsid w:val="006F690E"/>
    <w:rsid w:val="006F74C9"/>
    <w:rsid w:val="006F7ABF"/>
    <w:rsid w:val="007065B1"/>
    <w:rsid w:val="0070703D"/>
    <w:rsid w:val="007073F6"/>
    <w:rsid w:val="007118F5"/>
    <w:rsid w:val="0071286E"/>
    <w:rsid w:val="007133CF"/>
    <w:rsid w:val="0071506D"/>
    <w:rsid w:val="00715EC6"/>
    <w:rsid w:val="00720431"/>
    <w:rsid w:val="007308CD"/>
    <w:rsid w:val="007317AD"/>
    <w:rsid w:val="0073324E"/>
    <w:rsid w:val="00734278"/>
    <w:rsid w:val="00735D3D"/>
    <w:rsid w:val="0074040E"/>
    <w:rsid w:val="00740B1E"/>
    <w:rsid w:val="0074108E"/>
    <w:rsid w:val="00741135"/>
    <w:rsid w:val="00742F27"/>
    <w:rsid w:val="00742FDD"/>
    <w:rsid w:val="007435E3"/>
    <w:rsid w:val="00743792"/>
    <w:rsid w:val="00744AB6"/>
    <w:rsid w:val="007451EC"/>
    <w:rsid w:val="00745803"/>
    <w:rsid w:val="00746AC5"/>
    <w:rsid w:val="00751279"/>
    <w:rsid w:val="00751324"/>
    <w:rsid w:val="00751B1F"/>
    <w:rsid w:val="00751DAF"/>
    <w:rsid w:val="00751DE5"/>
    <w:rsid w:val="00753159"/>
    <w:rsid w:val="007569BB"/>
    <w:rsid w:val="00761508"/>
    <w:rsid w:val="007626C9"/>
    <w:rsid w:val="007636EA"/>
    <w:rsid w:val="00764773"/>
    <w:rsid w:val="00764B9C"/>
    <w:rsid w:val="0076624E"/>
    <w:rsid w:val="0076639C"/>
    <w:rsid w:val="0077078E"/>
    <w:rsid w:val="007712FB"/>
    <w:rsid w:val="007717E2"/>
    <w:rsid w:val="00773416"/>
    <w:rsid w:val="0077377F"/>
    <w:rsid w:val="007740D4"/>
    <w:rsid w:val="007756B0"/>
    <w:rsid w:val="00782959"/>
    <w:rsid w:val="00782E30"/>
    <w:rsid w:val="00785E5E"/>
    <w:rsid w:val="0078600B"/>
    <w:rsid w:val="0078761F"/>
    <w:rsid w:val="00790676"/>
    <w:rsid w:val="00791410"/>
    <w:rsid w:val="007937AE"/>
    <w:rsid w:val="00793DE6"/>
    <w:rsid w:val="00793E8B"/>
    <w:rsid w:val="007958F2"/>
    <w:rsid w:val="007A1B5F"/>
    <w:rsid w:val="007A35E6"/>
    <w:rsid w:val="007A4F3E"/>
    <w:rsid w:val="007A5985"/>
    <w:rsid w:val="007A777F"/>
    <w:rsid w:val="007B10F6"/>
    <w:rsid w:val="007B1BE5"/>
    <w:rsid w:val="007B368E"/>
    <w:rsid w:val="007B4993"/>
    <w:rsid w:val="007B5B14"/>
    <w:rsid w:val="007B5D05"/>
    <w:rsid w:val="007B64DF"/>
    <w:rsid w:val="007C1867"/>
    <w:rsid w:val="007C2D54"/>
    <w:rsid w:val="007C304F"/>
    <w:rsid w:val="007C78D3"/>
    <w:rsid w:val="007C7B57"/>
    <w:rsid w:val="007D127B"/>
    <w:rsid w:val="007D2DD6"/>
    <w:rsid w:val="007D32F5"/>
    <w:rsid w:val="007D4F17"/>
    <w:rsid w:val="007D5138"/>
    <w:rsid w:val="007D6558"/>
    <w:rsid w:val="007D6A05"/>
    <w:rsid w:val="007D6E52"/>
    <w:rsid w:val="007E1330"/>
    <w:rsid w:val="007E3EB8"/>
    <w:rsid w:val="007E4FA1"/>
    <w:rsid w:val="007E7BE8"/>
    <w:rsid w:val="007F4C86"/>
    <w:rsid w:val="007F6F6D"/>
    <w:rsid w:val="007F7257"/>
    <w:rsid w:val="007F78F7"/>
    <w:rsid w:val="00805ADB"/>
    <w:rsid w:val="00812452"/>
    <w:rsid w:val="00821607"/>
    <w:rsid w:val="00826923"/>
    <w:rsid w:val="0083461E"/>
    <w:rsid w:val="00834A9F"/>
    <w:rsid w:val="008364E5"/>
    <w:rsid w:val="00837AAC"/>
    <w:rsid w:val="00837B04"/>
    <w:rsid w:val="0084221C"/>
    <w:rsid w:val="008435E7"/>
    <w:rsid w:val="0084393C"/>
    <w:rsid w:val="00847603"/>
    <w:rsid w:val="00847A89"/>
    <w:rsid w:val="00852CE3"/>
    <w:rsid w:val="00853068"/>
    <w:rsid w:val="0085712C"/>
    <w:rsid w:val="00861669"/>
    <w:rsid w:val="008632DB"/>
    <w:rsid w:val="008640A5"/>
    <w:rsid w:val="00865218"/>
    <w:rsid w:val="00865821"/>
    <w:rsid w:val="00865AFA"/>
    <w:rsid w:val="00865FA0"/>
    <w:rsid w:val="008664A8"/>
    <w:rsid w:val="00866E96"/>
    <w:rsid w:val="00874634"/>
    <w:rsid w:val="00875EA5"/>
    <w:rsid w:val="00877D2F"/>
    <w:rsid w:val="008807BA"/>
    <w:rsid w:val="0088199D"/>
    <w:rsid w:val="00881D4B"/>
    <w:rsid w:val="0088306D"/>
    <w:rsid w:val="008841D5"/>
    <w:rsid w:val="00891AE7"/>
    <w:rsid w:val="00897EA5"/>
    <w:rsid w:val="008A1155"/>
    <w:rsid w:val="008A3181"/>
    <w:rsid w:val="008A7703"/>
    <w:rsid w:val="008B1B75"/>
    <w:rsid w:val="008B3518"/>
    <w:rsid w:val="008B5A12"/>
    <w:rsid w:val="008B6F9C"/>
    <w:rsid w:val="008B7E23"/>
    <w:rsid w:val="008C030B"/>
    <w:rsid w:val="008C782A"/>
    <w:rsid w:val="008C7C63"/>
    <w:rsid w:val="008D465B"/>
    <w:rsid w:val="008E1083"/>
    <w:rsid w:val="008E20DF"/>
    <w:rsid w:val="008E2A6C"/>
    <w:rsid w:val="008E3872"/>
    <w:rsid w:val="008E729D"/>
    <w:rsid w:val="008F5112"/>
    <w:rsid w:val="008F6703"/>
    <w:rsid w:val="00900D78"/>
    <w:rsid w:val="00901C1E"/>
    <w:rsid w:val="00910A7D"/>
    <w:rsid w:val="00910FE1"/>
    <w:rsid w:val="0091229B"/>
    <w:rsid w:val="00912D25"/>
    <w:rsid w:val="00913EC8"/>
    <w:rsid w:val="00915C96"/>
    <w:rsid w:val="00915D77"/>
    <w:rsid w:val="00916DF8"/>
    <w:rsid w:val="0091711B"/>
    <w:rsid w:val="0091758E"/>
    <w:rsid w:val="009216A8"/>
    <w:rsid w:val="0092174B"/>
    <w:rsid w:val="00921C68"/>
    <w:rsid w:val="00922E3E"/>
    <w:rsid w:val="009249D6"/>
    <w:rsid w:val="0092673B"/>
    <w:rsid w:val="0093134E"/>
    <w:rsid w:val="00931786"/>
    <w:rsid w:val="00937ABE"/>
    <w:rsid w:val="00944376"/>
    <w:rsid w:val="00945925"/>
    <w:rsid w:val="00952DE4"/>
    <w:rsid w:val="00953C30"/>
    <w:rsid w:val="009568EF"/>
    <w:rsid w:val="00956B79"/>
    <w:rsid w:val="00965F6B"/>
    <w:rsid w:val="00970D92"/>
    <w:rsid w:val="00970F4C"/>
    <w:rsid w:val="0097130A"/>
    <w:rsid w:val="00974D94"/>
    <w:rsid w:val="00975D39"/>
    <w:rsid w:val="009774DF"/>
    <w:rsid w:val="009774FE"/>
    <w:rsid w:val="009832F8"/>
    <w:rsid w:val="009839DA"/>
    <w:rsid w:val="00985E49"/>
    <w:rsid w:val="00991418"/>
    <w:rsid w:val="00994476"/>
    <w:rsid w:val="00994B0E"/>
    <w:rsid w:val="0099700D"/>
    <w:rsid w:val="00997257"/>
    <w:rsid w:val="00997347"/>
    <w:rsid w:val="009A012A"/>
    <w:rsid w:val="009A1CD3"/>
    <w:rsid w:val="009A44A4"/>
    <w:rsid w:val="009A4A5D"/>
    <w:rsid w:val="009A532F"/>
    <w:rsid w:val="009A5EEF"/>
    <w:rsid w:val="009B18EB"/>
    <w:rsid w:val="009B5D1A"/>
    <w:rsid w:val="009C1200"/>
    <w:rsid w:val="009C153E"/>
    <w:rsid w:val="009C28DE"/>
    <w:rsid w:val="009C2C5E"/>
    <w:rsid w:val="009C40E7"/>
    <w:rsid w:val="009D0838"/>
    <w:rsid w:val="009D0C9F"/>
    <w:rsid w:val="009D10B2"/>
    <w:rsid w:val="009D2543"/>
    <w:rsid w:val="009D4E68"/>
    <w:rsid w:val="009D57FC"/>
    <w:rsid w:val="009D64E4"/>
    <w:rsid w:val="009D65B7"/>
    <w:rsid w:val="009E01E3"/>
    <w:rsid w:val="009E20F1"/>
    <w:rsid w:val="009E329B"/>
    <w:rsid w:val="009E38EA"/>
    <w:rsid w:val="009E5594"/>
    <w:rsid w:val="009F46A9"/>
    <w:rsid w:val="009F517D"/>
    <w:rsid w:val="009F6542"/>
    <w:rsid w:val="009F6554"/>
    <w:rsid w:val="009F6A41"/>
    <w:rsid w:val="009F7F98"/>
    <w:rsid w:val="00A00DDB"/>
    <w:rsid w:val="00A02F58"/>
    <w:rsid w:val="00A032AE"/>
    <w:rsid w:val="00A0422A"/>
    <w:rsid w:val="00A044D6"/>
    <w:rsid w:val="00A048D2"/>
    <w:rsid w:val="00A06738"/>
    <w:rsid w:val="00A10DAC"/>
    <w:rsid w:val="00A2439F"/>
    <w:rsid w:val="00A27A8C"/>
    <w:rsid w:val="00A316C4"/>
    <w:rsid w:val="00A31988"/>
    <w:rsid w:val="00A31B91"/>
    <w:rsid w:val="00A34FE2"/>
    <w:rsid w:val="00A35FDA"/>
    <w:rsid w:val="00A360E8"/>
    <w:rsid w:val="00A41736"/>
    <w:rsid w:val="00A41FDD"/>
    <w:rsid w:val="00A4395F"/>
    <w:rsid w:val="00A43B9C"/>
    <w:rsid w:val="00A4581B"/>
    <w:rsid w:val="00A45BD4"/>
    <w:rsid w:val="00A46B06"/>
    <w:rsid w:val="00A4703D"/>
    <w:rsid w:val="00A471E3"/>
    <w:rsid w:val="00A47DDA"/>
    <w:rsid w:val="00A509C6"/>
    <w:rsid w:val="00A52A49"/>
    <w:rsid w:val="00A53C94"/>
    <w:rsid w:val="00A53DBD"/>
    <w:rsid w:val="00A54EC4"/>
    <w:rsid w:val="00A56DD8"/>
    <w:rsid w:val="00A6017D"/>
    <w:rsid w:val="00A61880"/>
    <w:rsid w:val="00A64309"/>
    <w:rsid w:val="00A6484C"/>
    <w:rsid w:val="00A64A02"/>
    <w:rsid w:val="00A65098"/>
    <w:rsid w:val="00A656C0"/>
    <w:rsid w:val="00A66688"/>
    <w:rsid w:val="00A73F8D"/>
    <w:rsid w:val="00A7490D"/>
    <w:rsid w:val="00A77540"/>
    <w:rsid w:val="00A81DF0"/>
    <w:rsid w:val="00A8266F"/>
    <w:rsid w:val="00A843B5"/>
    <w:rsid w:val="00A855EA"/>
    <w:rsid w:val="00A86B3F"/>
    <w:rsid w:val="00A86F4D"/>
    <w:rsid w:val="00A9067B"/>
    <w:rsid w:val="00A90E80"/>
    <w:rsid w:val="00A9125D"/>
    <w:rsid w:val="00A91EBA"/>
    <w:rsid w:val="00A91FCD"/>
    <w:rsid w:val="00A96453"/>
    <w:rsid w:val="00A96579"/>
    <w:rsid w:val="00A9791E"/>
    <w:rsid w:val="00AA1DFA"/>
    <w:rsid w:val="00AA363D"/>
    <w:rsid w:val="00AA7C77"/>
    <w:rsid w:val="00AB1368"/>
    <w:rsid w:val="00AB15D6"/>
    <w:rsid w:val="00AB37F4"/>
    <w:rsid w:val="00AB52F0"/>
    <w:rsid w:val="00AB6561"/>
    <w:rsid w:val="00AB6BAD"/>
    <w:rsid w:val="00AC433F"/>
    <w:rsid w:val="00AC4B04"/>
    <w:rsid w:val="00AC5D55"/>
    <w:rsid w:val="00AC7088"/>
    <w:rsid w:val="00AD0A31"/>
    <w:rsid w:val="00AD1041"/>
    <w:rsid w:val="00AD1B06"/>
    <w:rsid w:val="00AD1CAA"/>
    <w:rsid w:val="00AD6104"/>
    <w:rsid w:val="00AD6C55"/>
    <w:rsid w:val="00AD73D3"/>
    <w:rsid w:val="00AE0D84"/>
    <w:rsid w:val="00AE42D7"/>
    <w:rsid w:val="00AE66F4"/>
    <w:rsid w:val="00AF2D89"/>
    <w:rsid w:val="00AF7DA4"/>
    <w:rsid w:val="00B00EBD"/>
    <w:rsid w:val="00B0370E"/>
    <w:rsid w:val="00B03E68"/>
    <w:rsid w:val="00B043FA"/>
    <w:rsid w:val="00B05E35"/>
    <w:rsid w:val="00B124BD"/>
    <w:rsid w:val="00B12FB8"/>
    <w:rsid w:val="00B149A5"/>
    <w:rsid w:val="00B22390"/>
    <w:rsid w:val="00B244A1"/>
    <w:rsid w:val="00B24F72"/>
    <w:rsid w:val="00B27419"/>
    <w:rsid w:val="00B31137"/>
    <w:rsid w:val="00B329B9"/>
    <w:rsid w:val="00B330C2"/>
    <w:rsid w:val="00B368F7"/>
    <w:rsid w:val="00B37406"/>
    <w:rsid w:val="00B404DF"/>
    <w:rsid w:val="00B40BA7"/>
    <w:rsid w:val="00B419C8"/>
    <w:rsid w:val="00B4227A"/>
    <w:rsid w:val="00B43080"/>
    <w:rsid w:val="00B43B8D"/>
    <w:rsid w:val="00B43ED3"/>
    <w:rsid w:val="00B43EEA"/>
    <w:rsid w:val="00B43F6D"/>
    <w:rsid w:val="00B442A2"/>
    <w:rsid w:val="00B44697"/>
    <w:rsid w:val="00B44C04"/>
    <w:rsid w:val="00B46712"/>
    <w:rsid w:val="00B47CFB"/>
    <w:rsid w:val="00B5561C"/>
    <w:rsid w:val="00B56F7E"/>
    <w:rsid w:val="00B6401E"/>
    <w:rsid w:val="00B652A1"/>
    <w:rsid w:val="00B658D1"/>
    <w:rsid w:val="00B702C0"/>
    <w:rsid w:val="00B735DD"/>
    <w:rsid w:val="00B737D1"/>
    <w:rsid w:val="00B7459B"/>
    <w:rsid w:val="00B749E2"/>
    <w:rsid w:val="00B74CE9"/>
    <w:rsid w:val="00B7553C"/>
    <w:rsid w:val="00B75C20"/>
    <w:rsid w:val="00B82635"/>
    <w:rsid w:val="00B82AE9"/>
    <w:rsid w:val="00B82C51"/>
    <w:rsid w:val="00B82E71"/>
    <w:rsid w:val="00B901BA"/>
    <w:rsid w:val="00B90282"/>
    <w:rsid w:val="00B91F39"/>
    <w:rsid w:val="00B95E91"/>
    <w:rsid w:val="00BA1E9D"/>
    <w:rsid w:val="00BA4F96"/>
    <w:rsid w:val="00BA5D85"/>
    <w:rsid w:val="00BA6688"/>
    <w:rsid w:val="00BA6F4B"/>
    <w:rsid w:val="00BB4A8C"/>
    <w:rsid w:val="00BC17BD"/>
    <w:rsid w:val="00BC1A5D"/>
    <w:rsid w:val="00BC2C23"/>
    <w:rsid w:val="00BC34D3"/>
    <w:rsid w:val="00BC5C3D"/>
    <w:rsid w:val="00BC6808"/>
    <w:rsid w:val="00BC699F"/>
    <w:rsid w:val="00BC71E1"/>
    <w:rsid w:val="00BD065E"/>
    <w:rsid w:val="00BD2962"/>
    <w:rsid w:val="00BD5D49"/>
    <w:rsid w:val="00BD643D"/>
    <w:rsid w:val="00BE28AA"/>
    <w:rsid w:val="00BE41D3"/>
    <w:rsid w:val="00BE720A"/>
    <w:rsid w:val="00BE7698"/>
    <w:rsid w:val="00BF1BFB"/>
    <w:rsid w:val="00BF231C"/>
    <w:rsid w:val="00BF3C56"/>
    <w:rsid w:val="00BF41E2"/>
    <w:rsid w:val="00BF43F8"/>
    <w:rsid w:val="00BF4E1E"/>
    <w:rsid w:val="00BF5191"/>
    <w:rsid w:val="00C0670D"/>
    <w:rsid w:val="00C07A0C"/>
    <w:rsid w:val="00C107F6"/>
    <w:rsid w:val="00C12D6A"/>
    <w:rsid w:val="00C13590"/>
    <w:rsid w:val="00C145CF"/>
    <w:rsid w:val="00C15B0D"/>
    <w:rsid w:val="00C15C72"/>
    <w:rsid w:val="00C221D7"/>
    <w:rsid w:val="00C2331C"/>
    <w:rsid w:val="00C27302"/>
    <w:rsid w:val="00C30188"/>
    <w:rsid w:val="00C30F72"/>
    <w:rsid w:val="00C312C0"/>
    <w:rsid w:val="00C32D58"/>
    <w:rsid w:val="00C36724"/>
    <w:rsid w:val="00C41926"/>
    <w:rsid w:val="00C42FB9"/>
    <w:rsid w:val="00C44B94"/>
    <w:rsid w:val="00C52BDA"/>
    <w:rsid w:val="00C54047"/>
    <w:rsid w:val="00C578BE"/>
    <w:rsid w:val="00C6090E"/>
    <w:rsid w:val="00C61129"/>
    <w:rsid w:val="00C61626"/>
    <w:rsid w:val="00C640B2"/>
    <w:rsid w:val="00C72687"/>
    <w:rsid w:val="00C72CF8"/>
    <w:rsid w:val="00C74E37"/>
    <w:rsid w:val="00C75F38"/>
    <w:rsid w:val="00C846A4"/>
    <w:rsid w:val="00C847EE"/>
    <w:rsid w:val="00C853D5"/>
    <w:rsid w:val="00C90135"/>
    <w:rsid w:val="00C955F4"/>
    <w:rsid w:val="00C96336"/>
    <w:rsid w:val="00CA07D6"/>
    <w:rsid w:val="00CA1B43"/>
    <w:rsid w:val="00CA6C99"/>
    <w:rsid w:val="00CB02F7"/>
    <w:rsid w:val="00CB25A2"/>
    <w:rsid w:val="00CB4B5C"/>
    <w:rsid w:val="00CB5499"/>
    <w:rsid w:val="00CC2015"/>
    <w:rsid w:val="00CC26EB"/>
    <w:rsid w:val="00CC526B"/>
    <w:rsid w:val="00CC59E5"/>
    <w:rsid w:val="00CD2F67"/>
    <w:rsid w:val="00CD3754"/>
    <w:rsid w:val="00CD3E7B"/>
    <w:rsid w:val="00CD5E04"/>
    <w:rsid w:val="00CD5E74"/>
    <w:rsid w:val="00CE0239"/>
    <w:rsid w:val="00CE132D"/>
    <w:rsid w:val="00CE197B"/>
    <w:rsid w:val="00CE3BEA"/>
    <w:rsid w:val="00CE499C"/>
    <w:rsid w:val="00CE6168"/>
    <w:rsid w:val="00CE7C3A"/>
    <w:rsid w:val="00CF04AE"/>
    <w:rsid w:val="00D0291D"/>
    <w:rsid w:val="00D03D06"/>
    <w:rsid w:val="00D06A43"/>
    <w:rsid w:val="00D079BC"/>
    <w:rsid w:val="00D12CC9"/>
    <w:rsid w:val="00D132F3"/>
    <w:rsid w:val="00D13792"/>
    <w:rsid w:val="00D13FDC"/>
    <w:rsid w:val="00D147C9"/>
    <w:rsid w:val="00D21E2D"/>
    <w:rsid w:val="00D22B42"/>
    <w:rsid w:val="00D23DB0"/>
    <w:rsid w:val="00D26972"/>
    <w:rsid w:val="00D27B46"/>
    <w:rsid w:val="00D27B58"/>
    <w:rsid w:val="00D30647"/>
    <w:rsid w:val="00D3351A"/>
    <w:rsid w:val="00D34147"/>
    <w:rsid w:val="00D36AF6"/>
    <w:rsid w:val="00D36E09"/>
    <w:rsid w:val="00D41969"/>
    <w:rsid w:val="00D440A2"/>
    <w:rsid w:val="00D44632"/>
    <w:rsid w:val="00D450BB"/>
    <w:rsid w:val="00D5552B"/>
    <w:rsid w:val="00D557FD"/>
    <w:rsid w:val="00D569A1"/>
    <w:rsid w:val="00D61557"/>
    <w:rsid w:val="00D620AF"/>
    <w:rsid w:val="00D632A3"/>
    <w:rsid w:val="00D65589"/>
    <w:rsid w:val="00D65BB5"/>
    <w:rsid w:val="00D6788F"/>
    <w:rsid w:val="00D70EC5"/>
    <w:rsid w:val="00D755D9"/>
    <w:rsid w:val="00D76947"/>
    <w:rsid w:val="00D82C29"/>
    <w:rsid w:val="00D838BC"/>
    <w:rsid w:val="00D84A39"/>
    <w:rsid w:val="00D85131"/>
    <w:rsid w:val="00D8543B"/>
    <w:rsid w:val="00D90D3F"/>
    <w:rsid w:val="00D92CF4"/>
    <w:rsid w:val="00D93125"/>
    <w:rsid w:val="00DA064C"/>
    <w:rsid w:val="00DA132A"/>
    <w:rsid w:val="00DA2795"/>
    <w:rsid w:val="00DA2CD8"/>
    <w:rsid w:val="00DA3A01"/>
    <w:rsid w:val="00DA42DF"/>
    <w:rsid w:val="00DA55A7"/>
    <w:rsid w:val="00DA7B93"/>
    <w:rsid w:val="00DB05DF"/>
    <w:rsid w:val="00DB12F5"/>
    <w:rsid w:val="00DB51FF"/>
    <w:rsid w:val="00DB6418"/>
    <w:rsid w:val="00DC1151"/>
    <w:rsid w:val="00DC2453"/>
    <w:rsid w:val="00DC3579"/>
    <w:rsid w:val="00DC3612"/>
    <w:rsid w:val="00DC4D0A"/>
    <w:rsid w:val="00DC5066"/>
    <w:rsid w:val="00DD31A2"/>
    <w:rsid w:val="00DE2383"/>
    <w:rsid w:val="00DE496F"/>
    <w:rsid w:val="00DE568C"/>
    <w:rsid w:val="00DF24B9"/>
    <w:rsid w:val="00DF2883"/>
    <w:rsid w:val="00DF3624"/>
    <w:rsid w:val="00DF5022"/>
    <w:rsid w:val="00DF5EB7"/>
    <w:rsid w:val="00DF5FD1"/>
    <w:rsid w:val="00DF6A23"/>
    <w:rsid w:val="00E021C1"/>
    <w:rsid w:val="00E04A24"/>
    <w:rsid w:val="00E0564D"/>
    <w:rsid w:val="00E06159"/>
    <w:rsid w:val="00E07987"/>
    <w:rsid w:val="00E10926"/>
    <w:rsid w:val="00E13590"/>
    <w:rsid w:val="00E1603F"/>
    <w:rsid w:val="00E17344"/>
    <w:rsid w:val="00E20845"/>
    <w:rsid w:val="00E26B89"/>
    <w:rsid w:val="00E271E4"/>
    <w:rsid w:val="00E31B37"/>
    <w:rsid w:val="00E33A01"/>
    <w:rsid w:val="00E33CB7"/>
    <w:rsid w:val="00E34912"/>
    <w:rsid w:val="00E3564C"/>
    <w:rsid w:val="00E35E72"/>
    <w:rsid w:val="00E36724"/>
    <w:rsid w:val="00E41079"/>
    <w:rsid w:val="00E42721"/>
    <w:rsid w:val="00E43490"/>
    <w:rsid w:val="00E44AF0"/>
    <w:rsid w:val="00E44DFC"/>
    <w:rsid w:val="00E47D0C"/>
    <w:rsid w:val="00E5082E"/>
    <w:rsid w:val="00E50987"/>
    <w:rsid w:val="00E513CC"/>
    <w:rsid w:val="00E51A66"/>
    <w:rsid w:val="00E52E8D"/>
    <w:rsid w:val="00E5415A"/>
    <w:rsid w:val="00E5487E"/>
    <w:rsid w:val="00E54C30"/>
    <w:rsid w:val="00E55349"/>
    <w:rsid w:val="00E55557"/>
    <w:rsid w:val="00E62ED2"/>
    <w:rsid w:val="00E63196"/>
    <w:rsid w:val="00E654C4"/>
    <w:rsid w:val="00E658A1"/>
    <w:rsid w:val="00E6695A"/>
    <w:rsid w:val="00E671FC"/>
    <w:rsid w:val="00E7397F"/>
    <w:rsid w:val="00E739AB"/>
    <w:rsid w:val="00E73D6A"/>
    <w:rsid w:val="00E75D3B"/>
    <w:rsid w:val="00E76BB5"/>
    <w:rsid w:val="00E76CA1"/>
    <w:rsid w:val="00E76F75"/>
    <w:rsid w:val="00E77C79"/>
    <w:rsid w:val="00E84BB9"/>
    <w:rsid w:val="00E84FA2"/>
    <w:rsid w:val="00E876A0"/>
    <w:rsid w:val="00E928D7"/>
    <w:rsid w:val="00E93E05"/>
    <w:rsid w:val="00E978E5"/>
    <w:rsid w:val="00E97C4A"/>
    <w:rsid w:val="00EA0448"/>
    <w:rsid w:val="00EA0BBF"/>
    <w:rsid w:val="00EA46E8"/>
    <w:rsid w:val="00EB1536"/>
    <w:rsid w:val="00EB1C20"/>
    <w:rsid w:val="00EB2B6A"/>
    <w:rsid w:val="00EB3157"/>
    <w:rsid w:val="00EB4C46"/>
    <w:rsid w:val="00EB75E3"/>
    <w:rsid w:val="00EC18C3"/>
    <w:rsid w:val="00EC19E1"/>
    <w:rsid w:val="00EC200A"/>
    <w:rsid w:val="00EC3396"/>
    <w:rsid w:val="00EC5F32"/>
    <w:rsid w:val="00EC5F36"/>
    <w:rsid w:val="00EC6E52"/>
    <w:rsid w:val="00ED0D64"/>
    <w:rsid w:val="00ED1554"/>
    <w:rsid w:val="00ED3BE8"/>
    <w:rsid w:val="00ED5556"/>
    <w:rsid w:val="00ED6399"/>
    <w:rsid w:val="00ED7365"/>
    <w:rsid w:val="00ED7FBD"/>
    <w:rsid w:val="00EE0A91"/>
    <w:rsid w:val="00EE28CD"/>
    <w:rsid w:val="00EE45FD"/>
    <w:rsid w:val="00EE5DF0"/>
    <w:rsid w:val="00EE6B58"/>
    <w:rsid w:val="00EF10E8"/>
    <w:rsid w:val="00EF34F7"/>
    <w:rsid w:val="00EF3746"/>
    <w:rsid w:val="00EF53B0"/>
    <w:rsid w:val="00F00259"/>
    <w:rsid w:val="00F04BB8"/>
    <w:rsid w:val="00F05682"/>
    <w:rsid w:val="00F17161"/>
    <w:rsid w:val="00F177AC"/>
    <w:rsid w:val="00F20F55"/>
    <w:rsid w:val="00F2227D"/>
    <w:rsid w:val="00F2233A"/>
    <w:rsid w:val="00F23D0F"/>
    <w:rsid w:val="00F2629E"/>
    <w:rsid w:val="00F32725"/>
    <w:rsid w:val="00F32FD6"/>
    <w:rsid w:val="00F34857"/>
    <w:rsid w:val="00F3653F"/>
    <w:rsid w:val="00F36B57"/>
    <w:rsid w:val="00F434C7"/>
    <w:rsid w:val="00F46687"/>
    <w:rsid w:val="00F50BFF"/>
    <w:rsid w:val="00F52287"/>
    <w:rsid w:val="00F5504F"/>
    <w:rsid w:val="00F5578A"/>
    <w:rsid w:val="00F63B1C"/>
    <w:rsid w:val="00F63FBE"/>
    <w:rsid w:val="00F6402E"/>
    <w:rsid w:val="00F71684"/>
    <w:rsid w:val="00F71E61"/>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042"/>
    <w:rsid w:val="00FA2B35"/>
    <w:rsid w:val="00FA2ECD"/>
    <w:rsid w:val="00FA49A7"/>
    <w:rsid w:val="00FA703B"/>
    <w:rsid w:val="00FB1CB1"/>
    <w:rsid w:val="00FB27F5"/>
    <w:rsid w:val="00FB5C17"/>
    <w:rsid w:val="00FB7588"/>
    <w:rsid w:val="00FC14D4"/>
    <w:rsid w:val="00FC1C72"/>
    <w:rsid w:val="00FC5060"/>
    <w:rsid w:val="00FC7475"/>
    <w:rsid w:val="00FD00AA"/>
    <w:rsid w:val="00FD0105"/>
    <w:rsid w:val="00FD0B1C"/>
    <w:rsid w:val="00FD2745"/>
    <w:rsid w:val="00FD7A4A"/>
    <w:rsid w:val="00FE2242"/>
    <w:rsid w:val="00FE249E"/>
    <w:rsid w:val="00FE41B0"/>
    <w:rsid w:val="00FE63C1"/>
    <w:rsid w:val="00FF0A48"/>
    <w:rsid w:val="00FF42E3"/>
    <w:rsid w:val="00FF4534"/>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a Footnote Reference,Footnote Text "/>
    <w:link w:val="ftrefCarCar1CarCarCarCarCarChar"/>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apis Bulleted List,List Paragraph1,List Paragraph (numbered (a)),Dot pt,F5 List Paragraph,No Spacing1,List Paragraph Char Char Char,Indicator Text,Numbered Para 1,Bullet 1,List Paragraph12,Bullet Points,MAIN CONTENT,References"/>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qFormat/>
    <w:rsid w:val="006C29FB"/>
    <w:rPr>
      <w:sz w:val="16"/>
      <w:szCs w:val="16"/>
    </w:rPr>
  </w:style>
  <w:style w:type="paragraph" w:styleId="CommentText">
    <w:name w:val="annotation text"/>
    <w:basedOn w:val="Normal"/>
    <w:link w:val="CommentTextChar"/>
    <w:qFormat/>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 w:type="character" w:customStyle="1" w:styleId="CommentTextChar">
    <w:name w:val="Comment Text Char"/>
    <w:basedOn w:val="DefaultParagraphFont"/>
    <w:link w:val="CommentText"/>
    <w:rsid w:val="0078761F"/>
    <w:rPr>
      <w:rFonts w:ascii="Times New Roman" w:eastAsia="Times New Roman" w:hAnsi="Times New Roman"/>
      <w:lang w:val="en-GB" w:eastAsia="en-GB"/>
    </w:rPr>
  </w:style>
  <w:style w:type="paragraph" w:customStyle="1" w:styleId="ftrefCarCar1CarCarCarCarCarChar">
    <w:name w:val="ftref Car Car1 Car Car Car Car Car Char"/>
    <w:aliases w:val="16 Point Car Car1 Car Car Car Car Car Char,Superscript 6 Point Car1 Car Car Car Car Car Car Char,BVI fnr Car1 Car Car Car Car Car Car Char,BVI fnr Car Car2 Car Car Car Car Car Char Char"/>
    <w:basedOn w:val="Normal"/>
    <w:link w:val="FootnoteReference"/>
    <w:uiPriority w:val="99"/>
    <w:rsid w:val="003273CC"/>
    <w:pPr>
      <w:spacing w:after="160" w:line="240" w:lineRule="exact"/>
    </w:pPr>
    <w:rPr>
      <w:rFonts w:ascii="Calibri" w:eastAsia="Calibri" w:hAnsi="Calibri"/>
      <w:sz w:val="20"/>
      <w:szCs w:val="20"/>
      <w:vertAlign w:val="superscript"/>
      <w:lang w:val="en-US" w:eastAsia="zh-CN"/>
    </w:rPr>
  </w:style>
  <w:style w:type="character" w:customStyle="1" w:styleId="ListParagraphChar">
    <w:name w:val="List Paragraph Char"/>
    <w:aliases w:val="Lapis Bulleted List Char,List Paragraph1 Char,List Paragraph (numbered (a)) Char,Dot pt Char,F5 List Paragraph Char,No Spacing1 Char,List Paragraph Char Char Char Char,Indicator Text Char,Numbered Para 1 Char,Bullet 1 Char"/>
    <w:link w:val="ListParagraph"/>
    <w:uiPriority w:val="34"/>
    <w:qFormat/>
    <w:rsid w:val="00EA0BBF"/>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7227">
      <w:bodyDiv w:val="1"/>
      <w:marLeft w:val="0"/>
      <w:marRight w:val="0"/>
      <w:marTop w:val="0"/>
      <w:marBottom w:val="0"/>
      <w:divBdr>
        <w:top w:val="none" w:sz="0" w:space="0" w:color="auto"/>
        <w:left w:val="none" w:sz="0" w:space="0" w:color="auto"/>
        <w:bottom w:val="none" w:sz="0" w:space="0" w:color="auto"/>
        <w:right w:val="none" w:sz="0" w:space="0" w:color="auto"/>
      </w:divBdr>
    </w:div>
    <w:div w:id="279531795">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21292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7b5015-7e61-4ecd-8046-99bc10c1447a" xsi:nil="true"/>
    <lcf76f155ced4ddcb4097134ff3c332f xmlns="59aea1d5-e941-42c5-9ca6-fb5dc849c7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FE23B8FF0A1B46A4B14AE3686C421F" ma:contentTypeVersion="16" ma:contentTypeDescription="Crée un document." ma:contentTypeScope="" ma:versionID="068c62e98bda9e91428e016f14af87af">
  <xsd:schema xmlns:xsd="http://www.w3.org/2001/XMLSchema" xmlns:xs="http://www.w3.org/2001/XMLSchema" xmlns:p="http://schemas.microsoft.com/office/2006/metadata/properties" xmlns:ns2="59aea1d5-e941-42c5-9ca6-fb5dc849c72f" xmlns:ns3="e77b5015-7e61-4ecd-8046-99bc10c1447a" targetNamespace="http://schemas.microsoft.com/office/2006/metadata/properties" ma:root="true" ma:fieldsID="92326de0655a7dd5e3f02af5ceca5a11" ns2:_="" ns3:_="">
    <xsd:import namespace="59aea1d5-e941-42c5-9ca6-fb5dc849c72f"/>
    <xsd:import namespace="e77b5015-7e61-4ecd-8046-99bc10c14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ea1d5-e941-42c5-9ca6-fb5dc849c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7b5015-7e61-4ecd-8046-99bc10c1447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025f1d56-861a-4f10-a8da-e317f3056ce1}" ma:internalName="TaxCatchAll" ma:showField="CatchAllData" ma:web="e77b5015-7e61-4ecd-8046-99bc10c14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77b5015-7e61-4ecd-8046-99bc10c1447a"/>
    <ds:schemaRef ds:uri="59aea1d5-e941-42c5-9ca6-fb5dc849c72f"/>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4949209B-F6D0-49C0-AD63-D33A22445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ea1d5-e941-42c5-9ca6-fb5dc849c72f"/>
    <ds:schemaRef ds:uri="e77b5015-7e61-4ecd-8046-99bc10c14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6223</Words>
  <Characters>34228</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NGOM Mamadou</cp:lastModifiedBy>
  <cp:revision>3</cp:revision>
  <cp:lastPrinted>2014-02-10T17:12:00Z</cp:lastPrinted>
  <dcterms:created xsi:type="dcterms:W3CDTF">2022-06-17T08:15:00Z</dcterms:created>
  <dcterms:modified xsi:type="dcterms:W3CDTF">2022-06-17T08:17:00Z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0x010100E9FE23B8FF0A1B46A4B14AE3686C421F</vt:lpwstr>
  </property>
  <property fmtid="{D5CDD505-2E9C-101B-9397-08002B2CF9AE}" pid="6" name="MediaServiceImageTags">
    <vt:lpwstr/>
  </property>
</Properties>
</file>