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3F649988"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0F43A8" w:rsidRPr="00136BFF">
        <w:rPr>
          <w:b/>
          <w:lang w:val="fr-FR"/>
        </w:rPr>
        <w:t>RAPPORT DE PROGRES DE PROJET PBF</w:t>
      </w:r>
    </w:p>
    <w:p w14:paraId="7FF6AF87" w14:textId="05F8D0BB" w:rsidR="000F43A8" w:rsidRPr="00136BFF" w:rsidRDefault="000F43A8" w:rsidP="000F43A8">
      <w:pPr>
        <w:jc w:val="center"/>
        <w:rPr>
          <w:b/>
          <w:bCs/>
          <w:caps/>
          <w:lang w:val="fr-FR"/>
        </w:rPr>
      </w:pPr>
      <w:r w:rsidRPr="00136BFF">
        <w:rPr>
          <w:b/>
          <w:bCs/>
          <w:caps/>
          <w:lang w:val="fr-FR"/>
        </w:rPr>
        <w:t>PAYS</w:t>
      </w:r>
      <w:r w:rsidR="00072448">
        <w:rPr>
          <w:b/>
          <w:bCs/>
          <w:caps/>
          <w:lang w:val="fr-FR"/>
        </w:rPr>
        <w:t xml:space="preserve"> </w:t>
      </w:r>
      <w:r w:rsidRPr="00136BFF">
        <w:rPr>
          <w:b/>
          <w:bCs/>
          <w:caps/>
          <w:lang w:val="fr-FR"/>
        </w:rPr>
        <w:t>:</w:t>
      </w:r>
      <w:r w:rsidRPr="00136BFF">
        <w:rPr>
          <w:bCs/>
          <w:iCs/>
          <w:snapToGrid w:val="0"/>
          <w:szCs w:val="28"/>
          <w:lang w:val="fr-FR"/>
        </w:rPr>
        <w:t xml:space="preserve"> </w:t>
      </w:r>
      <w:r w:rsidR="008843D3" w:rsidRPr="00FE376B">
        <w:rPr>
          <w:b/>
          <w:iCs/>
          <w:snapToGrid w:val="0"/>
          <w:szCs w:val="28"/>
          <w:lang w:val="fr-FR"/>
        </w:rPr>
        <w:t>REPUBLIQUE CENTRAFRICAINE</w:t>
      </w:r>
    </w:p>
    <w:p w14:paraId="35B8BCCA" w14:textId="26BB45D3" w:rsidR="000F43A8" w:rsidRPr="001948EA" w:rsidRDefault="000F43A8" w:rsidP="000F43A8">
      <w:pPr>
        <w:jc w:val="center"/>
        <w:rPr>
          <w:b/>
          <w:bCs/>
          <w:caps/>
          <w:sz w:val="22"/>
          <w:szCs w:val="22"/>
          <w:lang w:val="fr-FR"/>
        </w:rPr>
      </w:pPr>
      <w:r w:rsidRPr="001948EA">
        <w:rPr>
          <w:b/>
          <w:bCs/>
          <w:caps/>
          <w:sz w:val="22"/>
          <w:szCs w:val="22"/>
          <w:lang w:val="fr-FR"/>
        </w:rPr>
        <w:t>TYPE DE RAPPORT</w:t>
      </w:r>
      <w:r w:rsidR="00072448">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8843D3">
        <w:rPr>
          <w:b/>
          <w:bCs/>
          <w:caps/>
          <w:sz w:val="22"/>
          <w:szCs w:val="22"/>
          <w:lang w:val="fr-FR"/>
        </w:rPr>
        <w:t xml:space="preserve"> </w:t>
      </w:r>
      <w:r w:rsidR="00464A4A">
        <w:rPr>
          <w:b/>
          <w:bCs/>
          <w:caps/>
          <w:sz w:val="22"/>
          <w:szCs w:val="22"/>
          <w:lang w:val="fr-FR"/>
        </w:rPr>
        <w:t>ANNUEL</w:t>
      </w:r>
    </w:p>
    <w:p w14:paraId="0B2F56D8" w14:textId="2916871E" w:rsidR="000554F8" w:rsidRDefault="00500587" w:rsidP="000F43A8">
      <w:pPr>
        <w:jc w:val="center"/>
        <w:rPr>
          <w:bCs/>
          <w:iCs/>
          <w:snapToGrid w:val="0"/>
          <w:szCs w:val="28"/>
        </w:rPr>
      </w:pPr>
      <w:r>
        <w:rPr>
          <w:b/>
          <w:bCs/>
          <w:caps/>
        </w:rPr>
        <w:t>ANNEE</w:t>
      </w:r>
      <w:r w:rsidR="000F43A8">
        <w:rPr>
          <w:b/>
          <w:bCs/>
          <w:caps/>
        </w:rPr>
        <w:t xml:space="preserve"> DE RAPPORT: </w:t>
      </w:r>
      <w:r w:rsidR="008843D3">
        <w:rPr>
          <w:bCs/>
          <w:iCs/>
          <w:snapToGrid w:val="0"/>
          <w:szCs w:val="28"/>
        </w:rPr>
        <w:t xml:space="preserve"> </w:t>
      </w:r>
      <w:r w:rsidR="008843D3" w:rsidRPr="008843D3">
        <w:rPr>
          <w:b/>
          <w:iCs/>
          <w:snapToGrid w:val="0"/>
          <w:szCs w:val="28"/>
        </w:rPr>
        <w:t>202</w:t>
      </w:r>
      <w:r w:rsidR="00E6525F">
        <w:rPr>
          <w:b/>
          <w:iCs/>
          <w:snapToGrid w:val="0"/>
          <w:szCs w:val="28"/>
        </w:rPr>
        <w:t>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15975" w14:paraId="26E9F2DE" w14:textId="77777777" w:rsidTr="00F23D0F">
        <w:trPr>
          <w:trHeight w:val="422"/>
        </w:trPr>
        <w:tc>
          <w:tcPr>
            <w:tcW w:w="10080" w:type="dxa"/>
            <w:gridSpan w:val="2"/>
          </w:tcPr>
          <w:p w14:paraId="4E381682" w14:textId="0C4ABE84" w:rsidR="00615975" w:rsidRPr="00523EA1" w:rsidRDefault="000F43A8" w:rsidP="00615975">
            <w:pPr>
              <w:pStyle w:val="BalloonText"/>
              <w:numPr>
                <w:ilvl w:val="12"/>
                <w:numId w:val="0"/>
              </w:numPr>
              <w:tabs>
                <w:tab w:val="left" w:pos="-720"/>
                <w:tab w:val="left" w:pos="4500"/>
              </w:tabs>
              <w:suppressAutoHyphens/>
              <w:rPr>
                <w:rFonts w:ascii="Times New Roman" w:hAnsi="Times New Roman" w:cs="Times New Roman"/>
                <w:bCs/>
                <w:sz w:val="22"/>
                <w:szCs w:val="24"/>
                <w:lang w:val="fr-CA"/>
              </w:rPr>
            </w:pPr>
            <w:r w:rsidRPr="00136BFF">
              <w:rPr>
                <w:rFonts w:ascii="Times New Roman" w:hAnsi="Times New Roman" w:cs="Times New Roman"/>
                <w:b/>
                <w:sz w:val="24"/>
                <w:szCs w:val="24"/>
                <w:lang w:val="fr-FR"/>
              </w:rPr>
              <w:t>Titre du projet</w:t>
            </w:r>
            <w:r w:rsidR="00615975">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615975" w:rsidRPr="00615975">
              <w:rPr>
                <w:rFonts w:ascii="Times New Roman" w:hAnsi="Times New Roman" w:cs="Times New Roman"/>
                <w:b/>
                <w:sz w:val="22"/>
                <w:szCs w:val="24"/>
                <w:lang w:val="fr-CA"/>
              </w:rPr>
              <w:t>Appui à la Coordination et au Suivi des Projets du Fonds pour la Consolidation de la Paix (PBF) en République centrafricaine (RCA).</w:t>
            </w:r>
          </w:p>
          <w:p w14:paraId="24C4A490" w14:textId="766492CD" w:rsidR="00793DE6" w:rsidRPr="00615975" w:rsidRDefault="000F43A8" w:rsidP="000F43A8">
            <w:pPr>
              <w:rPr>
                <w:b/>
                <w:lang w:val="en-CA"/>
              </w:rPr>
            </w:pPr>
            <w:proofErr w:type="spellStart"/>
            <w:r w:rsidRPr="00615975">
              <w:rPr>
                <w:b/>
                <w:lang w:val="en-CA"/>
              </w:rPr>
              <w:t>Numéro</w:t>
            </w:r>
            <w:proofErr w:type="spellEnd"/>
            <w:r w:rsidRPr="00615975">
              <w:rPr>
                <w:b/>
                <w:lang w:val="en-CA"/>
              </w:rPr>
              <w:t xml:space="preserve"> </w:t>
            </w:r>
            <w:proofErr w:type="spellStart"/>
            <w:r w:rsidRPr="00615975">
              <w:rPr>
                <w:b/>
                <w:lang w:val="en-CA"/>
              </w:rPr>
              <w:t>Projet</w:t>
            </w:r>
            <w:proofErr w:type="spellEnd"/>
            <w:r w:rsidRPr="00615975">
              <w:rPr>
                <w:b/>
                <w:lang w:val="en-CA"/>
              </w:rPr>
              <w:t xml:space="preserve"> / MPTF Gateway</w:t>
            </w:r>
            <w:r w:rsidR="00793DE6" w:rsidRPr="00615975">
              <w:rPr>
                <w:b/>
                <w:lang w:val="en-CA"/>
              </w:rPr>
              <w:t>:</w:t>
            </w:r>
            <w:r w:rsidR="00A43B9C" w:rsidRPr="00615975">
              <w:rPr>
                <w:b/>
                <w:lang w:val="en-CA"/>
              </w:rPr>
              <w:t xml:space="preserve">  </w:t>
            </w:r>
            <w:r w:rsidR="00B61707">
              <w:rPr>
                <w:b/>
                <w:lang w:val="en-CA"/>
              </w:rPr>
              <w:t>A-11/</w:t>
            </w:r>
            <w:r w:rsidR="00615975" w:rsidRPr="00615975">
              <w:rPr>
                <w:b/>
              </w:rPr>
              <w:t>000119500</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675A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675A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6923F57A"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7A400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2A7B8CF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615975">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D097282" w:rsidR="00A43B9C" w:rsidRPr="00627A1C" w:rsidRDefault="000543EA" w:rsidP="00A43B9C">
            <w:pPr>
              <w:pStyle w:val="BalloonText"/>
              <w:numPr>
                <w:ilvl w:val="12"/>
                <w:numId w:val="0"/>
              </w:numPr>
              <w:tabs>
                <w:tab w:val="left" w:pos="-720"/>
                <w:tab w:val="left" w:pos="4500"/>
              </w:tabs>
              <w:rPr>
                <w:rFonts w:ascii="Times New Roman" w:hAnsi="Times New Roman" w:cs="Times New Roman"/>
                <w:b/>
                <w:sz w:val="24"/>
                <w:szCs w:val="24"/>
              </w:rPr>
            </w:pPr>
            <w:r w:rsidRPr="00464EE4">
              <w:rPr>
                <w:rFonts w:ascii="Times New Roman" w:hAnsi="Times New Roman" w:cs="Times New Roman"/>
                <w:b/>
                <w:sz w:val="24"/>
                <w:szCs w:val="24"/>
              </w:rPr>
              <w:t>PNUD (</w:t>
            </w:r>
            <w:proofErr w:type="spellStart"/>
            <w:r w:rsidRPr="00464EE4">
              <w:rPr>
                <w:rFonts w:ascii="Times New Roman" w:hAnsi="Times New Roman" w:cs="Times New Roman"/>
                <w:b/>
                <w:sz w:val="24"/>
                <w:szCs w:val="24"/>
              </w:rPr>
              <w:t>Agence</w:t>
            </w:r>
            <w:proofErr w:type="spellEnd"/>
            <w:r w:rsidRPr="00464EE4">
              <w:rPr>
                <w:rFonts w:ascii="Times New Roman" w:hAnsi="Times New Roman" w:cs="Times New Roman"/>
                <w:b/>
                <w:sz w:val="24"/>
                <w:szCs w:val="24"/>
              </w:rPr>
              <w:t xml:space="preserve"> </w:t>
            </w:r>
            <w:proofErr w:type="spellStart"/>
            <w:r w:rsidRPr="00464EE4">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0C6EADA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0673E8AA" w14:textId="0D26147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113615" w14:paraId="72CE853D" w14:textId="77777777" w:rsidTr="00F23D0F">
        <w:trPr>
          <w:trHeight w:val="368"/>
        </w:trPr>
        <w:tc>
          <w:tcPr>
            <w:tcW w:w="10080" w:type="dxa"/>
            <w:gridSpan w:val="2"/>
          </w:tcPr>
          <w:p w14:paraId="5C2804C5" w14:textId="5ED38452" w:rsidR="00793DE6" w:rsidRPr="008843D3" w:rsidRDefault="000F43A8" w:rsidP="00F23D0F">
            <w:pPr>
              <w:rPr>
                <w:b/>
                <w:bCs/>
                <w:iCs/>
                <w:lang w:val="fr-FR"/>
              </w:rPr>
            </w:pPr>
            <w:r w:rsidRPr="000F43A8">
              <w:rPr>
                <w:b/>
                <w:bCs/>
                <w:iCs/>
                <w:lang w:val="fr-FR"/>
              </w:rPr>
              <w:t>Date du premier transfert de fonds</w:t>
            </w:r>
            <w:r w:rsidR="007A4004">
              <w:rPr>
                <w:b/>
                <w:bCs/>
                <w:iCs/>
                <w:lang w:val="fr-FR"/>
              </w:rPr>
              <w:t xml:space="preserve"> </w:t>
            </w:r>
            <w:r w:rsidR="00793DE6" w:rsidRPr="000F43A8">
              <w:rPr>
                <w:b/>
                <w:bCs/>
                <w:iCs/>
                <w:lang w:val="fr-FR"/>
              </w:rPr>
              <w:t xml:space="preserve">: </w:t>
            </w:r>
            <w:r w:rsidR="000F3352">
              <w:rPr>
                <w:bCs/>
                <w:iCs/>
                <w:snapToGrid w:val="0"/>
                <w:lang w:val="fr-FR"/>
              </w:rPr>
              <w:t>3</w:t>
            </w:r>
            <w:r w:rsidR="008843D3">
              <w:rPr>
                <w:bCs/>
                <w:iCs/>
                <w:snapToGrid w:val="0"/>
                <w:lang w:val="fr-FR"/>
              </w:rPr>
              <w:t xml:space="preserve"> Janvier 2020</w:t>
            </w:r>
          </w:p>
          <w:p w14:paraId="064BF427" w14:textId="249E2627" w:rsidR="004D141E" w:rsidRPr="000F43A8" w:rsidRDefault="000F43A8" w:rsidP="00F23D0F">
            <w:pPr>
              <w:rPr>
                <w:bCs/>
                <w:iCs/>
                <w:snapToGrid w:val="0"/>
                <w:lang w:val="fr-FR"/>
              </w:rPr>
            </w:pPr>
            <w:r w:rsidRPr="000F43A8">
              <w:rPr>
                <w:b/>
                <w:bCs/>
                <w:iCs/>
                <w:lang w:val="fr-FR"/>
              </w:rPr>
              <w:t>Date de fin de projet</w:t>
            </w:r>
            <w:r w:rsidR="007A4004">
              <w:rPr>
                <w:b/>
                <w:bCs/>
                <w:iCs/>
                <w:lang w:val="fr-FR"/>
              </w:rPr>
              <w:t xml:space="preserve"> </w:t>
            </w:r>
            <w:r w:rsidR="00793DE6" w:rsidRPr="000F43A8">
              <w:rPr>
                <w:b/>
                <w:bCs/>
                <w:iCs/>
                <w:lang w:val="fr-FR"/>
              </w:rPr>
              <w:t xml:space="preserve">: </w:t>
            </w:r>
            <w:r w:rsidR="000F3352">
              <w:rPr>
                <w:bCs/>
                <w:iCs/>
                <w:snapToGrid w:val="0"/>
                <w:lang w:val="fr-FR"/>
              </w:rPr>
              <w:t>2 Janvier 2022</w:t>
            </w:r>
            <w:r w:rsidR="0025220B" w:rsidRPr="000F43A8">
              <w:rPr>
                <w:bCs/>
                <w:iCs/>
                <w:snapToGrid w:val="0"/>
                <w:lang w:val="fr-FR"/>
              </w:rPr>
              <w:t xml:space="preserve">     </w:t>
            </w:r>
          </w:p>
          <w:p w14:paraId="2AE235F0" w14:textId="79727016" w:rsidR="00793DE6" w:rsidRPr="008843D3" w:rsidRDefault="000F43A8" w:rsidP="000F43A8">
            <w:pPr>
              <w:rPr>
                <w:bCs/>
                <w:iCs/>
                <w:snapToGrid w:val="0"/>
                <w:lang w:val="fr-FR"/>
              </w:rPr>
            </w:pPr>
            <w:r w:rsidRPr="000F43A8">
              <w:rPr>
                <w:b/>
                <w:iCs/>
                <w:snapToGrid w:val="0"/>
                <w:lang w:val="fr-FR"/>
              </w:rPr>
              <w:t>Le projet est-il dans ces six derniers mois de mise en œuvre</w:t>
            </w:r>
            <w:r w:rsidR="00113615">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5E3DB2">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13847B98"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0543EA">
              <w:rPr>
                <w:b/>
                <w:bCs/>
                <w:iCs/>
                <w:lang w:val="fr-FR"/>
              </w:rPr>
              <w:t>PBF</w:t>
            </w:r>
            <w:r w:rsidR="000543EA"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5AC">
              <w:rPr>
                <w:lang w:val="fr-FR"/>
              </w:rPr>
            </w:r>
            <w:r w:rsidR="007675AC">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5AC">
              <w:rPr>
                <w:lang w:val="fr-FR"/>
              </w:rPr>
            </w:r>
            <w:r w:rsidR="007675A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5AC">
              <w:rPr>
                <w:lang w:val="fr-FR"/>
              </w:rPr>
            </w:r>
            <w:r w:rsidR="007675A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5AC">
              <w:rPr>
                <w:lang w:val="fr-FR"/>
              </w:rPr>
            </w:r>
            <w:r w:rsidR="007675A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36A63"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411D71BF" w:rsidR="00793DE6" w:rsidRPr="007C7B57" w:rsidRDefault="008843D3" w:rsidP="00F23D0F">
            <w:pPr>
              <w:rPr>
                <w:iCs/>
                <w:lang w:val="fr-FR"/>
              </w:rPr>
            </w:pPr>
            <w:r w:rsidRPr="00FE376B">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523EA1">
              <w:rPr>
                <w:iCs/>
                <w:lang w:val="fr-FR"/>
              </w:rPr>
              <w:t>1,250,53.54</w:t>
            </w:r>
          </w:p>
          <w:p w14:paraId="52AEBA43"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55DB942" w:rsidR="00793DE6" w:rsidRPr="007A4004"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A4004">
              <w:rPr>
                <w:rFonts w:ascii="Times New Roman" w:hAnsi="Times New Roman" w:cs="Times New Roman"/>
                <w:b/>
                <w:bCs/>
                <w:sz w:val="24"/>
                <w:szCs w:val="24"/>
                <w:lang w:val="fr-FR"/>
              </w:rPr>
              <w:t>Total</w:t>
            </w:r>
            <w:r w:rsidR="007A4004" w:rsidRPr="007A4004">
              <w:rPr>
                <w:rFonts w:ascii="Times New Roman" w:hAnsi="Times New Roman" w:cs="Times New Roman"/>
                <w:b/>
                <w:bCs/>
                <w:sz w:val="24"/>
                <w:szCs w:val="24"/>
                <w:lang w:val="fr-FR"/>
              </w:rPr>
              <w:t xml:space="preserve"> </w:t>
            </w:r>
            <w:r w:rsidR="00793DE6" w:rsidRPr="007A4004">
              <w:rPr>
                <w:rFonts w:ascii="Times New Roman" w:hAnsi="Times New Roman" w:cs="Times New Roman"/>
                <w:b/>
                <w:bCs/>
                <w:sz w:val="24"/>
                <w:szCs w:val="24"/>
                <w:lang w:val="fr-FR"/>
              </w:rPr>
              <w:t>:</w:t>
            </w:r>
            <w:r w:rsidRPr="007A4004">
              <w:rPr>
                <w:rFonts w:ascii="Times New Roman" w:hAnsi="Times New Roman" w:cs="Times New Roman"/>
                <w:b/>
                <w:bCs/>
                <w:sz w:val="24"/>
                <w:szCs w:val="24"/>
                <w:lang w:val="fr-FR"/>
              </w:rPr>
              <w:t xml:space="preserve"> $ </w:t>
            </w:r>
            <w:r w:rsidR="00615975" w:rsidRPr="007A4004">
              <w:rPr>
                <w:rFonts w:ascii="Times New Roman" w:hAnsi="Times New Roman" w:cs="Times New Roman"/>
                <w:b/>
                <w:bCs/>
                <w:iCs/>
                <w:sz w:val="22"/>
                <w:szCs w:val="22"/>
                <w:lang w:val="fr-FR"/>
              </w:rPr>
              <w:t>1,250,53.54</w:t>
            </w:r>
            <w:r w:rsidR="00C12D6A" w:rsidRPr="007A4004">
              <w:rPr>
                <w:rFonts w:ascii="Times New Roman" w:hAnsi="Times New Roman" w:cs="Times New Roman"/>
                <w:b/>
                <w:bCs/>
                <w:iCs/>
                <w:snapToGrid w:val="0"/>
                <w:sz w:val="24"/>
                <w:szCs w:val="24"/>
                <w:lang w:val="fr-FR"/>
              </w:rPr>
              <w:t xml:space="preserve"> </w:t>
            </w:r>
          </w:p>
          <w:p w14:paraId="5324AF29" w14:textId="67C5EEC0" w:rsidR="001C56B8" w:rsidRPr="00E52D8D"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Pr="008A5E25">
              <w:rPr>
                <w:rFonts w:ascii="Times New Roman" w:hAnsi="Times New Roman" w:cs="Times New Roman"/>
                <w:bCs/>
                <w:iCs/>
                <w:snapToGrid w:val="0"/>
                <w:sz w:val="24"/>
                <w:szCs w:val="24"/>
                <w:lang w:val="fr-FR"/>
              </w:rPr>
              <w:t>projet</w:t>
            </w:r>
            <w:r w:rsidR="007A4004" w:rsidRPr="008A5E25">
              <w:rPr>
                <w:rFonts w:ascii="Times New Roman" w:hAnsi="Times New Roman" w:cs="Times New Roman"/>
                <w:bCs/>
                <w:iCs/>
                <w:snapToGrid w:val="0"/>
                <w:sz w:val="24"/>
                <w:szCs w:val="24"/>
                <w:lang w:val="fr-FR"/>
              </w:rPr>
              <w:t xml:space="preserve"> </w:t>
            </w:r>
            <w:r w:rsidR="001C56B8" w:rsidRPr="008A5E25">
              <w:rPr>
                <w:rFonts w:ascii="Times New Roman" w:hAnsi="Times New Roman" w:cs="Times New Roman"/>
                <w:bCs/>
                <w:iCs/>
                <w:snapToGrid w:val="0"/>
                <w:sz w:val="24"/>
                <w:szCs w:val="24"/>
                <w:lang w:val="fr-FR"/>
              </w:rPr>
              <w:t>:</w:t>
            </w:r>
            <w:r w:rsidR="00464A4A" w:rsidRPr="008A5E25">
              <w:rPr>
                <w:rFonts w:ascii="Times New Roman" w:hAnsi="Times New Roman" w:cs="Times New Roman"/>
                <w:bCs/>
                <w:iCs/>
                <w:snapToGrid w:val="0"/>
                <w:sz w:val="24"/>
                <w:szCs w:val="24"/>
                <w:lang w:val="fr-FR"/>
              </w:rPr>
              <w:t xml:space="preserve"> </w:t>
            </w:r>
            <w:r w:rsidR="00936A63">
              <w:rPr>
                <w:rFonts w:ascii="Times New Roman" w:hAnsi="Times New Roman" w:cs="Times New Roman"/>
                <w:bCs/>
                <w:iCs/>
                <w:snapToGrid w:val="0"/>
                <w:sz w:val="24"/>
                <w:szCs w:val="24"/>
                <w:lang w:val="fr-FR"/>
              </w:rPr>
              <w:t>54</w:t>
            </w:r>
            <w:r w:rsidR="0036790C" w:rsidRPr="008A5E25">
              <w:rPr>
                <w:rFonts w:ascii="Times New Roman" w:hAnsi="Times New Roman" w:cs="Times New Roman"/>
                <w:b/>
                <w:iCs/>
                <w:snapToGrid w:val="0"/>
                <w:sz w:val="24"/>
                <w:szCs w:val="24"/>
                <w:lang w:val="fr-FR"/>
              </w:rPr>
              <w:t xml:space="preserve"> </w:t>
            </w:r>
            <w:r w:rsidR="00E52D8D" w:rsidRPr="008A5E25">
              <w:rPr>
                <w:rFonts w:ascii="Times New Roman" w:hAnsi="Times New Roman" w:cs="Times New Roman"/>
                <w:b/>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F39A02E" w14:textId="2B3D602D" w:rsidR="00006EC0" w:rsidRPr="000F43A8" w:rsidRDefault="007A4004"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590C1D9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w:t>
            </w:r>
            <w:r w:rsidRPr="00563C6D">
              <w:rPr>
                <w:lang w:val="fr-FR"/>
              </w:rPr>
              <w:t>document de projet alloué aux activités dédiées à l’égalité des sexes ou à l’autonomisation des femmes</w:t>
            </w:r>
            <w:r w:rsidR="007A4004" w:rsidRPr="00563C6D">
              <w:rPr>
                <w:lang w:val="fr-FR"/>
              </w:rPr>
              <w:t xml:space="preserve"> </w:t>
            </w:r>
            <w:r w:rsidR="00970F4C" w:rsidRPr="00563C6D">
              <w:rPr>
                <w:lang w:val="fr-FR"/>
              </w:rPr>
              <w:t xml:space="preserve">: </w:t>
            </w:r>
            <w:r w:rsidR="00615975" w:rsidRPr="00563C6D">
              <w:rPr>
                <w:b/>
                <w:bCs/>
                <w:sz w:val="22"/>
                <w:szCs w:val="22"/>
                <w:lang w:val="fr-FR"/>
              </w:rPr>
              <w:t>33.70% soit $421,402.81</w:t>
            </w:r>
          </w:p>
          <w:p w14:paraId="00AF6414" w14:textId="660AE096" w:rsidR="00006EC0" w:rsidRPr="00113615"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7A4004">
              <w:rPr>
                <w:lang w:val="fr-FR"/>
              </w:rPr>
              <w:t xml:space="preserve"> </w:t>
            </w:r>
            <w:r w:rsidR="00006EC0" w:rsidRPr="00563C6D">
              <w:rPr>
                <w:b/>
                <w:bCs/>
                <w:lang w:val="fr-FR"/>
              </w:rPr>
              <w:t xml:space="preserve">: </w:t>
            </w:r>
            <w:r w:rsidR="00113615" w:rsidRPr="00563C6D">
              <w:rPr>
                <w:b/>
                <w:bCs/>
                <w:sz w:val="22"/>
                <w:szCs w:val="22"/>
                <w:lang w:val="fr-FR"/>
              </w:rPr>
              <w:t xml:space="preserve">$ </w:t>
            </w:r>
            <w:r w:rsidR="00563C6D" w:rsidRPr="00563C6D">
              <w:rPr>
                <w:b/>
                <w:bCs/>
                <w:lang w:val="fr-FR"/>
              </w:rPr>
              <w:t>200,753</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36A63" w14:paraId="0DF7F010" w14:textId="77777777" w:rsidTr="00F23D0F">
        <w:trPr>
          <w:trHeight w:val="1124"/>
        </w:trPr>
        <w:tc>
          <w:tcPr>
            <w:tcW w:w="10080" w:type="dxa"/>
            <w:gridSpan w:val="2"/>
          </w:tcPr>
          <w:p w14:paraId="0084A294" w14:textId="6C9F7410" w:rsidR="009B18EB" w:rsidRPr="000F43A8" w:rsidRDefault="000F43A8" w:rsidP="00F23D0F">
            <w:pPr>
              <w:rPr>
                <w:b/>
                <w:bCs/>
                <w:iCs/>
                <w:lang w:val="fr-FR"/>
              </w:rPr>
            </w:pPr>
            <w:r w:rsidRPr="000F43A8">
              <w:rPr>
                <w:b/>
                <w:bCs/>
                <w:iCs/>
                <w:lang w:val="fr-FR"/>
              </w:rPr>
              <w:t>Marquer de genre du projet</w:t>
            </w:r>
            <w:r w:rsidR="007A4004">
              <w:rPr>
                <w:b/>
                <w:bCs/>
                <w:iCs/>
                <w:lang w:val="fr-FR"/>
              </w:rPr>
              <w:t xml:space="preserve"> </w:t>
            </w:r>
            <w:r w:rsidR="009B18EB" w:rsidRPr="000F43A8">
              <w:rPr>
                <w:b/>
                <w:bCs/>
                <w:iCs/>
                <w:lang w:val="fr-FR"/>
              </w:rPr>
              <w:t xml:space="preserve">: </w:t>
            </w:r>
            <w:r w:rsidR="00615975">
              <w:rPr>
                <w:b/>
                <w:bCs/>
                <w:iCs/>
                <w:lang w:val="fr-FR"/>
              </w:rPr>
              <w:t>GM2</w:t>
            </w:r>
          </w:p>
          <w:p w14:paraId="7B5DB9E4" w14:textId="36EB74D6" w:rsidR="009B18EB" w:rsidRPr="00615975" w:rsidRDefault="000F43A8" w:rsidP="00F23D0F">
            <w:pPr>
              <w:rPr>
                <w:b/>
                <w:bCs/>
                <w:iCs/>
                <w:lang w:val="fr-FR"/>
              </w:rPr>
            </w:pPr>
            <w:r w:rsidRPr="000F43A8">
              <w:rPr>
                <w:b/>
                <w:bCs/>
                <w:iCs/>
                <w:lang w:val="fr-FR"/>
              </w:rPr>
              <w:t>Marquer de risque du projet</w:t>
            </w:r>
            <w:r w:rsidR="007A4004">
              <w:rPr>
                <w:b/>
                <w:bCs/>
                <w:iCs/>
                <w:lang w:val="fr-FR"/>
              </w:rPr>
              <w:t xml:space="preserve"> </w:t>
            </w:r>
            <w:r w:rsidR="009B18EB" w:rsidRPr="000F43A8">
              <w:rPr>
                <w:b/>
                <w:bCs/>
                <w:iCs/>
                <w:lang w:val="fr-FR"/>
              </w:rPr>
              <w:t xml:space="preserve">: </w:t>
            </w:r>
            <w:r w:rsidR="00615975">
              <w:rPr>
                <w:b/>
                <w:bCs/>
                <w:iCs/>
                <w:lang w:val="fr-FR"/>
              </w:rPr>
              <w:t>0</w:t>
            </w:r>
            <w:r w:rsidR="007A4004">
              <w:rPr>
                <w:b/>
                <w:bCs/>
                <w:iCs/>
                <w:lang w:val="fr-FR"/>
              </w:rPr>
              <w:t xml:space="preserve"> =</w:t>
            </w:r>
            <w:r w:rsidR="007A4004" w:rsidRPr="007A4004">
              <w:rPr>
                <w:b/>
                <w:bCs/>
                <w:iCs/>
                <w:sz w:val="22"/>
                <w:szCs w:val="22"/>
                <w:lang w:val="fr-FR"/>
              </w:rPr>
              <w:t xml:space="preserve"> </w:t>
            </w:r>
            <w:r w:rsidR="007A4004" w:rsidRPr="007A4004">
              <w:rPr>
                <w:b/>
                <w:bCs/>
                <w:iCs/>
                <w:lang w:val="fr-FR"/>
              </w:rPr>
              <w:t>R</w:t>
            </w:r>
            <w:r w:rsidR="008A5E25" w:rsidRPr="007A4004">
              <w:rPr>
                <w:rFonts w:eastAsia="MS Mincho"/>
                <w:b/>
                <w:bCs/>
                <w:lang w:val="fr-CA"/>
              </w:rPr>
              <w:t>risque</w:t>
            </w:r>
            <w:r w:rsidR="007A4004" w:rsidRPr="007A4004">
              <w:rPr>
                <w:rFonts w:eastAsia="MS Mincho"/>
                <w:b/>
                <w:bCs/>
                <w:lang w:val="fr-CA"/>
              </w:rPr>
              <w:t xml:space="preserve"> faible</w:t>
            </w:r>
            <w:r w:rsidR="007A4004" w:rsidRPr="007A4004">
              <w:rPr>
                <w:rFonts w:eastAsia="MS Mincho"/>
                <w:b/>
                <w:bCs/>
                <w:sz w:val="22"/>
                <w:szCs w:val="22"/>
                <w:lang w:val="fr-CA"/>
              </w:rPr>
              <w:t xml:space="preserve"> </w:t>
            </w:r>
          </w:p>
          <w:p w14:paraId="55B14D86" w14:textId="5F3569CA"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7A4004">
              <w:rPr>
                <w:b/>
                <w:bCs/>
                <w:iCs/>
                <w:lang w:val="fr-FR"/>
              </w:rPr>
              <w:t xml:space="preserve"> </w:t>
            </w:r>
            <w:r w:rsidR="009B18EB" w:rsidRPr="000F43A8">
              <w:rPr>
                <w:b/>
                <w:bCs/>
                <w:iCs/>
                <w:lang w:val="fr-FR"/>
              </w:rPr>
              <w:t xml:space="preserve">: </w:t>
            </w:r>
            <w:r w:rsidR="007860F8" w:rsidRPr="007860F8">
              <w:rPr>
                <w:b/>
                <w:bCs/>
                <w:sz w:val="22"/>
                <w:szCs w:val="22"/>
                <w:lang w:val="fr-FR"/>
              </w:rPr>
              <w:t>Gouvernance des ressources de consolidation de la paix et Secrétariat PBF</w:t>
            </w:r>
            <w:r w:rsidR="007A4004">
              <w:rPr>
                <w:b/>
                <w:bCs/>
                <w:sz w:val="22"/>
                <w:szCs w:val="22"/>
                <w:lang w:val="fr-FR"/>
              </w:rPr>
              <w:t xml:space="preserve"> </w:t>
            </w:r>
            <w:r w:rsidR="007860F8">
              <w:rPr>
                <w:b/>
                <w:bCs/>
                <w:sz w:val="22"/>
                <w:szCs w:val="22"/>
                <w:lang w:val="fr-FR"/>
              </w:rPr>
              <w:t>(4.3)</w:t>
            </w:r>
          </w:p>
        </w:tc>
      </w:tr>
      <w:tr w:rsidR="00793DE6" w:rsidRPr="00936A63" w14:paraId="27192C5C" w14:textId="77777777" w:rsidTr="00F23D0F">
        <w:trPr>
          <w:trHeight w:val="1124"/>
        </w:trPr>
        <w:tc>
          <w:tcPr>
            <w:tcW w:w="10080" w:type="dxa"/>
            <w:gridSpan w:val="2"/>
          </w:tcPr>
          <w:p w14:paraId="7BC15C3E" w14:textId="427483EE" w:rsidR="000F43A8" w:rsidRPr="00136BFF" w:rsidRDefault="000F43A8" w:rsidP="000F43A8">
            <w:pPr>
              <w:rPr>
                <w:b/>
                <w:bCs/>
                <w:sz w:val="22"/>
                <w:lang w:val="fr-FR"/>
              </w:rPr>
            </w:pPr>
            <w:r w:rsidRPr="00136BFF">
              <w:rPr>
                <w:b/>
                <w:bCs/>
                <w:sz w:val="22"/>
                <w:lang w:val="fr-FR"/>
              </w:rPr>
              <w:t xml:space="preserve">Préparation du </w:t>
            </w:r>
            <w:r w:rsidR="00364116" w:rsidRPr="00136BFF">
              <w:rPr>
                <w:b/>
                <w:bCs/>
                <w:sz w:val="22"/>
                <w:lang w:val="fr-FR"/>
              </w:rPr>
              <w:t>rapport :</w:t>
            </w:r>
          </w:p>
          <w:p w14:paraId="43FCACD6" w14:textId="6182480B" w:rsidR="000F43A8" w:rsidRPr="00826923" w:rsidRDefault="000F43A8" w:rsidP="000F43A8">
            <w:pPr>
              <w:rPr>
                <w:lang w:val="fr-FR"/>
              </w:rPr>
            </w:pPr>
            <w:r w:rsidRPr="00826923">
              <w:rPr>
                <w:lang w:val="fr-FR"/>
              </w:rPr>
              <w:t xml:space="preserve">Rapport préparé par: </w:t>
            </w:r>
            <w:r w:rsidR="007860F8" w:rsidRPr="007860F8">
              <w:rPr>
                <w:b/>
                <w:bCs/>
                <w:lang w:val="fr-FR"/>
              </w:rPr>
              <w:t>Anatole NDOMA</w:t>
            </w:r>
            <w:r w:rsidR="007860F8">
              <w:rPr>
                <w:lang w:val="fr-FR"/>
              </w:rPr>
              <w:t>, Expert en Suivi &amp; Evaluation PBF-RCA</w:t>
            </w:r>
          </w:p>
          <w:p w14:paraId="4F7F6063" w14:textId="133B3201" w:rsidR="000F43A8" w:rsidRPr="00826923" w:rsidRDefault="000F43A8" w:rsidP="000F43A8">
            <w:pPr>
              <w:rPr>
                <w:lang w:val="fr-FR"/>
              </w:rPr>
            </w:pPr>
            <w:r w:rsidRPr="00826923">
              <w:rPr>
                <w:lang w:val="fr-FR"/>
              </w:rPr>
              <w:t xml:space="preserve">Rapport approuvé par: </w:t>
            </w:r>
            <w:r w:rsidR="00E6525F">
              <w:rPr>
                <w:b/>
                <w:bCs/>
                <w:lang w:val="fr-FR"/>
              </w:rPr>
              <w:t>Malika Groga-Bada</w:t>
            </w:r>
            <w:r w:rsidR="00464EE4">
              <w:rPr>
                <w:b/>
                <w:bCs/>
                <w:lang w:val="fr-FR"/>
              </w:rPr>
              <w:t xml:space="preserve">, </w:t>
            </w:r>
            <w:r w:rsidR="00E6525F" w:rsidRPr="00E51A0F">
              <w:rPr>
                <w:lang w:val="fr-FR"/>
              </w:rPr>
              <w:t>Coordinatrice PBF-RCA</w:t>
            </w:r>
          </w:p>
          <w:p w14:paraId="64A19D37" w14:textId="77400E58" w:rsidR="000F43A8" w:rsidRPr="000F43A8" w:rsidRDefault="000F43A8" w:rsidP="000F43A8">
            <w:pPr>
              <w:rPr>
                <w:lang w:val="fr-FR"/>
              </w:rPr>
            </w:pPr>
            <w:r w:rsidRPr="00826923">
              <w:rPr>
                <w:lang w:val="fr-FR"/>
              </w:rPr>
              <w:t xml:space="preserve">Le Secrétariat PBF a-t-il revu le </w:t>
            </w:r>
            <w:r w:rsidR="00113615" w:rsidRPr="00826923">
              <w:rPr>
                <w:lang w:val="fr-FR"/>
              </w:rPr>
              <w:t>rapport</w:t>
            </w:r>
            <w:r w:rsidR="00113615" w:rsidRPr="00136BFF">
              <w:rPr>
                <w:sz w:val="22"/>
                <w:lang w:val="fr-FR"/>
              </w:rPr>
              <w:t xml:space="preserve"> :</w:t>
            </w:r>
            <w:r w:rsidRPr="00136BFF">
              <w:rPr>
                <w:sz w:val="22"/>
                <w:lang w:val="fr-FR"/>
              </w:rPr>
              <w:t xml:space="preserve"> </w:t>
            </w:r>
            <w:r w:rsidR="007860F8" w:rsidRPr="007860F8">
              <w:rPr>
                <w:b/>
                <w:bCs/>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A9C78FD" w:rsidR="00F778A1" w:rsidRPr="00F778A1" w:rsidRDefault="00F778A1" w:rsidP="00952C6E">
      <w:pPr>
        <w:jc w:val="both"/>
        <w:rPr>
          <w:b/>
          <w:i/>
          <w:iCs/>
          <w:lang w:val="fr-FR"/>
        </w:rPr>
      </w:pPr>
      <w:r w:rsidRPr="00F778A1">
        <w:rPr>
          <w:b/>
          <w:i/>
          <w:iCs/>
          <w:lang w:val="fr-FR"/>
        </w:rPr>
        <w:lastRenderedPageBreak/>
        <w:t>NOTES POUR REMPLIR LE RAPPORT</w:t>
      </w:r>
      <w:r w:rsidR="00A32E65">
        <w:rPr>
          <w:b/>
          <w:i/>
          <w:iCs/>
          <w:lang w:val="fr-FR"/>
        </w:rPr>
        <w:t xml:space="preserve"> </w:t>
      </w:r>
      <w:r w:rsidRPr="00F778A1">
        <w:rPr>
          <w:b/>
          <w:i/>
          <w:iCs/>
          <w:lang w:val="fr-FR"/>
        </w:rPr>
        <w:t>:</w:t>
      </w:r>
    </w:p>
    <w:p w14:paraId="1C4D2EEE" w14:textId="77777777" w:rsidR="00F778A1" w:rsidRPr="00F778A1" w:rsidRDefault="00F778A1" w:rsidP="00952C6E">
      <w:pPr>
        <w:numPr>
          <w:ilvl w:val="0"/>
          <w:numId w:val="1"/>
        </w:numPr>
        <w:ind w:left="-142" w:hanging="425"/>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952C6E">
      <w:pPr>
        <w:numPr>
          <w:ilvl w:val="0"/>
          <w:numId w:val="1"/>
        </w:numPr>
        <w:ind w:left="-142" w:hanging="425"/>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952C6E">
      <w:pPr>
        <w:numPr>
          <w:ilvl w:val="0"/>
          <w:numId w:val="1"/>
        </w:numPr>
        <w:ind w:left="-142" w:hanging="425"/>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3B02C6D" w:rsidR="00F778A1" w:rsidRDefault="00F778A1" w:rsidP="00952C6E">
      <w:pPr>
        <w:numPr>
          <w:ilvl w:val="0"/>
          <w:numId w:val="1"/>
        </w:numPr>
        <w:ind w:left="-142" w:hanging="425"/>
        <w:jc w:val="both"/>
        <w:rPr>
          <w:i/>
          <w:iCs/>
          <w:lang w:val="fr-FR"/>
        </w:rPr>
      </w:pPr>
      <w:r w:rsidRPr="00F778A1">
        <w:rPr>
          <w:i/>
          <w:iCs/>
          <w:lang w:val="fr-FR"/>
        </w:rPr>
        <w:t>Veillez à ce que l'analyse et l'évaluation des progrès du projet tiennent compte des spécificités du sexe et de l'âge.</w:t>
      </w:r>
    </w:p>
    <w:p w14:paraId="1E6656F8" w14:textId="4CD4274A" w:rsidR="00C955F4" w:rsidRPr="00F778A1" w:rsidRDefault="00C955F4" w:rsidP="00952C6E">
      <w:pPr>
        <w:numPr>
          <w:ilvl w:val="0"/>
          <w:numId w:val="1"/>
        </w:numPr>
        <w:ind w:left="-142" w:hanging="425"/>
        <w:jc w:val="both"/>
        <w:rPr>
          <w:i/>
          <w:iCs/>
          <w:lang w:val="fr-FR"/>
        </w:rPr>
      </w:pP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w:t>
      </w:r>
      <w:r w:rsidR="009F4370">
        <w:rPr>
          <w:i/>
          <w:iCs/>
          <w:lang w:val="fr-FR"/>
        </w:rPr>
        <w:t>COVID-19</w:t>
      </w:r>
      <w:r w:rsidRPr="00C955F4">
        <w:rPr>
          <w:i/>
          <w:iCs/>
          <w:lang w:val="fr-FR"/>
        </w:rPr>
        <w:t xml:space="preserve"> et répond</w:t>
      </w:r>
      <w:r w:rsidR="001B4FC7">
        <w:rPr>
          <w:i/>
          <w:iCs/>
          <w:lang w:val="fr-FR"/>
        </w:rPr>
        <w:t>ez</w:t>
      </w:r>
      <w:r w:rsidRPr="00C955F4">
        <w:rPr>
          <w:i/>
          <w:iCs/>
          <w:lang w:val="fr-FR"/>
        </w:rPr>
        <w:t xml:space="preserve"> à la section IV.</w:t>
      </w:r>
    </w:p>
    <w:p w14:paraId="40FFAF39" w14:textId="77777777" w:rsidR="00476758" w:rsidRDefault="00476758" w:rsidP="00952C6E">
      <w:pPr>
        <w:rPr>
          <w:b/>
          <w:lang w:val="fr-FR"/>
        </w:rPr>
      </w:pPr>
    </w:p>
    <w:p w14:paraId="7E8152B5" w14:textId="77777777" w:rsidR="00F778A1" w:rsidRPr="00476758" w:rsidRDefault="00F778A1" w:rsidP="00952C6E">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952C6E">
      <w:pPr>
        <w:rPr>
          <w:b/>
          <w:lang w:val="fr-FR"/>
        </w:rPr>
      </w:pPr>
    </w:p>
    <w:p w14:paraId="75116D07" w14:textId="18D87555" w:rsidR="007A4004" w:rsidRPr="00113615" w:rsidRDefault="00F778A1" w:rsidP="00952C6E">
      <w:pPr>
        <w:ind w:left="-810"/>
        <w:jc w:val="both"/>
        <w:rPr>
          <w:b/>
          <w:bCs/>
          <w:lang w:val="fr-FR"/>
        </w:rPr>
      </w:pPr>
      <w:r w:rsidRPr="00113615">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072448">
        <w:rPr>
          <w:b/>
          <w:bCs/>
          <w:lang w:val="fr-FR"/>
        </w:rPr>
        <w:t xml:space="preserve"> </w:t>
      </w:r>
      <w:r w:rsidRPr="00113615">
        <w:rPr>
          <w:b/>
          <w:bCs/>
          <w:lang w:val="fr-FR"/>
        </w:rPr>
        <w:t xml:space="preserve">: </w:t>
      </w:r>
    </w:p>
    <w:p w14:paraId="33A83FC3" w14:textId="77777777" w:rsidR="00210878" w:rsidRDefault="00210878" w:rsidP="00561077">
      <w:pPr>
        <w:jc w:val="both"/>
        <w:rPr>
          <w:lang w:val="fr-FR"/>
        </w:rPr>
      </w:pPr>
    </w:p>
    <w:p w14:paraId="63DF4FBE" w14:textId="320D5F5A" w:rsidR="00D71C24" w:rsidRDefault="00D71C24" w:rsidP="009B2EA7">
      <w:pPr>
        <w:jc w:val="both"/>
        <w:rPr>
          <w:lang w:val="fr-FR"/>
        </w:rPr>
      </w:pPr>
      <w:r>
        <w:rPr>
          <w:lang w:val="fr-FR"/>
        </w:rPr>
        <w:t xml:space="preserve">Opérationnel depuis </w:t>
      </w:r>
      <w:r w:rsidR="00A70A8B">
        <w:rPr>
          <w:lang w:val="fr-FR"/>
        </w:rPr>
        <w:t xml:space="preserve">2016, </w:t>
      </w:r>
      <w:r>
        <w:rPr>
          <w:lang w:val="fr-FR"/>
        </w:rPr>
        <w:t>le Secrétariat du Fonds de Consolidation de la Paix e</w:t>
      </w:r>
      <w:r w:rsidR="00A70A8B">
        <w:rPr>
          <w:lang w:val="fr-FR"/>
        </w:rPr>
        <w:t>n</w:t>
      </w:r>
      <w:r>
        <w:rPr>
          <w:lang w:val="fr-FR"/>
        </w:rPr>
        <w:t xml:space="preserve"> République Centrafricaine est composé d’un coordonnateur programme, d’un expert suivi évaluation et d’un chauffeur. Le Secrétariat est logé au sein du Bureau d</w:t>
      </w:r>
      <w:r w:rsidR="00317039">
        <w:rPr>
          <w:lang w:val="fr-FR"/>
        </w:rPr>
        <w:t xml:space="preserve">e la </w:t>
      </w:r>
      <w:r>
        <w:rPr>
          <w:lang w:val="fr-FR"/>
        </w:rPr>
        <w:t>Coordonnat</w:t>
      </w:r>
      <w:r w:rsidR="00317039">
        <w:rPr>
          <w:lang w:val="fr-FR"/>
        </w:rPr>
        <w:t>rice r</w:t>
      </w:r>
      <w:r>
        <w:rPr>
          <w:lang w:val="fr-FR"/>
        </w:rPr>
        <w:t>ésident</w:t>
      </w:r>
      <w:r w:rsidR="00317039">
        <w:rPr>
          <w:lang w:val="fr-FR"/>
        </w:rPr>
        <w:t>e</w:t>
      </w:r>
      <w:r>
        <w:rPr>
          <w:lang w:val="fr-FR"/>
        </w:rPr>
        <w:t xml:space="preserve"> (BCR) </w:t>
      </w:r>
      <w:r w:rsidR="00317039">
        <w:rPr>
          <w:lang w:val="fr-FR"/>
        </w:rPr>
        <w:t xml:space="preserve">des Nations Unies </w:t>
      </w:r>
      <w:r>
        <w:rPr>
          <w:lang w:val="fr-FR"/>
        </w:rPr>
        <w:t xml:space="preserve">et travaille sous sa supervision pour assurer la coordination et la cohérence des interventions du Fonds. </w:t>
      </w:r>
      <w:r w:rsidR="00A70A8B">
        <w:rPr>
          <w:lang w:val="fr-FR"/>
        </w:rPr>
        <w:t xml:space="preserve">Un nouveau coordonnateur de programme a pris fonction en décembre 2020 (après 6 mois de vacances du poste), permettant d’assurer la continuité du suivi de la mise en œuvre du portefeuille. </w:t>
      </w:r>
    </w:p>
    <w:p w14:paraId="65B90D8C" w14:textId="77777777" w:rsidR="00B9153F" w:rsidRDefault="00B9153F" w:rsidP="00317039">
      <w:pPr>
        <w:jc w:val="both"/>
        <w:rPr>
          <w:lang w:val="fr-FR"/>
        </w:rPr>
      </w:pPr>
    </w:p>
    <w:p w14:paraId="0F7C3F38" w14:textId="19164A4A" w:rsidR="00317039" w:rsidRDefault="00317039" w:rsidP="00317039">
      <w:pPr>
        <w:jc w:val="both"/>
        <w:rPr>
          <w:lang w:val="fr-FR"/>
        </w:rPr>
      </w:pPr>
      <w:r>
        <w:rPr>
          <w:lang w:val="fr-FR"/>
        </w:rPr>
        <w:t xml:space="preserve">Le secrétariat dispose d’un plan de travail, d’un plan de communication et d’un plan de suivi </w:t>
      </w:r>
      <w:r w:rsidR="00A70A8B">
        <w:rPr>
          <w:lang w:val="fr-FR"/>
        </w:rPr>
        <w:t xml:space="preserve">et </w:t>
      </w:r>
      <w:r>
        <w:rPr>
          <w:lang w:val="fr-FR"/>
        </w:rPr>
        <w:t xml:space="preserve">évaluation tous approuvés par </w:t>
      </w:r>
      <w:r w:rsidR="00E51A0F">
        <w:rPr>
          <w:lang w:val="fr-FR"/>
        </w:rPr>
        <w:t>la cheffe</w:t>
      </w:r>
      <w:r>
        <w:rPr>
          <w:lang w:val="fr-FR"/>
        </w:rPr>
        <w:t xml:space="preserve"> du BCR</w:t>
      </w:r>
      <w:r w:rsidR="00E51A0F">
        <w:rPr>
          <w:lang w:val="fr-FR"/>
        </w:rPr>
        <w:t xml:space="preserve"> qui sont fonctionnels.</w:t>
      </w:r>
      <w:r w:rsidR="00B9153F">
        <w:rPr>
          <w:lang w:val="fr-FR"/>
        </w:rPr>
        <w:t xml:space="preserve"> </w:t>
      </w:r>
      <w:r w:rsidR="00E51A0F">
        <w:rPr>
          <w:lang w:val="fr-FR"/>
        </w:rPr>
        <w:t>Ces instruments ont permis un meilleur</w:t>
      </w:r>
      <w:r w:rsidR="00E51A0F" w:rsidRPr="00523EA1">
        <w:rPr>
          <w:lang w:val="fr-FR"/>
        </w:rPr>
        <w:t xml:space="preserve"> suivi </w:t>
      </w:r>
      <w:r w:rsidR="00E51A0F">
        <w:rPr>
          <w:lang w:val="fr-FR"/>
        </w:rPr>
        <w:t>de</w:t>
      </w:r>
      <w:r w:rsidR="00E51A0F" w:rsidRPr="00523EA1">
        <w:rPr>
          <w:lang w:val="fr-FR"/>
        </w:rPr>
        <w:t xml:space="preserve"> l’atteinte des résultats attendus du portefeuille PBF </w:t>
      </w:r>
      <w:r w:rsidR="00E51A0F">
        <w:rPr>
          <w:lang w:val="fr-FR"/>
        </w:rPr>
        <w:t xml:space="preserve">en contribuant à une </w:t>
      </w:r>
      <w:r w:rsidR="00E51A0F" w:rsidRPr="00415EFA">
        <w:rPr>
          <w:lang w:val="fr-FR"/>
        </w:rPr>
        <w:t>amélior</w:t>
      </w:r>
      <w:r w:rsidR="00E51A0F">
        <w:rPr>
          <w:lang w:val="fr-FR"/>
        </w:rPr>
        <w:t>ation de</w:t>
      </w:r>
      <w:r w:rsidR="00E51A0F" w:rsidRPr="00415EFA">
        <w:rPr>
          <w:lang w:val="fr-FR"/>
        </w:rPr>
        <w:t xml:space="preserve"> l’impact des</w:t>
      </w:r>
      <w:r w:rsidR="00E51A0F">
        <w:rPr>
          <w:lang w:val="fr-FR"/>
        </w:rPr>
        <w:t xml:space="preserve"> investissements</w:t>
      </w:r>
      <w:r w:rsidR="00E51A0F" w:rsidRPr="00415EFA">
        <w:rPr>
          <w:lang w:val="fr-FR"/>
        </w:rPr>
        <w:t xml:space="preserve"> du PBF en RCA</w:t>
      </w:r>
      <w:r>
        <w:rPr>
          <w:lang w:val="fr-FR"/>
        </w:rPr>
        <w:t xml:space="preserve">. </w:t>
      </w:r>
    </w:p>
    <w:p w14:paraId="2C5749F1" w14:textId="77777777" w:rsidR="00E51A0F" w:rsidRDefault="00E51A0F" w:rsidP="00317039">
      <w:pPr>
        <w:jc w:val="both"/>
        <w:rPr>
          <w:lang w:val="fr-FR"/>
        </w:rPr>
      </w:pPr>
    </w:p>
    <w:p w14:paraId="2C91F1FB" w14:textId="34689CE2" w:rsidR="00317039" w:rsidRDefault="00317039" w:rsidP="00317039">
      <w:pPr>
        <w:jc w:val="both"/>
        <w:rPr>
          <w:lang w:val="fr-FR"/>
        </w:rPr>
      </w:pPr>
      <w:r>
        <w:rPr>
          <w:lang w:val="fr-FR"/>
        </w:rPr>
        <w:t xml:space="preserve">Les groupes de travail thématiques (consolidation de la paix, inclusion des femmes et inclusion des jeunes) ont été mis en place pour faciliter le travail de réflexion et d’analyse du secrétariat. </w:t>
      </w:r>
    </w:p>
    <w:p w14:paraId="16066C7A" w14:textId="77777777" w:rsidR="00317039" w:rsidRDefault="00317039" w:rsidP="009B2EA7">
      <w:pPr>
        <w:jc w:val="both"/>
        <w:rPr>
          <w:lang w:val="fr-FR"/>
        </w:rPr>
      </w:pPr>
    </w:p>
    <w:p w14:paraId="66D797C9" w14:textId="57C352BD" w:rsidR="001F6831" w:rsidRDefault="00317039" w:rsidP="00CA3A4A">
      <w:pPr>
        <w:jc w:val="both"/>
        <w:rPr>
          <w:lang w:val="fr-FR"/>
        </w:rPr>
      </w:pPr>
      <w:r>
        <w:rPr>
          <w:lang w:val="fr-FR"/>
        </w:rPr>
        <w:t xml:space="preserve">Les défis liés à la situation sécuritaire qui prévaut dans le pays et l’épidémie de la Covid-19 restent importants, </w:t>
      </w:r>
      <w:r w:rsidR="00A70A8B">
        <w:rPr>
          <w:lang w:val="fr-FR"/>
        </w:rPr>
        <w:t xml:space="preserve">mais ne sont pas encore de nature à entraver le travail du secrétariat qui intervient dans le respect des lignes directrices éditées par la Coordonnatrice résidente. </w:t>
      </w:r>
    </w:p>
    <w:p w14:paraId="4DFDAFB4" w14:textId="7F1087ED" w:rsidR="00E62220" w:rsidRDefault="00E62220" w:rsidP="009E6F7E">
      <w:pPr>
        <w:jc w:val="both"/>
        <w:rPr>
          <w:lang w:val="fr-FR"/>
        </w:rPr>
      </w:pPr>
    </w:p>
    <w:p w14:paraId="3A60B023" w14:textId="77777777" w:rsidR="00343385" w:rsidRDefault="00343385" w:rsidP="00A32E65">
      <w:pPr>
        <w:ind w:left="-426"/>
        <w:jc w:val="both"/>
        <w:rPr>
          <w:iCs/>
          <w:lang w:val="fr-FR"/>
        </w:rPr>
      </w:pPr>
    </w:p>
    <w:p w14:paraId="2DC14281" w14:textId="414AB9AC" w:rsidR="0081610A" w:rsidRDefault="00F778A1" w:rsidP="00A32E65">
      <w:pPr>
        <w:ind w:left="-426"/>
        <w:jc w:val="both"/>
        <w:rPr>
          <w:b/>
          <w:bCs/>
          <w:lang w:val="fr-FR"/>
        </w:rPr>
      </w:pPr>
      <w:r w:rsidRPr="0081610A">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81610A">
        <w:rPr>
          <w:b/>
          <w:bCs/>
          <w:lang w:val="fr-FR"/>
        </w:rPr>
        <w:t>(</w:t>
      </w:r>
      <w:r w:rsidRPr="0081610A">
        <w:rPr>
          <w:b/>
          <w:bCs/>
          <w:lang w:val="fr-FR"/>
        </w:rPr>
        <w:t>limite de 1000 caractères</w:t>
      </w:r>
      <w:r w:rsidR="00161D02" w:rsidRPr="0081610A">
        <w:rPr>
          <w:b/>
          <w:bCs/>
          <w:lang w:val="fr-FR"/>
        </w:rPr>
        <w:t>)</w:t>
      </w:r>
      <w:r w:rsidR="00072448">
        <w:rPr>
          <w:b/>
          <w:bCs/>
          <w:lang w:val="fr-FR"/>
        </w:rPr>
        <w:t xml:space="preserve"> </w:t>
      </w:r>
      <w:r w:rsidR="00161D02" w:rsidRPr="0081610A">
        <w:rPr>
          <w:b/>
          <w:bCs/>
          <w:lang w:val="fr-FR"/>
        </w:rPr>
        <w:t>:</w:t>
      </w:r>
      <w:r w:rsidR="00E63478">
        <w:rPr>
          <w:b/>
          <w:bCs/>
          <w:lang w:val="fr-FR"/>
        </w:rPr>
        <w:t xml:space="preserve"> </w:t>
      </w:r>
    </w:p>
    <w:p w14:paraId="6AC1D9BE" w14:textId="77777777" w:rsidR="00A70A8B" w:rsidRDefault="00A70A8B" w:rsidP="00A32E65">
      <w:pPr>
        <w:ind w:left="-426"/>
        <w:jc w:val="both"/>
        <w:rPr>
          <w:lang w:val="fr-FR"/>
        </w:rPr>
      </w:pPr>
    </w:p>
    <w:p w14:paraId="63A5275D" w14:textId="67451FF5" w:rsidR="004B2B1A" w:rsidRPr="004B2B1A" w:rsidRDefault="004B2B1A" w:rsidP="004B2B1A">
      <w:pPr>
        <w:pStyle w:val="ListParagraph"/>
        <w:numPr>
          <w:ilvl w:val="1"/>
          <w:numId w:val="1"/>
        </w:numPr>
        <w:jc w:val="both"/>
        <w:rPr>
          <w:lang w:val="fr-CA"/>
        </w:rPr>
      </w:pPr>
      <w:r w:rsidRPr="004B2B1A">
        <w:rPr>
          <w:color w:val="000000"/>
          <w:lang w:val="fr-FR" w:eastAsia="en-US"/>
        </w:rPr>
        <w:t xml:space="preserve">Organisation </w:t>
      </w:r>
      <w:r w:rsidR="00771F7D">
        <w:rPr>
          <w:color w:val="000000"/>
          <w:lang w:val="fr-FR" w:eastAsia="en-US"/>
        </w:rPr>
        <w:t xml:space="preserve">des consultations avec le gouvernement, les Partenaires Techniques et </w:t>
      </w:r>
      <w:r w:rsidR="008A5E25">
        <w:rPr>
          <w:color w:val="000000"/>
          <w:lang w:val="fr-FR" w:eastAsia="en-US"/>
        </w:rPr>
        <w:t>Financiers (</w:t>
      </w:r>
      <w:r w:rsidR="00771F7D">
        <w:rPr>
          <w:color w:val="000000"/>
          <w:lang w:val="fr-FR" w:eastAsia="en-US"/>
        </w:rPr>
        <w:t>PTF), la société civile,</w:t>
      </w:r>
      <w:r w:rsidR="008869DF">
        <w:rPr>
          <w:color w:val="000000"/>
          <w:lang w:val="fr-FR" w:eastAsia="en-US"/>
        </w:rPr>
        <w:t xml:space="preserve"> les leaders </w:t>
      </w:r>
      <w:r w:rsidR="00464A4A">
        <w:rPr>
          <w:color w:val="000000"/>
          <w:lang w:val="fr-FR" w:eastAsia="en-US"/>
        </w:rPr>
        <w:t>communautaires, les Organisations des jeunes et des femmes dans le cadre de la revue stratégique annuelle du PBF 2021.</w:t>
      </w:r>
    </w:p>
    <w:p w14:paraId="144B1F40" w14:textId="2B81BCF3" w:rsidR="00161D02" w:rsidRPr="00E75D0B" w:rsidRDefault="00161D02" w:rsidP="00A32E65">
      <w:pPr>
        <w:ind w:left="-426"/>
        <w:jc w:val="both"/>
        <w:rPr>
          <w:b/>
          <w:bCs/>
          <w:lang w:val="fr-FR"/>
        </w:rPr>
      </w:pPr>
    </w:p>
    <w:p w14:paraId="49A86CE3" w14:textId="77777777" w:rsidR="00F778A1" w:rsidRPr="00E75D0B" w:rsidRDefault="00F778A1" w:rsidP="00A32E65">
      <w:pPr>
        <w:ind w:left="-426" w:right="-154"/>
        <w:jc w:val="both"/>
        <w:rPr>
          <w:b/>
          <w:bCs/>
          <w:lang w:val="fr-FR"/>
        </w:rPr>
      </w:pPr>
      <w:r w:rsidRPr="00E75D0B">
        <w:rPr>
          <w:b/>
          <w:bCs/>
          <w:lang w:val="fr-FR"/>
        </w:rPr>
        <w:t>POUR LES PROJETS DANS LES SIX DERNIERS MOIS DE MISE EN ŒUVRE :</w:t>
      </w:r>
    </w:p>
    <w:p w14:paraId="58133A87" w14:textId="0A9719D2" w:rsidR="00E63478" w:rsidRDefault="00476758" w:rsidP="00A32E65">
      <w:pPr>
        <w:ind w:left="-426" w:right="-154"/>
        <w:jc w:val="both"/>
        <w:rPr>
          <w:b/>
          <w:bCs/>
          <w:lang w:val="fr-FR"/>
        </w:rPr>
      </w:pPr>
      <w:r w:rsidRPr="00E75D0B">
        <w:rPr>
          <w:b/>
          <w:bCs/>
          <w:lang w:val="fr-FR"/>
        </w:rPr>
        <w:t>Résumez</w:t>
      </w:r>
      <w:r w:rsidR="00F778A1" w:rsidRPr="00E75D0B">
        <w:rPr>
          <w:b/>
          <w:bCs/>
          <w:lang w:val="fr-FR"/>
        </w:rPr>
        <w:t xml:space="preserve"> </w:t>
      </w:r>
      <w:r w:rsidRPr="00E75D0B">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75D0B">
        <w:rPr>
          <w:b/>
          <w:bCs/>
          <w:lang w:val="fr-FR"/>
        </w:rPr>
        <w:t xml:space="preserve"> </w:t>
      </w:r>
      <w:r w:rsidR="008C782A" w:rsidRPr="00E75D0B">
        <w:rPr>
          <w:b/>
          <w:bCs/>
          <w:lang w:val="fr-FR"/>
        </w:rPr>
        <w:t>(limit</w:t>
      </w:r>
      <w:r w:rsidRPr="00E75D0B">
        <w:rPr>
          <w:b/>
          <w:bCs/>
          <w:lang w:val="fr-FR"/>
        </w:rPr>
        <w:t>e de 1500 caractères</w:t>
      </w:r>
      <w:r w:rsidR="008C782A" w:rsidRPr="00E75D0B">
        <w:rPr>
          <w:b/>
          <w:bCs/>
          <w:lang w:val="fr-FR"/>
        </w:rPr>
        <w:t>)</w:t>
      </w:r>
      <w:r w:rsidR="00072448">
        <w:rPr>
          <w:b/>
          <w:bCs/>
          <w:lang w:val="fr-FR"/>
        </w:rPr>
        <w:t xml:space="preserve"> </w:t>
      </w:r>
      <w:r w:rsidR="008C782A" w:rsidRPr="00E75D0B">
        <w:rPr>
          <w:b/>
          <w:bCs/>
          <w:lang w:val="fr-FR"/>
        </w:rPr>
        <w:t xml:space="preserve">: </w:t>
      </w:r>
    </w:p>
    <w:p w14:paraId="61C64F60" w14:textId="77777777" w:rsidR="00561077" w:rsidRDefault="00561077" w:rsidP="00A32E65">
      <w:pPr>
        <w:ind w:left="-426" w:right="-154"/>
        <w:jc w:val="both"/>
        <w:rPr>
          <w:b/>
          <w:bCs/>
          <w:lang w:val="fr-FR"/>
        </w:rPr>
      </w:pPr>
    </w:p>
    <w:p w14:paraId="2EF647CC" w14:textId="6813ACCD" w:rsidR="00C645AB" w:rsidRDefault="00C645AB" w:rsidP="00496F36">
      <w:pPr>
        <w:ind w:right="-154"/>
        <w:jc w:val="both"/>
        <w:rPr>
          <w:lang w:val="fr-CA"/>
        </w:rPr>
      </w:pPr>
      <w:r>
        <w:rPr>
          <w:lang w:val="fr-CA"/>
        </w:rPr>
        <w:lastRenderedPageBreak/>
        <w:t>La mise en œuvre de ce projet a permis de promouvoir une</w:t>
      </w:r>
      <w:r w:rsidRPr="00523EA1">
        <w:rPr>
          <w:lang w:val="fr-CA"/>
        </w:rPr>
        <w:t xml:space="preserve"> </w:t>
      </w:r>
      <w:r>
        <w:rPr>
          <w:lang w:val="fr-CA"/>
        </w:rPr>
        <w:t>synergie</w:t>
      </w:r>
      <w:r w:rsidRPr="00523EA1">
        <w:rPr>
          <w:lang w:val="fr-CA"/>
        </w:rPr>
        <w:t xml:space="preserve"> d</w:t>
      </w:r>
      <w:r w:rsidR="00A70A8B">
        <w:rPr>
          <w:lang w:val="fr-CA"/>
        </w:rPr>
        <w:t>’intervention entre les agences de mise en œuvre des projets du portefeuille, mais aussi entre les agences et la Mission des Nations-Unies pour la stabilisation de la République Centrafricaine (MINUSCA).</w:t>
      </w:r>
      <w:r w:rsidRPr="00AF3E39">
        <w:rPr>
          <w:lang w:val="fr-CA"/>
        </w:rPr>
        <w:t xml:space="preserve"> Cette pratique de travail </w:t>
      </w:r>
      <w:r w:rsidR="00490CC9" w:rsidRPr="00AF3E39">
        <w:rPr>
          <w:lang w:val="fr-CA"/>
        </w:rPr>
        <w:t xml:space="preserve">conjointe </w:t>
      </w:r>
      <w:r w:rsidRPr="00AF3E39">
        <w:rPr>
          <w:lang w:val="fr-CA"/>
        </w:rPr>
        <w:t>renforce aussi l'efficacité et la cohérence de la présence onusienne sur le terrain</w:t>
      </w:r>
      <w:r w:rsidR="00490CC9">
        <w:rPr>
          <w:lang w:val="fr-CA"/>
        </w:rPr>
        <w:t xml:space="preserve"> et prom</w:t>
      </w:r>
      <w:r w:rsidR="003452D7">
        <w:rPr>
          <w:lang w:val="fr-CA"/>
        </w:rPr>
        <w:t>eut</w:t>
      </w:r>
      <w:r w:rsidR="00490CC9">
        <w:rPr>
          <w:lang w:val="fr-CA"/>
        </w:rPr>
        <w:t xml:space="preserve"> la visibilité du Bureau du Coordonnateur Résident dans sa mission</w:t>
      </w:r>
      <w:r w:rsidR="00BD4749">
        <w:rPr>
          <w:lang w:val="fr-CA"/>
        </w:rPr>
        <w:t xml:space="preserve"> ainsi que du PBF</w:t>
      </w:r>
      <w:r w:rsidR="00490CC9">
        <w:rPr>
          <w:lang w:val="fr-CA"/>
        </w:rPr>
        <w:t>.</w:t>
      </w:r>
      <w:r w:rsidRPr="00AF3E39">
        <w:rPr>
          <w:lang w:val="fr-CA"/>
        </w:rPr>
        <w:t> </w:t>
      </w:r>
    </w:p>
    <w:p w14:paraId="1FCAA163" w14:textId="77777777" w:rsidR="00490CC9" w:rsidRPr="00AF3E39" w:rsidRDefault="00490CC9" w:rsidP="00496F36">
      <w:pPr>
        <w:ind w:right="-154"/>
        <w:jc w:val="both"/>
        <w:rPr>
          <w:lang w:val="fr-CA"/>
        </w:rPr>
      </w:pPr>
    </w:p>
    <w:p w14:paraId="0173D6FB" w14:textId="46E2C63D" w:rsidR="00E63478" w:rsidRPr="00AF3E39" w:rsidRDefault="00464A4A" w:rsidP="00496F36">
      <w:pPr>
        <w:ind w:right="-154"/>
        <w:jc w:val="both"/>
        <w:rPr>
          <w:lang w:val="fr-CA"/>
        </w:rPr>
      </w:pPr>
      <w:r w:rsidRPr="00AF3E39">
        <w:rPr>
          <w:lang w:val="fr-CA"/>
        </w:rPr>
        <w:t>Le projet en soutenant la planification, le suivi/évaluation des projets</w:t>
      </w:r>
      <w:r w:rsidR="00490CC9">
        <w:rPr>
          <w:lang w:val="fr-CA"/>
        </w:rPr>
        <w:t xml:space="preserve">, </w:t>
      </w:r>
      <w:r w:rsidRPr="00AF3E39">
        <w:rPr>
          <w:lang w:val="fr-CA"/>
        </w:rPr>
        <w:t xml:space="preserve">a contribué </w:t>
      </w:r>
      <w:r w:rsidR="00BD4749">
        <w:rPr>
          <w:lang w:val="fr-CA"/>
        </w:rPr>
        <w:t>à</w:t>
      </w:r>
      <w:r w:rsidRPr="00AF3E39">
        <w:rPr>
          <w:lang w:val="fr-CA"/>
        </w:rPr>
        <w:t xml:space="preserve"> l’amélioration d</w:t>
      </w:r>
      <w:r w:rsidR="00490CC9">
        <w:rPr>
          <w:lang w:val="fr-CA"/>
        </w:rPr>
        <w:t>u</w:t>
      </w:r>
      <w:r w:rsidRPr="00AF3E39">
        <w:rPr>
          <w:lang w:val="fr-CA"/>
        </w:rPr>
        <w:t xml:space="preserve"> </w:t>
      </w:r>
      <w:r w:rsidR="00490CC9" w:rsidRPr="00490CC9">
        <w:rPr>
          <w:lang w:val="fr-CA"/>
        </w:rPr>
        <w:t>savoir-faire</w:t>
      </w:r>
      <w:r w:rsidRPr="00AF3E39">
        <w:rPr>
          <w:lang w:val="fr-CA"/>
        </w:rPr>
        <w:t xml:space="preserve"> des </w:t>
      </w:r>
      <w:r w:rsidR="00490CC9">
        <w:rPr>
          <w:lang w:val="fr-CA"/>
        </w:rPr>
        <w:t>points focaux</w:t>
      </w:r>
      <w:r w:rsidRPr="00AF3E39">
        <w:rPr>
          <w:lang w:val="fr-CA"/>
        </w:rPr>
        <w:t xml:space="preserve"> </w:t>
      </w:r>
      <w:r w:rsidR="003D1B3E" w:rsidRPr="00AF3E39">
        <w:rPr>
          <w:lang w:val="fr-CA"/>
        </w:rPr>
        <w:t>impliquées</w:t>
      </w:r>
      <w:r w:rsidR="00490CC9">
        <w:rPr>
          <w:lang w:val="fr-CA"/>
        </w:rPr>
        <w:t xml:space="preserve"> dans les processus</w:t>
      </w:r>
      <w:r w:rsidR="003D1B3E" w:rsidRPr="00AF3E39">
        <w:rPr>
          <w:lang w:val="fr-CA"/>
        </w:rPr>
        <w:t xml:space="preserve"> (Ministère clés, Agences des nations Unies,</w:t>
      </w:r>
      <w:r w:rsidRPr="00AF3E39">
        <w:rPr>
          <w:lang w:val="fr-CA"/>
        </w:rPr>
        <w:t xml:space="preserve"> </w:t>
      </w:r>
      <w:proofErr w:type="spellStart"/>
      <w:r w:rsidR="003D1B3E" w:rsidRPr="00AF3E39">
        <w:rPr>
          <w:lang w:val="fr-CA"/>
        </w:rPr>
        <w:t>ONGs</w:t>
      </w:r>
      <w:proofErr w:type="spellEnd"/>
      <w:r w:rsidR="003452D7">
        <w:rPr>
          <w:lang w:val="fr-CA"/>
        </w:rPr>
        <w:t xml:space="preserve"> et OSC</w:t>
      </w:r>
      <w:r w:rsidR="003D1B3E" w:rsidRPr="00AF3E39">
        <w:rPr>
          <w:lang w:val="fr-CA"/>
        </w:rPr>
        <w:t xml:space="preserve">) </w:t>
      </w:r>
      <w:r w:rsidRPr="00AF3E39">
        <w:rPr>
          <w:lang w:val="fr-CA"/>
        </w:rPr>
        <w:t xml:space="preserve">disposant ainsi de </w:t>
      </w:r>
      <w:r w:rsidR="00521704" w:rsidRPr="00AF3E39">
        <w:rPr>
          <w:lang w:val="fr-CA"/>
        </w:rPr>
        <w:t>connaissances suffisantes</w:t>
      </w:r>
      <w:r w:rsidR="003D1B3E" w:rsidRPr="00AF3E39">
        <w:rPr>
          <w:lang w:val="fr-CA"/>
        </w:rPr>
        <w:t xml:space="preserve"> </w:t>
      </w:r>
      <w:r w:rsidRPr="00AF3E39">
        <w:rPr>
          <w:lang w:val="fr-CA"/>
        </w:rPr>
        <w:t xml:space="preserve">sur les procédures du PBF et </w:t>
      </w:r>
      <w:r w:rsidR="00521704" w:rsidRPr="00AF3E39">
        <w:rPr>
          <w:lang w:val="fr-CA"/>
        </w:rPr>
        <w:t>surtout le suivi/évaluation axé sur les résultats, l’analyse des conflits et la théorie du changement.</w:t>
      </w:r>
    </w:p>
    <w:p w14:paraId="1E2CC372" w14:textId="3652B6F8" w:rsidR="00561077" w:rsidRPr="00AF3E39" w:rsidRDefault="00561077" w:rsidP="00496F36">
      <w:pPr>
        <w:ind w:right="-154"/>
        <w:jc w:val="both"/>
        <w:rPr>
          <w:lang w:val="fr-CA"/>
        </w:rPr>
      </w:pPr>
    </w:p>
    <w:p w14:paraId="3BDECAD7" w14:textId="443944A4" w:rsidR="000018B4" w:rsidRDefault="00EC63B5" w:rsidP="00496F36">
      <w:pPr>
        <w:ind w:right="-154"/>
        <w:jc w:val="both"/>
        <w:rPr>
          <w:lang w:val="fr-CA"/>
        </w:rPr>
      </w:pPr>
      <w:r>
        <w:rPr>
          <w:lang w:val="fr-CA"/>
        </w:rPr>
        <w:t>Il importe aussi de souligner que le</w:t>
      </w:r>
      <w:r w:rsidR="00561077" w:rsidRPr="00BD4749">
        <w:rPr>
          <w:lang w:val="fr-CA"/>
        </w:rPr>
        <w:t xml:space="preserve"> Secrétariat PBF</w:t>
      </w:r>
      <w:r w:rsidR="003452D7">
        <w:rPr>
          <w:lang w:val="fr-CA"/>
        </w:rPr>
        <w:t>,</w:t>
      </w:r>
      <w:r w:rsidR="00561077" w:rsidRPr="00BD4749">
        <w:rPr>
          <w:lang w:val="fr-CA"/>
        </w:rPr>
        <w:t xml:space="preserve"> </w:t>
      </w:r>
      <w:r>
        <w:rPr>
          <w:lang w:val="fr-CA"/>
        </w:rPr>
        <w:t>avec l’appui des agences récipiendaires d</w:t>
      </w:r>
      <w:r w:rsidR="003452D7">
        <w:rPr>
          <w:lang w:val="fr-CA"/>
        </w:rPr>
        <w:t xml:space="preserve">u Fonds, contribue à </w:t>
      </w:r>
      <w:r w:rsidR="00BD4749">
        <w:rPr>
          <w:lang w:val="fr-CA"/>
        </w:rPr>
        <w:t>alimente</w:t>
      </w:r>
      <w:r w:rsidR="003452D7">
        <w:rPr>
          <w:lang w:val="fr-CA"/>
        </w:rPr>
        <w:t>r</w:t>
      </w:r>
      <w:r w:rsidR="00BD4749">
        <w:rPr>
          <w:lang w:val="fr-CA"/>
        </w:rPr>
        <w:t xml:space="preserve"> de manière régulière</w:t>
      </w:r>
      <w:r w:rsidR="000018B4" w:rsidRPr="00BD4749">
        <w:rPr>
          <w:lang w:val="fr-CA"/>
        </w:rPr>
        <w:t xml:space="preserve"> </w:t>
      </w:r>
      <w:r w:rsidR="00BD4749" w:rsidRPr="00BD4749">
        <w:rPr>
          <w:lang w:val="fr-CA"/>
        </w:rPr>
        <w:t xml:space="preserve">la plateforme </w:t>
      </w:r>
      <w:proofErr w:type="spellStart"/>
      <w:r w:rsidR="00BD4749" w:rsidRPr="00BD4749">
        <w:rPr>
          <w:lang w:val="fr-CA"/>
        </w:rPr>
        <w:t>K</w:t>
      </w:r>
      <w:r w:rsidR="003452D7">
        <w:rPr>
          <w:lang w:val="fr-CA"/>
        </w:rPr>
        <w:t>obo</w:t>
      </w:r>
      <w:proofErr w:type="spellEnd"/>
      <w:r w:rsidR="003452D7">
        <w:rPr>
          <w:lang w:val="fr-CA"/>
        </w:rPr>
        <w:t xml:space="preserve"> Toolbox</w:t>
      </w:r>
      <w:r w:rsidR="00BD4749">
        <w:rPr>
          <w:lang w:val="fr-CA"/>
        </w:rPr>
        <w:t xml:space="preserve"> </w:t>
      </w:r>
      <w:r>
        <w:rPr>
          <w:lang w:val="fr-CA"/>
        </w:rPr>
        <w:t xml:space="preserve">du </w:t>
      </w:r>
      <w:r w:rsidR="003452D7">
        <w:rPr>
          <w:lang w:val="fr-CA"/>
        </w:rPr>
        <w:t xml:space="preserve">Secrétariat du </w:t>
      </w:r>
      <w:r w:rsidR="00931A5D">
        <w:rPr>
          <w:lang w:val="fr-CA"/>
        </w:rPr>
        <w:t xml:space="preserve">RCPCA </w:t>
      </w:r>
      <w:r w:rsidR="003452D7">
        <w:rPr>
          <w:lang w:val="fr-CA"/>
        </w:rPr>
        <w:t xml:space="preserve">(le Plan national de relèvement et de consolidation de la paix), permettant ainsi aux autorités nationales d’assurer un suivi constant de la contribution des donateurs, de l’avancement des projets et une meilleure </w:t>
      </w:r>
      <w:r>
        <w:rPr>
          <w:lang w:val="fr-CA"/>
        </w:rPr>
        <w:t xml:space="preserve">planification </w:t>
      </w:r>
      <w:r w:rsidR="003452D7">
        <w:rPr>
          <w:lang w:val="fr-CA"/>
        </w:rPr>
        <w:t xml:space="preserve">en termes de développement. </w:t>
      </w:r>
    </w:p>
    <w:p w14:paraId="49CEDAA0" w14:textId="77777777" w:rsidR="000018B4" w:rsidRPr="00AF3E39" w:rsidRDefault="000018B4" w:rsidP="000018B4">
      <w:pPr>
        <w:ind w:left="-426" w:right="-154"/>
        <w:jc w:val="both"/>
        <w:rPr>
          <w:lang w:val="fr-CA"/>
        </w:rPr>
      </w:pPr>
    </w:p>
    <w:p w14:paraId="04B87C90" w14:textId="77777777" w:rsidR="00496F36" w:rsidRDefault="00BE23D9" w:rsidP="00496F36">
      <w:pPr>
        <w:ind w:left="-426"/>
        <w:jc w:val="both"/>
        <w:rPr>
          <w:b/>
          <w:bCs/>
          <w:lang w:val="fr-FR"/>
        </w:rPr>
      </w:pPr>
      <w:r w:rsidRPr="000E1797">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E1797">
        <w:rPr>
          <w:b/>
          <w:bCs/>
          <w:lang w:val="fr-FR"/>
        </w:rPr>
        <w:t>weblinks</w:t>
      </w:r>
      <w:proofErr w:type="spellEnd"/>
      <w:r w:rsidRPr="000E1797">
        <w:rPr>
          <w:b/>
          <w:bCs/>
          <w:lang w:val="fr-FR"/>
        </w:rPr>
        <w:t xml:space="preserve"> à la communication stratégique publiée. (Limite de 2000 caractères)</w:t>
      </w:r>
      <w:r w:rsidR="00072448">
        <w:rPr>
          <w:b/>
          <w:bCs/>
          <w:lang w:val="fr-FR"/>
        </w:rPr>
        <w:t xml:space="preserve"> </w:t>
      </w:r>
      <w:r w:rsidRPr="000E1797">
        <w:rPr>
          <w:b/>
          <w:bCs/>
          <w:lang w:val="fr-FR"/>
        </w:rPr>
        <w:t>:</w:t>
      </w:r>
    </w:p>
    <w:p w14:paraId="77F050AD" w14:textId="77777777" w:rsidR="00496F36" w:rsidRDefault="00496F36" w:rsidP="00496F36">
      <w:pPr>
        <w:ind w:left="-426"/>
        <w:jc w:val="both"/>
        <w:rPr>
          <w:b/>
          <w:bCs/>
          <w:lang w:val="fr-FR"/>
        </w:rPr>
      </w:pPr>
    </w:p>
    <w:p w14:paraId="7D55AB29" w14:textId="55F0DCE3" w:rsidR="003452D7" w:rsidRDefault="003452D7" w:rsidP="00496F36">
      <w:pPr>
        <w:jc w:val="both"/>
        <w:rPr>
          <w:lang w:val="fr-FR"/>
        </w:rPr>
      </w:pPr>
      <w:r>
        <w:rPr>
          <w:lang w:val="fr-FR"/>
        </w:rPr>
        <w:t>Le</w:t>
      </w:r>
      <w:r w:rsidR="008869DF">
        <w:rPr>
          <w:lang w:val="fr-FR"/>
        </w:rPr>
        <w:t xml:space="preserve"> projet ne </w:t>
      </w:r>
      <w:r>
        <w:rPr>
          <w:lang w:val="fr-FR"/>
        </w:rPr>
        <w:t xml:space="preserve">met pas en œuvre des </w:t>
      </w:r>
      <w:r w:rsidR="008869DF">
        <w:rPr>
          <w:lang w:val="fr-FR"/>
        </w:rPr>
        <w:t>activités directement liées à la</w:t>
      </w:r>
      <w:r w:rsidR="00BE23D9" w:rsidRPr="00BE23D9">
        <w:rPr>
          <w:lang w:val="fr-FR"/>
        </w:rPr>
        <w:t xml:space="preserve"> consolidation de la paix</w:t>
      </w:r>
      <w:r w:rsidR="00464A4A">
        <w:rPr>
          <w:lang w:val="fr-FR"/>
        </w:rPr>
        <w:t>.</w:t>
      </w:r>
      <w:r w:rsidR="00BE23D9" w:rsidRPr="00BE23D9">
        <w:rPr>
          <w:lang w:val="fr-FR"/>
        </w:rPr>
        <w:t xml:space="preserve"> </w:t>
      </w:r>
      <w:r>
        <w:rPr>
          <w:lang w:val="fr-FR"/>
        </w:rPr>
        <w:t>Cependant il permet :</w:t>
      </w:r>
    </w:p>
    <w:p w14:paraId="308556F7" w14:textId="77777777" w:rsidR="003452D7" w:rsidRPr="006A6B4A" w:rsidRDefault="003452D7" w:rsidP="00E51A0F">
      <w:pPr>
        <w:pStyle w:val="ListParagraph"/>
        <w:numPr>
          <w:ilvl w:val="0"/>
          <w:numId w:val="1"/>
        </w:numPr>
        <w:ind w:left="284"/>
        <w:jc w:val="both"/>
        <w:rPr>
          <w:lang w:val="fr-FR"/>
        </w:rPr>
      </w:pPr>
      <w:r>
        <w:rPr>
          <w:lang w:val="fr-FR"/>
        </w:rPr>
        <w:t>D’assister la Coordonnatrice résidente dans la détermination des priorités en matière de consolidation de le paix ;</w:t>
      </w:r>
    </w:p>
    <w:p w14:paraId="5059C455" w14:textId="1CB3B558" w:rsidR="003452D7" w:rsidRDefault="003452D7" w:rsidP="00E51A0F">
      <w:pPr>
        <w:pStyle w:val="ListParagraph"/>
        <w:numPr>
          <w:ilvl w:val="0"/>
          <w:numId w:val="1"/>
        </w:numPr>
        <w:ind w:left="284"/>
        <w:jc w:val="both"/>
        <w:rPr>
          <w:lang w:val="fr-FR"/>
        </w:rPr>
      </w:pPr>
      <w:r>
        <w:rPr>
          <w:lang w:val="fr-FR"/>
        </w:rPr>
        <w:t xml:space="preserve">De contribuer à la formulation de projets pertinents, au regard du contexte et des priorités nationales ; </w:t>
      </w:r>
    </w:p>
    <w:p w14:paraId="25AA34CA" w14:textId="2455A302" w:rsidR="003452D7" w:rsidRDefault="003452D7" w:rsidP="00E51A0F">
      <w:pPr>
        <w:pStyle w:val="ListParagraph"/>
        <w:numPr>
          <w:ilvl w:val="0"/>
          <w:numId w:val="1"/>
        </w:numPr>
        <w:ind w:left="284"/>
        <w:jc w:val="both"/>
        <w:rPr>
          <w:lang w:val="fr-FR"/>
        </w:rPr>
      </w:pPr>
      <w:r>
        <w:rPr>
          <w:lang w:val="fr-FR"/>
        </w:rPr>
        <w:t xml:space="preserve">Et d’assurer une coordination efficace des interventions financées par le Fonds ; </w:t>
      </w:r>
    </w:p>
    <w:p w14:paraId="04502CE8" w14:textId="77777777" w:rsidR="003452D7" w:rsidRDefault="003452D7" w:rsidP="00496F36">
      <w:pPr>
        <w:jc w:val="both"/>
        <w:rPr>
          <w:lang w:val="fr-FR"/>
        </w:rPr>
      </w:pPr>
    </w:p>
    <w:p w14:paraId="67801F59" w14:textId="7D1E74A4" w:rsidR="00E75D0B" w:rsidRPr="00496F36" w:rsidRDefault="003452D7" w:rsidP="00496F36">
      <w:pPr>
        <w:jc w:val="both"/>
        <w:rPr>
          <w:b/>
          <w:bCs/>
          <w:lang w:val="fr-FR"/>
        </w:rPr>
      </w:pPr>
      <w:r>
        <w:rPr>
          <w:lang w:val="fr-FR"/>
        </w:rPr>
        <w:t>Le</w:t>
      </w:r>
      <w:r w:rsidR="00350F18">
        <w:rPr>
          <w:lang w:val="fr-FR"/>
        </w:rPr>
        <w:t xml:space="preserve"> projet</w:t>
      </w:r>
      <w:r>
        <w:rPr>
          <w:lang w:val="fr-FR"/>
        </w:rPr>
        <w:t xml:space="preserve"> contribue aussi à </w:t>
      </w:r>
      <w:r w:rsidR="00BE23D9" w:rsidRPr="00BE23D9">
        <w:rPr>
          <w:lang w:val="fr-FR"/>
        </w:rPr>
        <w:t xml:space="preserve">renforcer les capacités </w:t>
      </w:r>
      <w:r>
        <w:rPr>
          <w:lang w:val="fr-FR"/>
        </w:rPr>
        <w:t xml:space="preserve">de priorisation, de planification et de suivi-évaluation </w:t>
      </w:r>
      <w:r w:rsidR="00C4245E">
        <w:rPr>
          <w:lang w:val="fr-FR"/>
        </w:rPr>
        <w:t>des agences récipiendaires</w:t>
      </w:r>
      <w:r w:rsidR="00BE23D9" w:rsidRPr="00BE23D9">
        <w:rPr>
          <w:lang w:val="fr-FR"/>
        </w:rPr>
        <w:t xml:space="preserve"> </w:t>
      </w:r>
      <w:r w:rsidR="00C4245E">
        <w:rPr>
          <w:lang w:val="fr-FR"/>
        </w:rPr>
        <w:t>(</w:t>
      </w:r>
      <w:proofErr w:type="spellStart"/>
      <w:r w:rsidR="00C4245E">
        <w:rPr>
          <w:lang w:val="fr-FR"/>
        </w:rPr>
        <w:t>RUNOs</w:t>
      </w:r>
      <w:proofErr w:type="spellEnd"/>
      <w:r w:rsidR="00C4245E">
        <w:rPr>
          <w:lang w:val="fr-FR"/>
        </w:rPr>
        <w:t xml:space="preserve"> et </w:t>
      </w:r>
      <w:proofErr w:type="spellStart"/>
      <w:r w:rsidR="00C4245E">
        <w:rPr>
          <w:lang w:val="fr-FR"/>
        </w:rPr>
        <w:t>NUNOs</w:t>
      </w:r>
      <w:proofErr w:type="spellEnd"/>
      <w:r w:rsidR="00C4245E">
        <w:rPr>
          <w:lang w:val="fr-FR"/>
        </w:rPr>
        <w:t>)</w:t>
      </w:r>
      <w:r>
        <w:rPr>
          <w:lang w:val="fr-FR"/>
        </w:rPr>
        <w:t xml:space="preserve">, des </w:t>
      </w:r>
      <w:r w:rsidR="00E51A0F">
        <w:rPr>
          <w:lang w:val="fr-FR"/>
        </w:rPr>
        <w:t>départements ministériels</w:t>
      </w:r>
      <w:r>
        <w:rPr>
          <w:lang w:val="fr-FR"/>
        </w:rPr>
        <w:t xml:space="preserve"> et des organisations de la société civile. </w:t>
      </w:r>
      <w:r w:rsidR="00C4245E">
        <w:rPr>
          <w:lang w:val="fr-FR"/>
        </w:rPr>
        <w:t xml:space="preserve">De ce point de vue, l’impact humain réel induit est l’amélioration des compétences </w:t>
      </w:r>
      <w:r w:rsidR="00993BAD">
        <w:rPr>
          <w:lang w:val="fr-FR"/>
        </w:rPr>
        <w:t xml:space="preserve">professionnelles </w:t>
      </w:r>
      <w:r w:rsidR="003D1B3E">
        <w:rPr>
          <w:lang w:val="fr-FR"/>
        </w:rPr>
        <w:t xml:space="preserve">des </w:t>
      </w:r>
      <w:r w:rsidR="00C4245E">
        <w:rPr>
          <w:lang w:val="fr-FR"/>
        </w:rPr>
        <w:t xml:space="preserve">acteurs </w:t>
      </w:r>
      <w:r w:rsidR="00993BAD">
        <w:rPr>
          <w:lang w:val="fr-FR"/>
        </w:rPr>
        <w:t>du financement PBF et</w:t>
      </w:r>
      <w:r w:rsidR="00EC63B5">
        <w:rPr>
          <w:lang w:val="fr-FR"/>
        </w:rPr>
        <w:t xml:space="preserve"> donc le capital humain.</w:t>
      </w:r>
      <w:r w:rsidR="00993BAD">
        <w:rPr>
          <w:lang w:val="fr-FR"/>
        </w:rPr>
        <w:t xml:space="preserve"> </w:t>
      </w:r>
    </w:p>
    <w:p w14:paraId="7D365A73" w14:textId="77777777" w:rsidR="00025765" w:rsidRDefault="00025765" w:rsidP="00025765">
      <w:pPr>
        <w:jc w:val="both"/>
        <w:rPr>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350F18">
      <w:pPr>
        <w:ind w:left="-426"/>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4F48E170" w:rsidR="00287878" w:rsidRPr="005D15A3" w:rsidRDefault="00287878" w:rsidP="003D4CD7">
      <w:pPr>
        <w:ind w:left="-810"/>
        <w:rPr>
          <w:i/>
          <w:lang w:val="fr-FR"/>
        </w:rPr>
      </w:pPr>
    </w:p>
    <w:p w14:paraId="444235BB" w14:textId="77777777" w:rsidR="005D15A3" w:rsidRPr="005D15A3" w:rsidRDefault="008364E5" w:rsidP="00BF29B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BF29BE">
      <w:pPr>
        <w:numPr>
          <w:ilvl w:val="0"/>
          <w:numId w:val="2"/>
        </w:numPr>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0AA55B39" w14:textId="0410DC87" w:rsidR="007A4004" w:rsidRDefault="005D15A3" w:rsidP="00350F18">
      <w:pPr>
        <w:ind w:left="-426"/>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32E479A1" w14:textId="77777777" w:rsidR="00973C14" w:rsidRDefault="00973C14" w:rsidP="00973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b/>
          <w:color w:val="212121"/>
          <w:lang w:val="fr-FR"/>
        </w:rPr>
      </w:pPr>
    </w:p>
    <w:p w14:paraId="2258C360" w14:textId="00337416" w:rsidR="00973C14" w:rsidRPr="009029AA" w:rsidRDefault="00973C14" w:rsidP="00350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
          <w:lang w:val="fr-FR"/>
        </w:rPr>
      </w:pPr>
      <w:r w:rsidRPr="009029AA">
        <w:rPr>
          <w:rFonts w:ascii="inherit" w:hAnsi="inherit"/>
          <w:b/>
          <w:color w:val="212121"/>
          <w:lang w:val="fr-FR"/>
        </w:rPr>
        <w:t>Veuillez évaluer l'état actuel des progrès du résultat :</w:t>
      </w:r>
      <w:r w:rsidRPr="009029AA">
        <w:rPr>
          <w:b/>
          <w:lang w:val="fr-FR"/>
        </w:rPr>
        <w:t xml:space="preserve"> </w:t>
      </w:r>
      <w:r>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 w:name="Dropdown2"/>
      <w:r w:rsidRPr="00DD0742">
        <w:rPr>
          <w:rFonts w:ascii="Arial Narrow" w:hAnsi="Arial Narrow"/>
          <w:b/>
          <w:sz w:val="22"/>
          <w:szCs w:val="22"/>
          <w:lang w:val="fr-FR"/>
        </w:rPr>
        <w:instrText xml:space="preserve"> FORMDROPDOWN </w:instrText>
      </w:r>
      <w:r w:rsidR="007675AC">
        <w:rPr>
          <w:rFonts w:ascii="Arial Narrow" w:hAnsi="Arial Narrow"/>
          <w:b/>
          <w:sz w:val="22"/>
          <w:szCs w:val="22"/>
        </w:rPr>
      </w:r>
      <w:r w:rsidR="007675AC">
        <w:rPr>
          <w:rFonts w:ascii="Arial Narrow" w:hAnsi="Arial Narrow"/>
          <w:b/>
          <w:sz w:val="22"/>
          <w:szCs w:val="22"/>
        </w:rPr>
        <w:fldChar w:fldCharType="separate"/>
      </w:r>
      <w:r>
        <w:rPr>
          <w:rFonts w:ascii="Arial Narrow" w:hAnsi="Arial Narrow"/>
          <w:b/>
          <w:sz w:val="22"/>
          <w:szCs w:val="22"/>
        </w:rPr>
        <w:fldChar w:fldCharType="end"/>
      </w:r>
      <w:bookmarkEnd w:id="1"/>
    </w:p>
    <w:p w14:paraId="15E8E2FD" w14:textId="77777777" w:rsidR="00973C14" w:rsidRDefault="00973C14" w:rsidP="00350F18">
      <w:pPr>
        <w:ind w:left="-426"/>
        <w:rPr>
          <w:i/>
          <w:iCs/>
          <w:lang w:val="fr-FR"/>
        </w:rPr>
      </w:pPr>
    </w:p>
    <w:p w14:paraId="78C28728" w14:textId="601189EC" w:rsidR="00A65579" w:rsidRDefault="005D15A3" w:rsidP="00350F18">
      <w:pPr>
        <w:ind w:left="-426"/>
        <w:jc w:val="both"/>
        <w:rPr>
          <w:b/>
          <w:u w:val="single"/>
          <w:lang w:val="fr-CA"/>
        </w:rPr>
      </w:pPr>
      <w:r w:rsidRPr="00615EA3">
        <w:rPr>
          <w:b/>
          <w:u w:val="single"/>
          <w:lang w:val="fr-FR"/>
        </w:rPr>
        <w:t>Résultat 1:</w:t>
      </w:r>
      <w:r w:rsidRPr="00615EA3">
        <w:rPr>
          <w:b/>
          <w:lang w:val="fr-FR"/>
        </w:rPr>
        <w:t xml:space="preserve">  </w:t>
      </w:r>
      <w:r w:rsidR="007A4004" w:rsidRPr="00523EA1">
        <w:rPr>
          <w:b/>
          <w:u w:val="single"/>
          <w:lang w:val="fr-CA"/>
        </w:rPr>
        <w:t xml:space="preserve">La coordination, le suivi </w:t>
      </w:r>
      <w:r w:rsidR="007A4004">
        <w:rPr>
          <w:b/>
          <w:u w:val="single"/>
          <w:lang w:val="fr-CA"/>
        </w:rPr>
        <w:t>et</w:t>
      </w:r>
      <w:r w:rsidR="007A4004" w:rsidRPr="00523EA1">
        <w:rPr>
          <w:b/>
          <w:u w:val="single"/>
          <w:lang w:val="fr-CA"/>
        </w:rPr>
        <w:t xml:space="preserve"> évaluation, le rapportage et la communication des résultats du portefeuille du PBF sont assurés par le Secrétariat PBF et permettent une meilleure reddition des comptes et connaissance des interventions</w:t>
      </w:r>
    </w:p>
    <w:p w14:paraId="7370C86E" w14:textId="77777777" w:rsidR="00521704" w:rsidRDefault="00521704" w:rsidP="00350F18">
      <w:pPr>
        <w:ind w:left="-426"/>
        <w:jc w:val="both"/>
        <w:rPr>
          <w:b/>
          <w:u w:val="single"/>
          <w:lang w:val="fr-CA"/>
        </w:rPr>
      </w:pPr>
    </w:p>
    <w:p w14:paraId="1BE509EA" w14:textId="306B975A" w:rsidR="00521704" w:rsidRPr="00E51A0F" w:rsidRDefault="00521704" w:rsidP="00E51A0F">
      <w:pPr>
        <w:pStyle w:val="ListParagraph"/>
        <w:numPr>
          <w:ilvl w:val="0"/>
          <w:numId w:val="7"/>
        </w:numPr>
        <w:jc w:val="both"/>
        <w:rPr>
          <w:i/>
          <w:iCs/>
          <w:lang w:val="fr-CA"/>
        </w:rPr>
      </w:pPr>
      <w:r w:rsidRPr="00E51A0F">
        <w:rPr>
          <w:b/>
          <w:i/>
          <w:iCs/>
          <w:lang w:val="fr-CA"/>
        </w:rPr>
        <w:t>Le secrétariat PBF est opérationnel</w:t>
      </w:r>
    </w:p>
    <w:p w14:paraId="6B71F44C" w14:textId="77777777" w:rsidR="00A65579" w:rsidRDefault="00A65579" w:rsidP="00A65579">
      <w:pPr>
        <w:ind w:left="-810"/>
        <w:jc w:val="both"/>
        <w:rPr>
          <w:i/>
          <w:iCs/>
          <w:lang w:val="fr-CA"/>
        </w:rPr>
      </w:pPr>
    </w:p>
    <w:p w14:paraId="0107E923" w14:textId="2DC069A9" w:rsidR="004C413E" w:rsidRDefault="00501BC7" w:rsidP="003D1B3E">
      <w:pPr>
        <w:jc w:val="both"/>
        <w:rPr>
          <w:lang w:val="fr-CA"/>
        </w:rPr>
      </w:pPr>
      <w:r>
        <w:rPr>
          <w:lang w:val="fr-CA"/>
        </w:rPr>
        <w:t>Le secrétariat PBF</w:t>
      </w:r>
      <w:r w:rsidR="00521704">
        <w:rPr>
          <w:lang w:val="fr-CA"/>
        </w:rPr>
        <w:t xml:space="preserve"> est</w:t>
      </w:r>
      <w:r w:rsidR="003D1B3E" w:rsidRPr="00523EA1">
        <w:rPr>
          <w:lang w:val="fr-CA"/>
        </w:rPr>
        <w:t xml:space="preserve"> composé</w:t>
      </w:r>
      <w:r w:rsidR="003D1B3E">
        <w:rPr>
          <w:lang w:val="fr-CA"/>
        </w:rPr>
        <w:t xml:space="preserve"> </w:t>
      </w:r>
      <w:r w:rsidR="003D1B3E" w:rsidRPr="00523EA1">
        <w:rPr>
          <w:lang w:val="fr-CA"/>
        </w:rPr>
        <w:t xml:space="preserve">d’une </w:t>
      </w:r>
      <w:r>
        <w:rPr>
          <w:lang w:val="fr-CA"/>
        </w:rPr>
        <w:t>c</w:t>
      </w:r>
      <w:r w:rsidR="003D1B3E" w:rsidRPr="00523EA1">
        <w:rPr>
          <w:lang w:val="fr-CA"/>
        </w:rPr>
        <w:t>oordinatrice de programme</w:t>
      </w:r>
      <w:r>
        <w:rPr>
          <w:lang w:val="fr-CA"/>
        </w:rPr>
        <w:t xml:space="preserve">, </w:t>
      </w:r>
      <w:r w:rsidR="003D1B3E">
        <w:rPr>
          <w:lang w:val="fr-CA"/>
        </w:rPr>
        <w:t>d’</w:t>
      </w:r>
      <w:r w:rsidR="003D1B3E" w:rsidRPr="00523EA1">
        <w:rPr>
          <w:lang w:val="fr-CA"/>
        </w:rPr>
        <w:t>un expert en suivi et évaluation</w:t>
      </w:r>
      <w:r>
        <w:rPr>
          <w:lang w:val="fr-CA"/>
        </w:rPr>
        <w:t xml:space="preserve"> et d’un chauffeur</w:t>
      </w:r>
      <w:r w:rsidR="003D1B3E" w:rsidRPr="00523EA1">
        <w:rPr>
          <w:lang w:val="fr-CA"/>
        </w:rPr>
        <w:t>.</w:t>
      </w:r>
      <w:r>
        <w:rPr>
          <w:lang w:val="fr-CA"/>
        </w:rPr>
        <w:t xml:space="preserve"> Placé </w:t>
      </w:r>
      <w:r w:rsidR="00E920AB">
        <w:rPr>
          <w:lang w:val="fr-CA"/>
        </w:rPr>
        <w:t>sous la supervision d</w:t>
      </w:r>
      <w:r>
        <w:rPr>
          <w:lang w:val="fr-CA"/>
        </w:rPr>
        <w:t xml:space="preserve">e la </w:t>
      </w:r>
      <w:r w:rsidR="00E920AB">
        <w:rPr>
          <w:lang w:val="fr-CA"/>
        </w:rPr>
        <w:t>Coordonnat</w:t>
      </w:r>
      <w:r>
        <w:rPr>
          <w:lang w:val="fr-CA"/>
        </w:rPr>
        <w:t>rice</w:t>
      </w:r>
      <w:r w:rsidR="00E920AB">
        <w:rPr>
          <w:lang w:val="fr-CA"/>
        </w:rPr>
        <w:t xml:space="preserve"> </w:t>
      </w:r>
      <w:r>
        <w:rPr>
          <w:lang w:val="fr-CA"/>
        </w:rPr>
        <w:t>r</w:t>
      </w:r>
      <w:r w:rsidR="00E920AB">
        <w:rPr>
          <w:lang w:val="fr-CA"/>
        </w:rPr>
        <w:t>ésident</w:t>
      </w:r>
      <w:r>
        <w:rPr>
          <w:lang w:val="fr-CA"/>
        </w:rPr>
        <w:t>e</w:t>
      </w:r>
      <w:r w:rsidR="00993BAD">
        <w:rPr>
          <w:lang w:val="fr-CA"/>
        </w:rPr>
        <w:t xml:space="preserve"> du système des Nations Unies</w:t>
      </w:r>
      <w:r w:rsidR="00E920AB">
        <w:rPr>
          <w:lang w:val="fr-CA"/>
        </w:rPr>
        <w:t xml:space="preserve">, cette structure </w:t>
      </w:r>
      <w:r>
        <w:rPr>
          <w:lang w:val="fr-CA"/>
        </w:rPr>
        <w:t xml:space="preserve">permet d’assurer </w:t>
      </w:r>
      <w:r w:rsidR="003D1B3E" w:rsidRPr="00523EA1">
        <w:rPr>
          <w:lang w:val="fr-CA"/>
        </w:rPr>
        <w:t>la coordination inter-projets</w:t>
      </w:r>
      <w:r>
        <w:rPr>
          <w:lang w:val="fr-CA"/>
        </w:rPr>
        <w:t xml:space="preserve"> et de veiller à leur cohérence vis-à-vis du </w:t>
      </w:r>
      <w:r w:rsidR="003D1B3E" w:rsidRPr="00523EA1">
        <w:rPr>
          <w:lang w:val="fr-CA"/>
        </w:rPr>
        <w:t>RCPCA</w:t>
      </w:r>
      <w:r>
        <w:rPr>
          <w:lang w:val="fr-CA"/>
        </w:rPr>
        <w:t>, de l’UNDAF+ et de l’accord politique pour la paix et la réconciliation (</w:t>
      </w:r>
      <w:r w:rsidR="003D1B3E" w:rsidRPr="00523EA1">
        <w:rPr>
          <w:lang w:val="fr-CA"/>
        </w:rPr>
        <w:t>APP</w:t>
      </w:r>
      <w:r>
        <w:rPr>
          <w:lang w:val="fr-CA"/>
        </w:rPr>
        <w:t>R)</w:t>
      </w:r>
      <w:r w:rsidR="00E920AB">
        <w:rPr>
          <w:lang w:val="fr-CA"/>
        </w:rPr>
        <w:t xml:space="preserve">. </w:t>
      </w:r>
    </w:p>
    <w:p w14:paraId="5BD5E0B7" w14:textId="371ABC59" w:rsidR="00501BC7" w:rsidRDefault="00501BC7" w:rsidP="003D1B3E">
      <w:pPr>
        <w:jc w:val="both"/>
        <w:rPr>
          <w:lang w:val="fr-CA"/>
        </w:rPr>
      </w:pPr>
    </w:p>
    <w:p w14:paraId="2C98DE7F" w14:textId="49A25515" w:rsidR="004C413E" w:rsidRDefault="00501BC7" w:rsidP="004C413E">
      <w:pPr>
        <w:jc w:val="both"/>
        <w:rPr>
          <w:lang w:val="fr-CA"/>
        </w:rPr>
      </w:pPr>
      <w:proofErr w:type="gramStart"/>
      <w:r>
        <w:rPr>
          <w:lang w:val="fr-CA"/>
        </w:rPr>
        <w:t>Suite au</w:t>
      </w:r>
      <w:proofErr w:type="gramEnd"/>
      <w:r>
        <w:rPr>
          <w:lang w:val="fr-CA"/>
        </w:rPr>
        <w:t xml:space="preserve"> départ de l’ancienne Coordinatrice PBF en juin 2020, la nouvelle Coordinatrice a pris ses fonctions le 18 décembre 2020, ce qui a permis au secrétariat de retrouver le meilleur niveau de fonctionnement du bureau. </w:t>
      </w:r>
    </w:p>
    <w:p w14:paraId="663C6694" w14:textId="77777777" w:rsidR="00501BC7" w:rsidRDefault="00501BC7" w:rsidP="004C413E">
      <w:pPr>
        <w:jc w:val="both"/>
        <w:rPr>
          <w:lang w:val="fr-CA"/>
        </w:rPr>
      </w:pPr>
    </w:p>
    <w:p w14:paraId="31BE614F" w14:textId="73A6D48D" w:rsidR="00931A5D" w:rsidRDefault="004C413E" w:rsidP="00931A5D">
      <w:pPr>
        <w:jc w:val="both"/>
        <w:rPr>
          <w:lang w:val="fr-CA"/>
        </w:rPr>
      </w:pPr>
      <w:r w:rsidRPr="00523EA1">
        <w:rPr>
          <w:lang w:val="fr-CA"/>
        </w:rPr>
        <w:t>En tant que mécanisme de gouvernance du PBF dans le pays, le Secrétariat PBF</w:t>
      </w:r>
      <w:r>
        <w:rPr>
          <w:lang w:val="fr-CA"/>
        </w:rPr>
        <w:t xml:space="preserve"> a </w:t>
      </w:r>
      <w:r w:rsidRPr="00523EA1">
        <w:rPr>
          <w:lang w:val="fr-CA"/>
        </w:rPr>
        <w:t>appuy</w:t>
      </w:r>
      <w:r>
        <w:rPr>
          <w:lang w:val="fr-CA"/>
        </w:rPr>
        <w:t>é</w:t>
      </w:r>
      <w:r w:rsidRPr="00523EA1">
        <w:rPr>
          <w:lang w:val="fr-CA"/>
        </w:rPr>
        <w:t xml:space="preserve"> et organis</w:t>
      </w:r>
      <w:r>
        <w:rPr>
          <w:lang w:val="fr-CA"/>
        </w:rPr>
        <w:t>é</w:t>
      </w:r>
      <w:r w:rsidRPr="00523EA1">
        <w:rPr>
          <w:lang w:val="fr-CA"/>
        </w:rPr>
        <w:t xml:space="preserve"> des consultations stratégiques et techniques</w:t>
      </w:r>
      <w:r w:rsidR="00EC63B5">
        <w:rPr>
          <w:lang w:val="fr-CA"/>
        </w:rPr>
        <w:t xml:space="preserve"> pour l’élaboration des nouveaux projets, la revue stratégique annuelle, le suivi/évaluation des projets et la prise en compte de la dimension genre </w:t>
      </w:r>
      <w:r w:rsidR="00931A5D">
        <w:rPr>
          <w:lang w:val="fr-CA"/>
        </w:rPr>
        <w:t>les initiatives de consolidation dans le pays</w:t>
      </w:r>
      <w:r>
        <w:rPr>
          <w:lang w:val="fr-CA"/>
        </w:rPr>
        <w:t xml:space="preserve">. </w:t>
      </w:r>
      <w:r w:rsidR="00931A5D">
        <w:rPr>
          <w:lang w:val="fr-CA"/>
        </w:rPr>
        <w:t xml:space="preserve">Le Secrétariat </w:t>
      </w:r>
      <w:r w:rsidR="00931A5D">
        <w:rPr>
          <w:lang w:val="fr-FR"/>
        </w:rPr>
        <w:t>travaille sur</w:t>
      </w:r>
      <w:r w:rsidR="00931A5D" w:rsidRPr="00523EA1">
        <w:rPr>
          <w:lang w:val="fr-FR"/>
        </w:rPr>
        <w:t xml:space="preserve"> la documentation et la capitalisation des </w:t>
      </w:r>
      <w:r w:rsidR="00931A5D">
        <w:rPr>
          <w:lang w:val="fr-FR"/>
        </w:rPr>
        <w:t>bonnes pratiques et prom</w:t>
      </w:r>
      <w:r w:rsidR="00501BC7">
        <w:rPr>
          <w:lang w:val="fr-FR"/>
        </w:rPr>
        <w:t>e</w:t>
      </w:r>
      <w:r w:rsidR="00931A5D">
        <w:rPr>
          <w:lang w:val="fr-FR"/>
        </w:rPr>
        <w:t>u</w:t>
      </w:r>
      <w:r w:rsidR="00501BC7">
        <w:rPr>
          <w:lang w:val="fr-FR"/>
        </w:rPr>
        <w:t>t</w:t>
      </w:r>
      <w:r w:rsidR="00931A5D">
        <w:rPr>
          <w:lang w:val="fr-FR"/>
        </w:rPr>
        <w:t xml:space="preserve"> </w:t>
      </w:r>
      <w:r w:rsidR="00931A5D">
        <w:rPr>
          <w:lang w:val="fr-CA"/>
        </w:rPr>
        <w:t xml:space="preserve">la </w:t>
      </w:r>
      <w:r w:rsidR="00931A5D" w:rsidRPr="00523EA1">
        <w:rPr>
          <w:lang w:val="fr-CA"/>
        </w:rPr>
        <w:t xml:space="preserve">visibilité </w:t>
      </w:r>
      <w:r w:rsidR="00931A5D">
        <w:rPr>
          <w:lang w:val="fr-CA"/>
        </w:rPr>
        <w:t>de</w:t>
      </w:r>
      <w:r w:rsidR="00501BC7">
        <w:rPr>
          <w:lang w:val="fr-CA"/>
        </w:rPr>
        <w:t xml:space="preserve"> ce</w:t>
      </w:r>
      <w:r w:rsidR="00931A5D">
        <w:rPr>
          <w:lang w:val="fr-CA"/>
        </w:rPr>
        <w:t>s résultats</w:t>
      </w:r>
      <w:r w:rsidR="00501BC7">
        <w:rPr>
          <w:lang w:val="fr-CA"/>
        </w:rPr>
        <w:t>.</w:t>
      </w:r>
      <w:r w:rsidR="00931A5D">
        <w:rPr>
          <w:lang w:val="fr-CA"/>
        </w:rPr>
        <w:t xml:space="preserve"> </w:t>
      </w:r>
    </w:p>
    <w:p w14:paraId="1A73E091" w14:textId="6A7AE753" w:rsidR="008A5E25" w:rsidRDefault="008A5E25" w:rsidP="00931A5D">
      <w:pPr>
        <w:jc w:val="both"/>
        <w:rPr>
          <w:lang w:val="fr-CA"/>
        </w:rPr>
      </w:pPr>
    </w:p>
    <w:p w14:paraId="1AA4F4D2" w14:textId="61726BE6" w:rsidR="006C0E6F" w:rsidRPr="00E51A0F" w:rsidRDefault="006C0E6F" w:rsidP="00E51A0F">
      <w:pPr>
        <w:pStyle w:val="ListParagraph"/>
        <w:numPr>
          <w:ilvl w:val="0"/>
          <w:numId w:val="7"/>
        </w:numPr>
        <w:jc w:val="both"/>
        <w:rPr>
          <w:b/>
          <w:bCs/>
          <w:i/>
          <w:lang w:val="fr-CA"/>
        </w:rPr>
      </w:pPr>
      <w:r w:rsidRPr="00E51A0F">
        <w:rPr>
          <w:b/>
          <w:bCs/>
          <w:i/>
          <w:lang w:val="fr-CA"/>
        </w:rPr>
        <w:t>Le suivi et évaluation du portefeuille du PBF est assuré.</w:t>
      </w:r>
    </w:p>
    <w:p w14:paraId="4550D7B5" w14:textId="77777777" w:rsidR="006C0E6F" w:rsidRDefault="006C0E6F" w:rsidP="006C0E6F">
      <w:pPr>
        <w:jc w:val="both"/>
        <w:rPr>
          <w:iCs/>
          <w:lang w:val="fr-CA"/>
        </w:rPr>
      </w:pPr>
    </w:p>
    <w:p w14:paraId="2C4E801E" w14:textId="677F0909" w:rsidR="004B0D63" w:rsidRDefault="006C0E6F" w:rsidP="006C0E6F">
      <w:pPr>
        <w:jc w:val="both"/>
        <w:rPr>
          <w:lang w:val="fr-FR"/>
        </w:rPr>
      </w:pPr>
      <w:r w:rsidRPr="006B4C5B">
        <w:rPr>
          <w:iCs/>
          <w:lang w:val="fr-CA"/>
        </w:rPr>
        <w:t xml:space="preserve">A la suite de la mise en place d’un cadre de </w:t>
      </w:r>
      <w:r>
        <w:rPr>
          <w:iCs/>
          <w:lang w:val="fr-CA"/>
        </w:rPr>
        <w:t>suivi/évaluation</w:t>
      </w:r>
      <w:r w:rsidRPr="006B4C5B">
        <w:rPr>
          <w:iCs/>
          <w:lang w:val="fr-CA"/>
        </w:rPr>
        <w:t xml:space="preserve"> du portefeuille </w:t>
      </w:r>
      <w:proofErr w:type="gramStart"/>
      <w:r w:rsidRPr="006B4C5B">
        <w:rPr>
          <w:iCs/>
          <w:lang w:val="fr-CA"/>
        </w:rPr>
        <w:t>PBF</w:t>
      </w:r>
      <w:r w:rsidRPr="00993BAD">
        <w:rPr>
          <w:iCs/>
          <w:lang w:val="fr-CA"/>
        </w:rPr>
        <w:t xml:space="preserve"> </w:t>
      </w:r>
      <w:r w:rsidR="007213EA">
        <w:rPr>
          <w:iCs/>
          <w:lang w:val="fr-CA"/>
        </w:rPr>
        <w:t>,</w:t>
      </w:r>
      <w:proofErr w:type="gramEnd"/>
      <w:r w:rsidR="007213EA">
        <w:rPr>
          <w:iCs/>
          <w:lang w:val="fr-CA"/>
        </w:rPr>
        <w:t xml:space="preserve"> </w:t>
      </w:r>
      <w:r>
        <w:rPr>
          <w:lang w:val="fr-CA"/>
        </w:rPr>
        <w:t>des</w:t>
      </w:r>
      <w:r w:rsidRPr="00993BAD">
        <w:rPr>
          <w:lang w:val="fr-CA"/>
        </w:rPr>
        <w:t xml:space="preserve"> missions de supervision </w:t>
      </w:r>
      <w:r w:rsidR="007213EA">
        <w:rPr>
          <w:lang w:val="fr-CA"/>
        </w:rPr>
        <w:t xml:space="preserve">organisées avec le </w:t>
      </w:r>
      <w:r>
        <w:rPr>
          <w:lang w:val="fr-CA"/>
        </w:rPr>
        <w:t xml:space="preserve">Ministère de l’Économie, du Plan et de la Coopération </w:t>
      </w:r>
      <w:r w:rsidR="007213EA">
        <w:rPr>
          <w:lang w:val="fr-CA"/>
        </w:rPr>
        <w:t xml:space="preserve">internationale </w:t>
      </w:r>
      <w:r>
        <w:rPr>
          <w:lang w:val="fr-CA"/>
        </w:rPr>
        <w:t xml:space="preserve">ont été effectuées courant Septembre et Octobre 2021. Ces missions de terrain ont permis </w:t>
      </w:r>
      <w:r w:rsidRPr="00B149DC">
        <w:rPr>
          <w:lang w:val="fr-FR"/>
        </w:rPr>
        <w:t xml:space="preserve">d’apprécier l’état d’avancement de mise en œuvre des projets, </w:t>
      </w:r>
      <w:r w:rsidR="00931A5D">
        <w:rPr>
          <w:lang w:val="fr-FR"/>
        </w:rPr>
        <w:t>l</w:t>
      </w:r>
      <w:r>
        <w:rPr>
          <w:lang w:val="fr-FR"/>
        </w:rPr>
        <w:t>es défis et risques potentiels pouvant altérer la bonne marche des projets.</w:t>
      </w:r>
      <w:r w:rsidRPr="000C7D59">
        <w:rPr>
          <w:lang w:val="fr-FR"/>
        </w:rPr>
        <w:t xml:space="preserve"> </w:t>
      </w:r>
      <w:r>
        <w:rPr>
          <w:lang w:val="fr-FR"/>
        </w:rPr>
        <w:t>Ce</w:t>
      </w:r>
      <w:r w:rsidR="007213EA">
        <w:rPr>
          <w:lang w:val="fr-FR"/>
        </w:rPr>
        <w:t>s missions ont aussi été l’</w:t>
      </w:r>
      <w:r>
        <w:rPr>
          <w:lang w:val="fr-FR"/>
        </w:rPr>
        <w:t xml:space="preserve">opportunité </w:t>
      </w:r>
      <w:r w:rsidR="007213EA">
        <w:rPr>
          <w:lang w:val="fr-FR"/>
        </w:rPr>
        <w:t xml:space="preserve">de collecter </w:t>
      </w:r>
      <w:r>
        <w:rPr>
          <w:lang w:val="fr-FR"/>
        </w:rPr>
        <w:t xml:space="preserve">des </w:t>
      </w:r>
      <w:r w:rsidRPr="000C7D59">
        <w:rPr>
          <w:lang w:val="fr-FR"/>
        </w:rPr>
        <w:t>information</w:t>
      </w:r>
      <w:r>
        <w:rPr>
          <w:lang w:val="fr-FR"/>
        </w:rPr>
        <w:t>s</w:t>
      </w:r>
      <w:r w:rsidRPr="000C7D59">
        <w:rPr>
          <w:lang w:val="fr-FR"/>
        </w:rPr>
        <w:t xml:space="preserve"> sur le</w:t>
      </w:r>
      <w:r>
        <w:rPr>
          <w:lang w:val="fr-FR"/>
        </w:rPr>
        <w:t>s</w:t>
      </w:r>
      <w:r w:rsidRPr="000C7D59">
        <w:rPr>
          <w:lang w:val="fr-FR"/>
        </w:rPr>
        <w:t xml:space="preserve"> parties prenantes</w:t>
      </w:r>
      <w:r>
        <w:rPr>
          <w:lang w:val="fr-FR"/>
        </w:rPr>
        <w:t xml:space="preserve"> </w:t>
      </w:r>
      <w:r w:rsidR="007213EA">
        <w:rPr>
          <w:lang w:val="fr-FR"/>
        </w:rPr>
        <w:t>pour nourrir la réflexion sur le rapport stratégique 2021</w:t>
      </w:r>
      <w:r w:rsidR="004B0D63">
        <w:rPr>
          <w:lang w:val="fr-FR"/>
        </w:rPr>
        <w:t xml:space="preserve">. </w:t>
      </w:r>
    </w:p>
    <w:p w14:paraId="4970162B" w14:textId="11B07294" w:rsidR="006C0E6F" w:rsidRPr="00AF0F2D" w:rsidRDefault="004B0D63" w:rsidP="006C0E6F">
      <w:pPr>
        <w:jc w:val="both"/>
        <w:rPr>
          <w:lang w:val="fr-CA"/>
        </w:rPr>
      </w:pPr>
      <w:r>
        <w:rPr>
          <w:lang w:val="fr-FR"/>
        </w:rPr>
        <w:t xml:space="preserve">Les constats des missions ont permis de faire des </w:t>
      </w:r>
      <w:r w:rsidR="006C0E6F">
        <w:rPr>
          <w:lang w:val="fr-FR"/>
        </w:rPr>
        <w:t xml:space="preserve">recommandations </w:t>
      </w:r>
      <w:r>
        <w:rPr>
          <w:lang w:val="fr-FR"/>
        </w:rPr>
        <w:t xml:space="preserve">aux agences et organisations de mise en œuvre, pour </w:t>
      </w:r>
      <w:r w:rsidR="006C0E6F">
        <w:rPr>
          <w:lang w:val="fr-FR"/>
        </w:rPr>
        <w:t>améliorer la performance d</w:t>
      </w:r>
      <w:r>
        <w:rPr>
          <w:lang w:val="fr-FR"/>
        </w:rPr>
        <w:t>e leurs projets</w:t>
      </w:r>
      <w:r w:rsidR="006C0E6F">
        <w:rPr>
          <w:lang w:val="fr-FR"/>
        </w:rPr>
        <w:t>.</w:t>
      </w:r>
      <w:r w:rsidR="006C0E6F" w:rsidRPr="00C03812">
        <w:rPr>
          <w:lang w:val="fr-FR"/>
        </w:rPr>
        <w:t xml:space="preserve"> </w:t>
      </w:r>
      <w:r w:rsidR="006C0E6F">
        <w:rPr>
          <w:lang w:val="fr-FR"/>
        </w:rPr>
        <w:t xml:space="preserve">Ces missions ont également permis de disposer d’une note analytique sur les opportunités pour la mise en place des mécanismes de </w:t>
      </w:r>
      <w:r w:rsidR="006C0E6F" w:rsidRPr="00CA5AAD">
        <w:rPr>
          <w:lang w:val="fr-FR"/>
        </w:rPr>
        <w:t>suivi communautaire</w:t>
      </w:r>
      <w:r>
        <w:rPr>
          <w:lang w:val="fr-FR"/>
        </w:rPr>
        <w:t xml:space="preserve">, type de suivi qui permettraient aux </w:t>
      </w:r>
      <w:r w:rsidR="006C0E6F" w:rsidRPr="00CA5AAD">
        <w:rPr>
          <w:lang w:val="fr-FR"/>
        </w:rPr>
        <w:t>communautés d</w:t>
      </w:r>
      <w:r>
        <w:rPr>
          <w:lang w:val="fr-FR"/>
        </w:rPr>
        <w:t xml:space="preserve">’avoir une participation plus importante dans le suivi et l’évaluation des projets. </w:t>
      </w:r>
    </w:p>
    <w:p w14:paraId="6C0F3A2C" w14:textId="77777777" w:rsidR="006C0E6F" w:rsidRDefault="006C0E6F" w:rsidP="006C0E6F">
      <w:pPr>
        <w:jc w:val="both"/>
        <w:rPr>
          <w:lang w:val="fr-FR"/>
        </w:rPr>
      </w:pPr>
    </w:p>
    <w:p w14:paraId="5755B148" w14:textId="3B2977F4" w:rsidR="006C0E6F" w:rsidRDefault="006C0E6F" w:rsidP="006C0E6F">
      <w:pPr>
        <w:jc w:val="both"/>
        <w:rPr>
          <w:lang w:val="fr-CA"/>
        </w:rPr>
      </w:pPr>
      <w:r>
        <w:rPr>
          <w:lang w:val="fr-CA"/>
        </w:rPr>
        <w:t xml:space="preserve">Dans la même perspective, </w:t>
      </w:r>
      <w:r w:rsidRPr="00C03812">
        <w:rPr>
          <w:lang w:val="fr-CA"/>
        </w:rPr>
        <w:t xml:space="preserve">un appui technique aux agences récipiendaires </w:t>
      </w:r>
      <w:r>
        <w:rPr>
          <w:lang w:val="fr-CA"/>
        </w:rPr>
        <w:t xml:space="preserve">a été </w:t>
      </w:r>
      <w:r w:rsidR="004B0D63">
        <w:rPr>
          <w:lang w:val="fr-CA"/>
        </w:rPr>
        <w:t xml:space="preserve">fourni </w:t>
      </w:r>
      <w:r w:rsidRPr="00C03812">
        <w:rPr>
          <w:lang w:val="fr-CA"/>
        </w:rPr>
        <w:t xml:space="preserve">pour l’assurance qualité des rapports semestriels, annuels et </w:t>
      </w:r>
      <w:r w:rsidR="004B0D63">
        <w:rPr>
          <w:lang w:val="fr-CA"/>
        </w:rPr>
        <w:t xml:space="preserve">ainsi que la </w:t>
      </w:r>
      <w:r w:rsidRPr="00C03812">
        <w:rPr>
          <w:lang w:val="fr-CA"/>
        </w:rPr>
        <w:t>clôture des projets (narratifs et financiers)</w:t>
      </w:r>
      <w:r>
        <w:rPr>
          <w:lang w:val="fr-CA"/>
        </w:rPr>
        <w:t xml:space="preserve">. A cela s’ajoute l’appui à </w:t>
      </w:r>
      <w:r w:rsidRPr="00523EA1">
        <w:rPr>
          <w:lang w:val="fr-CA"/>
        </w:rPr>
        <w:t xml:space="preserve">la conduite d’études d’évaluation indépendantes des projets PBF en tant que membre du groupe de référence de l’évaluation, ainsi que l’étude « </w:t>
      </w:r>
      <w:r w:rsidRPr="00523EA1">
        <w:rPr>
          <w:lang w:val="fr-CA"/>
        </w:rPr>
        <w:lastRenderedPageBreak/>
        <w:t>d’</w:t>
      </w:r>
      <w:proofErr w:type="spellStart"/>
      <w:r>
        <w:rPr>
          <w:lang w:val="fr-CA"/>
        </w:rPr>
        <w:t>é</w:t>
      </w:r>
      <w:r w:rsidRPr="00523EA1">
        <w:rPr>
          <w:lang w:val="fr-CA"/>
        </w:rPr>
        <w:t>val</w:t>
      </w:r>
      <w:r>
        <w:rPr>
          <w:lang w:val="fr-CA"/>
        </w:rPr>
        <w:t>u</w:t>
      </w:r>
      <w:r w:rsidRPr="00523EA1">
        <w:rPr>
          <w:lang w:val="fr-CA"/>
        </w:rPr>
        <w:t>abilité</w:t>
      </w:r>
      <w:proofErr w:type="spellEnd"/>
      <w:r w:rsidRPr="00523EA1">
        <w:rPr>
          <w:lang w:val="fr-CA"/>
        </w:rPr>
        <w:t xml:space="preserve"> »</w:t>
      </w:r>
      <w:r w:rsidR="00931A5D">
        <w:rPr>
          <w:lang w:val="fr-CA"/>
        </w:rPr>
        <w:t xml:space="preserve"> </w:t>
      </w:r>
      <w:r w:rsidRPr="00523EA1">
        <w:rPr>
          <w:lang w:val="fr-CA"/>
        </w:rPr>
        <w:t>et l’évaluation finale</w:t>
      </w:r>
      <w:r>
        <w:rPr>
          <w:lang w:val="fr-CA"/>
        </w:rPr>
        <w:t>. Cet appui a permis de disposer des rapports bien fournis et de qualité.</w:t>
      </w:r>
    </w:p>
    <w:p w14:paraId="0D7EF68B" w14:textId="77777777" w:rsidR="006C0E6F" w:rsidRDefault="006C0E6F" w:rsidP="006C0E6F">
      <w:pPr>
        <w:jc w:val="both"/>
        <w:rPr>
          <w:lang w:val="fr-CA"/>
        </w:rPr>
      </w:pPr>
    </w:p>
    <w:p w14:paraId="2ADD8A92" w14:textId="77777777" w:rsidR="004B0D63" w:rsidRDefault="006C0E6F" w:rsidP="006C0E6F">
      <w:pPr>
        <w:jc w:val="both"/>
        <w:rPr>
          <w:lang w:val="fr-CA"/>
        </w:rPr>
      </w:pPr>
      <w:r>
        <w:rPr>
          <w:lang w:val="fr-CA"/>
        </w:rPr>
        <w:t>Afin de disséminer les leçons apprises du portefeuille</w:t>
      </w:r>
      <w:r w:rsidR="004B0D63">
        <w:rPr>
          <w:lang w:val="fr-CA"/>
        </w:rPr>
        <w:t xml:space="preserve"> – et</w:t>
      </w:r>
      <w:r>
        <w:rPr>
          <w:lang w:val="fr-CA"/>
        </w:rPr>
        <w:t xml:space="preserve"> en vue de guider les futures programmations et corrige</w:t>
      </w:r>
      <w:r w:rsidR="00931A5D">
        <w:rPr>
          <w:lang w:val="fr-CA"/>
        </w:rPr>
        <w:t>r</w:t>
      </w:r>
      <w:r>
        <w:rPr>
          <w:lang w:val="fr-CA"/>
        </w:rPr>
        <w:t xml:space="preserve"> les </w:t>
      </w:r>
      <w:r w:rsidR="00931A5D">
        <w:rPr>
          <w:lang w:val="fr-CA"/>
        </w:rPr>
        <w:t>faiblesses</w:t>
      </w:r>
      <w:r>
        <w:rPr>
          <w:lang w:val="fr-CA"/>
        </w:rPr>
        <w:t xml:space="preserve">, un rapport sur la </w:t>
      </w:r>
      <w:r w:rsidRPr="00AF0F2D">
        <w:rPr>
          <w:lang w:val="fr-CA"/>
        </w:rPr>
        <w:t xml:space="preserve">capitalisation de bonnes pratiques </w:t>
      </w:r>
      <w:r w:rsidR="00931A5D">
        <w:rPr>
          <w:lang w:val="fr-CA"/>
        </w:rPr>
        <w:t>sur le portefeuille</w:t>
      </w:r>
      <w:r w:rsidRPr="00AF0F2D">
        <w:rPr>
          <w:lang w:val="fr-CA"/>
        </w:rPr>
        <w:t xml:space="preserve"> </w:t>
      </w:r>
      <w:r>
        <w:rPr>
          <w:lang w:val="fr-CA"/>
        </w:rPr>
        <w:t xml:space="preserve">est en cours d’élaboration. Sa mise à jour se fait régulièrement en tirant les leçons sur chaque projet. </w:t>
      </w:r>
    </w:p>
    <w:p w14:paraId="46FCE64C" w14:textId="77777777" w:rsidR="004B0D63" w:rsidRDefault="004B0D63" w:rsidP="006C0E6F">
      <w:pPr>
        <w:jc w:val="both"/>
        <w:rPr>
          <w:lang w:val="fr-CA"/>
        </w:rPr>
      </w:pPr>
    </w:p>
    <w:p w14:paraId="305DBA5C" w14:textId="1553E2B9" w:rsidR="00B1210A" w:rsidRDefault="00B1210A" w:rsidP="006C0E6F">
      <w:pPr>
        <w:jc w:val="both"/>
        <w:rPr>
          <w:lang w:val="fr-FR"/>
        </w:rPr>
      </w:pPr>
      <w:r>
        <w:rPr>
          <w:lang w:val="fr-FR"/>
        </w:rPr>
        <w:t xml:space="preserve">La mise en œuvre du cadre de suivi/évaluation du portefeuille, qui </w:t>
      </w:r>
      <w:r w:rsidRPr="00B55A04">
        <w:rPr>
          <w:lang w:val="fr-FR"/>
        </w:rPr>
        <w:t xml:space="preserve">est une composante essentielle de la bonne </w:t>
      </w:r>
      <w:r>
        <w:rPr>
          <w:lang w:val="fr-FR"/>
        </w:rPr>
        <w:t xml:space="preserve">de gestion du portefeuille a conduit à une </w:t>
      </w:r>
      <w:r w:rsidRPr="00B55A04">
        <w:rPr>
          <w:lang w:val="fr-FR"/>
        </w:rPr>
        <w:t xml:space="preserve">compréhension commune </w:t>
      </w:r>
      <w:r>
        <w:rPr>
          <w:lang w:val="fr-FR"/>
        </w:rPr>
        <w:t xml:space="preserve">des résultats entre les parties prenantes, une meilleure </w:t>
      </w:r>
      <w:r w:rsidRPr="00B55A04">
        <w:rPr>
          <w:lang w:val="fr-FR"/>
        </w:rPr>
        <w:t>redevabilité</w:t>
      </w:r>
      <w:r>
        <w:rPr>
          <w:lang w:val="fr-FR"/>
        </w:rPr>
        <w:t xml:space="preserve"> et apprentissage-gestion de connaissance.</w:t>
      </w:r>
    </w:p>
    <w:p w14:paraId="1D824C95" w14:textId="577AD88F" w:rsidR="006C0E6F" w:rsidRDefault="00B1210A" w:rsidP="006C0E6F">
      <w:pPr>
        <w:jc w:val="both"/>
        <w:rPr>
          <w:lang w:val="fr-FR"/>
        </w:rPr>
      </w:pPr>
      <w:r>
        <w:rPr>
          <w:lang w:val="fr-FR"/>
        </w:rPr>
        <w:t xml:space="preserve"> </w:t>
      </w:r>
    </w:p>
    <w:p w14:paraId="7E3F9DD4" w14:textId="571D8579" w:rsidR="00AF0F2D" w:rsidRPr="00E51A0F" w:rsidRDefault="00AF0F2D" w:rsidP="00E51A0F">
      <w:pPr>
        <w:pStyle w:val="ListParagraph"/>
        <w:numPr>
          <w:ilvl w:val="0"/>
          <w:numId w:val="7"/>
        </w:numPr>
        <w:jc w:val="both"/>
        <w:rPr>
          <w:b/>
          <w:bCs/>
          <w:i/>
          <w:lang w:val="fr-CA"/>
        </w:rPr>
      </w:pPr>
      <w:r w:rsidRPr="00E51A0F">
        <w:rPr>
          <w:b/>
          <w:bCs/>
          <w:i/>
          <w:lang w:val="fr-CA"/>
        </w:rPr>
        <w:t xml:space="preserve">Des mécanismes de coordination entre les projets et les partenaires clés sont mis en place pour assurer la réalisation des résultats stratégiques du portefeuille PBF </w:t>
      </w:r>
    </w:p>
    <w:p w14:paraId="742D05AC" w14:textId="77777777" w:rsidR="00AF0F2D" w:rsidRDefault="00AF0F2D" w:rsidP="00993BAD">
      <w:pPr>
        <w:jc w:val="both"/>
        <w:rPr>
          <w:lang w:val="fr-CA"/>
        </w:rPr>
      </w:pPr>
    </w:p>
    <w:p w14:paraId="26EB1FC7" w14:textId="091A0160" w:rsidR="00335FE1" w:rsidRDefault="00236738" w:rsidP="00993BAD">
      <w:pPr>
        <w:jc w:val="both"/>
        <w:rPr>
          <w:lang w:val="fr-CA"/>
        </w:rPr>
      </w:pPr>
      <w:r>
        <w:rPr>
          <w:iCs/>
          <w:lang w:val="fr-CA"/>
        </w:rPr>
        <w:t xml:space="preserve">Les </w:t>
      </w:r>
      <w:r w:rsidRPr="00236738">
        <w:rPr>
          <w:iCs/>
          <w:lang w:val="fr-CA"/>
        </w:rPr>
        <w:t>mécanismes de coordination entre les projets et les partenaires clés mis en place</w:t>
      </w:r>
      <w:r>
        <w:rPr>
          <w:iCs/>
          <w:lang w:val="fr-CA"/>
        </w:rPr>
        <w:t xml:space="preserve"> ont efficacement contribué à</w:t>
      </w:r>
      <w:r w:rsidRPr="00236738">
        <w:rPr>
          <w:iCs/>
          <w:lang w:val="fr-CA"/>
        </w:rPr>
        <w:t xml:space="preserve"> la réalisation des résultats stratégiques du portefeuille PBF</w:t>
      </w:r>
      <w:r>
        <w:rPr>
          <w:iCs/>
          <w:lang w:val="fr-CA"/>
        </w:rPr>
        <w:t>.</w:t>
      </w:r>
      <w:r w:rsidR="00A36AD6">
        <w:rPr>
          <w:b/>
          <w:bCs/>
          <w:i/>
          <w:lang w:val="fr-CA"/>
        </w:rPr>
        <w:t xml:space="preserve"> </w:t>
      </w:r>
      <w:r w:rsidR="00A36AD6" w:rsidRPr="00A36AD6">
        <w:rPr>
          <w:iCs/>
          <w:lang w:val="fr-CA"/>
        </w:rPr>
        <w:t>Ceux-ci</w:t>
      </w:r>
      <w:r w:rsidR="004C413E" w:rsidRPr="00A36AD6">
        <w:rPr>
          <w:iCs/>
          <w:lang w:val="fr-CA"/>
        </w:rPr>
        <w:t xml:space="preserve"> </w:t>
      </w:r>
      <w:r w:rsidR="00A36AD6">
        <w:rPr>
          <w:iCs/>
          <w:lang w:val="fr-CA"/>
        </w:rPr>
        <w:t>ont</w:t>
      </w:r>
      <w:r w:rsidR="004C413E" w:rsidRPr="00A36AD6">
        <w:rPr>
          <w:iCs/>
          <w:lang w:val="fr-CA"/>
        </w:rPr>
        <w:t xml:space="preserve"> également</w:t>
      </w:r>
      <w:r w:rsidR="004C413E">
        <w:rPr>
          <w:lang w:val="fr-CA"/>
        </w:rPr>
        <w:t xml:space="preserve"> permis de donner des</w:t>
      </w:r>
      <w:r w:rsidR="004C413E" w:rsidRPr="00523EA1">
        <w:rPr>
          <w:lang w:val="fr-CA"/>
        </w:rPr>
        <w:t xml:space="preserve"> orientations techniques pour le travail des Agences onusienne</w:t>
      </w:r>
      <w:r w:rsidR="004C413E">
        <w:rPr>
          <w:lang w:val="fr-CA"/>
        </w:rPr>
        <w:t>s</w:t>
      </w:r>
      <w:r w:rsidR="004C413E" w:rsidRPr="00523EA1">
        <w:rPr>
          <w:lang w:val="fr-CA"/>
        </w:rPr>
        <w:t xml:space="preserve"> récipiendaires du PBF (</w:t>
      </w:r>
      <w:proofErr w:type="spellStart"/>
      <w:r w:rsidR="004C413E" w:rsidRPr="00523EA1">
        <w:rPr>
          <w:lang w:val="fr-CA"/>
        </w:rPr>
        <w:t>RUNOs</w:t>
      </w:r>
      <w:proofErr w:type="spellEnd"/>
      <w:r w:rsidR="004C413E" w:rsidRPr="00523EA1">
        <w:rPr>
          <w:lang w:val="fr-CA"/>
        </w:rPr>
        <w:t>) et des entités non-UN (</w:t>
      </w:r>
      <w:proofErr w:type="spellStart"/>
      <w:r w:rsidR="004C413E" w:rsidRPr="00523EA1">
        <w:rPr>
          <w:lang w:val="fr-CA"/>
        </w:rPr>
        <w:t>NUNOs</w:t>
      </w:r>
      <w:proofErr w:type="spellEnd"/>
      <w:r w:rsidR="004C413E" w:rsidRPr="00523EA1">
        <w:rPr>
          <w:lang w:val="fr-CA"/>
        </w:rPr>
        <w:t>) dans le cycle programmatique (</w:t>
      </w:r>
      <w:r w:rsidR="00FD1D97">
        <w:rPr>
          <w:lang w:val="fr-CA"/>
        </w:rPr>
        <w:t>c</w:t>
      </w:r>
      <w:r w:rsidR="004C413E" w:rsidRPr="00523EA1">
        <w:rPr>
          <w:lang w:val="fr-CA"/>
        </w:rPr>
        <w:t xml:space="preserve">onception, </w:t>
      </w:r>
      <w:r w:rsidR="004C413E">
        <w:rPr>
          <w:lang w:val="fr-CA"/>
        </w:rPr>
        <w:t xml:space="preserve">implémentation et </w:t>
      </w:r>
      <w:r w:rsidR="004C413E" w:rsidRPr="00523EA1">
        <w:rPr>
          <w:lang w:val="fr-CA"/>
        </w:rPr>
        <w:t>Suivi/Évaluation) et d’assurer la collaboration entre les agences récipiendaires et les synergies du portefeuille</w:t>
      </w:r>
      <w:r w:rsidR="00497184">
        <w:rPr>
          <w:lang w:val="fr-CA"/>
        </w:rPr>
        <w:t xml:space="preserve">. </w:t>
      </w:r>
    </w:p>
    <w:p w14:paraId="1009B188" w14:textId="77777777" w:rsidR="00335FE1" w:rsidRDefault="00335FE1" w:rsidP="00993BAD">
      <w:pPr>
        <w:jc w:val="both"/>
        <w:rPr>
          <w:lang w:val="fr-CA"/>
        </w:rPr>
      </w:pPr>
    </w:p>
    <w:p w14:paraId="0C8DE30D" w14:textId="52C00AFB" w:rsidR="00FD1D97" w:rsidRDefault="006547C9" w:rsidP="00993BAD">
      <w:pPr>
        <w:jc w:val="both"/>
        <w:rPr>
          <w:lang w:val="fr-CA"/>
        </w:rPr>
      </w:pPr>
      <w:r>
        <w:rPr>
          <w:lang w:val="fr-CA"/>
        </w:rPr>
        <w:t xml:space="preserve">Des réunions périodiques ont été organisées à cet effet, favorisant aussi l’échange d’informations et de bonnes pratiques entre les </w:t>
      </w:r>
      <w:proofErr w:type="spellStart"/>
      <w:r>
        <w:rPr>
          <w:lang w:val="fr-CA"/>
        </w:rPr>
        <w:t>RUNOs</w:t>
      </w:r>
      <w:proofErr w:type="spellEnd"/>
      <w:r>
        <w:rPr>
          <w:lang w:val="fr-CA"/>
        </w:rPr>
        <w:t xml:space="preserve"> et </w:t>
      </w:r>
      <w:proofErr w:type="spellStart"/>
      <w:r>
        <w:rPr>
          <w:lang w:val="fr-CA"/>
        </w:rPr>
        <w:t>NUNOs</w:t>
      </w:r>
      <w:proofErr w:type="spellEnd"/>
      <w:r w:rsidR="00335FE1">
        <w:rPr>
          <w:lang w:val="fr-CA"/>
        </w:rPr>
        <w:t xml:space="preserve">, et des réunions </w:t>
      </w:r>
      <w:r w:rsidR="00335FE1" w:rsidRPr="00AF0E30">
        <w:rPr>
          <w:lang w:val="fr-CA"/>
        </w:rPr>
        <w:t xml:space="preserve">techniques </w:t>
      </w:r>
      <w:r w:rsidR="00335FE1">
        <w:rPr>
          <w:lang w:val="fr-CA"/>
        </w:rPr>
        <w:t>internes à chaque projet</w:t>
      </w:r>
      <w:r w:rsidR="00335FE1" w:rsidRPr="00AF0E30">
        <w:rPr>
          <w:lang w:val="fr-CA"/>
        </w:rPr>
        <w:t xml:space="preserve"> </w:t>
      </w:r>
      <w:r w:rsidR="00335FE1">
        <w:rPr>
          <w:lang w:val="fr-CA"/>
        </w:rPr>
        <w:t xml:space="preserve">pour discuter de l’état d’avancement, examiner les défis et déterminer de façon concertée les meilleures réponses possibles. </w:t>
      </w:r>
    </w:p>
    <w:p w14:paraId="176D43A8" w14:textId="77777777" w:rsidR="00FD1D97" w:rsidRDefault="00FD1D97" w:rsidP="00993BAD">
      <w:pPr>
        <w:jc w:val="both"/>
        <w:rPr>
          <w:lang w:val="fr-CA"/>
        </w:rPr>
      </w:pPr>
    </w:p>
    <w:p w14:paraId="3FD6E360" w14:textId="74B011A6" w:rsidR="00920015" w:rsidRPr="00F671FD" w:rsidRDefault="006547C9">
      <w:pPr>
        <w:jc w:val="both"/>
        <w:rPr>
          <w:lang w:val="fr-FR"/>
        </w:rPr>
      </w:pPr>
      <w:r>
        <w:rPr>
          <w:lang w:val="fr-CA"/>
        </w:rPr>
        <w:t>L’organisations de rencontres régulières entre sections thématiques de la MINUSCA et les agences favorisent la réflexions technique et stratégiques, su</w:t>
      </w:r>
      <w:bookmarkStart w:id="2" w:name="_GoBack"/>
      <w:bookmarkEnd w:id="2"/>
      <w:r>
        <w:rPr>
          <w:lang w:val="fr-CA"/>
        </w:rPr>
        <w:t xml:space="preserve">r les domaines d’intervention du Fonds, tout en contribuant à renforcer l’intégration des réponses des Nations-Unies. A titre d’exemple, le </w:t>
      </w:r>
      <w:r w:rsidR="00993BAD">
        <w:rPr>
          <w:lang w:val="fr-CA"/>
        </w:rPr>
        <w:t>cas du projet</w:t>
      </w:r>
      <w:r>
        <w:rPr>
          <w:lang w:val="fr-CA"/>
        </w:rPr>
        <w:t xml:space="preserve"> </w:t>
      </w:r>
      <w:r w:rsidRPr="00E51A0F">
        <w:rPr>
          <w:i/>
          <w:iCs/>
          <w:lang w:val="fr-CA"/>
        </w:rPr>
        <w:t>Appui aux victimes pour accéder à la justice et à la vérité</w:t>
      </w:r>
      <w:r>
        <w:rPr>
          <w:lang w:val="fr-CA"/>
        </w:rPr>
        <w:t xml:space="preserve"> </w:t>
      </w:r>
      <w:r w:rsidRPr="006547C9">
        <w:rPr>
          <w:lang w:val="fr-CA"/>
        </w:rPr>
        <w:t>(</w:t>
      </w:r>
      <w:r w:rsidRPr="00E51A0F">
        <w:rPr>
          <w:lang w:val="fr-FR"/>
        </w:rPr>
        <w:t>00116887</w:t>
      </w:r>
      <w:r w:rsidR="00920015" w:rsidRPr="006547C9">
        <w:rPr>
          <w:lang w:val="fr-FR"/>
        </w:rPr>
        <w:t>)</w:t>
      </w:r>
      <w:r w:rsidR="00993BAD">
        <w:rPr>
          <w:lang w:val="fr-CA"/>
        </w:rPr>
        <w:t xml:space="preserve"> qui </w:t>
      </w:r>
      <w:r>
        <w:rPr>
          <w:lang w:val="fr-CA"/>
        </w:rPr>
        <w:t xml:space="preserve">emmène désormais la MINUSCA et les agences de mise en œuvre (PNUD et ONU Femmes) </w:t>
      </w:r>
      <w:r w:rsidR="00335FE1">
        <w:rPr>
          <w:lang w:val="fr-CA"/>
        </w:rPr>
        <w:t xml:space="preserve">à réfléchir ensemble </w:t>
      </w:r>
      <w:r w:rsidR="00E51A0F">
        <w:rPr>
          <w:lang w:val="fr-CA"/>
        </w:rPr>
        <w:t>en termes de</w:t>
      </w:r>
      <w:r w:rsidR="00335FE1">
        <w:rPr>
          <w:lang w:val="fr-CA"/>
        </w:rPr>
        <w:t xml:space="preserve"> stratégie et modalité d’intervention, de mobilisation de ressources pour soutenir le Commission Vérité, Justice, Réparation et Réconciliation de manière efficace. </w:t>
      </w:r>
    </w:p>
    <w:p w14:paraId="044EFD22" w14:textId="77777777" w:rsidR="00B1210A" w:rsidRDefault="00B1210A" w:rsidP="00B1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rPr>
      </w:pPr>
    </w:p>
    <w:p w14:paraId="13711C0B" w14:textId="5C77BA86" w:rsidR="00920015" w:rsidRDefault="00335FE1" w:rsidP="0092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Pr>
          <w:rFonts w:cstheme="minorHAnsi"/>
          <w:color w:val="000000" w:themeColor="text1"/>
          <w:lang w:val="fr-FR"/>
        </w:rPr>
        <w:t>La</w:t>
      </w:r>
      <w:r w:rsidR="00B1210A">
        <w:rPr>
          <w:rFonts w:cstheme="minorHAnsi"/>
          <w:color w:val="000000" w:themeColor="text1"/>
          <w:lang w:val="fr-FR"/>
        </w:rPr>
        <w:t xml:space="preserve"> participation du Secrétariat PBF aux </w:t>
      </w:r>
      <w:r w:rsidR="00B1210A" w:rsidRPr="0021563C">
        <w:rPr>
          <w:rFonts w:cstheme="minorHAnsi"/>
          <w:color w:val="000000" w:themeColor="text1"/>
          <w:lang w:val="fr-FR"/>
        </w:rPr>
        <w:t>différents organes de coordination strat</w:t>
      </w:r>
      <w:r w:rsidR="00B1210A">
        <w:rPr>
          <w:rFonts w:cstheme="minorHAnsi"/>
          <w:color w:val="000000" w:themeColor="text1"/>
          <w:lang w:val="fr-FR"/>
        </w:rPr>
        <w:t>égique</w:t>
      </w:r>
      <w:r w:rsidR="00B1210A" w:rsidRPr="0021563C">
        <w:rPr>
          <w:rFonts w:cstheme="minorHAnsi"/>
          <w:color w:val="000000" w:themeColor="text1"/>
          <w:lang w:val="fr-FR"/>
        </w:rPr>
        <w:t xml:space="preserve"> et technique</w:t>
      </w:r>
      <w:r w:rsidR="00B1210A" w:rsidRPr="0021563C" w:rsidDel="0021563C">
        <w:rPr>
          <w:rFonts w:cstheme="minorHAnsi"/>
          <w:color w:val="000000" w:themeColor="text1"/>
          <w:lang w:val="fr-FR"/>
        </w:rPr>
        <w:t>,</w:t>
      </w:r>
      <w:r w:rsidR="00B1210A">
        <w:rPr>
          <w:rFonts w:cstheme="minorHAnsi"/>
          <w:color w:val="000000" w:themeColor="text1"/>
          <w:lang w:val="fr-FR"/>
        </w:rPr>
        <w:t xml:space="preserve"> telles que l’UNCT et le PMT, ainsi que </w:t>
      </w:r>
      <w:r w:rsidR="00B1210A" w:rsidRPr="00523EA1">
        <w:rPr>
          <w:lang w:val="fr-CA"/>
        </w:rPr>
        <w:t>l</w:t>
      </w:r>
      <w:r>
        <w:rPr>
          <w:lang w:val="fr-CA"/>
        </w:rPr>
        <w:t xml:space="preserve">a collaboration étroite établie avec </w:t>
      </w:r>
      <w:r w:rsidR="00B1210A">
        <w:rPr>
          <w:lang w:val="fr-CA"/>
        </w:rPr>
        <w:t xml:space="preserve">la </w:t>
      </w:r>
      <w:r w:rsidR="00B1210A" w:rsidRPr="00523EA1">
        <w:rPr>
          <w:lang w:val="fr-CA"/>
        </w:rPr>
        <w:t xml:space="preserve">MINUSCA, le </w:t>
      </w:r>
      <w:r w:rsidR="00B1210A">
        <w:rPr>
          <w:lang w:val="fr-CA"/>
        </w:rPr>
        <w:t>Secrétariat permanent du RCPCA, le g</w:t>
      </w:r>
      <w:r w:rsidR="00B1210A" w:rsidRPr="00523EA1">
        <w:rPr>
          <w:lang w:val="fr-CA"/>
        </w:rPr>
        <w:t xml:space="preserve">ouvernement et les </w:t>
      </w:r>
      <w:proofErr w:type="spellStart"/>
      <w:r w:rsidR="00B1210A">
        <w:rPr>
          <w:lang w:val="fr-CA"/>
        </w:rPr>
        <w:t>OSCs</w:t>
      </w:r>
      <w:proofErr w:type="spellEnd"/>
      <w:r w:rsidR="00B1210A" w:rsidRPr="00523EA1">
        <w:rPr>
          <w:lang w:val="fr-CA"/>
        </w:rPr>
        <w:t> </w:t>
      </w:r>
      <w:r>
        <w:rPr>
          <w:lang w:val="fr-CA"/>
        </w:rPr>
        <w:t>(</w:t>
      </w:r>
      <w:r w:rsidR="00B1210A">
        <w:rPr>
          <w:lang w:val="fr-CA"/>
        </w:rPr>
        <w:t>à travers des réunions périodiques</w:t>
      </w:r>
      <w:r>
        <w:rPr>
          <w:lang w:val="fr-CA"/>
        </w:rPr>
        <w:t>)</w:t>
      </w:r>
      <w:r w:rsidR="00B1210A">
        <w:rPr>
          <w:lang w:val="fr-CA"/>
        </w:rPr>
        <w:t xml:space="preserve">, </w:t>
      </w:r>
      <w:r>
        <w:rPr>
          <w:lang w:val="fr-CA"/>
        </w:rPr>
        <w:t xml:space="preserve">permet de </w:t>
      </w:r>
      <w:r w:rsidR="00B1210A">
        <w:rPr>
          <w:rFonts w:cstheme="minorHAnsi"/>
          <w:color w:val="000000" w:themeColor="text1"/>
          <w:lang w:val="fr-FR"/>
        </w:rPr>
        <w:t>renforcer</w:t>
      </w:r>
      <w:r w:rsidR="00B1210A" w:rsidRPr="007A4004">
        <w:rPr>
          <w:lang w:val="fr-CA"/>
        </w:rPr>
        <w:t xml:space="preserve"> </w:t>
      </w:r>
      <w:r w:rsidR="00B1210A" w:rsidRPr="00523EA1">
        <w:rPr>
          <w:lang w:val="fr-CA"/>
        </w:rPr>
        <w:t xml:space="preserve">le cadre </w:t>
      </w:r>
      <w:r>
        <w:rPr>
          <w:lang w:val="fr-CA"/>
        </w:rPr>
        <w:t xml:space="preserve">programmatique du PBF, mais aussi au secrétariat de contribuer de manière qualitative au travail d’analyse et de planification des Nations-Unies en RCA – à l’exemple du </w:t>
      </w:r>
      <w:r w:rsidR="00920015">
        <w:rPr>
          <w:lang w:val="fr-CA"/>
        </w:rPr>
        <w:t xml:space="preserve">Common Country </w:t>
      </w:r>
      <w:proofErr w:type="spellStart"/>
      <w:r w:rsidR="00920015">
        <w:rPr>
          <w:lang w:val="fr-CA"/>
        </w:rPr>
        <w:t>Assessment</w:t>
      </w:r>
      <w:proofErr w:type="spellEnd"/>
      <w:r w:rsidR="00920015">
        <w:rPr>
          <w:lang w:val="fr-CA"/>
        </w:rPr>
        <w:t xml:space="preserve"> (CCA) </w:t>
      </w:r>
      <w:r>
        <w:rPr>
          <w:lang w:val="fr-CA"/>
        </w:rPr>
        <w:t xml:space="preserve">et du cadre de coopération (UNSDCF) actuellement. </w:t>
      </w:r>
    </w:p>
    <w:p w14:paraId="6551AE02" w14:textId="5A5A03E3" w:rsidR="00B1210A" w:rsidRDefault="00B1210A" w:rsidP="00B1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p>
    <w:p w14:paraId="0767CDE3" w14:textId="77777777" w:rsidR="00993BAD" w:rsidRPr="00AF3E39" w:rsidRDefault="00993BAD" w:rsidP="00993BAD">
      <w:pPr>
        <w:jc w:val="both"/>
        <w:rPr>
          <w:lang w:val="fr-CA"/>
        </w:rPr>
      </w:pPr>
    </w:p>
    <w:p w14:paraId="7B076575" w14:textId="1D74B68C" w:rsidR="006C0E6F" w:rsidRPr="00E51A0F" w:rsidRDefault="006C0E6F" w:rsidP="00E51A0F">
      <w:pPr>
        <w:pStyle w:val="ListParagraph"/>
        <w:numPr>
          <w:ilvl w:val="0"/>
          <w:numId w:val="7"/>
        </w:numPr>
        <w:jc w:val="both"/>
        <w:rPr>
          <w:b/>
          <w:bCs/>
          <w:iCs/>
          <w:color w:val="70AD47" w:themeColor="accent6"/>
          <w:lang w:val="fr-FR"/>
        </w:rPr>
      </w:pPr>
      <w:r w:rsidRPr="00E51A0F">
        <w:rPr>
          <w:b/>
          <w:bCs/>
          <w:i/>
          <w:lang w:val="fr-CA"/>
        </w:rPr>
        <w:t>Le plaidoyer, la communication et le partenariat/création de réseaux sont assurés pour promouvoir une meilleure compréhension et connaissance du portefeuille PBF et de ses résultats au sein des autorités nationales, de la société civile, des bailleurs de fonds et du grand public.</w:t>
      </w:r>
    </w:p>
    <w:p w14:paraId="3D8F7169" w14:textId="77777777" w:rsidR="007A4004" w:rsidRPr="007A4004" w:rsidRDefault="007A4004" w:rsidP="00A32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lang w:val="fr-CA"/>
        </w:rPr>
      </w:pPr>
    </w:p>
    <w:p w14:paraId="3056D845" w14:textId="77777777" w:rsidR="00BC78ED" w:rsidRPr="00AF3E39" w:rsidRDefault="00BC78ED" w:rsidP="00BC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val="fr-CA"/>
        </w:rPr>
      </w:pPr>
    </w:p>
    <w:p w14:paraId="31DB41F3" w14:textId="00210305" w:rsidR="00BC78ED" w:rsidRPr="00AF3E39" w:rsidRDefault="00BC78ED" w:rsidP="00BC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CA"/>
        </w:rPr>
      </w:pPr>
      <w:r w:rsidRPr="00AF3E39">
        <w:rPr>
          <w:iCs/>
          <w:lang w:val="fr-CA"/>
        </w:rPr>
        <w:t>Le Secrétariat PBF travaille en étroite collaboration avec le</w:t>
      </w:r>
      <w:r w:rsidRPr="00AF3E39">
        <w:rPr>
          <w:lang w:val="fr-CA"/>
        </w:rPr>
        <w:t xml:space="preserve"> Groupe de Communication du Système des Nations Unies et la Cellule Communication du RCPCA. Ces structures participent à la campagne d’informations du public sur la contribution du PBF en matière de consolidation de la paix dans le pays à travers les campagnes réseaux sociaux et autres canaux de communication.</w:t>
      </w:r>
    </w:p>
    <w:p w14:paraId="20E22DF0" w14:textId="77777777" w:rsidR="00A60215" w:rsidRDefault="00A60215" w:rsidP="00BC78ED">
      <w:pPr>
        <w:jc w:val="both"/>
        <w:rPr>
          <w:lang w:val="fr-CA"/>
        </w:rPr>
      </w:pPr>
    </w:p>
    <w:p w14:paraId="7EE0E6DE" w14:textId="0D7D7445" w:rsidR="00AF3E39" w:rsidRPr="00AF3E39" w:rsidRDefault="00BC78ED" w:rsidP="00BC78ED">
      <w:pPr>
        <w:jc w:val="both"/>
        <w:rPr>
          <w:lang w:val="fr-CA"/>
        </w:rPr>
      </w:pPr>
      <w:r w:rsidRPr="00AF3E39">
        <w:rPr>
          <w:lang w:val="fr-CA"/>
        </w:rPr>
        <w:t>Aussi, des bulletins d’informations sur les interventions phares du PBF en RCA sont édités chaque trimestre</w:t>
      </w:r>
      <w:r w:rsidR="00AF3E39" w:rsidRPr="00AF3E39">
        <w:rPr>
          <w:lang w:val="fr-CA"/>
        </w:rPr>
        <w:t xml:space="preserve">. Ce mécanisme a permis une meilleure compréhension et appropriation des </w:t>
      </w:r>
      <w:r w:rsidRPr="00AF3E39">
        <w:rPr>
          <w:lang w:val="fr-CA"/>
        </w:rPr>
        <w:t>contributions du PBF</w:t>
      </w:r>
      <w:r w:rsidR="00AF3E39" w:rsidRPr="00AF3E39">
        <w:rPr>
          <w:lang w:val="fr-CA"/>
        </w:rPr>
        <w:t xml:space="preserve"> dans le pays. Il en est de même pour les shorts </w:t>
      </w:r>
      <w:proofErr w:type="gramStart"/>
      <w:r w:rsidR="00AF3E39" w:rsidRPr="00AF3E39">
        <w:rPr>
          <w:lang w:val="fr-CA"/>
        </w:rPr>
        <w:t>vidéos</w:t>
      </w:r>
      <w:proofErr w:type="gramEnd"/>
      <w:r w:rsidR="00AF3E39" w:rsidRPr="00AF3E39">
        <w:rPr>
          <w:lang w:val="fr-CA"/>
        </w:rPr>
        <w:t xml:space="preserve"> sur certaines activités phares.</w:t>
      </w:r>
    </w:p>
    <w:p w14:paraId="675334DD" w14:textId="77777777" w:rsidR="00BC78ED" w:rsidRDefault="00BC78ED" w:rsidP="00BC78ED">
      <w:pPr>
        <w:jc w:val="both"/>
        <w:rPr>
          <w:lang w:val="fr-CA"/>
        </w:rPr>
      </w:pPr>
    </w:p>
    <w:p w14:paraId="0D81D804" w14:textId="5F123421" w:rsidR="00BC78ED" w:rsidRDefault="00A60215" w:rsidP="00BC78ED">
      <w:pPr>
        <w:jc w:val="both"/>
        <w:rPr>
          <w:iCs/>
          <w:lang w:val="fr-CA"/>
        </w:rPr>
      </w:pPr>
      <w:r>
        <w:rPr>
          <w:iCs/>
          <w:lang w:val="fr-CA"/>
        </w:rPr>
        <w:t xml:space="preserve">Pour </w:t>
      </w:r>
      <w:r w:rsidRPr="00C86AEB">
        <w:rPr>
          <w:iCs/>
          <w:lang w:val="fr-CA"/>
        </w:rPr>
        <w:t>améliorer la visibilité des activités du PBF</w:t>
      </w:r>
      <w:r>
        <w:rPr>
          <w:iCs/>
          <w:lang w:val="fr-CA"/>
        </w:rPr>
        <w:t xml:space="preserve">, des appui - </w:t>
      </w:r>
      <w:r w:rsidR="00BC78ED">
        <w:rPr>
          <w:iCs/>
          <w:lang w:val="fr-CA"/>
        </w:rPr>
        <w:t>conseils</w:t>
      </w:r>
      <w:r w:rsidR="00BC78ED" w:rsidRPr="00C86AEB">
        <w:rPr>
          <w:iCs/>
          <w:lang w:val="fr-CA"/>
        </w:rPr>
        <w:t xml:space="preserve"> ont été apporté</w:t>
      </w:r>
      <w:r w:rsidR="00BC78ED">
        <w:rPr>
          <w:iCs/>
          <w:lang w:val="fr-CA"/>
        </w:rPr>
        <w:t>s</w:t>
      </w:r>
      <w:r w:rsidR="00BC78ED" w:rsidRPr="00C86AEB">
        <w:rPr>
          <w:iCs/>
          <w:lang w:val="fr-CA"/>
        </w:rPr>
        <w:t xml:space="preserve"> par le Secrétariat PBF aux </w:t>
      </w:r>
      <w:r w:rsidR="00BC78ED">
        <w:rPr>
          <w:iCs/>
          <w:lang w:val="fr-CA"/>
        </w:rPr>
        <w:t xml:space="preserve">agences récipiendaires et </w:t>
      </w:r>
      <w:r w:rsidR="00BC78ED" w:rsidRPr="00C86AEB">
        <w:rPr>
          <w:iCs/>
          <w:lang w:val="fr-CA"/>
        </w:rPr>
        <w:t>partenaires</w:t>
      </w:r>
      <w:r w:rsidR="00BC78ED">
        <w:rPr>
          <w:iCs/>
          <w:lang w:val="fr-CA"/>
        </w:rPr>
        <w:t xml:space="preserve"> de mise en œuvre. Des supports de communication </w:t>
      </w:r>
      <w:r>
        <w:rPr>
          <w:iCs/>
          <w:lang w:val="fr-CA"/>
        </w:rPr>
        <w:t>tels que les dépliants, les affiches et autocollants, et autres gadgets</w:t>
      </w:r>
      <w:r w:rsidR="00BC78ED">
        <w:rPr>
          <w:iCs/>
          <w:lang w:val="fr-CA"/>
        </w:rPr>
        <w:t xml:space="preserve"> PBF sont en cours de réalisation en vue de mieux </w:t>
      </w:r>
      <w:r>
        <w:rPr>
          <w:iCs/>
          <w:lang w:val="fr-CA"/>
        </w:rPr>
        <w:t xml:space="preserve">soutenir la </w:t>
      </w:r>
      <w:r w:rsidR="00BC78ED">
        <w:rPr>
          <w:iCs/>
          <w:lang w:val="fr-CA"/>
        </w:rPr>
        <w:t>visibilité du fonds</w:t>
      </w:r>
      <w:r>
        <w:rPr>
          <w:iCs/>
          <w:lang w:val="fr-CA"/>
        </w:rPr>
        <w:t>,</w:t>
      </w:r>
      <w:r w:rsidR="00BC78ED">
        <w:rPr>
          <w:iCs/>
          <w:lang w:val="fr-CA"/>
        </w:rPr>
        <w:t xml:space="preserve"> qui reste un défi majeur à relever surtout auprès des parties prenantes à l’intérieur du pays. </w:t>
      </w:r>
    </w:p>
    <w:p w14:paraId="2E9BAB65" w14:textId="77777777" w:rsidR="00BC78ED" w:rsidRDefault="00BC78ED" w:rsidP="00BC78ED">
      <w:pPr>
        <w:jc w:val="both"/>
        <w:rPr>
          <w:iCs/>
          <w:lang w:val="fr-CA"/>
        </w:rPr>
      </w:pPr>
    </w:p>
    <w:p w14:paraId="54BBBF6E" w14:textId="77777777" w:rsidR="00627A1C" w:rsidRPr="00AF3E39" w:rsidRDefault="00627A1C" w:rsidP="00627A1C">
      <w:pPr>
        <w:ind w:left="-720"/>
        <w:rPr>
          <w:b/>
          <w:lang w:val="fr-CA"/>
        </w:rPr>
      </w:pPr>
    </w:p>
    <w:p w14:paraId="0FC180B3" w14:textId="53667305" w:rsidR="0049016F" w:rsidRDefault="005D15A3" w:rsidP="008E7030">
      <w:pPr>
        <w:ind w:left="-567"/>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49016F">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0DE93C3" w14:textId="77777777" w:rsidR="0049016F" w:rsidRDefault="0049016F" w:rsidP="0049016F">
      <w:pPr>
        <w:ind w:left="-720"/>
        <w:jc w:val="both"/>
        <w:rPr>
          <w:bCs/>
          <w:lang w:val="fr-FR"/>
        </w:rPr>
      </w:pPr>
    </w:p>
    <w:p w14:paraId="5083775B" w14:textId="78171C2D" w:rsidR="0049016F" w:rsidRDefault="001B4269" w:rsidP="00A36A1E">
      <w:pPr>
        <w:jc w:val="both"/>
        <w:rPr>
          <w:bCs/>
          <w:lang w:val="fr-FR"/>
        </w:rPr>
      </w:pPr>
      <w:r w:rsidRPr="00523EA1">
        <w:rPr>
          <w:lang w:val="fr-CA"/>
        </w:rPr>
        <w:t xml:space="preserve">Les </w:t>
      </w:r>
      <w:r w:rsidRPr="00A60215">
        <w:rPr>
          <w:lang w:val="fr-CA"/>
        </w:rPr>
        <w:t>principaux groupes cibles du projet sont les institutions étatiques (Ministères de tutelle et Ministère du Plan), les organisations de la société civile</w:t>
      </w:r>
      <w:r w:rsidR="00A60215" w:rsidRPr="00A60215">
        <w:rPr>
          <w:lang w:val="fr-CA"/>
        </w:rPr>
        <w:t xml:space="preserve"> et</w:t>
      </w:r>
      <w:r w:rsidRPr="00A60215">
        <w:rPr>
          <w:lang w:val="fr-CA"/>
        </w:rPr>
        <w:t xml:space="preserve"> les agences des Nations Unies</w:t>
      </w:r>
      <w:r w:rsidR="00A60215" w:rsidRPr="00A60215">
        <w:rPr>
          <w:lang w:val="fr-CA"/>
        </w:rPr>
        <w:t>.</w:t>
      </w:r>
      <w:r w:rsidRPr="00A60215">
        <w:rPr>
          <w:lang w:val="fr-CA"/>
        </w:rPr>
        <w:t xml:space="preserve"> Toutefois,</w:t>
      </w:r>
      <w:r w:rsidR="00A60215" w:rsidRPr="00A60215">
        <w:rPr>
          <w:color w:val="000000"/>
          <w:lang w:val="fr-FR" w:eastAsia="en-US"/>
        </w:rPr>
        <w:t xml:space="preserve"> l'égalité entre les sexes et l'autonomisation des femmes et / ou l'inclusion et la réactivité aux besoins des jeunes constituent une préoccupation majeure du Secrétariat</w:t>
      </w:r>
      <w:r w:rsidR="00A60215">
        <w:rPr>
          <w:b/>
          <w:bCs/>
          <w:color w:val="000000"/>
          <w:lang w:val="fr-FR" w:eastAsia="en-US"/>
        </w:rPr>
        <w:t xml:space="preserve">. </w:t>
      </w:r>
      <w:r w:rsidR="00A60215">
        <w:rPr>
          <w:lang w:val="fr-CA"/>
        </w:rPr>
        <w:t xml:space="preserve">De ce point de vue, le </w:t>
      </w:r>
      <w:r w:rsidR="00BE23D9" w:rsidRPr="0049016F">
        <w:rPr>
          <w:bCs/>
          <w:lang w:val="fr-FR"/>
        </w:rPr>
        <w:t xml:space="preserve">Secrétariat PBF </w:t>
      </w:r>
      <w:r>
        <w:rPr>
          <w:lang w:val="fr-CA"/>
        </w:rPr>
        <w:t xml:space="preserve">veille à la prise en compte de l’égalité des sexes et l’autonomisation des </w:t>
      </w:r>
      <w:r w:rsidRPr="001B4269">
        <w:rPr>
          <w:bCs/>
          <w:lang w:val="fr-FR"/>
        </w:rPr>
        <w:t xml:space="preserve">femmes </w:t>
      </w:r>
      <w:r w:rsidR="00A60215">
        <w:rPr>
          <w:bCs/>
          <w:lang w:val="fr-FR"/>
        </w:rPr>
        <w:t>dans la formulation des nouveaux projets, le suivi des indicateurs de résultats sexo-spécifiques.</w:t>
      </w:r>
      <w:r>
        <w:rPr>
          <w:bCs/>
          <w:lang w:val="fr-FR"/>
        </w:rPr>
        <w:t xml:space="preserve"> </w:t>
      </w:r>
    </w:p>
    <w:p w14:paraId="646D3DD5" w14:textId="77777777" w:rsidR="001B4269" w:rsidRDefault="001B4269" w:rsidP="00A36A1E">
      <w:pPr>
        <w:jc w:val="both"/>
        <w:rPr>
          <w:lang w:val="fr-CA"/>
        </w:rPr>
      </w:pPr>
    </w:p>
    <w:p w14:paraId="2B8A5DC5" w14:textId="2C2B43C0" w:rsidR="00A60215" w:rsidRDefault="001B4269" w:rsidP="00A36A1E">
      <w:pPr>
        <w:jc w:val="both"/>
        <w:rPr>
          <w:lang w:val="fr-CA"/>
        </w:rPr>
      </w:pPr>
      <w:r>
        <w:rPr>
          <w:lang w:val="fr-CA"/>
        </w:rPr>
        <w:t xml:space="preserve">Aussi, dans le cadre du </w:t>
      </w:r>
      <w:r w:rsidRPr="00523EA1">
        <w:rPr>
          <w:lang w:val="fr-CA"/>
        </w:rPr>
        <w:t>suivi des progrès dans la réalisation des résultats du portefeuille</w:t>
      </w:r>
      <w:r w:rsidR="00A60215">
        <w:rPr>
          <w:lang w:val="fr-CA"/>
        </w:rPr>
        <w:t xml:space="preserve"> et l’assurance-qualité des rapports</w:t>
      </w:r>
      <w:r>
        <w:rPr>
          <w:lang w:val="fr-CA"/>
        </w:rPr>
        <w:t xml:space="preserve">, le Secrétariat PBF </w:t>
      </w:r>
      <w:r w:rsidR="00A60215">
        <w:rPr>
          <w:lang w:val="fr-CA"/>
        </w:rPr>
        <w:t>veille à ce que</w:t>
      </w:r>
      <w:r>
        <w:rPr>
          <w:lang w:val="fr-CA"/>
        </w:rPr>
        <w:t xml:space="preserve"> l’analyse relative à la participation des femmes et des jeunes </w:t>
      </w:r>
      <w:r w:rsidR="00A60215">
        <w:rPr>
          <w:lang w:val="fr-CA"/>
        </w:rPr>
        <w:t xml:space="preserve">soit prise en compte en vue d’une meilleure appréciation des </w:t>
      </w:r>
      <w:r w:rsidR="00A60215" w:rsidRPr="00E52D8D">
        <w:rPr>
          <w:lang w:val="fr-CA"/>
        </w:rPr>
        <w:t>impacts</w:t>
      </w:r>
      <w:r w:rsidR="00E52D8D" w:rsidRPr="00E52D8D">
        <w:rPr>
          <w:lang w:val="fr-CA"/>
        </w:rPr>
        <w:t xml:space="preserve"> sur la consolidation de la paix</w:t>
      </w:r>
      <w:r w:rsidR="00A60215">
        <w:rPr>
          <w:lang w:val="fr-CA"/>
        </w:rPr>
        <w:t xml:space="preserve"> aux résolutions 1325 et 2225 du Conseil de Sécurité des Nations Unies</w:t>
      </w:r>
      <w:r w:rsidR="00A209A6">
        <w:rPr>
          <w:lang w:val="fr-CA"/>
        </w:rPr>
        <w:t xml:space="preserve">. </w:t>
      </w:r>
    </w:p>
    <w:p w14:paraId="3F93C25F" w14:textId="77777777" w:rsidR="00A60215" w:rsidRDefault="00A60215" w:rsidP="00A36A1E">
      <w:pPr>
        <w:jc w:val="both"/>
        <w:rPr>
          <w:lang w:val="fr-CA"/>
        </w:rPr>
      </w:pPr>
    </w:p>
    <w:p w14:paraId="563533E9" w14:textId="5D1D5478" w:rsidR="00675507" w:rsidRPr="00615EA3" w:rsidRDefault="00675507" w:rsidP="008E7030">
      <w:pPr>
        <w:ind w:left="-567"/>
        <w:rPr>
          <w:b/>
          <w:lang w:val="fr-FR"/>
        </w:rPr>
      </w:pPr>
      <w:r w:rsidRPr="00615EA3">
        <w:rPr>
          <w:b/>
          <w:u w:val="single"/>
          <w:lang w:val="fr-FR"/>
        </w:rPr>
        <w:t xml:space="preserve">Résultat </w:t>
      </w:r>
      <w:r>
        <w:rPr>
          <w:b/>
          <w:u w:val="single"/>
          <w:lang w:val="fr-FR"/>
        </w:rPr>
        <w:t>2</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0807EC11" w:rsidR="00675507" w:rsidRPr="00615EA3" w:rsidRDefault="00675507" w:rsidP="008E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A209A6">
        <w:rPr>
          <w:rFonts w:ascii="inherit" w:hAnsi="inherit"/>
          <w:color w:val="212121"/>
          <w:lang w:val="fr-FR"/>
        </w:rPr>
        <w:t>résultat</w:t>
      </w:r>
      <w:r w:rsidR="00A209A6"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675AC">
        <w:rPr>
          <w:rFonts w:ascii="Arial Narrow" w:hAnsi="Arial Narrow"/>
          <w:b/>
          <w:sz w:val="22"/>
          <w:szCs w:val="22"/>
        </w:rPr>
      </w:r>
      <w:r w:rsidR="007675AC">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8E7030">
      <w:pPr>
        <w:ind w:left="-567"/>
        <w:jc w:val="both"/>
        <w:rPr>
          <w:b/>
          <w:lang w:val="fr-FR"/>
        </w:rPr>
      </w:pPr>
    </w:p>
    <w:p w14:paraId="40213E68" w14:textId="493E5BC1" w:rsidR="00675507" w:rsidRPr="005D15A3" w:rsidRDefault="00151119" w:rsidP="008E7030">
      <w:pPr>
        <w:ind w:left="-567"/>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A6AE2">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663E85B" w14:textId="77777777" w:rsidR="00675507" w:rsidRPr="00627A1C" w:rsidRDefault="00675507" w:rsidP="008E7030">
      <w:pPr>
        <w:ind w:left="-567"/>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1D5DD53" w14:textId="77777777" w:rsidR="00675507" w:rsidRPr="00627A1C" w:rsidRDefault="00675507" w:rsidP="008E7030">
      <w:pPr>
        <w:ind w:left="-567"/>
        <w:rPr>
          <w:b/>
        </w:rPr>
      </w:pPr>
    </w:p>
    <w:p w14:paraId="14989312" w14:textId="7852E4FC"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1F278AA4" w:rsidR="00675507" w:rsidRPr="00615EA3" w:rsidRDefault="00675507" w:rsidP="00675507">
      <w:pPr>
        <w:ind w:left="-720"/>
        <w:rPr>
          <w:b/>
          <w:lang w:val="fr-FR"/>
        </w:rPr>
      </w:pPr>
      <w:r w:rsidRPr="00615EA3">
        <w:rPr>
          <w:b/>
          <w:u w:val="single"/>
          <w:lang w:val="fr-FR"/>
        </w:rPr>
        <w:lastRenderedPageBreak/>
        <w:t xml:space="preserve">Résultat </w:t>
      </w:r>
      <w:r>
        <w:rPr>
          <w:b/>
          <w:u w:val="single"/>
          <w:lang w:val="fr-FR"/>
        </w:rPr>
        <w:t>3</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5065DA7A"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936AA0">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675AC">
        <w:rPr>
          <w:rFonts w:ascii="Arial Narrow" w:hAnsi="Arial Narrow"/>
          <w:b/>
          <w:sz w:val="22"/>
          <w:szCs w:val="22"/>
        </w:rPr>
      </w:r>
      <w:r w:rsidR="007675AC">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32965EDE"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6A6AE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4DC238E0"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2F0CB521"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006A6AE2">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158D7EF8"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6A6AE2">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675AC">
        <w:rPr>
          <w:rFonts w:ascii="Arial Narrow" w:hAnsi="Arial Narrow"/>
          <w:b/>
          <w:sz w:val="22"/>
          <w:szCs w:val="22"/>
        </w:rPr>
      </w:r>
      <w:r w:rsidR="007675A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04CAA9C"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6A6AE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483A1D8E"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6A6AE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02E72D3" w14:textId="77777777" w:rsidR="00675507"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36A63" w14:paraId="3278E054" w14:textId="77777777" w:rsidTr="007F7257">
        <w:tc>
          <w:tcPr>
            <w:tcW w:w="4230" w:type="dxa"/>
            <w:shd w:val="clear" w:color="auto" w:fill="auto"/>
          </w:tcPr>
          <w:p w14:paraId="1A9F4B35" w14:textId="265AE005" w:rsidR="007118F5" w:rsidRPr="00675507" w:rsidRDefault="00A209A6"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2B0A58D9" w14:textId="7D051F85" w:rsidR="00973C14" w:rsidRDefault="00973C14" w:rsidP="00973C14">
            <w:pPr>
              <w:jc w:val="both"/>
              <w:rPr>
                <w:i/>
                <w:iCs/>
                <w:lang w:val="fr-FR"/>
              </w:rPr>
            </w:pPr>
            <w:r>
              <w:rPr>
                <w:i/>
                <w:iCs/>
                <w:lang w:val="fr-FR"/>
              </w:rPr>
              <w:t>Mise en place d’un mécanisme de suivi/évaluation du portefeuille PBF.</w:t>
            </w:r>
          </w:p>
          <w:p w14:paraId="4897314B" w14:textId="77777777" w:rsidR="001D21EF" w:rsidRDefault="001D21EF" w:rsidP="00973C14">
            <w:pPr>
              <w:jc w:val="both"/>
              <w:rPr>
                <w:i/>
                <w:iCs/>
                <w:lang w:val="fr-FR"/>
              </w:rPr>
            </w:pPr>
          </w:p>
          <w:p w14:paraId="4B9BC271" w14:textId="6B4AED60" w:rsidR="00973C14" w:rsidRDefault="00973C14" w:rsidP="00973C14">
            <w:pPr>
              <w:jc w:val="both"/>
              <w:rPr>
                <w:i/>
                <w:iCs/>
                <w:lang w:val="fr-FR"/>
              </w:rPr>
            </w:pPr>
            <w:r>
              <w:rPr>
                <w:i/>
                <w:iCs/>
                <w:lang w:val="fr-FR"/>
              </w:rPr>
              <w:t xml:space="preserve">Mise en place d’un mécanisme de suivi mensuel du portefeuille à travers un </w:t>
            </w:r>
            <w:r w:rsidR="00A209A6">
              <w:rPr>
                <w:i/>
                <w:iCs/>
                <w:lang w:val="fr-FR"/>
              </w:rPr>
              <w:t>Template</w:t>
            </w:r>
            <w:r>
              <w:rPr>
                <w:i/>
                <w:iCs/>
                <w:lang w:val="fr-FR"/>
              </w:rPr>
              <w:t xml:space="preserve"> pendant le confinement dû à la </w:t>
            </w:r>
            <w:r w:rsidR="009F4370">
              <w:rPr>
                <w:i/>
                <w:iCs/>
                <w:lang w:val="fr-FR"/>
              </w:rPr>
              <w:t>COVID-19</w:t>
            </w:r>
            <w:r>
              <w:rPr>
                <w:i/>
                <w:iCs/>
                <w:lang w:val="fr-FR"/>
              </w:rPr>
              <w:t>.</w:t>
            </w:r>
          </w:p>
          <w:p w14:paraId="348161A1" w14:textId="77777777" w:rsidR="001D21EF" w:rsidRDefault="001D21EF" w:rsidP="00973C14">
            <w:pPr>
              <w:jc w:val="both"/>
              <w:rPr>
                <w:i/>
                <w:iCs/>
                <w:lang w:val="fr-FR"/>
              </w:rPr>
            </w:pPr>
          </w:p>
          <w:p w14:paraId="05A318A1" w14:textId="04987BD9" w:rsidR="00973C14" w:rsidRDefault="00973C14" w:rsidP="00973C14">
            <w:pPr>
              <w:jc w:val="both"/>
              <w:rPr>
                <w:i/>
                <w:lang w:val="fr-FR"/>
              </w:rPr>
            </w:pPr>
            <w:r>
              <w:rPr>
                <w:i/>
                <w:lang w:val="fr-FR"/>
              </w:rPr>
              <w:t xml:space="preserve">Assurance – qualité des rapports </w:t>
            </w:r>
            <w:r w:rsidR="001623DE">
              <w:rPr>
                <w:i/>
                <w:lang w:val="fr-FR"/>
              </w:rPr>
              <w:t>mandataires (</w:t>
            </w:r>
            <w:r>
              <w:rPr>
                <w:i/>
                <w:lang w:val="fr-FR"/>
              </w:rPr>
              <w:t>semestriel et annuel)</w:t>
            </w:r>
          </w:p>
          <w:p w14:paraId="2C36DFBD" w14:textId="5FDE7D89" w:rsidR="00973C14" w:rsidRPr="006713D9" w:rsidRDefault="00973C14" w:rsidP="00973C14">
            <w:pPr>
              <w:jc w:val="both"/>
              <w:rPr>
                <w:i/>
                <w:iCs/>
                <w:lang w:val="fr-FR"/>
              </w:rPr>
            </w:pPr>
          </w:p>
          <w:p w14:paraId="7582E009" w14:textId="7041E18F" w:rsidR="006713D9" w:rsidRDefault="006713D9" w:rsidP="00973C14">
            <w:pPr>
              <w:jc w:val="both"/>
              <w:rPr>
                <w:i/>
                <w:iCs/>
                <w:lang w:val="fr-FR"/>
              </w:rPr>
            </w:pPr>
            <w:r>
              <w:rPr>
                <w:i/>
                <w:iCs/>
                <w:lang w:val="fr-FR"/>
              </w:rPr>
              <w:t>Participations aux réunions</w:t>
            </w:r>
            <w:r w:rsidRPr="006713D9">
              <w:rPr>
                <w:i/>
                <w:iCs/>
                <w:lang w:val="fr-FR"/>
              </w:rPr>
              <w:t xml:space="preserve"> de coordination</w:t>
            </w:r>
            <w:r>
              <w:rPr>
                <w:i/>
                <w:iCs/>
                <w:lang w:val="fr-FR"/>
              </w:rPr>
              <w:t xml:space="preserve"> technique/Comité de pilotage avec les agences récipiendaires et les partenaires clés des projets.</w:t>
            </w:r>
          </w:p>
          <w:p w14:paraId="2A771280" w14:textId="210F8888" w:rsidR="00A209A6" w:rsidRDefault="00A209A6" w:rsidP="00973C14">
            <w:pPr>
              <w:jc w:val="both"/>
              <w:rPr>
                <w:i/>
                <w:iCs/>
                <w:lang w:val="fr-FR"/>
              </w:rPr>
            </w:pPr>
          </w:p>
          <w:p w14:paraId="7A657819" w14:textId="298F48ED" w:rsidR="00997347" w:rsidRPr="00973C14" w:rsidRDefault="00A209A6" w:rsidP="00A209A6">
            <w:pPr>
              <w:jc w:val="both"/>
              <w:rPr>
                <w:i/>
                <w:lang w:val="fr-FR"/>
              </w:rPr>
            </w:pPr>
            <w:r>
              <w:rPr>
                <w:i/>
                <w:iCs/>
                <w:lang w:val="fr-FR"/>
              </w:rPr>
              <w:t>Missions de suivi conjoint des projets sur le terrain.</w:t>
            </w:r>
          </w:p>
          <w:p w14:paraId="21BD62AD" w14:textId="77777777" w:rsidR="007118F5" w:rsidRPr="00973C14" w:rsidRDefault="007118F5" w:rsidP="00234A5E">
            <w:pPr>
              <w:rPr>
                <w:lang w:val="fr-FR"/>
              </w:rPr>
            </w:pPr>
          </w:p>
        </w:tc>
        <w:tc>
          <w:tcPr>
            <w:tcW w:w="5940" w:type="dxa"/>
            <w:shd w:val="clear" w:color="auto" w:fill="auto"/>
          </w:tcPr>
          <w:p w14:paraId="797F499B" w14:textId="6F3AE30F" w:rsidR="00997347" w:rsidRPr="00675507" w:rsidRDefault="00675507" w:rsidP="00AD73D3">
            <w:pPr>
              <w:rPr>
                <w:lang w:val="fr-FR"/>
              </w:rPr>
            </w:pPr>
            <w:r w:rsidRPr="00675507">
              <w:rPr>
                <w:lang w:val="fr-FR"/>
              </w:rPr>
              <w:t xml:space="preserve">Est-ce que les indicateurs des résultats ont des bases de </w:t>
            </w:r>
            <w:r w:rsidR="00BC786B" w:rsidRPr="00675507">
              <w:rPr>
                <w:lang w:val="fr-FR"/>
              </w:rPr>
              <w:t>référe</w:t>
            </w:r>
            <w:r w:rsidR="00BC786B">
              <w:rPr>
                <w:lang w:val="fr-FR"/>
              </w:rPr>
              <w:t>nce</w:t>
            </w:r>
            <w:r w:rsidR="00BC786B" w:rsidRPr="00675507">
              <w:rPr>
                <w:lang w:val="fr-FR"/>
              </w:rPr>
              <w:t xml:space="preserve"> ?</w:t>
            </w:r>
            <w:r w:rsidR="007118F5" w:rsidRPr="00675507">
              <w:rPr>
                <w:lang w:val="fr-FR"/>
              </w:rPr>
              <w:t xml:space="preserve"> </w:t>
            </w:r>
            <w:r w:rsidR="00973C14">
              <w:rPr>
                <w:lang w:val="fr-FR"/>
              </w:rPr>
              <w:t>Oui</w:t>
            </w:r>
          </w:p>
          <w:p w14:paraId="2337B972" w14:textId="77777777" w:rsidR="007118F5" w:rsidRPr="00675507" w:rsidRDefault="007118F5" w:rsidP="00AD73D3">
            <w:pPr>
              <w:rPr>
                <w:lang w:val="fr-FR"/>
              </w:rPr>
            </w:pPr>
          </w:p>
          <w:p w14:paraId="61930798" w14:textId="70DCD412" w:rsidR="007118F5" w:rsidRDefault="00675507" w:rsidP="00AD73D3">
            <w:pPr>
              <w:rPr>
                <w:lang w:val="fr-FR"/>
              </w:rPr>
            </w:pPr>
            <w:r w:rsidRPr="00675507">
              <w:rPr>
                <w:lang w:val="fr-FR"/>
              </w:rPr>
              <w:t xml:space="preserve">Le projet a-t-il lancé des enquêtes de perception ou d'autres collectes de données </w:t>
            </w:r>
            <w:r w:rsidR="00BC786B" w:rsidRPr="00675507">
              <w:rPr>
                <w:lang w:val="fr-FR"/>
              </w:rPr>
              <w:t>communautaires ?</w:t>
            </w:r>
            <w:r w:rsidR="007118F5" w:rsidRPr="00675507">
              <w:rPr>
                <w:lang w:val="fr-FR"/>
              </w:rPr>
              <w:t xml:space="preserve"> </w:t>
            </w:r>
          </w:p>
          <w:p w14:paraId="46A06EC1" w14:textId="77777777" w:rsidR="00A209A6" w:rsidRDefault="00A209A6" w:rsidP="00973C14">
            <w:pPr>
              <w:rPr>
                <w:i/>
                <w:iCs/>
                <w:lang w:val="fr-FR"/>
              </w:rPr>
            </w:pPr>
          </w:p>
          <w:p w14:paraId="1FE0B93F" w14:textId="49323F9A" w:rsidR="00A209A6" w:rsidRDefault="00A209A6" w:rsidP="00A209A6">
            <w:pPr>
              <w:rPr>
                <w:i/>
                <w:iCs/>
                <w:lang w:val="fr-FR"/>
              </w:rPr>
            </w:pPr>
            <w:r>
              <w:rPr>
                <w:i/>
                <w:iCs/>
                <w:lang w:val="fr-FR"/>
              </w:rPr>
              <w:t>Une Note d’analyse sur l</w:t>
            </w:r>
            <w:r w:rsidR="00973C14" w:rsidRPr="001623DE">
              <w:rPr>
                <w:i/>
                <w:iCs/>
                <w:lang w:val="fr-FR"/>
              </w:rPr>
              <w:t xml:space="preserve">e suivi communautaire </w:t>
            </w:r>
            <w:r w:rsidR="006713D9">
              <w:rPr>
                <w:i/>
                <w:iCs/>
                <w:lang w:val="fr-FR"/>
              </w:rPr>
              <w:t xml:space="preserve">du projet </w:t>
            </w:r>
            <w:r>
              <w:rPr>
                <w:i/>
                <w:iCs/>
                <w:lang w:val="fr-FR"/>
              </w:rPr>
              <w:t>est élaborée</w:t>
            </w:r>
            <w:r w:rsidR="00816B5C">
              <w:rPr>
                <w:i/>
                <w:iCs/>
                <w:lang w:val="fr-FR"/>
              </w:rPr>
              <w:t>.</w:t>
            </w:r>
          </w:p>
          <w:p w14:paraId="2BD200E3" w14:textId="3DEBF347" w:rsidR="00A209A6" w:rsidRPr="001623DE" w:rsidRDefault="00A209A6" w:rsidP="00A209A6">
            <w:pPr>
              <w:rPr>
                <w:i/>
                <w:iCs/>
                <w:lang w:val="fr-FR"/>
              </w:rPr>
            </w:pPr>
          </w:p>
        </w:tc>
      </w:tr>
      <w:tr w:rsidR="006C1819" w:rsidRPr="00936A63" w14:paraId="36A88C83" w14:textId="77777777" w:rsidTr="007F7257">
        <w:tc>
          <w:tcPr>
            <w:tcW w:w="4230" w:type="dxa"/>
            <w:shd w:val="clear" w:color="auto" w:fill="auto"/>
          </w:tcPr>
          <w:p w14:paraId="6242C484" w14:textId="1EA55ECA" w:rsidR="006C1819" w:rsidRPr="00675507" w:rsidRDefault="00A209A6" w:rsidP="005F439F">
            <w:pPr>
              <w:rPr>
                <w:lang w:val="fr-FR"/>
              </w:rPr>
            </w:pPr>
            <w:r w:rsidRPr="00675507">
              <w:rPr>
                <w:b/>
                <w:bCs/>
                <w:u w:val="single"/>
                <w:lang w:val="fr-FR"/>
              </w:rPr>
              <w:lastRenderedPageBreak/>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sidR="00816B5C">
              <w:rPr>
                <w:lang w:val="fr-FR"/>
              </w:rPr>
              <w:t>rapport</w:t>
            </w:r>
            <w:r w:rsidR="00816B5C" w:rsidRPr="00675507">
              <w:rPr>
                <w:lang w:val="fr-FR"/>
              </w:rPr>
              <w:t xml:space="preserve"> ?</w:t>
            </w:r>
          </w:p>
          <w:p w14:paraId="3679D92A" w14:textId="495C487D" w:rsidR="007118F5" w:rsidRPr="00627A1C" w:rsidRDefault="00973C14" w:rsidP="007118F5">
            <w:r>
              <w:t>NON</w:t>
            </w:r>
          </w:p>
        </w:tc>
        <w:tc>
          <w:tcPr>
            <w:tcW w:w="5940" w:type="dxa"/>
            <w:shd w:val="clear" w:color="auto" w:fill="auto"/>
          </w:tcPr>
          <w:p w14:paraId="7B8CF898" w14:textId="35305BE1" w:rsidR="006C1819" w:rsidRPr="001372B6"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CE61E6">
              <w:rPr>
                <w:lang w:val="fr-FR"/>
              </w:rPr>
              <w:t>100 000 US$</w:t>
            </w:r>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3"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05023D3A"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73C14">
              <w:rPr>
                <w:lang w:val="fr-FR"/>
              </w:rPr>
              <w:t xml:space="preserve"> N/A</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48"/>
                  <w:enabled/>
                  <w:calcOnExit w:val="0"/>
                  <w:textInput>
                    <w:type w:val="number"/>
                    <w:format w:val="0.00"/>
                  </w:textInput>
                </w:ffData>
              </w:fldChar>
            </w:r>
            <w:bookmarkStart w:id="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50"/>
                  <w:enabled/>
                  <w:calcOnExit w:val="0"/>
                  <w:textInput>
                    <w:type w:val="number"/>
                    <w:format w:val="0.00"/>
                  </w:textInput>
                </w:ffData>
              </w:fldChar>
            </w:r>
            <w:bookmarkStart w:id="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tc>
      </w:tr>
      <w:tr w:rsidR="002C187A" w:rsidRPr="00936A63" w14:paraId="04EF3772" w14:textId="77777777" w:rsidTr="007F7257">
        <w:tc>
          <w:tcPr>
            <w:tcW w:w="4230" w:type="dxa"/>
            <w:shd w:val="clear" w:color="auto" w:fill="auto"/>
          </w:tcPr>
          <w:p w14:paraId="493CE278" w14:textId="7F68DF65" w:rsidR="002C187A" w:rsidRPr="00675507" w:rsidRDefault="008A5E25"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009C61DE" w:rsidRPr="00675507">
              <w:rPr>
                <w:lang w:val="fr-FR"/>
              </w:rPr>
              <w:t>bénéficiaires ?</w:t>
            </w:r>
            <w:r w:rsidR="00675507" w:rsidRPr="00675507">
              <w:rPr>
                <w:lang w:val="fr-FR"/>
              </w:rPr>
              <w:t xml:space="preserve">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05B9E10" w:rsidR="002C187A" w:rsidRPr="00E51A0F" w:rsidRDefault="001372B6" w:rsidP="00E51A0F">
            <w:pPr>
              <w:jc w:val="both"/>
              <w:rPr>
                <w:lang w:val="fr-FR"/>
              </w:rPr>
            </w:pPr>
            <w:r w:rsidRPr="00E51A0F">
              <w:rPr>
                <w:lang w:val="fr-FR"/>
              </w:rPr>
              <w:t xml:space="preserve">Le projet </w:t>
            </w:r>
            <w:r w:rsidRPr="00E51A0F">
              <w:rPr>
                <w:sz w:val="22"/>
                <w:lang w:val="fr-CA"/>
              </w:rPr>
              <w:t xml:space="preserve">Appui à la Coordination et au Suivi des Projets du Fonds pour la Consolidation de la Paix (PBF) en République centrafricaine vient à terme en janvier 2022. A cet effet, des discussions seront engagées avec PBSO pour envisager son extension. </w:t>
            </w:r>
          </w:p>
        </w:tc>
      </w:tr>
    </w:tbl>
    <w:p w14:paraId="682EBE58" w14:textId="77777777" w:rsidR="00673D6E" w:rsidRPr="00E51A0F" w:rsidRDefault="00673D6E" w:rsidP="00E76CA1">
      <w:pPr>
        <w:rPr>
          <w:b/>
          <w:lang w:val="fr-FR"/>
        </w:rPr>
      </w:pPr>
    </w:p>
    <w:p w14:paraId="64491D11" w14:textId="77777777" w:rsidR="00673D6E" w:rsidRPr="00E51A0F" w:rsidRDefault="00673D6E" w:rsidP="00411A5F">
      <w:pPr>
        <w:rPr>
          <w:lang w:val="fr-FR"/>
        </w:rPr>
      </w:pPr>
    </w:p>
    <w:p w14:paraId="6760BFE3" w14:textId="77777777" w:rsidR="002B0F98" w:rsidRDefault="002B0F98" w:rsidP="00600B5F">
      <w:pPr>
        <w:rPr>
          <w:b/>
          <w:u w:val="single"/>
          <w:lang w:val="fr-FR"/>
        </w:rPr>
      </w:pPr>
    </w:p>
    <w:p w14:paraId="73DC0BA9" w14:textId="7B044402" w:rsidR="00600B5F" w:rsidRPr="00547F47" w:rsidRDefault="00600B5F" w:rsidP="00600B5F">
      <w:pPr>
        <w:rPr>
          <w:b/>
          <w:u w:val="single"/>
          <w:lang w:val="fr-FR"/>
        </w:rPr>
      </w:pPr>
      <w:r w:rsidRPr="00547F47">
        <w:rPr>
          <w:b/>
          <w:u w:val="single"/>
          <w:lang w:val="fr-FR"/>
        </w:rPr>
        <w:t xml:space="preserve">Partie IV: </w:t>
      </w:r>
      <w:r w:rsidR="009F4370">
        <w:rPr>
          <w:b/>
          <w:u w:val="single"/>
          <w:lang w:val="fr-FR"/>
        </w:rPr>
        <w:t>COVID-19</w:t>
      </w:r>
    </w:p>
    <w:p w14:paraId="49C6E36F" w14:textId="6DB1E7E6"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 xml:space="preserve">en raison de la pandémie </w:t>
      </w:r>
      <w:r w:rsidR="009F4370">
        <w:rPr>
          <w:i/>
          <w:iCs/>
          <w:lang w:val="fr-FR"/>
        </w:rPr>
        <w:t>COVID-19</w:t>
      </w:r>
      <w:r w:rsidRPr="00547F47">
        <w:rPr>
          <w:i/>
          <w:iCs/>
          <w:lang w:val="fr-FR"/>
        </w:rPr>
        <w:t>.</w:t>
      </w:r>
    </w:p>
    <w:p w14:paraId="6E0FF915" w14:textId="77777777" w:rsidR="00600B5F" w:rsidRPr="00547F47" w:rsidRDefault="00600B5F" w:rsidP="00600B5F">
      <w:pPr>
        <w:pStyle w:val="ListParagraph"/>
        <w:rPr>
          <w:lang w:val="fr-FR"/>
        </w:rPr>
      </w:pPr>
    </w:p>
    <w:p w14:paraId="4CF1284A" w14:textId="5D1A6767" w:rsidR="00600B5F" w:rsidRPr="001745E8" w:rsidRDefault="001745E8" w:rsidP="00BF29BE">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 xml:space="preserve">euillez indiquer le montant total en USD des ajustements liés au </w:t>
      </w:r>
      <w:r w:rsidR="009F4370">
        <w:rPr>
          <w:lang w:val="fr-FR"/>
        </w:rPr>
        <w:t>COVID-19</w:t>
      </w:r>
      <w:r w:rsidR="00E271E4">
        <w:rPr>
          <w:lang w:val="fr-FR"/>
        </w:rPr>
        <w:t>.</w:t>
      </w:r>
    </w:p>
    <w:p w14:paraId="5AA36B62" w14:textId="77777777" w:rsidR="00600B5F" w:rsidRPr="001745E8" w:rsidRDefault="00600B5F" w:rsidP="00600B5F">
      <w:pPr>
        <w:rPr>
          <w:lang w:val="fr-FR"/>
        </w:rPr>
      </w:pPr>
    </w:p>
    <w:p w14:paraId="4A5B79E6" w14:textId="58FDB634" w:rsidR="00600B5F" w:rsidRPr="003107C9" w:rsidRDefault="006A6AE2" w:rsidP="00B578F3">
      <w:pPr>
        <w:rPr>
          <w:lang w:val="fr-FR"/>
        </w:rPr>
      </w:pPr>
      <w:r>
        <w:rPr>
          <w:lang w:val="fr-FR"/>
        </w:rPr>
        <w:t xml:space="preserve">                        </w:t>
      </w:r>
      <w:r w:rsidR="00BC786B">
        <w:t>N/A</w:t>
      </w:r>
    </w:p>
    <w:p w14:paraId="32604A97" w14:textId="77777777" w:rsidR="00600B5F" w:rsidRPr="003107C9" w:rsidRDefault="00600B5F" w:rsidP="00600B5F">
      <w:pPr>
        <w:rPr>
          <w:lang w:val="fr-FR"/>
        </w:rPr>
      </w:pPr>
    </w:p>
    <w:p w14:paraId="15268D0E" w14:textId="76ED47D1" w:rsidR="00600B5F" w:rsidRPr="003107C9" w:rsidRDefault="003107C9" w:rsidP="00BF29BE">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53A2203D" w14:textId="77777777" w:rsidR="00B578F3" w:rsidRDefault="00B578F3" w:rsidP="00B578F3">
      <w:pPr>
        <w:pStyle w:val="CommentText"/>
        <w:rPr>
          <w:sz w:val="24"/>
          <w:szCs w:val="24"/>
          <w:lang w:val="fr-FR"/>
        </w:rPr>
      </w:pPr>
    </w:p>
    <w:p w14:paraId="462AC412" w14:textId="77777777" w:rsidR="00816B5C" w:rsidRDefault="00816B5C" w:rsidP="00816B5C">
      <w:pPr>
        <w:pStyle w:val="CommentText"/>
        <w:jc w:val="both"/>
        <w:rPr>
          <w:sz w:val="24"/>
          <w:szCs w:val="24"/>
          <w:lang w:val="fr-FR"/>
        </w:rPr>
      </w:pPr>
      <w:r>
        <w:rPr>
          <w:sz w:val="24"/>
          <w:szCs w:val="24"/>
          <w:lang w:val="fr-FR"/>
        </w:rPr>
        <w:t>Les réunions de coordination et autres brainstormings se font dans certaines mesures</w:t>
      </w:r>
      <w:r w:rsidR="00B578F3">
        <w:rPr>
          <w:sz w:val="24"/>
          <w:szCs w:val="24"/>
          <w:lang w:val="fr-FR"/>
        </w:rPr>
        <w:t xml:space="preserve"> </w:t>
      </w:r>
      <w:r>
        <w:rPr>
          <w:sz w:val="24"/>
          <w:szCs w:val="24"/>
          <w:lang w:val="fr-FR"/>
        </w:rPr>
        <w:t>sur</w:t>
      </w:r>
      <w:r w:rsidR="00B578F3" w:rsidRPr="00B578F3">
        <w:rPr>
          <w:sz w:val="24"/>
          <w:szCs w:val="24"/>
          <w:lang w:val="fr-FR"/>
        </w:rPr>
        <w:t xml:space="preserve"> Teams.</w:t>
      </w:r>
      <w:r>
        <w:rPr>
          <w:sz w:val="24"/>
          <w:szCs w:val="24"/>
          <w:lang w:val="fr-FR"/>
        </w:rPr>
        <w:t xml:space="preserve"> </w:t>
      </w:r>
    </w:p>
    <w:p w14:paraId="0AAFE93F" w14:textId="68C41A1D" w:rsidR="00B578F3" w:rsidRPr="00B578F3" w:rsidRDefault="00816B5C" w:rsidP="00816B5C">
      <w:pPr>
        <w:pStyle w:val="CommentText"/>
        <w:jc w:val="both"/>
        <w:rPr>
          <w:sz w:val="24"/>
          <w:szCs w:val="24"/>
          <w:lang w:val="fr-FR"/>
        </w:rPr>
      </w:pPr>
      <w:r>
        <w:rPr>
          <w:sz w:val="24"/>
          <w:szCs w:val="24"/>
          <w:lang w:val="fr-FR"/>
        </w:rPr>
        <w:t>Des kits individuels d’hygiène liés à la Covid-19 sont régulièrement distribués par le Bureau du Coordonnateur Résident au staff PBF.</w:t>
      </w:r>
    </w:p>
    <w:p w14:paraId="05E8346E" w14:textId="77777777" w:rsidR="00B578F3" w:rsidRPr="00B578F3" w:rsidRDefault="00B578F3" w:rsidP="00B578F3">
      <w:pPr>
        <w:pStyle w:val="ListParagraph"/>
        <w:rPr>
          <w:lang w:val="fr-FR"/>
        </w:rPr>
      </w:pPr>
    </w:p>
    <w:p w14:paraId="4B6F17C3" w14:textId="50CDD5CB" w:rsidR="00600B5F" w:rsidRDefault="002D6DA0" w:rsidP="00BF29BE">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7675AC"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4B10078" w:rsidR="009E329B" w:rsidRDefault="007675AC"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816B5C">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7675AC"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7675AC"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7675AC"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843D3" w:rsidRDefault="007675AC"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843D3">
            <w:rPr>
              <w:rFonts w:ascii="MS Gothic" w:eastAsia="MS Gothic" w:hAnsi="MS Gothic" w:hint="eastAsia"/>
              <w:lang w:val="fr-FR"/>
            </w:rPr>
            <w:t>☐</w:t>
          </w:r>
        </w:sdtContent>
      </w:sdt>
      <w:r w:rsidR="00600B5F" w:rsidRPr="008843D3">
        <w:rPr>
          <w:lang w:val="fr-FR"/>
        </w:rPr>
        <w:t xml:space="preserve"> </w:t>
      </w:r>
      <w:r w:rsidR="00970D92" w:rsidRPr="008843D3">
        <w:rPr>
          <w:lang w:val="fr-FR"/>
        </w:rPr>
        <w:t>Autres</w:t>
      </w:r>
      <w:r w:rsidR="00600B5F" w:rsidRPr="008843D3">
        <w:rPr>
          <w:lang w:val="fr-FR"/>
        </w:rPr>
        <w:t xml:space="preserve"> (</w:t>
      </w:r>
      <w:r w:rsidR="00970D92" w:rsidRPr="008843D3">
        <w:rPr>
          <w:lang w:val="fr-FR"/>
        </w:rPr>
        <w:t xml:space="preserve">veuillez </w:t>
      </w:r>
      <w:r w:rsidR="00B82E71" w:rsidRPr="008843D3">
        <w:rPr>
          <w:lang w:val="fr-FR"/>
        </w:rPr>
        <w:t>préciser</w:t>
      </w:r>
      <w:r w:rsidR="00600B5F" w:rsidRPr="008843D3">
        <w:rPr>
          <w:lang w:val="fr-FR"/>
        </w:rPr>
        <w:t xml:space="preserve">): </w:t>
      </w:r>
      <w:r w:rsidR="00600B5F">
        <w:fldChar w:fldCharType="begin">
          <w:ffData>
            <w:name w:val=""/>
            <w:enabled/>
            <w:calcOnExit w:val="0"/>
            <w:textInput>
              <w:maxLength w:val="1500"/>
              <w:format w:val="FIRST CAPITAL"/>
            </w:textInput>
          </w:ffData>
        </w:fldChar>
      </w:r>
      <w:r w:rsidR="00600B5F" w:rsidRPr="008843D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843D3" w:rsidRDefault="00600B5F" w:rsidP="00600B5F">
      <w:pPr>
        <w:ind w:left="2160"/>
        <w:rPr>
          <w:lang w:val="fr-FR"/>
        </w:rPr>
      </w:pPr>
    </w:p>
    <w:p w14:paraId="46997774" w14:textId="052E5DD0" w:rsidR="00600B5F" w:rsidRPr="00D61557" w:rsidRDefault="00FD0105" w:rsidP="00600B5F">
      <w:pPr>
        <w:rPr>
          <w:lang w:val="fr-FR"/>
        </w:rPr>
      </w:pPr>
      <w:r w:rsidRPr="00D61557">
        <w:rPr>
          <w:lang w:val="fr-FR"/>
        </w:rPr>
        <w:t xml:space="preserve">Le cas échéant, veuillez partager une histoire de réussite </w:t>
      </w:r>
      <w:r w:rsidR="009F4370">
        <w:rPr>
          <w:lang w:val="fr-FR"/>
        </w:rPr>
        <w:t>COVID-19</w:t>
      </w:r>
      <w:r w:rsidRPr="00D61557">
        <w:rPr>
          <w:lang w:val="fr-FR"/>
        </w:rPr>
        <w:t xml:space="preserve">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DE6AE0A" w:rsidR="00600B5F" w:rsidRPr="00025765" w:rsidRDefault="00BC786B" w:rsidP="00600B5F">
      <w:pPr>
        <w:rPr>
          <w:lang w:val="fr-FR"/>
        </w:rPr>
      </w:pPr>
      <w:r w:rsidRPr="00025765">
        <w:rPr>
          <w:lang w:val="fr-FR"/>
        </w:rPr>
        <w:t>N/A</w:t>
      </w:r>
    </w:p>
    <w:p w14:paraId="22885BEA" w14:textId="77777777" w:rsidR="00600B5F" w:rsidRPr="00025765" w:rsidRDefault="00600B5F" w:rsidP="00600B5F">
      <w:pPr>
        <w:ind w:left="2160"/>
        <w:rPr>
          <w:lang w:val="fr-FR"/>
        </w:rPr>
      </w:pPr>
    </w:p>
    <w:p w14:paraId="63ED12FA" w14:textId="77777777" w:rsidR="004E3B3E" w:rsidRPr="00025765" w:rsidRDefault="004E3B3E" w:rsidP="0078600B">
      <w:pPr>
        <w:rPr>
          <w:lang w:val="fr-FR"/>
        </w:rPr>
        <w:sectPr w:rsidR="004E3B3E" w:rsidRPr="00025765" w:rsidSect="00952C6E">
          <w:pgSz w:w="11906" w:h="16838"/>
          <w:pgMar w:top="1440" w:right="1440" w:bottom="1440" w:left="144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936A63" w14:paraId="55AC7DE0" w14:textId="77777777" w:rsidTr="00826923">
        <w:trPr>
          <w:tblHeader/>
        </w:trPr>
        <w:tc>
          <w:tcPr>
            <w:tcW w:w="1530" w:type="dxa"/>
          </w:tcPr>
          <w:p w14:paraId="17B19ECD" w14:textId="77777777" w:rsidR="00826923" w:rsidRPr="00832213" w:rsidRDefault="00826923" w:rsidP="003B4F6E">
            <w:pPr>
              <w:jc w:val="center"/>
              <w:rPr>
                <w:rFonts w:cs="Tahoma"/>
                <w:b/>
                <w:sz w:val="20"/>
                <w:szCs w:val="20"/>
                <w:lang w:val="fr-FR" w:eastAsia="en-US"/>
              </w:rPr>
            </w:pPr>
          </w:p>
        </w:tc>
        <w:tc>
          <w:tcPr>
            <w:tcW w:w="2070" w:type="dxa"/>
            <w:shd w:val="clear" w:color="auto" w:fill="EEECE1"/>
          </w:tcPr>
          <w:p w14:paraId="1425E9C7" w14:textId="77777777" w:rsidR="00826923" w:rsidRPr="00832213" w:rsidRDefault="00826923" w:rsidP="003B4F6E">
            <w:pPr>
              <w:jc w:val="center"/>
              <w:rPr>
                <w:rFonts w:cs="Tahoma"/>
                <w:b/>
                <w:sz w:val="20"/>
                <w:szCs w:val="20"/>
                <w:lang w:val="fr-FR" w:eastAsia="en-US"/>
              </w:rPr>
            </w:pPr>
            <w:r w:rsidRPr="00832213">
              <w:rPr>
                <w:rFonts w:cs="Tahoma"/>
                <w:b/>
                <w:sz w:val="20"/>
                <w:szCs w:val="20"/>
                <w:lang w:val="fr-FR" w:eastAsia="en-US"/>
              </w:rPr>
              <w:t>Indicateurs</w:t>
            </w:r>
          </w:p>
        </w:tc>
        <w:tc>
          <w:tcPr>
            <w:tcW w:w="1530" w:type="dxa"/>
            <w:shd w:val="clear" w:color="auto" w:fill="EEECE1"/>
          </w:tcPr>
          <w:p w14:paraId="0D863FD4" w14:textId="5FD27CC6" w:rsidR="00826923" w:rsidRPr="00832213" w:rsidRDefault="00826923" w:rsidP="003B4F6E">
            <w:pPr>
              <w:jc w:val="center"/>
              <w:rPr>
                <w:rFonts w:cs="Tahoma"/>
                <w:b/>
                <w:sz w:val="20"/>
                <w:szCs w:val="20"/>
                <w:lang w:val="fr-FR" w:eastAsia="en-US"/>
              </w:rPr>
            </w:pPr>
            <w:r w:rsidRPr="00832213">
              <w:rPr>
                <w:rFonts w:cs="Tahoma"/>
                <w:b/>
                <w:sz w:val="20"/>
                <w:szCs w:val="20"/>
                <w:lang w:val="fr-FR" w:eastAsia="en-US"/>
              </w:rPr>
              <w:t>Base de donnée</w:t>
            </w:r>
            <w:r w:rsidR="008B7B0F" w:rsidRPr="00832213">
              <w:rPr>
                <w:rFonts w:cs="Tahoma"/>
                <w:b/>
                <w:sz w:val="20"/>
                <w:szCs w:val="20"/>
                <w:lang w:val="fr-FR" w:eastAsia="en-US"/>
              </w:rPr>
              <w:t>s</w:t>
            </w:r>
          </w:p>
        </w:tc>
        <w:tc>
          <w:tcPr>
            <w:tcW w:w="1620" w:type="dxa"/>
            <w:shd w:val="clear" w:color="auto" w:fill="EEECE1"/>
          </w:tcPr>
          <w:p w14:paraId="724B54E5" w14:textId="77777777" w:rsidR="00826923" w:rsidRPr="00832213" w:rsidRDefault="00826923" w:rsidP="003B4F6E">
            <w:pPr>
              <w:jc w:val="center"/>
              <w:rPr>
                <w:rFonts w:cs="Tahoma"/>
                <w:b/>
                <w:sz w:val="20"/>
                <w:szCs w:val="20"/>
                <w:lang w:val="fr-FR" w:eastAsia="en-US"/>
              </w:rPr>
            </w:pPr>
            <w:r w:rsidRPr="00832213">
              <w:rPr>
                <w:rFonts w:cs="Tahoma"/>
                <w:b/>
                <w:sz w:val="20"/>
                <w:szCs w:val="20"/>
                <w:lang w:val="fr-FR" w:eastAsia="en-US"/>
              </w:rPr>
              <w:t>Cible de fin de projet</w:t>
            </w:r>
          </w:p>
        </w:tc>
        <w:tc>
          <w:tcPr>
            <w:tcW w:w="2070" w:type="dxa"/>
          </w:tcPr>
          <w:p w14:paraId="4F04CDD3" w14:textId="77777777" w:rsidR="00826923" w:rsidRPr="00832213" w:rsidRDefault="00826923" w:rsidP="003B4F6E">
            <w:pPr>
              <w:jc w:val="center"/>
              <w:rPr>
                <w:rFonts w:cs="Tahoma"/>
                <w:b/>
                <w:sz w:val="20"/>
                <w:szCs w:val="20"/>
                <w:lang w:val="fr-FR" w:eastAsia="en-US"/>
              </w:rPr>
            </w:pPr>
            <w:r w:rsidRPr="00832213">
              <w:rPr>
                <w:rFonts w:cs="Tahoma"/>
                <w:b/>
                <w:sz w:val="20"/>
                <w:szCs w:val="20"/>
                <w:lang w:val="fr-FR" w:eastAsia="en-US"/>
              </w:rPr>
              <w:t xml:space="preserve">Etapes d’indicateur/ </w:t>
            </w:r>
            <w:proofErr w:type="spellStart"/>
            <w:r w:rsidRPr="00832213">
              <w:rPr>
                <w:rFonts w:cs="Tahoma"/>
                <w:b/>
                <w:sz w:val="20"/>
                <w:szCs w:val="20"/>
                <w:lang w:val="fr-FR" w:eastAsia="en-US"/>
              </w:rPr>
              <w:t>milestone</w:t>
            </w:r>
            <w:proofErr w:type="spellEnd"/>
          </w:p>
        </w:tc>
        <w:tc>
          <w:tcPr>
            <w:tcW w:w="2070" w:type="dxa"/>
          </w:tcPr>
          <w:p w14:paraId="06590294" w14:textId="77777777" w:rsidR="00826923" w:rsidRPr="00832213" w:rsidRDefault="00826923" w:rsidP="003B4F6E">
            <w:pPr>
              <w:jc w:val="center"/>
              <w:rPr>
                <w:rFonts w:cs="Tahoma"/>
                <w:b/>
                <w:sz w:val="20"/>
                <w:szCs w:val="20"/>
                <w:lang w:val="fr-FR" w:eastAsia="en-US"/>
              </w:rPr>
            </w:pPr>
            <w:r w:rsidRPr="00832213">
              <w:rPr>
                <w:rFonts w:cs="Tahoma"/>
                <w:b/>
                <w:sz w:val="20"/>
                <w:szCs w:val="20"/>
                <w:lang w:val="fr-FR" w:eastAsia="en-US"/>
              </w:rPr>
              <w:t>Progrès actuel de l’indicateur</w:t>
            </w:r>
          </w:p>
        </w:tc>
        <w:tc>
          <w:tcPr>
            <w:tcW w:w="4140" w:type="dxa"/>
          </w:tcPr>
          <w:p w14:paraId="1FC4A2F6" w14:textId="77777777" w:rsidR="00826923" w:rsidRPr="00832213" w:rsidRDefault="00826923" w:rsidP="003B4F6E">
            <w:pPr>
              <w:jc w:val="center"/>
              <w:rPr>
                <w:rFonts w:cs="Tahoma"/>
                <w:b/>
                <w:sz w:val="20"/>
                <w:szCs w:val="20"/>
                <w:lang w:val="fr-FR" w:eastAsia="en-US"/>
              </w:rPr>
            </w:pPr>
            <w:r w:rsidRPr="00832213">
              <w:rPr>
                <w:rFonts w:cs="Tahoma"/>
                <w:b/>
                <w:sz w:val="20"/>
                <w:szCs w:val="20"/>
                <w:lang w:val="fr-FR" w:eastAsia="en-US"/>
              </w:rPr>
              <w:t>Raisons pour les retards ou changements</w:t>
            </w:r>
          </w:p>
        </w:tc>
      </w:tr>
      <w:tr w:rsidR="003434BF" w:rsidRPr="00936A63" w14:paraId="66F874FD" w14:textId="77777777" w:rsidTr="00826923">
        <w:trPr>
          <w:trHeight w:val="548"/>
        </w:trPr>
        <w:tc>
          <w:tcPr>
            <w:tcW w:w="1530" w:type="dxa"/>
            <w:vMerge w:val="restart"/>
          </w:tcPr>
          <w:p w14:paraId="5565D14A" w14:textId="77777777" w:rsidR="003434BF" w:rsidRPr="00832213" w:rsidRDefault="003434BF" w:rsidP="003434BF">
            <w:pPr>
              <w:rPr>
                <w:rFonts w:cs="Tahoma"/>
                <w:b/>
                <w:sz w:val="20"/>
                <w:szCs w:val="20"/>
                <w:lang w:val="fr-FR" w:eastAsia="en-US"/>
              </w:rPr>
            </w:pPr>
            <w:r w:rsidRPr="00832213">
              <w:rPr>
                <w:rFonts w:cs="Tahoma"/>
                <w:b/>
                <w:sz w:val="20"/>
                <w:szCs w:val="20"/>
                <w:lang w:val="fr-FR" w:eastAsia="en-US"/>
              </w:rPr>
              <w:t>Résultat 1</w:t>
            </w:r>
          </w:p>
          <w:p w14:paraId="3E1AF8B2" w14:textId="32D76464" w:rsidR="003434BF" w:rsidRPr="00832213" w:rsidRDefault="003434BF" w:rsidP="003434BF">
            <w:pPr>
              <w:rPr>
                <w:rFonts w:cs="Tahoma"/>
                <w:b/>
                <w:sz w:val="20"/>
                <w:szCs w:val="20"/>
                <w:lang w:val="fr-FR" w:eastAsia="en-US"/>
              </w:rPr>
            </w:pPr>
            <w:r w:rsidRPr="00832213">
              <w:rPr>
                <w:b/>
                <w:sz w:val="20"/>
                <w:szCs w:val="20"/>
                <w:lang w:val="fr-CA"/>
              </w:rPr>
              <w:t xml:space="preserve">La coordination, le suivi &amp; évaluation, le rapportage et la communication des résultats du portefeuille du PBF sont assurés par le Secrétariat PBF et permettent une meilleure reddition des comptes </w:t>
            </w:r>
            <w:proofErr w:type="gramStart"/>
            <w:r w:rsidRPr="00832213">
              <w:rPr>
                <w:b/>
                <w:sz w:val="20"/>
                <w:szCs w:val="20"/>
                <w:lang w:val="fr-CA"/>
              </w:rPr>
              <w:t>et  connaissance</w:t>
            </w:r>
            <w:proofErr w:type="gramEnd"/>
            <w:r w:rsidRPr="00832213">
              <w:rPr>
                <w:b/>
                <w:sz w:val="20"/>
                <w:szCs w:val="20"/>
                <w:lang w:val="fr-CA"/>
              </w:rPr>
              <w:t xml:space="preserve"> des interventions</w:t>
            </w:r>
          </w:p>
        </w:tc>
        <w:tc>
          <w:tcPr>
            <w:tcW w:w="2070" w:type="dxa"/>
            <w:shd w:val="clear" w:color="auto" w:fill="EEECE1"/>
          </w:tcPr>
          <w:p w14:paraId="2BC3A553" w14:textId="77777777" w:rsidR="003434BF" w:rsidRPr="00832213" w:rsidRDefault="003434BF" w:rsidP="003434BF">
            <w:pPr>
              <w:jc w:val="both"/>
              <w:rPr>
                <w:rFonts w:cs="Tahoma"/>
                <w:sz w:val="20"/>
                <w:szCs w:val="20"/>
                <w:lang w:val="fr-FR" w:eastAsia="en-US"/>
              </w:rPr>
            </w:pPr>
            <w:r w:rsidRPr="00832213">
              <w:rPr>
                <w:rFonts w:cs="Tahoma"/>
                <w:sz w:val="20"/>
                <w:szCs w:val="20"/>
                <w:lang w:val="fr-FR" w:eastAsia="en-US"/>
              </w:rPr>
              <w:t>Indicateur 1.1</w:t>
            </w:r>
          </w:p>
          <w:p w14:paraId="097CEC72" w14:textId="289434F4" w:rsidR="003434BF" w:rsidRPr="00832213" w:rsidRDefault="003434BF" w:rsidP="003434BF">
            <w:pPr>
              <w:rPr>
                <w:sz w:val="20"/>
                <w:szCs w:val="20"/>
                <w:lang w:val="fr-FR"/>
              </w:rPr>
            </w:pPr>
            <w:r w:rsidRPr="00832213">
              <w:rPr>
                <w:sz w:val="20"/>
                <w:szCs w:val="20"/>
                <w:lang w:val="fr-FR"/>
              </w:rPr>
              <w:t>Accroissement du niveau de cohérence du portefeuille PBF</w:t>
            </w:r>
          </w:p>
          <w:p w14:paraId="0BAA20C5" w14:textId="0C50034D" w:rsidR="003434BF" w:rsidRPr="00832213" w:rsidRDefault="003434BF" w:rsidP="003434BF">
            <w:pPr>
              <w:jc w:val="both"/>
              <w:rPr>
                <w:sz w:val="20"/>
                <w:szCs w:val="20"/>
                <w:lang w:val="fr-FR"/>
              </w:rPr>
            </w:pPr>
          </w:p>
        </w:tc>
        <w:tc>
          <w:tcPr>
            <w:tcW w:w="1530" w:type="dxa"/>
            <w:shd w:val="clear" w:color="auto" w:fill="EEECE1"/>
          </w:tcPr>
          <w:p w14:paraId="18B7E136" w14:textId="027A9550" w:rsidR="003434BF" w:rsidRPr="00832213" w:rsidRDefault="003434BF" w:rsidP="003434BF">
            <w:pPr>
              <w:rPr>
                <w:rFonts w:cs="Tahoma"/>
                <w:sz w:val="20"/>
                <w:szCs w:val="20"/>
                <w:lang w:val="fr-FR" w:eastAsia="en-US"/>
              </w:rPr>
            </w:pPr>
            <w:r w:rsidRPr="00832213">
              <w:rPr>
                <w:sz w:val="20"/>
                <w:szCs w:val="20"/>
                <w:lang w:val="fr-FR"/>
              </w:rPr>
              <w:t>TBD en % (taux de cohérence à déterminer au 1</w:t>
            </w:r>
            <w:r w:rsidRPr="00832213">
              <w:rPr>
                <w:sz w:val="20"/>
                <w:szCs w:val="20"/>
                <w:vertAlign w:val="superscript"/>
                <w:lang w:val="fr-FR"/>
              </w:rPr>
              <w:t>er</w:t>
            </w:r>
            <w:r w:rsidRPr="00832213">
              <w:rPr>
                <w:sz w:val="20"/>
                <w:szCs w:val="20"/>
                <w:lang w:val="fr-FR"/>
              </w:rPr>
              <w:t xml:space="preserve"> trimestre du projet</w:t>
            </w:r>
          </w:p>
        </w:tc>
        <w:tc>
          <w:tcPr>
            <w:tcW w:w="1620" w:type="dxa"/>
            <w:shd w:val="clear" w:color="auto" w:fill="EEECE1"/>
          </w:tcPr>
          <w:p w14:paraId="794F99EE" w14:textId="5EE6158B" w:rsidR="003434BF" w:rsidRPr="00832213" w:rsidRDefault="003434BF" w:rsidP="003434BF">
            <w:pPr>
              <w:jc w:val="both"/>
              <w:rPr>
                <w:sz w:val="20"/>
                <w:szCs w:val="20"/>
                <w:lang w:val="fr-CA"/>
              </w:rPr>
            </w:pPr>
            <w:r w:rsidRPr="00832213">
              <w:rPr>
                <w:sz w:val="20"/>
                <w:szCs w:val="20"/>
                <w:lang w:val="fr-CA"/>
              </w:rPr>
              <w:t xml:space="preserve">Accroissement de 60% </w:t>
            </w:r>
          </w:p>
          <w:p w14:paraId="61479E92" w14:textId="5DA76160" w:rsidR="003434BF" w:rsidRPr="00832213" w:rsidRDefault="003434BF" w:rsidP="003434BF">
            <w:pPr>
              <w:rPr>
                <w:sz w:val="20"/>
                <w:szCs w:val="20"/>
                <w:lang w:val="fr-FR"/>
              </w:rPr>
            </w:pPr>
          </w:p>
        </w:tc>
        <w:tc>
          <w:tcPr>
            <w:tcW w:w="2070" w:type="dxa"/>
          </w:tcPr>
          <w:p w14:paraId="139B2B99" w14:textId="4AF11F68" w:rsidR="003434BF" w:rsidRPr="00832213" w:rsidRDefault="003434BF" w:rsidP="003434BF">
            <w:pPr>
              <w:jc w:val="center"/>
              <w:rPr>
                <w:sz w:val="20"/>
                <w:szCs w:val="20"/>
                <w:lang w:val="fr-FR"/>
              </w:rPr>
            </w:pPr>
            <w:r w:rsidRPr="00832213">
              <w:rPr>
                <w:b/>
                <w:sz w:val="20"/>
                <w:szCs w:val="20"/>
                <w:lang w:val="fr-FR" w:eastAsia="en-US"/>
              </w:rPr>
              <w:t>0%</w:t>
            </w:r>
          </w:p>
        </w:tc>
        <w:tc>
          <w:tcPr>
            <w:tcW w:w="2070" w:type="dxa"/>
          </w:tcPr>
          <w:p w14:paraId="42E436EB" w14:textId="3CD7D43F" w:rsidR="003434BF" w:rsidRPr="00832213" w:rsidRDefault="003434BF" w:rsidP="003434BF">
            <w:pPr>
              <w:rPr>
                <w:sz w:val="20"/>
                <w:szCs w:val="20"/>
                <w:lang w:val="fr-FR"/>
              </w:rPr>
            </w:pPr>
            <w:r w:rsidRPr="00832213">
              <w:rPr>
                <w:b/>
                <w:sz w:val="20"/>
                <w:szCs w:val="20"/>
                <w:lang w:val="fr-FR" w:eastAsia="en-US"/>
              </w:rPr>
              <w:t>0%</w:t>
            </w:r>
          </w:p>
        </w:tc>
        <w:tc>
          <w:tcPr>
            <w:tcW w:w="4140" w:type="dxa"/>
          </w:tcPr>
          <w:p w14:paraId="481BA0E6" w14:textId="308DC5C2" w:rsidR="003434BF" w:rsidRPr="00832213" w:rsidRDefault="003434BF" w:rsidP="003434BF">
            <w:pPr>
              <w:rPr>
                <w:bCs/>
                <w:sz w:val="20"/>
                <w:szCs w:val="20"/>
                <w:lang w:val="fr-FR"/>
              </w:rPr>
            </w:pPr>
            <w:r w:rsidRPr="00832213">
              <w:rPr>
                <w:bCs/>
                <w:sz w:val="20"/>
                <w:szCs w:val="20"/>
                <w:lang w:val="fr-FR"/>
              </w:rPr>
              <w:t>En attente d’une étude de perception des parties prenantes</w:t>
            </w:r>
          </w:p>
        </w:tc>
      </w:tr>
      <w:tr w:rsidR="003434BF" w:rsidRPr="00936A63" w14:paraId="08556BB5" w14:textId="77777777" w:rsidTr="00826923">
        <w:trPr>
          <w:trHeight w:val="548"/>
        </w:trPr>
        <w:tc>
          <w:tcPr>
            <w:tcW w:w="1530" w:type="dxa"/>
            <w:vMerge/>
          </w:tcPr>
          <w:p w14:paraId="64ACFB27" w14:textId="77777777" w:rsidR="003434BF" w:rsidRPr="00832213" w:rsidRDefault="003434BF" w:rsidP="003434BF">
            <w:pPr>
              <w:rPr>
                <w:rFonts w:cs="Tahoma"/>
                <w:b/>
                <w:sz w:val="20"/>
                <w:szCs w:val="20"/>
                <w:lang w:val="fr-FR" w:eastAsia="en-US"/>
              </w:rPr>
            </w:pPr>
          </w:p>
        </w:tc>
        <w:tc>
          <w:tcPr>
            <w:tcW w:w="2070" w:type="dxa"/>
            <w:shd w:val="clear" w:color="auto" w:fill="EEECE1"/>
          </w:tcPr>
          <w:p w14:paraId="5B2C00ED" w14:textId="77777777" w:rsidR="003434BF" w:rsidRPr="00832213" w:rsidRDefault="003434BF" w:rsidP="003434BF">
            <w:pPr>
              <w:jc w:val="both"/>
              <w:rPr>
                <w:rFonts w:cs="Tahoma"/>
                <w:sz w:val="20"/>
                <w:szCs w:val="20"/>
                <w:lang w:val="fr-FR" w:eastAsia="en-US"/>
              </w:rPr>
            </w:pPr>
            <w:r w:rsidRPr="00832213">
              <w:rPr>
                <w:rFonts w:cs="Tahoma"/>
                <w:sz w:val="20"/>
                <w:szCs w:val="20"/>
                <w:lang w:val="fr-FR" w:eastAsia="en-US"/>
              </w:rPr>
              <w:t>Indicateur 1.2</w:t>
            </w:r>
          </w:p>
          <w:p w14:paraId="22F42089" w14:textId="77777777" w:rsidR="003434BF" w:rsidRPr="00832213" w:rsidRDefault="003434BF" w:rsidP="003434BF">
            <w:pPr>
              <w:rPr>
                <w:sz w:val="20"/>
                <w:szCs w:val="20"/>
                <w:lang w:val="fr-FR"/>
              </w:rPr>
            </w:pPr>
            <w:r w:rsidRPr="00832213">
              <w:rPr>
                <w:sz w:val="20"/>
                <w:szCs w:val="20"/>
                <w:lang w:val="fr-FR"/>
              </w:rPr>
              <w:t>Accroissement du niveau de satisfaction des résultats PBF par les communautés.</w:t>
            </w:r>
          </w:p>
          <w:p w14:paraId="422C644E" w14:textId="045744B9" w:rsidR="003434BF" w:rsidRPr="00832213" w:rsidRDefault="003434BF" w:rsidP="003434BF">
            <w:pPr>
              <w:jc w:val="both"/>
              <w:rPr>
                <w:rFonts w:cs="Tahoma"/>
                <w:sz w:val="20"/>
                <w:szCs w:val="20"/>
                <w:lang w:val="fr-FR" w:eastAsia="en-US"/>
              </w:rPr>
            </w:pPr>
          </w:p>
        </w:tc>
        <w:tc>
          <w:tcPr>
            <w:tcW w:w="1530" w:type="dxa"/>
            <w:shd w:val="clear" w:color="auto" w:fill="EEECE1"/>
          </w:tcPr>
          <w:p w14:paraId="4586BCCF" w14:textId="77777777" w:rsidR="003434BF" w:rsidRPr="00832213" w:rsidRDefault="003434BF" w:rsidP="003434BF">
            <w:pPr>
              <w:rPr>
                <w:sz w:val="20"/>
                <w:szCs w:val="20"/>
                <w:lang w:val="fr-FR"/>
              </w:rPr>
            </w:pPr>
            <w:r w:rsidRPr="00832213">
              <w:rPr>
                <w:sz w:val="20"/>
                <w:szCs w:val="20"/>
                <w:lang w:val="fr-FR"/>
              </w:rPr>
              <w:t>TBD en % (niveau de satisfaction de cohérence à déterminer au 1</w:t>
            </w:r>
            <w:r w:rsidRPr="00832213">
              <w:rPr>
                <w:sz w:val="20"/>
                <w:szCs w:val="20"/>
                <w:vertAlign w:val="superscript"/>
                <w:lang w:val="fr-FR"/>
              </w:rPr>
              <w:t>er</w:t>
            </w:r>
            <w:r w:rsidRPr="00832213">
              <w:rPr>
                <w:sz w:val="20"/>
                <w:szCs w:val="20"/>
                <w:lang w:val="fr-FR"/>
              </w:rPr>
              <w:t xml:space="preserve"> trimestre du projet)</w:t>
            </w:r>
          </w:p>
          <w:p w14:paraId="3C10E6DE" w14:textId="1689F4F3" w:rsidR="003434BF" w:rsidRPr="00832213" w:rsidRDefault="003434BF" w:rsidP="003434BF">
            <w:pPr>
              <w:rPr>
                <w:sz w:val="20"/>
                <w:szCs w:val="20"/>
                <w:lang w:val="fr-CA"/>
              </w:rPr>
            </w:pPr>
          </w:p>
        </w:tc>
        <w:tc>
          <w:tcPr>
            <w:tcW w:w="1620" w:type="dxa"/>
            <w:shd w:val="clear" w:color="auto" w:fill="EEECE1"/>
          </w:tcPr>
          <w:p w14:paraId="6F75A704" w14:textId="0B987D07" w:rsidR="003434BF" w:rsidRPr="00832213" w:rsidRDefault="003434BF" w:rsidP="003434BF">
            <w:pPr>
              <w:rPr>
                <w:sz w:val="20"/>
                <w:szCs w:val="20"/>
                <w:lang w:val="fr-FR"/>
              </w:rPr>
            </w:pPr>
            <w:r w:rsidRPr="00832213">
              <w:rPr>
                <w:sz w:val="20"/>
                <w:szCs w:val="20"/>
                <w:lang w:val="fr-CA"/>
              </w:rPr>
              <w:t>Taux de satisfaction accrue de 60%</w:t>
            </w:r>
          </w:p>
        </w:tc>
        <w:tc>
          <w:tcPr>
            <w:tcW w:w="2070" w:type="dxa"/>
          </w:tcPr>
          <w:p w14:paraId="0F953287" w14:textId="2AF34861" w:rsidR="003434BF" w:rsidRPr="00832213" w:rsidRDefault="003434BF" w:rsidP="003434BF">
            <w:pPr>
              <w:jc w:val="center"/>
              <w:rPr>
                <w:sz w:val="20"/>
                <w:szCs w:val="20"/>
                <w:lang w:val="fr-FR"/>
              </w:rPr>
            </w:pPr>
            <w:r w:rsidRPr="00832213">
              <w:rPr>
                <w:b/>
                <w:sz w:val="20"/>
                <w:szCs w:val="20"/>
                <w:lang w:val="fr-FR" w:eastAsia="en-US"/>
              </w:rPr>
              <w:t>0%</w:t>
            </w:r>
          </w:p>
        </w:tc>
        <w:tc>
          <w:tcPr>
            <w:tcW w:w="2070" w:type="dxa"/>
          </w:tcPr>
          <w:p w14:paraId="69C01213" w14:textId="4DB22D15" w:rsidR="003434BF" w:rsidRPr="00832213" w:rsidRDefault="003434BF" w:rsidP="003434BF">
            <w:pPr>
              <w:rPr>
                <w:sz w:val="20"/>
                <w:szCs w:val="20"/>
                <w:lang w:val="fr-FR"/>
              </w:rPr>
            </w:pPr>
            <w:r w:rsidRPr="00832213">
              <w:rPr>
                <w:b/>
                <w:sz w:val="20"/>
                <w:szCs w:val="20"/>
                <w:lang w:val="fr-FR" w:eastAsia="en-US"/>
              </w:rPr>
              <w:t>0%</w:t>
            </w:r>
          </w:p>
        </w:tc>
        <w:tc>
          <w:tcPr>
            <w:tcW w:w="4140" w:type="dxa"/>
          </w:tcPr>
          <w:p w14:paraId="0882431D" w14:textId="5B968538" w:rsidR="003434BF" w:rsidRPr="00832213" w:rsidRDefault="003434BF" w:rsidP="003434BF">
            <w:pPr>
              <w:rPr>
                <w:bCs/>
                <w:sz w:val="20"/>
                <w:szCs w:val="20"/>
                <w:lang w:val="fr-FR"/>
              </w:rPr>
            </w:pPr>
            <w:r w:rsidRPr="00832213">
              <w:rPr>
                <w:bCs/>
                <w:sz w:val="20"/>
                <w:szCs w:val="20"/>
                <w:lang w:val="fr-FR" w:eastAsia="en-US"/>
              </w:rPr>
              <w:t xml:space="preserve">L’étude concrètement n’est pas encore réalisée. En revanche, </w:t>
            </w:r>
            <w:proofErr w:type="gramStart"/>
            <w:r w:rsidRPr="00832213">
              <w:rPr>
                <w:bCs/>
                <w:sz w:val="20"/>
                <w:szCs w:val="20"/>
                <w:lang w:val="fr-FR" w:eastAsia="en-US"/>
              </w:rPr>
              <w:t>suite à des</w:t>
            </w:r>
            <w:proofErr w:type="gramEnd"/>
            <w:r w:rsidRPr="00832213">
              <w:rPr>
                <w:bCs/>
                <w:sz w:val="20"/>
                <w:szCs w:val="20"/>
                <w:lang w:val="fr-FR" w:eastAsia="en-US"/>
              </w:rPr>
              <w:t xml:space="preserve"> missions de terrain et de discussions avec les parties prenantes, la majeure partie de la communauté est satisfaite des résultats du PBF. Une étude de perception sera conduite par le Secrétariat au cours du 1</w:t>
            </w:r>
            <w:r w:rsidRPr="00832213">
              <w:rPr>
                <w:bCs/>
                <w:sz w:val="20"/>
                <w:szCs w:val="20"/>
                <w:vertAlign w:val="superscript"/>
                <w:lang w:val="fr-FR" w:eastAsia="en-US"/>
              </w:rPr>
              <w:t>er</w:t>
            </w:r>
            <w:r w:rsidRPr="00832213">
              <w:rPr>
                <w:bCs/>
                <w:sz w:val="20"/>
                <w:szCs w:val="20"/>
                <w:lang w:val="fr-FR" w:eastAsia="en-US"/>
              </w:rPr>
              <w:t xml:space="preserve"> trimestre 2022.</w:t>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936A63" w14:paraId="5804B447" w14:textId="77777777" w:rsidTr="00826923">
        <w:trPr>
          <w:trHeight w:val="548"/>
        </w:trPr>
        <w:tc>
          <w:tcPr>
            <w:tcW w:w="1530" w:type="dxa"/>
            <w:vMerge w:val="restart"/>
          </w:tcPr>
          <w:p w14:paraId="324502FD" w14:textId="77777777" w:rsidR="003434BF" w:rsidRPr="005A6420" w:rsidRDefault="003434BF" w:rsidP="003434BF">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15C7D20" w14:textId="342FE52E" w:rsidR="003434BF" w:rsidRPr="00523EA1" w:rsidRDefault="003434BF" w:rsidP="003434BF">
            <w:pPr>
              <w:rPr>
                <w:b/>
                <w:sz w:val="20"/>
                <w:szCs w:val="20"/>
                <w:lang w:val="fr-FR"/>
              </w:rPr>
            </w:pPr>
            <w:r w:rsidRPr="00523EA1">
              <w:rPr>
                <w:b/>
                <w:sz w:val="20"/>
                <w:szCs w:val="20"/>
                <w:lang w:val="fr-FR"/>
              </w:rPr>
              <w:lastRenderedPageBreak/>
              <w:t>Le Secrétariat PBF est opérationnel</w:t>
            </w:r>
            <w:r>
              <w:rPr>
                <w:b/>
                <w:sz w:val="20"/>
                <w:szCs w:val="20"/>
                <w:lang w:val="fr-FR"/>
              </w:rPr>
              <w:t>.</w:t>
            </w:r>
          </w:p>
          <w:p w14:paraId="1C9067CC" w14:textId="7438FA3B" w:rsidR="003434BF" w:rsidRPr="005A6420" w:rsidRDefault="003434BF" w:rsidP="003434BF">
            <w:pPr>
              <w:rPr>
                <w:rFonts w:cs="Tahoma"/>
                <w:szCs w:val="20"/>
                <w:lang w:val="fr-FR" w:eastAsia="en-US"/>
              </w:rPr>
            </w:pPr>
          </w:p>
          <w:p w14:paraId="6AEAC650" w14:textId="77777777" w:rsidR="003434BF" w:rsidRPr="005A6420" w:rsidRDefault="003434BF" w:rsidP="003434BF">
            <w:pPr>
              <w:rPr>
                <w:rFonts w:cs="Tahoma"/>
                <w:b/>
                <w:szCs w:val="20"/>
                <w:lang w:val="fr-FR" w:eastAsia="en-US"/>
              </w:rPr>
            </w:pPr>
          </w:p>
        </w:tc>
        <w:tc>
          <w:tcPr>
            <w:tcW w:w="2070" w:type="dxa"/>
            <w:shd w:val="clear" w:color="auto" w:fill="EEECE1"/>
          </w:tcPr>
          <w:p w14:paraId="70C4A533" w14:textId="77777777" w:rsidR="003434BF" w:rsidRDefault="003434BF" w:rsidP="003434BF">
            <w:pPr>
              <w:jc w:val="both"/>
              <w:rPr>
                <w:rFonts w:cs="Tahoma"/>
                <w:szCs w:val="20"/>
                <w:lang w:val="fr-FR" w:eastAsia="en-US"/>
              </w:rPr>
            </w:pPr>
            <w:r w:rsidRPr="005A6420">
              <w:rPr>
                <w:rFonts w:cs="Tahoma"/>
                <w:szCs w:val="20"/>
                <w:lang w:val="fr-FR" w:eastAsia="en-US"/>
              </w:rPr>
              <w:lastRenderedPageBreak/>
              <w:t>Indicateur  1.1.1</w:t>
            </w:r>
          </w:p>
          <w:p w14:paraId="5C9DFE36" w14:textId="77777777" w:rsidR="003434BF" w:rsidRPr="00523EA1" w:rsidRDefault="003434BF" w:rsidP="003434BF">
            <w:pPr>
              <w:jc w:val="both"/>
              <w:rPr>
                <w:sz w:val="20"/>
                <w:szCs w:val="20"/>
                <w:lang w:val="fr-FR"/>
              </w:rPr>
            </w:pPr>
            <w:r>
              <w:rPr>
                <w:sz w:val="20"/>
                <w:szCs w:val="20"/>
                <w:lang w:val="fr-FR"/>
              </w:rPr>
              <w:lastRenderedPageBreak/>
              <w:t># de rapports mandataires de qualité soumis au PBSO</w:t>
            </w:r>
          </w:p>
          <w:p w14:paraId="2625E4F1" w14:textId="5AF5C391" w:rsidR="003434BF" w:rsidRPr="00BC786B" w:rsidRDefault="003434BF" w:rsidP="003434BF">
            <w:pPr>
              <w:jc w:val="both"/>
              <w:rPr>
                <w:rFonts w:cs="Tahoma"/>
                <w:szCs w:val="20"/>
                <w:lang w:val="fr-FR" w:eastAsia="en-US"/>
              </w:rPr>
            </w:pPr>
          </w:p>
        </w:tc>
        <w:tc>
          <w:tcPr>
            <w:tcW w:w="1530" w:type="dxa"/>
            <w:shd w:val="clear" w:color="auto" w:fill="EEECE1"/>
          </w:tcPr>
          <w:p w14:paraId="6B7CDBE6" w14:textId="77777777" w:rsidR="003434BF" w:rsidRPr="00523EA1" w:rsidRDefault="003434BF" w:rsidP="003434BF">
            <w:pPr>
              <w:jc w:val="both"/>
              <w:rPr>
                <w:sz w:val="20"/>
                <w:szCs w:val="20"/>
                <w:lang w:val="fr-FR"/>
              </w:rPr>
            </w:pPr>
            <w:r>
              <w:rPr>
                <w:i/>
                <w:sz w:val="20"/>
                <w:szCs w:val="20"/>
                <w:lang w:val="fr-FR"/>
              </w:rPr>
              <w:lastRenderedPageBreak/>
              <w:t>0 rapports mandataires</w:t>
            </w:r>
          </w:p>
          <w:p w14:paraId="16CCB956" w14:textId="3160989D" w:rsidR="003434BF" w:rsidRPr="005A6420" w:rsidRDefault="003434BF" w:rsidP="003434BF">
            <w:pPr>
              <w:jc w:val="both"/>
              <w:rPr>
                <w:lang w:val="fr-FR"/>
              </w:rPr>
            </w:pPr>
          </w:p>
        </w:tc>
        <w:tc>
          <w:tcPr>
            <w:tcW w:w="1620" w:type="dxa"/>
            <w:shd w:val="clear" w:color="auto" w:fill="EEECE1"/>
          </w:tcPr>
          <w:p w14:paraId="46EECC2B" w14:textId="6043CAD7" w:rsidR="003434BF" w:rsidRPr="005A6420" w:rsidRDefault="003434BF" w:rsidP="003434BF">
            <w:pPr>
              <w:rPr>
                <w:lang w:val="fr-FR"/>
              </w:rPr>
            </w:pPr>
            <w:r>
              <w:rPr>
                <w:sz w:val="20"/>
                <w:szCs w:val="20"/>
                <w:lang w:val="fr-FR"/>
              </w:rPr>
              <w:lastRenderedPageBreak/>
              <w:t xml:space="preserve">Tous les projets auront soumis 2 </w:t>
            </w:r>
            <w:r>
              <w:rPr>
                <w:sz w:val="20"/>
                <w:szCs w:val="20"/>
                <w:lang w:val="fr-FR"/>
              </w:rPr>
              <w:lastRenderedPageBreak/>
              <w:t>rapports mandataires par an.</w:t>
            </w:r>
          </w:p>
        </w:tc>
        <w:tc>
          <w:tcPr>
            <w:tcW w:w="2070" w:type="dxa"/>
          </w:tcPr>
          <w:p w14:paraId="521B62BD" w14:textId="6199BB73" w:rsidR="003434BF" w:rsidRPr="005A6420" w:rsidRDefault="003434BF" w:rsidP="003434BF">
            <w:pPr>
              <w:jc w:val="center"/>
              <w:rPr>
                <w:lang w:val="fr-FR"/>
              </w:rPr>
            </w:pPr>
            <w:r>
              <w:rPr>
                <w:b/>
                <w:sz w:val="22"/>
                <w:szCs w:val="22"/>
                <w:lang w:val="fr-FR" w:eastAsia="en-US"/>
              </w:rPr>
              <w:lastRenderedPageBreak/>
              <w:t>10</w:t>
            </w:r>
          </w:p>
        </w:tc>
        <w:tc>
          <w:tcPr>
            <w:tcW w:w="2070" w:type="dxa"/>
          </w:tcPr>
          <w:p w14:paraId="3EC7CCD1" w14:textId="77777777" w:rsidR="003434BF" w:rsidRPr="003434BF" w:rsidRDefault="003434BF" w:rsidP="003434BF">
            <w:pPr>
              <w:rPr>
                <w:bCs/>
                <w:sz w:val="22"/>
                <w:szCs w:val="22"/>
                <w:lang w:val="fr-FR" w:eastAsia="en-US"/>
              </w:rPr>
            </w:pPr>
            <w:r w:rsidRPr="003434BF">
              <w:rPr>
                <w:bCs/>
                <w:sz w:val="22"/>
                <w:szCs w:val="22"/>
                <w:lang w:val="fr-FR" w:eastAsia="en-US"/>
              </w:rPr>
              <w:t xml:space="preserve">10 Rapports semestriels </w:t>
            </w:r>
            <w:r w:rsidRPr="003434BF">
              <w:rPr>
                <w:bCs/>
                <w:sz w:val="22"/>
                <w:szCs w:val="22"/>
                <w:lang w:val="fr-FR" w:eastAsia="en-US"/>
              </w:rPr>
              <w:lastRenderedPageBreak/>
              <w:t>de projets actifs en 2021 ;</w:t>
            </w:r>
          </w:p>
          <w:p w14:paraId="12094226" w14:textId="77777777" w:rsidR="003434BF" w:rsidRPr="003434BF" w:rsidRDefault="003434BF" w:rsidP="003434BF">
            <w:pPr>
              <w:rPr>
                <w:bCs/>
                <w:lang w:val="fr-FR"/>
              </w:rPr>
            </w:pPr>
            <w:r w:rsidRPr="003434BF">
              <w:rPr>
                <w:bCs/>
                <w:sz w:val="22"/>
                <w:szCs w:val="22"/>
                <w:lang w:val="fr-FR" w:eastAsia="en-US"/>
              </w:rPr>
              <w:t xml:space="preserve">6 Rapports annuels et d’évaluation finale indépendante </w:t>
            </w:r>
          </w:p>
          <w:p w14:paraId="7FA7D3AF" w14:textId="5CF85AFF" w:rsidR="003434BF" w:rsidRPr="003434BF" w:rsidRDefault="003434BF" w:rsidP="003434BF">
            <w:pPr>
              <w:rPr>
                <w:bCs/>
                <w:lang w:val="fr-FR"/>
              </w:rPr>
            </w:pPr>
          </w:p>
        </w:tc>
        <w:tc>
          <w:tcPr>
            <w:tcW w:w="4140" w:type="dxa"/>
          </w:tcPr>
          <w:p w14:paraId="6470D769" w14:textId="2E837DAD" w:rsidR="003434BF" w:rsidRPr="005A6420" w:rsidRDefault="003434BF" w:rsidP="003434BF">
            <w:pPr>
              <w:rPr>
                <w:lang w:val="fr-FR"/>
              </w:rPr>
            </w:pPr>
          </w:p>
        </w:tc>
      </w:tr>
      <w:tr w:rsidR="003434BF" w:rsidRPr="005A6420" w14:paraId="15BD3BE2" w14:textId="77777777" w:rsidTr="00826923">
        <w:trPr>
          <w:trHeight w:val="512"/>
        </w:trPr>
        <w:tc>
          <w:tcPr>
            <w:tcW w:w="1530" w:type="dxa"/>
            <w:vMerge/>
          </w:tcPr>
          <w:p w14:paraId="4784FF87" w14:textId="77777777" w:rsidR="003434BF" w:rsidRPr="005A6420" w:rsidRDefault="003434BF" w:rsidP="003434BF">
            <w:pPr>
              <w:rPr>
                <w:rFonts w:cs="Tahoma"/>
                <w:b/>
                <w:szCs w:val="20"/>
                <w:lang w:val="fr-FR" w:eastAsia="en-US"/>
              </w:rPr>
            </w:pPr>
          </w:p>
        </w:tc>
        <w:tc>
          <w:tcPr>
            <w:tcW w:w="2070" w:type="dxa"/>
            <w:shd w:val="clear" w:color="auto" w:fill="EEECE1"/>
          </w:tcPr>
          <w:p w14:paraId="544BC1EC"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1.1.2</w:t>
            </w:r>
          </w:p>
          <w:p w14:paraId="795B5971"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77777777" w:rsidR="003434BF" w:rsidRPr="005A6420" w:rsidRDefault="003434BF" w:rsidP="003434BF">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77777777" w:rsidR="003434BF" w:rsidRPr="005A6420" w:rsidRDefault="003434BF" w:rsidP="003434BF">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D32824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936A63" w14:paraId="0B2EE17F" w14:textId="77777777" w:rsidTr="00826923">
        <w:trPr>
          <w:trHeight w:val="440"/>
        </w:trPr>
        <w:tc>
          <w:tcPr>
            <w:tcW w:w="1530" w:type="dxa"/>
            <w:vMerge w:val="restart"/>
          </w:tcPr>
          <w:p w14:paraId="17AF0F44" w14:textId="77777777" w:rsidR="003434BF" w:rsidRPr="005A6420" w:rsidRDefault="003434BF" w:rsidP="003434BF">
            <w:pPr>
              <w:rPr>
                <w:rFonts w:cs="Tahoma"/>
                <w:szCs w:val="20"/>
                <w:lang w:val="fr-FR" w:eastAsia="en-US"/>
              </w:rPr>
            </w:pPr>
            <w:r w:rsidRPr="005A6420">
              <w:rPr>
                <w:rFonts w:cs="Tahoma"/>
                <w:szCs w:val="20"/>
                <w:lang w:val="fr-FR" w:eastAsia="en-US"/>
              </w:rPr>
              <w:t>Produit 1.2</w:t>
            </w:r>
          </w:p>
          <w:p w14:paraId="31E96617" w14:textId="6259021C" w:rsidR="003434BF" w:rsidRPr="005A6420" w:rsidRDefault="003434BF" w:rsidP="003434BF">
            <w:pPr>
              <w:rPr>
                <w:rFonts w:cs="Tahoma"/>
                <w:szCs w:val="20"/>
                <w:lang w:val="fr-FR" w:eastAsia="en-US"/>
              </w:rPr>
            </w:pPr>
            <w:r w:rsidRPr="000919D2">
              <w:rPr>
                <w:b/>
                <w:sz w:val="20"/>
                <w:szCs w:val="20"/>
                <w:lang w:val="fr-CA"/>
              </w:rPr>
              <w:t>Des mécanismes de coordination entre les projets et les partenaires clés sont mise en place pour assurer la réalisation des résultats stratégiques du portefeuille PBF</w:t>
            </w:r>
          </w:p>
        </w:tc>
        <w:tc>
          <w:tcPr>
            <w:tcW w:w="2070" w:type="dxa"/>
            <w:shd w:val="clear" w:color="auto" w:fill="EEECE1"/>
          </w:tcPr>
          <w:p w14:paraId="61FE57A5"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1.2.1</w:t>
            </w:r>
          </w:p>
          <w:p w14:paraId="7575463B" w14:textId="6119D6DC" w:rsidR="003434BF" w:rsidRPr="005A6420" w:rsidRDefault="003434BF" w:rsidP="003434BF">
            <w:pPr>
              <w:jc w:val="both"/>
              <w:rPr>
                <w:rFonts w:cs="Tahoma"/>
                <w:szCs w:val="20"/>
                <w:lang w:val="fr-FR" w:eastAsia="en-US"/>
              </w:rPr>
            </w:pPr>
            <w:r w:rsidRPr="000919D2">
              <w:rPr>
                <w:sz w:val="20"/>
                <w:szCs w:val="20"/>
                <w:lang w:val="fr-CA"/>
              </w:rPr>
              <w:t>Cartographie des acteurs dans le domaine de la consolidation de la paix</w:t>
            </w:r>
          </w:p>
        </w:tc>
        <w:tc>
          <w:tcPr>
            <w:tcW w:w="1530" w:type="dxa"/>
            <w:shd w:val="clear" w:color="auto" w:fill="EEECE1"/>
          </w:tcPr>
          <w:p w14:paraId="2F1437DA" w14:textId="1B593642" w:rsidR="003434BF" w:rsidRPr="005A6420" w:rsidRDefault="003434BF" w:rsidP="003434BF">
            <w:pPr>
              <w:jc w:val="center"/>
              <w:rPr>
                <w:lang w:val="fr-FR"/>
              </w:rPr>
            </w:pPr>
            <w:r>
              <w:rPr>
                <w:b/>
                <w:sz w:val="22"/>
                <w:szCs w:val="22"/>
                <w:lang w:val="fr-FR" w:eastAsia="en-US"/>
              </w:rPr>
              <w:t>0</w:t>
            </w:r>
          </w:p>
        </w:tc>
        <w:tc>
          <w:tcPr>
            <w:tcW w:w="1620" w:type="dxa"/>
            <w:shd w:val="clear" w:color="auto" w:fill="EEECE1"/>
          </w:tcPr>
          <w:p w14:paraId="6F23282A" w14:textId="77777777" w:rsidR="003434BF" w:rsidRPr="000919D2" w:rsidRDefault="003434BF" w:rsidP="003434BF">
            <w:pPr>
              <w:rPr>
                <w:sz w:val="20"/>
                <w:szCs w:val="20"/>
                <w:lang w:val="fr-CA"/>
              </w:rPr>
            </w:pPr>
            <w:r w:rsidRPr="000919D2">
              <w:rPr>
                <w:sz w:val="20"/>
                <w:szCs w:val="20"/>
                <w:lang w:val="fr-CA"/>
              </w:rPr>
              <w:t>01 cartographie disponible et mise à jour régulièrement</w:t>
            </w:r>
          </w:p>
          <w:p w14:paraId="35AF67C2" w14:textId="4883460C" w:rsidR="003434BF" w:rsidRPr="00C14B1A" w:rsidRDefault="003434BF" w:rsidP="003434BF">
            <w:pPr>
              <w:rPr>
                <w:lang w:val="fr-CA"/>
              </w:rPr>
            </w:pPr>
          </w:p>
        </w:tc>
        <w:tc>
          <w:tcPr>
            <w:tcW w:w="2070" w:type="dxa"/>
          </w:tcPr>
          <w:p w14:paraId="252C54D8" w14:textId="1B0F7428" w:rsidR="003434BF" w:rsidRPr="005A6420" w:rsidRDefault="003434BF" w:rsidP="003434BF">
            <w:pPr>
              <w:jc w:val="center"/>
              <w:rPr>
                <w:lang w:val="fr-FR"/>
              </w:rPr>
            </w:pPr>
            <w:r>
              <w:rPr>
                <w:b/>
                <w:sz w:val="22"/>
                <w:szCs w:val="22"/>
                <w:lang w:val="fr-FR" w:eastAsia="en-US"/>
              </w:rPr>
              <w:t>1</w:t>
            </w:r>
          </w:p>
        </w:tc>
        <w:tc>
          <w:tcPr>
            <w:tcW w:w="2070" w:type="dxa"/>
          </w:tcPr>
          <w:p w14:paraId="30BFB45E" w14:textId="7F83300F" w:rsidR="003434BF" w:rsidRPr="005A6420" w:rsidRDefault="003434BF" w:rsidP="003434BF">
            <w:pPr>
              <w:jc w:val="center"/>
              <w:rPr>
                <w:lang w:val="fr-FR"/>
              </w:rPr>
            </w:pPr>
            <w:r>
              <w:rPr>
                <w:b/>
                <w:sz w:val="22"/>
                <w:szCs w:val="22"/>
                <w:lang w:val="fr-FR" w:eastAsia="en-US"/>
              </w:rPr>
              <w:t>2</w:t>
            </w:r>
          </w:p>
        </w:tc>
        <w:tc>
          <w:tcPr>
            <w:tcW w:w="4140" w:type="dxa"/>
          </w:tcPr>
          <w:p w14:paraId="45774214" w14:textId="66D7A370" w:rsidR="003434BF" w:rsidRPr="000025F4" w:rsidRDefault="003434BF" w:rsidP="003434BF">
            <w:pPr>
              <w:rPr>
                <w:bCs/>
                <w:lang w:val="fr-FR"/>
              </w:rPr>
            </w:pPr>
            <w:r w:rsidRPr="000025F4">
              <w:rPr>
                <w:bCs/>
                <w:sz w:val="22"/>
                <w:szCs w:val="22"/>
                <w:lang w:val="fr-FR" w:eastAsia="en-US"/>
              </w:rPr>
              <w:t xml:space="preserve">Une mise à jour de la cartographie des acteurs </w:t>
            </w:r>
            <w:r>
              <w:rPr>
                <w:bCs/>
                <w:sz w:val="22"/>
                <w:szCs w:val="22"/>
                <w:lang w:val="fr-FR" w:eastAsia="en-US"/>
              </w:rPr>
              <w:t>a été faite en Septembre 2021.</w:t>
            </w:r>
          </w:p>
        </w:tc>
      </w:tr>
      <w:tr w:rsidR="003434BF" w:rsidRPr="001F6831" w14:paraId="3F95CC23" w14:textId="77777777" w:rsidTr="00C14B1A">
        <w:trPr>
          <w:trHeight w:val="1029"/>
        </w:trPr>
        <w:tc>
          <w:tcPr>
            <w:tcW w:w="1530" w:type="dxa"/>
            <w:vMerge/>
          </w:tcPr>
          <w:p w14:paraId="208D6BA7" w14:textId="77777777" w:rsidR="003434BF" w:rsidRPr="005A6420" w:rsidRDefault="003434BF" w:rsidP="003434BF">
            <w:pPr>
              <w:rPr>
                <w:rFonts w:cs="Tahoma"/>
                <w:b/>
                <w:szCs w:val="20"/>
                <w:lang w:val="fr-FR" w:eastAsia="en-US"/>
              </w:rPr>
            </w:pPr>
          </w:p>
        </w:tc>
        <w:tc>
          <w:tcPr>
            <w:tcW w:w="2070" w:type="dxa"/>
            <w:shd w:val="clear" w:color="auto" w:fill="EEECE1"/>
          </w:tcPr>
          <w:p w14:paraId="6C67A714"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1.2.2</w:t>
            </w:r>
          </w:p>
          <w:p w14:paraId="5F819A0F" w14:textId="29BCFB37" w:rsidR="003434BF" w:rsidRPr="00C14B1A" w:rsidRDefault="003434BF" w:rsidP="003434BF">
            <w:pPr>
              <w:rPr>
                <w:rFonts w:cs="Tahoma"/>
                <w:szCs w:val="20"/>
                <w:lang w:val="fr-CA" w:eastAsia="en-US"/>
              </w:rPr>
            </w:pPr>
            <w:r w:rsidRPr="000919D2">
              <w:rPr>
                <w:sz w:val="20"/>
                <w:szCs w:val="20"/>
                <w:lang w:val="fr-CA"/>
              </w:rPr>
              <w:t xml:space="preserve"># </w:t>
            </w:r>
            <w:r>
              <w:rPr>
                <w:sz w:val="20"/>
                <w:szCs w:val="20"/>
                <w:lang w:val="fr-CA"/>
              </w:rPr>
              <w:t>Notes d’orientation stratégique (Dashboard)</w:t>
            </w:r>
          </w:p>
        </w:tc>
        <w:tc>
          <w:tcPr>
            <w:tcW w:w="1530" w:type="dxa"/>
            <w:shd w:val="clear" w:color="auto" w:fill="EEECE1"/>
          </w:tcPr>
          <w:p w14:paraId="0A000B97" w14:textId="493A45D8" w:rsidR="003434BF" w:rsidRPr="005A6420" w:rsidRDefault="003434BF" w:rsidP="003434BF">
            <w:pPr>
              <w:jc w:val="center"/>
              <w:rPr>
                <w:lang w:val="fr-FR"/>
              </w:rPr>
            </w:pPr>
            <w:r>
              <w:rPr>
                <w:b/>
                <w:sz w:val="22"/>
                <w:szCs w:val="22"/>
                <w:lang w:val="fr-FR" w:eastAsia="en-US"/>
              </w:rPr>
              <w:t>0</w:t>
            </w:r>
          </w:p>
        </w:tc>
        <w:tc>
          <w:tcPr>
            <w:tcW w:w="1620" w:type="dxa"/>
            <w:shd w:val="clear" w:color="auto" w:fill="EEECE1"/>
          </w:tcPr>
          <w:p w14:paraId="629C0587" w14:textId="38E6FB51" w:rsidR="003434BF" w:rsidRPr="000919D2" w:rsidRDefault="003434BF" w:rsidP="003434BF">
            <w:pPr>
              <w:rPr>
                <w:sz w:val="20"/>
                <w:szCs w:val="20"/>
                <w:lang w:val="fr-CA"/>
              </w:rPr>
            </w:pPr>
            <w:r>
              <w:rPr>
                <w:sz w:val="20"/>
                <w:szCs w:val="20"/>
                <w:lang w:val="fr-CA"/>
              </w:rPr>
              <w:t xml:space="preserve">6 dont </w:t>
            </w:r>
            <w:r w:rsidRPr="000919D2">
              <w:rPr>
                <w:sz w:val="20"/>
                <w:szCs w:val="20"/>
                <w:lang w:val="fr-CA"/>
              </w:rPr>
              <w:t xml:space="preserve">3 rapports </w:t>
            </w:r>
            <w:r>
              <w:rPr>
                <w:sz w:val="20"/>
                <w:szCs w:val="20"/>
                <w:lang w:val="fr-CA"/>
              </w:rPr>
              <w:t>d’orientation par an pendant 2 ans</w:t>
            </w:r>
          </w:p>
          <w:p w14:paraId="3EC9670A" w14:textId="7219CB60" w:rsidR="003434BF" w:rsidRPr="005A6420" w:rsidRDefault="003434BF" w:rsidP="003434BF">
            <w:pPr>
              <w:rPr>
                <w:lang w:val="fr-FR"/>
              </w:rPr>
            </w:pPr>
          </w:p>
        </w:tc>
        <w:tc>
          <w:tcPr>
            <w:tcW w:w="2070" w:type="dxa"/>
          </w:tcPr>
          <w:p w14:paraId="4F82B38A" w14:textId="3D47AEF5" w:rsidR="003434BF" w:rsidRPr="005A6420" w:rsidRDefault="003434BF" w:rsidP="003434BF">
            <w:pPr>
              <w:jc w:val="center"/>
              <w:rPr>
                <w:lang w:val="fr-FR"/>
              </w:rPr>
            </w:pPr>
            <w:r>
              <w:rPr>
                <w:b/>
                <w:sz w:val="22"/>
                <w:szCs w:val="22"/>
                <w:lang w:val="fr-FR" w:eastAsia="en-US"/>
              </w:rPr>
              <w:t>2</w:t>
            </w:r>
          </w:p>
        </w:tc>
        <w:tc>
          <w:tcPr>
            <w:tcW w:w="2070" w:type="dxa"/>
          </w:tcPr>
          <w:p w14:paraId="067B2FA7" w14:textId="71BC2D44" w:rsidR="003434BF" w:rsidRDefault="003434BF" w:rsidP="003434BF">
            <w:pPr>
              <w:rPr>
                <w:bCs/>
                <w:sz w:val="20"/>
                <w:szCs w:val="20"/>
                <w:lang w:val="fr-FR"/>
              </w:rPr>
            </w:pPr>
            <w:r w:rsidRPr="003434BF">
              <w:rPr>
                <w:bCs/>
                <w:sz w:val="20"/>
                <w:szCs w:val="20"/>
                <w:lang w:val="fr-FR"/>
              </w:rPr>
              <w:t>Une</w:t>
            </w:r>
            <w:r>
              <w:rPr>
                <w:bCs/>
                <w:sz w:val="20"/>
                <w:szCs w:val="20"/>
                <w:lang w:val="fr-FR"/>
              </w:rPr>
              <w:t xml:space="preserve"> (1)</w:t>
            </w:r>
            <w:r w:rsidRPr="003434BF">
              <w:rPr>
                <w:bCs/>
                <w:sz w:val="20"/>
                <w:szCs w:val="20"/>
                <w:lang w:val="fr-FR"/>
              </w:rPr>
              <w:t xml:space="preserve"> Note d’analyse sur le suivi communautaire</w:t>
            </w:r>
          </w:p>
          <w:p w14:paraId="74C4D758" w14:textId="0DDCFBFF" w:rsidR="003434BF" w:rsidRPr="003434BF" w:rsidRDefault="003434BF" w:rsidP="003434BF">
            <w:pPr>
              <w:rPr>
                <w:bCs/>
                <w:sz w:val="20"/>
                <w:szCs w:val="20"/>
                <w:lang w:val="fr-FR"/>
              </w:rPr>
            </w:pPr>
            <w:r>
              <w:rPr>
                <w:sz w:val="20"/>
                <w:szCs w:val="20"/>
                <w:lang w:val="fr-CA"/>
              </w:rPr>
              <w:t xml:space="preserve">4 </w:t>
            </w:r>
            <w:r w:rsidRPr="003434BF">
              <w:rPr>
                <w:sz w:val="20"/>
                <w:szCs w:val="20"/>
                <w:lang w:val="fr-CA"/>
              </w:rPr>
              <w:t>Note</w:t>
            </w:r>
            <w:r>
              <w:rPr>
                <w:sz w:val="20"/>
                <w:szCs w:val="20"/>
                <w:lang w:val="fr-CA"/>
              </w:rPr>
              <w:t>s</w:t>
            </w:r>
            <w:r w:rsidRPr="003434BF">
              <w:rPr>
                <w:sz w:val="20"/>
                <w:szCs w:val="20"/>
                <w:lang w:val="fr-CA"/>
              </w:rPr>
              <w:t xml:space="preserve"> d’orientation stratégique du portefeuille</w:t>
            </w:r>
          </w:p>
          <w:p w14:paraId="642E84DB" w14:textId="1883770F" w:rsidR="003434BF" w:rsidRPr="005A6420" w:rsidRDefault="003434BF" w:rsidP="003434BF">
            <w:pPr>
              <w:jc w:val="center"/>
              <w:rPr>
                <w:lang w:val="fr-FR"/>
              </w:rPr>
            </w:pPr>
          </w:p>
        </w:tc>
        <w:tc>
          <w:tcPr>
            <w:tcW w:w="4140" w:type="dxa"/>
          </w:tcPr>
          <w:p w14:paraId="67ABA996" w14:textId="6BAF51BA" w:rsidR="003434BF" w:rsidRPr="00830613" w:rsidRDefault="003434BF" w:rsidP="003434BF">
            <w:pPr>
              <w:rPr>
                <w:bCs/>
                <w:lang w:val="fr-FR"/>
              </w:rPr>
            </w:pPr>
          </w:p>
        </w:tc>
      </w:tr>
      <w:tr w:rsidR="003434BF" w:rsidRPr="00936A63" w14:paraId="18DE63CD" w14:textId="77777777" w:rsidTr="00826923">
        <w:trPr>
          <w:trHeight w:val="467"/>
        </w:trPr>
        <w:tc>
          <w:tcPr>
            <w:tcW w:w="1530" w:type="dxa"/>
            <w:vMerge/>
          </w:tcPr>
          <w:p w14:paraId="7F15812F" w14:textId="77777777" w:rsidR="003434BF" w:rsidRPr="005A6420" w:rsidRDefault="003434BF" w:rsidP="003434BF">
            <w:pPr>
              <w:rPr>
                <w:rFonts w:cs="Tahoma"/>
                <w:b/>
                <w:szCs w:val="20"/>
                <w:lang w:val="fr-FR" w:eastAsia="en-US"/>
              </w:rPr>
            </w:pPr>
          </w:p>
        </w:tc>
        <w:tc>
          <w:tcPr>
            <w:tcW w:w="2070" w:type="dxa"/>
            <w:shd w:val="clear" w:color="auto" w:fill="EEECE1"/>
          </w:tcPr>
          <w:p w14:paraId="7D8707EE" w14:textId="2D426C4D" w:rsidR="003434BF" w:rsidRPr="005A6420" w:rsidRDefault="003434BF" w:rsidP="003434BF">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3</w:t>
            </w:r>
          </w:p>
          <w:p w14:paraId="7709D9E3" w14:textId="3011272A" w:rsidR="003434BF" w:rsidRPr="005A6420" w:rsidRDefault="003434BF" w:rsidP="003434BF">
            <w:pPr>
              <w:jc w:val="both"/>
              <w:rPr>
                <w:rFonts w:cs="Tahoma"/>
                <w:szCs w:val="20"/>
                <w:lang w:val="fr-FR" w:eastAsia="en-US"/>
              </w:rPr>
            </w:pPr>
            <w:r>
              <w:rPr>
                <w:sz w:val="20"/>
                <w:szCs w:val="20"/>
                <w:lang w:val="fr-CA"/>
              </w:rPr>
              <w:t>Niveau de satisfaction des femmes (impliquées dans les projets PBF) de leur participation à la consolidation de la paix</w:t>
            </w:r>
          </w:p>
        </w:tc>
        <w:tc>
          <w:tcPr>
            <w:tcW w:w="1530" w:type="dxa"/>
            <w:shd w:val="clear" w:color="auto" w:fill="EEECE1"/>
          </w:tcPr>
          <w:p w14:paraId="37ED6820" w14:textId="603AB766" w:rsidR="003434BF" w:rsidRDefault="003434BF" w:rsidP="003434BF">
            <w:pPr>
              <w:jc w:val="center"/>
              <w:rPr>
                <w:sz w:val="20"/>
                <w:szCs w:val="20"/>
                <w:lang w:val="fr-CA"/>
              </w:rPr>
            </w:pPr>
            <w:r>
              <w:rPr>
                <w:sz w:val="20"/>
                <w:szCs w:val="20"/>
                <w:lang w:val="fr-CA"/>
              </w:rPr>
              <w:t>30%</w:t>
            </w:r>
          </w:p>
          <w:p w14:paraId="4FF8D65F" w14:textId="77777777" w:rsidR="003434BF" w:rsidRPr="00C14B1A" w:rsidRDefault="003434BF" w:rsidP="003434BF">
            <w:pPr>
              <w:rPr>
                <w:b/>
                <w:sz w:val="22"/>
                <w:szCs w:val="22"/>
                <w:lang w:val="fr-CA" w:eastAsia="en-US"/>
              </w:rPr>
            </w:pPr>
          </w:p>
        </w:tc>
        <w:tc>
          <w:tcPr>
            <w:tcW w:w="1620" w:type="dxa"/>
            <w:shd w:val="clear" w:color="auto" w:fill="EEECE1"/>
          </w:tcPr>
          <w:p w14:paraId="1844CC90" w14:textId="427BB746" w:rsidR="003434BF" w:rsidRPr="005A6420" w:rsidRDefault="003434BF" w:rsidP="003434BF">
            <w:pPr>
              <w:rPr>
                <w:b/>
                <w:sz w:val="22"/>
                <w:szCs w:val="22"/>
                <w:lang w:val="fr-FR" w:eastAsia="en-US"/>
              </w:rPr>
            </w:pPr>
            <w:r>
              <w:rPr>
                <w:sz w:val="20"/>
                <w:szCs w:val="20"/>
                <w:lang w:val="fr-CA"/>
              </w:rPr>
              <w:t>Niveau de satisfaction accrue de 60%</w:t>
            </w:r>
          </w:p>
        </w:tc>
        <w:tc>
          <w:tcPr>
            <w:tcW w:w="2070" w:type="dxa"/>
          </w:tcPr>
          <w:p w14:paraId="22685FD2" w14:textId="4057B6D9" w:rsidR="003434BF" w:rsidRPr="005A6420" w:rsidRDefault="003434BF" w:rsidP="003434BF">
            <w:pPr>
              <w:jc w:val="center"/>
              <w:rPr>
                <w:b/>
                <w:sz w:val="22"/>
                <w:szCs w:val="22"/>
                <w:lang w:val="fr-FR" w:eastAsia="en-US"/>
              </w:rPr>
            </w:pPr>
            <w:r>
              <w:rPr>
                <w:b/>
                <w:sz w:val="22"/>
                <w:szCs w:val="22"/>
                <w:lang w:val="fr-FR" w:eastAsia="en-US"/>
              </w:rPr>
              <w:t>0</w:t>
            </w:r>
          </w:p>
        </w:tc>
        <w:tc>
          <w:tcPr>
            <w:tcW w:w="2070" w:type="dxa"/>
          </w:tcPr>
          <w:p w14:paraId="1930B4E9" w14:textId="000E7256" w:rsidR="003434BF" w:rsidRPr="005A6420" w:rsidRDefault="003434BF" w:rsidP="003434BF">
            <w:pPr>
              <w:jc w:val="center"/>
              <w:rPr>
                <w:b/>
                <w:sz w:val="22"/>
                <w:szCs w:val="22"/>
                <w:lang w:val="fr-FR" w:eastAsia="en-US"/>
              </w:rPr>
            </w:pPr>
            <w:r>
              <w:rPr>
                <w:b/>
                <w:sz w:val="22"/>
                <w:szCs w:val="22"/>
                <w:lang w:val="fr-FR" w:eastAsia="en-US"/>
              </w:rPr>
              <w:t>0</w:t>
            </w:r>
          </w:p>
        </w:tc>
        <w:tc>
          <w:tcPr>
            <w:tcW w:w="4140" w:type="dxa"/>
          </w:tcPr>
          <w:p w14:paraId="7C991C44" w14:textId="7381DBEB" w:rsidR="003434BF" w:rsidRPr="000025F4" w:rsidRDefault="003434BF" w:rsidP="003434BF">
            <w:pPr>
              <w:rPr>
                <w:bCs/>
                <w:sz w:val="22"/>
                <w:szCs w:val="22"/>
                <w:lang w:val="fr-FR" w:eastAsia="en-US"/>
              </w:rPr>
            </w:pPr>
            <w:r w:rsidRPr="00AE16EA">
              <w:rPr>
                <w:bCs/>
                <w:sz w:val="22"/>
                <w:szCs w:val="22"/>
                <w:lang w:val="fr-FR" w:eastAsia="en-US"/>
              </w:rPr>
              <w:t xml:space="preserve">L’étude est prévue </w:t>
            </w:r>
            <w:r>
              <w:rPr>
                <w:bCs/>
                <w:sz w:val="22"/>
                <w:szCs w:val="22"/>
                <w:lang w:val="fr-FR" w:eastAsia="en-US"/>
              </w:rPr>
              <w:t>à la fin du projet pour alimenter le rapport final du projet</w:t>
            </w:r>
          </w:p>
        </w:tc>
      </w:tr>
      <w:tr w:rsidR="003434BF" w:rsidRPr="00936A63" w14:paraId="6C075152" w14:textId="77777777" w:rsidTr="00826923">
        <w:trPr>
          <w:trHeight w:val="467"/>
        </w:trPr>
        <w:tc>
          <w:tcPr>
            <w:tcW w:w="1530" w:type="dxa"/>
            <w:vMerge/>
          </w:tcPr>
          <w:p w14:paraId="585F17C0" w14:textId="77777777" w:rsidR="003434BF" w:rsidRPr="005A6420" w:rsidRDefault="003434BF" w:rsidP="003434BF">
            <w:pPr>
              <w:rPr>
                <w:rFonts w:cs="Tahoma"/>
                <w:b/>
                <w:szCs w:val="20"/>
                <w:lang w:val="fr-FR" w:eastAsia="en-US"/>
              </w:rPr>
            </w:pPr>
          </w:p>
        </w:tc>
        <w:tc>
          <w:tcPr>
            <w:tcW w:w="2070" w:type="dxa"/>
            <w:shd w:val="clear" w:color="auto" w:fill="EEECE1"/>
          </w:tcPr>
          <w:p w14:paraId="13756545" w14:textId="2F06AF26" w:rsidR="003434BF" w:rsidRPr="005A6420" w:rsidRDefault="003434BF" w:rsidP="003434BF">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4</w:t>
            </w:r>
          </w:p>
          <w:p w14:paraId="531F0A66" w14:textId="6FC7AF59" w:rsidR="003434BF" w:rsidRPr="005A6420" w:rsidRDefault="003434BF" w:rsidP="003434BF">
            <w:pPr>
              <w:jc w:val="both"/>
              <w:rPr>
                <w:rFonts w:cs="Tahoma"/>
                <w:szCs w:val="20"/>
                <w:lang w:val="fr-FR" w:eastAsia="en-US"/>
              </w:rPr>
            </w:pPr>
            <w:r>
              <w:rPr>
                <w:sz w:val="20"/>
                <w:szCs w:val="20"/>
                <w:lang w:val="fr-CA"/>
              </w:rPr>
              <w:lastRenderedPageBreak/>
              <w:t>Niveau de satisfaction des jeunes (impliquées dans les projets PBF) de leur participation à la consolidation de la paix.</w:t>
            </w:r>
          </w:p>
        </w:tc>
        <w:tc>
          <w:tcPr>
            <w:tcW w:w="1530" w:type="dxa"/>
            <w:shd w:val="clear" w:color="auto" w:fill="EEECE1"/>
          </w:tcPr>
          <w:p w14:paraId="68DEC93D" w14:textId="7E8D4371" w:rsidR="003434BF" w:rsidRDefault="003434BF" w:rsidP="003434BF">
            <w:pPr>
              <w:jc w:val="center"/>
              <w:rPr>
                <w:sz w:val="20"/>
                <w:szCs w:val="20"/>
                <w:lang w:val="fr-CA"/>
              </w:rPr>
            </w:pPr>
            <w:r>
              <w:rPr>
                <w:sz w:val="20"/>
                <w:szCs w:val="20"/>
                <w:lang w:val="fr-CA"/>
              </w:rPr>
              <w:lastRenderedPageBreak/>
              <w:t>45%</w:t>
            </w:r>
          </w:p>
        </w:tc>
        <w:tc>
          <w:tcPr>
            <w:tcW w:w="1620" w:type="dxa"/>
            <w:shd w:val="clear" w:color="auto" w:fill="EEECE1"/>
          </w:tcPr>
          <w:p w14:paraId="45DB0F5D" w14:textId="2DBAE78E" w:rsidR="003434BF" w:rsidRDefault="003434BF" w:rsidP="003434BF">
            <w:pPr>
              <w:rPr>
                <w:sz w:val="20"/>
                <w:szCs w:val="20"/>
                <w:lang w:val="fr-CA"/>
              </w:rPr>
            </w:pPr>
            <w:r>
              <w:rPr>
                <w:sz w:val="20"/>
                <w:szCs w:val="20"/>
                <w:lang w:val="fr-CA"/>
              </w:rPr>
              <w:t>Niveau de satisfaction accrue de 60%</w:t>
            </w:r>
          </w:p>
        </w:tc>
        <w:tc>
          <w:tcPr>
            <w:tcW w:w="2070" w:type="dxa"/>
          </w:tcPr>
          <w:p w14:paraId="7FE93354" w14:textId="31BC8B84" w:rsidR="003434BF" w:rsidRPr="005A6420" w:rsidRDefault="003434BF" w:rsidP="003434BF">
            <w:pPr>
              <w:jc w:val="center"/>
              <w:rPr>
                <w:b/>
                <w:sz w:val="22"/>
                <w:szCs w:val="22"/>
                <w:lang w:val="fr-FR" w:eastAsia="en-US"/>
              </w:rPr>
            </w:pPr>
            <w:r>
              <w:rPr>
                <w:b/>
                <w:sz w:val="22"/>
                <w:szCs w:val="22"/>
                <w:lang w:val="fr-FR" w:eastAsia="en-US"/>
              </w:rPr>
              <w:t>0</w:t>
            </w:r>
          </w:p>
        </w:tc>
        <w:tc>
          <w:tcPr>
            <w:tcW w:w="2070" w:type="dxa"/>
          </w:tcPr>
          <w:p w14:paraId="306327D6" w14:textId="2941279D" w:rsidR="003434BF" w:rsidRPr="005A6420" w:rsidRDefault="003434BF" w:rsidP="003434BF">
            <w:pPr>
              <w:jc w:val="center"/>
              <w:rPr>
                <w:b/>
                <w:sz w:val="22"/>
                <w:szCs w:val="22"/>
                <w:lang w:val="fr-FR" w:eastAsia="en-US"/>
              </w:rPr>
            </w:pPr>
            <w:r>
              <w:rPr>
                <w:b/>
                <w:sz w:val="22"/>
                <w:szCs w:val="22"/>
                <w:lang w:val="fr-FR" w:eastAsia="en-US"/>
              </w:rPr>
              <w:t>0</w:t>
            </w:r>
          </w:p>
        </w:tc>
        <w:tc>
          <w:tcPr>
            <w:tcW w:w="4140" w:type="dxa"/>
          </w:tcPr>
          <w:p w14:paraId="66FBFC34" w14:textId="2375D7D7" w:rsidR="003434BF" w:rsidRPr="00830613" w:rsidRDefault="003434BF" w:rsidP="003434BF">
            <w:pPr>
              <w:rPr>
                <w:bCs/>
                <w:sz w:val="22"/>
                <w:szCs w:val="22"/>
                <w:lang w:val="fr-FR" w:eastAsia="en-US"/>
              </w:rPr>
            </w:pPr>
            <w:r w:rsidRPr="00AE16EA">
              <w:rPr>
                <w:bCs/>
                <w:sz w:val="22"/>
                <w:szCs w:val="22"/>
                <w:lang w:val="fr-FR" w:eastAsia="en-US"/>
              </w:rPr>
              <w:t xml:space="preserve">L’étude est prévue </w:t>
            </w:r>
            <w:r>
              <w:rPr>
                <w:bCs/>
                <w:sz w:val="22"/>
                <w:szCs w:val="22"/>
                <w:lang w:val="fr-FR" w:eastAsia="en-US"/>
              </w:rPr>
              <w:t>à la fin du projet pour alimenter le rapport final du projet</w:t>
            </w:r>
          </w:p>
        </w:tc>
      </w:tr>
      <w:tr w:rsidR="003434BF" w:rsidRPr="00936A63" w14:paraId="4CC8423E" w14:textId="77777777" w:rsidTr="00826923">
        <w:trPr>
          <w:trHeight w:val="422"/>
        </w:trPr>
        <w:tc>
          <w:tcPr>
            <w:tcW w:w="1530" w:type="dxa"/>
            <w:vMerge w:val="restart"/>
          </w:tcPr>
          <w:p w14:paraId="70C54316" w14:textId="77777777" w:rsidR="003434BF" w:rsidRPr="005A6420" w:rsidRDefault="003434BF" w:rsidP="003434BF">
            <w:pPr>
              <w:rPr>
                <w:rFonts w:cs="Tahoma"/>
                <w:szCs w:val="20"/>
                <w:lang w:val="fr-FR" w:eastAsia="en-US"/>
              </w:rPr>
            </w:pPr>
            <w:r w:rsidRPr="005A6420">
              <w:rPr>
                <w:rFonts w:cs="Tahoma"/>
                <w:szCs w:val="20"/>
                <w:lang w:val="fr-FR" w:eastAsia="en-US"/>
              </w:rPr>
              <w:t>Produit 1.3</w:t>
            </w:r>
          </w:p>
          <w:p w14:paraId="30102859" w14:textId="77777777" w:rsidR="003434BF" w:rsidRPr="00523EA1" w:rsidRDefault="003434BF" w:rsidP="003434BF">
            <w:pPr>
              <w:jc w:val="both"/>
              <w:rPr>
                <w:b/>
                <w:i/>
                <w:sz w:val="20"/>
                <w:szCs w:val="20"/>
                <w:lang w:val="fr-CA"/>
              </w:rPr>
            </w:pPr>
            <w:r w:rsidRPr="00523EA1">
              <w:rPr>
                <w:b/>
                <w:i/>
                <w:sz w:val="20"/>
                <w:szCs w:val="20"/>
                <w:lang w:val="fr-CA"/>
              </w:rPr>
              <w:t>Le suivi et évaluation du portefeuille du PBF est assuré.</w:t>
            </w:r>
          </w:p>
          <w:p w14:paraId="76E89E8B" w14:textId="77777777" w:rsidR="003434BF" w:rsidRPr="00523EA1" w:rsidRDefault="003434BF" w:rsidP="003434BF">
            <w:pPr>
              <w:rPr>
                <w:sz w:val="20"/>
                <w:szCs w:val="20"/>
                <w:lang w:val="fr-CA"/>
              </w:rPr>
            </w:pPr>
          </w:p>
          <w:p w14:paraId="5AABA42B" w14:textId="1C0612E9" w:rsidR="003434BF" w:rsidRPr="00C14B1A" w:rsidRDefault="003434BF" w:rsidP="003434BF">
            <w:pPr>
              <w:rPr>
                <w:rFonts w:cs="Tahoma"/>
                <w:szCs w:val="20"/>
                <w:lang w:val="fr-CA" w:eastAsia="en-US"/>
              </w:rPr>
            </w:pPr>
          </w:p>
        </w:tc>
        <w:tc>
          <w:tcPr>
            <w:tcW w:w="2070" w:type="dxa"/>
            <w:shd w:val="clear" w:color="auto" w:fill="EEECE1"/>
          </w:tcPr>
          <w:p w14:paraId="05C5E529"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1.3.1</w:t>
            </w:r>
          </w:p>
          <w:p w14:paraId="13F4F9B7" w14:textId="7B5F238D" w:rsidR="003434BF" w:rsidRPr="005A6420" w:rsidRDefault="003434BF" w:rsidP="003434BF">
            <w:pPr>
              <w:jc w:val="both"/>
              <w:rPr>
                <w:rFonts w:cs="Tahoma"/>
                <w:szCs w:val="20"/>
                <w:lang w:val="fr-FR" w:eastAsia="en-US"/>
              </w:rPr>
            </w:pPr>
            <w:r>
              <w:rPr>
                <w:sz w:val="20"/>
                <w:szCs w:val="20"/>
                <w:lang w:val="fr-FR"/>
              </w:rPr>
              <w:t>Existence du Cadre de Résultat global du portefeuille 2019 -2021</w:t>
            </w:r>
          </w:p>
        </w:tc>
        <w:tc>
          <w:tcPr>
            <w:tcW w:w="1530" w:type="dxa"/>
            <w:shd w:val="clear" w:color="auto" w:fill="EEECE1"/>
          </w:tcPr>
          <w:p w14:paraId="381C8E37" w14:textId="452B56CF" w:rsidR="003434BF" w:rsidRPr="005A6420" w:rsidRDefault="003434BF" w:rsidP="003434BF">
            <w:pPr>
              <w:rPr>
                <w:lang w:val="fr-FR"/>
              </w:rPr>
            </w:pPr>
            <w:r>
              <w:rPr>
                <w:b/>
                <w:sz w:val="22"/>
                <w:szCs w:val="22"/>
                <w:lang w:val="fr-FR" w:eastAsia="en-US"/>
              </w:rPr>
              <w:t>0</w:t>
            </w:r>
          </w:p>
        </w:tc>
        <w:tc>
          <w:tcPr>
            <w:tcW w:w="1620" w:type="dxa"/>
            <w:shd w:val="clear" w:color="auto" w:fill="EEECE1"/>
          </w:tcPr>
          <w:p w14:paraId="3A889851" w14:textId="0E567BD1" w:rsidR="003434BF" w:rsidRPr="005A6420" w:rsidRDefault="003434BF" w:rsidP="003434BF">
            <w:pPr>
              <w:rPr>
                <w:lang w:val="fr-FR"/>
              </w:rPr>
            </w:pPr>
            <w:r>
              <w:rPr>
                <w:sz w:val="20"/>
                <w:szCs w:val="20"/>
                <w:lang w:val="fr-FR"/>
              </w:rPr>
              <w:t>1 cadre de résultat global du portefeuille PBF 2019 -2021 approuvé</w:t>
            </w:r>
          </w:p>
        </w:tc>
        <w:tc>
          <w:tcPr>
            <w:tcW w:w="2070" w:type="dxa"/>
          </w:tcPr>
          <w:p w14:paraId="25482814" w14:textId="74130D4B" w:rsidR="003434BF" w:rsidRPr="005A6420" w:rsidRDefault="003434BF" w:rsidP="003434BF">
            <w:pPr>
              <w:rPr>
                <w:lang w:val="fr-FR"/>
              </w:rPr>
            </w:pPr>
            <w:r>
              <w:rPr>
                <w:b/>
                <w:sz w:val="22"/>
                <w:szCs w:val="22"/>
                <w:lang w:val="fr-FR" w:eastAsia="en-US"/>
              </w:rPr>
              <w:t>1</w:t>
            </w:r>
          </w:p>
        </w:tc>
        <w:tc>
          <w:tcPr>
            <w:tcW w:w="2070" w:type="dxa"/>
          </w:tcPr>
          <w:p w14:paraId="5C365A23" w14:textId="6FC54B56" w:rsidR="003434BF" w:rsidRPr="005A6420" w:rsidRDefault="003434BF" w:rsidP="003434BF">
            <w:pPr>
              <w:rPr>
                <w:lang w:val="fr-FR"/>
              </w:rPr>
            </w:pPr>
            <w:r>
              <w:rPr>
                <w:b/>
                <w:sz w:val="22"/>
                <w:szCs w:val="22"/>
                <w:lang w:val="fr-FR" w:eastAsia="en-US"/>
              </w:rPr>
              <w:t>1</w:t>
            </w:r>
          </w:p>
        </w:tc>
        <w:tc>
          <w:tcPr>
            <w:tcW w:w="4140" w:type="dxa"/>
          </w:tcPr>
          <w:p w14:paraId="2C2CC682" w14:textId="13221430" w:rsidR="003434BF" w:rsidRPr="005A6420" w:rsidRDefault="003434BF" w:rsidP="003434BF">
            <w:pPr>
              <w:rPr>
                <w:lang w:val="fr-FR"/>
              </w:rPr>
            </w:pPr>
            <w:r w:rsidRPr="00AE16EA">
              <w:rPr>
                <w:bCs/>
                <w:sz w:val="22"/>
                <w:szCs w:val="22"/>
                <w:lang w:val="fr-FR" w:eastAsia="en-US"/>
              </w:rPr>
              <w:t xml:space="preserve">Cadre de résultat </w:t>
            </w:r>
            <w:r>
              <w:rPr>
                <w:bCs/>
                <w:sz w:val="22"/>
                <w:szCs w:val="22"/>
                <w:lang w:val="fr-FR" w:eastAsia="en-US"/>
              </w:rPr>
              <w:t xml:space="preserve">validé et opérationnel disponible. </w:t>
            </w:r>
          </w:p>
        </w:tc>
      </w:tr>
      <w:tr w:rsidR="003434BF" w:rsidRPr="00936A63" w14:paraId="00C542B2" w14:textId="77777777" w:rsidTr="00826923">
        <w:trPr>
          <w:trHeight w:val="422"/>
        </w:trPr>
        <w:tc>
          <w:tcPr>
            <w:tcW w:w="1530" w:type="dxa"/>
            <w:vMerge/>
          </w:tcPr>
          <w:p w14:paraId="39A21645" w14:textId="77777777" w:rsidR="003434BF" w:rsidRPr="005A6420" w:rsidRDefault="003434BF" w:rsidP="003434BF">
            <w:pPr>
              <w:rPr>
                <w:rFonts w:cs="Tahoma"/>
                <w:b/>
                <w:szCs w:val="20"/>
                <w:lang w:val="fr-FR" w:eastAsia="en-US"/>
              </w:rPr>
            </w:pPr>
          </w:p>
        </w:tc>
        <w:tc>
          <w:tcPr>
            <w:tcW w:w="2070" w:type="dxa"/>
            <w:shd w:val="clear" w:color="auto" w:fill="EEECE1"/>
          </w:tcPr>
          <w:p w14:paraId="1A3D356D"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1.3.2</w:t>
            </w:r>
          </w:p>
          <w:p w14:paraId="54B407DB" w14:textId="77777777" w:rsidR="003434BF" w:rsidRDefault="003434BF" w:rsidP="003434BF">
            <w:pPr>
              <w:rPr>
                <w:sz w:val="20"/>
                <w:szCs w:val="20"/>
                <w:lang w:val="fr-FR"/>
              </w:rPr>
            </w:pPr>
            <w:r>
              <w:rPr>
                <w:sz w:val="20"/>
                <w:szCs w:val="20"/>
                <w:lang w:val="fr-FR"/>
              </w:rPr>
              <w:t>Existence du Plan de suivi et évaluation par projets et du Cadre global de résultat.</w:t>
            </w:r>
          </w:p>
          <w:p w14:paraId="393760B4" w14:textId="12BF6C8D" w:rsidR="003434BF" w:rsidRPr="005A6420" w:rsidRDefault="003434BF" w:rsidP="003434BF">
            <w:pPr>
              <w:jc w:val="both"/>
              <w:rPr>
                <w:rFonts w:cs="Tahoma"/>
                <w:szCs w:val="20"/>
                <w:lang w:val="fr-FR" w:eastAsia="en-US"/>
              </w:rPr>
            </w:pPr>
          </w:p>
        </w:tc>
        <w:tc>
          <w:tcPr>
            <w:tcW w:w="1530" w:type="dxa"/>
            <w:shd w:val="clear" w:color="auto" w:fill="EEECE1"/>
          </w:tcPr>
          <w:p w14:paraId="71DA07C2" w14:textId="77777777" w:rsidR="003434BF" w:rsidRPr="00523EA1" w:rsidRDefault="003434BF" w:rsidP="003434BF">
            <w:pPr>
              <w:jc w:val="both"/>
              <w:rPr>
                <w:i/>
                <w:sz w:val="20"/>
                <w:szCs w:val="20"/>
                <w:lang w:val="fr-FR"/>
              </w:rPr>
            </w:pPr>
            <w:r>
              <w:rPr>
                <w:sz w:val="20"/>
                <w:szCs w:val="20"/>
                <w:lang w:val="fr-FR"/>
              </w:rPr>
              <w:t>Aucun plan de suivi et évaluation</w:t>
            </w:r>
          </w:p>
          <w:p w14:paraId="1C85A585" w14:textId="63CAB04B" w:rsidR="003434BF" w:rsidRPr="005A6420" w:rsidRDefault="003434BF" w:rsidP="003434BF">
            <w:pPr>
              <w:rPr>
                <w:lang w:val="fr-FR"/>
              </w:rPr>
            </w:pPr>
          </w:p>
        </w:tc>
        <w:tc>
          <w:tcPr>
            <w:tcW w:w="1620" w:type="dxa"/>
            <w:shd w:val="clear" w:color="auto" w:fill="EEECE1"/>
          </w:tcPr>
          <w:p w14:paraId="6DC2A7BD" w14:textId="77777777" w:rsidR="003434BF" w:rsidRPr="00523EA1" w:rsidRDefault="003434BF" w:rsidP="003434BF">
            <w:pPr>
              <w:rPr>
                <w:i/>
                <w:sz w:val="20"/>
                <w:szCs w:val="20"/>
                <w:lang w:val="fr-FR"/>
              </w:rPr>
            </w:pPr>
            <w:r w:rsidRPr="00757F33">
              <w:rPr>
                <w:sz w:val="20"/>
                <w:szCs w:val="20"/>
                <w:lang w:val="fr-FR"/>
              </w:rPr>
              <w:t>1 Plan de suivi/évaluation par projets et 1 plan de suivi du portefeuille (2019-2021)</w:t>
            </w:r>
          </w:p>
          <w:p w14:paraId="4E2BA7C6" w14:textId="61CC40B9" w:rsidR="003434BF" w:rsidRPr="005A6420" w:rsidRDefault="003434BF" w:rsidP="003434BF">
            <w:pPr>
              <w:rPr>
                <w:lang w:val="fr-FR"/>
              </w:rPr>
            </w:pPr>
          </w:p>
        </w:tc>
        <w:tc>
          <w:tcPr>
            <w:tcW w:w="2070" w:type="dxa"/>
          </w:tcPr>
          <w:p w14:paraId="7BD02334" w14:textId="282B3BDC" w:rsidR="003434BF" w:rsidRPr="005A6420" w:rsidRDefault="003434BF" w:rsidP="003434BF">
            <w:pPr>
              <w:rPr>
                <w:lang w:val="fr-FR"/>
              </w:rPr>
            </w:pPr>
            <w:r>
              <w:rPr>
                <w:b/>
                <w:sz w:val="22"/>
                <w:szCs w:val="22"/>
                <w:lang w:val="fr-FR" w:eastAsia="en-US"/>
              </w:rPr>
              <w:t>1</w:t>
            </w:r>
          </w:p>
        </w:tc>
        <w:tc>
          <w:tcPr>
            <w:tcW w:w="2070" w:type="dxa"/>
          </w:tcPr>
          <w:p w14:paraId="7AE37EA5" w14:textId="3CE2FDBA" w:rsidR="003434BF" w:rsidRPr="005A6420" w:rsidRDefault="003434BF" w:rsidP="003434BF">
            <w:pPr>
              <w:rPr>
                <w:lang w:val="fr-FR"/>
              </w:rPr>
            </w:pPr>
            <w:r>
              <w:rPr>
                <w:b/>
                <w:sz w:val="22"/>
                <w:szCs w:val="22"/>
                <w:lang w:val="fr-FR" w:eastAsia="en-US"/>
              </w:rPr>
              <w:t>1</w:t>
            </w:r>
          </w:p>
        </w:tc>
        <w:tc>
          <w:tcPr>
            <w:tcW w:w="4140" w:type="dxa"/>
          </w:tcPr>
          <w:p w14:paraId="047E6A6B" w14:textId="02B24343" w:rsidR="003434BF" w:rsidRPr="00AE16EA" w:rsidRDefault="003434BF" w:rsidP="003434BF">
            <w:pPr>
              <w:jc w:val="both"/>
              <w:rPr>
                <w:bCs/>
                <w:lang w:val="fr-FR"/>
              </w:rPr>
            </w:pPr>
            <w:r w:rsidRPr="00AE16EA">
              <w:rPr>
                <w:bCs/>
                <w:sz w:val="22"/>
                <w:szCs w:val="22"/>
                <w:lang w:val="fr-FR" w:eastAsia="en-US"/>
              </w:rPr>
              <w:t xml:space="preserve">Le plan de suivi/évaluation a été revu en janvier 2021 prenant en compte les nouveaux projets </w:t>
            </w:r>
            <w:r>
              <w:rPr>
                <w:bCs/>
                <w:sz w:val="22"/>
                <w:szCs w:val="22"/>
                <w:lang w:val="fr-FR" w:eastAsia="en-US"/>
              </w:rPr>
              <w:t>et donc opérationnels</w:t>
            </w:r>
          </w:p>
        </w:tc>
      </w:tr>
      <w:tr w:rsidR="003434BF" w:rsidRPr="00936A63" w14:paraId="0702994F" w14:textId="77777777" w:rsidTr="00826923">
        <w:trPr>
          <w:trHeight w:val="422"/>
        </w:trPr>
        <w:tc>
          <w:tcPr>
            <w:tcW w:w="1530" w:type="dxa"/>
            <w:vMerge/>
          </w:tcPr>
          <w:p w14:paraId="6E03592A" w14:textId="77777777" w:rsidR="003434BF" w:rsidRPr="005A6420" w:rsidRDefault="003434BF" w:rsidP="003434BF">
            <w:pPr>
              <w:rPr>
                <w:rFonts w:cs="Tahoma"/>
                <w:b/>
                <w:szCs w:val="20"/>
                <w:lang w:val="fr-FR" w:eastAsia="en-US"/>
              </w:rPr>
            </w:pPr>
          </w:p>
        </w:tc>
        <w:tc>
          <w:tcPr>
            <w:tcW w:w="2070" w:type="dxa"/>
            <w:shd w:val="clear" w:color="auto" w:fill="EEECE1"/>
          </w:tcPr>
          <w:p w14:paraId="2E421DA0" w14:textId="30A6DEE4" w:rsidR="003434BF" w:rsidRPr="005A6420" w:rsidRDefault="003434BF" w:rsidP="003434BF">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3</w:t>
            </w:r>
          </w:p>
          <w:p w14:paraId="09C02998" w14:textId="77777777" w:rsidR="003434BF" w:rsidRPr="00523EA1" w:rsidRDefault="003434BF" w:rsidP="003434BF">
            <w:pPr>
              <w:rPr>
                <w:sz w:val="20"/>
                <w:szCs w:val="20"/>
                <w:lang w:val="fr-FR"/>
              </w:rPr>
            </w:pPr>
            <w:r w:rsidRPr="00523EA1">
              <w:rPr>
                <w:sz w:val="20"/>
                <w:szCs w:val="20"/>
                <w:lang w:val="fr-FR"/>
              </w:rPr>
              <w:t xml:space="preserve"># de missions de </w:t>
            </w:r>
            <w:r>
              <w:rPr>
                <w:sz w:val="20"/>
                <w:szCs w:val="20"/>
                <w:lang w:val="fr-FR"/>
              </w:rPr>
              <w:t xml:space="preserve">suivi sur terrain </w:t>
            </w:r>
          </w:p>
          <w:p w14:paraId="11808C02" w14:textId="77777777" w:rsidR="003434BF" w:rsidRPr="005A6420" w:rsidRDefault="003434BF" w:rsidP="003434BF">
            <w:pPr>
              <w:jc w:val="both"/>
              <w:rPr>
                <w:rFonts w:cs="Tahoma"/>
                <w:szCs w:val="20"/>
                <w:lang w:val="fr-FR" w:eastAsia="en-US"/>
              </w:rPr>
            </w:pPr>
          </w:p>
        </w:tc>
        <w:tc>
          <w:tcPr>
            <w:tcW w:w="1530" w:type="dxa"/>
            <w:shd w:val="clear" w:color="auto" w:fill="EEECE1"/>
          </w:tcPr>
          <w:p w14:paraId="0B87E400" w14:textId="75BD8B90" w:rsidR="003434BF" w:rsidRDefault="003434BF" w:rsidP="003434BF">
            <w:pPr>
              <w:jc w:val="both"/>
              <w:rPr>
                <w:sz w:val="20"/>
                <w:szCs w:val="20"/>
                <w:lang w:val="fr-FR"/>
              </w:rPr>
            </w:pPr>
            <w:r>
              <w:rPr>
                <w:sz w:val="20"/>
                <w:szCs w:val="20"/>
                <w:lang w:val="fr-FR"/>
              </w:rPr>
              <w:t>6 missions 2018 - 201912</w:t>
            </w:r>
          </w:p>
        </w:tc>
        <w:tc>
          <w:tcPr>
            <w:tcW w:w="1620" w:type="dxa"/>
            <w:shd w:val="clear" w:color="auto" w:fill="EEECE1"/>
          </w:tcPr>
          <w:p w14:paraId="79C09631" w14:textId="7D619A04" w:rsidR="003434BF" w:rsidRPr="00523EA1" w:rsidRDefault="003434BF" w:rsidP="003434BF">
            <w:pPr>
              <w:rPr>
                <w:sz w:val="20"/>
                <w:szCs w:val="20"/>
                <w:lang w:val="fr-FR"/>
              </w:rPr>
            </w:pPr>
            <w:r>
              <w:rPr>
                <w:sz w:val="20"/>
                <w:szCs w:val="20"/>
                <w:lang w:val="fr-FR"/>
              </w:rPr>
              <w:t>6 missions par an</w:t>
            </w:r>
          </w:p>
          <w:p w14:paraId="77427B1C" w14:textId="77777777" w:rsidR="003434BF" w:rsidRPr="00757F33" w:rsidRDefault="003434BF" w:rsidP="003434BF">
            <w:pPr>
              <w:rPr>
                <w:sz w:val="20"/>
                <w:szCs w:val="20"/>
                <w:lang w:val="fr-FR"/>
              </w:rPr>
            </w:pPr>
          </w:p>
        </w:tc>
        <w:tc>
          <w:tcPr>
            <w:tcW w:w="2070" w:type="dxa"/>
          </w:tcPr>
          <w:p w14:paraId="4C79DA55" w14:textId="7A47F150" w:rsidR="003434BF" w:rsidRPr="005A6420" w:rsidRDefault="003434BF" w:rsidP="003434BF">
            <w:pPr>
              <w:rPr>
                <w:b/>
                <w:sz w:val="22"/>
                <w:szCs w:val="22"/>
                <w:lang w:val="fr-FR" w:eastAsia="en-US"/>
              </w:rPr>
            </w:pPr>
            <w:r>
              <w:rPr>
                <w:b/>
                <w:sz w:val="22"/>
                <w:szCs w:val="22"/>
                <w:lang w:val="fr-FR" w:eastAsia="en-US"/>
              </w:rPr>
              <w:t>6</w:t>
            </w:r>
          </w:p>
        </w:tc>
        <w:tc>
          <w:tcPr>
            <w:tcW w:w="2070" w:type="dxa"/>
          </w:tcPr>
          <w:p w14:paraId="79B9BDC6" w14:textId="2538DA64" w:rsidR="003434BF" w:rsidRPr="00AE16EA" w:rsidRDefault="003434BF" w:rsidP="003434BF">
            <w:pPr>
              <w:rPr>
                <w:bCs/>
                <w:sz w:val="22"/>
                <w:szCs w:val="22"/>
                <w:lang w:val="fr-FR" w:eastAsia="en-US"/>
              </w:rPr>
            </w:pPr>
            <w:r>
              <w:rPr>
                <w:bCs/>
                <w:sz w:val="22"/>
                <w:szCs w:val="22"/>
                <w:lang w:val="fr-FR" w:eastAsia="en-US"/>
              </w:rPr>
              <w:t>3</w:t>
            </w:r>
          </w:p>
        </w:tc>
        <w:tc>
          <w:tcPr>
            <w:tcW w:w="4140" w:type="dxa"/>
          </w:tcPr>
          <w:p w14:paraId="65B25F65" w14:textId="7E563033" w:rsidR="003434BF" w:rsidRPr="00AE16EA" w:rsidRDefault="003434BF" w:rsidP="003434BF">
            <w:pPr>
              <w:rPr>
                <w:bCs/>
                <w:sz w:val="22"/>
                <w:szCs w:val="22"/>
                <w:lang w:val="fr-FR" w:eastAsia="en-US"/>
              </w:rPr>
            </w:pPr>
            <w:r w:rsidRPr="00AE16EA">
              <w:rPr>
                <w:bCs/>
                <w:sz w:val="22"/>
                <w:szCs w:val="22"/>
                <w:lang w:val="fr-FR" w:eastAsia="en-US"/>
              </w:rPr>
              <w:t>En raison de Covi</w:t>
            </w:r>
            <w:r>
              <w:rPr>
                <w:bCs/>
                <w:sz w:val="22"/>
                <w:szCs w:val="22"/>
                <w:lang w:val="fr-FR" w:eastAsia="en-US"/>
              </w:rPr>
              <w:t>d</w:t>
            </w:r>
            <w:r w:rsidRPr="00AE16EA">
              <w:rPr>
                <w:bCs/>
                <w:sz w:val="22"/>
                <w:szCs w:val="22"/>
                <w:lang w:val="fr-FR" w:eastAsia="en-US"/>
              </w:rPr>
              <w:t>-19, une mission a été effectuée en 2020 et une autre en mars 2021</w:t>
            </w:r>
            <w:r>
              <w:rPr>
                <w:bCs/>
                <w:sz w:val="22"/>
                <w:szCs w:val="22"/>
                <w:lang w:val="fr-FR" w:eastAsia="en-US"/>
              </w:rPr>
              <w:t xml:space="preserve"> et la dernière en Septembre 2021</w:t>
            </w:r>
          </w:p>
        </w:tc>
      </w:tr>
      <w:tr w:rsidR="003434BF" w:rsidRPr="003434BF" w14:paraId="02D5A57C" w14:textId="77777777" w:rsidTr="00826923">
        <w:trPr>
          <w:trHeight w:val="422"/>
        </w:trPr>
        <w:tc>
          <w:tcPr>
            <w:tcW w:w="1530" w:type="dxa"/>
          </w:tcPr>
          <w:p w14:paraId="7F809BA5" w14:textId="77777777" w:rsidR="003434BF" w:rsidRPr="005A6420" w:rsidRDefault="003434BF" w:rsidP="003434BF">
            <w:pPr>
              <w:rPr>
                <w:rFonts w:cs="Tahoma"/>
                <w:b/>
                <w:szCs w:val="20"/>
                <w:lang w:val="fr-FR" w:eastAsia="en-US"/>
              </w:rPr>
            </w:pPr>
          </w:p>
        </w:tc>
        <w:tc>
          <w:tcPr>
            <w:tcW w:w="2070" w:type="dxa"/>
            <w:shd w:val="clear" w:color="auto" w:fill="EEECE1"/>
          </w:tcPr>
          <w:p w14:paraId="45F4FA2E" w14:textId="30973572" w:rsidR="003434BF" w:rsidRPr="005A6420" w:rsidRDefault="003434BF" w:rsidP="003434BF">
            <w:pPr>
              <w:jc w:val="both"/>
              <w:rPr>
                <w:rFonts w:cs="Tahoma"/>
                <w:szCs w:val="20"/>
                <w:lang w:val="fr-FR" w:eastAsia="en-US"/>
              </w:rPr>
            </w:pPr>
            <w:r w:rsidRPr="005A6420">
              <w:rPr>
                <w:rFonts w:cs="Tahoma"/>
                <w:szCs w:val="20"/>
                <w:lang w:val="fr-FR" w:eastAsia="en-US"/>
              </w:rPr>
              <w:t>Indicateur 1.3.</w:t>
            </w:r>
            <w:r>
              <w:rPr>
                <w:rFonts w:cs="Tahoma"/>
                <w:szCs w:val="20"/>
                <w:lang w:val="fr-FR" w:eastAsia="en-US"/>
              </w:rPr>
              <w:t>4</w:t>
            </w:r>
          </w:p>
          <w:p w14:paraId="593A2E48" w14:textId="77777777" w:rsidR="003434BF" w:rsidRPr="00523EA1" w:rsidRDefault="003434BF" w:rsidP="003434BF">
            <w:pPr>
              <w:rPr>
                <w:sz w:val="20"/>
                <w:szCs w:val="20"/>
                <w:lang w:val="fr-FR"/>
              </w:rPr>
            </w:pPr>
            <w:r>
              <w:rPr>
                <w:sz w:val="20"/>
                <w:szCs w:val="20"/>
                <w:lang w:val="fr-FR"/>
              </w:rPr>
              <w:t>Existence d’une note technique sur les bonnes pratiques et leçons apprises de la mise en œuvre du portefeuille 2017 -2019</w:t>
            </w:r>
          </w:p>
          <w:p w14:paraId="03DFFAFC" w14:textId="77777777" w:rsidR="003434BF" w:rsidRPr="005A6420" w:rsidRDefault="003434BF" w:rsidP="003434BF">
            <w:pPr>
              <w:jc w:val="both"/>
              <w:rPr>
                <w:rFonts w:cs="Tahoma"/>
                <w:szCs w:val="20"/>
                <w:lang w:val="fr-FR" w:eastAsia="en-US"/>
              </w:rPr>
            </w:pPr>
          </w:p>
        </w:tc>
        <w:tc>
          <w:tcPr>
            <w:tcW w:w="1530" w:type="dxa"/>
            <w:shd w:val="clear" w:color="auto" w:fill="EEECE1"/>
          </w:tcPr>
          <w:p w14:paraId="45F88B30" w14:textId="77777777" w:rsidR="003434BF" w:rsidRPr="00523EA1" w:rsidRDefault="003434BF" w:rsidP="003434BF">
            <w:pPr>
              <w:rPr>
                <w:sz w:val="20"/>
                <w:szCs w:val="20"/>
                <w:lang w:val="fr-FR"/>
              </w:rPr>
            </w:pPr>
            <w:r>
              <w:rPr>
                <w:sz w:val="20"/>
                <w:szCs w:val="20"/>
                <w:lang w:val="fr-FR"/>
              </w:rPr>
              <w:t>Aucune note technique</w:t>
            </w:r>
          </w:p>
          <w:p w14:paraId="42AC5AB5" w14:textId="77777777" w:rsidR="003434BF" w:rsidRDefault="003434BF" w:rsidP="003434BF">
            <w:pPr>
              <w:rPr>
                <w:sz w:val="20"/>
                <w:szCs w:val="20"/>
                <w:lang w:val="fr-FR"/>
              </w:rPr>
            </w:pPr>
          </w:p>
        </w:tc>
        <w:tc>
          <w:tcPr>
            <w:tcW w:w="1620" w:type="dxa"/>
            <w:shd w:val="clear" w:color="auto" w:fill="EEECE1"/>
          </w:tcPr>
          <w:p w14:paraId="69209E54" w14:textId="6B7F1BA8" w:rsidR="003434BF" w:rsidRDefault="003434BF" w:rsidP="003434BF">
            <w:pPr>
              <w:rPr>
                <w:sz w:val="20"/>
                <w:szCs w:val="20"/>
                <w:lang w:val="fr-FR"/>
              </w:rPr>
            </w:pPr>
            <w:r>
              <w:rPr>
                <w:sz w:val="20"/>
                <w:szCs w:val="20"/>
                <w:lang w:val="fr-FR"/>
              </w:rPr>
              <w:t>2 notes technique élaborées (1 fois par an).</w:t>
            </w:r>
          </w:p>
        </w:tc>
        <w:tc>
          <w:tcPr>
            <w:tcW w:w="2070" w:type="dxa"/>
          </w:tcPr>
          <w:p w14:paraId="2366EEC9" w14:textId="602D5E7C" w:rsidR="003434BF" w:rsidRPr="005A6420" w:rsidRDefault="003434BF" w:rsidP="003434BF">
            <w:pPr>
              <w:rPr>
                <w:b/>
                <w:sz w:val="22"/>
                <w:szCs w:val="22"/>
                <w:lang w:val="fr-FR" w:eastAsia="en-US"/>
              </w:rPr>
            </w:pPr>
            <w:r>
              <w:rPr>
                <w:b/>
                <w:sz w:val="22"/>
                <w:szCs w:val="22"/>
                <w:lang w:val="fr-FR" w:eastAsia="en-US"/>
              </w:rPr>
              <w:t>2</w:t>
            </w:r>
          </w:p>
        </w:tc>
        <w:tc>
          <w:tcPr>
            <w:tcW w:w="2070" w:type="dxa"/>
          </w:tcPr>
          <w:p w14:paraId="3EE34892" w14:textId="54B8EDB9" w:rsidR="003434BF" w:rsidRPr="005A6420" w:rsidRDefault="003434BF" w:rsidP="003434BF">
            <w:pPr>
              <w:rPr>
                <w:b/>
                <w:sz w:val="22"/>
                <w:szCs w:val="22"/>
                <w:lang w:val="fr-FR" w:eastAsia="en-US"/>
              </w:rPr>
            </w:pPr>
            <w:r>
              <w:rPr>
                <w:b/>
                <w:sz w:val="22"/>
                <w:szCs w:val="22"/>
                <w:lang w:val="fr-FR" w:eastAsia="en-US"/>
              </w:rPr>
              <w:t>1</w:t>
            </w:r>
          </w:p>
        </w:tc>
        <w:tc>
          <w:tcPr>
            <w:tcW w:w="4140" w:type="dxa"/>
          </w:tcPr>
          <w:p w14:paraId="3063E1AE" w14:textId="345DC641" w:rsidR="003434BF" w:rsidRPr="0058426A" w:rsidRDefault="003434BF" w:rsidP="003434BF">
            <w:pPr>
              <w:rPr>
                <w:bCs/>
                <w:sz w:val="22"/>
                <w:szCs w:val="22"/>
                <w:lang w:val="fr-FR" w:eastAsia="en-US"/>
              </w:rPr>
            </w:pPr>
            <w:r w:rsidRPr="0058426A">
              <w:rPr>
                <w:bCs/>
                <w:sz w:val="22"/>
                <w:szCs w:val="22"/>
                <w:lang w:val="fr-FR" w:eastAsia="en-US"/>
              </w:rPr>
              <w:t xml:space="preserve">Une note </w:t>
            </w:r>
            <w:r>
              <w:rPr>
                <w:bCs/>
                <w:sz w:val="22"/>
                <w:szCs w:val="22"/>
                <w:lang w:val="fr-FR" w:eastAsia="en-US"/>
              </w:rPr>
              <w:t>sur les bonnes pratiques est disponible à l’</w:t>
            </w:r>
            <w:r w:rsidRPr="0058426A">
              <w:rPr>
                <w:bCs/>
                <w:sz w:val="22"/>
                <w:szCs w:val="22"/>
                <w:lang w:val="fr-FR" w:eastAsia="en-US"/>
              </w:rPr>
              <w:t xml:space="preserve">issue des </w:t>
            </w:r>
            <w:r>
              <w:rPr>
                <w:bCs/>
                <w:sz w:val="22"/>
                <w:szCs w:val="22"/>
                <w:lang w:val="fr-FR" w:eastAsia="en-US"/>
              </w:rPr>
              <w:t xml:space="preserve">conclusions des rapports d’évaluation et des </w:t>
            </w:r>
            <w:r w:rsidRPr="0058426A">
              <w:rPr>
                <w:bCs/>
                <w:sz w:val="22"/>
                <w:szCs w:val="22"/>
                <w:lang w:val="fr-FR" w:eastAsia="en-US"/>
              </w:rPr>
              <w:t xml:space="preserve">consultations avec les agences/gouvernement et OSC sur les bonnes pratiques est disponible. Une </w:t>
            </w:r>
            <w:r>
              <w:rPr>
                <w:bCs/>
                <w:sz w:val="22"/>
                <w:szCs w:val="22"/>
                <w:lang w:val="fr-FR" w:eastAsia="en-US"/>
              </w:rPr>
              <w:t>mise à jour sera faite fin décembre 2021</w:t>
            </w:r>
            <w:r w:rsidRPr="0058426A">
              <w:rPr>
                <w:bCs/>
                <w:sz w:val="22"/>
                <w:szCs w:val="22"/>
                <w:lang w:val="fr-FR" w:eastAsia="en-US"/>
              </w:rPr>
              <w:t>.</w:t>
            </w:r>
          </w:p>
        </w:tc>
      </w:tr>
      <w:tr w:rsidR="003434BF" w:rsidRPr="00936A63" w14:paraId="7B8139A0" w14:textId="77777777" w:rsidTr="00826923">
        <w:trPr>
          <w:trHeight w:val="422"/>
        </w:trPr>
        <w:tc>
          <w:tcPr>
            <w:tcW w:w="1530" w:type="dxa"/>
            <w:vMerge w:val="restart"/>
          </w:tcPr>
          <w:p w14:paraId="2A9C6681" w14:textId="77777777" w:rsidR="003434BF" w:rsidRPr="005A6420" w:rsidRDefault="003434BF" w:rsidP="003434BF">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14:paraId="5D840582" w14:textId="77777777" w:rsidR="003434BF" w:rsidRPr="00523EA1" w:rsidRDefault="003434BF" w:rsidP="003434BF">
            <w:pPr>
              <w:jc w:val="both"/>
              <w:rPr>
                <w:b/>
                <w:bCs/>
                <w:iCs/>
                <w:color w:val="70AD47" w:themeColor="accent6"/>
                <w:sz w:val="20"/>
                <w:szCs w:val="20"/>
                <w:lang w:val="fr-FR"/>
              </w:rPr>
            </w:pPr>
            <w:r w:rsidRPr="00523EA1">
              <w:rPr>
                <w:b/>
                <w:i/>
                <w:sz w:val="20"/>
                <w:szCs w:val="20"/>
                <w:lang w:val="fr-CA"/>
              </w:rPr>
              <w:t>Le plaidoyer, la communication et le partenariat/création de réseaux sont assurés pour promouvoir une meilleure compréhension et connaissance du portefeuille PBF et de ses résultats au sein des autorités nationales, de la société civile, des bailleurs de fonds et du grand public.</w:t>
            </w:r>
          </w:p>
          <w:p w14:paraId="4D153369" w14:textId="0DF3D020" w:rsidR="003434BF" w:rsidRPr="005A6420" w:rsidRDefault="003434BF" w:rsidP="003434BF">
            <w:pPr>
              <w:rPr>
                <w:rFonts w:cs="Tahoma"/>
                <w:szCs w:val="20"/>
                <w:lang w:val="fr-FR" w:eastAsia="en-US"/>
              </w:rPr>
            </w:pPr>
          </w:p>
        </w:tc>
        <w:tc>
          <w:tcPr>
            <w:tcW w:w="2070" w:type="dxa"/>
            <w:shd w:val="clear" w:color="auto" w:fill="EEECE1"/>
          </w:tcPr>
          <w:p w14:paraId="644E56E0" w14:textId="4390C2A3" w:rsidR="003434BF" w:rsidRPr="007A705C" w:rsidRDefault="003434BF" w:rsidP="003434BF">
            <w:pPr>
              <w:rPr>
                <w:iCs/>
                <w:sz w:val="20"/>
                <w:szCs w:val="20"/>
                <w:lang w:val="fr-FR"/>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r w:rsidRPr="00523EA1">
              <w:rPr>
                <w:i/>
                <w:sz w:val="20"/>
                <w:szCs w:val="20"/>
                <w:lang w:val="fr-FR"/>
              </w:rPr>
              <w:t xml:space="preserve"> # </w:t>
            </w:r>
            <w:r>
              <w:rPr>
                <w:iCs/>
                <w:sz w:val="20"/>
                <w:szCs w:val="20"/>
                <w:lang w:val="fr-FR"/>
              </w:rPr>
              <w:t>de B</w:t>
            </w:r>
            <w:r w:rsidRPr="007A705C">
              <w:rPr>
                <w:iCs/>
                <w:sz w:val="20"/>
                <w:szCs w:val="20"/>
                <w:lang w:val="fr-FR"/>
              </w:rPr>
              <w:t>ulletins d’informations</w:t>
            </w:r>
            <w:r w:rsidRPr="00523EA1">
              <w:rPr>
                <w:i/>
                <w:sz w:val="20"/>
                <w:szCs w:val="20"/>
                <w:lang w:val="fr-FR"/>
              </w:rPr>
              <w:t xml:space="preserve"> </w:t>
            </w:r>
            <w:r w:rsidRPr="007A705C">
              <w:rPr>
                <w:iCs/>
                <w:sz w:val="20"/>
                <w:szCs w:val="20"/>
                <w:lang w:val="fr-FR"/>
              </w:rPr>
              <w:t>réguliers sont produits à l’intention des partenaires nationaux, des partenaires d’exécution, des agences et programmes des Nations Unies intervenant en RCA.</w:t>
            </w:r>
          </w:p>
          <w:p w14:paraId="4162329A" w14:textId="2C67CA43" w:rsidR="003434BF" w:rsidRPr="005A6420" w:rsidRDefault="003434BF" w:rsidP="003434BF">
            <w:pPr>
              <w:jc w:val="both"/>
              <w:rPr>
                <w:rFonts w:cs="Tahoma"/>
                <w:szCs w:val="20"/>
                <w:lang w:val="fr-FR" w:eastAsia="en-US"/>
              </w:rPr>
            </w:pPr>
          </w:p>
          <w:p w14:paraId="6F3C0BDE" w14:textId="4BA93EB8" w:rsidR="003434BF" w:rsidRPr="005A6420" w:rsidRDefault="003434BF" w:rsidP="003434BF">
            <w:pPr>
              <w:jc w:val="both"/>
              <w:rPr>
                <w:rFonts w:cs="Tahoma"/>
                <w:szCs w:val="20"/>
                <w:lang w:val="fr-FR" w:eastAsia="en-US"/>
              </w:rPr>
            </w:pPr>
          </w:p>
        </w:tc>
        <w:tc>
          <w:tcPr>
            <w:tcW w:w="1530" w:type="dxa"/>
            <w:shd w:val="clear" w:color="auto" w:fill="EEECE1"/>
          </w:tcPr>
          <w:p w14:paraId="6E51625D" w14:textId="33392D3F" w:rsidR="003434BF" w:rsidRDefault="003434BF" w:rsidP="003434BF">
            <w:pPr>
              <w:rPr>
                <w:sz w:val="20"/>
                <w:szCs w:val="20"/>
                <w:u w:val="single"/>
                <w:lang w:val="fr-FR"/>
              </w:rPr>
            </w:pPr>
            <w:r>
              <w:rPr>
                <w:sz w:val="20"/>
                <w:szCs w:val="20"/>
                <w:lang w:val="fr-FR"/>
              </w:rPr>
              <w:t>2 par an depuis 2018</w:t>
            </w:r>
          </w:p>
          <w:p w14:paraId="6DA04040" w14:textId="10386DA1" w:rsidR="003434BF" w:rsidRPr="005A6420" w:rsidRDefault="003434BF" w:rsidP="003434BF">
            <w:pPr>
              <w:rPr>
                <w:lang w:val="fr-FR"/>
              </w:rPr>
            </w:pPr>
          </w:p>
        </w:tc>
        <w:tc>
          <w:tcPr>
            <w:tcW w:w="1620" w:type="dxa"/>
            <w:shd w:val="clear" w:color="auto" w:fill="EEECE1"/>
          </w:tcPr>
          <w:p w14:paraId="7474FE33" w14:textId="77777777" w:rsidR="003434BF" w:rsidRPr="00174DD5" w:rsidRDefault="003434BF" w:rsidP="003434BF">
            <w:pPr>
              <w:rPr>
                <w:sz w:val="20"/>
                <w:szCs w:val="20"/>
                <w:lang w:val="fr-FR"/>
              </w:rPr>
            </w:pPr>
            <w:r>
              <w:rPr>
                <w:sz w:val="20"/>
                <w:szCs w:val="20"/>
                <w:lang w:val="fr-FR"/>
              </w:rPr>
              <w:t xml:space="preserve">6 </w:t>
            </w:r>
            <w:r w:rsidRPr="00174DD5">
              <w:rPr>
                <w:sz w:val="20"/>
                <w:szCs w:val="20"/>
                <w:lang w:val="fr-FR"/>
              </w:rPr>
              <w:t>bulletins produits et disséminés</w:t>
            </w:r>
            <w:r>
              <w:rPr>
                <w:sz w:val="20"/>
                <w:szCs w:val="20"/>
                <w:lang w:val="fr-FR"/>
              </w:rPr>
              <w:t xml:space="preserve"> (3 bulletins par an)</w:t>
            </w:r>
          </w:p>
          <w:p w14:paraId="37CDDA27" w14:textId="6EA672B5" w:rsidR="003434BF" w:rsidRPr="005A6420" w:rsidRDefault="003434BF" w:rsidP="003434BF">
            <w:pPr>
              <w:rPr>
                <w:lang w:val="fr-FR"/>
              </w:rPr>
            </w:pPr>
          </w:p>
        </w:tc>
        <w:tc>
          <w:tcPr>
            <w:tcW w:w="2070" w:type="dxa"/>
          </w:tcPr>
          <w:p w14:paraId="6F36CA3B" w14:textId="71D9970F" w:rsidR="003434BF" w:rsidRPr="005A6420" w:rsidRDefault="003434BF" w:rsidP="003434BF">
            <w:pPr>
              <w:rPr>
                <w:lang w:val="fr-FR"/>
              </w:rPr>
            </w:pPr>
            <w:r>
              <w:rPr>
                <w:b/>
                <w:sz w:val="22"/>
                <w:szCs w:val="22"/>
                <w:lang w:val="fr-FR" w:eastAsia="en-US"/>
              </w:rPr>
              <w:t>6</w:t>
            </w:r>
          </w:p>
        </w:tc>
        <w:tc>
          <w:tcPr>
            <w:tcW w:w="2070" w:type="dxa"/>
          </w:tcPr>
          <w:p w14:paraId="23F91EE3" w14:textId="2482E617" w:rsidR="003434BF" w:rsidRPr="000D3AFA" w:rsidRDefault="00E630DC" w:rsidP="003434BF">
            <w:pPr>
              <w:rPr>
                <w:sz w:val="20"/>
                <w:szCs w:val="20"/>
                <w:lang w:val="fr-FR"/>
              </w:rPr>
            </w:pPr>
            <w:r>
              <w:rPr>
                <w:b/>
                <w:sz w:val="20"/>
                <w:szCs w:val="20"/>
                <w:lang w:val="fr-FR" w:eastAsia="en-US"/>
              </w:rPr>
              <w:t>59</w:t>
            </w:r>
          </w:p>
        </w:tc>
        <w:tc>
          <w:tcPr>
            <w:tcW w:w="4140" w:type="dxa"/>
          </w:tcPr>
          <w:p w14:paraId="2722C235" w14:textId="17D2F23E" w:rsidR="003434BF" w:rsidRPr="000D3AFA" w:rsidRDefault="003434BF" w:rsidP="003434BF">
            <w:pPr>
              <w:rPr>
                <w:sz w:val="20"/>
                <w:szCs w:val="20"/>
                <w:lang w:val="fr-FR"/>
              </w:rPr>
            </w:pPr>
            <w:r w:rsidRPr="000D3AFA">
              <w:rPr>
                <w:sz w:val="20"/>
                <w:szCs w:val="20"/>
                <w:lang w:val="fr-FR"/>
              </w:rPr>
              <w:t xml:space="preserve">3 Bulletins édités en 2020 et 3 </w:t>
            </w:r>
            <w:r w:rsidR="000D3AFA" w:rsidRPr="000D3AFA">
              <w:rPr>
                <w:sz w:val="20"/>
                <w:szCs w:val="20"/>
                <w:lang w:val="fr-FR"/>
              </w:rPr>
              <w:t>bulletins</w:t>
            </w:r>
            <w:r w:rsidRPr="000D3AFA">
              <w:rPr>
                <w:sz w:val="20"/>
                <w:szCs w:val="20"/>
                <w:lang w:val="fr-FR"/>
              </w:rPr>
              <w:t xml:space="preserve"> à ce jour en 2021. </w:t>
            </w:r>
          </w:p>
        </w:tc>
      </w:tr>
      <w:tr w:rsidR="003434BF" w:rsidRPr="00936A63" w14:paraId="2A443379" w14:textId="77777777" w:rsidTr="00826923">
        <w:trPr>
          <w:trHeight w:val="422"/>
        </w:trPr>
        <w:tc>
          <w:tcPr>
            <w:tcW w:w="1530" w:type="dxa"/>
            <w:vMerge/>
          </w:tcPr>
          <w:p w14:paraId="278CAF2E" w14:textId="77777777" w:rsidR="003434BF" w:rsidRPr="005A6420" w:rsidRDefault="003434BF" w:rsidP="003434BF">
            <w:pPr>
              <w:rPr>
                <w:rFonts w:cs="Tahoma"/>
                <w:b/>
                <w:szCs w:val="20"/>
                <w:lang w:val="fr-FR" w:eastAsia="en-US"/>
              </w:rPr>
            </w:pPr>
          </w:p>
        </w:tc>
        <w:tc>
          <w:tcPr>
            <w:tcW w:w="2070" w:type="dxa"/>
            <w:shd w:val="clear" w:color="auto" w:fill="EEECE1"/>
          </w:tcPr>
          <w:p w14:paraId="5B293B85"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0431A723" w14:textId="77777777" w:rsidR="003434BF" w:rsidRPr="00174DD5" w:rsidRDefault="003434BF" w:rsidP="003434BF">
            <w:pPr>
              <w:jc w:val="both"/>
              <w:rPr>
                <w:sz w:val="20"/>
                <w:szCs w:val="20"/>
                <w:lang w:val="fr-FR"/>
              </w:rPr>
            </w:pPr>
            <w:r w:rsidRPr="00174DD5">
              <w:rPr>
                <w:sz w:val="20"/>
                <w:szCs w:val="20"/>
                <w:lang w:val="fr-FR"/>
              </w:rPr>
              <w:t>Existence d’un plan de communication renforcé et opérationnel</w:t>
            </w:r>
          </w:p>
          <w:p w14:paraId="57DD45EA" w14:textId="441A2143" w:rsidR="003434BF" w:rsidRPr="005A6420" w:rsidRDefault="003434BF" w:rsidP="003434BF">
            <w:pPr>
              <w:rPr>
                <w:rFonts w:cs="Tahoma"/>
                <w:szCs w:val="20"/>
                <w:lang w:val="fr-FR" w:eastAsia="en-US"/>
              </w:rPr>
            </w:pPr>
          </w:p>
        </w:tc>
        <w:tc>
          <w:tcPr>
            <w:tcW w:w="1530" w:type="dxa"/>
            <w:shd w:val="clear" w:color="auto" w:fill="EEECE1"/>
          </w:tcPr>
          <w:p w14:paraId="5ED011B9" w14:textId="39D8767D" w:rsidR="003434BF" w:rsidRPr="005A6420" w:rsidRDefault="003434BF" w:rsidP="003434BF">
            <w:pPr>
              <w:rPr>
                <w:b/>
                <w:sz w:val="22"/>
                <w:szCs w:val="22"/>
                <w:lang w:val="fr-FR" w:eastAsia="en-US"/>
              </w:rPr>
            </w:pPr>
            <w:r w:rsidRPr="00174DD5">
              <w:rPr>
                <w:sz w:val="20"/>
                <w:szCs w:val="20"/>
                <w:lang w:val="fr-FR"/>
              </w:rPr>
              <w:t xml:space="preserve">1 </w:t>
            </w:r>
            <w:r>
              <w:rPr>
                <w:sz w:val="20"/>
                <w:szCs w:val="20"/>
                <w:lang w:val="fr-FR"/>
              </w:rPr>
              <w:t>plan de communication portefeuille 2017 -2019</w:t>
            </w:r>
          </w:p>
        </w:tc>
        <w:tc>
          <w:tcPr>
            <w:tcW w:w="1620" w:type="dxa"/>
            <w:shd w:val="clear" w:color="auto" w:fill="EEECE1"/>
          </w:tcPr>
          <w:p w14:paraId="6F44DFBD" w14:textId="2086997B" w:rsidR="003434BF" w:rsidRPr="005A6420" w:rsidRDefault="003434BF" w:rsidP="003434BF">
            <w:pPr>
              <w:rPr>
                <w:b/>
                <w:sz w:val="22"/>
                <w:szCs w:val="22"/>
                <w:lang w:val="fr-FR" w:eastAsia="en-US"/>
              </w:rPr>
            </w:pPr>
            <w:r>
              <w:rPr>
                <w:sz w:val="20"/>
                <w:szCs w:val="20"/>
                <w:lang w:val="fr-FR"/>
              </w:rPr>
              <w:t xml:space="preserve">1 </w:t>
            </w:r>
            <w:r w:rsidRPr="00174DD5">
              <w:rPr>
                <w:sz w:val="20"/>
                <w:szCs w:val="20"/>
                <w:lang w:val="fr-FR"/>
              </w:rPr>
              <w:t>plan de communication revu intégrant</w:t>
            </w:r>
            <w:r w:rsidRPr="00174DD5">
              <w:rPr>
                <w:sz w:val="20"/>
                <w:szCs w:val="20"/>
                <w:lang w:val="fr-CA"/>
              </w:rPr>
              <w:t xml:space="preserve"> les campagnes réseaux sociaux</w:t>
            </w:r>
            <w:r>
              <w:rPr>
                <w:sz w:val="20"/>
                <w:szCs w:val="20"/>
                <w:lang w:val="fr-CA"/>
              </w:rPr>
              <w:t>.</w:t>
            </w:r>
          </w:p>
        </w:tc>
        <w:tc>
          <w:tcPr>
            <w:tcW w:w="2070" w:type="dxa"/>
          </w:tcPr>
          <w:p w14:paraId="40484754" w14:textId="71CBC8D7" w:rsidR="003434BF" w:rsidRPr="005A6420" w:rsidRDefault="003434BF" w:rsidP="003434BF">
            <w:pPr>
              <w:rPr>
                <w:b/>
                <w:sz w:val="22"/>
                <w:szCs w:val="22"/>
                <w:lang w:val="fr-FR" w:eastAsia="en-US"/>
              </w:rPr>
            </w:pPr>
            <w:r>
              <w:rPr>
                <w:b/>
                <w:sz w:val="22"/>
                <w:szCs w:val="22"/>
                <w:lang w:val="fr-FR" w:eastAsia="en-US"/>
              </w:rPr>
              <w:t>1</w:t>
            </w:r>
          </w:p>
        </w:tc>
        <w:tc>
          <w:tcPr>
            <w:tcW w:w="2070" w:type="dxa"/>
          </w:tcPr>
          <w:p w14:paraId="2FE52A1F" w14:textId="310E7005" w:rsidR="003434BF" w:rsidRPr="005A6420" w:rsidRDefault="003434BF" w:rsidP="003434BF">
            <w:pPr>
              <w:rPr>
                <w:b/>
                <w:sz w:val="22"/>
                <w:szCs w:val="22"/>
                <w:lang w:val="fr-FR" w:eastAsia="en-US"/>
              </w:rPr>
            </w:pPr>
            <w:r>
              <w:rPr>
                <w:b/>
                <w:sz w:val="22"/>
                <w:szCs w:val="22"/>
                <w:lang w:val="fr-FR" w:eastAsia="en-US"/>
              </w:rPr>
              <w:t>1</w:t>
            </w:r>
          </w:p>
        </w:tc>
        <w:tc>
          <w:tcPr>
            <w:tcW w:w="4140" w:type="dxa"/>
          </w:tcPr>
          <w:p w14:paraId="058DC17B" w14:textId="3E6EAE0A" w:rsidR="003434BF" w:rsidRPr="001859EC" w:rsidRDefault="003434BF" w:rsidP="003434BF">
            <w:pPr>
              <w:rPr>
                <w:bCs/>
                <w:sz w:val="22"/>
                <w:szCs w:val="22"/>
                <w:lang w:val="fr-FR" w:eastAsia="en-US"/>
              </w:rPr>
            </w:pPr>
            <w:r w:rsidRPr="001859EC">
              <w:rPr>
                <w:bCs/>
                <w:sz w:val="22"/>
                <w:szCs w:val="22"/>
                <w:lang w:val="fr-FR" w:eastAsia="en-US"/>
              </w:rPr>
              <w:t>Le plan de suivi a été revu en début de l’année</w:t>
            </w:r>
            <w:r>
              <w:rPr>
                <w:bCs/>
                <w:sz w:val="22"/>
                <w:szCs w:val="22"/>
                <w:lang w:val="fr-FR" w:eastAsia="en-US"/>
              </w:rPr>
              <w:t xml:space="preserve"> et est fonctionnel</w:t>
            </w:r>
          </w:p>
        </w:tc>
      </w:tr>
      <w:tr w:rsidR="003434BF" w:rsidRPr="001F6831" w14:paraId="38AAC83F" w14:textId="77777777" w:rsidTr="00826923">
        <w:trPr>
          <w:trHeight w:val="422"/>
        </w:trPr>
        <w:tc>
          <w:tcPr>
            <w:tcW w:w="1530" w:type="dxa"/>
          </w:tcPr>
          <w:p w14:paraId="4D7E9104" w14:textId="77777777" w:rsidR="003434BF" w:rsidRPr="005A6420" w:rsidRDefault="003434BF" w:rsidP="003434BF">
            <w:pPr>
              <w:rPr>
                <w:rFonts w:cs="Tahoma"/>
                <w:b/>
                <w:szCs w:val="20"/>
                <w:lang w:val="fr-FR" w:eastAsia="en-US"/>
              </w:rPr>
            </w:pPr>
          </w:p>
        </w:tc>
        <w:tc>
          <w:tcPr>
            <w:tcW w:w="2070" w:type="dxa"/>
            <w:shd w:val="clear" w:color="auto" w:fill="EEECE1"/>
          </w:tcPr>
          <w:p w14:paraId="6F834793" w14:textId="2BFA3142" w:rsidR="003434BF" w:rsidRPr="005A6420" w:rsidRDefault="003434BF" w:rsidP="003434B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Pr>
                <w:rFonts w:cs="Tahoma"/>
                <w:szCs w:val="20"/>
                <w:lang w:val="fr-FR" w:eastAsia="en-US"/>
              </w:rPr>
              <w:t>3</w:t>
            </w:r>
          </w:p>
          <w:p w14:paraId="278F6FF9" w14:textId="77777777" w:rsidR="003434BF" w:rsidRPr="00E42DFB" w:rsidRDefault="003434BF" w:rsidP="003434BF">
            <w:pPr>
              <w:jc w:val="both"/>
              <w:rPr>
                <w:sz w:val="20"/>
                <w:szCs w:val="20"/>
                <w:lang w:val="fr-FR"/>
              </w:rPr>
            </w:pPr>
            <w:r w:rsidRPr="00E42DFB">
              <w:rPr>
                <w:sz w:val="20"/>
                <w:szCs w:val="20"/>
                <w:lang w:val="fr-FR"/>
              </w:rPr>
              <w:t># un film documentaire sur la réalisation phares du portefeuille réalisé</w:t>
            </w:r>
          </w:p>
          <w:p w14:paraId="0B8E14FB" w14:textId="77777777" w:rsidR="003434BF" w:rsidRPr="005A6420" w:rsidRDefault="003434BF" w:rsidP="003434BF">
            <w:pPr>
              <w:jc w:val="both"/>
              <w:rPr>
                <w:rFonts w:cs="Tahoma"/>
                <w:szCs w:val="20"/>
                <w:lang w:val="fr-FR" w:eastAsia="en-US"/>
              </w:rPr>
            </w:pPr>
          </w:p>
        </w:tc>
        <w:tc>
          <w:tcPr>
            <w:tcW w:w="1530" w:type="dxa"/>
            <w:shd w:val="clear" w:color="auto" w:fill="EEECE1"/>
          </w:tcPr>
          <w:p w14:paraId="64C7A272" w14:textId="1B5FC1C0" w:rsidR="003434BF" w:rsidRPr="00174DD5" w:rsidRDefault="003434BF" w:rsidP="003434BF">
            <w:pPr>
              <w:rPr>
                <w:sz w:val="20"/>
                <w:szCs w:val="20"/>
                <w:lang w:val="fr-FR"/>
              </w:rPr>
            </w:pPr>
            <w:r>
              <w:rPr>
                <w:sz w:val="20"/>
                <w:szCs w:val="20"/>
                <w:lang w:val="fr-FR"/>
              </w:rPr>
              <w:t>0</w:t>
            </w:r>
          </w:p>
        </w:tc>
        <w:tc>
          <w:tcPr>
            <w:tcW w:w="1620" w:type="dxa"/>
            <w:shd w:val="clear" w:color="auto" w:fill="EEECE1"/>
          </w:tcPr>
          <w:p w14:paraId="4398B386" w14:textId="77777777" w:rsidR="003434BF" w:rsidRPr="00E42DFB" w:rsidRDefault="003434BF" w:rsidP="003434BF">
            <w:pPr>
              <w:rPr>
                <w:i/>
                <w:sz w:val="20"/>
                <w:szCs w:val="20"/>
                <w:lang w:val="fr-FR"/>
              </w:rPr>
            </w:pPr>
            <w:r w:rsidRPr="00E42DFB">
              <w:rPr>
                <w:sz w:val="20"/>
                <w:szCs w:val="20"/>
                <w:lang w:val="fr-FR"/>
              </w:rPr>
              <w:t>Un film documentaire réalisé</w:t>
            </w:r>
          </w:p>
          <w:p w14:paraId="59AFD145" w14:textId="77777777" w:rsidR="003434BF" w:rsidRDefault="003434BF" w:rsidP="003434BF">
            <w:pPr>
              <w:rPr>
                <w:sz w:val="20"/>
                <w:szCs w:val="20"/>
                <w:lang w:val="fr-FR"/>
              </w:rPr>
            </w:pPr>
          </w:p>
        </w:tc>
        <w:tc>
          <w:tcPr>
            <w:tcW w:w="2070" w:type="dxa"/>
          </w:tcPr>
          <w:p w14:paraId="48FC2672" w14:textId="22DA197C" w:rsidR="003434BF" w:rsidRPr="005A6420" w:rsidRDefault="003434BF" w:rsidP="003434BF">
            <w:pPr>
              <w:rPr>
                <w:b/>
                <w:sz w:val="22"/>
                <w:szCs w:val="22"/>
                <w:lang w:val="fr-FR" w:eastAsia="en-US"/>
              </w:rPr>
            </w:pPr>
            <w:r>
              <w:rPr>
                <w:b/>
                <w:sz w:val="22"/>
                <w:szCs w:val="22"/>
                <w:lang w:val="fr-FR" w:eastAsia="en-US"/>
              </w:rPr>
              <w:t>0</w:t>
            </w:r>
          </w:p>
        </w:tc>
        <w:tc>
          <w:tcPr>
            <w:tcW w:w="2070" w:type="dxa"/>
          </w:tcPr>
          <w:p w14:paraId="0C5BD037" w14:textId="24108024" w:rsidR="003434BF" w:rsidRPr="005A6420" w:rsidRDefault="003434BF" w:rsidP="003434BF">
            <w:pPr>
              <w:rPr>
                <w:b/>
                <w:sz w:val="22"/>
                <w:szCs w:val="22"/>
                <w:lang w:val="fr-FR" w:eastAsia="en-US"/>
              </w:rPr>
            </w:pPr>
            <w:r>
              <w:rPr>
                <w:b/>
                <w:sz w:val="22"/>
                <w:szCs w:val="22"/>
                <w:lang w:val="fr-FR" w:eastAsia="en-US"/>
              </w:rPr>
              <w:t>0</w:t>
            </w:r>
          </w:p>
        </w:tc>
        <w:tc>
          <w:tcPr>
            <w:tcW w:w="4140" w:type="dxa"/>
          </w:tcPr>
          <w:p w14:paraId="394F7791" w14:textId="270B6DEC" w:rsidR="003434BF" w:rsidRPr="001859EC" w:rsidRDefault="000D3AFA" w:rsidP="003434BF">
            <w:pPr>
              <w:rPr>
                <w:bCs/>
                <w:sz w:val="22"/>
                <w:szCs w:val="22"/>
                <w:lang w:val="fr-FR" w:eastAsia="en-US"/>
              </w:rPr>
            </w:pPr>
            <w:r>
              <w:rPr>
                <w:bCs/>
                <w:sz w:val="22"/>
                <w:szCs w:val="22"/>
                <w:lang w:val="fr-FR" w:eastAsia="en-US"/>
              </w:rPr>
              <w:t>Un</w:t>
            </w:r>
            <w:r w:rsidR="003434BF">
              <w:rPr>
                <w:bCs/>
                <w:sz w:val="22"/>
                <w:szCs w:val="22"/>
                <w:lang w:val="fr-FR" w:eastAsia="en-US"/>
              </w:rPr>
              <w:t xml:space="preserve"> </w:t>
            </w:r>
            <w:r w:rsidR="003434BF" w:rsidRPr="001859EC">
              <w:rPr>
                <w:bCs/>
                <w:sz w:val="22"/>
                <w:szCs w:val="22"/>
                <w:lang w:val="fr-FR" w:eastAsia="en-US"/>
              </w:rPr>
              <w:t>film documentaire</w:t>
            </w:r>
            <w:r>
              <w:rPr>
                <w:bCs/>
                <w:sz w:val="22"/>
                <w:szCs w:val="22"/>
                <w:lang w:val="fr-FR" w:eastAsia="en-US"/>
              </w:rPr>
              <w:t xml:space="preserve"> sur l’inclusion des jeunes</w:t>
            </w:r>
            <w:r w:rsidR="003434BF">
              <w:rPr>
                <w:bCs/>
                <w:sz w:val="22"/>
                <w:szCs w:val="22"/>
                <w:lang w:val="fr-FR" w:eastAsia="en-US"/>
              </w:rPr>
              <w:t xml:space="preserve"> </w:t>
            </w:r>
            <w:r>
              <w:rPr>
                <w:bCs/>
                <w:sz w:val="22"/>
                <w:szCs w:val="22"/>
                <w:lang w:val="fr-FR" w:eastAsia="en-US"/>
              </w:rPr>
              <w:t>a</w:t>
            </w:r>
            <w:r w:rsidR="003434BF">
              <w:rPr>
                <w:bCs/>
                <w:sz w:val="22"/>
                <w:szCs w:val="22"/>
                <w:lang w:val="fr-FR" w:eastAsia="en-US"/>
              </w:rPr>
              <w:t xml:space="preserve"> été réalisé</w:t>
            </w:r>
            <w:r>
              <w:rPr>
                <w:bCs/>
                <w:sz w:val="22"/>
                <w:szCs w:val="22"/>
                <w:lang w:val="fr-FR" w:eastAsia="en-US"/>
              </w:rPr>
              <w:t>e</w:t>
            </w:r>
            <w:r w:rsidR="003434BF" w:rsidRPr="001859EC">
              <w:rPr>
                <w:bCs/>
                <w:sz w:val="22"/>
                <w:szCs w:val="22"/>
                <w:lang w:val="fr-FR" w:eastAsia="en-US"/>
              </w:rPr>
              <w:t xml:space="preserve"> </w:t>
            </w:r>
            <w:r w:rsidR="003434BF">
              <w:rPr>
                <w:bCs/>
                <w:sz w:val="22"/>
                <w:szCs w:val="22"/>
                <w:lang w:val="fr-FR" w:eastAsia="en-US"/>
              </w:rPr>
              <w:t xml:space="preserve">par </w:t>
            </w:r>
            <w:r>
              <w:rPr>
                <w:bCs/>
                <w:sz w:val="22"/>
                <w:szCs w:val="22"/>
                <w:lang w:val="fr-FR" w:eastAsia="en-US"/>
              </w:rPr>
              <w:t>l’ONG URU/ACCORD. Pour le portefeuille PBF, il est en cours.</w:t>
            </w:r>
          </w:p>
        </w:tc>
      </w:tr>
      <w:tr w:rsidR="003434BF" w:rsidRPr="005A6420" w14:paraId="0CA7A1F1" w14:textId="77777777" w:rsidTr="00826923">
        <w:trPr>
          <w:trHeight w:val="422"/>
        </w:trPr>
        <w:tc>
          <w:tcPr>
            <w:tcW w:w="1530" w:type="dxa"/>
            <w:vMerge w:val="restart"/>
          </w:tcPr>
          <w:p w14:paraId="15776DBE" w14:textId="77777777" w:rsidR="003434BF" w:rsidRPr="005A6420" w:rsidRDefault="003434BF" w:rsidP="003434BF">
            <w:pPr>
              <w:rPr>
                <w:rFonts w:cs="Tahoma"/>
                <w:b/>
                <w:szCs w:val="20"/>
                <w:lang w:val="fr-FR" w:eastAsia="en-US"/>
              </w:rPr>
            </w:pPr>
            <w:r w:rsidRPr="005A6420">
              <w:rPr>
                <w:rFonts w:cs="Tahoma"/>
                <w:b/>
                <w:szCs w:val="20"/>
                <w:lang w:val="fr-FR" w:eastAsia="en-US"/>
              </w:rPr>
              <w:t>Résultat 2</w:t>
            </w:r>
          </w:p>
          <w:p w14:paraId="21B9E220" w14:textId="77777777" w:rsidR="003434BF" w:rsidRPr="005A6420" w:rsidRDefault="003434BF" w:rsidP="003434B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3434BF" w:rsidRPr="005A6420" w:rsidRDefault="003434BF" w:rsidP="003434BF">
            <w:pPr>
              <w:rPr>
                <w:rFonts w:cs="Tahoma"/>
                <w:b/>
                <w:szCs w:val="20"/>
                <w:lang w:val="fr-FR" w:eastAsia="en-US"/>
              </w:rPr>
            </w:pPr>
          </w:p>
        </w:tc>
        <w:tc>
          <w:tcPr>
            <w:tcW w:w="2070" w:type="dxa"/>
            <w:shd w:val="clear" w:color="auto" w:fill="EEECE1"/>
          </w:tcPr>
          <w:p w14:paraId="5F12209B" w14:textId="77777777" w:rsidR="003434BF" w:rsidRPr="005A6420" w:rsidRDefault="003434BF" w:rsidP="003434BF">
            <w:pPr>
              <w:jc w:val="both"/>
              <w:rPr>
                <w:rFonts w:cs="Tahoma"/>
                <w:szCs w:val="20"/>
                <w:lang w:val="fr-FR" w:eastAsia="en-US"/>
              </w:rPr>
            </w:pPr>
            <w:r w:rsidRPr="005A6420">
              <w:rPr>
                <w:rFonts w:cs="Tahoma"/>
                <w:szCs w:val="20"/>
                <w:lang w:val="fr-FR" w:eastAsia="en-US"/>
              </w:rPr>
              <w:lastRenderedPageBreak/>
              <w:t>Indicateur 2.1</w:t>
            </w:r>
          </w:p>
          <w:p w14:paraId="5579C4A1"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3A295047" w:rsidR="003434BF" w:rsidRPr="005A6420" w:rsidRDefault="003434BF" w:rsidP="003434BF">
            <w:pPr>
              <w:rPr>
                <w:lang w:val="fr-FR"/>
              </w:rPr>
            </w:pPr>
          </w:p>
        </w:tc>
      </w:tr>
      <w:tr w:rsidR="003434BF" w:rsidRPr="005A6420" w14:paraId="6DDA32A5" w14:textId="77777777" w:rsidTr="00826923">
        <w:trPr>
          <w:trHeight w:val="422"/>
        </w:trPr>
        <w:tc>
          <w:tcPr>
            <w:tcW w:w="1530" w:type="dxa"/>
            <w:vMerge/>
          </w:tcPr>
          <w:p w14:paraId="15FC499C" w14:textId="77777777" w:rsidR="003434BF" w:rsidRPr="005A6420" w:rsidRDefault="003434BF" w:rsidP="003434BF">
            <w:pPr>
              <w:rPr>
                <w:rFonts w:cs="Tahoma"/>
                <w:szCs w:val="20"/>
                <w:lang w:val="fr-FR" w:eastAsia="en-US"/>
              </w:rPr>
            </w:pPr>
          </w:p>
        </w:tc>
        <w:tc>
          <w:tcPr>
            <w:tcW w:w="2070" w:type="dxa"/>
            <w:shd w:val="clear" w:color="auto" w:fill="EEECE1"/>
          </w:tcPr>
          <w:p w14:paraId="0AA09BD9"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2.2</w:t>
            </w:r>
          </w:p>
          <w:p w14:paraId="4E8793D2"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6214E5C" w14:textId="77777777" w:rsidTr="00826923">
        <w:trPr>
          <w:trHeight w:val="422"/>
        </w:trPr>
        <w:tc>
          <w:tcPr>
            <w:tcW w:w="1530" w:type="dxa"/>
            <w:vMerge/>
          </w:tcPr>
          <w:p w14:paraId="66D5C63F" w14:textId="77777777" w:rsidR="003434BF" w:rsidRPr="005A6420" w:rsidRDefault="003434BF" w:rsidP="003434BF">
            <w:pPr>
              <w:rPr>
                <w:rFonts w:cs="Tahoma"/>
                <w:szCs w:val="20"/>
                <w:lang w:val="fr-FR" w:eastAsia="en-US"/>
              </w:rPr>
            </w:pPr>
          </w:p>
        </w:tc>
        <w:tc>
          <w:tcPr>
            <w:tcW w:w="2070" w:type="dxa"/>
            <w:shd w:val="clear" w:color="auto" w:fill="EEECE1"/>
          </w:tcPr>
          <w:p w14:paraId="322344B7"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2.3</w:t>
            </w:r>
          </w:p>
          <w:p w14:paraId="0E0FF48E"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24D5CF99" w14:textId="77777777" w:rsidTr="00826923">
        <w:trPr>
          <w:trHeight w:val="422"/>
        </w:trPr>
        <w:tc>
          <w:tcPr>
            <w:tcW w:w="1530" w:type="dxa"/>
            <w:vMerge w:val="restart"/>
          </w:tcPr>
          <w:p w14:paraId="26C8010E" w14:textId="77777777" w:rsidR="003434BF" w:rsidRPr="005A6420" w:rsidRDefault="003434BF" w:rsidP="003434BF">
            <w:pPr>
              <w:rPr>
                <w:rFonts w:cs="Tahoma"/>
                <w:szCs w:val="20"/>
                <w:lang w:val="fr-FR" w:eastAsia="en-US"/>
              </w:rPr>
            </w:pPr>
            <w:r w:rsidRPr="005A6420">
              <w:rPr>
                <w:rFonts w:cs="Tahoma"/>
                <w:szCs w:val="20"/>
                <w:lang w:val="fr-FR" w:eastAsia="en-US"/>
              </w:rPr>
              <w:t>Produit 2.1</w:t>
            </w:r>
          </w:p>
          <w:p w14:paraId="61DD438F"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75BE1D" w14:textId="77777777" w:rsidR="003434BF" w:rsidRPr="005A6420" w:rsidRDefault="003434BF" w:rsidP="003434BF">
            <w:pPr>
              <w:rPr>
                <w:rFonts w:cs="Tahoma"/>
                <w:b/>
                <w:szCs w:val="20"/>
                <w:lang w:val="fr-FR" w:eastAsia="en-US"/>
              </w:rPr>
            </w:pPr>
          </w:p>
        </w:tc>
        <w:tc>
          <w:tcPr>
            <w:tcW w:w="2070" w:type="dxa"/>
            <w:shd w:val="clear" w:color="auto" w:fill="EEECE1"/>
          </w:tcPr>
          <w:p w14:paraId="400B06FF"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2.1.1</w:t>
            </w:r>
          </w:p>
          <w:p w14:paraId="021841C7"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3E4237A1" w14:textId="77777777" w:rsidTr="00826923">
        <w:trPr>
          <w:trHeight w:val="458"/>
        </w:trPr>
        <w:tc>
          <w:tcPr>
            <w:tcW w:w="1530" w:type="dxa"/>
            <w:vMerge/>
          </w:tcPr>
          <w:p w14:paraId="3989DD76" w14:textId="77777777" w:rsidR="003434BF" w:rsidRPr="005A6420" w:rsidRDefault="003434BF" w:rsidP="003434BF">
            <w:pPr>
              <w:rPr>
                <w:rFonts w:cs="Tahoma"/>
                <w:b/>
                <w:szCs w:val="20"/>
                <w:lang w:val="fr-FR" w:eastAsia="en-US"/>
              </w:rPr>
            </w:pPr>
          </w:p>
        </w:tc>
        <w:tc>
          <w:tcPr>
            <w:tcW w:w="2070" w:type="dxa"/>
            <w:shd w:val="clear" w:color="auto" w:fill="EEECE1"/>
          </w:tcPr>
          <w:p w14:paraId="7901D4E3"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2.1.2</w:t>
            </w:r>
          </w:p>
          <w:p w14:paraId="565108E4"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2407E0AE" w14:textId="77777777" w:rsidTr="00826923">
        <w:trPr>
          <w:trHeight w:val="512"/>
        </w:trPr>
        <w:tc>
          <w:tcPr>
            <w:tcW w:w="1530" w:type="dxa"/>
            <w:vMerge w:val="restart"/>
          </w:tcPr>
          <w:p w14:paraId="0D5CDE41" w14:textId="77777777" w:rsidR="003434BF" w:rsidRPr="005A6420" w:rsidRDefault="003434BF" w:rsidP="003434BF">
            <w:pPr>
              <w:rPr>
                <w:rFonts w:cs="Tahoma"/>
                <w:b/>
                <w:szCs w:val="20"/>
                <w:lang w:val="fr-FR" w:eastAsia="en-US"/>
              </w:rPr>
            </w:pPr>
          </w:p>
          <w:p w14:paraId="3EC71105" w14:textId="77777777" w:rsidR="003434BF" w:rsidRPr="005A6420" w:rsidRDefault="003434BF" w:rsidP="003434BF">
            <w:pPr>
              <w:rPr>
                <w:rFonts w:cs="Tahoma"/>
                <w:szCs w:val="20"/>
                <w:lang w:val="fr-FR" w:eastAsia="en-US"/>
              </w:rPr>
            </w:pPr>
            <w:r w:rsidRPr="005A6420">
              <w:rPr>
                <w:rFonts w:cs="Tahoma"/>
                <w:szCs w:val="20"/>
                <w:lang w:val="fr-FR" w:eastAsia="en-US"/>
              </w:rPr>
              <w:t>Produit 2.2</w:t>
            </w:r>
          </w:p>
          <w:p w14:paraId="75E4C980"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2.2.1</w:t>
            </w:r>
          </w:p>
          <w:p w14:paraId="2AEA46A0"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0D3A8502" w14:textId="77777777" w:rsidTr="00826923">
        <w:trPr>
          <w:trHeight w:val="458"/>
        </w:trPr>
        <w:tc>
          <w:tcPr>
            <w:tcW w:w="1530" w:type="dxa"/>
            <w:vMerge/>
          </w:tcPr>
          <w:p w14:paraId="5D432616" w14:textId="77777777" w:rsidR="003434BF" w:rsidRPr="005A6420" w:rsidRDefault="003434BF" w:rsidP="003434BF">
            <w:pPr>
              <w:rPr>
                <w:rFonts w:cs="Tahoma"/>
                <w:b/>
                <w:szCs w:val="20"/>
                <w:lang w:val="fr-FR" w:eastAsia="en-US"/>
              </w:rPr>
            </w:pPr>
          </w:p>
        </w:tc>
        <w:tc>
          <w:tcPr>
            <w:tcW w:w="2070" w:type="dxa"/>
            <w:shd w:val="clear" w:color="auto" w:fill="EEECE1"/>
          </w:tcPr>
          <w:p w14:paraId="741900A4"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2.2.2</w:t>
            </w:r>
          </w:p>
          <w:p w14:paraId="7E3A8DEF"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721B3FB7" w14:textId="77777777" w:rsidTr="00826923">
        <w:trPr>
          <w:trHeight w:val="458"/>
        </w:trPr>
        <w:tc>
          <w:tcPr>
            <w:tcW w:w="1530" w:type="dxa"/>
            <w:vMerge w:val="restart"/>
          </w:tcPr>
          <w:p w14:paraId="190D57F3" w14:textId="77777777" w:rsidR="003434BF" w:rsidRPr="005A6420" w:rsidRDefault="003434BF" w:rsidP="003434BF">
            <w:pPr>
              <w:rPr>
                <w:rFonts w:cs="Tahoma"/>
                <w:b/>
                <w:szCs w:val="20"/>
                <w:lang w:val="fr-FR" w:eastAsia="en-US"/>
              </w:rPr>
            </w:pPr>
          </w:p>
          <w:p w14:paraId="2FF3BDED" w14:textId="77777777" w:rsidR="003434BF" w:rsidRPr="005A6420" w:rsidRDefault="003434BF" w:rsidP="003434BF">
            <w:pPr>
              <w:rPr>
                <w:rFonts w:cs="Tahoma"/>
                <w:szCs w:val="20"/>
                <w:lang w:val="fr-FR" w:eastAsia="en-US"/>
              </w:rPr>
            </w:pPr>
            <w:r w:rsidRPr="005A6420">
              <w:rPr>
                <w:rFonts w:cs="Tahoma"/>
                <w:szCs w:val="20"/>
                <w:lang w:val="fr-FR" w:eastAsia="en-US"/>
              </w:rPr>
              <w:t>Produit 2.3</w:t>
            </w:r>
          </w:p>
          <w:p w14:paraId="34C9ECDD"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2.3.1</w:t>
            </w:r>
          </w:p>
          <w:p w14:paraId="64EB3D5C"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2F9C0C94" w14:textId="77777777" w:rsidTr="00826923">
        <w:trPr>
          <w:trHeight w:val="458"/>
        </w:trPr>
        <w:tc>
          <w:tcPr>
            <w:tcW w:w="1530" w:type="dxa"/>
            <w:vMerge/>
          </w:tcPr>
          <w:p w14:paraId="1A68426C" w14:textId="77777777" w:rsidR="003434BF" w:rsidRPr="005A6420" w:rsidRDefault="003434BF" w:rsidP="003434BF">
            <w:pPr>
              <w:rPr>
                <w:rFonts w:cs="Tahoma"/>
                <w:b/>
                <w:szCs w:val="20"/>
                <w:lang w:val="fr-FR" w:eastAsia="en-US"/>
              </w:rPr>
            </w:pPr>
          </w:p>
        </w:tc>
        <w:tc>
          <w:tcPr>
            <w:tcW w:w="2070" w:type="dxa"/>
            <w:shd w:val="clear" w:color="auto" w:fill="EEECE1"/>
          </w:tcPr>
          <w:p w14:paraId="2CC8F54A"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2.3.2</w:t>
            </w:r>
          </w:p>
          <w:p w14:paraId="3476D95F"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2DB2A2DA" w14:textId="77777777" w:rsidTr="00826923">
        <w:trPr>
          <w:trHeight w:val="458"/>
        </w:trPr>
        <w:tc>
          <w:tcPr>
            <w:tcW w:w="1530" w:type="dxa"/>
            <w:vMerge w:val="restart"/>
          </w:tcPr>
          <w:p w14:paraId="109B5CCA" w14:textId="77777777" w:rsidR="003434BF" w:rsidRPr="005A6420" w:rsidRDefault="003434BF" w:rsidP="003434BF">
            <w:pPr>
              <w:rPr>
                <w:rFonts w:cs="Tahoma"/>
                <w:b/>
                <w:szCs w:val="20"/>
                <w:lang w:val="fr-FR" w:eastAsia="en-US"/>
              </w:rPr>
            </w:pPr>
          </w:p>
          <w:p w14:paraId="33436EC0" w14:textId="77777777" w:rsidR="003434BF" w:rsidRPr="005A6420" w:rsidRDefault="003434BF" w:rsidP="003434BF">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3C8B8D9B" w14:textId="77777777" w:rsidTr="00826923">
        <w:trPr>
          <w:trHeight w:val="458"/>
        </w:trPr>
        <w:tc>
          <w:tcPr>
            <w:tcW w:w="1530" w:type="dxa"/>
            <w:vMerge/>
          </w:tcPr>
          <w:p w14:paraId="391E61E2" w14:textId="77777777" w:rsidR="003434BF" w:rsidRPr="005A6420" w:rsidRDefault="003434BF" w:rsidP="003434BF">
            <w:pPr>
              <w:rPr>
                <w:rFonts w:cs="Tahoma"/>
                <w:b/>
                <w:szCs w:val="20"/>
                <w:lang w:val="fr-FR" w:eastAsia="en-US"/>
              </w:rPr>
            </w:pPr>
          </w:p>
        </w:tc>
        <w:tc>
          <w:tcPr>
            <w:tcW w:w="2070" w:type="dxa"/>
            <w:shd w:val="clear" w:color="auto" w:fill="EEECE1"/>
          </w:tcPr>
          <w:p w14:paraId="5D9DE907"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4D0CB0B0" w14:textId="77777777" w:rsidTr="00826923">
        <w:trPr>
          <w:trHeight w:val="458"/>
        </w:trPr>
        <w:tc>
          <w:tcPr>
            <w:tcW w:w="1530" w:type="dxa"/>
            <w:vMerge w:val="restart"/>
          </w:tcPr>
          <w:p w14:paraId="50C445A7" w14:textId="77777777" w:rsidR="003434BF" w:rsidRPr="005A6420" w:rsidRDefault="003434BF" w:rsidP="003434BF">
            <w:pPr>
              <w:rPr>
                <w:rFonts w:cs="Tahoma"/>
                <w:b/>
                <w:szCs w:val="20"/>
                <w:lang w:val="fr-FR" w:eastAsia="en-US"/>
              </w:rPr>
            </w:pPr>
            <w:r w:rsidRPr="005A6420">
              <w:rPr>
                <w:rFonts w:cs="Tahoma"/>
                <w:b/>
                <w:szCs w:val="20"/>
                <w:lang w:val="fr-FR" w:eastAsia="en-US"/>
              </w:rPr>
              <w:t>Résultat 3</w:t>
            </w:r>
          </w:p>
          <w:p w14:paraId="14B10969" w14:textId="77777777" w:rsidR="003434BF" w:rsidRPr="005A6420" w:rsidRDefault="003434BF" w:rsidP="003434B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3.1</w:t>
            </w:r>
          </w:p>
          <w:p w14:paraId="5ACB1910"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F255D0F" w14:textId="77777777" w:rsidTr="00826923">
        <w:trPr>
          <w:trHeight w:val="458"/>
        </w:trPr>
        <w:tc>
          <w:tcPr>
            <w:tcW w:w="1530" w:type="dxa"/>
            <w:vMerge/>
          </w:tcPr>
          <w:p w14:paraId="7AE33CCE" w14:textId="77777777" w:rsidR="003434BF" w:rsidRPr="005A6420" w:rsidRDefault="003434BF" w:rsidP="003434BF">
            <w:pPr>
              <w:rPr>
                <w:rFonts w:cs="Tahoma"/>
                <w:szCs w:val="20"/>
                <w:lang w:val="fr-FR" w:eastAsia="en-US"/>
              </w:rPr>
            </w:pPr>
          </w:p>
        </w:tc>
        <w:tc>
          <w:tcPr>
            <w:tcW w:w="2070" w:type="dxa"/>
            <w:shd w:val="clear" w:color="auto" w:fill="EEECE1"/>
          </w:tcPr>
          <w:p w14:paraId="7AA0A81D"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3.2</w:t>
            </w:r>
          </w:p>
          <w:p w14:paraId="005E555A"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3E17286" w14:textId="77777777" w:rsidTr="00826923">
        <w:trPr>
          <w:trHeight w:val="458"/>
        </w:trPr>
        <w:tc>
          <w:tcPr>
            <w:tcW w:w="1530" w:type="dxa"/>
            <w:vMerge/>
          </w:tcPr>
          <w:p w14:paraId="07700AC1" w14:textId="77777777" w:rsidR="003434BF" w:rsidRPr="005A6420" w:rsidRDefault="003434BF" w:rsidP="003434BF">
            <w:pPr>
              <w:rPr>
                <w:rFonts w:cs="Tahoma"/>
                <w:szCs w:val="20"/>
                <w:lang w:val="fr-FR" w:eastAsia="en-US"/>
              </w:rPr>
            </w:pPr>
          </w:p>
        </w:tc>
        <w:tc>
          <w:tcPr>
            <w:tcW w:w="2070" w:type="dxa"/>
            <w:shd w:val="clear" w:color="auto" w:fill="EEECE1"/>
          </w:tcPr>
          <w:p w14:paraId="70593CCA"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3.3</w:t>
            </w:r>
          </w:p>
          <w:p w14:paraId="2A7E17CE"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5C42158F" w14:textId="77777777" w:rsidTr="00826923">
        <w:trPr>
          <w:trHeight w:val="458"/>
        </w:trPr>
        <w:tc>
          <w:tcPr>
            <w:tcW w:w="1530" w:type="dxa"/>
            <w:vMerge w:val="restart"/>
          </w:tcPr>
          <w:p w14:paraId="5AF379A3" w14:textId="77777777" w:rsidR="003434BF" w:rsidRPr="005A6420" w:rsidRDefault="003434BF" w:rsidP="003434BF">
            <w:pPr>
              <w:rPr>
                <w:rFonts w:cs="Tahoma"/>
                <w:szCs w:val="20"/>
                <w:lang w:val="fr-FR" w:eastAsia="en-US"/>
              </w:rPr>
            </w:pPr>
            <w:r w:rsidRPr="005A6420">
              <w:rPr>
                <w:rFonts w:cs="Tahoma"/>
                <w:szCs w:val="20"/>
                <w:lang w:val="fr-FR" w:eastAsia="en-US"/>
              </w:rPr>
              <w:t>Produit 3.1</w:t>
            </w:r>
          </w:p>
          <w:p w14:paraId="498E3ED3"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3.1.1</w:t>
            </w:r>
          </w:p>
          <w:p w14:paraId="1D7757D3"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100B110C" w14:textId="77777777" w:rsidTr="00826923">
        <w:trPr>
          <w:trHeight w:val="458"/>
        </w:trPr>
        <w:tc>
          <w:tcPr>
            <w:tcW w:w="1530" w:type="dxa"/>
            <w:vMerge/>
          </w:tcPr>
          <w:p w14:paraId="6E42058F" w14:textId="77777777" w:rsidR="003434BF" w:rsidRPr="005A6420" w:rsidRDefault="003434BF" w:rsidP="003434BF">
            <w:pPr>
              <w:rPr>
                <w:rFonts w:cs="Tahoma"/>
                <w:szCs w:val="20"/>
                <w:lang w:val="fr-FR" w:eastAsia="en-US"/>
              </w:rPr>
            </w:pPr>
          </w:p>
        </w:tc>
        <w:tc>
          <w:tcPr>
            <w:tcW w:w="2070" w:type="dxa"/>
            <w:shd w:val="clear" w:color="auto" w:fill="EEECE1"/>
          </w:tcPr>
          <w:p w14:paraId="75DC2D64"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3.1.2</w:t>
            </w:r>
          </w:p>
          <w:p w14:paraId="1AC64BA4"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4A002238" w14:textId="77777777" w:rsidTr="00826923">
        <w:trPr>
          <w:trHeight w:val="458"/>
        </w:trPr>
        <w:tc>
          <w:tcPr>
            <w:tcW w:w="1530" w:type="dxa"/>
            <w:vMerge w:val="restart"/>
          </w:tcPr>
          <w:p w14:paraId="1399BFDF" w14:textId="77777777" w:rsidR="003434BF" w:rsidRPr="005A6420" w:rsidRDefault="003434BF" w:rsidP="003434BF">
            <w:pPr>
              <w:rPr>
                <w:rFonts w:cs="Tahoma"/>
                <w:szCs w:val="20"/>
                <w:lang w:val="fr-FR" w:eastAsia="en-US"/>
              </w:rPr>
            </w:pPr>
            <w:r w:rsidRPr="005A6420">
              <w:rPr>
                <w:rFonts w:cs="Tahoma"/>
                <w:szCs w:val="20"/>
                <w:lang w:val="fr-FR" w:eastAsia="en-US"/>
              </w:rPr>
              <w:t>Produit 3.2</w:t>
            </w:r>
          </w:p>
          <w:p w14:paraId="0C627E92"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3.2.1</w:t>
            </w:r>
          </w:p>
          <w:p w14:paraId="094E5F49"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4E815455" w14:textId="77777777" w:rsidTr="00826923">
        <w:trPr>
          <w:trHeight w:val="458"/>
        </w:trPr>
        <w:tc>
          <w:tcPr>
            <w:tcW w:w="1530" w:type="dxa"/>
            <w:vMerge/>
          </w:tcPr>
          <w:p w14:paraId="022D9C9C" w14:textId="77777777" w:rsidR="003434BF" w:rsidRPr="005A6420" w:rsidRDefault="003434BF" w:rsidP="003434BF">
            <w:pPr>
              <w:rPr>
                <w:rFonts w:cs="Tahoma"/>
                <w:b/>
                <w:szCs w:val="20"/>
                <w:lang w:val="fr-FR" w:eastAsia="en-US"/>
              </w:rPr>
            </w:pPr>
          </w:p>
        </w:tc>
        <w:tc>
          <w:tcPr>
            <w:tcW w:w="2070" w:type="dxa"/>
            <w:shd w:val="clear" w:color="auto" w:fill="EEECE1"/>
          </w:tcPr>
          <w:p w14:paraId="2ADDAD1E"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3.2.2</w:t>
            </w:r>
          </w:p>
          <w:p w14:paraId="15472455"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43035B13" w14:textId="77777777" w:rsidTr="00826923">
        <w:trPr>
          <w:trHeight w:val="458"/>
        </w:trPr>
        <w:tc>
          <w:tcPr>
            <w:tcW w:w="1530" w:type="dxa"/>
            <w:vMerge w:val="restart"/>
          </w:tcPr>
          <w:p w14:paraId="528D1B2B" w14:textId="77777777" w:rsidR="003434BF" w:rsidRPr="005A6420" w:rsidRDefault="003434BF" w:rsidP="003434BF">
            <w:pPr>
              <w:rPr>
                <w:rFonts w:cs="Tahoma"/>
                <w:szCs w:val="20"/>
                <w:lang w:val="fr-FR" w:eastAsia="en-US"/>
              </w:rPr>
            </w:pPr>
            <w:r w:rsidRPr="005A6420">
              <w:rPr>
                <w:rFonts w:cs="Tahoma"/>
                <w:szCs w:val="20"/>
                <w:lang w:val="fr-FR" w:eastAsia="en-US"/>
              </w:rPr>
              <w:t>Produit 3.3</w:t>
            </w:r>
          </w:p>
          <w:p w14:paraId="0A5815BE"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3.3.1</w:t>
            </w:r>
          </w:p>
          <w:p w14:paraId="69406269"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5A09C3B1" w14:textId="77777777" w:rsidTr="00826923">
        <w:trPr>
          <w:trHeight w:val="458"/>
        </w:trPr>
        <w:tc>
          <w:tcPr>
            <w:tcW w:w="1530" w:type="dxa"/>
            <w:vMerge/>
          </w:tcPr>
          <w:p w14:paraId="72C9CEDA" w14:textId="77777777" w:rsidR="003434BF" w:rsidRPr="005A6420" w:rsidRDefault="003434BF" w:rsidP="003434BF">
            <w:pPr>
              <w:rPr>
                <w:rFonts w:cs="Tahoma"/>
                <w:b/>
                <w:szCs w:val="20"/>
                <w:lang w:val="fr-FR" w:eastAsia="en-US"/>
              </w:rPr>
            </w:pPr>
          </w:p>
        </w:tc>
        <w:tc>
          <w:tcPr>
            <w:tcW w:w="2070" w:type="dxa"/>
            <w:shd w:val="clear" w:color="auto" w:fill="EEECE1"/>
          </w:tcPr>
          <w:p w14:paraId="43117110"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3.3.2</w:t>
            </w:r>
          </w:p>
          <w:p w14:paraId="0F2B53FF"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12D62A20" w14:textId="77777777" w:rsidTr="00826923">
        <w:trPr>
          <w:trHeight w:val="458"/>
        </w:trPr>
        <w:tc>
          <w:tcPr>
            <w:tcW w:w="1530" w:type="dxa"/>
            <w:vMerge w:val="restart"/>
          </w:tcPr>
          <w:p w14:paraId="43A532A5" w14:textId="77777777" w:rsidR="003434BF" w:rsidRPr="005A6420" w:rsidRDefault="003434BF" w:rsidP="003434B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1404373" w14:textId="77777777" w:rsidTr="00826923">
        <w:trPr>
          <w:trHeight w:val="458"/>
        </w:trPr>
        <w:tc>
          <w:tcPr>
            <w:tcW w:w="1530" w:type="dxa"/>
            <w:vMerge/>
          </w:tcPr>
          <w:p w14:paraId="3D1AC496" w14:textId="77777777" w:rsidR="003434BF" w:rsidRPr="005A6420" w:rsidRDefault="003434BF" w:rsidP="003434BF">
            <w:pPr>
              <w:rPr>
                <w:rFonts w:cs="Tahoma"/>
                <w:b/>
                <w:szCs w:val="20"/>
                <w:lang w:val="fr-FR" w:eastAsia="en-US"/>
              </w:rPr>
            </w:pPr>
          </w:p>
        </w:tc>
        <w:tc>
          <w:tcPr>
            <w:tcW w:w="2070" w:type="dxa"/>
            <w:shd w:val="clear" w:color="auto" w:fill="EEECE1"/>
          </w:tcPr>
          <w:p w14:paraId="46F47E1A"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3874D959" w14:textId="77777777" w:rsidTr="00826923">
        <w:trPr>
          <w:trHeight w:val="458"/>
        </w:trPr>
        <w:tc>
          <w:tcPr>
            <w:tcW w:w="1530" w:type="dxa"/>
            <w:vMerge w:val="restart"/>
          </w:tcPr>
          <w:p w14:paraId="796888F0" w14:textId="77777777" w:rsidR="003434BF" w:rsidRPr="005A6420" w:rsidRDefault="003434BF" w:rsidP="003434BF">
            <w:pPr>
              <w:rPr>
                <w:rFonts w:cs="Tahoma"/>
                <w:b/>
                <w:szCs w:val="20"/>
                <w:lang w:val="fr-FR" w:eastAsia="en-US"/>
              </w:rPr>
            </w:pPr>
            <w:r w:rsidRPr="005A6420">
              <w:rPr>
                <w:rFonts w:cs="Tahoma"/>
                <w:b/>
                <w:szCs w:val="20"/>
                <w:lang w:val="fr-FR" w:eastAsia="en-US"/>
              </w:rPr>
              <w:t>Résultat 4</w:t>
            </w:r>
          </w:p>
          <w:p w14:paraId="3A5A4A30" w14:textId="77777777" w:rsidR="003434BF" w:rsidRPr="005A6420" w:rsidRDefault="003434BF" w:rsidP="003434B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4.1</w:t>
            </w:r>
          </w:p>
          <w:p w14:paraId="16FB3756"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520AABF6" w14:textId="77777777" w:rsidTr="00826923">
        <w:trPr>
          <w:trHeight w:val="458"/>
        </w:trPr>
        <w:tc>
          <w:tcPr>
            <w:tcW w:w="1530" w:type="dxa"/>
            <w:vMerge/>
          </w:tcPr>
          <w:p w14:paraId="75C2F19D" w14:textId="77777777" w:rsidR="003434BF" w:rsidRPr="005A6420" w:rsidRDefault="003434BF" w:rsidP="003434BF">
            <w:pPr>
              <w:rPr>
                <w:rFonts w:cs="Tahoma"/>
                <w:szCs w:val="20"/>
                <w:lang w:val="fr-FR" w:eastAsia="en-US"/>
              </w:rPr>
            </w:pPr>
          </w:p>
        </w:tc>
        <w:tc>
          <w:tcPr>
            <w:tcW w:w="2070" w:type="dxa"/>
            <w:shd w:val="clear" w:color="auto" w:fill="EEECE1"/>
          </w:tcPr>
          <w:p w14:paraId="52BBFC69"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4.2</w:t>
            </w:r>
          </w:p>
          <w:p w14:paraId="10CF2309"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C7090E6" w14:textId="77777777" w:rsidTr="00826923">
        <w:trPr>
          <w:trHeight w:val="458"/>
        </w:trPr>
        <w:tc>
          <w:tcPr>
            <w:tcW w:w="1530" w:type="dxa"/>
            <w:vMerge/>
          </w:tcPr>
          <w:p w14:paraId="7E73DB26" w14:textId="77777777" w:rsidR="003434BF" w:rsidRPr="005A6420" w:rsidRDefault="003434BF" w:rsidP="003434BF">
            <w:pPr>
              <w:rPr>
                <w:rFonts w:cs="Tahoma"/>
                <w:szCs w:val="20"/>
                <w:lang w:val="fr-FR" w:eastAsia="en-US"/>
              </w:rPr>
            </w:pPr>
          </w:p>
        </w:tc>
        <w:tc>
          <w:tcPr>
            <w:tcW w:w="2070" w:type="dxa"/>
            <w:shd w:val="clear" w:color="auto" w:fill="EEECE1"/>
          </w:tcPr>
          <w:p w14:paraId="3DAB4F65"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4.3</w:t>
            </w:r>
          </w:p>
          <w:p w14:paraId="7011A2A4"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3434BF" w:rsidRPr="005A6420" w:rsidRDefault="003434BF" w:rsidP="003434B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7179FCB9" w14:textId="77777777" w:rsidTr="00826923">
        <w:trPr>
          <w:trHeight w:val="458"/>
        </w:trPr>
        <w:tc>
          <w:tcPr>
            <w:tcW w:w="1530" w:type="dxa"/>
            <w:vMerge w:val="restart"/>
          </w:tcPr>
          <w:p w14:paraId="3573B9F9" w14:textId="77777777" w:rsidR="003434BF" w:rsidRPr="005A6420" w:rsidRDefault="003434BF" w:rsidP="003434BF">
            <w:pPr>
              <w:rPr>
                <w:rFonts w:cs="Tahoma"/>
                <w:szCs w:val="20"/>
                <w:lang w:val="fr-FR" w:eastAsia="en-US"/>
              </w:rPr>
            </w:pPr>
            <w:r w:rsidRPr="005A6420">
              <w:rPr>
                <w:rFonts w:cs="Tahoma"/>
                <w:szCs w:val="20"/>
                <w:lang w:val="fr-FR" w:eastAsia="en-US"/>
              </w:rPr>
              <w:t>Produit 4.1</w:t>
            </w:r>
          </w:p>
          <w:p w14:paraId="33B24705"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4.1.1</w:t>
            </w:r>
          </w:p>
          <w:p w14:paraId="21D276F9"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3A2FD794" w14:textId="77777777" w:rsidTr="00826923">
        <w:trPr>
          <w:trHeight w:val="458"/>
        </w:trPr>
        <w:tc>
          <w:tcPr>
            <w:tcW w:w="1530" w:type="dxa"/>
            <w:vMerge/>
          </w:tcPr>
          <w:p w14:paraId="6FE132D3" w14:textId="77777777" w:rsidR="003434BF" w:rsidRPr="005A6420" w:rsidRDefault="003434BF" w:rsidP="003434BF">
            <w:pPr>
              <w:rPr>
                <w:rFonts w:cs="Tahoma"/>
                <w:szCs w:val="20"/>
                <w:lang w:val="fr-FR" w:eastAsia="en-US"/>
              </w:rPr>
            </w:pPr>
          </w:p>
        </w:tc>
        <w:tc>
          <w:tcPr>
            <w:tcW w:w="2070" w:type="dxa"/>
            <w:shd w:val="clear" w:color="auto" w:fill="EEECE1"/>
          </w:tcPr>
          <w:p w14:paraId="2D67BEF7"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4.1.2</w:t>
            </w:r>
          </w:p>
          <w:p w14:paraId="0015DC61"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40A7EB21" w14:textId="77777777" w:rsidTr="00826923">
        <w:trPr>
          <w:trHeight w:val="458"/>
        </w:trPr>
        <w:tc>
          <w:tcPr>
            <w:tcW w:w="1530" w:type="dxa"/>
            <w:vMerge w:val="restart"/>
          </w:tcPr>
          <w:p w14:paraId="586E2AEC" w14:textId="77777777" w:rsidR="003434BF" w:rsidRPr="005A6420" w:rsidRDefault="003434BF" w:rsidP="003434BF">
            <w:pPr>
              <w:rPr>
                <w:rFonts w:cs="Tahoma"/>
                <w:szCs w:val="20"/>
                <w:lang w:val="fr-FR" w:eastAsia="en-US"/>
              </w:rPr>
            </w:pPr>
            <w:r w:rsidRPr="005A6420">
              <w:rPr>
                <w:rFonts w:cs="Tahoma"/>
                <w:szCs w:val="20"/>
                <w:lang w:val="fr-FR" w:eastAsia="en-US"/>
              </w:rPr>
              <w:t>Produit 4.2</w:t>
            </w:r>
          </w:p>
          <w:p w14:paraId="157177A1"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4.2.1</w:t>
            </w:r>
          </w:p>
          <w:p w14:paraId="5334C722"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292D4DCC" w14:textId="77777777" w:rsidTr="00826923">
        <w:trPr>
          <w:trHeight w:val="458"/>
        </w:trPr>
        <w:tc>
          <w:tcPr>
            <w:tcW w:w="1530" w:type="dxa"/>
            <w:vMerge/>
          </w:tcPr>
          <w:p w14:paraId="04F43519" w14:textId="77777777" w:rsidR="003434BF" w:rsidRPr="005A6420" w:rsidRDefault="003434BF" w:rsidP="003434BF">
            <w:pPr>
              <w:rPr>
                <w:rFonts w:cs="Tahoma"/>
                <w:b/>
                <w:szCs w:val="20"/>
                <w:lang w:val="fr-FR" w:eastAsia="en-US"/>
              </w:rPr>
            </w:pPr>
          </w:p>
        </w:tc>
        <w:tc>
          <w:tcPr>
            <w:tcW w:w="2070" w:type="dxa"/>
            <w:shd w:val="clear" w:color="auto" w:fill="EEECE1"/>
          </w:tcPr>
          <w:p w14:paraId="27A5A6F9"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4.2.2</w:t>
            </w:r>
          </w:p>
          <w:p w14:paraId="19035C5A"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1DCE9A40" w14:textId="77777777" w:rsidTr="00826923">
        <w:trPr>
          <w:trHeight w:val="458"/>
        </w:trPr>
        <w:tc>
          <w:tcPr>
            <w:tcW w:w="1530" w:type="dxa"/>
            <w:vMerge w:val="restart"/>
          </w:tcPr>
          <w:p w14:paraId="4A0E5F1B" w14:textId="77777777" w:rsidR="003434BF" w:rsidRPr="005A6420" w:rsidRDefault="003434BF" w:rsidP="003434BF">
            <w:pPr>
              <w:rPr>
                <w:rFonts w:cs="Tahoma"/>
                <w:szCs w:val="20"/>
                <w:lang w:val="fr-FR" w:eastAsia="en-US"/>
              </w:rPr>
            </w:pPr>
            <w:r w:rsidRPr="005A6420">
              <w:rPr>
                <w:rFonts w:cs="Tahoma"/>
                <w:szCs w:val="20"/>
                <w:lang w:val="fr-FR" w:eastAsia="en-US"/>
              </w:rPr>
              <w:lastRenderedPageBreak/>
              <w:t>Produit 4.3</w:t>
            </w:r>
          </w:p>
          <w:p w14:paraId="24635A0A"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4.3.1</w:t>
            </w:r>
          </w:p>
          <w:p w14:paraId="1E5B9C88"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5C18505F" w14:textId="77777777" w:rsidTr="00826923">
        <w:trPr>
          <w:trHeight w:val="458"/>
        </w:trPr>
        <w:tc>
          <w:tcPr>
            <w:tcW w:w="1530" w:type="dxa"/>
            <w:vMerge/>
          </w:tcPr>
          <w:p w14:paraId="1A003D07" w14:textId="77777777" w:rsidR="003434BF" w:rsidRPr="005A6420" w:rsidRDefault="003434BF" w:rsidP="003434BF">
            <w:pPr>
              <w:rPr>
                <w:rFonts w:cs="Tahoma"/>
                <w:b/>
                <w:szCs w:val="20"/>
                <w:lang w:val="fr-FR" w:eastAsia="en-US"/>
              </w:rPr>
            </w:pPr>
          </w:p>
        </w:tc>
        <w:tc>
          <w:tcPr>
            <w:tcW w:w="2070" w:type="dxa"/>
            <w:shd w:val="clear" w:color="auto" w:fill="EEECE1"/>
          </w:tcPr>
          <w:p w14:paraId="1631FCBA"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 4.3.2</w:t>
            </w:r>
          </w:p>
          <w:p w14:paraId="16B9347A"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ACAFFBB" w14:textId="77777777" w:rsidTr="00826923">
        <w:trPr>
          <w:trHeight w:val="458"/>
        </w:trPr>
        <w:tc>
          <w:tcPr>
            <w:tcW w:w="1530" w:type="dxa"/>
            <w:vMerge w:val="restart"/>
          </w:tcPr>
          <w:p w14:paraId="2BD03DCE" w14:textId="77777777" w:rsidR="003434BF" w:rsidRPr="005A6420" w:rsidRDefault="003434BF" w:rsidP="003434B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3434BF" w:rsidRPr="005A6420" w:rsidRDefault="003434BF" w:rsidP="003434B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434BF" w:rsidRPr="005A6420" w14:paraId="6EFB70AF" w14:textId="77777777" w:rsidTr="00826923">
        <w:trPr>
          <w:trHeight w:val="458"/>
        </w:trPr>
        <w:tc>
          <w:tcPr>
            <w:tcW w:w="1530" w:type="dxa"/>
            <w:vMerge/>
          </w:tcPr>
          <w:p w14:paraId="08C1A086" w14:textId="77777777" w:rsidR="003434BF" w:rsidRPr="005A6420" w:rsidRDefault="003434BF" w:rsidP="003434BF">
            <w:pPr>
              <w:rPr>
                <w:rFonts w:cs="Tahoma"/>
                <w:b/>
                <w:szCs w:val="20"/>
                <w:lang w:val="fr-FR" w:eastAsia="en-US"/>
              </w:rPr>
            </w:pPr>
          </w:p>
        </w:tc>
        <w:tc>
          <w:tcPr>
            <w:tcW w:w="2070" w:type="dxa"/>
            <w:shd w:val="clear" w:color="auto" w:fill="EEECE1"/>
          </w:tcPr>
          <w:p w14:paraId="0737E443" w14:textId="77777777" w:rsidR="003434BF" w:rsidRPr="005A6420" w:rsidRDefault="003434BF" w:rsidP="003434B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3434BF" w:rsidRPr="005A6420" w:rsidRDefault="003434BF" w:rsidP="003434B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3434BF" w:rsidRPr="005A6420" w:rsidRDefault="003434BF" w:rsidP="003434B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4E27" w16cex:dateUtc="2020-11-13T17:11:00Z"/>
  <w16cex:commentExtensible w16cex:durableId="23594AC3" w16cex:dateUtc="2020-11-13T17:11:00Z"/>
  <w16cex:commentExtensible w16cex:durableId="23595A9F" w16cex:dateUtc="2020-11-13T18:18:00Z"/>
  <w16cex:commentExtensible w16cex:durableId="23595C27" w16cex:dateUtc="2020-11-13T18:25:00Z"/>
  <w16cex:commentExtensible w16cex:durableId="23595CDF" w16cex:dateUtc="2020-11-13T18:28:00Z"/>
  <w16cex:commentExtensible w16cex:durableId="23595D25" w16cex:dateUtc="2020-11-13T18:29:00Z"/>
  <w16cex:commentExtensible w16cex:durableId="23595D7A" w16cex:dateUtc="2020-11-13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CDE8" w14:textId="77777777" w:rsidR="007675AC" w:rsidRDefault="007675AC" w:rsidP="00E76CA1">
      <w:r>
        <w:separator/>
      </w:r>
    </w:p>
  </w:endnote>
  <w:endnote w:type="continuationSeparator" w:id="0">
    <w:p w14:paraId="7692A326" w14:textId="77777777" w:rsidR="007675AC" w:rsidRDefault="007675A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E86C5A" w:rsidRDefault="00E86C5A">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E86C5A" w:rsidRDefault="00E8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BF66" w14:textId="77777777" w:rsidR="007675AC" w:rsidRDefault="007675AC" w:rsidP="00E76CA1">
      <w:r>
        <w:separator/>
      </w:r>
    </w:p>
  </w:footnote>
  <w:footnote w:type="continuationSeparator" w:id="0">
    <w:p w14:paraId="0F51BD53" w14:textId="77777777" w:rsidR="007675AC" w:rsidRDefault="007675A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357FF966" w:rsidR="00E86C5A" w:rsidRDefault="00E86C5A" w:rsidP="00E021BE">
    <w:pPr>
      <w:pStyle w:val="Header"/>
      <w:tabs>
        <w:tab w:val="clear" w:pos="4680"/>
        <w:tab w:val="clear" w:pos="9360"/>
        <w:tab w:val="right" w:pos="8306"/>
      </w:tabs>
    </w:pPr>
    <w:r>
      <w:rPr>
        <w:rFonts w:ascii="Arial Narrow" w:hAnsi="Arial Narrow"/>
        <w:b/>
        <w:noProof/>
        <w:sz w:val="22"/>
        <w:szCs w:val="22"/>
      </w:rPr>
      <w:drawing>
        <wp:anchor distT="0" distB="0" distL="114300" distR="114300" simplePos="0" relativeHeight="251659264" behindDoc="1" locked="0" layoutInCell="1" allowOverlap="1" wp14:anchorId="3BCFD171" wp14:editId="3A22BFE9">
          <wp:simplePos x="0" y="0"/>
          <wp:positionH relativeFrom="column">
            <wp:posOffset>4438015</wp:posOffset>
          </wp:positionH>
          <wp:positionV relativeFrom="paragraph">
            <wp:posOffset>-181610</wp:posOffset>
          </wp:positionV>
          <wp:extent cx="1105535" cy="11220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A00"/>
    <w:multiLevelType w:val="hybridMultilevel"/>
    <w:tmpl w:val="07B8859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997919"/>
    <w:multiLevelType w:val="hybridMultilevel"/>
    <w:tmpl w:val="6BBEDA86"/>
    <w:lvl w:ilvl="0" w:tplc="02C6D2E8">
      <w:start w:val="1"/>
      <w:numFmt w:val="decimal"/>
      <w:lvlText w:val="%1."/>
      <w:lvlJc w:val="left"/>
      <w:pPr>
        <w:ind w:left="-66" w:hanging="360"/>
      </w:pPr>
      <w:rPr>
        <w:rFonts w:hint="default"/>
        <w:b/>
        <w:color w:val="auto"/>
        <w:u w:val="single"/>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373C0"/>
    <w:multiLevelType w:val="hybridMultilevel"/>
    <w:tmpl w:val="9274DE6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751367A"/>
    <w:multiLevelType w:val="hybridMultilevel"/>
    <w:tmpl w:val="2248823A"/>
    <w:lvl w:ilvl="0" w:tplc="B6F68BAE">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8B4"/>
    <w:rsid w:val="000022C4"/>
    <w:rsid w:val="000025F4"/>
    <w:rsid w:val="00002815"/>
    <w:rsid w:val="00005737"/>
    <w:rsid w:val="000057A9"/>
    <w:rsid w:val="00006DBE"/>
    <w:rsid w:val="00006EC0"/>
    <w:rsid w:val="00010EB0"/>
    <w:rsid w:val="0001109A"/>
    <w:rsid w:val="00013D36"/>
    <w:rsid w:val="00013D69"/>
    <w:rsid w:val="00014B13"/>
    <w:rsid w:val="00025765"/>
    <w:rsid w:val="00025EFA"/>
    <w:rsid w:val="00031640"/>
    <w:rsid w:val="00045C24"/>
    <w:rsid w:val="00050759"/>
    <w:rsid w:val="00050D80"/>
    <w:rsid w:val="00051F71"/>
    <w:rsid w:val="0005216F"/>
    <w:rsid w:val="00052745"/>
    <w:rsid w:val="00052DE5"/>
    <w:rsid w:val="000543EA"/>
    <w:rsid w:val="000554F8"/>
    <w:rsid w:val="00063017"/>
    <w:rsid w:val="00072448"/>
    <w:rsid w:val="000731D0"/>
    <w:rsid w:val="00075D98"/>
    <w:rsid w:val="0008134A"/>
    <w:rsid w:val="0008139A"/>
    <w:rsid w:val="0008233D"/>
    <w:rsid w:val="00082738"/>
    <w:rsid w:val="00084F64"/>
    <w:rsid w:val="00091CFD"/>
    <w:rsid w:val="00092442"/>
    <w:rsid w:val="000A1E72"/>
    <w:rsid w:val="000A45F4"/>
    <w:rsid w:val="000A4660"/>
    <w:rsid w:val="000A51DA"/>
    <w:rsid w:val="000A6719"/>
    <w:rsid w:val="000B4E5C"/>
    <w:rsid w:val="000B57FC"/>
    <w:rsid w:val="000B7954"/>
    <w:rsid w:val="000C38E0"/>
    <w:rsid w:val="000C7EA0"/>
    <w:rsid w:val="000D3AFA"/>
    <w:rsid w:val="000D4F4B"/>
    <w:rsid w:val="000D649E"/>
    <w:rsid w:val="000E05AE"/>
    <w:rsid w:val="000E6A96"/>
    <w:rsid w:val="000F05A2"/>
    <w:rsid w:val="000F13B1"/>
    <w:rsid w:val="000F3352"/>
    <w:rsid w:val="000F43A8"/>
    <w:rsid w:val="00102C0E"/>
    <w:rsid w:val="00104DC5"/>
    <w:rsid w:val="00112741"/>
    <w:rsid w:val="00113615"/>
    <w:rsid w:val="00113D2B"/>
    <w:rsid w:val="00113EC4"/>
    <w:rsid w:val="00116449"/>
    <w:rsid w:val="0011666C"/>
    <w:rsid w:val="00121B2D"/>
    <w:rsid w:val="001307FA"/>
    <w:rsid w:val="00131824"/>
    <w:rsid w:val="00134907"/>
    <w:rsid w:val="00136B32"/>
    <w:rsid w:val="001372B6"/>
    <w:rsid w:val="001444EE"/>
    <w:rsid w:val="00145766"/>
    <w:rsid w:val="001458E9"/>
    <w:rsid w:val="00151119"/>
    <w:rsid w:val="00153CD9"/>
    <w:rsid w:val="00156353"/>
    <w:rsid w:val="00156AFA"/>
    <w:rsid w:val="00156C4C"/>
    <w:rsid w:val="00157BF2"/>
    <w:rsid w:val="001607B2"/>
    <w:rsid w:val="0016088D"/>
    <w:rsid w:val="00161D02"/>
    <w:rsid w:val="001623DE"/>
    <w:rsid w:val="001745E8"/>
    <w:rsid w:val="0018095F"/>
    <w:rsid w:val="0018313E"/>
    <w:rsid w:val="0018446E"/>
    <w:rsid w:val="00185425"/>
    <w:rsid w:val="001859EC"/>
    <w:rsid w:val="00186529"/>
    <w:rsid w:val="00192F1D"/>
    <w:rsid w:val="00193462"/>
    <w:rsid w:val="001948EA"/>
    <w:rsid w:val="00194D4C"/>
    <w:rsid w:val="00196AA8"/>
    <w:rsid w:val="001A1E86"/>
    <w:rsid w:val="001A3157"/>
    <w:rsid w:val="001A374F"/>
    <w:rsid w:val="001A4786"/>
    <w:rsid w:val="001B1EAF"/>
    <w:rsid w:val="001B4269"/>
    <w:rsid w:val="001B458D"/>
    <w:rsid w:val="001B4FC7"/>
    <w:rsid w:val="001B5D16"/>
    <w:rsid w:val="001B6DFD"/>
    <w:rsid w:val="001C1B66"/>
    <w:rsid w:val="001C4484"/>
    <w:rsid w:val="001C46E9"/>
    <w:rsid w:val="001C5691"/>
    <w:rsid w:val="001C56B8"/>
    <w:rsid w:val="001C5B82"/>
    <w:rsid w:val="001D1C14"/>
    <w:rsid w:val="001D21EF"/>
    <w:rsid w:val="001D575F"/>
    <w:rsid w:val="001D6683"/>
    <w:rsid w:val="001D67F9"/>
    <w:rsid w:val="001E660A"/>
    <w:rsid w:val="001F308A"/>
    <w:rsid w:val="001F6831"/>
    <w:rsid w:val="0020130A"/>
    <w:rsid w:val="00205EB7"/>
    <w:rsid w:val="0020791D"/>
    <w:rsid w:val="00210878"/>
    <w:rsid w:val="002129DA"/>
    <w:rsid w:val="00214F2A"/>
    <w:rsid w:val="0021550A"/>
    <w:rsid w:val="0021563C"/>
    <w:rsid w:val="00215F41"/>
    <w:rsid w:val="00217A2E"/>
    <w:rsid w:val="00217EB6"/>
    <w:rsid w:val="002247C2"/>
    <w:rsid w:val="002310A1"/>
    <w:rsid w:val="002310FC"/>
    <w:rsid w:val="002322E6"/>
    <w:rsid w:val="00233827"/>
    <w:rsid w:val="00234A5E"/>
    <w:rsid w:val="00236072"/>
    <w:rsid w:val="0023672E"/>
    <w:rsid w:val="00236738"/>
    <w:rsid w:val="00236AB3"/>
    <w:rsid w:val="00241226"/>
    <w:rsid w:val="002436F0"/>
    <w:rsid w:val="00245E73"/>
    <w:rsid w:val="00246135"/>
    <w:rsid w:val="00247F4E"/>
    <w:rsid w:val="00251E92"/>
    <w:rsid w:val="0025220B"/>
    <w:rsid w:val="00252B39"/>
    <w:rsid w:val="00254AC2"/>
    <w:rsid w:val="0025525B"/>
    <w:rsid w:val="00265ECE"/>
    <w:rsid w:val="0027242A"/>
    <w:rsid w:val="00272A58"/>
    <w:rsid w:val="0027360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12E"/>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5628"/>
    <w:rsid w:val="00316D58"/>
    <w:rsid w:val="00317039"/>
    <w:rsid w:val="003212BB"/>
    <w:rsid w:val="00321C92"/>
    <w:rsid w:val="003235DF"/>
    <w:rsid w:val="00323ABC"/>
    <w:rsid w:val="00324A7C"/>
    <w:rsid w:val="00324FE5"/>
    <w:rsid w:val="00333EC9"/>
    <w:rsid w:val="0033515C"/>
    <w:rsid w:val="00335FE1"/>
    <w:rsid w:val="00336BF8"/>
    <w:rsid w:val="00342356"/>
    <w:rsid w:val="00343385"/>
    <w:rsid w:val="00343425"/>
    <w:rsid w:val="003434BF"/>
    <w:rsid w:val="0034386B"/>
    <w:rsid w:val="003452D7"/>
    <w:rsid w:val="00346D73"/>
    <w:rsid w:val="00346E68"/>
    <w:rsid w:val="003473C6"/>
    <w:rsid w:val="00350F18"/>
    <w:rsid w:val="00355C69"/>
    <w:rsid w:val="0035676B"/>
    <w:rsid w:val="0036386A"/>
    <w:rsid w:val="00364116"/>
    <w:rsid w:val="00366549"/>
    <w:rsid w:val="0036790C"/>
    <w:rsid w:val="00372156"/>
    <w:rsid w:val="003722AE"/>
    <w:rsid w:val="00373740"/>
    <w:rsid w:val="0037561F"/>
    <w:rsid w:val="0037563A"/>
    <w:rsid w:val="00380849"/>
    <w:rsid w:val="003818DB"/>
    <w:rsid w:val="003834CD"/>
    <w:rsid w:val="00383908"/>
    <w:rsid w:val="00386CB0"/>
    <w:rsid w:val="00391614"/>
    <w:rsid w:val="003966E6"/>
    <w:rsid w:val="003968D7"/>
    <w:rsid w:val="003A613D"/>
    <w:rsid w:val="003A6341"/>
    <w:rsid w:val="003B25D9"/>
    <w:rsid w:val="003B3A5F"/>
    <w:rsid w:val="003B4F6E"/>
    <w:rsid w:val="003B5338"/>
    <w:rsid w:val="003C5283"/>
    <w:rsid w:val="003C5CC6"/>
    <w:rsid w:val="003D12C7"/>
    <w:rsid w:val="003D1B3E"/>
    <w:rsid w:val="003D228B"/>
    <w:rsid w:val="003D4CD7"/>
    <w:rsid w:val="003D4D7C"/>
    <w:rsid w:val="003E5DF1"/>
    <w:rsid w:val="003F08B1"/>
    <w:rsid w:val="003F21BE"/>
    <w:rsid w:val="003F36FB"/>
    <w:rsid w:val="003F660A"/>
    <w:rsid w:val="004015F7"/>
    <w:rsid w:val="004017BD"/>
    <w:rsid w:val="00402083"/>
    <w:rsid w:val="004023AC"/>
    <w:rsid w:val="00402514"/>
    <w:rsid w:val="0040513F"/>
    <w:rsid w:val="00405DE7"/>
    <w:rsid w:val="00411A5F"/>
    <w:rsid w:val="00413959"/>
    <w:rsid w:val="00413EAF"/>
    <w:rsid w:val="00414097"/>
    <w:rsid w:val="004213AF"/>
    <w:rsid w:val="00425AF8"/>
    <w:rsid w:val="00437FF5"/>
    <w:rsid w:val="004534C6"/>
    <w:rsid w:val="0046101E"/>
    <w:rsid w:val="00461944"/>
    <w:rsid w:val="00464188"/>
    <w:rsid w:val="00464A4A"/>
    <w:rsid w:val="00464EE4"/>
    <w:rsid w:val="00470EC3"/>
    <w:rsid w:val="004720CE"/>
    <w:rsid w:val="00476758"/>
    <w:rsid w:val="00477CF8"/>
    <w:rsid w:val="00480A02"/>
    <w:rsid w:val="0048168F"/>
    <w:rsid w:val="00484092"/>
    <w:rsid w:val="00484169"/>
    <w:rsid w:val="0048450C"/>
    <w:rsid w:val="0049016F"/>
    <w:rsid w:val="00490CC9"/>
    <w:rsid w:val="00495AC5"/>
    <w:rsid w:val="004965A3"/>
    <w:rsid w:val="00496F36"/>
    <w:rsid w:val="00497184"/>
    <w:rsid w:val="004A210E"/>
    <w:rsid w:val="004A49E6"/>
    <w:rsid w:val="004B0D63"/>
    <w:rsid w:val="004B1E1E"/>
    <w:rsid w:val="004B2B1A"/>
    <w:rsid w:val="004B5601"/>
    <w:rsid w:val="004B5B20"/>
    <w:rsid w:val="004C3DC3"/>
    <w:rsid w:val="004C413E"/>
    <w:rsid w:val="004C4272"/>
    <w:rsid w:val="004C4F3B"/>
    <w:rsid w:val="004D141E"/>
    <w:rsid w:val="004D3B54"/>
    <w:rsid w:val="004D4A7B"/>
    <w:rsid w:val="004E33A8"/>
    <w:rsid w:val="004E3B3E"/>
    <w:rsid w:val="004E3BD7"/>
    <w:rsid w:val="004E6614"/>
    <w:rsid w:val="004F016F"/>
    <w:rsid w:val="004F7D22"/>
    <w:rsid w:val="00500587"/>
    <w:rsid w:val="00501BC7"/>
    <w:rsid w:val="00505758"/>
    <w:rsid w:val="00511400"/>
    <w:rsid w:val="005129DA"/>
    <w:rsid w:val="00513612"/>
    <w:rsid w:val="00513D8E"/>
    <w:rsid w:val="00515EEF"/>
    <w:rsid w:val="005174D6"/>
    <w:rsid w:val="0051786C"/>
    <w:rsid w:val="005208FF"/>
    <w:rsid w:val="00521468"/>
    <w:rsid w:val="005216B2"/>
    <w:rsid w:val="00521704"/>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022"/>
    <w:rsid w:val="00561077"/>
    <w:rsid w:val="005616D8"/>
    <w:rsid w:val="00561C6B"/>
    <w:rsid w:val="00563C6D"/>
    <w:rsid w:val="0057086A"/>
    <w:rsid w:val="005718ED"/>
    <w:rsid w:val="0058153F"/>
    <w:rsid w:val="0058301B"/>
    <w:rsid w:val="0058426A"/>
    <w:rsid w:val="005859C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E3DB2"/>
    <w:rsid w:val="005E509B"/>
    <w:rsid w:val="005F0CC2"/>
    <w:rsid w:val="005F439F"/>
    <w:rsid w:val="005F77DA"/>
    <w:rsid w:val="00600B5F"/>
    <w:rsid w:val="006017A2"/>
    <w:rsid w:val="00605275"/>
    <w:rsid w:val="006073A2"/>
    <w:rsid w:val="006073AB"/>
    <w:rsid w:val="0060796B"/>
    <w:rsid w:val="006100F5"/>
    <w:rsid w:val="0061467E"/>
    <w:rsid w:val="00615975"/>
    <w:rsid w:val="00615C30"/>
    <w:rsid w:val="00624881"/>
    <w:rsid w:val="00624B2F"/>
    <w:rsid w:val="00624F31"/>
    <w:rsid w:val="00626B3F"/>
    <w:rsid w:val="00627A1C"/>
    <w:rsid w:val="00632971"/>
    <w:rsid w:val="00635112"/>
    <w:rsid w:val="00643A9E"/>
    <w:rsid w:val="00646FF7"/>
    <w:rsid w:val="006500AC"/>
    <w:rsid w:val="00651323"/>
    <w:rsid w:val="006547C9"/>
    <w:rsid w:val="00656A65"/>
    <w:rsid w:val="006578BB"/>
    <w:rsid w:val="00657A0F"/>
    <w:rsid w:val="006645BE"/>
    <w:rsid w:val="006648F5"/>
    <w:rsid w:val="00664EA0"/>
    <w:rsid w:val="0066665C"/>
    <w:rsid w:val="0067044E"/>
    <w:rsid w:val="00670D17"/>
    <w:rsid w:val="00671040"/>
    <w:rsid w:val="006713D9"/>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A6AE2"/>
    <w:rsid w:val="006B4DED"/>
    <w:rsid w:val="006C0E6F"/>
    <w:rsid w:val="006C1819"/>
    <w:rsid w:val="006C29FB"/>
    <w:rsid w:val="006C4A6F"/>
    <w:rsid w:val="006D0366"/>
    <w:rsid w:val="006D3593"/>
    <w:rsid w:val="006D3F0B"/>
    <w:rsid w:val="006D5799"/>
    <w:rsid w:val="006D60AB"/>
    <w:rsid w:val="006D6B92"/>
    <w:rsid w:val="006E10BF"/>
    <w:rsid w:val="006E2489"/>
    <w:rsid w:val="006E4DA8"/>
    <w:rsid w:val="006E51C0"/>
    <w:rsid w:val="006E7CF8"/>
    <w:rsid w:val="006F0257"/>
    <w:rsid w:val="006F0654"/>
    <w:rsid w:val="006F0B62"/>
    <w:rsid w:val="006F0F2D"/>
    <w:rsid w:val="006F1516"/>
    <w:rsid w:val="006F4A07"/>
    <w:rsid w:val="006F690E"/>
    <w:rsid w:val="006F74C9"/>
    <w:rsid w:val="0070295A"/>
    <w:rsid w:val="007065B1"/>
    <w:rsid w:val="007073F6"/>
    <w:rsid w:val="007118F5"/>
    <w:rsid w:val="0071286E"/>
    <w:rsid w:val="007133CF"/>
    <w:rsid w:val="0071506D"/>
    <w:rsid w:val="00715EC6"/>
    <w:rsid w:val="00720431"/>
    <w:rsid w:val="007213EA"/>
    <w:rsid w:val="007308CD"/>
    <w:rsid w:val="007317AD"/>
    <w:rsid w:val="00734278"/>
    <w:rsid w:val="00734E67"/>
    <w:rsid w:val="00740B1E"/>
    <w:rsid w:val="0074108E"/>
    <w:rsid w:val="00741135"/>
    <w:rsid w:val="00742F27"/>
    <w:rsid w:val="00742FDD"/>
    <w:rsid w:val="007435E3"/>
    <w:rsid w:val="00744AB6"/>
    <w:rsid w:val="007451EC"/>
    <w:rsid w:val="00745803"/>
    <w:rsid w:val="00751279"/>
    <w:rsid w:val="00751324"/>
    <w:rsid w:val="00751522"/>
    <w:rsid w:val="00751DAF"/>
    <w:rsid w:val="00753159"/>
    <w:rsid w:val="007569BB"/>
    <w:rsid w:val="00757E32"/>
    <w:rsid w:val="00760672"/>
    <w:rsid w:val="00761508"/>
    <w:rsid w:val="007626C9"/>
    <w:rsid w:val="00764773"/>
    <w:rsid w:val="00764B9C"/>
    <w:rsid w:val="0076624E"/>
    <w:rsid w:val="007675AC"/>
    <w:rsid w:val="007712FB"/>
    <w:rsid w:val="007717E2"/>
    <w:rsid w:val="00771F7D"/>
    <w:rsid w:val="007740D4"/>
    <w:rsid w:val="007756B0"/>
    <w:rsid w:val="00777755"/>
    <w:rsid w:val="00782959"/>
    <w:rsid w:val="00782E30"/>
    <w:rsid w:val="00785E5E"/>
    <w:rsid w:val="0078600B"/>
    <w:rsid w:val="007860F8"/>
    <w:rsid w:val="00790676"/>
    <w:rsid w:val="00791410"/>
    <w:rsid w:val="007937AE"/>
    <w:rsid w:val="00793DE6"/>
    <w:rsid w:val="00793E8B"/>
    <w:rsid w:val="007958F2"/>
    <w:rsid w:val="007A1B5F"/>
    <w:rsid w:val="007A4004"/>
    <w:rsid w:val="007A4F3E"/>
    <w:rsid w:val="007A5985"/>
    <w:rsid w:val="007A705C"/>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B4A"/>
    <w:rsid w:val="007F4C86"/>
    <w:rsid w:val="007F6F6D"/>
    <w:rsid w:val="007F7257"/>
    <w:rsid w:val="00803CD1"/>
    <w:rsid w:val="00804380"/>
    <w:rsid w:val="00805ADB"/>
    <w:rsid w:val="00812452"/>
    <w:rsid w:val="0081610A"/>
    <w:rsid w:val="00816B5C"/>
    <w:rsid w:val="00826923"/>
    <w:rsid w:val="00830613"/>
    <w:rsid w:val="0083221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43D3"/>
    <w:rsid w:val="008869DF"/>
    <w:rsid w:val="00891AE7"/>
    <w:rsid w:val="008A1155"/>
    <w:rsid w:val="008A3181"/>
    <w:rsid w:val="008A4938"/>
    <w:rsid w:val="008A5E25"/>
    <w:rsid w:val="008B1B75"/>
    <w:rsid w:val="008B3518"/>
    <w:rsid w:val="008B5A12"/>
    <w:rsid w:val="008B7B0F"/>
    <w:rsid w:val="008B7E23"/>
    <w:rsid w:val="008C5CD8"/>
    <w:rsid w:val="008C782A"/>
    <w:rsid w:val="008E1083"/>
    <w:rsid w:val="008E3872"/>
    <w:rsid w:val="008E7030"/>
    <w:rsid w:val="008E729D"/>
    <w:rsid w:val="008F4752"/>
    <w:rsid w:val="008F5112"/>
    <w:rsid w:val="008F6703"/>
    <w:rsid w:val="008F7AB0"/>
    <w:rsid w:val="0090034D"/>
    <w:rsid w:val="00900D78"/>
    <w:rsid w:val="00901C1E"/>
    <w:rsid w:val="00910FE1"/>
    <w:rsid w:val="0091229B"/>
    <w:rsid w:val="00912D25"/>
    <w:rsid w:val="00915C96"/>
    <w:rsid w:val="00915D77"/>
    <w:rsid w:val="00916DF8"/>
    <w:rsid w:val="0091758E"/>
    <w:rsid w:val="00920015"/>
    <w:rsid w:val="009216A8"/>
    <w:rsid w:val="00921C68"/>
    <w:rsid w:val="0092673B"/>
    <w:rsid w:val="0093134E"/>
    <w:rsid w:val="00931786"/>
    <w:rsid w:val="00931A5D"/>
    <w:rsid w:val="00936A63"/>
    <w:rsid w:val="00936AA0"/>
    <w:rsid w:val="00937ABE"/>
    <w:rsid w:val="00945925"/>
    <w:rsid w:val="00946EC1"/>
    <w:rsid w:val="00952C6E"/>
    <w:rsid w:val="00952DE4"/>
    <w:rsid w:val="00953C30"/>
    <w:rsid w:val="009568EF"/>
    <w:rsid w:val="00956B79"/>
    <w:rsid w:val="00962ED3"/>
    <w:rsid w:val="00965F6B"/>
    <w:rsid w:val="00966550"/>
    <w:rsid w:val="00970D92"/>
    <w:rsid w:val="00970F4C"/>
    <w:rsid w:val="0097130A"/>
    <w:rsid w:val="009726CB"/>
    <w:rsid w:val="00973C14"/>
    <w:rsid w:val="00974D94"/>
    <w:rsid w:val="009774FE"/>
    <w:rsid w:val="009832F8"/>
    <w:rsid w:val="009839DA"/>
    <w:rsid w:val="00985E49"/>
    <w:rsid w:val="00991418"/>
    <w:rsid w:val="00993BAD"/>
    <w:rsid w:val="00994476"/>
    <w:rsid w:val="00994B0E"/>
    <w:rsid w:val="0099700D"/>
    <w:rsid w:val="00997347"/>
    <w:rsid w:val="009A012A"/>
    <w:rsid w:val="009A1CD3"/>
    <w:rsid w:val="009A44A4"/>
    <w:rsid w:val="009A4A5D"/>
    <w:rsid w:val="009A5EEF"/>
    <w:rsid w:val="009B18EB"/>
    <w:rsid w:val="009B2EA7"/>
    <w:rsid w:val="009B5D1A"/>
    <w:rsid w:val="009C153E"/>
    <w:rsid w:val="009C28DE"/>
    <w:rsid w:val="009C2C5E"/>
    <w:rsid w:val="009C61DE"/>
    <w:rsid w:val="009D0838"/>
    <w:rsid w:val="009D0C9F"/>
    <w:rsid w:val="009D10B2"/>
    <w:rsid w:val="009D2543"/>
    <w:rsid w:val="009D64E4"/>
    <w:rsid w:val="009E20F1"/>
    <w:rsid w:val="009E329B"/>
    <w:rsid w:val="009E35D4"/>
    <w:rsid w:val="009E363E"/>
    <w:rsid w:val="009E38EA"/>
    <w:rsid w:val="009E394D"/>
    <w:rsid w:val="009E5594"/>
    <w:rsid w:val="009E6F7E"/>
    <w:rsid w:val="009F4370"/>
    <w:rsid w:val="009F517D"/>
    <w:rsid w:val="009F6554"/>
    <w:rsid w:val="009F7F98"/>
    <w:rsid w:val="00A02F58"/>
    <w:rsid w:val="00A032AE"/>
    <w:rsid w:val="00A048D2"/>
    <w:rsid w:val="00A10DAC"/>
    <w:rsid w:val="00A209A6"/>
    <w:rsid w:val="00A31988"/>
    <w:rsid w:val="00A32E65"/>
    <w:rsid w:val="00A34FE2"/>
    <w:rsid w:val="00A35FDA"/>
    <w:rsid w:val="00A360E8"/>
    <w:rsid w:val="00A36A1E"/>
    <w:rsid w:val="00A36AD6"/>
    <w:rsid w:val="00A41736"/>
    <w:rsid w:val="00A4395F"/>
    <w:rsid w:val="00A43B9C"/>
    <w:rsid w:val="00A4581B"/>
    <w:rsid w:val="00A45BD4"/>
    <w:rsid w:val="00A46B06"/>
    <w:rsid w:val="00A471E3"/>
    <w:rsid w:val="00A47DDA"/>
    <w:rsid w:val="00A509C6"/>
    <w:rsid w:val="00A518A5"/>
    <w:rsid w:val="00A52A49"/>
    <w:rsid w:val="00A53C94"/>
    <w:rsid w:val="00A53DBD"/>
    <w:rsid w:val="00A54EC4"/>
    <w:rsid w:val="00A56DD8"/>
    <w:rsid w:val="00A6017D"/>
    <w:rsid w:val="00A60215"/>
    <w:rsid w:val="00A64309"/>
    <w:rsid w:val="00A6484C"/>
    <w:rsid w:val="00A64A02"/>
    <w:rsid w:val="00A65579"/>
    <w:rsid w:val="00A656C0"/>
    <w:rsid w:val="00A66688"/>
    <w:rsid w:val="00A70A8B"/>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16EA"/>
    <w:rsid w:val="00AE6E7C"/>
    <w:rsid w:val="00AF0E30"/>
    <w:rsid w:val="00AF0F2D"/>
    <w:rsid w:val="00AF2D89"/>
    <w:rsid w:val="00AF3E39"/>
    <w:rsid w:val="00AF7DA4"/>
    <w:rsid w:val="00B00EBD"/>
    <w:rsid w:val="00B0370E"/>
    <w:rsid w:val="00B03E68"/>
    <w:rsid w:val="00B05E35"/>
    <w:rsid w:val="00B1210A"/>
    <w:rsid w:val="00B124BD"/>
    <w:rsid w:val="00B12FB8"/>
    <w:rsid w:val="00B14E25"/>
    <w:rsid w:val="00B22390"/>
    <w:rsid w:val="00B23AD3"/>
    <w:rsid w:val="00B244A1"/>
    <w:rsid w:val="00B24F72"/>
    <w:rsid w:val="00B2546A"/>
    <w:rsid w:val="00B27419"/>
    <w:rsid w:val="00B329B9"/>
    <w:rsid w:val="00B330C2"/>
    <w:rsid w:val="00B35386"/>
    <w:rsid w:val="00B37406"/>
    <w:rsid w:val="00B404DF"/>
    <w:rsid w:val="00B419C8"/>
    <w:rsid w:val="00B4227A"/>
    <w:rsid w:val="00B43B8D"/>
    <w:rsid w:val="00B43EEA"/>
    <w:rsid w:val="00B43F6D"/>
    <w:rsid w:val="00B442A2"/>
    <w:rsid w:val="00B46712"/>
    <w:rsid w:val="00B47CFB"/>
    <w:rsid w:val="00B55A04"/>
    <w:rsid w:val="00B578F3"/>
    <w:rsid w:val="00B61707"/>
    <w:rsid w:val="00B63A81"/>
    <w:rsid w:val="00B6401E"/>
    <w:rsid w:val="00B652A1"/>
    <w:rsid w:val="00B702C0"/>
    <w:rsid w:val="00B735DD"/>
    <w:rsid w:val="00B737D1"/>
    <w:rsid w:val="00B73DF7"/>
    <w:rsid w:val="00B7459B"/>
    <w:rsid w:val="00B749E2"/>
    <w:rsid w:val="00B74CE9"/>
    <w:rsid w:val="00B7553C"/>
    <w:rsid w:val="00B75C20"/>
    <w:rsid w:val="00B82635"/>
    <w:rsid w:val="00B82C51"/>
    <w:rsid w:val="00B82E71"/>
    <w:rsid w:val="00B9153F"/>
    <w:rsid w:val="00B91F39"/>
    <w:rsid w:val="00BA4F96"/>
    <w:rsid w:val="00BA5D85"/>
    <w:rsid w:val="00BA6688"/>
    <w:rsid w:val="00BA6F4B"/>
    <w:rsid w:val="00BC1A5D"/>
    <w:rsid w:val="00BC34D3"/>
    <w:rsid w:val="00BC6808"/>
    <w:rsid w:val="00BC71E1"/>
    <w:rsid w:val="00BC786B"/>
    <w:rsid w:val="00BC78ED"/>
    <w:rsid w:val="00BD2962"/>
    <w:rsid w:val="00BD38B6"/>
    <w:rsid w:val="00BD4749"/>
    <w:rsid w:val="00BD5D49"/>
    <w:rsid w:val="00BD643D"/>
    <w:rsid w:val="00BE1097"/>
    <w:rsid w:val="00BE23D9"/>
    <w:rsid w:val="00BE287A"/>
    <w:rsid w:val="00BE28AA"/>
    <w:rsid w:val="00BE41D3"/>
    <w:rsid w:val="00BE720A"/>
    <w:rsid w:val="00BE7698"/>
    <w:rsid w:val="00BF1BFB"/>
    <w:rsid w:val="00BF29BE"/>
    <w:rsid w:val="00BF41E2"/>
    <w:rsid w:val="00BF43F8"/>
    <w:rsid w:val="00BF4E1E"/>
    <w:rsid w:val="00C03812"/>
    <w:rsid w:val="00C0590A"/>
    <w:rsid w:val="00C0670D"/>
    <w:rsid w:val="00C07A0C"/>
    <w:rsid w:val="00C107F6"/>
    <w:rsid w:val="00C12D6A"/>
    <w:rsid w:val="00C13590"/>
    <w:rsid w:val="00C145CF"/>
    <w:rsid w:val="00C1465C"/>
    <w:rsid w:val="00C14B1A"/>
    <w:rsid w:val="00C221D7"/>
    <w:rsid w:val="00C2331C"/>
    <w:rsid w:val="00C27302"/>
    <w:rsid w:val="00C30188"/>
    <w:rsid w:val="00C30F72"/>
    <w:rsid w:val="00C312C0"/>
    <w:rsid w:val="00C41926"/>
    <w:rsid w:val="00C4245E"/>
    <w:rsid w:val="00C42FB9"/>
    <w:rsid w:val="00C52BDA"/>
    <w:rsid w:val="00C578BE"/>
    <w:rsid w:val="00C61129"/>
    <w:rsid w:val="00C640B2"/>
    <w:rsid w:val="00C645AB"/>
    <w:rsid w:val="00C72CF8"/>
    <w:rsid w:val="00C74E37"/>
    <w:rsid w:val="00C76CA5"/>
    <w:rsid w:val="00C846A4"/>
    <w:rsid w:val="00C847EE"/>
    <w:rsid w:val="00C853D5"/>
    <w:rsid w:val="00C86AEB"/>
    <w:rsid w:val="00C955F4"/>
    <w:rsid w:val="00C96336"/>
    <w:rsid w:val="00CA1B43"/>
    <w:rsid w:val="00CA3A4A"/>
    <w:rsid w:val="00CA6C99"/>
    <w:rsid w:val="00CB02F7"/>
    <w:rsid w:val="00CB25A2"/>
    <w:rsid w:val="00CB4B5C"/>
    <w:rsid w:val="00CB5499"/>
    <w:rsid w:val="00CC2015"/>
    <w:rsid w:val="00CC26EB"/>
    <w:rsid w:val="00CC59E5"/>
    <w:rsid w:val="00CD2F67"/>
    <w:rsid w:val="00CD3754"/>
    <w:rsid w:val="00CD4A2F"/>
    <w:rsid w:val="00CD5E04"/>
    <w:rsid w:val="00CD5E74"/>
    <w:rsid w:val="00CE0239"/>
    <w:rsid w:val="00CE132D"/>
    <w:rsid w:val="00CE3BEA"/>
    <w:rsid w:val="00CE499C"/>
    <w:rsid w:val="00CE61E6"/>
    <w:rsid w:val="00CE7C3A"/>
    <w:rsid w:val="00CF04AE"/>
    <w:rsid w:val="00D03D06"/>
    <w:rsid w:val="00D06A43"/>
    <w:rsid w:val="00D079BC"/>
    <w:rsid w:val="00D12CC9"/>
    <w:rsid w:val="00D13792"/>
    <w:rsid w:val="00D147C9"/>
    <w:rsid w:val="00D15CEE"/>
    <w:rsid w:val="00D21E2D"/>
    <w:rsid w:val="00D22B42"/>
    <w:rsid w:val="00D26972"/>
    <w:rsid w:val="00D30647"/>
    <w:rsid w:val="00D3351A"/>
    <w:rsid w:val="00D34147"/>
    <w:rsid w:val="00D36AF6"/>
    <w:rsid w:val="00D36E09"/>
    <w:rsid w:val="00D41969"/>
    <w:rsid w:val="00D42E17"/>
    <w:rsid w:val="00D44632"/>
    <w:rsid w:val="00D450BB"/>
    <w:rsid w:val="00D517F0"/>
    <w:rsid w:val="00D52A38"/>
    <w:rsid w:val="00D5552B"/>
    <w:rsid w:val="00D557FD"/>
    <w:rsid w:val="00D569A1"/>
    <w:rsid w:val="00D61557"/>
    <w:rsid w:val="00D632A3"/>
    <w:rsid w:val="00D65589"/>
    <w:rsid w:val="00D65BB5"/>
    <w:rsid w:val="00D6788F"/>
    <w:rsid w:val="00D70EC5"/>
    <w:rsid w:val="00D71C24"/>
    <w:rsid w:val="00D74D91"/>
    <w:rsid w:val="00D755D9"/>
    <w:rsid w:val="00D75C2F"/>
    <w:rsid w:val="00D76947"/>
    <w:rsid w:val="00D82C29"/>
    <w:rsid w:val="00D84A39"/>
    <w:rsid w:val="00D85131"/>
    <w:rsid w:val="00D8543B"/>
    <w:rsid w:val="00DA064C"/>
    <w:rsid w:val="00DA2795"/>
    <w:rsid w:val="00DA2CD8"/>
    <w:rsid w:val="00DA7B93"/>
    <w:rsid w:val="00DB13EB"/>
    <w:rsid w:val="00DC1151"/>
    <w:rsid w:val="00DC3579"/>
    <w:rsid w:val="00DC3612"/>
    <w:rsid w:val="00DC4D0A"/>
    <w:rsid w:val="00DC5066"/>
    <w:rsid w:val="00DE2383"/>
    <w:rsid w:val="00DF24B9"/>
    <w:rsid w:val="00DF3624"/>
    <w:rsid w:val="00DF5EB7"/>
    <w:rsid w:val="00DF5FD1"/>
    <w:rsid w:val="00DF6A23"/>
    <w:rsid w:val="00E021BE"/>
    <w:rsid w:val="00E021C1"/>
    <w:rsid w:val="00E04A24"/>
    <w:rsid w:val="00E0564D"/>
    <w:rsid w:val="00E07987"/>
    <w:rsid w:val="00E10926"/>
    <w:rsid w:val="00E12BE3"/>
    <w:rsid w:val="00E13590"/>
    <w:rsid w:val="00E24F46"/>
    <w:rsid w:val="00E271E4"/>
    <w:rsid w:val="00E31B37"/>
    <w:rsid w:val="00E33CB7"/>
    <w:rsid w:val="00E34912"/>
    <w:rsid w:val="00E3564C"/>
    <w:rsid w:val="00E35E72"/>
    <w:rsid w:val="00E41079"/>
    <w:rsid w:val="00E42721"/>
    <w:rsid w:val="00E43490"/>
    <w:rsid w:val="00E44AF0"/>
    <w:rsid w:val="00E5082E"/>
    <w:rsid w:val="00E513CC"/>
    <w:rsid w:val="00E51A0F"/>
    <w:rsid w:val="00E51A66"/>
    <w:rsid w:val="00E52D8D"/>
    <w:rsid w:val="00E5415A"/>
    <w:rsid w:val="00E5487E"/>
    <w:rsid w:val="00E54C30"/>
    <w:rsid w:val="00E55349"/>
    <w:rsid w:val="00E55557"/>
    <w:rsid w:val="00E568BF"/>
    <w:rsid w:val="00E62220"/>
    <w:rsid w:val="00E62ED2"/>
    <w:rsid w:val="00E630DC"/>
    <w:rsid w:val="00E63478"/>
    <w:rsid w:val="00E6525F"/>
    <w:rsid w:val="00E658A1"/>
    <w:rsid w:val="00E671FC"/>
    <w:rsid w:val="00E75D0B"/>
    <w:rsid w:val="00E75D3B"/>
    <w:rsid w:val="00E76BB5"/>
    <w:rsid w:val="00E76CA1"/>
    <w:rsid w:val="00E76F75"/>
    <w:rsid w:val="00E84BB9"/>
    <w:rsid w:val="00E84FA2"/>
    <w:rsid w:val="00E86C5A"/>
    <w:rsid w:val="00E876A0"/>
    <w:rsid w:val="00E920AB"/>
    <w:rsid w:val="00E928D7"/>
    <w:rsid w:val="00E97C4A"/>
    <w:rsid w:val="00EA0448"/>
    <w:rsid w:val="00EA778C"/>
    <w:rsid w:val="00EB1536"/>
    <w:rsid w:val="00EB1C20"/>
    <w:rsid w:val="00EB2B6A"/>
    <w:rsid w:val="00EB4C46"/>
    <w:rsid w:val="00EC18C3"/>
    <w:rsid w:val="00EC19E1"/>
    <w:rsid w:val="00EC3396"/>
    <w:rsid w:val="00EC5F32"/>
    <w:rsid w:val="00EC5F36"/>
    <w:rsid w:val="00EC63B5"/>
    <w:rsid w:val="00EC6E52"/>
    <w:rsid w:val="00ED1554"/>
    <w:rsid w:val="00ED6399"/>
    <w:rsid w:val="00ED7365"/>
    <w:rsid w:val="00ED7FBD"/>
    <w:rsid w:val="00EE0A91"/>
    <w:rsid w:val="00EE28CD"/>
    <w:rsid w:val="00EE45FD"/>
    <w:rsid w:val="00EE5DF0"/>
    <w:rsid w:val="00EE6B58"/>
    <w:rsid w:val="00EF10E8"/>
    <w:rsid w:val="00EF34F7"/>
    <w:rsid w:val="00EF3746"/>
    <w:rsid w:val="00EF4FF5"/>
    <w:rsid w:val="00F05682"/>
    <w:rsid w:val="00F17161"/>
    <w:rsid w:val="00F177AC"/>
    <w:rsid w:val="00F20F55"/>
    <w:rsid w:val="00F2227D"/>
    <w:rsid w:val="00F2233A"/>
    <w:rsid w:val="00F2260A"/>
    <w:rsid w:val="00F23D0F"/>
    <w:rsid w:val="00F2629E"/>
    <w:rsid w:val="00F2708E"/>
    <w:rsid w:val="00F32725"/>
    <w:rsid w:val="00F34857"/>
    <w:rsid w:val="00F3653F"/>
    <w:rsid w:val="00F36B57"/>
    <w:rsid w:val="00F434C7"/>
    <w:rsid w:val="00F5504F"/>
    <w:rsid w:val="00F5578A"/>
    <w:rsid w:val="00F57AB6"/>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04BE"/>
    <w:rsid w:val="00FC14D4"/>
    <w:rsid w:val="00FC1C72"/>
    <w:rsid w:val="00FC5060"/>
    <w:rsid w:val="00FC7475"/>
    <w:rsid w:val="00FD00AA"/>
    <w:rsid w:val="00FD0105"/>
    <w:rsid w:val="00FD0B1C"/>
    <w:rsid w:val="00FD1D97"/>
    <w:rsid w:val="00FD2745"/>
    <w:rsid w:val="00FD7A4A"/>
    <w:rsid w:val="00FE2242"/>
    <w:rsid w:val="00FE376B"/>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DF03A8A3-1CD2-4D08-9844-22FECC64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dnotetekst Tegn,Footnote Text1,footnote text Char,Fodnotetekst Tegn Char,footnote text Char Char Char,Fodnotetekst Tegn Char1"/>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dnotetekst Tegn Char2,Footnote Text1 Char,footnote text Char Char,Fodnotetekst Tegn Char Char,Fodnotetekst Tegn Char1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Error-Fußnotenzeichen5,Error-Fußnotenzeichen6,Error-Fußnotenzeichen3,Liste à puces Car,Appel note de bas de p. Car,Car Car,Appel note de bas de p. Car Car Char Car Car Car Car Car,Car,16 Point Car Car Car Car Car Car Car"/>
    <w:link w:val="16PointCarCarCarCarCarCar"/>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commendation,List Paragraph1,List Paragraph11,Premier,Tableau Adere,Bullets,Paragraphe de liste1,References,List Bullet Mary,Body,stil3,texte,Trame couleur - Accent 31,U 5,Bullet List,RMSI bulle Style"/>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Paragraph (numbered (a)) Char,Recommendation Char,List Paragraph1 Char,List Paragraph11 Char,Premier Char,Tableau Adere Char,Bullets Char,Paragraphe de liste1 Char,References Char,List Bullet Mary Char,Body Char,stil3 Char"/>
    <w:link w:val="ListParagraph"/>
    <w:uiPriority w:val="34"/>
    <w:qFormat/>
    <w:locked/>
    <w:rsid w:val="007A4004"/>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7F4B4A"/>
    <w:rPr>
      <w:rFonts w:ascii="Times New Roman" w:eastAsia="Times New Roman" w:hAnsi="Times New Roman"/>
      <w:lang w:val="en-GB" w:eastAsia="en-GB"/>
    </w:rPr>
  </w:style>
  <w:style w:type="paragraph" w:customStyle="1" w:styleId="16PointCarCarCarCarCarCar">
    <w:name w:val="16 Point Car Car Car Car Car Car"/>
    <w:aliases w:val="Superscript 6 Point Car Car Car Car Car Car,BVI fnr Car Char Char Car Car Car Car Car Car,BVI fnr Car Car Car Char Char Car Car Car Car Car Car"/>
    <w:basedOn w:val="Normal"/>
    <w:link w:val="FootnoteReference"/>
    <w:uiPriority w:val="99"/>
    <w:rsid w:val="00E920AB"/>
    <w:pPr>
      <w:spacing w:after="160" w:line="240" w:lineRule="exact"/>
    </w:pPr>
    <w:rPr>
      <w:rFonts w:ascii="Calibri" w:eastAsia="Calibri" w:hAnsi="Calibri"/>
      <w:sz w:val="20"/>
      <w:szCs w:val="20"/>
      <w:vertAlign w:val="superscript"/>
      <w:lang w:val="en-US" w:eastAsia="zh-CN"/>
    </w:rPr>
  </w:style>
  <w:style w:type="character" w:styleId="Emphasis">
    <w:name w:val="Emphasis"/>
    <w:basedOn w:val="DefaultParagraphFont"/>
    <w:uiPriority w:val="20"/>
    <w:qFormat/>
    <w:rsid w:val="00C6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94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28838015">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176570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52811625">
      <w:bodyDiv w:val="1"/>
      <w:marLeft w:val="0"/>
      <w:marRight w:val="0"/>
      <w:marTop w:val="0"/>
      <w:marBottom w:val="0"/>
      <w:divBdr>
        <w:top w:val="none" w:sz="0" w:space="0" w:color="auto"/>
        <w:left w:val="none" w:sz="0" w:space="0" w:color="auto"/>
        <w:bottom w:val="none" w:sz="0" w:space="0" w:color="auto"/>
        <w:right w:val="none" w:sz="0" w:space="0" w:color="auto"/>
      </w:divBdr>
    </w:div>
    <w:div w:id="149417996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F3881C-EC76-4EFF-9FEB-A328715F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5323</Words>
  <Characters>28534</Characters>
  <Application>Microsoft Office Word</Application>
  <DocSecurity>0</DocSecurity>
  <Lines>361</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Malika Groga Bada</cp:lastModifiedBy>
  <cp:revision>2</cp:revision>
  <cp:lastPrinted>2014-02-10T17:12:00Z</cp:lastPrinted>
  <dcterms:created xsi:type="dcterms:W3CDTF">2021-11-24T17:19:00Z</dcterms:created>
  <dcterms:modified xsi:type="dcterms:W3CDTF">2021-11-24T17:19:00Z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