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34D51B5F" w:rsidR="000F43A8" w:rsidRPr="00905EDE" w:rsidRDefault="00CD2513"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8E3596" w:rsidRPr="00905EDE">
        <w:rPr>
          <w:bCs/>
          <w:iCs/>
          <w:snapToGrid w:val="0"/>
          <w:szCs w:val="28"/>
          <w:lang w:val="fr-FR"/>
        </w:rPr>
        <w:t>M</w:t>
      </w:r>
      <w:r w:rsidR="008E3596" w:rsidRPr="00174BA4">
        <w:rPr>
          <w:bCs/>
          <w:iCs/>
          <w:snapToGrid w:val="0"/>
          <w:szCs w:val="28"/>
          <w:lang w:val="fr-FR"/>
        </w:rPr>
        <w:t>A</w:t>
      </w:r>
      <w:r w:rsidR="008E3596">
        <w:rPr>
          <w:bCs/>
          <w:iCs/>
          <w:snapToGrid w:val="0"/>
          <w:szCs w:val="28"/>
          <w:lang w:val="fr-FR"/>
        </w:rPr>
        <w:t>LI</w:t>
      </w:r>
    </w:p>
    <w:p w14:paraId="35B8BCCA" w14:textId="3902A688" w:rsidR="000F43A8" w:rsidRPr="001948EA" w:rsidRDefault="000F43A8" w:rsidP="000F43A8">
      <w:pPr>
        <w:jc w:val="center"/>
        <w:rPr>
          <w:b/>
          <w:bCs/>
          <w:caps/>
          <w:sz w:val="22"/>
          <w:szCs w:val="22"/>
          <w:lang w:val="fr-FR"/>
        </w:rPr>
      </w:pPr>
      <w:r w:rsidRPr="001948EA">
        <w:rPr>
          <w:b/>
          <w:bCs/>
          <w:caps/>
          <w:sz w:val="22"/>
          <w:szCs w:val="22"/>
          <w:lang w:val="fr-FR"/>
        </w:rPr>
        <w:t>TYPE DE RAPPORT</w:t>
      </w:r>
      <w:r w:rsidR="001948EA" w:rsidRPr="001948EA">
        <w:rPr>
          <w:b/>
          <w:bCs/>
          <w:caps/>
          <w:sz w:val="22"/>
          <w:szCs w:val="22"/>
          <w:lang w:val="fr-FR"/>
        </w:rPr>
        <w:t> :</w:t>
      </w:r>
      <w:r w:rsidR="008E3596">
        <w:rPr>
          <w:b/>
          <w:sz w:val="22"/>
          <w:szCs w:val="22"/>
        </w:rPr>
        <w:fldChar w:fldCharType="begin">
          <w:ffData>
            <w:name w:val=""/>
            <w:enabled/>
            <w:calcOnExit w:val="0"/>
            <w:ddList>
              <w:listEntry w:val="Semestriel"/>
              <w:listEntry w:val="Veuillez sélectionner"/>
              <w:listEntry w:val="Annuel"/>
              <w:listEntry w:val="Final"/>
            </w:ddList>
          </w:ffData>
        </w:fldChar>
      </w:r>
      <w:r w:rsidR="008E3596" w:rsidRPr="00CD2513">
        <w:rPr>
          <w:b/>
          <w:sz w:val="22"/>
          <w:szCs w:val="22"/>
          <w:lang w:val="fr-FR"/>
        </w:rPr>
        <w:instrText xml:space="preserve"> FORMDROPDOWN </w:instrText>
      </w:r>
      <w:r w:rsidR="000D4328">
        <w:rPr>
          <w:b/>
          <w:sz w:val="22"/>
          <w:szCs w:val="22"/>
        </w:rPr>
      </w:r>
      <w:r w:rsidR="000D4328">
        <w:rPr>
          <w:b/>
          <w:sz w:val="22"/>
          <w:szCs w:val="22"/>
        </w:rPr>
        <w:fldChar w:fldCharType="separate"/>
      </w:r>
      <w:r w:rsidR="008E3596">
        <w:rPr>
          <w:b/>
          <w:sz w:val="22"/>
          <w:szCs w:val="22"/>
        </w:rPr>
        <w:fldChar w:fldCharType="end"/>
      </w:r>
    </w:p>
    <w:p w14:paraId="0B2F56D8" w14:textId="34357A45" w:rsidR="000554F8" w:rsidRPr="00905EDE" w:rsidRDefault="00500587" w:rsidP="000F43A8">
      <w:pPr>
        <w:jc w:val="center"/>
        <w:rPr>
          <w:bCs/>
          <w:iCs/>
          <w:snapToGrid w:val="0"/>
          <w:szCs w:val="28"/>
          <w:lang w:val="fr-FR"/>
        </w:rPr>
      </w:pPr>
      <w:r w:rsidRPr="00905EDE">
        <w:rPr>
          <w:b/>
          <w:bCs/>
          <w:caps/>
          <w:lang w:val="fr-FR"/>
        </w:rPr>
        <w:t>ANNEE</w:t>
      </w:r>
      <w:r w:rsidR="000F43A8" w:rsidRPr="00174BA4">
        <w:rPr>
          <w:b/>
          <w:bCs/>
          <w:caps/>
          <w:lang w:val="fr-FR"/>
        </w:rPr>
        <w:t xml:space="preserve"> DE </w:t>
      </w:r>
      <w:r w:rsidR="00CD2513" w:rsidRPr="00174BA4">
        <w:rPr>
          <w:b/>
          <w:bCs/>
          <w:caps/>
          <w:lang w:val="fr-FR"/>
        </w:rPr>
        <w:t>RAPPORT :</w:t>
      </w:r>
      <w:r w:rsidR="000F43A8" w:rsidRPr="00174BA4">
        <w:rPr>
          <w:b/>
          <w:bCs/>
          <w:caps/>
          <w:lang w:val="fr-FR"/>
        </w:rPr>
        <w:t xml:space="preserve"> </w:t>
      </w:r>
      <w:r w:rsidR="006E5713">
        <w:rPr>
          <w:bCs/>
          <w:iCs/>
          <w:snapToGrid w:val="0"/>
          <w:szCs w:val="28"/>
        </w:rPr>
        <w:fldChar w:fldCharType="begin">
          <w:ffData>
            <w:name w:val="Text11"/>
            <w:enabled/>
            <w:calcOnExit w:val="0"/>
            <w:textInput>
              <w:default w:val="2022"/>
              <w:format w:val="FIRST CAPITAL"/>
            </w:textInput>
          </w:ffData>
        </w:fldChar>
      </w:r>
      <w:r w:rsidR="006E5713" w:rsidRPr="00CD2513">
        <w:rPr>
          <w:bCs/>
          <w:iCs/>
          <w:snapToGrid w:val="0"/>
          <w:szCs w:val="28"/>
          <w:lang w:val="fr-FR"/>
        </w:rPr>
        <w:instrText xml:space="preserve"> </w:instrText>
      </w:r>
      <w:bookmarkStart w:id="0" w:name="Text11"/>
      <w:r w:rsidR="006E5713" w:rsidRPr="00CD2513">
        <w:rPr>
          <w:bCs/>
          <w:iCs/>
          <w:snapToGrid w:val="0"/>
          <w:szCs w:val="28"/>
          <w:lang w:val="fr-FR"/>
        </w:rPr>
        <w:instrText xml:space="preserve">FORMTEXT </w:instrText>
      </w:r>
      <w:r w:rsidR="006E5713">
        <w:rPr>
          <w:bCs/>
          <w:iCs/>
          <w:snapToGrid w:val="0"/>
          <w:szCs w:val="28"/>
        </w:rPr>
      </w:r>
      <w:r w:rsidR="006E5713">
        <w:rPr>
          <w:bCs/>
          <w:iCs/>
          <w:snapToGrid w:val="0"/>
          <w:szCs w:val="28"/>
        </w:rPr>
        <w:fldChar w:fldCharType="separate"/>
      </w:r>
      <w:r w:rsidR="006E5713" w:rsidRPr="00905EDE">
        <w:rPr>
          <w:bCs/>
          <w:iCs/>
          <w:noProof/>
          <w:snapToGrid w:val="0"/>
          <w:szCs w:val="28"/>
          <w:lang w:val="fr-FR"/>
        </w:rPr>
        <w:t>2022</w:t>
      </w:r>
      <w:r w:rsidR="006E5713">
        <w:rPr>
          <w:bCs/>
          <w:iCs/>
          <w:snapToGrid w:val="0"/>
          <w:szCs w:val="28"/>
        </w:rPr>
        <w:fldChar w:fldCharType="end"/>
      </w:r>
      <w:bookmarkEnd w:id="0"/>
    </w:p>
    <w:p w14:paraId="32235E8F" w14:textId="77777777" w:rsidR="000F43A8" w:rsidRPr="00CD2513"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E3717" w14:paraId="26E9F2DE" w14:textId="77777777" w:rsidTr="6595E2F0">
        <w:trPr>
          <w:trHeight w:val="422"/>
        </w:trPr>
        <w:tc>
          <w:tcPr>
            <w:tcW w:w="10080" w:type="dxa"/>
            <w:gridSpan w:val="2"/>
          </w:tcPr>
          <w:p w14:paraId="5EF1BC6A" w14:textId="3ED33AF8" w:rsidR="008E3596" w:rsidRPr="00CD2513" w:rsidRDefault="000F43A8" w:rsidP="006E5713">
            <w:pPr>
              <w:pStyle w:val="BalloonText"/>
              <w:numPr>
                <w:ilvl w:val="12"/>
                <w:numId w:val="0"/>
              </w:numPr>
              <w:tabs>
                <w:tab w:val="left" w:pos="-720"/>
                <w:tab w:val="left" w:pos="4500"/>
              </w:tabs>
              <w:suppressAutoHyphens/>
              <w:rPr>
                <w:rFonts w:ascii="Times New Roman" w:hAnsi="Times New Roman" w:cs="Times New Roman"/>
                <w:bCs/>
                <w:sz w:val="24"/>
                <w:szCs w:val="24"/>
                <w:lang w:val="fr-FR"/>
              </w:rPr>
            </w:pPr>
            <w:r w:rsidRPr="00136BFF">
              <w:rPr>
                <w:rFonts w:ascii="Times New Roman" w:hAnsi="Times New Roman" w:cs="Times New Roman"/>
                <w:b/>
                <w:sz w:val="24"/>
                <w:szCs w:val="24"/>
                <w:lang w:val="fr-FR"/>
              </w:rPr>
              <w:t xml:space="preserve">Titre du </w:t>
            </w:r>
            <w:r w:rsidR="008E3596"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8E3596" w:rsidRPr="00CD2513">
              <w:rPr>
                <w:rFonts w:ascii="Times New Roman" w:hAnsi="Times New Roman" w:cs="Times New Roman"/>
                <w:bCs/>
                <w:sz w:val="24"/>
                <w:szCs w:val="24"/>
                <w:lang w:val="fr-FR"/>
              </w:rPr>
              <w:t>Approche intégrée pour lutter contre l'impunité et pour un accès amélioré à la justice dans le Centre du Mali</w:t>
            </w:r>
          </w:p>
          <w:p w14:paraId="24C4A490" w14:textId="1AB7E45A" w:rsidR="00793DE6" w:rsidRPr="00F3475E" w:rsidRDefault="00F3475E" w:rsidP="000F43A8">
            <w:pPr>
              <w:rPr>
                <w:b/>
                <w:lang w:val="fr-FR"/>
              </w:rPr>
            </w:pPr>
            <w:r w:rsidRPr="003C62F7">
              <w:rPr>
                <w:b/>
                <w:lang w:val="fr-FR"/>
              </w:rPr>
              <w:t xml:space="preserve">NUMERO </w:t>
            </w:r>
            <w:r>
              <w:rPr>
                <w:b/>
                <w:lang w:val="fr-FR"/>
              </w:rPr>
              <w:t xml:space="preserve">de </w:t>
            </w:r>
            <w:r w:rsidRPr="003C62F7">
              <w:rPr>
                <w:b/>
                <w:lang w:val="fr-FR"/>
              </w:rPr>
              <w:t>Projet</w:t>
            </w:r>
            <w:r>
              <w:rPr>
                <w:b/>
                <w:lang w:val="fr-FR"/>
              </w:rPr>
              <w:t xml:space="preserve"> : </w:t>
            </w:r>
            <w:r w:rsidRPr="000C7F5C">
              <w:rPr>
                <w:lang w:val="fr-FR"/>
              </w:rPr>
              <w:t>PBF/MLI/A-3</w:t>
            </w:r>
            <w:r>
              <w:rPr>
                <w:lang w:val="fr-FR"/>
              </w:rPr>
              <w:t xml:space="preserve"> / </w:t>
            </w:r>
            <w:r>
              <w:rPr>
                <w:b/>
                <w:lang w:val="fr-FR"/>
              </w:rPr>
              <w:t xml:space="preserve">portail </w:t>
            </w:r>
            <w:r w:rsidRPr="003C62F7">
              <w:rPr>
                <w:b/>
                <w:lang w:val="fr-FR"/>
              </w:rPr>
              <w:t xml:space="preserve">Gateway </w:t>
            </w:r>
            <w:r>
              <w:rPr>
                <w:b/>
                <w:lang w:val="fr-FR"/>
              </w:rPr>
              <w:t>du MPTF-O (pour les projets en cours) </w:t>
            </w:r>
            <w:r w:rsidRPr="003C62F7">
              <w:rPr>
                <w:b/>
                <w:lang w:val="fr-FR"/>
              </w:rPr>
              <w:t>:</w:t>
            </w:r>
            <w:r>
              <w:rPr>
                <w:b/>
                <w:lang w:val="fr-FR"/>
              </w:rPr>
              <w:t xml:space="preserve"> </w:t>
            </w:r>
            <w:r w:rsidRPr="000C7F5C">
              <w:rPr>
                <w:lang w:val="fr-FR"/>
              </w:rPr>
              <w:t>00120379</w:t>
            </w:r>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D4328">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1A712150" w:rsidR="000F43A8" w:rsidRDefault="00F3475E" w:rsidP="000F43A8">
            <w:pPr>
              <w:tabs>
                <w:tab w:val="left" w:pos="0"/>
              </w:tabs>
              <w:suppressAutoHyphens/>
              <w:rPr>
                <w:b/>
                <w:lang w:val="fr-FR"/>
              </w:rPr>
            </w:pPr>
            <w:r>
              <w:fldChar w:fldCharType="begin">
                <w:ffData>
                  <w:name w:val="Check1"/>
                  <w:enabled/>
                  <w:calcOnExit w:val="0"/>
                  <w:checkBox>
                    <w:sizeAuto/>
                    <w:default w:val="1"/>
                  </w:checkBox>
                </w:ffData>
              </w:fldChar>
            </w:r>
            <w:r>
              <w:instrText xml:space="preserve"> </w:instrText>
            </w:r>
            <w:bookmarkStart w:id="1" w:name="Check1"/>
            <w:r>
              <w:instrText xml:space="preserve">FORMCHECKBOX </w:instrText>
            </w:r>
            <w:r w:rsidR="000D4328">
              <w:fldChar w:fldCharType="separate"/>
            </w:r>
            <w:r>
              <w:fldChar w:fldCharType="end"/>
            </w:r>
            <w:bookmarkEnd w:id="1"/>
            <w:r w:rsidR="000F43A8" w:rsidRPr="0069221B">
              <w:rPr>
                <w:lang w:val="fr-FR"/>
              </w:rPr>
              <w:tab/>
            </w:r>
            <w:r w:rsidR="000F43A8" w:rsidRPr="0069221B">
              <w:rPr>
                <w:lang w:val="fr-FR"/>
              </w:rPr>
              <w:tab/>
              <w:t>Fonds fiduciaire régional</w:t>
            </w:r>
            <w:r w:rsidR="000F43A8"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5427226"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CD1A8C"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65A77E51"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1D1B22"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28A1E63C" w:rsidR="00A43B9C" w:rsidRPr="00CD2513" w:rsidRDefault="008E3596"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CD2513">
              <w:rPr>
                <w:rFonts w:ascii="Times New Roman" w:hAnsi="Times New Roman" w:cs="Times New Roman"/>
                <w:b/>
                <w:sz w:val="24"/>
                <w:szCs w:val="24"/>
                <w:lang w:val="fr-FR"/>
              </w:rPr>
              <w:instrText xml:space="preserve"> FORMDROPDOWN </w:instrText>
            </w:r>
            <w:r w:rsidR="000D4328">
              <w:rPr>
                <w:rFonts w:ascii="Times New Roman" w:hAnsi="Times New Roman" w:cs="Times New Roman"/>
                <w:b/>
                <w:sz w:val="24"/>
                <w:szCs w:val="24"/>
              </w:rPr>
            </w:r>
            <w:r w:rsidR="000D43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905EDE">
              <w:rPr>
                <w:rFonts w:ascii="Times New Roman" w:hAnsi="Times New Roman" w:cs="Times New Roman"/>
                <w:b/>
                <w:sz w:val="24"/>
                <w:szCs w:val="24"/>
                <w:lang w:val="fr-FR"/>
              </w:rPr>
              <w:t xml:space="preserve">     </w:t>
            </w:r>
            <w:r w:rsidR="001D1B22">
              <w:rPr>
                <w:rFonts w:ascii="Times New Roman" w:hAnsi="Times New Roman" w:cs="Times New Roman"/>
                <w:b/>
                <w:sz w:val="24"/>
                <w:szCs w:val="24"/>
              </w:rPr>
              <w:fldChar w:fldCharType="begin">
                <w:ffData>
                  <w:name w:val="Text40"/>
                  <w:enabled/>
                  <w:calcOnExit w:val="0"/>
                  <w:textInput>
                    <w:default w:val="HCDH"/>
                  </w:textInput>
                </w:ffData>
              </w:fldChar>
            </w:r>
            <w:r w:rsidR="001D1B22" w:rsidRPr="00820B26">
              <w:rPr>
                <w:rFonts w:ascii="Times New Roman" w:hAnsi="Times New Roman" w:cs="Times New Roman"/>
                <w:b/>
                <w:sz w:val="24"/>
                <w:szCs w:val="24"/>
                <w:lang w:val="fr-FR"/>
              </w:rPr>
              <w:instrText xml:space="preserve"> FORMTEXT </w:instrText>
            </w:r>
            <w:r w:rsidR="001D1B22">
              <w:rPr>
                <w:rFonts w:ascii="Times New Roman" w:hAnsi="Times New Roman" w:cs="Times New Roman"/>
                <w:b/>
                <w:sz w:val="24"/>
                <w:szCs w:val="24"/>
              </w:rPr>
            </w:r>
            <w:r w:rsidR="001D1B22">
              <w:rPr>
                <w:rFonts w:ascii="Times New Roman" w:hAnsi="Times New Roman" w:cs="Times New Roman"/>
                <w:b/>
                <w:sz w:val="24"/>
                <w:szCs w:val="24"/>
              </w:rPr>
              <w:fldChar w:fldCharType="separate"/>
            </w:r>
            <w:r w:rsidR="001D1B22" w:rsidRPr="00820B26">
              <w:rPr>
                <w:rFonts w:ascii="Times New Roman" w:hAnsi="Times New Roman" w:cs="Times New Roman"/>
                <w:b/>
                <w:noProof/>
                <w:sz w:val="24"/>
                <w:szCs w:val="24"/>
                <w:lang w:val="fr-FR"/>
              </w:rPr>
              <w:t>HCDH</w:t>
            </w:r>
            <w:r w:rsidR="001D1B22">
              <w:rPr>
                <w:rFonts w:ascii="Times New Roman" w:hAnsi="Times New Roman" w:cs="Times New Roman"/>
                <w:b/>
                <w:sz w:val="24"/>
                <w:szCs w:val="24"/>
              </w:rPr>
              <w:fldChar w:fldCharType="end"/>
            </w:r>
            <w:r w:rsidR="00A43B9C" w:rsidRPr="00CD2513">
              <w:rPr>
                <w:rFonts w:ascii="Times New Roman" w:hAnsi="Times New Roman" w:cs="Times New Roman"/>
                <w:b/>
                <w:sz w:val="24"/>
                <w:szCs w:val="24"/>
                <w:lang w:val="fr-FR"/>
              </w:rPr>
              <w:t>(</w:t>
            </w:r>
            <w:r w:rsidR="000F43A8" w:rsidRPr="00CD2513">
              <w:rPr>
                <w:rFonts w:ascii="Times New Roman" w:hAnsi="Times New Roman" w:cs="Times New Roman"/>
                <w:b/>
                <w:sz w:val="24"/>
                <w:szCs w:val="24"/>
                <w:lang w:val="fr-FR"/>
              </w:rPr>
              <w:t>Agence coordinatrice</w:t>
            </w:r>
            <w:r w:rsidR="00A43B9C" w:rsidRPr="00CD2513">
              <w:rPr>
                <w:rFonts w:ascii="Times New Roman" w:hAnsi="Times New Roman" w:cs="Times New Roman"/>
                <w:b/>
                <w:sz w:val="24"/>
                <w:szCs w:val="24"/>
                <w:lang w:val="fr-FR"/>
              </w:rPr>
              <w:t>)</w:t>
            </w:r>
          </w:p>
          <w:p w14:paraId="28F5F181" w14:textId="55914492" w:rsidR="00A43B9C" w:rsidRPr="00905EDE" w:rsidRDefault="008E3596"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CD2513">
              <w:rPr>
                <w:rFonts w:ascii="Times New Roman" w:hAnsi="Times New Roman" w:cs="Times New Roman"/>
                <w:b/>
                <w:sz w:val="24"/>
                <w:szCs w:val="24"/>
                <w:lang w:val="fr-FR"/>
              </w:rPr>
              <w:instrText xml:space="preserve"> FORMDROPDOWN </w:instrText>
            </w:r>
            <w:r w:rsidR="000D4328">
              <w:rPr>
                <w:rFonts w:ascii="Times New Roman" w:hAnsi="Times New Roman" w:cs="Times New Roman"/>
                <w:b/>
                <w:sz w:val="24"/>
                <w:szCs w:val="24"/>
              </w:rPr>
            </w:r>
            <w:r w:rsidR="000D43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905EDE">
              <w:rPr>
                <w:rFonts w:ascii="Times New Roman" w:hAnsi="Times New Roman" w:cs="Times New Roman"/>
                <w:b/>
                <w:sz w:val="24"/>
                <w:szCs w:val="24"/>
                <w:lang w:val="fr-FR"/>
              </w:rPr>
              <w:t xml:space="preserve">     </w:t>
            </w:r>
            <w:r w:rsidR="006E5713">
              <w:rPr>
                <w:rFonts w:ascii="Times New Roman" w:hAnsi="Times New Roman" w:cs="Times New Roman"/>
                <w:b/>
                <w:sz w:val="24"/>
                <w:szCs w:val="24"/>
              </w:rPr>
              <w:fldChar w:fldCharType="begin">
                <w:ffData>
                  <w:name w:val="Text41"/>
                  <w:enabled/>
                  <w:calcOnExit w:val="0"/>
                  <w:textInput>
                    <w:default w:val="PNUD"/>
                  </w:textInput>
                </w:ffData>
              </w:fldChar>
            </w:r>
            <w:bookmarkStart w:id="2" w:name="Text41"/>
            <w:r w:rsidR="006E5713" w:rsidRPr="00CD2513">
              <w:rPr>
                <w:rFonts w:ascii="Times New Roman" w:hAnsi="Times New Roman" w:cs="Times New Roman"/>
                <w:b/>
                <w:sz w:val="24"/>
                <w:szCs w:val="24"/>
                <w:lang w:val="fr-FR"/>
              </w:rPr>
              <w:instrText xml:space="preserve"> FORMTEXT </w:instrText>
            </w:r>
            <w:r w:rsidR="006E5713">
              <w:rPr>
                <w:rFonts w:ascii="Times New Roman" w:hAnsi="Times New Roman" w:cs="Times New Roman"/>
                <w:b/>
                <w:sz w:val="24"/>
                <w:szCs w:val="24"/>
              </w:rPr>
            </w:r>
            <w:r w:rsidR="006E5713">
              <w:rPr>
                <w:rFonts w:ascii="Times New Roman" w:hAnsi="Times New Roman" w:cs="Times New Roman"/>
                <w:b/>
                <w:sz w:val="24"/>
                <w:szCs w:val="24"/>
              </w:rPr>
              <w:fldChar w:fldCharType="separate"/>
            </w:r>
            <w:r w:rsidR="006E5713" w:rsidRPr="00905EDE">
              <w:rPr>
                <w:rFonts w:ascii="Times New Roman" w:hAnsi="Times New Roman" w:cs="Times New Roman"/>
                <w:b/>
                <w:noProof/>
                <w:sz w:val="24"/>
                <w:szCs w:val="24"/>
                <w:lang w:val="fr-FR"/>
              </w:rPr>
              <w:t>PNUD</w:t>
            </w:r>
            <w:r w:rsidR="006E5713">
              <w:rPr>
                <w:rFonts w:ascii="Times New Roman" w:hAnsi="Times New Roman" w:cs="Times New Roman"/>
                <w:b/>
                <w:sz w:val="24"/>
                <w:szCs w:val="24"/>
              </w:rPr>
              <w:fldChar w:fldCharType="end"/>
            </w:r>
            <w:bookmarkEnd w:id="2"/>
          </w:p>
          <w:p w14:paraId="7E3EB135" w14:textId="1622F9F8" w:rsidR="00A43B9C" w:rsidRPr="00905EDE" w:rsidRDefault="008E3596"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r w:rsidRPr="00CD2513">
              <w:rPr>
                <w:rFonts w:ascii="Times New Roman" w:hAnsi="Times New Roman" w:cs="Times New Roman"/>
                <w:b/>
                <w:sz w:val="24"/>
                <w:szCs w:val="24"/>
                <w:lang w:val="fr-FR"/>
              </w:rPr>
              <w:instrText xml:space="preserve"> </w:instrText>
            </w:r>
            <w:bookmarkStart w:id="3" w:name="recipeinttype"/>
            <w:r w:rsidRPr="00CD2513">
              <w:rPr>
                <w:rFonts w:ascii="Times New Roman" w:hAnsi="Times New Roman" w:cs="Times New Roman"/>
                <w:b/>
                <w:sz w:val="24"/>
                <w:szCs w:val="24"/>
                <w:lang w:val="fr-FR"/>
              </w:rPr>
              <w:instrText xml:space="preserve">FORMDROPDOWN </w:instrText>
            </w:r>
            <w:r w:rsidR="000D4328">
              <w:rPr>
                <w:rFonts w:ascii="Times New Roman" w:hAnsi="Times New Roman" w:cs="Times New Roman"/>
                <w:b/>
                <w:sz w:val="24"/>
                <w:szCs w:val="24"/>
              </w:rPr>
            </w:r>
            <w:r w:rsidR="000D43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
            <w:r w:rsidR="00A43B9C" w:rsidRPr="00905EDE">
              <w:rPr>
                <w:rFonts w:ascii="Times New Roman" w:hAnsi="Times New Roman" w:cs="Times New Roman"/>
                <w:b/>
                <w:sz w:val="24"/>
                <w:szCs w:val="24"/>
                <w:lang w:val="fr-FR"/>
              </w:rPr>
              <w:t xml:space="preserve">     </w:t>
            </w:r>
            <w:r w:rsidR="00CD1A8C">
              <w:rPr>
                <w:rFonts w:ascii="Times New Roman" w:hAnsi="Times New Roman" w:cs="Times New Roman"/>
                <w:b/>
                <w:sz w:val="24"/>
                <w:szCs w:val="24"/>
              </w:rPr>
              <w:t>ONU-FEMMES</w:t>
            </w:r>
          </w:p>
          <w:p w14:paraId="46214C2B" w14:textId="0BF5BDF8" w:rsidR="00A43B9C" w:rsidRPr="00627A1C" w:rsidRDefault="008E359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0D4328">
              <w:rPr>
                <w:rFonts w:ascii="Times New Roman" w:hAnsi="Times New Roman" w:cs="Times New Roman"/>
                <w:b/>
                <w:sz w:val="24"/>
                <w:szCs w:val="24"/>
              </w:rPr>
            </w:r>
            <w:r w:rsidR="000D43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706795">
              <w:rPr>
                <w:rFonts w:ascii="Times New Roman" w:hAnsi="Times New Roman" w:cs="Times New Roman"/>
                <w:b/>
                <w:sz w:val="24"/>
                <w:szCs w:val="24"/>
              </w:rPr>
              <w:fldChar w:fldCharType="begin">
                <w:ffData>
                  <w:name w:val="Text43"/>
                  <w:enabled/>
                  <w:calcOnExit w:val="0"/>
                  <w:textInput>
                    <w:default w:val="INTERPEACE"/>
                  </w:textInput>
                </w:ffData>
              </w:fldChar>
            </w:r>
            <w:r w:rsidR="00706795">
              <w:rPr>
                <w:rFonts w:ascii="Times New Roman" w:hAnsi="Times New Roman" w:cs="Times New Roman"/>
                <w:b/>
                <w:sz w:val="24"/>
                <w:szCs w:val="24"/>
              </w:rPr>
              <w:instrText xml:space="preserve"> </w:instrText>
            </w:r>
            <w:bookmarkStart w:id="4" w:name="Text43"/>
            <w:r w:rsidR="00706795">
              <w:rPr>
                <w:rFonts w:ascii="Times New Roman" w:hAnsi="Times New Roman" w:cs="Times New Roman"/>
                <w:b/>
                <w:sz w:val="24"/>
                <w:szCs w:val="24"/>
              </w:rPr>
              <w:instrText xml:space="preserve">FORMTEXT </w:instrText>
            </w:r>
            <w:r w:rsidR="00706795">
              <w:rPr>
                <w:rFonts w:ascii="Times New Roman" w:hAnsi="Times New Roman" w:cs="Times New Roman"/>
                <w:b/>
                <w:sz w:val="24"/>
                <w:szCs w:val="24"/>
              </w:rPr>
            </w:r>
            <w:r w:rsidR="00706795">
              <w:rPr>
                <w:rFonts w:ascii="Times New Roman" w:hAnsi="Times New Roman" w:cs="Times New Roman"/>
                <w:b/>
                <w:sz w:val="24"/>
                <w:szCs w:val="24"/>
              </w:rPr>
              <w:fldChar w:fldCharType="separate"/>
            </w:r>
            <w:r w:rsidR="00706795">
              <w:rPr>
                <w:rFonts w:ascii="Times New Roman" w:hAnsi="Times New Roman" w:cs="Times New Roman"/>
                <w:b/>
                <w:noProof/>
                <w:sz w:val="24"/>
                <w:szCs w:val="24"/>
              </w:rPr>
              <w:t>INTERPEACE</w:t>
            </w:r>
            <w:r w:rsidR="00706795">
              <w:rPr>
                <w:rFonts w:ascii="Times New Roman" w:hAnsi="Times New Roman" w:cs="Times New Roman"/>
                <w:b/>
                <w:sz w:val="24"/>
                <w:szCs w:val="24"/>
              </w:rPr>
              <w:fldChar w:fldCharType="end"/>
            </w:r>
            <w:bookmarkEnd w:id="4"/>
          </w:p>
          <w:p w14:paraId="0673E8AA" w14:textId="193F6AB8"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CD2513" w14:paraId="72CE853D" w14:textId="77777777" w:rsidTr="6595E2F0">
        <w:trPr>
          <w:trHeight w:val="368"/>
        </w:trPr>
        <w:tc>
          <w:tcPr>
            <w:tcW w:w="10080" w:type="dxa"/>
            <w:gridSpan w:val="2"/>
          </w:tcPr>
          <w:p w14:paraId="5C2804C5" w14:textId="40592064" w:rsidR="00793DE6" w:rsidRPr="000F43A8" w:rsidRDefault="000F43A8" w:rsidP="00F23D0F">
            <w:pPr>
              <w:rPr>
                <w:b/>
                <w:bCs/>
                <w:iCs/>
                <w:lang w:val="fr-FR"/>
              </w:rPr>
            </w:pPr>
            <w:r w:rsidRPr="000F43A8">
              <w:rPr>
                <w:b/>
                <w:bCs/>
                <w:iCs/>
                <w:lang w:val="fr-FR"/>
              </w:rPr>
              <w:t xml:space="preserve">Date du premier transfert de </w:t>
            </w:r>
            <w:r w:rsidR="00CD1A8C" w:rsidRPr="000F43A8">
              <w:rPr>
                <w:b/>
                <w:bCs/>
                <w:iCs/>
                <w:lang w:val="fr-FR"/>
              </w:rPr>
              <w:t>fonds :</w:t>
            </w:r>
            <w:r w:rsidR="00793DE6" w:rsidRPr="000F43A8">
              <w:rPr>
                <w:b/>
                <w:bCs/>
                <w:iCs/>
                <w:lang w:val="fr-FR"/>
              </w:rPr>
              <w:t xml:space="preserve"> </w:t>
            </w:r>
            <w:r w:rsidR="00CD1A8C" w:rsidRPr="00CD2513">
              <w:rPr>
                <w:iCs/>
                <w:lang w:val="fr-FR"/>
              </w:rPr>
              <w:t>9 mars 2020</w:t>
            </w:r>
          </w:p>
          <w:p w14:paraId="064BF427" w14:textId="02117F1C" w:rsidR="004D141E" w:rsidRPr="000F43A8" w:rsidRDefault="000F43A8" w:rsidP="00F23D0F">
            <w:pPr>
              <w:rPr>
                <w:bCs/>
                <w:iCs/>
                <w:snapToGrid w:val="0"/>
                <w:lang w:val="fr-FR"/>
              </w:rPr>
            </w:pPr>
            <w:r w:rsidRPr="000F43A8">
              <w:rPr>
                <w:b/>
                <w:bCs/>
                <w:iCs/>
                <w:lang w:val="fr-FR"/>
              </w:rPr>
              <w:t xml:space="preserve">Date de fin de </w:t>
            </w:r>
            <w:r w:rsidR="00CD1A8C" w:rsidRPr="000F43A8">
              <w:rPr>
                <w:b/>
                <w:bCs/>
                <w:iCs/>
                <w:lang w:val="fr-FR"/>
              </w:rPr>
              <w:t>projet :</w:t>
            </w:r>
            <w:r w:rsidR="00793DE6" w:rsidRPr="000F43A8">
              <w:rPr>
                <w:b/>
                <w:bCs/>
                <w:iCs/>
                <w:lang w:val="fr-FR"/>
              </w:rPr>
              <w:t xml:space="preserve"> </w:t>
            </w:r>
            <w:r w:rsidR="00F3475E" w:rsidRPr="00832474">
              <w:rPr>
                <w:iCs/>
                <w:lang w:val="fr-FR"/>
              </w:rPr>
              <w:t>30 mois</w:t>
            </w:r>
            <w:r w:rsidR="00F3475E">
              <w:rPr>
                <w:iCs/>
                <w:lang w:val="fr-FR"/>
              </w:rPr>
              <w:t xml:space="preserve"> </w:t>
            </w:r>
            <w:r w:rsidR="00F3475E" w:rsidRPr="00B213E7">
              <w:rPr>
                <w:iCs/>
                <w:color w:val="FF0000"/>
                <w:lang w:val="fr-FR"/>
              </w:rPr>
              <w:t xml:space="preserve">+ 6 mois </w:t>
            </w:r>
            <w:r w:rsidR="00F3475E">
              <w:rPr>
                <w:iCs/>
                <w:color w:val="FF0000"/>
                <w:lang w:val="fr-FR"/>
              </w:rPr>
              <w:t xml:space="preserve">(nouvelle date de fin 3 février 2023)  </w:t>
            </w:r>
            <w:r w:rsidR="0025220B" w:rsidRPr="000F43A8">
              <w:rPr>
                <w:bCs/>
                <w:iCs/>
                <w:snapToGrid w:val="0"/>
                <w:lang w:val="fr-FR"/>
              </w:rPr>
              <w:t xml:space="preserve">     </w:t>
            </w:r>
          </w:p>
          <w:p w14:paraId="2AE235F0" w14:textId="7F56882F"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CD1A8C" w:rsidRPr="000F43A8">
              <w:rPr>
                <w:b/>
                <w:iCs/>
                <w:snapToGrid w:val="0"/>
                <w:lang w:val="fr-FR"/>
              </w:rPr>
              <w:t>œuvre ?</w:t>
            </w:r>
            <w:r w:rsidR="0025220B" w:rsidRPr="000F43A8">
              <w:rPr>
                <w:bCs/>
                <w:iCs/>
                <w:snapToGrid w:val="0"/>
                <w:lang w:val="fr-FR"/>
              </w:rPr>
              <w:t xml:space="preserve"> </w:t>
            </w:r>
            <w:r w:rsidR="00CD1A8C">
              <w:rPr>
                <w:bCs/>
                <w:iCs/>
                <w:snapToGrid w:val="0"/>
                <w:lang w:val="fr-FR"/>
              </w:rPr>
              <w:t>Non</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3FF5A0FE"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CD1A8C">
              <w:rPr>
                <w:b/>
                <w:bCs/>
                <w:iCs/>
                <w:lang w:val="fr-FR"/>
              </w:rPr>
              <w:t>PBF</w:t>
            </w:r>
            <w:r w:rsidR="00CD1A8C" w:rsidRPr="005D721B">
              <w:rPr>
                <w:b/>
                <w:bCs/>
                <w:iCs/>
                <w:lang w:val="fr-FR"/>
              </w:rPr>
              <w:t xml:space="preserve"> :</w:t>
            </w:r>
          </w:p>
          <w:p w14:paraId="100F4267" w14:textId="4D2E0072" w:rsidR="000F43A8" w:rsidRPr="005D721B" w:rsidRDefault="00706795"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0D4328">
              <w:rPr>
                <w:lang w:val="fr-FR"/>
              </w:rPr>
            </w:r>
            <w:r w:rsidR="000D4328">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D4328">
              <w:rPr>
                <w:lang w:val="fr-FR"/>
              </w:rPr>
            </w:r>
            <w:r w:rsidR="000D4328">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D4328">
              <w:rPr>
                <w:lang w:val="fr-FR"/>
              </w:rPr>
            </w:r>
            <w:r w:rsidR="000D432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D4328">
              <w:rPr>
                <w:lang w:val="fr-FR"/>
              </w:rPr>
            </w:r>
            <w:r w:rsidR="000D4328">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CD2513" w14:paraId="65120CDF" w14:textId="77777777" w:rsidTr="6595E2F0">
        <w:trPr>
          <w:trHeight w:val="1124"/>
        </w:trPr>
        <w:tc>
          <w:tcPr>
            <w:tcW w:w="10080" w:type="dxa"/>
            <w:gridSpan w:val="2"/>
          </w:tcPr>
          <w:p w14:paraId="08D9EBF0" w14:textId="78D3FCE3"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1D1B22" w:rsidRPr="000F43A8">
              <w:rPr>
                <w:b/>
                <w:bCs/>
                <w:iCs/>
                <w:lang w:val="fr-FR"/>
              </w:rPr>
              <w:t>) :</w:t>
            </w:r>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CD2513" w14:paraId="3D65A18C" w14:textId="77777777" w:rsidTr="00445152">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284B3B" w:rsidRPr="00CD2513" w14:paraId="5F79C4FD" w14:textId="77777777" w:rsidTr="00445152">
              <w:tc>
                <w:tcPr>
                  <w:tcW w:w="3799" w:type="dxa"/>
                </w:tcPr>
                <w:p w14:paraId="7EF33D3D" w14:textId="18529EE4" w:rsidR="00284B3B" w:rsidRPr="000960DC" w:rsidRDefault="00284B3B" w:rsidP="00284B3B">
                  <w:pPr>
                    <w:rPr>
                      <w:b/>
                      <w:bCs/>
                      <w:iCs/>
                      <w:lang w:val="fr-FR"/>
                    </w:rPr>
                  </w:pPr>
                  <w:r>
                    <w:rPr>
                      <w:b/>
                      <w:bCs/>
                      <w:iCs/>
                      <w:lang w:val="fr-FR"/>
                    </w:rPr>
                    <w:t>HCDH</w:t>
                  </w:r>
                </w:p>
              </w:tc>
              <w:tc>
                <w:tcPr>
                  <w:tcW w:w="2018" w:type="dxa"/>
                </w:tcPr>
                <w:p w14:paraId="54815501" w14:textId="5ACDC218" w:rsidR="00284B3B" w:rsidRPr="00CD2513" w:rsidRDefault="00284B3B" w:rsidP="00284B3B">
                  <w:pPr>
                    <w:jc w:val="center"/>
                    <w:rPr>
                      <w:iCs/>
                      <w:lang w:val="fr-FR"/>
                    </w:rPr>
                  </w:pPr>
                  <w:r w:rsidRPr="00ED6B34">
                    <w:rPr>
                      <w:lang w:val="fr-FR"/>
                    </w:rPr>
                    <w:t>1,026,157.82</w:t>
                  </w:r>
                </w:p>
              </w:tc>
              <w:tc>
                <w:tcPr>
                  <w:tcW w:w="2018" w:type="dxa"/>
                </w:tcPr>
                <w:p w14:paraId="00A6ED58" w14:textId="03AE3C16" w:rsidR="00284B3B" w:rsidRPr="000960DC" w:rsidRDefault="00284B3B" w:rsidP="00284B3B">
                  <w:pPr>
                    <w:jc w:val="center"/>
                    <w:rPr>
                      <w:b/>
                      <w:bCs/>
                      <w:iCs/>
                      <w:lang w:val="fr-FR"/>
                    </w:rPr>
                  </w:pPr>
                  <w:r w:rsidRPr="00ED6B34">
                    <w:rPr>
                      <w:lang w:val="fr-FR"/>
                    </w:rPr>
                    <w:t>1,026,157.82</w:t>
                  </w:r>
                </w:p>
              </w:tc>
              <w:tc>
                <w:tcPr>
                  <w:tcW w:w="2019" w:type="dxa"/>
                </w:tcPr>
                <w:p w14:paraId="1EEC049D" w14:textId="566411FD" w:rsidR="00284B3B" w:rsidRPr="000960DC" w:rsidRDefault="00F3475E" w:rsidP="00284B3B">
                  <w:pPr>
                    <w:jc w:val="center"/>
                    <w:rPr>
                      <w:b/>
                      <w:bCs/>
                      <w:iCs/>
                      <w:lang w:val="fr-FR"/>
                    </w:rPr>
                  </w:pPr>
                  <w:r w:rsidRPr="00F3475E">
                    <w:rPr>
                      <w:lang w:eastAsia="zh-CN"/>
                    </w:rPr>
                    <w:t>730,581.04</w:t>
                  </w:r>
                  <w:r>
                    <w:rPr>
                      <w:rStyle w:val="FootnoteReference"/>
                      <w:b/>
                      <w:bCs/>
                      <w:iCs/>
                      <w:lang w:val="fr-FR"/>
                    </w:rPr>
                    <w:footnoteReference w:id="2"/>
                  </w:r>
                </w:p>
              </w:tc>
            </w:tr>
            <w:tr w:rsidR="00284B3B" w:rsidRPr="00CD2513" w14:paraId="0CD61B42" w14:textId="77777777" w:rsidTr="00445152">
              <w:tc>
                <w:tcPr>
                  <w:tcW w:w="3799" w:type="dxa"/>
                </w:tcPr>
                <w:p w14:paraId="5D870DF7" w14:textId="19E787A0" w:rsidR="00284B3B" w:rsidRPr="00B96298" w:rsidRDefault="00284B3B" w:rsidP="00CD2513">
                  <w:pPr>
                    <w:pStyle w:val="BalloonText"/>
                    <w:numPr>
                      <w:ilvl w:val="12"/>
                      <w:numId w:val="0"/>
                    </w:numPr>
                    <w:tabs>
                      <w:tab w:val="left" w:pos="-720"/>
                      <w:tab w:val="left" w:pos="4500"/>
                    </w:tabs>
                    <w:suppressAutoHyphens/>
                    <w:rPr>
                      <w:b/>
                      <w:bCs/>
                      <w:lang w:val="fr-FR"/>
                    </w:rPr>
                  </w:pPr>
                  <w:r w:rsidRPr="00CD2513">
                    <w:rPr>
                      <w:rFonts w:ascii="Times New Roman" w:hAnsi="Times New Roman"/>
                      <w:b/>
                      <w:bCs/>
                      <w:sz w:val="24"/>
                      <w:lang w:val="fr-FR"/>
                    </w:rPr>
                    <w:t>ONU-Femmes</w:t>
                  </w:r>
                </w:p>
              </w:tc>
              <w:tc>
                <w:tcPr>
                  <w:tcW w:w="2018" w:type="dxa"/>
                </w:tcPr>
                <w:p w14:paraId="212F9C0B" w14:textId="69F34E82" w:rsidR="00284B3B" w:rsidRPr="000960DC" w:rsidRDefault="00284B3B" w:rsidP="00284B3B">
                  <w:pPr>
                    <w:jc w:val="center"/>
                    <w:rPr>
                      <w:b/>
                      <w:bCs/>
                      <w:iCs/>
                      <w:lang w:val="fr-FR"/>
                    </w:rPr>
                  </w:pPr>
                  <w:r w:rsidRPr="00ED6B34">
                    <w:rPr>
                      <w:lang w:val="fr-FR"/>
                    </w:rPr>
                    <w:t>987,384.08</w:t>
                  </w:r>
                </w:p>
              </w:tc>
              <w:tc>
                <w:tcPr>
                  <w:tcW w:w="2018" w:type="dxa"/>
                </w:tcPr>
                <w:p w14:paraId="3A820745" w14:textId="4E43BD02" w:rsidR="00284B3B" w:rsidRPr="000960DC" w:rsidRDefault="00284B3B" w:rsidP="00284B3B">
                  <w:pPr>
                    <w:jc w:val="center"/>
                    <w:rPr>
                      <w:b/>
                      <w:bCs/>
                      <w:iCs/>
                      <w:lang w:val="fr-FR"/>
                    </w:rPr>
                  </w:pPr>
                  <w:r w:rsidRPr="00ED6B34">
                    <w:rPr>
                      <w:lang w:val="fr-FR"/>
                    </w:rPr>
                    <w:t>987,384.08</w:t>
                  </w:r>
                </w:p>
              </w:tc>
              <w:tc>
                <w:tcPr>
                  <w:tcW w:w="2019" w:type="dxa"/>
                </w:tcPr>
                <w:p w14:paraId="295DC187" w14:textId="3B29AAED" w:rsidR="00284B3B" w:rsidRPr="000960DC" w:rsidRDefault="00493779" w:rsidP="00284B3B">
                  <w:pPr>
                    <w:jc w:val="center"/>
                    <w:rPr>
                      <w:b/>
                      <w:bCs/>
                      <w:iCs/>
                      <w:lang w:val="fr-FR"/>
                    </w:rPr>
                  </w:pPr>
                  <w:r>
                    <w:rPr>
                      <w:b/>
                      <w:bCs/>
                      <w:iCs/>
                      <w:lang w:val="fr-FR"/>
                    </w:rPr>
                    <w:t>6</w:t>
                  </w:r>
                  <w:r w:rsidR="00D07C97">
                    <w:rPr>
                      <w:b/>
                      <w:bCs/>
                      <w:iCs/>
                      <w:lang w:val="fr-FR"/>
                    </w:rPr>
                    <w:t>4</w:t>
                  </w:r>
                  <w:r>
                    <w:rPr>
                      <w:b/>
                      <w:bCs/>
                      <w:iCs/>
                      <w:lang w:val="fr-FR"/>
                    </w:rPr>
                    <w:t xml:space="preserve">7 </w:t>
                  </w:r>
                  <w:r w:rsidR="00D07C97">
                    <w:rPr>
                      <w:b/>
                      <w:bCs/>
                      <w:iCs/>
                      <w:lang w:val="fr-FR"/>
                    </w:rPr>
                    <w:t>9</w:t>
                  </w:r>
                  <w:r>
                    <w:rPr>
                      <w:b/>
                      <w:bCs/>
                      <w:iCs/>
                      <w:lang w:val="fr-FR"/>
                    </w:rPr>
                    <w:t>00</w:t>
                  </w:r>
                </w:p>
              </w:tc>
            </w:tr>
            <w:tr w:rsidR="00284B3B" w:rsidRPr="00CD2513" w14:paraId="6D432D7C" w14:textId="77777777" w:rsidTr="00445152">
              <w:tc>
                <w:tcPr>
                  <w:tcW w:w="3799" w:type="dxa"/>
                </w:tcPr>
                <w:p w14:paraId="0CE063D5" w14:textId="3273AA6F" w:rsidR="00284B3B" w:rsidRPr="000960DC" w:rsidRDefault="00284B3B" w:rsidP="00284B3B">
                  <w:pPr>
                    <w:rPr>
                      <w:b/>
                      <w:bCs/>
                      <w:iCs/>
                      <w:lang w:val="fr-FR"/>
                    </w:rPr>
                  </w:pPr>
                  <w:r>
                    <w:rPr>
                      <w:b/>
                      <w:bCs/>
                      <w:iCs/>
                      <w:lang w:val="fr-FR"/>
                    </w:rPr>
                    <w:t>PNUD</w:t>
                  </w:r>
                </w:p>
              </w:tc>
              <w:tc>
                <w:tcPr>
                  <w:tcW w:w="2018" w:type="dxa"/>
                </w:tcPr>
                <w:p w14:paraId="1762A657" w14:textId="2351FC1D" w:rsidR="00284B3B" w:rsidRPr="000960DC" w:rsidRDefault="00284B3B" w:rsidP="00284B3B">
                  <w:pPr>
                    <w:jc w:val="center"/>
                    <w:rPr>
                      <w:b/>
                      <w:bCs/>
                      <w:iCs/>
                      <w:lang w:val="fr-FR"/>
                    </w:rPr>
                  </w:pPr>
                  <w:r w:rsidRPr="00ED6B34">
                    <w:rPr>
                      <w:bCs/>
                      <w:iCs/>
                      <w:snapToGrid w:val="0"/>
                      <w:lang w:val="fr-FR"/>
                    </w:rPr>
                    <w:t>1,000,017.72</w:t>
                  </w:r>
                </w:p>
              </w:tc>
              <w:tc>
                <w:tcPr>
                  <w:tcW w:w="2018" w:type="dxa"/>
                </w:tcPr>
                <w:p w14:paraId="3E9427C7" w14:textId="17B6C53A" w:rsidR="00284B3B" w:rsidRPr="000960DC" w:rsidRDefault="00284B3B" w:rsidP="00284B3B">
                  <w:pPr>
                    <w:jc w:val="center"/>
                    <w:rPr>
                      <w:b/>
                      <w:bCs/>
                      <w:iCs/>
                      <w:lang w:val="fr-FR"/>
                    </w:rPr>
                  </w:pPr>
                  <w:r w:rsidRPr="00ED6B34">
                    <w:rPr>
                      <w:bCs/>
                      <w:iCs/>
                      <w:snapToGrid w:val="0"/>
                      <w:lang w:val="fr-FR"/>
                    </w:rPr>
                    <w:t>1,000,017.72</w:t>
                  </w:r>
                </w:p>
              </w:tc>
              <w:tc>
                <w:tcPr>
                  <w:tcW w:w="2019" w:type="dxa"/>
                </w:tcPr>
                <w:p w14:paraId="54C6E4C5" w14:textId="6987C5B3" w:rsidR="00284B3B" w:rsidRPr="000960DC" w:rsidRDefault="00516468" w:rsidP="00284B3B">
                  <w:pPr>
                    <w:jc w:val="center"/>
                    <w:rPr>
                      <w:b/>
                      <w:bCs/>
                      <w:iCs/>
                      <w:lang w:val="fr-FR"/>
                    </w:rPr>
                  </w:pPr>
                  <w:r>
                    <w:rPr>
                      <w:b/>
                      <w:bCs/>
                      <w:sz w:val="20"/>
                      <w:szCs w:val="20"/>
                      <w:lang w:eastAsia="zh-CN"/>
                    </w:rPr>
                    <w:t>845,859,72</w:t>
                  </w:r>
                </w:p>
              </w:tc>
            </w:tr>
            <w:tr w:rsidR="00284B3B" w:rsidRPr="00CD2513" w14:paraId="62C096E1" w14:textId="77777777" w:rsidTr="00445152">
              <w:tc>
                <w:tcPr>
                  <w:tcW w:w="3799" w:type="dxa"/>
                </w:tcPr>
                <w:p w14:paraId="4534D8AB" w14:textId="62ACB081" w:rsidR="00284B3B" w:rsidRPr="000960DC" w:rsidRDefault="00284B3B" w:rsidP="00284B3B">
                  <w:pPr>
                    <w:rPr>
                      <w:b/>
                      <w:bCs/>
                      <w:iCs/>
                      <w:lang w:val="fr-FR"/>
                    </w:rPr>
                  </w:pPr>
                  <w:r>
                    <w:rPr>
                      <w:b/>
                      <w:bCs/>
                      <w:iCs/>
                      <w:lang w:val="fr-FR"/>
                    </w:rPr>
                    <w:t>INTERPEACE</w:t>
                  </w:r>
                </w:p>
              </w:tc>
              <w:tc>
                <w:tcPr>
                  <w:tcW w:w="2018" w:type="dxa"/>
                </w:tcPr>
                <w:p w14:paraId="1769043F" w14:textId="4F22DD9C" w:rsidR="00284B3B" w:rsidRPr="000960DC" w:rsidRDefault="00284B3B" w:rsidP="00284B3B">
                  <w:pPr>
                    <w:jc w:val="center"/>
                    <w:rPr>
                      <w:b/>
                      <w:bCs/>
                      <w:iCs/>
                      <w:lang w:val="fr-FR"/>
                    </w:rPr>
                  </w:pPr>
                  <w:r w:rsidRPr="00ED6B34">
                    <w:rPr>
                      <w:bCs/>
                      <w:iCs/>
                      <w:snapToGrid w:val="0"/>
                      <w:lang w:val="fr-FR"/>
                    </w:rPr>
                    <w:t>986,440.36</w:t>
                  </w:r>
                </w:p>
              </w:tc>
              <w:tc>
                <w:tcPr>
                  <w:tcW w:w="2018" w:type="dxa"/>
                </w:tcPr>
                <w:p w14:paraId="32D49C7C" w14:textId="59B91131" w:rsidR="00284B3B" w:rsidRPr="000960DC" w:rsidRDefault="00284B3B" w:rsidP="00284B3B">
                  <w:pPr>
                    <w:jc w:val="center"/>
                    <w:rPr>
                      <w:b/>
                      <w:bCs/>
                      <w:iCs/>
                      <w:lang w:val="fr-FR"/>
                    </w:rPr>
                  </w:pPr>
                  <w:r w:rsidRPr="00ED6B34">
                    <w:rPr>
                      <w:bCs/>
                      <w:iCs/>
                      <w:snapToGrid w:val="0"/>
                      <w:lang w:val="fr-FR"/>
                    </w:rPr>
                    <w:t>986,440.36</w:t>
                  </w:r>
                </w:p>
              </w:tc>
              <w:tc>
                <w:tcPr>
                  <w:tcW w:w="2019" w:type="dxa"/>
                </w:tcPr>
                <w:p w14:paraId="13306882" w14:textId="77777777" w:rsidR="00FA7C93" w:rsidRPr="00FA7C93" w:rsidRDefault="00FA7C93" w:rsidP="00FA7C93">
                  <w:pPr>
                    <w:jc w:val="center"/>
                  </w:pPr>
                  <w:r w:rsidRPr="00FA7C93">
                    <w:t>820</w:t>
                  </w:r>
                  <w:r>
                    <w:t>,</w:t>
                  </w:r>
                  <w:r w:rsidRPr="00FA7C93">
                    <w:t>292</w:t>
                  </w:r>
                  <w:r>
                    <w:t>.</w:t>
                  </w:r>
                  <w:r w:rsidRPr="00FA7C93">
                    <w:t>74</w:t>
                  </w:r>
                </w:p>
                <w:p w14:paraId="21841259" w14:textId="77777777" w:rsidR="00284B3B" w:rsidRPr="000960DC" w:rsidRDefault="00284B3B" w:rsidP="00F3475E">
                  <w:pPr>
                    <w:rPr>
                      <w:b/>
                      <w:bCs/>
                      <w:iCs/>
                      <w:lang w:val="fr-FR"/>
                    </w:rPr>
                  </w:pPr>
                </w:p>
              </w:tc>
            </w:tr>
            <w:tr w:rsidR="00284B3B" w:rsidRPr="00CD2513" w14:paraId="2D0EA8FE" w14:textId="77777777" w:rsidTr="00445152">
              <w:tc>
                <w:tcPr>
                  <w:tcW w:w="3799" w:type="dxa"/>
                </w:tcPr>
                <w:p w14:paraId="3D976DCB" w14:textId="77777777" w:rsidR="00284B3B" w:rsidRPr="000960DC" w:rsidRDefault="00284B3B" w:rsidP="00284B3B">
                  <w:pPr>
                    <w:rPr>
                      <w:b/>
                      <w:bCs/>
                      <w:iCs/>
                      <w:lang w:val="fr-FR"/>
                    </w:rPr>
                  </w:pPr>
                  <w:r w:rsidRPr="000960DC">
                    <w:rPr>
                      <w:b/>
                      <w:bCs/>
                      <w:iCs/>
                      <w:lang w:val="fr-FR"/>
                    </w:rPr>
                    <w:t>TOTAL</w:t>
                  </w:r>
                </w:p>
              </w:tc>
              <w:tc>
                <w:tcPr>
                  <w:tcW w:w="2018" w:type="dxa"/>
                </w:tcPr>
                <w:p w14:paraId="755BE03B" w14:textId="3F1748C2" w:rsidR="00284B3B" w:rsidRPr="000960DC" w:rsidRDefault="00284B3B" w:rsidP="00284B3B">
                  <w:pPr>
                    <w:jc w:val="center"/>
                    <w:rPr>
                      <w:b/>
                      <w:bCs/>
                      <w:iCs/>
                      <w:lang w:val="fr-FR"/>
                    </w:rPr>
                  </w:pPr>
                  <w:r w:rsidRPr="00284B3B">
                    <w:rPr>
                      <w:b/>
                      <w:bCs/>
                      <w:iCs/>
                      <w:lang w:val="fr-FR"/>
                    </w:rPr>
                    <w:t>3,999,999.98</w:t>
                  </w:r>
                </w:p>
              </w:tc>
              <w:tc>
                <w:tcPr>
                  <w:tcW w:w="2018" w:type="dxa"/>
                </w:tcPr>
                <w:p w14:paraId="60B62F51" w14:textId="2BD57DD0" w:rsidR="00284B3B" w:rsidRPr="000960DC" w:rsidRDefault="00284B3B" w:rsidP="00284B3B">
                  <w:pPr>
                    <w:jc w:val="center"/>
                    <w:rPr>
                      <w:b/>
                      <w:bCs/>
                      <w:iCs/>
                      <w:lang w:val="fr-FR"/>
                    </w:rPr>
                  </w:pPr>
                  <w:r w:rsidRPr="00284B3B">
                    <w:rPr>
                      <w:b/>
                      <w:bCs/>
                      <w:iCs/>
                      <w:lang w:val="fr-FR"/>
                    </w:rPr>
                    <w:t>3,999,999.98</w:t>
                  </w:r>
                </w:p>
              </w:tc>
              <w:tc>
                <w:tcPr>
                  <w:tcW w:w="2019" w:type="dxa"/>
                </w:tcPr>
                <w:p w14:paraId="4842283E" w14:textId="201CDEF2" w:rsidR="00284B3B" w:rsidRPr="000960DC" w:rsidRDefault="00F3475E" w:rsidP="00284B3B">
                  <w:pPr>
                    <w:jc w:val="center"/>
                    <w:rPr>
                      <w:b/>
                      <w:bCs/>
                      <w:iCs/>
                      <w:lang w:val="fr-FR"/>
                    </w:rPr>
                  </w:pPr>
                  <w:r w:rsidRPr="00F3475E">
                    <w:rPr>
                      <w:b/>
                      <w:bCs/>
                      <w:lang w:eastAsia="zh-CN"/>
                    </w:rPr>
                    <w:t>3,0</w:t>
                  </w:r>
                  <w:r w:rsidR="00D07C97">
                    <w:rPr>
                      <w:b/>
                      <w:bCs/>
                      <w:lang w:eastAsia="zh-CN"/>
                    </w:rPr>
                    <w:t>46</w:t>
                  </w:r>
                  <w:r w:rsidRPr="00F3475E">
                    <w:rPr>
                      <w:b/>
                      <w:bCs/>
                      <w:lang w:eastAsia="zh-CN"/>
                    </w:rPr>
                    <w:t>,</w:t>
                  </w:r>
                  <w:r w:rsidR="00D07C97">
                    <w:rPr>
                      <w:b/>
                      <w:bCs/>
                      <w:lang w:eastAsia="zh-CN"/>
                    </w:rPr>
                    <w:t>066</w:t>
                  </w:r>
                  <w:r w:rsidRPr="00F3475E">
                    <w:rPr>
                      <w:b/>
                      <w:bCs/>
                      <w:lang w:eastAsia="zh-CN"/>
                    </w:rPr>
                    <w:t>.</w:t>
                  </w:r>
                  <w:r w:rsidR="00D07C97">
                    <w:rPr>
                      <w:b/>
                      <w:bCs/>
                      <w:lang w:eastAsia="zh-CN"/>
                    </w:rPr>
                    <w:t>49</w:t>
                  </w:r>
                </w:p>
              </w:tc>
            </w:tr>
          </w:tbl>
          <w:p w14:paraId="374E19D6" w14:textId="77777777" w:rsidR="001A2539" w:rsidRPr="001A2539" w:rsidRDefault="001A2539" w:rsidP="00F23D0F">
            <w:pPr>
              <w:rPr>
                <w:iCs/>
                <w:lang w:val="fr-FR"/>
              </w:rPr>
            </w:pPr>
          </w:p>
          <w:p w14:paraId="5324AF29" w14:textId="6340A211" w:rsidR="001C56B8" w:rsidRPr="000960DC"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CF4979">
              <w:rPr>
                <w:rFonts w:ascii="Times New Roman" w:hAnsi="Times New Roman" w:cs="Times New Roman"/>
                <w:bCs/>
                <w:iCs/>
                <w:snapToGrid w:val="0"/>
                <w:sz w:val="24"/>
                <w:szCs w:val="24"/>
                <w:lang w:val="fr-FR"/>
              </w:rPr>
              <w:t>projet</w:t>
            </w:r>
            <w:r w:rsidR="00CF4979"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712FFA">
              <w:rPr>
                <w:rFonts w:ascii="Times New Roman" w:hAnsi="Times New Roman" w:cs="Times New Roman"/>
                <w:bCs/>
                <w:iCs/>
                <w:snapToGrid w:val="0"/>
                <w:sz w:val="24"/>
                <w:szCs w:val="24"/>
              </w:rPr>
              <w:t>76%</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lastRenderedPageBreak/>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5C0FB4D9" w:rsidR="001A2539" w:rsidRPr="00CD2513" w:rsidRDefault="00B96298" w:rsidP="001A2539">
            <w:pPr>
              <w:pStyle w:val="BalloonText"/>
              <w:numPr>
                <w:ilvl w:val="12"/>
                <w:numId w:val="0"/>
              </w:numPr>
              <w:tabs>
                <w:tab w:val="left" w:pos="-720"/>
                <w:tab w:val="left" w:pos="4500"/>
              </w:tabs>
              <w:suppressAutoHyphens/>
              <w:rPr>
                <w:rFonts w:ascii="Times New Roman" w:hAnsi="Times New Roman" w:cs="Times New Roman"/>
                <w:b/>
                <w:bCs/>
                <w:sz w:val="22"/>
                <w:szCs w:val="22"/>
                <w:lang w:val="fr-FR"/>
              </w:rPr>
            </w:pPr>
            <w:r w:rsidRPr="00CD2513">
              <w:rPr>
                <w:rFonts w:ascii="Times New Roman" w:hAnsi="Times New Roman" w:cs="Times New Roman"/>
                <w:b/>
                <w:bCs/>
                <w:sz w:val="22"/>
                <w:szCs w:val="22"/>
                <w:lang w:val="fr-FR"/>
              </w:rPr>
              <w:t>Budgétisation</w:t>
            </w:r>
            <w:r w:rsidR="000F43A8" w:rsidRPr="00CD2513">
              <w:rPr>
                <w:rFonts w:ascii="Times New Roman" w:hAnsi="Times New Roman" w:cs="Times New Roman"/>
                <w:b/>
                <w:bCs/>
                <w:sz w:val="22"/>
                <w:szCs w:val="22"/>
                <w:lang w:val="fr-FR"/>
              </w:rPr>
              <w:t xml:space="preserve"> sensible au </w:t>
            </w:r>
            <w:r w:rsidR="00F875C4" w:rsidRPr="00CD2513">
              <w:rPr>
                <w:rFonts w:ascii="Times New Roman" w:hAnsi="Times New Roman" w:cs="Times New Roman"/>
                <w:b/>
                <w:bCs/>
                <w:sz w:val="22"/>
                <w:szCs w:val="22"/>
                <w:lang w:val="fr-FR"/>
              </w:rPr>
              <w:t>genre :</w:t>
            </w:r>
          </w:p>
          <w:p w14:paraId="77C1BA9F" w14:textId="77777777" w:rsidR="001A2539" w:rsidRPr="00CD2513" w:rsidRDefault="001A2539" w:rsidP="001A2539">
            <w:pPr>
              <w:pStyle w:val="BalloonText"/>
              <w:numPr>
                <w:ilvl w:val="12"/>
                <w:numId w:val="0"/>
              </w:numPr>
              <w:tabs>
                <w:tab w:val="left" w:pos="-720"/>
                <w:tab w:val="left" w:pos="4500"/>
              </w:tabs>
              <w:suppressAutoHyphens/>
              <w:rPr>
                <w:rFonts w:ascii="Times New Roman" w:hAnsi="Times New Roman" w:cs="Times New Roman"/>
                <w:b/>
                <w:bCs/>
                <w:sz w:val="22"/>
                <w:szCs w:val="22"/>
                <w:lang w:val="fr-FR"/>
              </w:rPr>
            </w:pPr>
          </w:p>
          <w:p w14:paraId="6E8E032C" w14:textId="2E8BDE18" w:rsidR="001A2539" w:rsidRPr="00CD2513" w:rsidRDefault="001A2539" w:rsidP="6595E2F0">
            <w:pPr>
              <w:pStyle w:val="BalloonText"/>
              <w:tabs>
                <w:tab w:val="left" w:pos="4500"/>
              </w:tabs>
              <w:suppressAutoHyphens/>
              <w:rPr>
                <w:rFonts w:ascii="Times New Roman" w:hAnsi="Times New Roman" w:cs="Times New Roman"/>
                <w:sz w:val="22"/>
                <w:szCs w:val="22"/>
                <w:lang w:val="fr-FR"/>
              </w:rPr>
            </w:pPr>
            <w:r w:rsidRPr="00CD2513">
              <w:rPr>
                <w:rFonts w:ascii="Times New Roman" w:hAnsi="Times New Roman" w:cs="Times New Roman"/>
                <w:sz w:val="22"/>
                <w:szCs w:val="22"/>
                <w:lang w:val="fr-FR"/>
              </w:rPr>
              <w:t xml:space="preserve">Indiquez quel pourcentage (%) du budget contribuant </w:t>
            </w:r>
            <w:r w:rsidR="6595E2F0" w:rsidRPr="00CD2513">
              <w:rPr>
                <w:rFonts w:ascii="Times New Roman" w:hAnsi="Times New Roman" w:cs="Times New Roman"/>
                <w:sz w:val="22"/>
                <w:szCs w:val="22"/>
                <w:lang w:val="fr-FR"/>
              </w:rPr>
              <w:t>à</w:t>
            </w:r>
            <w:r w:rsidRPr="00CD2513">
              <w:rPr>
                <w:rFonts w:ascii="Times New Roman" w:hAnsi="Times New Roman" w:cs="Times New Roman"/>
                <w:sz w:val="22"/>
                <w:szCs w:val="22"/>
                <w:lang w:val="fr-FR"/>
              </w:rPr>
              <w:t xml:space="preserve"> l'égalité des sexes ou l'autonomisation des femmes (GEWE) ?</w:t>
            </w:r>
            <w:r w:rsidR="00445152" w:rsidRPr="00CD2513">
              <w:rPr>
                <w:rFonts w:ascii="Times New Roman" w:hAnsi="Times New Roman" w:cs="Times New Roman"/>
                <w:sz w:val="22"/>
                <w:szCs w:val="22"/>
                <w:lang w:val="fr-FR"/>
              </w:rPr>
              <w:fldChar w:fldCharType="begin">
                <w:ffData>
                  <w:name w:val="Text53"/>
                  <w:enabled/>
                  <w:calcOnExit w:val="0"/>
                  <w:textInput>
                    <w:default w:val="24,68"/>
                  </w:textInput>
                </w:ffData>
              </w:fldChar>
            </w:r>
            <w:r w:rsidR="00445152" w:rsidRPr="00CD2513">
              <w:rPr>
                <w:rFonts w:ascii="Times New Roman" w:hAnsi="Times New Roman" w:cs="Times New Roman"/>
                <w:sz w:val="22"/>
                <w:szCs w:val="22"/>
                <w:lang w:val="fr-FR"/>
              </w:rPr>
              <w:instrText xml:space="preserve"> </w:instrText>
            </w:r>
            <w:bookmarkStart w:id="5" w:name="Text53"/>
            <w:r w:rsidR="00445152" w:rsidRPr="00CD2513">
              <w:rPr>
                <w:rFonts w:ascii="Times New Roman" w:hAnsi="Times New Roman" w:cs="Times New Roman"/>
                <w:sz w:val="22"/>
                <w:szCs w:val="22"/>
                <w:lang w:val="fr-FR"/>
              </w:rPr>
              <w:instrText xml:space="preserve">FORMTEXT </w:instrText>
            </w:r>
            <w:r w:rsidR="00445152" w:rsidRPr="00CD2513">
              <w:rPr>
                <w:rFonts w:ascii="Times New Roman" w:hAnsi="Times New Roman" w:cs="Times New Roman"/>
                <w:sz w:val="22"/>
                <w:szCs w:val="22"/>
                <w:lang w:val="fr-FR"/>
              </w:rPr>
            </w:r>
            <w:r w:rsidR="00445152" w:rsidRPr="00CD2513">
              <w:rPr>
                <w:rFonts w:ascii="Times New Roman" w:hAnsi="Times New Roman" w:cs="Times New Roman"/>
                <w:sz w:val="22"/>
                <w:szCs w:val="22"/>
                <w:lang w:val="fr-FR"/>
              </w:rPr>
              <w:fldChar w:fldCharType="separate"/>
            </w:r>
            <w:r w:rsidR="00445152" w:rsidRPr="00CD2513">
              <w:rPr>
                <w:rFonts w:ascii="Times New Roman" w:hAnsi="Times New Roman" w:cs="Times New Roman"/>
                <w:noProof/>
                <w:sz w:val="22"/>
                <w:szCs w:val="22"/>
                <w:lang w:val="fr-FR"/>
              </w:rPr>
              <w:t>24,68</w:t>
            </w:r>
            <w:r w:rsidR="00445152" w:rsidRPr="00CD2513">
              <w:rPr>
                <w:rFonts w:ascii="Times New Roman" w:hAnsi="Times New Roman" w:cs="Times New Roman"/>
                <w:sz w:val="22"/>
                <w:szCs w:val="22"/>
                <w:lang w:val="fr-FR"/>
              </w:rPr>
              <w:fldChar w:fldCharType="end"/>
            </w:r>
            <w:bookmarkEnd w:id="5"/>
          </w:p>
          <w:p w14:paraId="3B688265" w14:textId="77777777" w:rsidR="001A2539" w:rsidRPr="00CD2513" w:rsidRDefault="001A2539" w:rsidP="001A2539">
            <w:pPr>
              <w:pStyle w:val="BalloonText"/>
              <w:numPr>
                <w:ilvl w:val="12"/>
                <w:numId w:val="0"/>
              </w:numPr>
              <w:tabs>
                <w:tab w:val="left" w:pos="-720"/>
                <w:tab w:val="left" w:pos="4500"/>
              </w:tabs>
              <w:suppressAutoHyphens/>
              <w:rPr>
                <w:rFonts w:ascii="Times New Roman" w:hAnsi="Times New Roman" w:cs="Times New Roman"/>
                <w:sz w:val="22"/>
                <w:szCs w:val="22"/>
                <w:lang w:val="fr-FR"/>
              </w:rPr>
            </w:pPr>
          </w:p>
          <w:p w14:paraId="70C2EA9C" w14:textId="2877F776" w:rsidR="00970F4C" w:rsidRPr="00CD2513" w:rsidRDefault="000F43A8" w:rsidP="6595E2F0">
            <w:pPr>
              <w:pStyle w:val="BalloonText"/>
              <w:tabs>
                <w:tab w:val="left" w:pos="4500"/>
              </w:tabs>
              <w:suppressAutoHyphens/>
              <w:rPr>
                <w:rFonts w:ascii="Times New Roman" w:hAnsi="Times New Roman" w:cs="Times New Roman"/>
                <w:sz w:val="22"/>
                <w:szCs w:val="22"/>
                <w:lang w:val="fr-FR"/>
              </w:rPr>
            </w:pPr>
            <w:r w:rsidRPr="00CD2513">
              <w:rPr>
                <w:rFonts w:ascii="Times New Roman" w:hAnsi="Times New Roman" w:cs="Times New Roman"/>
                <w:sz w:val="22"/>
                <w:szCs w:val="22"/>
                <w:lang w:val="fr-FR"/>
              </w:rPr>
              <w:t xml:space="preserve">Indiquez le montant ($) du budget dans le document de projet </w:t>
            </w:r>
            <w:r w:rsidR="001A2539" w:rsidRPr="00CD2513">
              <w:rPr>
                <w:rFonts w:ascii="Times New Roman" w:hAnsi="Times New Roman" w:cs="Times New Roman"/>
                <w:sz w:val="22"/>
                <w:szCs w:val="22"/>
                <w:lang w:val="fr-FR"/>
              </w:rPr>
              <w:t xml:space="preserve">contribuant </w:t>
            </w:r>
            <w:r w:rsidRPr="00CD2513">
              <w:rPr>
                <w:rFonts w:ascii="Times New Roman" w:hAnsi="Times New Roman" w:cs="Times New Roman"/>
                <w:sz w:val="22"/>
                <w:szCs w:val="22"/>
                <w:lang w:val="fr-FR"/>
              </w:rPr>
              <w:t xml:space="preserve">à l’égalité des sexes ou à l’autonomisation des </w:t>
            </w:r>
            <w:r w:rsidR="00F875C4" w:rsidRPr="00CD2513">
              <w:rPr>
                <w:rFonts w:ascii="Times New Roman" w:hAnsi="Times New Roman" w:cs="Times New Roman"/>
                <w:sz w:val="22"/>
                <w:szCs w:val="22"/>
                <w:lang w:val="fr-FR"/>
              </w:rPr>
              <w:t>femmes :</w:t>
            </w:r>
            <w:r w:rsidR="00970F4C" w:rsidRPr="00CD2513">
              <w:rPr>
                <w:rFonts w:ascii="Times New Roman" w:hAnsi="Times New Roman" w:cs="Times New Roman"/>
                <w:sz w:val="22"/>
                <w:szCs w:val="22"/>
                <w:lang w:val="fr-FR"/>
              </w:rPr>
              <w:t xml:space="preserve"> </w:t>
            </w:r>
            <w:r w:rsidR="00284B3B" w:rsidRPr="00CD2513">
              <w:rPr>
                <w:rFonts w:ascii="Times New Roman" w:hAnsi="Times New Roman" w:cs="Times New Roman"/>
                <w:sz w:val="22"/>
                <w:szCs w:val="22"/>
              </w:rPr>
              <w:fldChar w:fldCharType="begin">
                <w:ffData>
                  <w:name w:val="Text1"/>
                  <w:enabled/>
                  <w:calcOnExit w:val="0"/>
                  <w:textInput>
                    <w:type w:val="number"/>
                    <w:default w:val="987384.08"/>
                    <w:maxLength w:val="500"/>
                    <w:format w:val="0.00"/>
                  </w:textInput>
                </w:ffData>
              </w:fldChar>
            </w:r>
            <w:r w:rsidR="00284B3B" w:rsidRPr="00CD2513">
              <w:rPr>
                <w:rFonts w:ascii="Times New Roman" w:hAnsi="Times New Roman" w:cs="Times New Roman"/>
                <w:sz w:val="22"/>
                <w:szCs w:val="22"/>
                <w:lang w:val="fr-FR"/>
              </w:rPr>
              <w:instrText xml:space="preserve"> </w:instrText>
            </w:r>
            <w:bookmarkStart w:id="6" w:name="Text1"/>
            <w:r w:rsidR="00284B3B" w:rsidRPr="00CD2513">
              <w:rPr>
                <w:rFonts w:ascii="Times New Roman" w:hAnsi="Times New Roman" w:cs="Times New Roman"/>
                <w:sz w:val="22"/>
                <w:szCs w:val="22"/>
                <w:lang w:val="fr-FR"/>
              </w:rPr>
              <w:instrText xml:space="preserve">FORMTEXT </w:instrText>
            </w:r>
            <w:r w:rsidR="00284B3B" w:rsidRPr="00CD2513">
              <w:rPr>
                <w:rFonts w:ascii="Times New Roman" w:hAnsi="Times New Roman" w:cs="Times New Roman"/>
                <w:sz w:val="22"/>
                <w:szCs w:val="22"/>
              </w:rPr>
            </w:r>
            <w:r w:rsidR="00284B3B" w:rsidRPr="00CD2513">
              <w:rPr>
                <w:rFonts w:ascii="Times New Roman" w:hAnsi="Times New Roman" w:cs="Times New Roman"/>
                <w:sz w:val="22"/>
                <w:szCs w:val="22"/>
              </w:rPr>
              <w:fldChar w:fldCharType="separate"/>
            </w:r>
            <w:r w:rsidR="00284B3B" w:rsidRPr="00CD2513">
              <w:rPr>
                <w:rFonts w:ascii="Times New Roman" w:hAnsi="Times New Roman" w:cs="Times New Roman"/>
                <w:noProof/>
                <w:sz w:val="22"/>
                <w:szCs w:val="22"/>
                <w:lang w:val="fr-FR"/>
              </w:rPr>
              <w:t>987384.08</w:t>
            </w:r>
            <w:r w:rsidR="00284B3B" w:rsidRPr="00CD2513">
              <w:rPr>
                <w:rFonts w:ascii="Times New Roman" w:hAnsi="Times New Roman" w:cs="Times New Roman"/>
                <w:sz w:val="22"/>
                <w:szCs w:val="22"/>
              </w:rPr>
              <w:fldChar w:fldCharType="end"/>
            </w:r>
            <w:bookmarkEnd w:id="6"/>
          </w:p>
          <w:p w14:paraId="708C1084" w14:textId="77777777" w:rsidR="001A2539" w:rsidRPr="00CD2513" w:rsidRDefault="001A2539" w:rsidP="001A2539">
            <w:pPr>
              <w:pStyle w:val="BalloonText"/>
              <w:numPr>
                <w:ilvl w:val="12"/>
                <w:numId w:val="0"/>
              </w:numPr>
              <w:tabs>
                <w:tab w:val="left" w:pos="-720"/>
                <w:tab w:val="left" w:pos="4500"/>
              </w:tabs>
              <w:suppressAutoHyphens/>
              <w:rPr>
                <w:rFonts w:ascii="Times New Roman" w:hAnsi="Times New Roman" w:cs="Times New Roman"/>
                <w:sz w:val="22"/>
                <w:szCs w:val="22"/>
                <w:lang w:val="fr-FR"/>
              </w:rPr>
            </w:pPr>
          </w:p>
          <w:p w14:paraId="639EFB0D" w14:textId="14DEF15D" w:rsidR="00952DE4" w:rsidRPr="001A2539" w:rsidRDefault="000F43A8" w:rsidP="6595E2F0">
            <w:pPr>
              <w:rPr>
                <w:rFonts w:asciiTheme="minorHAnsi" w:hAnsiTheme="minorHAnsi" w:cstheme="minorBidi"/>
                <w:lang w:val="fr-FR"/>
              </w:rPr>
            </w:pPr>
            <w:r w:rsidRPr="00CD2513">
              <w:rPr>
                <w:sz w:val="22"/>
                <w:szCs w:val="22"/>
                <w:lang w:val="fr-FR"/>
              </w:rPr>
              <w:t xml:space="preserve">Indiquez le montant ($) du budget dépensé jusqu’à maintenant contribuant à l’égalité des sexes ou à l’autonomisation des </w:t>
            </w:r>
            <w:r w:rsidR="00F875C4" w:rsidRPr="00CD2513">
              <w:rPr>
                <w:sz w:val="22"/>
                <w:szCs w:val="22"/>
                <w:lang w:val="fr-FR"/>
              </w:rPr>
              <w:t>femmes :</w:t>
            </w:r>
            <w:r w:rsidR="00006EC0" w:rsidRPr="00CD2513">
              <w:rPr>
                <w:sz w:val="22"/>
                <w:szCs w:val="22"/>
                <w:lang w:val="fr-FR"/>
              </w:rPr>
              <w:t xml:space="preserve"> </w:t>
            </w:r>
            <w:r w:rsidR="00D07C97">
              <w:rPr>
                <w:sz w:val="22"/>
                <w:szCs w:val="22"/>
              </w:rPr>
              <w:fldChar w:fldCharType="begin">
                <w:ffData>
                  <w:name w:val=""/>
                  <w:enabled/>
                  <w:calcOnExit w:val="0"/>
                  <w:textInput>
                    <w:type w:val="number"/>
                    <w:default w:val="647900.00"/>
                    <w:maxLength w:val="500"/>
                    <w:format w:val="0.00"/>
                  </w:textInput>
                </w:ffData>
              </w:fldChar>
            </w:r>
            <w:r w:rsidR="00D07C97">
              <w:rPr>
                <w:sz w:val="22"/>
                <w:szCs w:val="22"/>
              </w:rPr>
              <w:instrText xml:space="preserve"> FORMTEXT </w:instrText>
            </w:r>
            <w:r w:rsidR="00D07C97">
              <w:rPr>
                <w:sz w:val="22"/>
                <w:szCs w:val="22"/>
              </w:rPr>
            </w:r>
            <w:r w:rsidR="00D07C97">
              <w:rPr>
                <w:sz w:val="22"/>
                <w:szCs w:val="22"/>
              </w:rPr>
              <w:fldChar w:fldCharType="separate"/>
            </w:r>
            <w:r w:rsidR="00D07C97">
              <w:rPr>
                <w:noProof/>
                <w:sz w:val="22"/>
                <w:szCs w:val="22"/>
              </w:rPr>
              <w:t>647900.00</w:t>
            </w:r>
            <w:r w:rsidR="00D07C97">
              <w:rPr>
                <w:sz w:val="22"/>
                <w:szCs w:val="22"/>
              </w:rPr>
              <w:fldChar w:fldCharType="end"/>
            </w:r>
          </w:p>
        </w:tc>
      </w:tr>
      <w:tr w:rsidR="009B18EB" w:rsidRPr="00CD2513" w14:paraId="0DF7F010" w14:textId="77777777" w:rsidTr="6595E2F0">
        <w:trPr>
          <w:trHeight w:val="1124"/>
        </w:trPr>
        <w:tc>
          <w:tcPr>
            <w:tcW w:w="10080" w:type="dxa"/>
            <w:gridSpan w:val="2"/>
          </w:tcPr>
          <w:p w14:paraId="0084A294" w14:textId="508194A9" w:rsidR="009B18EB" w:rsidRPr="000F43A8" w:rsidRDefault="000F43A8" w:rsidP="00F23D0F">
            <w:pPr>
              <w:rPr>
                <w:b/>
                <w:bCs/>
                <w:iCs/>
                <w:lang w:val="fr-FR"/>
              </w:rPr>
            </w:pPr>
            <w:r w:rsidRPr="000F43A8">
              <w:rPr>
                <w:b/>
                <w:bCs/>
                <w:iCs/>
                <w:lang w:val="fr-FR"/>
              </w:rPr>
              <w:lastRenderedPageBreak/>
              <w:t xml:space="preserve">Marquer de genre du </w:t>
            </w:r>
            <w:r w:rsidR="00F875C4" w:rsidRPr="000F43A8">
              <w:rPr>
                <w:b/>
                <w:bCs/>
                <w:iCs/>
                <w:lang w:val="fr-FR"/>
              </w:rPr>
              <w:t>projet :</w:t>
            </w:r>
            <w:r w:rsidR="009B18EB" w:rsidRPr="000F43A8">
              <w:rPr>
                <w:b/>
                <w:bCs/>
                <w:iCs/>
                <w:lang w:val="fr-FR"/>
              </w:rPr>
              <w:t xml:space="preserve"> </w:t>
            </w:r>
            <w:r w:rsidR="00F875C4">
              <w:rPr>
                <w:b/>
                <w:bCs/>
                <w:iCs/>
              </w:rPr>
              <w:fldChar w:fldCharType="begin">
                <w:ffData>
                  <w:name w:val="gendermarker"/>
                  <w:enabled/>
                  <w:calcOnExit w:val="0"/>
                  <w:ddList>
                    <w:listEntry w:val="GM2"/>
                    <w:listEntry w:val="Veuillez sélectionner"/>
                    <w:listEntry w:val="GM3"/>
                    <w:listEntry w:val="GM1"/>
                  </w:ddList>
                </w:ffData>
              </w:fldChar>
            </w:r>
            <w:r w:rsidR="00F875C4" w:rsidRPr="00CD2513">
              <w:rPr>
                <w:b/>
                <w:bCs/>
                <w:iCs/>
                <w:lang w:val="fr-FR"/>
              </w:rPr>
              <w:instrText xml:space="preserve"> </w:instrText>
            </w:r>
            <w:bookmarkStart w:id="7" w:name="gendermarker"/>
            <w:r w:rsidR="00F875C4" w:rsidRPr="00CD2513">
              <w:rPr>
                <w:b/>
                <w:bCs/>
                <w:iCs/>
                <w:lang w:val="fr-FR"/>
              </w:rPr>
              <w:instrText xml:space="preserve">FORMDROPDOWN </w:instrText>
            </w:r>
            <w:r w:rsidR="000D4328">
              <w:rPr>
                <w:b/>
                <w:bCs/>
                <w:iCs/>
              </w:rPr>
            </w:r>
            <w:r w:rsidR="000D4328">
              <w:rPr>
                <w:b/>
                <w:bCs/>
                <w:iCs/>
              </w:rPr>
              <w:fldChar w:fldCharType="separate"/>
            </w:r>
            <w:r w:rsidR="00F875C4">
              <w:rPr>
                <w:b/>
                <w:bCs/>
                <w:iCs/>
              </w:rPr>
              <w:fldChar w:fldCharType="end"/>
            </w:r>
            <w:bookmarkEnd w:id="7"/>
          </w:p>
          <w:p w14:paraId="7B5DB9E4" w14:textId="5DE1FA15" w:rsidR="009B18EB" w:rsidRPr="000F43A8" w:rsidRDefault="000F43A8" w:rsidP="00F23D0F">
            <w:pPr>
              <w:rPr>
                <w:b/>
                <w:bCs/>
                <w:iCs/>
                <w:lang w:val="fr-FR"/>
              </w:rPr>
            </w:pPr>
            <w:r w:rsidRPr="000F43A8">
              <w:rPr>
                <w:b/>
                <w:bCs/>
                <w:iCs/>
                <w:lang w:val="fr-FR"/>
              </w:rPr>
              <w:t xml:space="preserve">Marquer de risque du </w:t>
            </w:r>
            <w:r w:rsidR="00F875C4" w:rsidRPr="000F43A8">
              <w:rPr>
                <w:b/>
                <w:bCs/>
                <w:iCs/>
                <w:lang w:val="fr-FR"/>
              </w:rPr>
              <w:t>projet :</w:t>
            </w:r>
            <w:r w:rsidR="009B18EB" w:rsidRPr="000F43A8">
              <w:rPr>
                <w:b/>
                <w:bCs/>
                <w:iCs/>
                <w:lang w:val="fr-FR"/>
              </w:rPr>
              <w:t xml:space="preserve"> </w:t>
            </w:r>
            <w:r w:rsidR="00F875C4">
              <w:rPr>
                <w:b/>
                <w:bCs/>
                <w:iCs/>
              </w:rPr>
              <w:fldChar w:fldCharType="begin">
                <w:ffData>
                  <w:name w:val="riskmarker"/>
                  <w:enabled/>
                  <w:calcOnExit w:val="0"/>
                  <w:ddList>
                    <w:listEntry w:val="Faible"/>
                    <w:listEntry w:val="Veuillez sélectionner"/>
                    <w:listEntry w:val="Moyen"/>
                    <w:listEntry w:val="Élevé"/>
                  </w:ddList>
                </w:ffData>
              </w:fldChar>
            </w:r>
            <w:r w:rsidR="00F875C4" w:rsidRPr="00CD2513">
              <w:rPr>
                <w:b/>
                <w:bCs/>
                <w:iCs/>
                <w:lang w:val="fr-FR"/>
              </w:rPr>
              <w:instrText xml:space="preserve"> </w:instrText>
            </w:r>
            <w:bookmarkStart w:id="8" w:name="riskmarker"/>
            <w:r w:rsidR="00F875C4" w:rsidRPr="00CD2513">
              <w:rPr>
                <w:b/>
                <w:bCs/>
                <w:iCs/>
                <w:lang w:val="fr-FR"/>
              </w:rPr>
              <w:instrText xml:space="preserve">FORMDROPDOWN </w:instrText>
            </w:r>
            <w:r w:rsidR="000D4328">
              <w:rPr>
                <w:b/>
                <w:bCs/>
                <w:iCs/>
              </w:rPr>
            </w:r>
            <w:r w:rsidR="000D4328">
              <w:rPr>
                <w:b/>
                <w:bCs/>
                <w:iCs/>
              </w:rPr>
              <w:fldChar w:fldCharType="separate"/>
            </w:r>
            <w:r w:rsidR="00F875C4">
              <w:rPr>
                <w:b/>
                <w:bCs/>
                <w:iCs/>
              </w:rPr>
              <w:fldChar w:fldCharType="end"/>
            </w:r>
            <w:bookmarkEnd w:id="8"/>
          </w:p>
          <w:p w14:paraId="55B14D86" w14:textId="4B96748E"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554D6E">
              <w:rPr>
                <w:b/>
                <w:bCs/>
                <w:iCs/>
              </w:rPr>
              <w:fldChar w:fldCharType="begin">
                <w:ffData>
                  <w:name w:val="focusarea"/>
                  <w:enabled/>
                  <w:calcOnExit w:val="0"/>
                  <w:ddList>
                    <w:listEntry w:val="(1.2) État de droit"/>
                    <w:listEntry w:val="Veuillez sélectionner"/>
                    <w:listEntry w:val="(1.1) Réforme du Secteur de la Sécurité"/>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00554D6E" w:rsidRPr="00CD2513">
              <w:rPr>
                <w:b/>
                <w:bCs/>
                <w:iCs/>
                <w:lang w:val="fr-FR"/>
              </w:rPr>
              <w:instrText xml:space="preserve"> FORMDROPDOWN </w:instrText>
            </w:r>
            <w:r w:rsidR="000D4328">
              <w:rPr>
                <w:b/>
                <w:bCs/>
                <w:iCs/>
              </w:rPr>
            </w:r>
            <w:r w:rsidR="000D4328">
              <w:rPr>
                <w:b/>
                <w:bCs/>
                <w:iCs/>
              </w:rPr>
              <w:fldChar w:fldCharType="separate"/>
            </w:r>
            <w:r w:rsidR="00554D6E">
              <w:rPr>
                <w:b/>
                <w:bCs/>
                <w:iCs/>
              </w:rPr>
              <w:fldChar w:fldCharType="end"/>
            </w:r>
            <w:bookmarkEnd w:id="9"/>
          </w:p>
        </w:tc>
      </w:tr>
      <w:tr w:rsidR="00793DE6" w:rsidRPr="00CD2513" w14:paraId="27192C5C" w14:textId="77777777" w:rsidTr="6595E2F0">
        <w:trPr>
          <w:trHeight w:val="1124"/>
        </w:trPr>
        <w:tc>
          <w:tcPr>
            <w:tcW w:w="10080" w:type="dxa"/>
            <w:gridSpan w:val="2"/>
          </w:tcPr>
          <w:p w14:paraId="7BC15C3E" w14:textId="409A8D2C" w:rsidR="000F43A8" w:rsidRPr="00136BFF" w:rsidRDefault="000F43A8" w:rsidP="000F43A8">
            <w:pPr>
              <w:rPr>
                <w:b/>
                <w:bCs/>
                <w:sz w:val="22"/>
                <w:lang w:val="fr-FR"/>
              </w:rPr>
            </w:pPr>
            <w:r w:rsidRPr="00136BFF">
              <w:rPr>
                <w:b/>
                <w:bCs/>
                <w:sz w:val="22"/>
                <w:lang w:val="fr-FR"/>
              </w:rPr>
              <w:t xml:space="preserve">Préparation du </w:t>
            </w:r>
            <w:r w:rsidR="00CF4979" w:rsidRPr="00136BFF">
              <w:rPr>
                <w:b/>
                <w:bCs/>
                <w:sz w:val="22"/>
                <w:lang w:val="fr-FR"/>
              </w:rPr>
              <w:t>rapport :</w:t>
            </w:r>
          </w:p>
          <w:p w14:paraId="43FCACD6" w14:textId="32AF7134" w:rsidR="000F43A8" w:rsidRPr="00826923" w:rsidRDefault="000F43A8" w:rsidP="000F43A8">
            <w:pPr>
              <w:rPr>
                <w:lang w:val="fr-FR"/>
              </w:rPr>
            </w:pPr>
            <w:r w:rsidRPr="00826923">
              <w:rPr>
                <w:lang w:val="fr-FR"/>
              </w:rPr>
              <w:t xml:space="preserve">Rapport préparé </w:t>
            </w:r>
            <w:r w:rsidR="00CF4979" w:rsidRPr="00826923">
              <w:rPr>
                <w:lang w:val="fr-FR"/>
              </w:rPr>
              <w:t>par :</w:t>
            </w:r>
            <w:r w:rsidRPr="00826923">
              <w:rPr>
                <w:lang w:val="fr-FR"/>
              </w:rPr>
              <w:t xml:space="preserve"> </w:t>
            </w:r>
            <w:r w:rsidR="00B96298">
              <w:rPr>
                <w:lang w:val="fr-FR"/>
              </w:rPr>
              <w:t>HCDH</w:t>
            </w:r>
            <w:r w:rsidR="00554D6E">
              <w:rPr>
                <w:lang w:val="fr-FR"/>
              </w:rPr>
              <w:t xml:space="preserve"> (agence coordinatrice)</w:t>
            </w:r>
          </w:p>
          <w:p w14:paraId="4F7F6063" w14:textId="303036EB" w:rsidR="000F43A8" w:rsidRPr="00826923" w:rsidRDefault="000F43A8" w:rsidP="000F43A8">
            <w:pPr>
              <w:rPr>
                <w:lang w:val="fr-FR"/>
              </w:rPr>
            </w:pPr>
            <w:r w:rsidRPr="00826923">
              <w:rPr>
                <w:lang w:val="fr-FR"/>
              </w:rPr>
              <w:t xml:space="preserve">Rapport approuvé </w:t>
            </w:r>
            <w:r w:rsidR="00CF4979" w:rsidRPr="00826923">
              <w:rPr>
                <w:lang w:val="fr-FR"/>
              </w:rPr>
              <w:t>par :</w:t>
            </w:r>
            <w:r w:rsidR="000076DB">
              <w:rPr>
                <w:lang w:val="fr-FR"/>
              </w:rPr>
              <w:t xml:space="preserve"> Représentant </w:t>
            </w:r>
            <w:r w:rsidR="000076DB" w:rsidRPr="000076DB">
              <w:rPr>
                <w:lang w:val="fr-FR"/>
              </w:rPr>
              <w:t xml:space="preserve">Bureau </w:t>
            </w:r>
            <w:r w:rsidR="00554D6E">
              <w:rPr>
                <w:lang w:val="fr-FR"/>
              </w:rPr>
              <w:t>HCDH</w:t>
            </w:r>
            <w:r w:rsidR="000076DB" w:rsidRPr="000076DB">
              <w:rPr>
                <w:lang w:val="fr-FR"/>
              </w:rPr>
              <w:t xml:space="preserve"> </w:t>
            </w:r>
            <w:r w:rsidR="00554D6E">
              <w:rPr>
                <w:lang w:val="fr-FR"/>
              </w:rPr>
              <w:t>a</w:t>
            </w:r>
            <w:r w:rsidR="000076DB" w:rsidRPr="000076DB">
              <w:rPr>
                <w:lang w:val="fr-FR"/>
              </w:rPr>
              <w:t>u Mali</w:t>
            </w:r>
          </w:p>
          <w:p w14:paraId="64A19D37" w14:textId="14D00160" w:rsidR="000F43A8" w:rsidRPr="000F43A8" w:rsidRDefault="000F43A8" w:rsidP="000F43A8">
            <w:pPr>
              <w:rPr>
                <w:lang w:val="fr-FR"/>
              </w:rPr>
            </w:pPr>
            <w:r w:rsidRPr="00826923">
              <w:rPr>
                <w:lang w:val="fr-FR"/>
              </w:rPr>
              <w:t xml:space="preserve">Le Secrétariat PBF a-t-il revu le </w:t>
            </w:r>
            <w:r w:rsidR="00554D6E" w:rsidRPr="00712FFA">
              <w:rPr>
                <w:lang w:val="fr-FR"/>
              </w:rPr>
              <w:t>r</w:t>
            </w:r>
            <w:r w:rsidR="00554D6E" w:rsidRPr="00CF4979">
              <w:rPr>
                <w:lang w:val="fr-FR"/>
              </w:rPr>
              <w:t>apport</w:t>
            </w:r>
            <w:r w:rsidR="00554D6E" w:rsidRPr="00136BFF">
              <w:rPr>
                <w:sz w:val="22"/>
                <w:lang w:val="fr-FR"/>
              </w:rPr>
              <w:t xml:space="preserve"> :</w:t>
            </w:r>
            <w:r w:rsidRPr="00136BFF">
              <w:rPr>
                <w:sz w:val="22"/>
                <w:lang w:val="fr-FR"/>
              </w:rPr>
              <w:t xml:space="preserve"> </w:t>
            </w:r>
            <w:r w:rsidR="00712FFA">
              <w:rPr>
                <w:sz w:val="22"/>
                <w:lang w:val="fr-FR"/>
              </w:rPr>
              <w:t>oui</w:t>
            </w:r>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1FE54B66"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CF4979" w:rsidRPr="00F778A1">
        <w:rPr>
          <w:b/>
          <w:i/>
          <w:iCs/>
          <w:lang w:val="fr-FR"/>
        </w:rPr>
        <w:t>RAPPORT :</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521B805A"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905EDE">
        <w:rPr>
          <w:lang w:val="fr-FR"/>
        </w:rPr>
        <w:t xml:space="preserve">(limite de </w:t>
      </w:r>
      <w:r w:rsidRPr="006D27F6">
        <w:rPr>
          <w:lang w:val="fr-FR"/>
        </w:rPr>
        <w:t>1500 caractères</w:t>
      </w:r>
      <w:r w:rsidR="00554D6E" w:rsidRPr="001C4F74">
        <w:rPr>
          <w:lang w:val="fr-FR"/>
        </w:rPr>
        <w:t>) :</w:t>
      </w:r>
      <w:r w:rsidRPr="00CD2513">
        <w:rPr>
          <w:lang w:val="fr-FR"/>
        </w:rPr>
        <w:t xml:space="preserve"> </w:t>
      </w:r>
    </w:p>
    <w:p w14:paraId="39B28A17" w14:textId="381081BA" w:rsidR="000D12F4" w:rsidRPr="00CD2513" w:rsidRDefault="009E3414" w:rsidP="000D12F4">
      <w:pPr>
        <w:jc w:val="both"/>
        <w:rPr>
          <w:bCs/>
          <w:iCs/>
          <w:sz w:val="22"/>
          <w:szCs w:val="22"/>
          <w:highlight w:val="lightGray"/>
          <w:lang w:val="fr-FR"/>
        </w:rPr>
      </w:pPr>
      <w:r w:rsidRPr="00CD2513">
        <w:rPr>
          <w:bCs/>
          <w:iCs/>
          <w:sz w:val="22"/>
          <w:szCs w:val="22"/>
          <w:highlight w:val="lightGray"/>
          <w:lang w:val="fr-FR"/>
        </w:rPr>
        <w:t>En dépit du contexte volatile</w:t>
      </w:r>
      <w:r>
        <w:rPr>
          <w:bCs/>
          <w:iCs/>
          <w:sz w:val="22"/>
          <w:szCs w:val="22"/>
          <w:highlight w:val="lightGray"/>
          <w:lang w:val="fr-FR"/>
        </w:rPr>
        <w:t xml:space="preserve"> et m</w:t>
      </w:r>
      <w:r w:rsidR="00712FFA">
        <w:rPr>
          <w:bCs/>
          <w:iCs/>
          <w:sz w:val="22"/>
          <w:szCs w:val="22"/>
          <w:highlight w:val="lightGray"/>
          <w:lang w:val="fr-FR"/>
        </w:rPr>
        <w:t>algré les défis rencontrés dans la mise en œuvre du projet d</w:t>
      </w:r>
      <w:r w:rsidR="008F37DE" w:rsidRPr="00CD2513">
        <w:rPr>
          <w:bCs/>
          <w:iCs/>
          <w:sz w:val="22"/>
          <w:szCs w:val="22"/>
          <w:highlight w:val="lightGray"/>
          <w:lang w:val="fr-FR"/>
        </w:rPr>
        <w:t>urant le premier semestre de</w:t>
      </w:r>
      <w:r w:rsidR="000D12F4" w:rsidRPr="00CD2513">
        <w:rPr>
          <w:bCs/>
          <w:iCs/>
          <w:sz w:val="22"/>
          <w:szCs w:val="22"/>
          <w:highlight w:val="lightGray"/>
          <w:lang w:val="fr-FR"/>
        </w:rPr>
        <w:t xml:space="preserve"> 2022</w:t>
      </w:r>
      <w:r w:rsidR="00712FFA">
        <w:rPr>
          <w:bCs/>
          <w:iCs/>
          <w:sz w:val="22"/>
          <w:szCs w:val="22"/>
          <w:highlight w:val="lightGray"/>
          <w:lang w:val="fr-FR"/>
        </w:rPr>
        <w:t xml:space="preserve"> notamment </w:t>
      </w:r>
      <w:r w:rsidR="008F37DE" w:rsidRPr="00CD2513">
        <w:rPr>
          <w:bCs/>
          <w:iCs/>
          <w:sz w:val="22"/>
          <w:szCs w:val="22"/>
          <w:highlight w:val="lightGray"/>
          <w:lang w:val="fr-FR"/>
        </w:rPr>
        <w:t xml:space="preserve">une succession de crises politique, </w:t>
      </w:r>
      <w:r w:rsidR="00CD2513" w:rsidRPr="00CD2513">
        <w:rPr>
          <w:bCs/>
          <w:iCs/>
          <w:sz w:val="22"/>
          <w:szCs w:val="22"/>
          <w:highlight w:val="lightGray"/>
          <w:lang w:val="fr-FR"/>
        </w:rPr>
        <w:t>sanitaire</w:t>
      </w:r>
      <w:r>
        <w:rPr>
          <w:bCs/>
          <w:iCs/>
          <w:sz w:val="22"/>
          <w:szCs w:val="22"/>
          <w:highlight w:val="lightGray"/>
          <w:lang w:val="fr-FR"/>
        </w:rPr>
        <w:t xml:space="preserve"> et </w:t>
      </w:r>
      <w:r w:rsidRPr="00CD2513">
        <w:rPr>
          <w:bCs/>
          <w:iCs/>
          <w:sz w:val="22"/>
          <w:szCs w:val="22"/>
          <w:highlight w:val="lightGray"/>
          <w:lang w:val="fr-FR"/>
        </w:rPr>
        <w:t xml:space="preserve">sécuritaire </w:t>
      </w:r>
      <w:r w:rsidR="00905814">
        <w:rPr>
          <w:bCs/>
          <w:iCs/>
          <w:sz w:val="22"/>
          <w:szCs w:val="22"/>
          <w:highlight w:val="lightGray"/>
          <w:lang w:val="fr-FR"/>
        </w:rPr>
        <w:t>entre autres</w:t>
      </w:r>
      <w:r w:rsidR="00712FFA">
        <w:rPr>
          <w:bCs/>
          <w:iCs/>
          <w:sz w:val="22"/>
          <w:szCs w:val="22"/>
          <w:highlight w:val="lightGray"/>
          <w:lang w:val="fr-FR"/>
        </w:rPr>
        <w:t xml:space="preserve"> </w:t>
      </w:r>
      <w:r w:rsidR="008F37DE" w:rsidRPr="00CD2513">
        <w:rPr>
          <w:bCs/>
          <w:iCs/>
          <w:sz w:val="22"/>
          <w:szCs w:val="22"/>
          <w:highlight w:val="lightGray"/>
          <w:lang w:val="fr-FR"/>
        </w:rPr>
        <w:t>l’</w:t>
      </w:r>
      <w:r w:rsidR="00CD2513" w:rsidRPr="00CD2513">
        <w:rPr>
          <w:bCs/>
          <w:iCs/>
          <w:sz w:val="22"/>
          <w:szCs w:val="22"/>
          <w:highlight w:val="lightGray"/>
          <w:lang w:val="fr-FR"/>
        </w:rPr>
        <w:t>insécurité</w:t>
      </w:r>
      <w:r w:rsidR="008F37DE" w:rsidRPr="00CD2513">
        <w:rPr>
          <w:bCs/>
          <w:iCs/>
          <w:sz w:val="22"/>
          <w:szCs w:val="22"/>
          <w:highlight w:val="lightGray"/>
          <w:lang w:val="fr-FR"/>
        </w:rPr>
        <w:t xml:space="preserve"> dans les </w:t>
      </w:r>
      <w:r w:rsidR="00CD2513" w:rsidRPr="00CD2513">
        <w:rPr>
          <w:bCs/>
          <w:iCs/>
          <w:sz w:val="22"/>
          <w:szCs w:val="22"/>
          <w:highlight w:val="lightGray"/>
          <w:lang w:val="fr-FR"/>
        </w:rPr>
        <w:t>régions</w:t>
      </w:r>
      <w:r w:rsidR="008F37DE" w:rsidRPr="00CD2513">
        <w:rPr>
          <w:bCs/>
          <w:iCs/>
          <w:sz w:val="22"/>
          <w:szCs w:val="22"/>
          <w:highlight w:val="lightGray"/>
          <w:lang w:val="fr-FR"/>
        </w:rPr>
        <w:t xml:space="preserve"> de mise en </w:t>
      </w:r>
      <w:r w:rsidR="00CD2513" w:rsidRPr="00CD2513">
        <w:rPr>
          <w:bCs/>
          <w:iCs/>
          <w:sz w:val="22"/>
          <w:szCs w:val="22"/>
          <w:highlight w:val="lightGray"/>
          <w:lang w:val="fr-FR"/>
        </w:rPr>
        <w:t>œuvre</w:t>
      </w:r>
      <w:r>
        <w:rPr>
          <w:bCs/>
          <w:iCs/>
          <w:sz w:val="22"/>
          <w:szCs w:val="22"/>
          <w:highlight w:val="lightGray"/>
          <w:lang w:val="fr-FR"/>
        </w:rPr>
        <w:t xml:space="preserve">, </w:t>
      </w:r>
      <w:r w:rsidRPr="00CD2513">
        <w:rPr>
          <w:bCs/>
          <w:iCs/>
          <w:sz w:val="22"/>
          <w:szCs w:val="22"/>
          <w:highlight w:val="lightGray"/>
          <w:lang w:val="fr-FR"/>
        </w:rPr>
        <w:t xml:space="preserve">des progrès ont </w:t>
      </w:r>
      <w:r>
        <w:rPr>
          <w:bCs/>
          <w:iCs/>
          <w:sz w:val="22"/>
          <w:szCs w:val="22"/>
          <w:highlight w:val="lightGray"/>
          <w:lang w:val="fr-FR"/>
        </w:rPr>
        <w:t xml:space="preserve">toutefois </w:t>
      </w:r>
      <w:r w:rsidRPr="00CD2513">
        <w:rPr>
          <w:bCs/>
          <w:iCs/>
          <w:sz w:val="22"/>
          <w:szCs w:val="22"/>
          <w:highlight w:val="lightGray"/>
          <w:lang w:val="fr-FR"/>
        </w:rPr>
        <w:t>été réalisés en 2022</w:t>
      </w:r>
      <w:r>
        <w:rPr>
          <w:bCs/>
          <w:iCs/>
          <w:sz w:val="22"/>
          <w:szCs w:val="22"/>
          <w:highlight w:val="lightGray"/>
          <w:lang w:val="fr-FR"/>
        </w:rPr>
        <w:t>. Ainsi, :   </w:t>
      </w:r>
      <w:r w:rsidR="008F37DE" w:rsidRPr="00CD2513">
        <w:rPr>
          <w:bCs/>
          <w:iCs/>
          <w:sz w:val="22"/>
          <w:szCs w:val="22"/>
          <w:highlight w:val="lightGray"/>
          <w:lang w:val="fr-FR"/>
        </w:rPr>
        <w:t xml:space="preserve"> </w:t>
      </w:r>
    </w:p>
    <w:p w14:paraId="11686B80" w14:textId="77777777" w:rsidR="000D12F4" w:rsidRPr="00CD2513" w:rsidRDefault="000D12F4" w:rsidP="000D12F4">
      <w:pPr>
        <w:jc w:val="both"/>
        <w:rPr>
          <w:bCs/>
          <w:iCs/>
          <w:sz w:val="22"/>
          <w:szCs w:val="22"/>
          <w:highlight w:val="lightGray"/>
          <w:lang w:val="fr-FR"/>
        </w:rPr>
      </w:pPr>
    </w:p>
    <w:p w14:paraId="5BD64575" w14:textId="77777777" w:rsidR="000B7BB4" w:rsidRPr="00CD2513" w:rsidRDefault="000B7BB4" w:rsidP="000D12F4">
      <w:pPr>
        <w:jc w:val="both"/>
        <w:rPr>
          <w:bCs/>
          <w:iCs/>
          <w:sz w:val="22"/>
          <w:szCs w:val="22"/>
          <w:highlight w:val="lightGray"/>
          <w:lang w:val="fr-FR"/>
        </w:rPr>
      </w:pPr>
    </w:p>
    <w:p w14:paraId="49951811" w14:textId="4D1EB7E5" w:rsidR="000D12F4" w:rsidRDefault="000D12F4" w:rsidP="00F3475E">
      <w:pPr>
        <w:pStyle w:val="ListParagraph"/>
        <w:numPr>
          <w:ilvl w:val="0"/>
          <w:numId w:val="10"/>
        </w:numPr>
        <w:jc w:val="both"/>
        <w:rPr>
          <w:bCs/>
          <w:iCs/>
          <w:sz w:val="22"/>
          <w:szCs w:val="22"/>
          <w:lang w:val="fr-FR"/>
        </w:rPr>
      </w:pPr>
      <w:bookmarkStart w:id="10" w:name="_Hlk102062620"/>
      <w:r w:rsidRPr="00F3475E">
        <w:rPr>
          <w:bCs/>
          <w:iCs/>
          <w:sz w:val="22"/>
          <w:szCs w:val="22"/>
          <w:highlight w:val="lightGray"/>
          <w:lang w:val="fr-FR"/>
        </w:rPr>
        <w:t xml:space="preserve">La recherche de solutions locales communes par les acteurs de la justice formelle et informelle à soutenir des </w:t>
      </w:r>
      <w:r w:rsidR="00CD2513" w:rsidRPr="00F3475E">
        <w:rPr>
          <w:bCs/>
          <w:iCs/>
          <w:sz w:val="22"/>
          <w:szCs w:val="22"/>
          <w:highlight w:val="lightGray"/>
          <w:lang w:val="fr-FR"/>
        </w:rPr>
        <w:t>changements</w:t>
      </w:r>
      <w:r w:rsidRPr="00F3475E">
        <w:rPr>
          <w:bCs/>
          <w:iCs/>
          <w:sz w:val="22"/>
          <w:szCs w:val="22"/>
          <w:highlight w:val="lightGray"/>
          <w:lang w:val="fr-FR"/>
        </w:rPr>
        <w:t xml:space="preserve"> durables à travers l’</w:t>
      </w:r>
      <w:r w:rsidRPr="00CD2513">
        <w:rPr>
          <w:bCs/>
          <w:iCs/>
          <w:sz w:val="22"/>
          <w:szCs w:val="22"/>
          <w:highlight w:val="lightGray"/>
          <w:lang w:val="fr-FR"/>
        </w:rPr>
        <w:fldChar w:fldCharType="begin"/>
      </w:r>
      <w:r w:rsidRPr="00F3475E">
        <w:rPr>
          <w:bCs/>
          <w:iCs/>
          <w:sz w:val="22"/>
          <w:szCs w:val="22"/>
          <w:highlight w:val="lightGray"/>
          <w:lang w:val="fr-FR"/>
        </w:rPr>
        <w:instrText xml:space="preserve"> LINK </w:instrText>
      </w:r>
      <w:r w:rsidR="00493779" w:rsidRPr="00F3475E">
        <w:rPr>
          <w:bCs/>
          <w:iCs/>
          <w:sz w:val="22"/>
          <w:szCs w:val="22"/>
          <w:highlight w:val="lightGray"/>
          <w:lang w:val="fr-FR"/>
        </w:rPr>
        <w:instrText xml:space="preserve">Excel.Sheet.12 "C:\\Users\\amadou.diallo\\OneDrive - UN Women\\Desktop\\MJDH\\MARIE THERESE\\Copie de FICHIER DE TRAVAIL AVEC DIALLO PBF MALI PROJET JUSTICE- Annex D- BUDGET Version ‌finale 6 Nov 209 (004)-2.xlsx" "1) Tableau budgétaire 1!R38C3" </w:instrText>
      </w:r>
      <w:r w:rsidRPr="00F3475E">
        <w:rPr>
          <w:bCs/>
          <w:iCs/>
          <w:sz w:val="22"/>
          <w:szCs w:val="22"/>
          <w:highlight w:val="lightGray"/>
          <w:lang w:val="fr-FR"/>
        </w:rPr>
        <w:instrText xml:space="preserve">\a \f 5 \h  \* MERGEFORMAT </w:instrText>
      </w:r>
      <w:r w:rsidRPr="00CD2513">
        <w:rPr>
          <w:bCs/>
          <w:iCs/>
          <w:sz w:val="22"/>
          <w:szCs w:val="22"/>
          <w:highlight w:val="lightGray"/>
          <w:lang w:val="fr-FR"/>
        </w:rPr>
        <w:fldChar w:fldCharType="separate"/>
      </w:r>
      <w:r w:rsidR="00CD2513" w:rsidRPr="00F3475E">
        <w:rPr>
          <w:bCs/>
          <w:iCs/>
          <w:sz w:val="22"/>
          <w:szCs w:val="22"/>
          <w:lang w:val="fr-FR"/>
        </w:rPr>
        <w:t>a</w:t>
      </w:r>
      <w:r w:rsidRPr="00F3475E">
        <w:rPr>
          <w:bCs/>
          <w:iCs/>
          <w:sz w:val="22"/>
          <w:szCs w:val="22"/>
          <w:lang w:val="fr-FR"/>
        </w:rPr>
        <w:t xml:space="preserve">ppui à </w:t>
      </w:r>
      <w:r w:rsidRPr="00F3475E">
        <w:rPr>
          <w:bCs/>
          <w:iCs/>
          <w:sz w:val="22"/>
          <w:szCs w:val="22"/>
          <w:highlight w:val="lightGray"/>
          <w:lang w:val="fr-FR"/>
        </w:rPr>
        <w:t xml:space="preserve">la mise en œuvre de solutions/ initiatives pilotes impliquant les femmes, issues </w:t>
      </w:r>
      <w:r w:rsidRPr="00F3475E">
        <w:rPr>
          <w:bCs/>
          <w:iCs/>
          <w:sz w:val="22"/>
          <w:szCs w:val="22"/>
          <w:lang w:val="fr-FR"/>
        </w:rPr>
        <w:t>du dialogue pour soutenir l’engagement des parties prenantes</w:t>
      </w:r>
      <w:r w:rsidR="00AE7D14">
        <w:rPr>
          <w:bCs/>
          <w:iCs/>
          <w:sz w:val="22"/>
          <w:szCs w:val="22"/>
          <w:lang w:val="fr-FR"/>
        </w:rPr>
        <w:t>;</w:t>
      </w:r>
    </w:p>
    <w:p w14:paraId="3A57E601" w14:textId="03E192B4" w:rsidR="00AE7D14" w:rsidRDefault="00AE7D14" w:rsidP="00F3475E">
      <w:pPr>
        <w:pStyle w:val="ListParagraph"/>
        <w:numPr>
          <w:ilvl w:val="0"/>
          <w:numId w:val="10"/>
        </w:numPr>
        <w:jc w:val="both"/>
        <w:rPr>
          <w:bCs/>
          <w:iCs/>
          <w:sz w:val="22"/>
          <w:szCs w:val="22"/>
          <w:lang w:val="fr-FR"/>
        </w:rPr>
      </w:pPr>
      <w:r w:rsidRPr="00AE7D14">
        <w:rPr>
          <w:bCs/>
          <w:iCs/>
          <w:sz w:val="22"/>
          <w:szCs w:val="22"/>
          <w:lang w:val="fr-FR"/>
        </w:rPr>
        <w:t xml:space="preserve">La disponibilité des résultats de l’étude de la prise en compte du genre et des droits humains dans le fonctionnement des juridictions cibles (Tribunaux de Grande Instance de Mopti, Ségou, Tombouctou et Gao, et des Tribunaux d’Instance de Bla et </w:t>
      </w:r>
      <w:r w:rsidR="006A19AA" w:rsidRPr="00AE7D14">
        <w:rPr>
          <w:bCs/>
          <w:iCs/>
          <w:sz w:val="22"/>
          <w:szCs w:val="22"/>
          <w:lang w:val="fr-FR"/>
        </w:rPr>
        <w:t>Djenné</w:t>
      </w:r>
      <w:proofErr w:type="gramStart"/>
      <w:r w:rsidR="006A19AA" w:rsidRPr="00AE7D14">
        <w:rPr>
          <w:bCs/>
          <w:iCs/>
          <w:sz w:val="22"/>
          <w:szCs w:val="22"/>
          <w:lang w:val="fr-FR"/>
        </w:rPr>
        <w:t>)</w:t>
      </w:r>
      <w:r>
        <w:rPr>
          <w:bCs/>
          <w:iCs/>
          <w:sz w:val="22"/>
          <w:szCs w:val="22"/>
          <w:lang w:val="fr-FR"/>
        </w:rPr>
        <w:t>;</w:t>
      </w:r>
      <w:proofErr w:type="gramEnd"/>
    </w:p>
    <w:p w14:paraId="644B9547" w14:textId="1962DAA4" w:rsidR="00AE7D14" w:rsidRDefault="00AE7D14" w:rsidP="00AE7D14">
      <w:pPr>
        <w:pStyle w:val="ListParagraph"/>
        <w:numPr>
          <w:ilvl w:val="0"/>
          <w:numId w:val="10"/>
        </w:numPr>
        <w:rPr>
          <w:bCs/>
          <w:iCs/>
          <w:sz w:val="22"/>
          <w:szCs w:val="22"/>
          <w:lang w:val="fr-FR"/>
        </w:rPr>
      </w:pPr>
      <w:r w:rsidRPr="00AE7D14">
        <w:rPr>
          <w:bCs/>
          <w:iCs/>
          <w:sz w:val="22"/>
          <w:szCs w:val="22"/>
          <w:lang w:val="fr-FR"/>
        </w:rPr>
        <w:t xml:space="preserve">Les acteurs de la justice formelle et informelle sont plus efficaces et disposent d'une confiance accrue de la part des populations afin de mieux combattre l’impunité dans les régions de Ségou et </w:t>
      </w:r>
      <w:r w:rsidR="006A19AA" w:rsidRPr="00AE7D14">
        <w:rPr>
          <w:bCs/>
          <w:iCs/>
          <w:sz w:val="22"/>
          <w:szCs w:val="22"/>
          <w:lang w:val="fr-FR"/>
        </w:rPr>
        <w:t>Mopti</w:t>
      </w:r>
      <w:r w:rsidR="006A19AA">
        <w:rPr>
          <w:bCs/>
          <w:iCs/>
          <w:sz w:val="22"/>
          <w:szCs w:val="22"/>
          <w:lang w:val="fr-FR"/>
        </w:rPr>
        <w:t xml:space="preserve"> ;</w:t>
      </w:r>
    </w:p>
    <w:p w14:paraId="6E8FE4AF" w14:textId="77DF7401" w:rsidR="00AE7D14" w:rsidRPr="00CF4979" w:rsidRDefault="00AE7D14" w:rsidP="00CF4979">
      <w:pPr>
        <w:pStyle w:val="ListParagraph"/>
        <w:numPr>
          <w:ilvl w:val="0"/>
          <w:numId w:val="10"/>
        </w:numPr>
        <w:rPr>
          <w:bCs/>
          <w:iCs/>
          <w:sz w:val="22"/>
          <w:szCs w:val="22"/>
          <w:lang w:val="fr-FR"/>
        </w:rPr>
      </w:pPr>
      <w:r w:rsidRPr="00AE7D14">
        <w:rPr>
          <w:bCs/>
          <w:iCs/>
          <w:sz w:val="22"/>
          <w:szCs w:val="22"/>
          <w:lang w:val="fr-FR"/>
        </w:rPr>
        <w:t>La confiance entre les membres de 115 Commissions foncières (</w:t>
      </w:r>
      <w:proofErr w:type="spellStart"/>
      <w:r w:rsidR="006A19AA" w:rsidRPr="00AE7D14">
        <w:rPr>
          <w:bCs/>
          <w:iCs/>
          <w:sz w:val="22"/>
          <w:szCs w:val="22"/>
          <w:lang w:val="fr-FR"/>
        </w:rPr>
        <w:t>CoFos</w:t>
      </w:r>
      <w:proofErr w:type="spellEnd"/>
      <w:r w:rsidR="006A19AA" w:rsidRPr="00AE7D14">
        <w:rPr>
          <w:bCs/>
          <w:iCs/>
          <w:sz w:val="22"/>
          <w:szCs w:val="22"/>
          <w:lang w:val="fr-FR"/>
        </w:rPr>
        <w:t>) et</w:t>
      </w:r>
      <w:r w:rsidRPr="00AE7D14">
        <w:rPr>
          <w:bCs/>
          <w:iCs/>
          <w:sz w:val="22"/>
          <w:szCs w:val="22"/>
          <w:lang w:val="fr-FR"/>
        </w:rPr>
        <w:t xml:space="preserve"> les 7 juridictions ciblées, se construit progressivement à travers leur collaboration pour l’homologation des procès-verbaux des litiges fonciers.</w:t>
      </w:r>
    </w:p>
    <w:p w14:paraId="1B39F36B" w14:textId="2807587E" w:rsidR="000D12F4" w:rsidRPr="000D12F4" w:rsidRDefault="000D12F4" w:rsidP="00CF4979">
      <w:pPr>
        <w:jc w:val="both"/>
        <w:rPr>
          <w:bCs/>
          <w:iCs/>
          <w:sz w:val="22"/>
          <w:szCs w:val="22"/>
          <w:lang w:val="fr-CA"/>
        </w:rPr>
      </w:pPr>
      <w:r w:rsidRPr="00CD2513">
        <w:rPr>
          <w:bCs/>
          <w:iCs/>
          <w:sz w:val="22"/>
          <w:szCs w:val="22"/>
          <w:highlight w:val="lightGray"/>
          <w:lang w:val="fr-FR"/>
        </w:rPr>
        <w:fldChar w:fldCharType="end"/>
      </w:r>
      <w:bookmarkEnd w:id="10"/>
    </w:p>
    <w:p w14:paraId="193C0FDD" w14:textId="610C6E82" w:rsidR="000D12F4" w:rsidRPr="00F3475E" w:rsidRDefault="000D12F4" w:rsidP="00F3475E">
      <w:pPr>
        <w:pStyle w:val="ListParagraph"/>
        <w:numPr>
          <w:ilvl w:val="0"/>
          <w:numId w:val="10"/>
        </w:numPr>
        <w:jc w:val="both"/>
        <w:rPr>
          <w:bCs/>
          <w:iCs/>
          <w:sz w:val="22"/>
          <w:szCs w:val="22"/>
          <w:highlight w:val="lightGray"/>
          <w:lang w:val="fr-CA"/>
        </w:rPr>
      </w:pPr>
      <w:r w:rsidRPr="00F3475E">
        <w:rPr>
          <w:bCs/>
          <w:iCs/>
          <w:sz w:val="22"/>
          <w:szCs w:val="22"/>
          <w:highlight w:val="lightGray"/>
          <w:lang w:val="fr-FR"/>
        </w:rPr>
        <w:t xml:space="preserve">113 acteurs de la justice dont 56 femmes ont accru leurs connaissances sur </w:t>
      </w:r>
      <w:r w:rsidRPr="00F3475E">
        <w:rPr>
          <w:bCs/>
          <w:iCs/>
          <w:sz w:val="22"/>
          <w:szCs w:val="22"/>
          <w:highlight w:val="lightGray"/>
          <w:lang w:val="fr-CA"/>
        </w:rPr>
        <w:t xml:space="preserve">des concepts de base de l’égalité, l’équité genre et des VBG, </w:t>
      </w:r>
      <w:r w:rsidRPr="00F3475E">
        <w:rPr>
          <w:bCs/>
          <w:iCs/>
          <w:sz w:val="22"/>
          <w:szCs w:val="22"/>
          <w:highlight w:val="lightGray"/>
          <w:lang w:val="fr-FR"/>
        </w:rPr>
        <w:t>sur les formes, les causes et les conséquences des VBG,</w:t>
      </w:r>
      <w:r w:rsidRPr="00F3475E">
        <w:rPr>
          <w:rFonts w:ascii="Arial Narrow" w:hAnsi="Arial Narrow"/>
          <w:sz w:val="22"/>
          <w:szCs w:val="22"/>
          <w:lang w:val="fr-CA" w:eastAsia="x-none"/>
        </w:rPr>
        <w:t xml:space="preserve"> </w:t>
      </w:r>
      <w:r w:rsidRPr="00F3475E">
        <w:rPr>
          <w:bCs/>
          <w:iCs/>
          <w:sz w:val="22"/>
          <w:szCs w:val="22"/>
          <w:highlight w:val="lightGray"/>
          <w:lang w:val="fr-CA"/>
        </w:rPr>
        <w:t>les normes nationales, régionales et internationale de protection des survivantes de VBG</w:t>
      </w:r>
      <w:r w:rsidRPr="00F3475E">
        <w:rPr>
          <w:rFonts w:ascii="Arial Narrow" w:hAnsi="Arial Narrow"/>
          <w:sz w:val="22"/>
          <w:szCs w:val="22"/>
          <w:lang w:val="fr-CA" w:eastAsia="x-none"/>
        </w:rPr>
        <w:t xml:space="preserve">, </w:t>
      </w:r>
      <w:r w:rsidRPr="00F3475E">
        <w:rPr>
          <w:bCs/>
          <w:iCs/>
          <w:sz w:val="22"/>
          <w:szCs w:val="22"/>
          <w:highlight w:val="lightGray"/>
          <w:lang w:val="fr-CA"/>
        </w:rPr>
        <w:t xml:space="preserve">des outils, stratégies d’intégration du genre dans la prévention et la lutte contre les VBG. Ceci est le fruit de </w:t>
      </w:r>
      <w:r w:rsidRPr="00F3475E">
        <w:rPr>
          <w:bCs/>
          <w:iCs/>
          <w:sz w:val="22"/>
          <w:szCs w:val="22"/>
          <w:highlight w:val="lightGray"/>
          <w:lang w:val="fr-FR"/>
        </w:rPr>
        <w:t xml:space="preserve">l’appui technique et financier apporté par ONU Femmes au Comité Genre du </w:t>
      </w:r>
      <w:r w:rsidR="00402A6A" w:rsidRPr="00F3475E">
        <w:rPr>
          <w:bCs/>
          <w:iCs/>
          <w:sz w:val="22"/>
          <w:szCs w:val="22"/>
          <w:highlight w:val="lightGray"/>
          <w:lang w:val="fr-FR"/>
        </w:rPr>
        <w:t>ministère de la Justice</w:t>
      </w:r>
      <w:r w:rsidRPr="00F3475E">
        <w:rPr>
          <w:bCs/>
          <w:iCs/>
          <w:sz w:val="22"/>
          <w:szCs w:val="22"/>
          <w:highlight w:val="lightGray"/>
          <w:lang w:val="fr-FR"/>
        </w:rPr>
        <w:t xml:space="preserve">. </w:t>
      </w:r>
      <w:bookmarkStart w:id="11" w:name="_Hlk102066093"/>
    </w:p>
    <w:bookmarkEnd w:id="11"/>
    <w:p w14:paraId="30394968" w14:textId="77777777" w:rsidR="000D12F4" w:rsidRPr="000D12F4" w:rsidRDefault="000D12F4" w:rsidP="000D12F4">
      <w:pPr>
        <w:ind w:left="720"/>
        <w:rPr>
          <w:bCs/>
          <w:iCs/>
          <w:sz w:val="22"/>
          <w:szCs w:val="22"/>
          <w:highlight w:val="lightGray"/>
          <w:lang w:val="fr-CA"/>
        </w:rPr>
      </w:pPr>
    </w:p>
    <w:p w14:paraId="223857FB" w14:textId="77777777" w:rsidR="000D12F4" w:rsidRPr="000D12F4" w:rsidRDefault="000D12F4" w:rsidP="00CD2513">
      <w:pPr>
        <w:numPr>
          <w:ilvl w:val="0"/>
          <w:numId w:val="5"/>
        </w:numPr>
        <w:spacing w:line="276" w:lineRule="auto"/>
        <w:contextualSpacing/>
        <w:jc w:val="both"/>
        <w:rPr>
          <w:bCs/>
          <w:iCs/>
          <w:sz w:val="20"/>
          <w:szCs w:val="20"/>
          <w:highlight w:val="lightGray"/>
          <w:lang w:val="de-DE"/>
        </w:rPr>
      </w:pPr>
      <w:r w:rsidRPr="000D12F4">
        <w:rPr>
          <w:sz w:val="22"/>
          <w:szCs w:val="22"/>
          <w:highlight w:val="lightGray"/>
          <w:lang w:val="fr-FR" w:eastAsia="fr-FR"/>
        </w:rPr>
        <w:t>Consolidation des résultats du baromètre</w:t>
      </w:r>
      <w:r w:rsidRPr="000D12F4">
        <w:rPr>
          <w:rFonts w:eastAsiaTheme="minorEastAsia"/>
          <w:color w:val="333333"/>
          <w:sz w:val="22"/>
          <w:szCs w:val="22"/>
          <w:highlight w:val="lightGray"/>
          <w:lang w:val="fr-FR"/>
        </w:rPr>
        <w:t xml:space="preserve"> participatif</w:t>
      </w:r>
      <w:r w:rsidRPr="000D12F4">
        <w:rPr>
          <w:sz w:val="22"/>
          <w:szCs w:val="22"/>
          <w:highlight w:val="lightGray"/>
          <w:lang w:val="fr-FR" w:eastAsia="fr-FR"/>
        </w:rPr>
        <w:t xml:space="preserve"> (la version finale sera partag</w:t>
      </w:r>
      <w:r w:rsidRPr="000D12F4">
        <w:rPr>
          <w:sz w:val="22"/>
          <w:szCs w:val="22"/>
          <w:highlight w:val="lightGray"/>
          <w:lang w:val="fr-FR"/>
        </w:rPr>
        <w:t>é</w:t>
      </w:r>
      <w:r w:rsidRPr="000D12F4">
        <w:rPr>
          <w:sz w:val="22"/>
          <w:szCs w:val="22"/>
          <w:highlight w:val="lightGray"/>
          <w:lang w:val="fr-FR" w:eastAsia="fr-FR"/>
        </w:rPr>
        <w:t>e lors des ateliers de lancement du rapport et de la plateforme) ;</w:t>
      </w:r>
    </w:p>
    <w:p w14:paraId="66940FC6" w14:textId="77777777" w:rsidR="000D12F4" w:rsidRPr="000D12F4" w:rsidRDefault="000D12F4" w:rsidP="00CD2513">
      <w:pPr>
        <w:numPr>
          <w:ilvl w:val="0"/>
          <w:numId w:val="5"/>
        </w:numPr>
        <w:spacing w:line="276" w:lineRule="auto"/>
        <w:contextualSpacing/>
        <w:jc w:val="both"/>
        <w:rPr>
          <w:bCs/>
          <w:iCs/>
          <w:sz w:val="20"/>
          <w:szCs w:val="20"/>
          <w:highlight w:val="lightGray"/>
          <w:lang w:val="de-DE"/>
        </w:rPr>
      </w:pPr>
      <w:r w:rsidRPr="000D12F4">
        <w:rPr>
          <w:sz w:val="22"/>
          <w:szCs w:val="22"/>
          <w:highlight w:val="lightGray"/>
          <w:lang w:val="fr-FR" w:eastAsia="fr-FR"/>
        </w:rPr>
        <w:t>12 séances de dialogue (</w:t>
      </w:r>
      <w:r w:rsidRPr="000D12F4">
        <w:rPr>
          <w:rFonts w:eastAsia="Calibri"/>
          <w:sz w:val="22"/>
          <w:szCs w:val="22"/>
          <w:highlight w:val="lightGray"/>
          <w:lang w:val="fr"/>
        </w:rPr>
        <w:t>02 par cercle)</w:t>
      </w:r>
      <w:r w:rsidRPr="000D12F4">
        <w:rPr>
          <w:sz w:val="22"/>
          <w:szCs w:val="22"/>
          <w:highlight w:val="lightGray"/>
          <w:lang w:val="fr-FR" w:eastAsia="fr-FR"/>
        </w:rPr>
        <w:t xml:space="preserve"> avec les acteurs de la justice et les autorités traditionnelles ;</w:t>
      </w:r>
    </w:p>
    <w:p w14:paraId="592E05BB" w14:textId="77777777" w:rsidR="000D12F4" w:rsidRPr="000D12F4" w:rsidRDefault="000D12F4" w:rsidP="00CD2513">
      <w:pPr>
        <w:numPr>
          <w:ilvl w:val="0"/>
          <w:numId w:val="5"/>
        </w:numPr>
        <w:spacing w:line="276" w:lineRule="auto"/>
        <w:contextualSpacing/>
        <w:jc w:val="both"/>
        <w:rPr>
          <w:bCs/>
          <w:iCs/>
          <w:sz w:val="20"/>
          <w:szCs w:val="20"/>
          <w:highlight w:val="lightGray"/>
          <w:lang w:val="de-DE"/>
        </w:rPr>
      </w:pPr>
      <w:r w:rsidRPr="000D12F4">
        <w:rPr>
          <w:bCs/>
          <w:sz w:val="22"/>
          <w:szCs w:val="22"/>
          <w:highlight w:val="lightGray"/>
          <w:lang w:val="fr-FR" w:eastAsia="fr-FR"/>
        </w:rPr>
        <w:t>6 ateliers (1 par cercle) d’échanges et de réflexions entre les acteurs de la justice, les autorités traditionnelles et les populations avec 347 participants ;</w:t>
      </w:r>
    </w:p>
    <w:p w14:paraId="559EB8DD" w14:textId="4030ED06" w:rsidR="000D12F4" w:rsidRPr="000D12F4" w:rsidRDefault="000D12F4" w:rsidP="00CD2513">
      <w:pPr>
        <w:numPr>
          <w:ilvl w:val="0"/>
          <w:numId w:val="5"/>
        </w:numPr>
        <w:spacing w:line="276" w:lineRule="auto"/>
        <w:contextualSpacing/>
        <w:jc w:val="both"/>
        <w:rPr>
          <w:bCs/>
          <w:iCs/>
          <w:sz w:val="20"/>
          <w:szCs w:val="20"/>
          <w:highlight w:val="lightGray"/>
          <w:lang w:val="de-DE"/>
        </w:rPr>
      </w:pPr>
      <w:r w:rsidRPr="000D12F4">
        <w:rPr>
          <w:rFonts w:eastAsia="Calibri"/>
          <w:sz w:val="22"/>
          <w:szCs w:val="22"/>
          <w:highlight w:val="lightGray"/>
          <w:lang w:val="fr"/>
        </w:rPr>
        <w:t>12 table ronde radiophoniques sur les défis de l’accès à la justice des populations</w:t>
      </w:r>
      <w:r w:rsidR="00200A51">
        <w:rPr>
          <w:rFonts w:eastAsia="Calibri"/>
          <w:sz w:val="22"/>
          <w:szCs w:val="22"/>
          <w:highlight w:val="lightGray"/>
          <w:lang w:val="fr"/>
        </w:rPr>
        <w:t> ;</w:t>
      </w:r>
    </w:p>
    <w:p w14:paraId="5A7B077C" w14:textId="50237B2E" w:rsidR="000076DB" w:rsidRPr="009C1311" w:rsidRDefault="000D12F4" w:rsidP="00CD2513">
      <w:pPr>
        <w:numPr>
          <w:ilvl w:val="0"/>
          <w:numId w:val="5"/>
        </w:numPr>
        <w:spacing w:line="276" w:lineRule="auto"/>
        <w:contextualSpacing/>
        <w:jc w:val="both"/>
        <w:rPr>
          <w:bCs/>
          <w:iCs/>
          <w:sz w:val="22"/>
          <w:szCs w:val="22"/>
          <w:highlight w:val="lightGray"/>
          <w:lang w:val="de-DE"/>
        </w:rPr>
      </w:pPr>
      <w:r w:rsidRPr="00905EDE">
        <w:rPr>
          <w:sz w:val="22"/>
          <w:szCs w:val="22"/>
          <w:highlight w:val="lightGray"/>
          <w:lang w:val="fr-FR" w:eastAsia="fr-FR"/>
        </w:rPr>
        <w:t>2 ateliers de restitution régionale (M</w:t>
      </w:r>
      <w:r w:rsidRPr="00174BA4">
        <w:rPr>
          <w:sz w:val="22"/>
          <w:szCs w:val="22"/>
          <w:highlight w:val="lightGray"/>
          <w:lang w:val="fr-FR" w:eastAsia="fr-FR"/>
        </w:rPr>
        <w:t xml:space="preserve">opti et Ségou) des données issues du processus de consultations et du baromètre </w:t>
      </w:r>
      <w:r w:rsidRPr="001C4F74">
        <w:rPr>
          <w:rFonts w:eastAsia="Calibri"/>
          <w:sz w:val="22"/>
          <w:szCs w:val="22"/>
          <w:highlight w:val="lightGray"/>
          <w:lang w:val="fr"/>
        </w:rPr>
        <w:t>participatif avec 91 participants</w:t>
      </w:r>
      <w:r w:rsidR="00200A51" w:rsidRPr="001C4F74">
        <w:rPr>
          <w:rFonts w:eastAsia="Calibri"/>
          <w:sz w:val="22"/>
          <w:szCs w:val="22"/>
          <w:highlight w:val="lightGray"/>
          <w:lang w:val="fr"/>
        </w:rPr>
        <w:t> ;</w:t>
      </w:r>
    </w:p>
    <w:p w14:paraId="06C0E3BF" w14:textId="437BD45D" w:rsidR="00200A51" w:rsidRPr="00CF4979" w:rsidRDefault="000076DB" w:rsidP="00200A51">
      <w:pPr>
        <w:pStyle w:val="ListParagraph"/>
        <w:numPr>
          <w:ilvl w:val="0"/>
          <w:numId w:val="8"/>
        </w:numPr>
        <w:spacing w:line="276" w:lineRule="auto"/>
        <w:jc w:val="both"/>
        <w:rPr>
          <w:bCs/>
          <w:iCs/>
          <w:sz w:val="22"/>
          <w:szCs w:val="22"/>
          <w:highlight w:val="lightGray"/>
          <w:lang w:val="fr-FR"/>
        </w:rPr>
      </w:pPr>
      <w:bookmarkStart w:id="12" w:name="_Hlk105018549"/>
      <w:r w:rsidRPr="00CD2513">
        <w:rPr>
          <w:bCs/>
          <w:iCs/>
          <w:sz w:val="22"/>
          <w:szCs w:val="22"/>
          <w:highlight w:val="lightGray"/>
          <w:lang w:val="de-DE"/>
        </w:rPr>
        <w:t xml:space="preserve">Un </w:t>
      </w:r>
      <w:r w:rsidRPr="00CF4979">
        <w:rPr>
          <w:bCs/>
          <w:iCs/>
          <w:sz w:val="22"/>
          <w:szCs w:val="22"/>
          <w:highlight w:val="lightGray"/>
          <w:lang w:val="fr-FR"/>
        </w:rPr>
        <w:t xml:space="preserve">fonds </w:t>
      </w:r>
      <w:r w:rsidR="007F3240" w:rsidRPr="00CF4979">
        <w:rPr>
          <w:bCs/>
          <w:iCs/>
          <w:sz w:val="22"/>
          <w:szCs w:val="22"/>
          <w:highlight w:val="lightGray"/>
          <w:lang w:val="fr-FR"/>
        </w:rPr>
        <w:t xml:space="preserve">d’assistance juridique et judiciaire </w:t>
      </w:r>
      <w:r w:rsidR="009F68CF" w:rsidRPr="00CF4979">
        <w:rPr>
          <w:bCs/>
          <w:iCs/>
          <w:sz w:val="22"/>
          <w:szCs w:val="22"/>
          <w:highlight w:val="lightGray"/>
          <w:lang w:val="fr-FR"/>
        </w:rPr>
        <w:t xml:space="preserve">a </w:t>
      </w:r>
      <w:r w:rsidR="00AE7D14" w:rsidRPr="00CF4979">
        <w:rPr>
          <w:bCs/>
          <w:iCs/>
          <w:sz w:val="22"/>
          <w:szCs w:val="22"/>
          <w:highlight w:val="lightGray"/>
          <w:lang w:val="fr-FR"/>
        </w:rPr>
        <w:t>été</w:t>
      </w:r>
      <w:r w:rsidR="007F3240" w:rsidRPr="00CF4979">
        <w:rPr>
          <w:bCs/>
          <w:iCs/>
          <w:sz w:val="22"/>
          <w:szCs w:val="22"/>
          <w:highlight w:val="lightGray"/>
          <w:lang w:val="fr-FR"/>
        </w:rPr>
        <w:t xml:space="preserve"> mis en place pour l’assistance des victimes au sein de 15 dossiers </w:t>
      </w:r>
      <w:r w:rsidR="00AE7D14" w:rsidRPr="00AE7D14">
        <w:rPr>
          <w:bCs/>
          <w:iCs/>
          <w:sz w:val="22"/>
          <w:szCs w:val="22"/>
          <w:highlight w:val="lightGray"/>
          <w:lang w:val="fr-FR"/>
        </w:rPr>
        <w:t>emblématiques</w:t>
      </w:r>
      <w:r w:rsidR="007F3240" w:rsidRPr="00CF4979">
        <w:rPr>
          <w:bCs/>
          <w:iCs/>
          <w:sz w:val="22"/>
          <w:szCs w:val="22"/>
          <w:highlight w:val="lightGray"/>
          <w:lang w:val="fr-FR"/>
        </w:rPr>
        <w:t xml:space="preserve"> devant la justice militaire</w:t>
      </w:r>
      <w:r w:rsidR="00200A51" w:rsidRPr="00CF4979">
        <w:rPr>
          <w:bCs/>
          <w:iCs/>
          <w:sz w:val="22"/>
          <w:szCs w:val="22"/>
          <w:highlight w:val="lightGray"/>
          <w:lang w:val="fr-FR"/>
        </w:rPr>
        <w:t>;</w:t>
      </w:r>
    </w:p>
    <w:p w14:paraId="47B8A7C0" w14:textId="6AA51AB8" w:rsidR="00486675" w:rsidRPr="00CF4979" w:rsidRDefault="00200A51" w:rsidP="00CD2513">
      <w:pPr>
        <w:pStyle w:val="ListParagraph"/>
        <w:numPr>
          <w:ilvl w:val="0"/>
          <w:numId w:val="8"/>
        </w:numPr>
        <w:spacing w:line="276" w:lineRule="auto"/>
        <w:jc w:val="both"/>
        <w:rPr>
          <w:bCs/>
          <w:iCs/>
          <w:sz w:val="22"/>
          <w:szCs w:val="22"/>
          <w:highlight w:val="lightGray"/>
          <w:lang w:val="fr-FR"/>
        </w:rPr>
      </w:pPr>
      <w:r w:rsidRPr="00CF4979">
        <w:rPr>
          <w:bCs/>
          <w:iCs/>
          <w:sz w:val="22"/>
          <w:szCs w:val="22"/>
          <w:highlight w:val="lightGray"/>
          <w:lang w:val="fr-FR"/>
        </w:rPr>
        <w:lastRenderedPageBreak/>
        <w:t xml:space="preserve">Deux formations sur la </w:t>
      </w:r>
      <w:r w:rsidR="00AE7D14" w:rsidRPr="00CF4979">
        <w:rPr>
          <w:bCs/>
          <w:iCs/>
          <w:sz w:val="22"/>
          <w:szCs w:val="22"/>
          <w:highlight w:val="lightGray"/>
          <w:lang w:val="fr-FR"/>
        </w:rPr>
        <w:t>stratégie</w:t>
      </w:r>
      <w:r w:rsidRPr="00CF4979">
        <w:rPr>
          <w:bCs/>
          <w:iCs/>
          <w:sz w:val="22"/>
          <w:szCs w:val="22"/>
          <w:highlight w:val="lightGray"/>
          <w:lang w:val="fr-FR"/>
        </w:rPr>
        <w:t xml:space="preserve"> de protection des victimes et des </w:t>
      </w:r>
      <w:r w:rsidR="00AE7D14" w:rsidRPr="00AE7D14">
        <w:rPr>
          <w:bCs/>
          <w:iCs/>
          <w:sz w:val="22"/>
          <w:szCs w:val="22"/>
          <w:highlight w:val="lightGray"/>
          <w:lang w:val="fr-FR"/>
        </w:rPr>
        <w:t>témoins</w:t>
      </w:r>
      <w:r w:rsidRPr="00CF4979">
        <w:rPr>
          <w:bCs/>
          <w:iCs/>
          <w:sz w:val="22"/>
          <w:szCs w:val="22"/>
          <w:highlight w:val="lightGray"/>
          <w:lang w:val="fr-FR"/>
        </w:rPr>
        <w:t xml:space="preserve"> </w:t>
      </w:r>
      <w:r w:rsidR="00AE7D14" w:rsidRPr="00AE7D14">
        <w:rPr>
          <w:bCs/>
          <w:iCs/>
          <w:sz w:val="22"/>
          <w:szCs w:val="22"/>
          <w:highlight w:val="lightGray"/>
          <w:lang w:val="fr-FR"/>
        </w:rPr>
        <w:t>à</w:t>
      </w:r>
      <w:r w:rsidRPr="00CF4979">
        <w:rPr>
          <w:bCs/>
          <w:iCs/>
          <w:sz w:val="22"/>
          <w:szCs w:val="22"/>
          <w:highlight w:val="lightGray"/>
          <w:lang w:val="fr-FR"/>
        </w:rPr>
        <w:t xml:space="preserve"> l’endroit des avocats du Barreau </w:t>
      </w:r>
      <w:r w:rsidR="00AE7D14" w:rsidRPr="00AE7D14">
        <w:rPr>
          <w:bCs/>
          <w:iCs/>
          <w:sz w:val="22"/>
          <w:szCs w:val="22"/>
          <w:highlight w:val="lightGray"/>
          <w:lang w:val="fr-FR"/>
        </w:rPr>
        <w:t>sélectionnés</w:t>
      </w:r>
      <w:r w:rsidRPr="00CF4979">
        <w:rPr>
          <w:bCs/>
          <w:iCs/>
          <w:sz w:val="22"/>
          <w:szCs w:val="22"/>
          <w:highlight w:val="lightGray"/>
          <w:lang w:val="fr-FR"/>
        </w:rPr>
        <w:t xml:space="preserve"> pour les dossiers </w:t>
      </w:r>
      <w:r w:rsidR="00BE3C7B" w:rsidRPr="00AE7D14">
        <w:rPr>
          <w:bCs/>
          <w:iCs/>
          <w:sz w:val="22"/>
          <w:szCs w:val="22"/>
          <w:highlight w:val="lightGray"/>
          <w:lang w:val="fr-FR"/>
        </w:rPr>
        <w:t>emblématiques</w:t>
      </w:r>
      <w:r w:rsidR="00BE3C7B" w:rsidRPr="00BE3C7B">
        <w:rPr>
          <w:bCs/>
          <w:iCs/>
          <w:sz w:val="22"/>
          <w:szCs w:val="22"/>
          <w:highlight w:val="lightGray"/>
          <w:lang w:val="fr-FR"/>
        </w:rPr>
        <w:t xml:space="preserve"> ;</w:t>
      </w:r>
      <w:r w:rsidRPr="00CF4979">
        <w:rPr>
          <w:bCs/>
          <w:iCs/>
          <w:sz w:val="22"/>
          <w:szCs w:val="22"/>
          <w:highlight w:val="lightGray"/>
          <w:lang w:val="fr-FR"/>
        </w:rPr>
        <w:t xml:space="preserve"> </w:t>
      </w:r>
      <w:r w:rsidR="007F3240" w:rsidRPr="00CF4979">
        <w:rPr>
          <w:bCs/>
          <w:iCs/>
          <w:sz w:val="22"/>
          <w:szCs w:val="22"/>
          <w:highlight w:val="lightGray"/>
          <w:lang w:val="fr-FR"/>
        </w:rPr>
        <w:t xml:space="preserve"> </w:t>
      </w:r>
    </w:p>
    <w:p w14:paraId="42824170" w14:textId="2EAE56F2" w:rsidR="00054C2F" w:rsidRPr="00BE3C7B" w:rsidRDefault="00054C2F" w:rsidP="00200A51">
      <w:pPr>
        <w:pStyle w:val="ListParagraph"/>
        <w:numPr>
          <w:ilvl w:val="0"/>
          <w:numId w:val="8"/>
        </w:numPr>
        <w:spacing w:line="276" w:lineRule="auto"/>
        <w:jc w:val="both"/>
        <w:rPr>
          <w:bCs/>
          <w:iCs/>
          <w:sz w:val="22"/>
          <w:szCs w:val="22"/>
          <w:highlight w:val="lightGray"/>
          <w:lang w:val="fr-FR"/>
        </w:rPr>
      </w:pPr>
      <w:r w:rsidRPr="00AE7D14">
        <w:rPr>
          <w:bCs/>
          <w:iCs/>
          <w:sz w:val="22"/>
          <w:szCs w:val="22"/>
          <w:highlight w:val="lightGray"/>
          <w:lang w:val="fr-FR"/>
        </w:rPr>
        <w:t xml:space="preserve">Premier recueil de plaintes </w:t>
      </w:r>
      <w:r w:rsidRPr="00BE3C7B">
        <w:rPr>
          <w:bCs/>
          <w:iCs/>
          <w:sz w:val="22"/>
          <w:szCs w:val="22"/>
          <w:highlight w:val="lightGray"/>
          <w:lang w:val="fr-FR"/>
        </w:rPr>
        <w:t>informatisées au sein de la nouvelle base de données</w:t>
      </w:r>
      <w:r w:rsidRPr="0012190D">
        <w:rPr>
          <w:bCs/>
          <w:iCs/>
          <w:sz w:val="22"/>
          <w:szCs w:val="22"/>
          <w:highlight w:val="lightGray"/>
          <w:lang w:val="fr-FR"/>
        </w:rPr>
        <w:t xml:space="preserve"> de la </w:t>
      </w:r>
      <w:r w:rsidR="00AE7D14" w:rsidRPr="00AE7D14">
        <w:rPr>
          <w:bCs/>
          <w:iCs/>
          <w:sz w:val="22"/>
          <w:szCs w:val="22"/>
          <w:highlight w:val="lightGray"/>
        </w:rPr>
        <w:t xml:space="preserve">Commission Nationale des Droits de l’Homme </w:t>
      </w:r>
      <w:r w:rsidR="00AE7D14">
        <w:rPr>
          <w:bCs/>
          <w:iCs/>
          <w:sz w:val="22"/>
          <w:szCs w:val="22"/>
          <w:highlight w:val="lightGray"/>
        </w:rPr>
        <w:t>(</w:t>
      </w:r>
      <w:r w:rsidRPr="00AE7D14">
        <w:rPr>
          <w:bCs/>
          <w:iCs/>
          <w:sz w:val="22"/>
          <w:szCs w:val="22"/>
          <w:highlight w:val="lightGray"/>
          <w:lang w:val="fr-FR"/>
        </w:rPr>
        <w:t>CNDH</w:t>
      </w:r>
      <w:r w:rsidR="00AE7D14">
        <w:rPr>
          <w:bCs/>
          <w:iCs/>
          <w:sz w:val="22"/>
          <w:szCs w:val="22"/>
          <w:highlight w:val="lightGray"/>
          <w:lang w:val="fr-FR"/>
        </w:rPr>
        <w:t>)</w:t>
      </w:r>
      <w:r w:rsidRPr="00AE7D14">
        <w:rPr>
          <w:bCs/>
          <w:iCs/>
          <w:sz w:val="22"/>
          <w:szCs w:val="22"/>
          <w:highlight w:val="lightGray"/>
          <w:lang w:val="fr-FR"/>
        </w:rPr>
        <w:t xml:space="preserve"> grâce à l</w:t>
      </w:r>
      <w:r w:rsidR="006C0158" w:rsidRPr="00AE7D14">
        <w:rPr>
          <w:bCs/>
          <w:iCs/>
          <w:sz w:val="22"/>
          <w:szCs w:val="22"/>
          <w:highlight w:val="lightGray"/>
          <w:lang w:val="fr-FR"/>
        </w:rPr>
        <w:t xml:space="preserve">’appui </w:t>
      </w:r>
      <w:r w:rsidRPr="00AE7D14">
        <w:rPr>
          <w:bCs/>
          <w:iCs/>
          <w:sz w:val="22"/>
          <w:szCs w:val="22"/>
          <w:highlight w:val="lightGray"/>
          <w:lang w:val="fr-FR"/>
        </w:rPr>
        <w:t>du projet </w:t>
      </w:r>
      <w:r w:rsidRPr="00BE3C7B">
        <w:rPr>
          <w:bCs/>
          <w:iCs/>
          <w:sz w:val="22"/>
          <w:szCs w:val="22"/>
          <w:highlight w:val="lightGray"/>
          <w:lang w:val="fr-FR"/>
        </w:rPr>
        <w:t>;</w:t>
      </w:r>
    </w:p>
    <w:p w14:paraId="25D1E32D" w14:textId="5AFF0545" w:rsidR="009E3717" w:rsidRPr="006D27F6" w:rsidRDefault="009E3717" w:rsidP="00200A51">
      <w:pPr>
        <w:pStyle w:val="ListParagraph"/>
        <w:numPr>
          <w:ilvl w:val="0"/>
          <w:numId w:val="8"/>
        </w:numPr>
        <w:spacing w:line="276" w:lineRule="auto"/>
        <w:jc w:val="both"/>
        <w:rPr>
          <w:bCs/>
          <w:iCs/>
          <w:sz w:val="22"/>
          <w:szCs w:val="22"/>
          <w:highlight w:val="lightGray"/>
          <w:lang w:val="fr-FR"/>
        </w:rPr>
      </w:pPr>
      <w:r>
        <w:rPr>
          <w:bCs/>
          <w:iCs/>
          <w:sz w:val="22"/>
          <w:szCs w:val="22"/>
          <w:highlight w:val="lightGray"/>
          <w:lang w:val="fr-FR"/>
        </w:rPr>
        <w:t xml:space="preserve">Les plans d’actions de 7 </w:t>
      </w:r>
      <w:r w:rsidR="00BE3C7B" w:rsidRPr="00BE3C7B">
        <w:rPr>
          <w:bCs/>
          <w:iCs/>
          <w:sz w:val="22"/>
          <w:szCs w:val="22"/>
          <w:highlight w:val="lightGray"/>
        </w:rPr>
        <w:t xml:space="preserve">Comités Consultatifs de Sécurité </w:t>
      </w:r>
      <w:r w:rsidR="00BE3C7B">
        <w:rPr>
          <w:bCs/>
          <w:iCs/>
          <w:sz w:val="22"/>
          <w:szCs w:val="22"/>
          <w:highlight w:val="lightGray"/>
        </w:rPr>
        <w:t>(</w:t>
      </w:r>
      <w:r>
        <w:rPr>
          <w:bCs/>
          <w:iCs/>
          <w:sz w:val="22"/>
          <w:szCs w:val="22"/>
          <w:highlight w:val="lightGray"/>
          <w:lang w:val="fr-FR"/>
        </w:rPr>
        <w:t>CCS</w:t>
      </w:r>
      <w:r w:rsidR="00BE3C7B">
        <w:rPr>
          <w:bCs/>
          <w:iCs/>
          <w:sz w:val="22"/>
          <w:szCs w:val="22"/>
          <w:highlight w:val="lightGray"/>
          <w:lang w:val="fr-FR"/>
        </w:rPr>
        <w:t>)</w:t>
      </w:r>
      <w:r>
        <w:rPr>
          <w:bCs/>
          <w:iCs/>
          <w:sz w:val="22"/>
          <w:szCs w:val="22"/>
          <w:highlight w:val="lightGray"/>
          <w:lang w:val="fr-FR"/>
        </w:rPr>
        <w:t xml:space="preserve"> mis en place sont </w:t>
      </w:r>
      <w:r w:rsidR="00AE7D14">
        <w:rPr>
          <w:bCs/>
          <w:iCs/>
          <w:sz w:val="22"/>
          <w:szCs w:val="22"/>
          <w:highlight w:val="lightGray"/>
          <w:lang w:val="fr-FR"/>
        </w:rPr>
        <w:t>opérationnels</w:t>
      </w:r>
    </w:p>
    <w:p w14:paraId="2736C626" w14:textId="60F1C79A" w:rsidR="006C0158" w:rsidRPr="006D27F6" w:rsidRDefault="00054C2F" w:rsidP="00200A51">
      <w:pPr>
        <w:pStyle w:val="ListParagraph"/>
        <w:numPr>
          <w:ilvl w:val="0"/>
          <w:numId w:val="8"/>
        </w:numPr>
        <w:spacing w:line="276" w:lineRule="auto"/>
        <w:jc w:val="both"/>
        <w:rPr>
          <w:bCs/>
          <w:iCs/>
          <w:sz w:val="22"/>
          <w:szCs w:val="22"/>
          <w:highlight w:val="lightGray"/>
          <w:lang w:val="fr-FR"/>
        </w:rPr>
      </w:pPr>
      <w:r w:rsidRPr="002C6280">
        <w:rPr>
          <w:bCs/>
          <w:iCs/>
          <w:sz w:val="22"/>
          <w:szCs w:val="22"/>
          <w:highlight w:val="lightGray"/>
          <w:lang w:val="fr-FR"/>
        </w:rPr>
        <w:t>La</w:t>
      </w:r>
      <w:r w:rsidR="006C0158" w:rsidRPr="00CD2513">
        <w:rPr>
          <w:bCs/>
          <w:iCs/>
          <w:sz w:val="22"/>
          <w:szCs w:val="22"/>
          <w:highlight w:val="lightGray"/>
          <w:lang w:val="fr-FR"/>
        </w:rPr>
        <w:t xml:space="preserve"> </w:t>
      </w:r>
      <w:r w:rsidR="00F801F3" w:rsidRPr="00F801F3">
        <w:rPr>
          <w:bCs/>
          <w:iCs/>
          <w:sz w:val="22"/>
          <w:szCs w:val="22"/>
          <w:highlight w:val="lightGray"/>
        </w:rPr>
        <w:t xml:space="preserve">CNDH </w:t>
      </w:r>
      <w:r w:rsidR="006C0158" w:rsidRPr="00CD2513">
        <w:rPr>
          <w:bCs/>
          <w:iCs/>
          <w:sz w:val="22"/>
          <w:szCs w:val="22"/>
          <w:highlight w:val="lightGray"/>
          <w:lang w:val="fr-FR"/>
        </w:rPr>
        <w:t>dispose des statistiques fiables et facilement exploitables</w:t>
      </w:r>
      <w:r w:rsidR="006C0158" w:rsidRPr="00CD2513">
        <w:rPr>
          <w:sz w:val="22"/>
          <w:szCs w:val="22"/>
          <w:highlight w:val="lightGray"/>
          <w:lang w:val="fr-FR"/>
        </w:rPr>
        <w:t xml:space="preserve"> et est désormais en mesure de mieux prendre en charge des dossiers qui lui ont été confié</w:t>
      </w:r>
      <w:r w:rsidR="00200A51" w:rsidRPr="00CD2513">
        <w:rPr>
          <w:sz w:val="22"/>
          <w:szCs w:val="22"/>
          <w:highlight w:val="lightGray"/>
          <w:lang w:val="fr-FR"/>
        </w:rPr>
        <w:t>s</w:t>
      </w:r>
      <w:r w:rsidR="00200A51" w:rsidRPr="00905EDE">
        <w:rPr>
          <w:sz w:val="22"/>
          <w:szCs w:val="22"/>
          <w:highlight w:val="lightGray"/>
          <w:lang w:val="fr-FR"/>
        </w:rPr>
        <w:t> </w:t>
      </w:r>
      <w:r w:rsidR="00200A51" w:rsidRPr="00174BA4">
        <w:rPr>
          <w:sz w:val="22"/>
          <w:szCs w:val="22"/>
          <w:highlight w:val="lightGray"/>
          <w:lang w:val="fr-FR"/>
        </w:rPr>
        <w:t>;</w:t>
      </w:r>
    </w:p>
    <w:p w14:paraId="1C8588BE" w14:textId="7126C5C8" w:rsidR="00054C2F" w:rsidRPr="00CD2513" w:rsidRDefault="00054C2F" w:rsidP="00CD2513">
      <w:pPr>
        <w:pStyle w:val="ListParagraph"/>
        <w:numPr>
          <w:ilvl w:val="0"/>
          <w:numId w:val="8"/>
        </w:numPr>
        <w:rPr>
          <w:bCs/>
          <w:iCs/>
          <w:sz w:val="22"/>
          <w:szCs w:val="22"/>
          <w:highlight w:val="lightGray"/>
          <w:lang w:val="fr-FR"/>
        </w:rPr>
      </w:pPr>
      <w:r w:rsidRPr="00CD2513">
        <w:rPr>
          <w:bCs/>
          <w:iCs/>
          <w:sz w:val="22"/>
          <w:szCs w:val="22"/>
          <w:highlight w:val="lightGray"/>
          <w:lang w:val="fr-FR"/>
        </w:rPr>
        <w:t>Le cadre de concertation entre la CNDH et les organisations locales</w:t>
      </w:r>
      <w:r w:rsidR="00905EDE" w:rsidRPr="00CD2513">
        <w:rPr>
          <w:bCs/>
          <w:iCs/>
          <w:sz w:val="22"/>
          <w:szCs w:val="22"/>
          <w:highlight w:val="lightGray"/>
          <w:lang w:val="fr-FR"/>
        </w:rPr>
        <w:t xml:space="preserve"> a été renforcé ;</w:t>
      </w:r>
    </w:p>
    <w:p w14:paraId="49F7DAC2" w14:textId="4EB1A9DB" w:rsidR="006C0158" w:rsidRPr="00CD2513" w:rsidRDefault="006C0158" w:rsidP="00CD2513">
      <w:pPr>
        <w:pStyle w:val="ListParagraph"/>
        <w:numPr>
          <w:ilvl w:val="0"/>
          <w:numId w:val="8"/>
        </w:numPr>
        <w:spacing w:line="276" w:lineRule="auto"/>
        <w:jc w:val="both"/>
        <w:rPr>
          <w:bCs/>
          <w:iCs/>
          <w:sz w:val="22"/>
          <w:szCs w:val="22"/>
          <w:highlight w:val="lightGray"/>
          <w:lang w:val="fr-FR"/>
        </w:rPr>
      </w:pPr>
      <w:r w:rsidRPr="00CD2513">
        <w:rPr>
          <w:bCs/>
          <w:iCs/>
          <w:sz w:val="22"/>
          <w:szCs w:val="22"/>
          <w:highlight w:val="lightGray"/>
          <w:lang w:val="fr-FR"/>
        </w:rPr>
        <w:t>Recrutement de 3 consultants nationaux en appui au projet dont le coordinateur national</w:t>
      </w:r>
      <w:r w:rsidR="00200A51" w:rsidRPr="00905EDE">
        <w:rPr>
          <w:bCs/>
          <w:iCs/>
          <w:sz w:val="22"/>
          <w:szCs w:val="22"/>
          <w:highlight w:val="lightGray"/>
          <w:lang w:val="fr-FR"/>
        </w:rPr>
        <w:t> </w:t>
      </w:r>
      <w:r w:rsidR="00200A51" w:rsidRPr="00174BA4">
        <w:rPr>
          <w:bCs/>
          <w:iCs/>
          <w:sz w:val="22"/>
          <w:szCs w:val="22"/>
          <w:highlight w:val="lightGray"/>
          <w:lang w:val="fr-FR"/>
        </w:rPr>
        <w:t>;</w:t>
      </w:r>
      <w:r w:rsidRPr="00CD2513">
        <w:rPr>
          <w:bCs/>
          <w:iCs/>
          <w:sz w:val="22"/>
          <w:szCs w:val="22"/>
          <w:highlight w:val="lightGray"/>
          <w:lang w:val="fr-FR"/>
        </w:rPr>
        <w:t xml:space="preserve"> </w:t>
      </w:r>
    </w:p>
    <w:p w14:paraId="13552E97" w14:textId="7B18CA35" w:rsidR="00200A51" w:rsidRPr="00CD2513" w:rsidRDefault="00200A51" w:rsidP="00CD2513">
      <w:pPr>
        <w:pStyle w:val="ListParagraph"/>
        <w:numPr>
          <w:ilvl w:val="0"/>
          <w:numId w:val="8"/>
        </w:numPr>
        <w:spacing w:line="276" w:lineRule="auto"/>
        <w:jc w:val="both"/>
        <w:rPr>
          <w:bCs/>
          <w:iCs/>
          <w:sz w:val="22"/>
          <w:szCs w:val="22"/>
          <w:highlight w:val="lightGray"/>
          <w:lang w:val="fr-FR"/>
        </w:rPr>
      </w:pPr>
      <w:r w:rsidRPr="00CD2513">
        <w:rPr>
          <w:bCs/>
          <w:iCs/>
          <w:sz w:val="22"/>
          <w:szCs w:val="22"/>
          <w:highlight w:val="lightGray"/>
          <w:lang w:val="fr-FR"/>
        </w:rPr>
        <w:t>Recrutement de l’entreprise de communication</w:t>
      </w:r>
      <w:r w:rsidRPr="00905EDE">
        <w:rPr>
          <w:bCs/>
          <w:iCs/>
          <w:sz w:val="22"/>
          <w:szCs w:val="22"/>
          <w:highlight w:val="lightGray"/>
          <w:lang w:val="fr-FR"/>
        </w:rPr>
        <w:t xml:space="preserve"> pour l</w:t>
      </w:r>
      <w:r w:rsidRPr="00174BA4">
        <w:rPr>
          <w:bCs/>
          <w:iCs/>
          <w:sz w:val="22"/>
          <w:szCs w:val="22"/>
          <w:highlight w:val="lightGray"/>
          <w:lang w:val="fr-FR"/>
        </w:rPr>
        <w:t>a couverture des</w:t>
      </w:r>
      <w:r w:rsidRPr="006D27F6">
        <w:rPr>
          <w:bCs/>
          <w:iCs/>
          <w:sz w:val="22"/>
          <w:szCs w:val="22"/>
          <w:highlight w:val="lightGray"/>
          <w:lang w:val="fr-FR"/>
        </w:rPr>
        <w:t xml:space="preserve"> activités</w:t>
      </w:r>
      <w:r w:rsidRPr="002C6280">
        <w:rPr>
          <w:bCs/>
          <w:iCs/>
          <w:sz w:val="22"/>
          <w:szCs w:val="22"/>
          <w:highlight w:val="lightGray"/>
          <w:lang w:val="fr-FR"/>
        </w:rPr>
        <w:t xml:space="preserve"> de sensibilisation</w:t>
      </w:r>
    </w:p>
    <w:bookmarkEnd w:id="12"/>
    <w:p w14:paraId="3171AD67" w14:textId="42C90299" w:rsidR="00486675" w:rsidRPr="00CD2513" w:rsidRDefault="00486675" w:rsidP="00CD2513">
      <w:pPr>
        <w:ind w:firstLine="60"/>
        <w:contextualSpacing/>
        <w:jc w:val="both"/>
        <w:rPr>
          <w:bCs/>
          <w:iCs/>
          <w:sz w:val="22"/>
          <w:szCs w:val="22"/>
          <w:highlight w:val="lightGray"/>
          <w:lang w:val="fr-FR"/>
        </w:rPr>
      </w:pPr>
    </w:p>
    <w:p w14:paraId="10DAF13C" w14:textId="77777777" w:rsidR="007F3240" w:rsidRPr="000D12F4" w:rsidRDefault="007F3240" w:rsidP="00CD2513">
      <w:pPr>
        <w:contextualSpacing/>
        <w:jc w:val="both"/>
        <w:rPr>
          <w:bCs/>
          <w:iCs/>
          <w:sz w:val="22"/>
          <w:szCs w:val="22"/>
          <w:highlight w:val="lightGray"/>
          <w:lang w:val="de-DE"/>
        </w:rPr>
      </w:pPr>
    </w:p>
    <w:p w14:paraId="5E25EE25" w14:textId="0FD62FE7" w:rsidR="00F778A1" w:rsidRPr="00905EDE" w:rsidRDefault="00F778A1" w:rsidP="00F778A1">
      <w:pPr>
        <w:ind w:left="-810"/>
        <w:rPr>
          <w:rFonts w:ascii="Arial Narrow" w:hAnsi="Arial Narrow"/>
          <w:b/>
          <w:i/>
          <w:sz w:val="22"/>
          <w:szCs w:val="22"/>
          <w:lang w:val="fr-FR"/>
        </w:rPr>
      </w:pPr>
    </w:p>
    <w:p w14:paraId="20FA9EBD" w14:textId="77777777" w:rsidR="00161D02" w:rsidRPr="00CD2513"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174BA4"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905EDE">
        <w:rPr>
          <w:lang w:val="fr-FR"/>
        </w:rPr>
        <w:t>(</w:t>
      </w:r>
      <w:proofErr w:type="gramStart"/>
      <w:r w:rsidR="008C782A" w:rsidRPr="00905EDE">
        <w:rPr>
          <w:lang w:val="fr-FR"/>
        </w:rPr>
        <w:t>limit</w:t>
      </w:r>
      <w:r w:rsidRPr="00174BA4">
        <w:rPr>
          <w:lang w:val="fr-FR"/>
        </w:rPr>
        <w:t>e</w:t>
      </w:r>
      <w:proofErr w:type="gramEnd"/>
      <w:r w:rsidRPr="00174BA4">
        <w:rPr>
          <w:lang w:val="fr-FR"/>
        </w:rPr>
        <w:t xml:space="preserve"> de 1500 </w:t>
      </w:r>
      <w:r w:rsidRPr="00F778A1">
        <w:rPr>
          <w:lang w:val="fr-FR"/>
        </w:rPr>
        <w:t>caractères</w:t>
      </w:r>
      <w:r w:rsidR="008C782A" w:rsidRPr="00905EDE">
        <w:rPr>
          <w:lang w:val="fr-FR"/>
        </w:rPr>
        <w:t xml:space="preserve">): </w:t>
      </w:r>
    </w:p>
    <w:p w14:paraId="1D684F18" w14:textId="4C9B54C0" w:rsidR="000D12F4" w:rsidRPr="00C85138" w:rsidRDefault="000D12F4" w:rsidP="000D12F4">
      <w:pPr>
        <w:pStyle w:val="BlockText"/>
      </w:pPr>
      <w:r w:rsidRPr="00ED6B34">
        <w:rPr>
          <w:highlight w:val="lightGray"/>
        </w:rPr>
        <w:t xml:space="preserve">Un changement important peut être noté en ce qui concerne la reconnaissance des Commissions foncières (CoFos) par les tribunaux de Bla, San et Djénné. Cela s’est traduit par l’homologation des procès verbaux de conciliation </w:t>
      </w:r>
      <w:r w:rsidRPr="00C85138">
        <w:t xml:space="preserve">des CoFos à propos de conflits fonciers entre les communautés. </w:t>
      </w:r>
      <w:r w:rsidR="00D07C97" w:rsidRPr="00C85138">
        <w:t>Ainisi,</w:t>
      </w:r>
      <w:r w:rsidRPr="00C85138">
        <w:t xml:space="preserve"> 15 conflits liés au foncier ont été résolus et les procès verbaux homologués par les juridictions. Il faut souligner la contribution des femmes à la résolution de ces conflits à travers leur participation active dans ces CoFos. Aussi, l’intégration des plans d’action dans le Plan de Développement Economique Social et Culturel (PDESEC) de 30 communes est un changement considérable à encourager. </w:t>
      </w:r>
    </w:p>
    <w:p w14:paraId="45AF191F" w14:textId="46F3504D" w:rsidR="000D12F4" w:rsidRPr="00C85138" w:rsidRDefault="000D12F4" w:rsidP="000D12F4">
      <w:pPr>
        <w:pStyle w:val="BlockText"/>
      </w:pPr>
    </w:p>
    <w:p w14:paraId="69639D17" w14:textId="243DB2D1" w:rsidR="000D12F4" w:rsidRDefault="000D12F4" w:rsidP="000D12F4">
      <w:pPr>
        <w:pStyle w:val="BlockText"/>
      </w:pPr>
      <w:r w:rsidRPr="00C85138">
        <w:t xml:space="preserve">En ce qui concerne les </w:t>
      </w:r>
      <w:bookmarkStart w:id="13" w:name="_Hlk105689506"/>
      <w:r w:rsidRPr="00C85138">
        <w:t>C</w:t>
      </w:r>
      <w:r w:rsidR="00D07C97" w:rsidRPr="00C85138">
        <w:t xml:space="preserve">omités </w:t>
      </w:r>
      <w:r w:rsidRPr="00C85138">
        <w:t>C</w:t>
      </w:r>
      <w:r w:rsidR="00D07C97" w:rsidRPr="00C85138">
        <w:t xml:space="preserve">onsultatifs de </w:t>
      </w:r>
      <w:r w:rsidRPr="00C85138">
        <w:t>S</w:t>
      </w:r>
      <w:r w:rsidR="00D07C97" w:rsidRPr="00C85138">
        <w:t xml:space="preserve">écurité </w:t>
      </w:r>
      <w:bookmarkEnd w:id="13"/>
      <w:r w:rsidR="00D07C97" w:rsidRPr="00C85138">
        <w:t>(CCS)</w:t>
      </w:r>
      <w:r w:rsidRPr="00C85138">
        <w:t>, grâce à l’appui rapproché des volontaires communautaires recrutés en collaboration avec le CNPV( Le Centre National de Promotion du Volontariat) aux Maires, présidents des CCS  on constate un rapprochement progressif et à une amélioration des rapports entre les  populations et les F</w:t>
      </w:r>
      <w:r w:rsidR="0053206E" w:rsidRPr="00C85138">
        <w:t xml:space="preserve">orces de </w:t>
      </w:r>
      <w:r w:rsidRPr="00C85138">
        <w:t>S</w:t>
      </w:r>
      <w:r w:rsidR="0053206E" w:rsidRPr="00C85138">
        <w:t xml:space="preserve">écurité </w:t>
      </w:r>
      <w:r w:rsidRPr="00C85138">
        <w:t>I</w:t>
      </w:r>
      <w:r w:rsidR="0053206E" w:rsidRPr="00C85138">
        <w:t>ntérieure (FSI)</w:t>
      </w:r>
      <w:r w:rsidRPr="00C85138">
        <w:t xml:space="preserve"> dans la zone d’intervention dans la gestion de la sécurité publique. Ceci est le résultat notamment de  tenue régulière des réunions mensuelles des statutaires CCS qui ont permis aux populations   non seulement d’exprimer leurs</w:t>
      </w:r>
      <w:r>
        <w:t xml:space="preserve"> besoins sécuritaires mais également de participer à la définition des solutions à mettre en polace pour faire face aux défis sécuritaires de leurs ressorts respectifs.  </w:t>
      </w:r>
      <w:r w:rsidR="009D2C54">
        <w:rPr>
          <w:lang w:val="fr-CH"/>
        </w:rPr>
        <w:t xml:space="preserve">Les CCS servent également de plus en plus comme outils d’alerte précoce en matière de sécurité. Ainsi, </w:t>
      </w:r>
      <w:r w:rsidR="009D2C54">
        <w:rPr>
          <w:lang w:val="fr-ML"/>
        </w:rPr>
        <w:t xml:space="preserve">à la suite des évènements de </w:t>
      </w:r>
      <w:proofErr w:type="spellStart"/>
      <w:r w:rsidR="009D2C54">
        <w:rPr>
          <w:lang w:val="fr-ML"/>
        </w:rPr>
        <w:t>Tiékorobougou</w:t>
      </w:r>
      <w:proofErr w:type="spellEnd"/>
      <w:r w:rsidR="009D2C54">
        <w:rPr>
          <w:lang w:val="fr-ML"/>
        </w:rPr>
        <w:t>, cercle de Djenné</w:t>
      </w:r>
      <w:r w:rsidR="0002538E">
        <w:rPr>
          <w:lang w:val="fr-ML"/>
        </w:rPr>
        <w:t>,</w:t>
      </w:r>
      <w:r w:rsidR="009D2C54">
        <w:rPr>
          <w:lang w:val="fr-ML"/>
        </w:rPr>
        <w:t xml:space="preserve"> le 06 mai 2022 où des hommes armés ont enlevés 32 femmes, le chef du village de </w:t>
      </w:r>
      <w:proofErr w:type="spellStart"/>
      <w:r w:rsidR="009D2C54">
        <w:rPr>
          <w:lang w:val="fr-ML"/>
        </w:rPr>
        <w:t>Gondikouboye</w:t>
      </w:r>
      <w:proofErr w:type="spellEnd"/>
      <w:r w:rsidR="009D2C54">
        <w:rPr>
          <w:lang w:val="fr-ML"/>
        </w:rPr>
        <w:t xml:space="preserve"> a </w:t>
      </w:r>
      <w:r w:rsidR="00C64E0C">
        <w:rPr>
          <w:lang w:val="fr-ML"/>
        </w:rPr>
        <w:t>alerté</w:t>
      </w:r>
      <w:r w:rsidR="009D2C54">
        <w:rPr>
          <w:lang w:val="fr-ML"/>
        </w:rPr>
        <w:t xml:space="preserve"> le maire pour lui faire part de la situation</w:t>
      </w:r>
      <w:r w:rsidR="0002538E">
        <w:rPr>
          <w:lang w:val="fr-ML"/>
        </w:rPr>
        <w:t xml:space="preserve">. Ce dernier a saisi les </w:t>
      </w:r>
      <w:proofErr w:type="spellStart"/>
      <w:r w:rsidR="0002538E">
        <w:rPr>
          <w:lang w:val="fr-ML"/>
        </w:rPr>
        <w:t>FAMAs</w:t>
      </w:r>
      <w:proofErr w:type="spellEnd"/>
      <w:r w:rsidR="0002538E">
        <w:rPr>
          <w:lang w:val="fr-ML"/>
        </w:rPr>
        <w:t xml:space="preserve"> qui par la suite ont pu récupérer les femmes enlevées dans le village de </w:t>
      </w:r>
      <w:proofErr w:type="spellStart"/>
      <w:r w:rsidR="0002538E">
        <w:rPr>
          <w:lang w:val="fr-ML"/>
        </w:rPr>
        <w:t>Niala</w:t>
      </w:r>
      <w:proofErr w:type="spellEnd"/>
      <w:r w:rsidR="00364B67">
        <w:rPr>
          <w:lang w:val="fr-ML"/>
        </w:rPr>
        <w:t xml:space="preserve"> le 07 juin 2022</w:t>
      </w:r>
      <w:r w:rsidR="009D2C54">
        <w:rPr>
          <w:lang w:val="fr-ML"/>
        </w:rPr>
        <w:t>. Cette habitude est aujourd’hui à tous les membres du CCS de Djenné</w:t>
      </w:r>
      <w:r w:rsidR="005C1997">
        <w:rPr>
          <w:lang w:val="fr-ML"/>
        </w:rPr>
        <w:t xml:space="preserve">, cercle en proie à une insécurité grandissante ces derniers </w:t>
      </w:r>
      <w:r w:rsidR="001C7F76">
        <w:rPr>
          <w:lang w:val="fr-ML"/>
        </w:rPr>
        <w:t>temps</w:t>
      </w:r>
      <w:r w:rsidR="009D2C54">
        <w:rPr>
          <w:lang w:val="fr-ML"/>
        </w:rPr>
        <w:t xml:space="preserve">.  </w:t>
      </w:r>
      <w:r w:rsidR="009D2C54">
        <w:t xml:space="preserve"> </w:t>
      </w:r>
    </w:p>
    <w:p w14:paraId="7F20F4E4" w14:textId="15FB7967" w:rsidR="00FD7BAE" w:rsidRPr="00CD2513" w:rsidRDefault="00FD7BAE" w:rsidP="000D12F4">
      <w:pPr>
        <w:pStyle w:val="BlockText"/>
        <w:rPr>
          <w:lang w:val="fr-CH"/>
        </w:rPr>
      </w:pPr>
      <w:r w:rsidRPr="00CD2513">
        <w:rPr>
          <w:lang w:val="fr-CH"/>
        </w:rPr>
        <w:t xml:space="preserve">La CNDH a pu enregistrer </w:t>
      </w:r>
      <w:r w:rsidR="00CD2513" w:rsidRPr="00CD2513">
        <w:rPr>
          <w:lang w:val="fr-CH"/>
        </w:rPr>
        <w:t>électroniquement</w:t>
      </w:r>
      <w:r w:rsidR="004436E9" w:rsidRPr="00CD2513">
        <w:rPr>
          <w:lang w:val="fr-CH"/>
        </w:rPr>
        <w:t xml:space="preserve"> </w:t>
      </w:r>
      <w:r w:rsidRPr="00CD2513">
        <w:rPr>
          <w:lang w:val="fr-CH"/>
        </w:rPr>
        <w:t xml:space="preserve">pour la </w:t>
      </w:r>
      <w:r w:rsidR="00CD2513" w:rsidRPr="00CD2513">
        <w:rPr>
          <w:lang w:val="fr-CH"/>
        </w:rPr>
        <w:t>première</w:t>
      </w:r>
      <w:r w:rsidRPr="00CD2513">
        <w:rPr>
          <w:lang w:val="fr-CH"/>
        </w:rPr>
        <w:t xml:space="preserve"> fois des dossiers </w:t>
      </w:r>
      <w:r w:rsidR="00CD2513" w:rsidRPr="00CD2513">
        <w:rPr>
          <w:lang w:val="fr-CH"/>
        </w:rPr>
        <w:t>à</w:t>
      </w:r>
      <w:r w:rsidRPr="00CD2513">
        <w:rPr>
          <w:lang w:val="fr-CH"/>
        </w:rPr>
        <w:t xml:space="preserve"> l’aide du </w:t>
      </w:r>
      <w:r w:rsidR="00CD2513" w:rsidRPr="00CD2513">
        <w:rPr>
          <w:lang w:val="fr-CH"/>
        </w:rPr>
        <w:t>système</w:t>
      </w:r>
      <w:r w:rsidRPr="00CD2513">
        <w:rPr>
          <w:lang w:val="fr-CH"/>
        </w:rPr>
        <w:t xml:space="preserve"> informatique mis en place </w:t>
      </w:r>
      <w:r w:rsidR="00CD2513" w:rsidRPr="00CD2513">
        <w:rPr>
          <w:lang w:val="fr-CH"/>
        </w:rPr>
        <w:t>grâce</w:t>
      </w:r>
      <w:r w:rsidRPr="00CD2513">
        <w:rPr>
          <w:lang w:val="fr-CH"/>
        </w:rPr>
        <w:t xml:space="preserve"> au projet. </w:t>
      </w:r>
    </w:p>
    <w:p w14:paraId="647C8536" w14:textId="26F85D81" w:rsidR="00117EE7" w:rsidRPr="00905EDE" w:rsidRDefault="00117EE7" w:rsidP="001E7ACB">
      <w:pPr>
        <w:rPr>
          <w:lang w:val="fr-FR"/>
        </w:rPr>
      </w:pPr>
    </w:p>
    <w:p w14:paraId="20D0A200" w14:textId="77777777" w:rsidR="00117EE7" w:rsidRPr="00174BA4" w:rsidRDefault="00117EE7"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lastRenderedPageBreak/>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127D443"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0D12F4" w:rsidRPr="00ED6B34">
        <w:rPr>
          <w:rFonts w:asciiTheme="majorBidi" w:hAnsiTheme="majorBidi" w:cstheme="majorBidi"/>
          <w:b/>
          <w:bCs/>
          <w:lang w:val="fr-FR"/>
        </w:rPr>
        <w:t>Les causes de l’impunité et les perceptions des acteurs dans les régions de Ségou et Mopti sont connues et un cadre de recherche des solutions répondant à la demande sociale de justice est mis en place à travers un dialogue multi-acteurs.</w:t>
      </w:r>
    </w:p>
    <w:p w14:paraId="6A528501" w14:textId="77777777" w:rsidR="005D15A3" w:rsidRPr="00615EA3" w:rsidRDefault="005D15A3" w:rsidP="005D15A3">
      <w:pPr>
        <w:ind w:left="-720"/>
        <w:rPr>
          <w:b/>
          <w:lang w:val="fr-FR"/>
        </w:rPr>
      </w:pPr>
    </w:p>
    <w:p w14:paraId="7AC56A13" w14:textId="4F7F358C"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0D12F4">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4" w:name="Dropdown2"/>
      <w:r w:rsidR="000D12F4" w:rsidRPr="00CD2513">
        <w:rPr>
          <w:rFonts w:ascii="Arial Narrow" w:hAnsi="Arial Narrow"/>
          <w:b/>
          <w:sz w:val="22"/>
          <w:szCs w:val="22"/>
          <w:lang w:val="fr-FR"/>
        </w:rPr>
        <w:instrText xml:space="preserve"> FORMDROPDOWN </w:instrText>
      </w:r>
      <w:r w:rsidR="000D4328">
        <w:rPr>
          <w:rFonts w:ascii="Arial Narrow" w:hAnsi="Arial Narrow"/>
          <w:b/>
          <w:sz w:val="22"/>
          <w:szCs w:val="22"/>
        </w:rPr>
      </w:r>
      <w:r w:rsidR="000D4328">
        <w:rPr>
          <w:rFonts w:ascii="Arial Narrow" w:hAnsi="Arial Narrow"/>
          <w:b/>
          <w:sz w:val="22"/>
          <w:szCs w:val="22"/>
        </w:rPr>
        <w:fldChar w:fldCharType="separate"/>
      </w:r>
      <w:r w:rsidR="000D12F4">
        <w:rPr>
          <w:rFonts w:ascii="Arial Narrow" w:hAnsi="Arial Narrow"/>
          <w:b/>
          <w:sz w:val="22"/>
          <w:szCs w:val="22"/>
        </w:rPr>
        <w:fldChar w:fldCharType="end"/>
      </w:r>
      <w:bookmarkEnd w:id="14"/>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24729ED0" w14:textId="29A617C0" w:rsidR="00174BA4" w:rsidRDefault="00174BA4" w:rsidP="00D46284">
      <w:pPr>
        <w:ind w:left="-720"/>
        <w:jc w:val="both"/>
        <w:rPr>
          <w:iCs/>
          <w:sz w:val="22"/>
          <w:szCs w:val="22"/>
          <w:lang w:val="de-DE"/>
        </w:rPr>
      </w:pPr>
    </w:p>
    <w:p w14:paraId="6062779D" w14:textId="77777777" w:rsidR="00C031DD" w:rsidRPr="00F3475E" w:rsidRDefault="00C031DD" w:rsidP="00F3475E">
      <w:pPr>
        <w:ind w:left="-709"/>
        <w:jc w:val="both"/>
        <w:rPr>
          <w:b/>
          <w:bCs/>
          <w:sz w:val="20"/>
          <w:szCs w:val="20"/>
          <w:lang w:val="fr-ML"/>
        </w:rPr>
      </w:pPr>
      <w:r w:rsidRPr="00F3475E">
        <w:rPr>
          <w:sz w:val="22"/>
          <w:szCs w:val="22"/>
          <w:lang w:val="fr-FR"/>
        </w:rPr>
        <w:t xml:space="preserve">Au cours de la période de rapportage, les activités de recherches qualitatives ont pris fin. Ainsi, les dialogues horizontaux entre les acteurs de la justice et les autorités traditionnelles ont été tenus dans les 6 cercles. 144 (dont 8 femmes) personnes ont été consultées à cet effet, y compris des autorités traditionnelles. Les acteurs de la justice présents sont majoritairement des hommes et les autorités traditionnels sont tous des hommes. 6 ateliers d’échanges ont, par la suite, été facilités entre les populations et les acteurs de la justice avec 347 participants (dont 75 femmes), et deux ateliers régionaux de restitution et de validation des données du dialogue et du baromètre ont également été menées avec 91 participants dont 24 femmes. </w:t>
      </w:r>
      <w:r w:rsidRPr="00F3475E">
        <w:rPr>
          <w:sz w:val="22"/>
          <w:szCs w:val="22"/>
          <w:lang w:val="de-DE"/>
        </w:rPr>
        <w:t xml:space="preserve">210 personnes, dont 156 femmes issues des organisations et assocaitions locales de la société civile ont accru leurs connaissances de </w:t>
      </w:r>
      <w:r w:rsidRPr="00F3475E">
        <w:rPr>
          <w:sz w:val="22"/>
          <w:szCs w:val="22"/>
          <w:lang w:val="fr-ML"/>
        </w:rPr>
        <w:t>leurs droits et devoirs, des textes et procédures judiciaires et du rôle des acteurs de la justice.</w:t>
      </w:r>
      <w:r w:rsidRPr="00F3475E">
        <w:rPr>
          <w:sz w:val="22"/>
          <w:szCs w:val="22"/>
          <w:lang w:val="de-DE"/>
        </w:rPr>
        <w:t xml:space="preserve"> Ces organisations et associations ont été dotées en matériels de communications (dépliants et des t-shirts) pour assurer la visibilité du projet.</w:t>
      </w:r>
    </w:p>
    <w:p w14:paraId="1D828DE0" w14:textId="77777777" w:rsidR="00174BA4" w:rsidRPr="00D46284" w:rsidRDefault="00174BA4" w:rsidP="00D46284">
      <w:pPr>
        <w:ind w:left="-720"/>
        <w:jc w:val="both"/>
        <w:rPr>
          <w:b/>
          <w:bCs/>
          <w:iCs/>
          <w:sz w:val="22"/>
          <w:szCs w:val="22"/>
          <w:lang w:val="fr-ML"/>
        </w:rPr>
      </w:pPr>
    </w:p>
    <w:p w14:paraId="7B8317E4" w14:textId="233A4328" w:rsidR="00D46284" w:rsidRDefault="00BE3C7B" w:rsidP="00D46284">
      <w:pPr>
        <w:ind w:left="-720"/>
        <w:jc w:val="both"/>
        <w:rPr>
          <w:sz w:val="22"/>
          <w:szCs w:val="22"/>
        </w:rPr>
      </w:pPr>
      <w:r>
        <w:rPr>
          <w:bCs/>
          <w:iCs/>
          <w:sz w:val="22"/>
          <w:szCs w:val="22"/>
          <w:lang w:val="fr-FR"/>
        </w:rPr>
        <w:t xml:space="preserve">Au sein du même appui, </w:t>
      </w:r>
      <w:r w:rsidR="00D46284" w:rsidRPr="00D46284">
        <w:rPr>
          <w:bCs/>
          <w:iCs/>
          <w:sz w:val="22"/>
          <w:szCs w:val="22"/>
          <w:lang w:val="fr-FR"/>
        </w:rPr>
        <w:t>80 acteurs de la chaine pénale (dont 30 femmes) ont également accru</w:t>
      </w:r>
      <w:r w:rsidR="00D46284" w:rsidRPr="00D46284" w:rsidDel="005D03FF">
        <w:rPr>
          <w:bCs/>
          <w:iCs/>
          <w:sz w:val="22"/>
          <w:szCs w:val="22"/>
          <w:lang w:val="fr-FR"/>
        </w:rPr>
        <w:t xml:space="preserve"> </w:t>
      </w:r>
      <w:r w:rsidR="00D46284" w:rsidRPr="00D46284">
        <w:rPr>
          <w:bCs/>
          <w:iCs/>
          <w:sz w:val="22"/>
          <w:szCs w:val="22"/>
          <w:lang w:val="fr-FR"/>
        </w:rPr>
        <w:t>leurs connaissances sur le genre, les droits humains et les besoins stratégiques des femmes. Ils sont issus des Tribunaux de Grandes Instances, des Commissariats de Police, des Brigades Territoriales, des Directions Pénitentiaires, des Pelletons de la garde nationale, des auxiliaires de justice (huissiers, barreaux régionaux) de Ségou et de Mopti.</w:t>
      </w:r>
      <w:r w:rsidR="00D46284" w:rsidRPr="00D46284">
        <w:rPr>
          <w:sz w:val="22"/>
          <w:szCs w:val="22"/>
          <w:lang w:val="fr-FR"/>
        </w:rPr>
        <w:t xml:space="preserve"> </w:t>
      </w:r>
    </w:p>
    <w:p w14:paraId="468B2DAC" w14:textId="77777777" w:rsidR="00174BA4" w:rsidRPr="00D46284" w:rsidRDefault="00174BA4" w:rsidP="00D46284">
      <w:pPr>
        <w:ind w:left="-720"/>
        <w:jc w:val="both"/>
        <w:rPr>
          <w:sz w:val="22"/>
          <w:szCs w:val="22"/>
          <w:lang w:val="fr-FR"/>
        </w:rPr>
      </w:pPr>
    </w:p>
    <w:p w14:paraId="6F387C10" w14:textId="366DEF28" w:rsidR="00D46284" w:rsidRDefault="00D46284" w:rsidP="00D46284">
      <w:pPr>
        <w:ind w:left="-720"/>
        <w:jc w:val="both"/>
        <w:rPr>
          <w:sz w:val="22"/>
          <w:szCs w:val="22"/>
        </w:rPr>
      </w:pPr>
      <w:r w:rsidRPr="00D46284">
        <w:rPr>
          <w:sz w:val="22"/>
          <w:szCs w:val="22"/>
          <w:lang w:val="fr-FR"/>
        </w:rPr>
        <w:t xml:space="preserve">Tout comme avec l’analyse quantitative précédemment rapporté, il ressort que la méconnaissance du fonctionnement du système et des procédures judiciaires, la faible représentativité de l’Etat, l’émergence de nouveaux acteurs de justice et le sentiment de corruption au sein du secteur judiciaire constituent un frein majeur à l’accès à la justice par les populations. </w:t>
      </w:r>
      <w:r w:rsidRPr="00D46284">
        <w:rPr>
          <w:sz w:val="22"/>
          <w:szCs w:val="22"/>
          <w:lang w:val="fr-ML"/>
        </w:rPr>
        <w:t xml:space="preserve">Lors des consultations, il ressort clairement qu’il existe une méconnaissance des textes et lois de la </w:t>
      </w:r>
      <w:r w:rsidR="00D403C9">
        <w:rPr>
          <w:sz w:val="22"/>
          <w:szCs w:val="22"/>
          <w:lang w:val="fr-ML"/>
        </w:rPr>
        <w:t>R</w:t>
      </w:r>
      <w:r w:rsidRPr="00D46284">
        <w:rPr>
          <w:sz w:val="22"/>
          <w:szCs w:val="22"/>
          <w:lang w:val="fr-ML"/>
        </w:rPr>
        <w:t xml:space="preserve">épublique par les participants. Ce problème tire sa source de la faible représentation de l’Etat et surtout de la non-scolarisation de la majorité de la population qui ne sait ni lire, ni écrire en langue française alors même que les projets de loi votés par les députés ne sont pas expliqués aux populations dans les langues locales : </w:t>
      </w:r>
      <w:r w:rsidRPr="00D46284">
        <w:rPr>
          <w:i/>
          <w:iCs/>
          <w:sz w:val="22"/>
          <w:szCs w:val="22"/>
          <w:lang w:val="fr-FR"/>
        </w:rPr>
        <w:t>« Je pense que la justice n’est pas comprise, il faut beaucoup d’information, de sensibilisation pour que les gens comprennent, qu’est-ce que c’est la justice. Les gens n’ont pas compris </w:t>
      </w:r>
      <w:r w:rsidRPr="00D46284">
        <w:rPr>
          <w:i/>
          <w:iCs/>
          <w:sz w:val="22"/>
          <w:szCs w:val="22"/>
          <w:vertAlign w:val="superscript"/>
          <w:lang w:val="fr-FR"/>
        </w:rPr>
        <w:footnoteReference w:id="3"/>
      </w:r>
      <w:r w:rsidRPr="00D46284">
        <w:rPr>
          <w:i/>
          <w:iCs/>
          <w:sz w:val="22"/>
          <w:szCs w:val="22"/>
          <w:lang w:val="fr-FR"/>
        </w:rPr>
        <w:t>».</w:t>
      </w:r>
      <w:r w:rsidRPr="00D46284">
        <w:rPr>
          <w:sz w:val="22"/>
          <w:szCs w:val="22"/>
          <w:lang w:val="fr-FR"/>
        </w:rPr>
        <w:t xml:space="preserve"> Cette méconnaissance, selon les justiciables est l’une des principales causes qui éloignent les populations des juridictions « pour s’éviter des problèmes »</w:t>
      </w:r>
      <w:r w:rsidR="00D403C9">
        <w:rPr>
          <w:sz w:val="22"/>
          <w:szCs w:val="22"/>
        </w:rPr>
        <w:t>.</w:t>
      </w:r>
      <w:r w:rsidRPr="00D46284">
        <w:rPr>
          <w:sz w:val="22"/>
          <w:szCs w:val="22"/>
          <w:lang w:val="fr-FR"/>
        </w:rPr>
        <w:t xml:space="preserve"> </w:t>
      </w:r>
    </w:p>
    <w:p w14:paraId="3A04927B" w14:textId="77777777" w:rsidR="00D403C9" w:rsidRPr="00D46284" w:rsidRDefault="00D403C9" w:rsidP="00D46284">
      <w:pPr>
        <w:ind w:left="-720"/>
        <w:jc w:val="both"/>
        <w:rPr>
          <w:sz w:val="22"/>
          <w:szCs w:val="22"/>
          <w:lang w:val="fr-FR"/>
        </w:rPr>
      </w:pPr>
    </w:p>
    <w:p w14:paraId="64FC63ED" w14:textId="327CAE98" w:rsidR="00D46284" w:rsidRPr="00D46284" w:rsidRDefault="00D46284" w:rsidP="00D46284">
      <w:pPr>
        <w:ind w:left="-720"/>
        <w:jc w:val="both"/>
        <w:rPr>
          <w:sz w:val="22"/>
          <w:szCs w:val="22"/>
          <w:lang w:val="fr-FR"/>
        </w:rPr>
      </w:pPr>
      <w:r w:rsidRPr="00D46284">
        <w:rPr>
          <w:bCs/>
          <w:sz w:val="22"/>
          <w:szCs w:val="22"/>
          <w:lang w:val="fr-FR"/>
        </w:rPr>
        <w:t xml:space="preserve">D’après les différentes consultations, surtout celles à Mopti, il </w:t>
      </w:r>
      <w:r w:rsidRPr="00D46284">
        <w:rPr>
          <w:bCs/>
          <w:sz w:val="22"/>
          <w:szCs w:val="22"/>
          <w:lang w:val="fr-ML"/>
        </w:rPr>
        <w:t xml:space="preserve">est ressorti également que l’absence de l’autorité de l’Etat a laissé le champ libre à l’émergence de nouveaux acteurs armés, notamment les GAT. Dans certaines </w:t>
      </w:r>
      <w:r w:rsidRPr="00D46284">
        <w:rPr>
          <w:bCs/>
          <w:sz w:val="22"/>
          <w:szCs w:val="22"/>
          <w:lang w:val="fr-ML"/>
        </w:rPr>
        <w:lastRenderedPageBreak/>
        <w:t xml:space="preserve">localités, ces acteurs rendent justice, basée sur « la charia », et </w:t>
      </w:r>
      <w:r w:rsidRPr="00D46284">
        <w:rPr>
          <w:sz w:val="22"/>
          <w:szCs w:val="22"/>
          <w:lang w:val="fr-ML"/>
        </w:rPr>
        <w:t xml:space="preserve">jouissent d’une certaine légitimité </w:t>
      </w:r>
      <w:r w:rsidR="00D403C9" w:rsidRPr="00D46284">
        <w:rPr>
          <w:sz w:val="22"/>
          <w:szCs w:val="22"/>
          <w:lang w:val="fr-ML"/>
        </w:rPr>
        <w:t>due</w:t>
      </w:r>
      <w:r w:rsidRPr="00D46284">
        <w:rPr>
          <w:sz w:val="22"/>
          <w:szCs w:val="22"/>
          <w:lang w:val="fr-ML"/>
        </w:rPr>
        <w:t xml:space="preserve"> à leur efficacité et à la satisfaction des populations des zones concernées par cette nouvelle forme de justice.  </w:t>
      </w:r>
    </w:p>
    <w:p w14:paraId="41926D83" w14:textId="7442C79F" w:rsidR="00D46284" w:rsidRDefault="00D46284" w:rsidP="00D46284">
      <w:pPr>
        <w:ind w:left="-720"/>
        <w:jc w:val="both"/>
        <w:rPr>
          <w:i/>
          <w:iCs/>
          <w:sz w:val="22"/>
          <w:szCs w:val="22"/>
        </w:rPr>
      </w:pPr>
      <w:r w:rsidRPr="00D46284">
        <w:rPr>
          <w:sz w:val="22"/>
          <w:szCs w:val="22"/>
          <w:lang w:val="fr-ML"/>
        </w:rPr>
        <w:t xml:space="preserve">Face à cette dynamique et à la méfiance envers le secteur judiciaire pour cause </w:t>
      </w:r>
      <w:r w:rsidR="00D403C9" w:rsidRPr="00D46284">
        <w:rPr>
          <w:sz w:val="22"/>
          <w:szCs w:val="22"/>
          <w:lang w:val="fr-ML"/>
        </w:rPr>
        <w:t>de soupçons</w:t>
      </w:r>
      <w:r w:rsidRPr="00D46284">
        <w:rPr>
          <w:sz w:val="22"/>
          <w:szCs w:val="22"/>
          <w:lang w:val="fr-ML"/>
        </w:rPr>
        <w:t xml:space="preserve"> de corruption, il existe un fort sentiment de la population pour une grande responsabilisation des autorités coutumières dans la distribution de la justice aujourd’hui. Chose qui creuse davantage le fossé entre les acteurs de la justice et les justiciables :</w:t>
      </w:r>
      <w:r w:rsidRPr="00D46284">
        <w:rPr>
          <w:sz w:val="22"/>
          <w:szCs w:val="22"/>
          <w:lang w:val="fr-FR"/>
        </w:rPr>
        <w:t xml:space="preserve"> </w:t>
      </w:r>
      <w:r w:rsidRPr="00D46284">
        <w:rPr>
          <w:i/>
          <w:iCs/>
          <w:sz w:val="22"/>
          <w:szCs w:val="22"/>
          <w:lang w:val="fr-FR"/>
        </w:rPr>
        <w:t>« Il faut qu’on retourne en arrière en respectant l’autorité du chef de village ; c’est le premier président de la localité. Il faut que les gens comprennent qu’on ne doit pas sauter le chef de village pour aller se plaindre à la justice. Tu n’as pas respecté le chef de village </w:t>
      </w:r>
      <w:r w:rsidRPr="00D46284">
        <w:rPr>
          <w:i/>
          <w:iCs/>
          <w:sz w:val="22"/>
          <w:szCs w:val="22"/>
          <w:vertAlign w:val="superscript"/>
          <w:lang w:val="fr-FR"/>
        </w:rPr>
        <w:footnoteReference w:id="4"/>
      </w:r>
      <w:r w:rsidRPr="00D46284">
        <w:rPr>
          <w:i/>
          <w:iCs/>
          <w:sz w:val="22"/>
          <w:szCs w:val="22"/>
          <w:lang w:val="fr-FR"/>
        </w:rPr>
        <w:t xml:space="preserve">». </w:t>
      </w:r>
    </w:p>
    <w:p w14:paraId="56211BAB" w14:textId="77777777" w:rsidR="00D403C9" w:rsidRPr="00D46284" w:rsidRDefault="00D403C9" w:rsidP="00D46284">
      <w:pPr>
        <w:ind w:left="-720"/>
        <w:jc w:val="both"/>
        <w:rPr>
          <w:sz w:val="22"/>
          <w:szCs w:val="22"/>
          <w:lang w:val="fr-FR"/>
        </w:rPr>
      </w:pPr>
    </w:p>
    <w:p w14:paraId="29802271" w14:textId="77777777" w:rsidR="00D46284" w:rsidRPr="00D46284" w:rsidRDefault="00D46284" w:rsidP="00D46284">
      <w:pPr>
        <w:ind w:left="-720"/>
        <w:jc w:val="both"/>
        <w:rPr>
          <w:rFonts w:asciiTheme="minorHAnsi" w:hAnsiTheme="minorHAnsi" w:cstheme="minorBidi"/>
          <w:lang w:val="fr-FR"/>
        </w:rPr>
      </w:pPr>
      <w:r w:rsidRPr="00D46284">
        <w:rPr>
          <w:sz w:val="22"/>
          <w:szCs w:val="22"/>
          <w:lang w:val="fr-ML"/>
        </w:rPr>
        <w:t>En parallèle, ces mêmes autorités traditionnelles ne jouissent plus de la confiance totale des populations qui les accusent d’être aussi corrompues et moins transparentes dans leurs décisions. Cette perte de crédibilité de certaines autorités traditionnelles et coutumières s’explique selon les participants par leur forte implication dans la politique et participation en politique, leur penchant en faveur des nouveaux acteurs. Ces deux facteurs mettent en doute leur neutralité et leur légitimité aux yeux de la population ainsi que leur capacité à trancher sans parti pris.</w:t>
      </w:r>
      <w:r w:rsidRPr="00D46284">
        <w:rPr>
          <w:lang w:val="fr-ML"/>
        </w:rPr>
        <w:t xml:space="preserve"> </w:t>
      </w:r>
    </w:p>
    <w:p w14:paraId="54BBBF6E" w14:textId="1812A624" w:rsidR="00627A1C" w:rsidRPr="001E7ACB" w:rsidRDefault="00D46284" w:rsidP="001E7ACB">
      <w:pPr>
        <w:ind w:left="-720"/>
        <w:jc w:val="both"/>
        <w:rPr>
          <w:b/>
          <w:bCs/>
          <w:iCs/>
          <w:sz w:val="22"/>
          <w:szCs w:val="22"/>
          <w:lang w:val="fr-ML"/>
        </w:rPr>
      </w:pPr>
      <w:r w:rsidRPr="00D46284">
        <w:rPr>
          <w:b/>
          <w:bCs/>
          <w:iCs/>
          <w:sz w:val="22"/>
          <w:szCs w:val="22"/>
          <w:lang w:val="fr-ML"/>
        </w:rPr>
        <w:t xml:space="preserve"> </w:t>
      </w:r>
    </w:p>
    <w:p w14:paraId="41ABD3CD" w14:textId="6D3473BD"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6A19AA" w:rsidRPr="005D15A3">
        <w:rPr>
          <w:b/>
          <w:bCs/>
          <w:color w:val="000000"/>
          <w:lang w:val="fr-FR" w:eastAsia="en-US"/>
        </w:rPr>
        <w:t>résultat</w:t>
      </w:r>
      <w:r w:rsidR="006A19AA"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BA1CA8D" w14:textId="77777777" w:rsidR="00D46284" w:rsidRPr="00EB7677" w:rsidRDefault="00D46284" w:rsidP="00D46284">
      <w:pPr>
        <w:ind w:left="-709"/>
        <w:rPr>
          <w:b/>
          <w:sz w:val="22"/>
          <w:szCs w:val="22"/>
          <w:lang w:val="fr-FR"/>
        </w:rPr>
      </w:pPr>
      <w:r w:rsidRPr="00EB7677">
        <w:rPr>
          <w:sz w:val="22"/>
          <w:szCs w:val="22"/>
          <w:lang w:val="fr-FR"/>
        </w:rPr>
        <w:t xml:space="preserve">Tout au long de la mise en œuvre du projet, l’égalité entre les sexes a été respectée lors des consultations. Les besoins spécifiques des femmes et des filles dans la distribution de la justice ont été identifiées. </w:t>
      </w:r>
      <w:r w:rsidRPr="00EB7677">
        <w:rPr>
          <w:sz w:val="22"/>
          <w:szCs w:val="22"/>
          <w:lang w:val="fr-ML"/>
        </w:rPr>
        <w:t>Il ressort des échanges que les femmes ont toujours rencontré des difficultés à accéder à la justice. L’insécurité dans les zones du Centre, l’impunité et les pesanteurs socio-culturelles, exacerbées par la présence des groupes radicaux contribuent à une faible demande de justice par les femmes. Les défis auxquels les femmes doivent faire face quand elles décident de mener une action en justice sont entre autres : l’insuffisance de ressources économiques, la peur d’être rejetées par le conjoint ou la famille, le manque d’informations sur les procédures, le manque de soutien et de temps pour aller au bout de l’action. Les femmes sont très souvent contraintes par leurs familles ou entourage à abandonner les poursuites. Ceci est plus perceptible dans les cas de divorce, d’héritage, de coups et blessures, de viol et d’agression sexuelle.</w:t>
      </w:r>
    </w:p>
    <w:p w14:paraId="08E487C6" w14:textId="2D7DDC41" w:rsidR="00D46284" w:rsidRDefault="00D46284" w:rsidP="00D46284">
      <w:pPr>
        <w:ind w:left="-709"/>
        <w:jc w:val="both"/>
        <w:rPr>
          <w:bCs/>
          <w:iCs/>
          <w:sz w:val="22"/>
          <w:szCs w:val="22"/>
          <w:lang w:val="de-DE"/>
        </w:rPr>
      </w:pPr>
      <w:r w:rsidRPr="00EB7677">
        <w:rPr>
          <w:sz w:val="22"/>
          <w:szCs w:val="22"/>
          <w:lang w:val="fr-FR"/>
        </w:rPr>
        <w:t xml:space="preserve">Des actions </w:t>
      </w:r>
      <w:r w:rsidRPr="004C7EA9">
        <w:rPr>
          <w:sz w:val="22"/>
          <w:szCs w:val="22"/>
          <w:lang w:val="fr-FR"/>
        </w:rPr>
        <w:t xml:space="preserve">dont la mise en œuvre est </w:t>
      </w:r>
      <w:r w:rsidR="00AC0DE8" w:rsidRPr="004C7EA9">
        <w:rPr>
          <w:sz w:val="22"/>
          <w:szCs w:val="22"/>
        </w:rPr>
        <w:t>accompagnée par</w:t>
      </w:r>
      <w:r w:rsidRPr="004C7EA9">
        <w:rPr>
          <w:sz w:val="22"/>
          <w:szCs w:val="22"/>
          <w:lang w:val="fr-FR"/>
        </w:rPr>
        <w:t xml:space="preserve"> ONU Femme</w:t>
      </w:r>
      <w:r>
        <w:rPr>
          <w:sz w:val="22"/>
          <w:szCs w:val="22"/>
          <w:lang w:val="fr-FR"/>
        </w:rPr>
        <w:t xml:space="preserve">s </w:t>
      </w:r>
      <w:r w:rsidRPr="00EB7677">
        <w:rPr>
          <w:sz w:val="22"/>
          <w:szCs w:val="22"/>
          <w:lang w:val="fr-FR"/>
        </w:rPr>
        <w:t>ont été définies avec les femmes et les filles</w:t>
      </w:r>
      <w:r>
        <w:rPr>
          <w:sz w:val="22"/>
          <w:szCs w:val="22"/>
          <w:lang w:val="fr-FR"/>
        </w:rPr>
        <w:t xml:space="preserve">. </w:t>
      </w:r>
      <w:r w:rsidR="00AC0DE8">
        <w:rPr>
          <w:sz w:val="22"/>
          <w:szCs w:val="22"/>
        </w:rPr>
        <w:t>L</w:t>
      </w:r>
      <w:r w:rsidRPr="00ED6B34">
        <w:rPr>
          <w:bCs/>
          <w:iCs/>
          <w:sz w:val="22"/>
          <w:szCs w:val="22"/>
          <w:lang w:val="de-DE"/>
        </w:rPr>
        <w:t xml:space="preserve">a dimension genre est pleinement intégrée dans les méthodologies en ce qui concerne le choix des participants pour </w:t>
      </w:r>
      <w:r>
        <w:rPr>
          <w:bCs/>
          <w:iCs/>
          <w:sz w:val="22"/>
          <w:szCs w:val="22"/>
          <w:lang w:val="de-DE"/>
        </w:rPr>
        <w:t xml:space="preserve">les sessions de renforcement de capacités. </w:t>
      </w:r>
    </w:p>
    <w:p w14:paraId="77E9478C" w14:textId="507777C3" w:rsidR="00161D02" w:rsidRPr="00905EDE" w:rsidRDefault="00161D02" w:rsidP="00161D02">
      <w:pPr>
        <w:ind w:left="-720"/>
        <w:rPr>
          <w:b/>
          <w:lang w:val="fr-FR"/>
        </w:rPr>
      </w:pPr>
    </w:p>
    <w:p w14:paraId="4B6AAB29" w14:textId="77777777" w:rsidR="00323ABC" w:rsidRPr="00174BA4" w:rsidRDefault="00323ABC" w:rsidP="007E4FA1">
      <w:pPr>
        <w:rPr>
          <w:b/>
          <w:lang w:val="fr-FR"/>
        </w:rPr>
      </w:pPr>
    </w:p>
    <w:p w14:paraId="5178206C" w14:textId="77777777" w:rsidR="00D46284" w:rsidRPr="00ED6B34" w:rsidRDefault="00675507" w:rsidP="00D46284">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D46284" w:rsidRPr="00ED6B34">
        <w:rPr>
          <w:rFonts w:asciiTheme="majorBidi" w:hAnsiTheme="majorBidi" w:cstheme="majorBidi"/>
          <w:b/>
          <w:bCs/>
          <w:lang w:val="fr-FR"/>
        </w:rPr>
        <w:t>Les acteurs de la justice formelle et informelle sont plus efficaces et disposent d’une confiance accrue de la part des populations afin de mieux combattre l’impunité dans les régions de Ségou et Mopti.</w:t>
      </w:r>
    </w:p>
    <w:p w14:paraId="563533E9" w14:textId="123A5EFE" w:rsidR="00675507" w:rsidRPr="00615EA3" w:rsidRDefault="00675507" w:rsidP="00675507">
      <w:pPr>
        <w:ind w:left="-720"/>
        <w:rPr>
          <w:b/>
          <w:lang w:val="fr-FR"/>
        </w:rPr>
      </w:pPr>
    </w:p>
    <w:p w14:paraId="521560B0" w14:textId="77777777" w:rsidR="00675507" w:rsidRPr="00615EA3" w:rsidRDefault="00675507" w:rsidP="00675507">
      <w:pPr>
        <w:ind w:left="-720"/>
        <w:rPr>
          <w:b/>
          <w:lang w:val="fr-FR"/>
        </w:rPr>
      </w:pPr>
    </w:p>
    <w:p w14:paraId="192B211F" w14:textId="5372CBC1"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6A19AA">
        <w:rPr>
          <w:rFonts w:ascii="inherit" w:hAnsi="inherit"/>
          <w:color w:val="212121"/>
          <w:lang w:val="fr-FR"/>
        </w:rPr>
        <w:t>résultat</w:t>
      </w:r>
      <w:r w:rsidR="006A19AA" w:rsidRPr="009C39D0">
        <w:rPr>
          <w:rFonts w:ascii="inherit" w:hAnsi="inherit"/>
          <w:color w:val="212121"/>
          <w:lang w:val="fr-FR"/>
        </w:rPr>
        <w:t xml:space="preserve"> :</w:t>
      </w:r>
      <w:r w:rsidRPr="00615EA3">
        <w:rPr>
          <w:b/>
          <w:lang w:val="fr-FR"/>
        </w:rPr>
        <w:t xml:space="preserve"> </w:t>
      </w:r>
      <w:r w:rsidR="00D46284">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D46284" w:rsidRPr="00CD2513">
        <w:rPr>
          <w:rFonts w:ascii="Arial Narrow" w:hAnsi="Arial Narrow"/>
          <w:b/>
          <w:sz w:val="22"/>
          <w:szCs w:val="22"/>
          <w:lang w:val="fr-FR"/>
        </w:rPr>
        <w:instrText xml:space="preserve"> FORMDROPDOWN </w:instrText>
      </w:r>
      <w:r w:rsidR="000D4328">
        <w:rPr>
          <w:rFonts w:ascii="Arial Narrow" w:hAnsi="Arial Narrow"/>
          <w:b/>
          <w:sz w:val="22"/>
          <w:szCs w:val="22"/>
        </w:rPr>
      </w:r>
      <w:r w:rsidR="000D4328">
        <w:rPr>
          <w:rFonts w:ascii="Arial Narrow" w:hAnsi="Arial Narrow"/>
          <w:b/>
          <w:sz w:val="22"/>
          <w:szCs w:val="22"/>
        </w:rPr>
        <w:fldChar w:fldCharType="separate"/>
      </w:r>
      <w:r w:rsidR="00D46284">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0B73AAC" w14:textId="641A7F3B" w:rsidR="00D46284" w:rsidRPr="00D46284" w:rsidRDefault="00D46284" w:rsidP="00D46284">
      <w:pPr>
        <w:ind w:left="-720"/>
        <w:jc w:val="both"/>
        <w:rPr>
          <w:b/>
          <w:lang w:val="fr-FR"/>
        </w:rPr>
      </w:pPr>
      <w:bookmarkStart w:id="15" w:name="_Hlk102062954"/>
    </w:p>
    <w:p w14:paraId="5052A3DD" w14:textId="3C99B208" w:rsidR="00D46284" w:rsidRPr="00D46284" w:rsidRDefault="00130CED" w:rsidP="00D46284">
      <w:pPr>
        <w:ind w:left="-720"/>
        <w:jc w:val="both"/>
        <w:rPr>
          <w:b/>
          <w:lang w:val="fr-FR"/>
        </w:rPr>
      </w:pPr>
      <w:r w:rsidRPr="00CF4979">
        <w:rPr>
          <w:iCs/>
          <w:sz w:val="22"/>
          <w:szCs w:val="22"/>
        </w:rPr>
        <w:t>Dans le but de renforcer la sensibilité au genre des systèmes de sécurité de justice, le projet a appuyé le renforcement des capacités  de</w:t>
      </w:r>
      <w:r w:rsidRPr="00CF4979">
        <w:rPr>
          <w:iCs/>
          <w:sz w:val="22"/>
          <w:szCs w:val="22"/>
          <w:lang w:val="fr-FR"/>
        </w:rPr>
        <w:t xml:space="preserve"> </w:t>
      </w:r>
      <w:r w:rsidR="00D46284" w:rsidRPr="00CF4979">
        <w:rPr>
          <w:iCs/>
          <w:sz w:val="22"/>
          <w:szCs w:val="22"/>
          <w:lang w:val="fr-FR"/>
        </w:rPr>
        <w:t xml:space="preserve">113 acteurs du secteur de la justice dont 56 femmes </w:t>
      </w:r>
      <w:r w:rsidR="00D46284" w:rsidRPr="00CF4979">
        <w:rPr>
          <w:sz w:val="22"/>
          <w:szCs w:val="22"/>
          <w:lang w:val="fr-FR"/>
        </w:rPr>
        <w:t>issus des services centraux du secteur de la Justice, des Tribunaux de Grandes Instances, de Ségou et de Mopti, des Tribunaux d’Instance de Bla, Niono, San, Bandiagara et Djenné</w:t>
      </w:r>
      <w:r w:rsidR="009C1311" w:rsidRPr="00CF4979">
        <w:rPr>
          <w:sz w:val="22"/>
          <w:szCs w:val="22"/>
          <w:lang w:val="fr-FR"/>
        </w:rPr>
        <w:t xml:space="preserve"> </w:t>
      </w:r>
      <w:r w:rsidR="00A90E6D" w:rsidRPr="00CF4979">
        <w:rPr>
          <w:iCs/>
          <w:sz w:val="22"/>
          <w:szCs w:val="22"/>
          <w:lang w:val="fr-FR"/>
        </w:rPr>
        <w:t xml:space="preserve">sur </w:t>
      </w:r>
      <w:r w:rsidR="00A90E6D" w:rsidRPr="00CF4979">
        <w:rPr>
          <w:iCs/>
          <w:sz w:val="22"/>
          <w:szCs w:val="22"/>
          <w:lang w:val="fr-CA"/>
        </w:rPr>
        <w:t>des</w:t>
      </w:r>
      <w:r w:rsidR="00D46284" w:rsidRPr="00CF4979">
        <w:rPr>
          <w:iCs/>
          <w:sz w:val="22"/>
          <w:szCs w:val="22"/>
          <w:lang w:val="fr-CA"/>
        </w:rPr>
        <w:t xml:space="preserve"> concepts de base de l’égalité, l’équité genre et des VBG, </w:t>
      </w:r>
      <w:r w:rsidR="00D46284" w:rsidRPr="00CF4979">
        <w:rPr>
          <w:iCs/>
          <w:sz w:val="22"/>
          <w:szCs w:val="22"/>
          <w:lang w:val="fr-FR"/>
        </w:rPr>
        <w:t>sur les formes, les causes et les conséquences des VBG,</w:t>
      </w:r>
      <w:r w:rsidR="00D46284" w:rsidRPr="00CF4979">
        <w:rPr>
          <w:sz w:val="22"/>
          <w:szCs w:val="22"/>
          <w:lang w:val="fr-CA"/>
        </w:rPr>
        <w:t xml:space="preserve"> </w:t>
      </w:r>
      <w:r w:rsidR="00D46284" w:rsidRPr="00CF4979">
        <w:rPr>
          <w:iCs/>
          <w:sz w:val="22"/>
          <w:szCs w:val="22"/>
          <w:lang w:val="fr-CA"/>
        </w:rPr>
        <w:t>les normes nationales, régionales et internationale de protection des survivantes de VBG</w:t>
      </w:r>
      <w:r w:rsidR="00D46284" w:rsidRPr="00CF4979">
        <w:rPr>
          <w:sz w:val="22"/>
          <w:szCs w:val="22"/>
          <w:lang w:val="fr-CA"/>
        </w:rPr>
        <w:t xml:space="preserve">, </w:t>
      </w:r>
      <w:r w:rsidR="00D46284" w:rsidRPr="00CF4979">
        <w:rPr>
          <w:iCs/>
          <w:sz w:val="22"/>
          <w:szCs w:val="22"/>
          <w:lang w:val="fr-CA"/>
        </w:rPr>
        <w:t>des outils, stratégies d’intégration du genre dans la prévention et la lutte contre les VBG</w:t>
      </w:r>
      <w:r w:rsidR="00D46284" w:rsidRPr="00CF4979">
        <w:rPr>
          <w:sz w:val="22"/>
          <w:szCs w:val="22"/>
          <w:lang w:val="fr-FR"/>
        </w:rPr>
        <w:t xml:space="preserve">.  </w:t>
      </w:r>
      <w:bookmarkEnd w:id="15"/>
    </w:p>
    <w:p w14:paraId="0D6524CA" w14:textId="34FC5679" w:rsidR="00D46284" w:rsidRPr="00D46284" w:rsidRDefault="00D46284" w:rsidP="00D46284">
      <w:pPr>
        <w:ind w:left="-720"/>
        <w:jc w:val="both"/>
        <w:rPr>
          <w:sz w:val="22"/>
          <w:szCs w:val="22"/>
          <w:lang w:val="fr-FR"/>
        </w:rPr>
      </w:pPr>
      <w:r w:rsidRPr="00D46284">
        <w:rPr>
          <w:sz w:val="22"/>
          <w:szCs w:val="22"/>
          <w:highlight w:val="lightGray"/>
          <w:lang w:val="fr-FR"/>
        </w:rPr>
        <w:lastRenderedPageBreak/>
        <w:t xml:space="preserve">En ce qui concerne les mécanismes de gouvernance </w:t>
      </w:r>
      <w:r w:rsidR="00D91039" w:rsidRPr="00D46284">
        <w:rPr>
          <w:sz w:val="22"/>
          <w:szCs w:val="22"/>
          <w:highlight w:val="lightGray"/>
          <w:lang w:val="fr-FR"/>
        </w:rPr>
        <w:t>sécuritaire (</w:t>
      </w:r>
      <w:r w:rsidRPr="00D46284">
        <w:rPr>
          <w:sz w:val="22"/>
          <w:szCs w:val="22"/>
          <w:highlight w:val="lightGray"/>
          <w:lang w:val="fr-FR"/>
        </w:rPr>
        <w:t>CCS</w:t>
      </w:r>
      <w:r w:rsidR="00D91039" w:rsidRPr="00D46284">
        <w:rPr>
          <w:sz w:val="22"/>
          <w:szCs w:val="22"/>
          <w:highlight w:val="lightGray"/>
          <w:lang w:val="fr-FR"/>
        </w:rPr>
        <w:t>),</w:t>
      </w:r>
      <w:r w:rsidRPr="00D46284">
        <w:rPr>
          <w:sz w:val="22"/>
          <w:szCs w:val="22"/>
          <w:highlight w:val="lightGray"/>
          <w:lang w:val="fr-FR"/>
        </w:rPr>
        <w:t xml:space="preserve"> neuf Comités Communaux Consultatifs de Sécurité (CCS) sont fonctionnels et mettent œuvre leurs plans à Ségou, Mopti, Niono, Bla, San, Bandiagara, Djenné, </w:t>
      </w:r>
      <w:proofErr w:type="spellStart"/>
      <w:r w:rsidRPr="00D46284">
        <w:rPr>
          <w:sz w:val="22"/>
          <w:szCs w:val="22"/>
          <w:highlight w:val="lightGray"/>
          <w:lang w:val="fr-FR"/>
        </w:rPr>
        <w:t>Yasso</w:t>
      </w:r>
      <w:proofErr w:type="spellEnd"/>
      <w:r w:rsidRPr="00D46284">
        <w:rPr>
          <w:sz w:val="22"/>
          <w:szCs w:val="22"/>
          <w:highlight w:val="lightGray"/>
          <w:vertAlign w:val="superscript"/>
          <w:lang w:val="fr-FR"/>
        </w:rPr>
        <w:footnoteReference w:id="5"/>
      </w:r>
      <w:r w:rsidRPr="00D46284">
        <w:rPr>
          <w:sz w:val="22"/>
          <w:szCs w:val="22"/>
          <w:highlight w:val="lightGray"/>
          <w:lang w:val="fr-FR"/>
        </w:rPr>
        <w:t xml:space="preserve"> et </w:t>
      </w:r>
      <w:proofErr w:type="spellStart"/>
      <w:r w:rsidRPr="00D46284">
        <w:rPr>
          <w:sz w:val="22"/>
          <w:szCs w:val="22"/>
          <w:highlight w:val="lightGray"/>
          <w:lang w:val="fr-FR"/>
        </w:rPr>
        <w:t>Femaye</w:t>
      </w:r>
      <w:proofErr w:type="spellEnd"/>
      <w:r w:rsidRPr="00D46284">
        <w:rPr>
          <w:sz w:val="22"/>
          <w:szCs w:val="22"/>
          <w:highlight w:val="lightGray"/>
          <w:vertAlign w:val="superscript"/>
          <w:lang w:val="fr-FR"/>
        </w:rPr>
        <w:footnoteReference w:id="6"/>
      </w:r>
      <w:r w:rsidRPr="00D46284">
        <w:rPr>
          <w:sz w:val="22"/>
          <w:szCs w:val="22"/>
          <w:highlight w:val="lightGray"/>
          <w:lang w:val="fr-FR"/>
        </w:rPr>
        <w:t xml:space="preserve"> avec l’appui du Commissariat à la Réforme de la Sécurité</w:t>
      </w:r>
      <w:r w:rsidR="00DF1D01">
        <w:rPr>
          <w:sz w:val="22"/>
          <w:szCs w:val="22"/>
          <w:highlight w:val="lightGray"/>
          <w:lang w:val="fr-FR"/>
        </w:rPr>
        <w:t xml:space="preserve"> </w:t>
      </w:r>
      <w:r w:rsidRPr="00D46284">
        <w:rPr>
          <w:sz w:val="22"/>
          <w:szCs w:val="22"/>
          <w:highlight w:val="lightGray"/>
          <w:lang w:val="fr-FR"/>
        </w:rPr>
        <w:t xml:space="preserve">les plans d’action de ces CCS sont intégrés dans le Plan de Développement Economique Social et Culturel de chacune des Communes de Ségou, Mopti, Niono, Bla, San, Bandiagara, Djenné, </w:t>
      </w:r>
      <w:proofErr w:type="spellStart"/>
      <w:r w:rsidRPr="00D46284">
        <w:rPr>
          <w:sz w:val="22"/>
          <w:szCs w:val="22"/>
          <w:highlight w:val="lightGray"/>
          <w:lang w:val="fr-FR"/>
        </w:rPr>
        <w:t>Yasso</w:t>
      </w:r>
      <w:proofErr w:type="spellEnd"/>
      <w:r w:rsidRPr="00D46284">
        <w:rPr>
          <w:sz w:val="22"/>
          <w:szCs w:val="22"/>
          <w:highlight w:val="lightGray"/>
          <w:lang w:val="fr-FR"/>
        </w:rPr>
        <w:t xml:space="preserve"> et </w:t>
      </w:r>
      <w:proofErr w:type="spellStart"/>
      <w:r w:rsidRPr="00D46284">
        <w:rPr>
          <w:sz w:val="22"/>
          <w:szCs w:val="22"/>
          <w:highlight w:val="lightGray"/>
          <w:lang w:val="fr-FR"/>
        </w:rPr>
        <w:t>Femaye</w:t>
      </w:r>
      <w:proofErr w:type="spellEnd"/>
      <w:r w:rsidRPr="00D46284">
        <w:rPr>
          <w:sz w:val="22"/>
          <w:szCs w:val="22"/>
          <w:highlight w:val="lightGray"/>
          <w:lang w:val="fr-FR"/>
        </w:rPr>
        <w:t xml:space="preserve"> </w:t>
      </w:r>
    </w:p>
    <w:p w14:paraId="7C410224" w14:textId="1BAA3098" w:rsidR="00D46284" w:rsidRPr="00D46284" w:rsidRDefault="00243721" w:rsidP="00D46284">
      <w:pPr>
        <w:ind w:left="-810" w:right="-154"/>
        <w:jc w:val="both"/>
        <w:rPr>
          <w:sz w:val="22"/>
          <w:szCs w:val="22"/>
          <w:lang w:val="de-DE"/>
        </w:rPr>
      </w:pPr>
      <w:r>
        <w:rPr>
          <w:iCs/>
          <w:sz w:val="22"/>
          <w:szCs w:val="22"/>
          <w:lang w:val="de-DE"/>
        </w:rPr>
        <w:t>Le projet a appuyé la mise en oevre</w:t>
      </w:r>
      <w:r w:rsidR="00D46284" w:rsidRPr="00D46284">
        <w:rPr>
          <w:iCs/>
          <w:sz w:val="22"/>
          <w:szCs w:val="22"/>
          <w:lang w:val="de-DE"/>
        </w:rPr>
        <w:t xml:space="preserve"> </w:t>
      </w:r>
      <w:r>
        <w:rPr>
          <w:iCs/>
          <w:sz w:val="22"/>
          <w:szCs w:val="22"/>
          <w:lang w:val="de-DE"/>
        </w:rPr>
        <w:t xml:space="preserve">et </w:t>
      </w:r>
      <w:r w:rsidR="00D46284" w:rsidRPr="00D46284">
        <w:rPr>
          <w:iCs/>
          <w:sz w:val="22"/>
          <w:szCs w:val="22"/>
          <w:lang w:val="de-DE"/>
        </w:rPr>
        <w:t>des PA des CCS</w:t>
      </w:r>
      <w:r>
        <w:rPr>
          <w:iCs/>
          <w:sz w:val="22"/>
          <w:szCs w:val="22"/>
          <w:lang w:val="de-DE"/>
        </w:rPr>
        <w:t xml:space="preserve"> à travers de proximité fournis auxMaires. </w:t>
      </w:r>
      <w:r w:rsidR="00D46284" w:rsidRPr="00D46284">
        <w:rPr>
          <w:sz w:val="22"/>
          <w:szCs w:val="22"/>
          <w:lang w:val="de-DE"/>
        </w:rPr>
        <w:t>l’essentiel des activités</w:t>
      </w:r>
      <w:r>
        <w:rPr>
          <w:sz w:val="22"/>
          <w:szCs w:val="22"/>
          <w:lang w:val="de-DE"/>
        </w:rPr>
        <w:t xml:space="preserve"> jusqu‘ici</w:t>
      </w:r>
      <w:r w:rsidR="00D46284" w:rsidRPr="00D46284">
        <w:rPr>
          <w:sz w:val="22"/>
          <w:szCs w:val="22"/>
          <w:lang w:val="de-DE"/>
        </w:rPr>
        <w:t xml:space="preserve"> réalisées concernent </w:t>
      </w:r>
      <w:r>
        <w:rPr>
          <w:sz w:val="22"/>
          <w:szCs w:val="22"/>
          <w:lang w:val="de-DE"/>
        </w:rPr>
        <w:t>l</w:t>
      </w:r>
      <w:r w:rsidR="00D46284" w:rsidRPr="00D46284">
        <w:rPr>
          <w:sz w:val="22"/>
          <w:szCs w:val="22"/>
          <w:lang w:val="de-DE"/>
        </w:rPr>
        <w:t>’information et</w:t>
      </w:r>
      <w:r>
        <w:rPr>
          <w:sz w:val="22"/>
          <w:szCs w:val="22"/>
          <w:lang w:val="de-DE"/>
        </w:rPr>
        <w:t xml:space="preserve"> la </w:t>
      </w:r>
      <w:r w:rsidR="00D46284" w:rsidRPr="00D46284">
        <w:rPr>
          <w:sz w:val="22"/>
          <w:szCs w:val="22"/>
          <w:lang w:val="de-DE"/>
        </w:rPr>
        <w:t xml:space="preserve"> sensibilisation des populations sur la RSS et le concept de la police de proximité, le renforcement et la restauration de la confiance entre les FDS et les popupulations, les activités en lien avec la réduction de la violence communautaires ainsi que les actions de plaidoyer auprès des responsables administratifs et sécuritaires pour </w:t>
      </w:r>
      <w:r>
        <w:rPr>
          <w:sz w:val="22"/>
          <w:szCs w:val="22"/>
          <w:lang w:val="de-DE"/>
        </w:rPr>
        <w:t>a</w:t>
      </w:r>
      <w:r w:rsidR="00D46284" w:rsidRPr="00D46284">
        <w:rPr>
          <w:sz w:val="22"/>
          <w:szCs w:val="22"/>
          <w:lang w:val="de-DE"/>
        </w:rPr>
        <w:t xml:space="preserve">maliorer les prestations des FSI rendues à la population.  </w:t>
      </w:r>
    </w:p>
    <w:p w14:paraId="64FC1816" w14:textId="77777777" w:rsidR="00D46284" w:rsidRPr="00D46284" w:rsidRDefault="00D46284" w:rsidP="00D46284">
      <w:pPr>
        <w:ind w:left="-720"/>
        <w:jc w:val="both"/>
        <w:rPr>
          <w:sz w:val="22"/>
          <w:szCs w:val="22"/>
          <w:lang w:val="de-DE"/>
        </w:rPr>
      </w:pPr>
    </w:p>
    <w:p w14:paraId="3634EB52" w14:textId="6D3E71E8" w:rsidR="00D46284" w:rsidRPr="00D46284" w:rsidRDefault="00D46284" w:rsidP="00D46284">
      <w:pPr>
        <w:ind w:left="-720"/>
        <w:jc w:val="both"/>
        <w:rPr>
          <w:sz w:val="22"/>
          <w:szCs w:val="22"/>
          <w:lang w:val="fr-FR"/>
        </w:rPr>
      </w:pPr>
      <w:r w:rsidRPr="00D46284">
        <w:rPr>
          <w:sz w:val="22"/>
          <w:szCs w:val="22"/>
          <w:lang w:val="fr-FR"/>
        </w:rPr>
        <w:t xml:space="preserve">Les premiers résultats de la mise en place des plans des CCS dans les différentes communes font état d’une reconnaissance progressive des rôles et responsabilités des CCS, d’un rapprochement des FDS de sécurité avec les populations et d’un règlement progressif des défis sécuritaires exprimés par les populations lors des rencontres mensuelles des CCS notamment ceux liés au vol de bétail, aux actes de braquages des engins à deux roues, à la consommations des stupéfiants, aux contraventions routières, … </w:t>
      </w:r>
    </w:p>
    <w:p w14:paraId="27346EC6" w14:textId="77777777" w:rsidR="00D46284" w:rsidRPr="00D46284" w:rsidRDefault="00D46284" w:rsidP="00D46284">
      <w:pPr>
        <w:ind w:left="-720"/>
        <w:jc w:val="both"/>
        <w:rPr>
          <w:sz w:val="22"/>
          <w:szCs w:val="22"/>
          <w:lang w:val="fr-FR"/>
        </w:rPr>
      </w:pPr>
    </w:p>
    <w:p w14:paraId="218A6E6F" w14:textId="0735FB47" w:rsidR="00D46284" w:rsidRPr="00D46284" w:rsidRDefault="00D46284" w:rsidP="00D46284">
      <w:pPr>
        <w:ind w:left="-720"/>
        <w:jc w:val="both"/>
        <w:rPr>
          <w:b/>
          <w:sz w:val="22"/>
          <w:szCs w:val="22"/>
          <w:lang w:val="fr-FR"/>
        </w:rPr>
      </w:pPr>
      <w:r w:rsidRPr="00D46284">
        <w:rPr>
          <w:sz w:val="22"/>
          <w:szCs w:val="22"/>
          <w:highlight w:val="lightGray"/>
          <w:lang w:val="fr-FR"/>
        </w:rPr>
        <w:t xml:space="preserve">S’agissant de l’appui à la redynamisation des commissions foncières communales inclusives, 15 </w:t>
      </w:r>
      <w:proofErr w:type="spellStart"/>
      <w:r w:rsidRPr="00D46284">
        <w:rPr>
          <w:sz w:val="22"/>
          <w:szCs w:val="22"/>
          <w:highlight w:val="lightGray"/>
          <w:lang w:val="fr-FR"/>
        </w:rPr>
        <w:t>CoFos</w:t>
      </w:r>
      <w:proofErr w:type="spellEnd"/>
      <w:r w:rsidRPr="00D46284">
        <w:rPr>
          <w:sz w:val="22"/>
          <w:szCs w:val="22"/>
          <w:highlight w:val="lightGray"/>
          <w:lang w:val="fr-FR"/>
        </w:rPr>
        <w:t xml:space="preserve"> dans les sept Cercles d’intervention (Ségou, Bla, Niono, San, </w:t>
      </w:r>
      <w:proofErr w:type="spellStart"/>
      <w:r w:rsidRPr="00D46284">
        <w:rPr>
          <w:sz w:val="22"/>
          <w:szCs w:val="22"/>
          <w:highlight w:val="lightGray"/>
          <w:lang w:val="fr-FR"/>
        </w:rPr>
        <w:t>Djénné</w:t>
      </w:r>
      <w:proofErr w:type="spellEnd"/>
      <w:r w:rsidRPr="00D46284">
        <w:rPr>
          <w:sz w:val="22"/>
          <w:szCs w:val="22"/>
          <w:highlight w:val="lightGray"/>
          <w:lang w:val="fr-FR"/>
        </w:rPr>
        <w:t xml:space="preserve">, Bandiagara et Mopti) comprenant 105 membres ont eu </w:t>
      </w:r>
      <w:r w:rsidR="00A90E6D" w:rsidRPr="00D46284">
        <w:rPr>
          <w:sz w:val="22"/>
          <w:szCs w:val="22"/>
          <w:highlight w:val="lightGray"/>
          <w:lang w:val="fr-FR"/>
        </w:rPr>
        <w:t>la capacité renforcée</w:t>
      </w:r>
      <w:r w:rsidRPr="00D46284">
        <w:rPr>
          <w:sz w:val="22"/>
          <w:szCs w:val="22"/>
          <w:highlight w:val="lightGray"/>
          <w:lang w:val="fr-FR"/>
        </w:rPr>
        <w:t xml:space="preserve"> sur les thématiques en relation avec leurs rôles selon les textes et lois existants (dont 29 femmes, 22 jeunes hommes) dans le cadre de l’accompagnement des </w:t>
      </w:r>
      <w:proofErr w:type="spellStart"/>
      <w:r w:rsidRPr="00D46284">
        <w:rPr>
          <w:sz w:val="22"/>
          <w:szCs w:val="22"/>
          <w:highlight w:val="lightGray"/>
          <w:lang w:val="fr-FR"/>
        </w:rPr>
        <w:t>CoFos</w:t>
      </w:r>
      <w:proofErr w:type="spellEnd"/>
      <w:r w:rsidRPr="00D46284">
        <w:rPr>
          <w:sz w:val="22"/>
          <w:szCs w:val="22"/>
          <w:highlight w:val="lightGray"/>
          <w:lang w:val="fr-FR"/>
        </w:rPr>
        <w:t xml:space="preserve"> afin de les opérationnaliser. On peut citer des progrès substantiels comme : la relecture des textes, la réactualisation des membres des </w:t>
      </w:r>
      <w:proofErr w:type="spellStart"/>
      <w:r w:rsidR="00A90E6D" w:rsidRPr="00D46284">
        <w:rPr>
          <w:sz w:val="22"/>
          <w:szCs w:val="22"/>
          <w:highlight w:val="lightGray"/>
          <w:lang w:val="fr-FR"/>
        </w:rPr>
        <w:t>CoFos</w:t>
      </w:r>
      <w:proofErr w:type="spellEnd"/>
      <w:r w:rsidR="00A90E6D" w:rsidRPr="00D46284">
        <w:rPr>
          <w:sz w:val="22"/>
          <w:szCs w:val="22"/>
          <w:highlight w:val="lightGray"/>
          <w:lang w:val="fr-FR"/>
        </w:rPr>
        <w:t>, la</w:t>
      </w:r>
      <w:r w:rsidRPr="00D46284">
        <w:rPr>
          <w:sz w:val="22"/>
          <w:szCs w:val="22"/>
          <w:highlight w:val="lightGray"/>
          <w:lang w:val="fr-FR"/>
        </w:rPr>
        <w:t xml:space="preserve"> capacitation des membres des </w:t>
      </w:r>
      <w:proofErr w:type="spellStart"/>
      <w:r w:rsidRPr="00D46284">
        <w:rPr>
          <w:sz w:val="22"/>
          <w:szCs w:val="22"/>
          <w:highlight w:val="lightGray"/>
          <w:lang w:val="fr-FR"/>
        </w:rPr>
        <w:t>CoFos</w:t>
      </w:r>
      <w:proofErr w:type="spellEnd"/>
      <w:r w:rsidRPr="00D46284">
        <w:rPr>
          <w:sz w:val="22"/>
          <w:szCs w:val="22"/>
          <w:highlight w:val="lightGray"/>
          <w:lang w:val="fr-FR"/>
        </w:rPr>
        <w:t xml:space="preserve"> sur les outils de transaction foncière en mettant un accent sur les </w:t>
      </w:r>
      <w:r w:rsidR="00A90E6D" w:rsidRPr="00D46284">
        <w:rPr>
          <w:sz w:val="22"/>
          <w:szCs w:val="22"/>
          <w:highlight w:val="lightGray"/>
          <w:lang w:val="fr-FR"/>
        </w:rPr>
        <w:t>procès-verbaux conciliation</w:t>
      </w:r>
      <w:r w:rsidRPr="00D46284">
        <w:rPr>
          <w:sz w:val="22"/>
          <w:szCs w:val="22"/>
          <w:highlight w:val="lightGray"/>
          <w:lang w:val="fr-FR"/>
        </w:rPr>
        <w:t xml:space="preserve"> et de </w:t>
      </w:r>
      <w:r w:rsidR="00A90E6D" w:rsidRPr="00D46284">
        <w:rPr>
          <w:sz w:val="22"/>
          <w:szCs w:val="22"/>
          <w:highlight w:val="lightGray"/>
          <w:lang w:val="fr-FR"/>
        </w:rPr>
        <w:t>non-conciliation</w:t>
      </w:r>
      <w:r w:rsidRPr="00D46284">
        <w:rPr>
          <w:sz w:val="22"/>
          <w:szCs w:val="22"/>
          <w:highlight w:val="lightGray"/>
          <w:lang w:val="fr-FR"/>
        </w:rPr>
        <w:t xml:space="preserve">. Dans le cadre de </w:t>
      </w:r>
      <w:proofErr w:type="gramStart"/>
      <w:r w:rsidRPr="00D46284">
        <w:rPr>
          <w:sz w:val="22"/>
          <w:szCs w:val="22"/>
          <w:highlight w:val="lightGray"/>
          <w:lang w:val="fr-FR"/>
        </w:rPr>
        <w:t>la</w:t>
      </w:r>
      <w:proofErr w:type="gramEnd"/>
      <w:r w:rsidRPr="00D46284">
        <w:rPr>
          <w:sz w:val="22"/>
          <w:szCs w:val="22"/>
          <w:highlight w:val="lightGray"/>
          <w:lang w:val="fr-FR"/>
        </w:rPr>
        <w:t xml:space="preserve"> de pérennisation des </w:t>
      </w:r>
      <w:proofErr w:type="spellStart"/>
      <w:r w:rsidRPr="00D46284">
        <w:rPr>
          <w:sz w:val="22"/>
          <w:szCs w:val="22"/>
          <w:highlight w:val="lightGray"/>
          <w:lang w:val="fr-FR"/>
        </w:rPr>
        <w:t>CoFos</w:t>
      </w:r>
      <w:proofErr w:type="spellEnd"/>
      <w:r w:rsidRPr="00D46284">
        <w:rPr>
          <w:sz w:val="22"/>
          <w:szCs w:val="22"/>
          <w:highlight w:val="lightGray"/>
          <w:lang w:val="fr-FR"/>
        </w:rPr>
        <w:t xml:space="preserve">, 30 Communes ont intégrées les Plans d’Action de ces </w:t>
      </w:r>
      <w:proofErr w:type="spellStart"/>
      <w:r w:rsidRPr="00D46284">
        <w:rPr>
          <w:sz w:val="22"/>
          <w:szCs w:val="22"/>
          <w:highlight w:val="lightGray"/>
          <w:lang w:val="fr-FR"/>
        </w:rPr>
        <w:t>CoFosdans</w:t>
      </w:r>
      <w:proofErr w:type="spellEnd"/>
      <w:r w:rsidRPr="00D46284">
        <w:rPr>
          <w:sz w:val="22"/>
          <w:szCs w:val="22"/>
          <w:highlight w:val="lightGray"/>
          <w:lang w:val="fr-FR"/>
        </w:rPr>
        <w:t xml:space="preserve"> les PDSEC. </w:t>
      </w:r>
    </w:p>
    <w:p w14:paraId="56BB5D42" w14:textId="77777777" w:rsidR="00D46284" w:rsidRPr="00D46284" w:rsidRDefault="00D46284" w:rsidP="00D46284">
      <w:pPr>
        <w:ind w:left="-720"/>
        <w:jc w:val="both"/>
        <w:rPr>
          <w:b/>
          <w:lang w:val="fr-FR"/>
        </w:rPr>
      </w:pPr>
    </w:p>
    <w:p w14:paraId="6CF58B02" w14:textId="4C94468D" w:rsidR="00D46284" w:rsidRPr="00D46284" w:rsidRDefault="00D46284" w:rsidP="00D46284">
      <w:pPr>
        <w:ind w:left="-720"/>
        <w:jc w:val="both"/>
        <w:rPr>
          <w:b/>
          <w:lang w:val="fr-FR"/>
        </w:rPr>
      </w:pPr>
      <w:r w:rsidRPr="00D46284">
        <w:rPr>
          <w:sz w:val="22"/>
          <w:szCs w:val="22"/>
          <w:highlight w:val="lightGray"/>
          <w:lang w:val="fr-FR"/>
        </w:rPr>
        <w:t xml:space="preserve">De novembre 2021 à mai 2022 15 conflits liés au foncier ont été gérés en conciliation et les </w:t>
      </w:r>
      <w:r w:rsidR="00D91039" w:rsidRPr="00D46284">
        <w:rPr>
          <w:sz w:val="22"/>
          <w:szCs w:val="22"/>
          <w:highlight w:val="lightGray"/>
          <w:lang w:val="fr-FR"/>
        </w:rPr>
        <w:t>Procès-Verbaux</w:t>
      </w:r>
      <w:r w:rsidRPr="00D46284">
        <w:rPr>
          <w:sz w:val="22"/>
          <w:szCs w:val="22"/>
          <w:highlight w:val="lightGray"/>
          <w:lang w:val="fr-FR"/>
        </w:rPr>
        <w:t xml:space="preserve"> sont homologués par les juridictions dont : (03 à </w:t>
      </w:r>
      <w:r w:rsidRPr="00D46284">
        <w:rPr>
          <w:bCs/>
          <w:sz w:val="22"/>
          <w:szCs w:val="22"/>
          <w:highlight w:val="lightGray"/>
          <w:lang w:val="fr-FR"/>
        </w:rPr>
        <w:t>Bla, 01 à Niono, 04 à San, 02 à Bandiagara, 03 à Djenné et 02 à Mopti.</w:t>
      </w:r>
      <w:r w:rsidRPr="00D46284">
        <w:rPr>
          <w:sz w:val="22"/>
          <w:szCs w:val="22"/>
          <w:highlight w:val="lightGray"/>
          <w:lang w:val="fr-FR"/>
        </w:rPr>
        <w:t xml:space="preserve"> La prise en compte des droits des femmes et des jeunes </w:t>
      </w:r>
      <w:r w:rsidR="00D91039" w:rsidRPr="00D46284">
        <w:rPr>
          <w:sz w:val="22"/>
          <w:szCs w:val="22"/>
          <w:highlight w:val="lightGray"/>
          <w:lang w:val="fr-FR"/>
        </w:rPr>
        <w:t>a contribué</w:t>
      </w:r>
      <w:r w:rsidRPr="00D46284">
        <w:rPr>
          <w:sz w:val="22"/>
          <w:szCs w:val="22"/>
          <w:highlight w:val="lightGray"/>
          <w:lang w:val="fr-FR"/>
        </w:rPr>
        <w:t xml:space="preserve"> à la bonne gestion de ces conflits</w:t>
      </w:r>
    </w:p>
    <w:p w14:paraId="22E2CA5C" w14:textId="3CF58944" w:rsidR="00D46284" w:rsidRPr="00D46284" w:rsidRDefault="00D46284" w:rsidP="00D46284">
      <w:pPr>
        <w:ind w:left="-720"/>
        <w:jc w:val="both"/>
        <w:rPr>
          <w:b/>
          <w:lang w:val="fr-FR"/>
        </w:rPr>
      </w:pPr>
      <w:r w:rsidRPr="00D46284">
        <w:rPr>
          <w:iCs/>
          <w:sz w:val="22"/>
          <w:szCs w:val="22"/>
          <w:highlight w:val="lightGray"/>
          <w:lang w:val="fr-FR"/>
        </w:rPr>
        <w:t xml:space="preserve">La prise en compte des droits des femmes et des jeunes dans la gestion des espaces agricoles et des ressources </w:t>
      </w:r>
      <w:proofErr w:type="spellStart"/>
      <w:r w:rsidRPr="00D46284">
        <w:rPr>
          <w:iCs/>
          <w:sz w:val="22"/>
          <w:szCs w:val="22"/>
          <w:highlight w:val="lightGray"/>
          <w:lang w:val="fr-FR"/>
        </w:rPr>
        <w:t>faunétiques</w:t>
      </w:r>
      <w:proofErr w:type="spellEnd"/>
      <w:r w:rsidRPr="00D46284">
        <w:rPr>
          <w:iCs/>
          <w:sz w:val="22"/>
          <w:szCs w:val="22"/>
          <w:highlight w:val="lightGray"/>
          <w:lang w:val="fr-FR"/>
        </w:rPr>
        <w:t xml:space="preserve"> nécessite des séances d’information et de sensibilisation des femmes et des jeunes ainsi que des acteurs étatiques et traditionnels sur l’importance des </w:t>
      </w:r>
      <w:proofErr w:type="spellStart"/>
      <w:r w:rsidRPr="00D46284">
        <w:rPr>
          <w:iCs/>
          <w:sz w:val="22"/>
          <w:szCs w:val="22"/>
          <w:highlight w:val="lightGray"/>
          <w:lang w:val="fr-FR"/>
        </w:rPr>
        <w:t>CoFos</w:t>
      </w:r>
      <w:proofErr w:type="spellEnd"/>
      <w:r w:rsidRPr="00D46284">
        <w:rPr>
          <w:iCs/>
          <w:sz w:val="22"/>
          <w:szCs w:val="22"/>
          <w:highlight w:val="lightGray"/>
          <w:lang w:val="fr-FR"/>
        </w:rPr>
        <w:t xml:space="preserve"> dans la gestion concertée et apaisée des ressources naturelles et foncières. A cet effet, un spot TV a été réalisé sur le droit foncier des femmes et des jeunes en </w:t>
      </w:r>
      <w:r w:rsidR="00F801F3" w:rsidRPr="00D46284">
        <w:rPr>
          <w:iCs/>
          <w:sz w:val="22"/>
          <w:szCs w:val="22"/>
          <w:highlight w:val="lightGray"/>
        </w:rPr>
        <w:t>langues Bambara</w:t>
      </w:r>
      <w:r w:rsidRPr="00D46284">
        <w:rPr>
          <w:iCs/>
          <w:sz w:val="22"/>
          <w:szCs w:val="22"/>
          <w:highlight w:val="lightGray"/>
          <w:lang w:val="fr-FR"/>
        </w:rPr>
        <w:t xml:space="preserve"> et diffusé à la télévision pour sensibiliser le maximum de personne.</w:t>
      </w:r>
    </w:p>
    <w:p w14:paraId="7179DDFF" w14:textId="329FD191" w:rsidR="00D46284" w:rsidRPr="00D46284" w:rsidRDefault="00D46284" w:rsidP="00D46284">
      <w:pPr>
        <w:ind w:left="-720"/>
        <w:jc w:val="both"/>
        <w:rPr>
          <w:b/>
          <w:lang w:val="fr-FR"/>
        </w:rPr>
      </w:pPr>
      <w:r w:rsidRPr="00D46284">
        <w:rPr>
          <w:iCs/>
          <w:sz w:val="22"/>
          <w:szCs w:val="22"/>
          <w:highlight w:val="lightGray"/>
          <w:lang w:val="fr-FR"/>
        </w:rPr>
        <w:t xml:space="preserve">Pour permettre à l’ensemble des acteurs de maitriser </w:t>
      </w:r>
      <w:r w:rsidR="00F801F3" w:rsidRPr="00D46284">
        <w:rPr>
          <w:iCs/>
          <w:sz w:val="22"/>
          <w:szCs w:val="22"/>
          <w:highlight w:val="lightGray"/>
        </w:rPr>
        <w:t>les mécanismes</w:t>
      </w:r>
      <w:r w:rsidRPr="00D46284">
        <w:rPr>
          <w:iCs/>
          <w:sz w:val="22"/>
          <w:szCs w:val="22"/>
          <w:highlight w:val="lightGray"/>
          <w:lang w:val="fr-FR"/>
        </w:rPr>
        <w:t xml:space="preserve"> de gestion des conflits foncier à travers les </w:t>
      </w:r>
      <w:proofErr w:type="spellStart"/>
      <w:r w:rsidRPr="00D46284">
        <w:rPr>
          <w:iCs/>
          <w:sz w:val="22"/>
          <w:szCs w:val="22"/>
          <w:highlight w:val="lightGray"/>
          <w:lang w:val="fr-FR"/>
        </w:rPr>
        <w:t>CoFo</w:t>
      </w:r>
      <w:proofErr w:type="spellEnd"/>
      <w:r w:rsidRPr="00D46284">
        <w:rPr>
          <w:iCs/>
          <w:sz w:val="22"/>
          <w:szCs w:val="22"/>
          <w:highlight w:val="lightGray"/>
          <w:lang w:val="fr-FR"/>
        </w:rPr>
        <w:t xml:space="preserve">, 400 exemplaires de plaquettes d’information sur le foncier agricole dont 300 en langue bambara et 100 en langue française. 200 exemplaires d’affiches contenant des informations sur le foncier agricole et sur les </w:t>
      </w:r>
      <w:proofErr w:type="spellStart"/>
      <w:r w:rsidRPr="00D46284">
        <w:rPr>
          <w:iCs/>
          <w:sz w:val="22"/>
          <w:szCs w:val="22"/>
          <w:highlight w:val="lightGray"/>
          <w:lang w:val="fr-FR"/>
        </w:rPr>
        <w:t>CoFos</w:t>
      </w:r>
      <w:proofErr w:type="spellEnd"/>
      <w:r w:rsidRPr="00D46284">
        <w:rPr>
          <w:iCs/>
          <w:sz w:val="22"/>
          <w:szCs w:val="22"/>
          <w:highlight w:val="lightGray"/>
          <w:lang w:val="fr-FR"/>
        </w:rPr>
        <w:t xml:space="preserve"> ont été également produites dont 150 en langue bambara et 50 en langue française, puis distribuées à l’ensemble des communes et villages d’intervention du projet</w:t>
      </w:r>
      <w:r w:rsidRPr="00D46284">
        <w:rPr>
          <w:iCs/>
          <w:sz w:val="22"/>
          <w:szCs w:val="22"/>
          <w:highlight w:val="lightGray"/>
          <w:vertAlign w:val="superscript"/>
          <w:lang w:val="fr-FR"/>
        </w:rPr>
        <w:footnoteReference w:id="7"/>
      </w:r>
      <w:r w:rsidRPr="00D46284">
        <w:rPr>
          <w:iCs/>
          <w:sz w:val="22"/>
          <w:szCs w:val="22"/>
          <w:highlight w:val="lightGray"/>
          <w:lang w:val="fr-FR"/>
        </w:rPr>
        <w:t>.</w:t>
      </w:r>
    </w:p>
    <w:p w14:paraId="6B4670C7" w14:textId="531ADC47" w:rsidR="00D46284" w:rsidRPr="00D46284" w:rsidRDefault="00F801F3" w:rsidP="00D46284">
      <w:pPr>
        <w:ind w:left="-720"/>
        <w:jc w:val="both"/>
        <w:rPr>
          <w:b/>
          <w:iCs/>
          <w:sz w:val="22"/>
          <w:szCs w:val="22"/>
          <w:lang w:val="fr-FR"/>
        </w:rPr>
      </w:pPr>
      <w:r w:rsidRPr="00D46284">
        <w:rPr>
          <w:iCs/>
          <w:sz w:val="22"/>
          <w:szCs w:val="22"/>
          <w:highlight w:val="lightGray"/>
        </w:rPr>
        <w:t>Pour une meilleure adhésion des acteurs au</w:t>
      </w:r>
      <w:r w:rsidR="00D46284" w:rsidRPr="00D46284">
        <w:rPr>
          <w:iCs/>
          <w:sz w:val="22"/>
          <w:szCs w:val="22"/>
          <w:highlight w:val="lightGray"/>
          <w:lang w:val="fr-FR"/>
        </w:rPr>
        <w:t xml:space="preserve"> processus de dynamisation des </w:t>
      </w:r>
      <w:proofErr w:type="spellStart"/>
      <w:r w:rsidR="00D46284" w:rsidRPr="00D46284">
        <w:rPr>
          <w:iCs/>
          <w:sz w:val="22"/>
          <w:szCs w:val="22"/>
          <w:highlight w:val="lightGray"/>
          <w:lang w:val="fr-FR"/>
        </w:rPr>
        <w:t>CoFo</w:t>
      </w:r>
      <w:proofErr w:type="spellEnd"/>
      <w:r w:rsidR="00D46284" w:rsidRPr="00D46284">
        <w:rPr>
          <w:iCs/>
          <w:sz w:val="22"/>
          <w:szCs w:val="22"/>
          <w:highlight w:val="lightGray"/>
          <w:lang w:val="fr-FR"/>
        </w:rPr>
        <w:t xml:space="preserve">, une opportunité de </w:t>
      </w:r>
      <w:r w:rsidRPr="00D46284">
        <w:rPr>
          <w:iCs/>
          <w:sz w:val="22"/>
          <w:szCs w:val="22"/>
          <w:highlight w:val="lightGray"/>
        </w:rPr>
        <w:t>gestion participative</w:t>
      </w:r>
      <w:r w:rsidR="00D46284" w:rsidRPr="00D46284">
        <w:rPr>
          <w:iCs/>
          <w:sz w:val="22"/>
          <w:szCs w:val="22"/>
          <w:highlight w:val="lightGray"/>
          <w:lang w:val="fr-FR"/>
        </w:rPr>
        <w:t xml:space="preserve"> et inclusive des conflits de proximité, et une appropriation s’impose. Pour ce faire, 30 sessions de délibération ont permis de prendre en compte les </w:t>
      </w:r>
      <w:r w:rsidRPr="00D46284">
        <w:rPr>
          <w:iCs/>
          <w:sz w:val="22"/>
          <w:szCs w:val="22"/>
          <w:highlight w:val="lightGray"/>
        </w:rPr>
        <w:t>activités spécifiques d’appui aux</w:t>
      </w:r>
      <w:r w:rsidR="00D46284" w:rsidRPr="00D46284">
        <w:rPr>
          <w:iCs/>
          <w:sz w:val="22"/>
          <w:szCs w:val="22"/>
          <w:highlight w:val="lightGray"/>
          <w:lang w:val="fr-FR"/>
        </w:rPr>
        <w:t xml:space="preserve"> </w:t>
      </w:r>
      <w:proofErr w:type="spellStart"/>
      <w:r w:rsidR="00D46284" w:rsidRPr="00D46284">
        <w:rPr>
          <w:iCs/>
          <w:sz w:val="22"/>
          <w:szCs w:val="22"/>
          <w:highlight w:val="lightGray"/>
          <w:lang w:val="fr-FR"/>
        </w:rPr>
        <w:t>CoFo</w:t>
      </w:r>
      <w:proofErr w:type="spellEnd"/>
      <w:r w:rsidR="00D46284" w:rsidRPr="00D46284">
        <w:rPr>
          <w:iCs/>
          <w:sz w:val="22"/>
          <w:szCs w:val="22"/>
          <w:highlight w:val="lightGray"/>
          <w:lang w:val="fr-FR"/>
        </w:rPr>
        <w:t xml:space="preserve"> dans les PDESEC de 30 communes des cercles San Mopti,</w:t>
      </w:r>
      <w:r>
        <w:rPr>
          <w:iCs/>
          <w:sz w:val="22"/>
          <w:szCs w:val="22"/>
          <w:highlight w:val="lightGray"/>
        </w:rPr>
        <w:t xml:space="preserve"> </w:t>
      </w:r>
      <w:r w:rsidR="00D46284" w:rsidRPr="00D46284">
        <w:rPr>
          <w:iCs/>
          <w:sz w:val="22"/>
          <w:szCs w:val="22"/>
          <w:highlight w:val="lightGray"/>
          <w:lang w:val="fr-FR"/>
        </w:rPr>
        <w:t>Bandiagara, Niono et Bla.</w:t>
      </w:r>
    </w:p>
    <w:p w14:paraId="086166ED" w14:textId="296A8A41" w:rsidR="00D46284" w:rsidRPr="00D46284" w:rsidRDefault="00D46284" w:rsidP="00D46284">
      <w:pPr>
        <w:ind w:left="-720"/>
        <w:jc w:val="both"/>
        <w:rPr>
          <w:b/>
          <w:lang w:val="fr-FR"/>
        </w:rPr>
      </w:pPr>
      <w:r w:rsidRPr="00D46284">
        <w:rPr>
          <w:bCs/>
          <w:iCs/>
          <w:sz w:val="22"/>
          <w:szCs w:val="22"/>
          <w:highlight w:val="lightGray"/>
          <w:lang w:val="fr-FR"/>
        </w:rPr>
        <w:t xml:space="preserve">Les résultats de l’étude de la prise en compte du genre et des droits humains dans le fonctionnement des juridictions cibles (Tribunaux de Grande Instance de Mopti, Ségou, Tombouctou et </w:t>
      </w:r>
      <w:r w:rsidR="00F801F3" w:rsidRPr="00D46284">
        <w:rPr>
          <w:bCs/>
          <w:iCs/>
          <w:sz w:val="22"/>
          <w:szCs w:val="22"/>
          <w:highlight w:val="lightGray"/>
        </w:rPr>
        <w:t>Gao, et</w:t>
      </w:r>
      <w:r w:rsidRPr="00D46284">
        <w:rPr>
          <w:bCs/>
          <w:iCs/>
          <w:sz w:val="22"/>
          <w:szCs w:val="22"/>
          <w:highlight w:val="lightGray"/>
          <w:lang w:val="fr-FR"/>
        </w:rPr>
        <w:t xml:space="preserve"> des Tribunaux d’Instance de Bla et </w:t>
      </w:r>
      <w:r w:rsidR="00F801F3" w:rsidRPr="00D46284">
        <w:rPr>
          <w:bCs/>
          <w:iCs/>
          <w:sz w:val="22"/>
          <w:szCs w:val="22"/>
          <w:highlight w:val="lightGray"/>
        </w:rPr>
        <w:t>Djenné)</w:t>
      </w:r>
      <w:r w:rsidRPr="00D46284">
        <w:rPr>
          <w:bCs/>
          <w:iCs/>
          <w:sz w:val="22"/>
          <w:szCs w:val="22"/>
          <w:highlight w:val="lightGray"/>
          <w:lang w:val="fr-FR"/>
        </w:rPr>
        <w:t xml:space="preserve"> commanditée par ONU Femmes, ont permis de mettre en exergue un certain nombre de problématiques liées à la pratique judiciaire au Mali, eu égard en particulier au traitement des dossiers impliquant les femmes. </w:t>
      </w:r>
    </w:p>
    <w:p w14:paraId="1BB6437A" w14:textId="77777777" w:rsidR="00D46284" w:rsidRPr="00D46284" w:rsidRDefault="00D46284" w:rsidP="00D46284">
      <w:pPr>
        <w:ind w:left="-720"/>
        <w:jc w:val="both"/>
        <w:rPr>
          <w:b/>
          <w:bCs/>
          <w:sz w:val="22"/>
          <w:szCs w:val="22"/>
          <w:highlight w:val="lightGray"/>
          <w:lang w:val="fr-ML"/>
        </w:rPr>
      </w:pPr>
      <w:r w:rsidRPr="00D46284">
        <w:rPr>
          <w:b/>
          <w:bCs/>
          <w:sz w:val="22"/>
          <w:szCs w:val="22"/>
          <w:highlight w:val="lightGray"/>
          <w:lang w:val="fr-ML"/>
        </w:rPr>
        <w:lastRenderedPageBreak/>
        <w:t>Quelques chiffres découlent ainsi de l’analyse des données collectées dans le cadre de cette étude :</w:t>
      </w:r>
    </w:p>
    <w:p w14:paraId="3A476DB2"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2917 dossiers judiciarisés de 2019 à 2021 au niveau des juridictions cibles ;</w:t>
      </w:r>
    </w:p>
    <w:p w14:paraId="61481F5A" w14:textId="7746B8C6"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 xml:space="preserve">5,28% des dossiers judiciarisés impliquant les femmes dans les </w:t>
      </w:r>
      <w:r w:rsidR="00F801F3" w:rsidRPr="00D46284">
        <w:rPr>
          <w:sz w:val="22"/>
          <w:szCs w:val="22"/>
          <w:highlight w:val="lightGray"/>
          <w:lang w:val="fr-ML"/>
        </w:rPr>
        <w:t>juridictions ;</w:t>
      </w:r>
    </w:p>
    <w:p w14:paraId="26E7A9CC"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324 dossiers judiciarisés en moyenne par an et par juridiction ;</w:t>
      </w:r>
    </w:p>
    <w:p w14:paraId="2069B261"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Seulement 19% de dossiers ont été judiciarisés par les femmes dans l’ensemble des juridictions ;</w:t>
      </w:r>
    </w:p>
    <w:p w14:paraId="11ED00B8"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64% des dossiers ont été judiciarisés par les femmes dans la juridiction de Djenné ;</w:t>
      </w:r>
    </w:p>
    <w:p w14:paraId="4C413F47"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0% de dossiers judiciarisés par les femmes à Tombouctou ;</w:t>
      </w:r>
    </w:p>
    <w:p w14:paraId="7E25559D"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 xml:space="preserve">66% des affaires civiles judiciarisés par les femmes concernent le divorce en </w:t>
      </w:r>
      <w:proofErr w:type="gramStart"/>
      <w:r w:rsidRPr="00D46284">
        <w:rPr>
          <w:sz w:val="22"/>
          <w:szCs w:val="22"/>
          <w:highlight w:val="lightGray"/>
          <w:lang w:val="fr-ML"/>
        </w:rPr>
        <w:t>général;</w:t>
      </w:r>
      <w:proofErr w:type="gramEnd"/>
    </w:p>
    <w:p w14:paraId="79526B88"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33,30% des affaires pénales sont des violences sexuelles liées aux conflits ;</w:t>
      </w:r>
    </w:p>
    <w:p w14:paraId="69F43837"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33,30% des obstacles à l’accès des femmes à la justice est lié à la méconnaissance des droits et les procédures judiciaires ;</w:t>
      </w:r>
    </w:p>
    <w:p w14:paraId="591D80E7" w14:textId="77777777" w:rsidR="00D46284" w:rsidRPr="00D46284" w:rsidRDefault="00D46284" w:rsidP="00D46284">
      <w:pPr>
        <w:numPr>
          <w:ilvl w:val="0"/>
          <w:numId w:val="7"/>
        </w:numPr>
        <w:jc w:val="both"/>
        <w:rPr>
          <w:bCs/>
          <w:sz w:val="22"/>
          <w:szCs w:val="22"/>
          <w:highlight w:val="lightGray"/>
          <w:lang w:val="fr-FR"/>
        </w:rPr>
      </w:pPr>
      <w:r w:rsidRPr="00D46284">
        <w:rPr>
          <w:bCs/>
          <w:sz w:val="22"/>
          <w:szCs w:val="22"/>
          <w:highlight w:val="lightGray"/>
          <w:lang w:val="fr-FR"/>
        </w:rPr>
        <w:t>70% des OSC et OI trouvent que le temps de traitement des dossiers impliquant les femmes est long ;</w:t>
      </w:r>
    </w:p>
    <w:p w14:paraId="5BE6FF79" w14:textId="77777777" w:rsidR="00D46284" w:rsidRPr="00D46284" w:rsidRDefault="00D46284" w:rsidP="00D46284">
      <w:pPr>
        <w:numPr>
          <w:ilvl w:val="0"/>
          <w:numId w:val="7"/>
        </w:numPr>
        <w:jc w:val="both"/>
        <w:rPr>
          <w:sz w:val="22"/>
          <w:szCs w:val="22"/>
          <w:highlight w:val="lightGray"/>
          <w:lang w:val="fr-FR"/>
        </w:rPr>
      </w:pPr>
      <w:r w:rsidRPr="00D46284">
        <w:rPr>
          <w:sz w:val="22"/>
          <w:szCs w:val="22"/>
          <w:highlight w:val="lightGray"/>
          <w:lang w:val="fr-FR"/>
        </w:rPr>
        <w:t>Une moyenne de 11 personnes comme personnel existant dans les juridictions ;</w:t>
      </w:r>
    </w:p>
    <w:p w14:paraId="47E3B1D4" w14:textId="77777777" w:rsidR="00D46284" w:rsidRPr="00D46284" w:rsidRDefault="00D46284" w:rsidP="00D46284">
      <w:pPr>
        <w:numPr>
          <w:ilvl w:val="0"/>
          <w:numId w:val="7"/>
        </w:numPr>
        <w:jc w:val="both"/>
        <w:rPr>
          <w:sz w:val="22"/>
          <w:szCs w:val="22"/>
          <w:highlight w:val="lightGray"/>
          <w:lang w:val="fr-ML"/>
        </w:rPr>
      </w:pPr>
      <w:r w:rsidRPr="00D46284">
        <w:rPr>
          <w:sz w:val="22"/>
          <w:szCs w:val="22"/>
          <w:highlight w:val="lightGray"/>
          <w:lang w:val="fr-ML"/>
        </w:rPr>
        <w:t>100% des juridictions ont un calendrier pour les audiences ;</w:t>
      </w:r>
    </w:p>
    <w:p w14:paraId="0529E8F0" w14:textId="77777777" w:rsidR="00D46284" w:rsidRPr="00D46284" w:rsidRDefault="00D46284" w:rsidP="00D46284">
      <w:pPr>
        <w:numPr>
          <w:ilvl w:val="0"/>
          <w:numId w:val="7"/>
        </w:numPr>
        <w:jc w:val="both"/>
        <w:rPr>
          <w:sz w:val="22"/>
          <w:szCs w:val="22"/>
          <w:highlight w:val="lightGray"/>
          <w:lang w:val="fr-FR"/>
        </w:rPr>
      </w:pPr>
      <w:r w:rsidRPr="00D46284">
        <w:rPr>
          <w:sz w:val="22"/>
          <w:szCs w:val="22"/>
          <w:highlight w:val="lightGray"/>
          <w:lang w:val="fr-FR"/>
        </w:rPr>
        <w:t>38% de personnel féminin dans l’ensemble des juridictions ;</w:t>
      </w:r>
    </w:p>
    <w:p w14:paraId="33D9E746" w14:textId="77777777" w:rsidR="00D46284" w:rsidRPr="00D46284" w:rsidRDefault="00D46284" w:rsidP="00D46284">
      <w:pPr>
        <w:numPr>
          <w:ilvl w:val="0"/>
          <w:numId w:val="7"/>
        </w:numPr>
        <w:jc w:val="both"/>
        <w:rPr>
          <w:sz w:val="22"/>
          <w:szCs w:val="22"/>
          <w:highlight w:val="lightGray"/>
          <w:lang w:val="fr-FR"/>
        </w:rPr>
      </w:pPr>
      <w:r w:rsidRPr="00D46284">
        <w:rPr>
          <w:sz w:val="22"/>
          <w:szCs w:val="22"/>
          <w:highlight w:val="lightGray"/>
          <w:lang w:val="fr-FR"/>
        </w:rPr>
        <w:t>0% de personnel judiciaire féminin dans la juridiction de Bla ;</w:t>
      </w:r>
    </w:p>
    <w:p w14:paraId="498A4916" w14:textId="77777777" w:rsidR="00D46284" w:rsidRPr="00D46284" w:rsidRDefault="00D46284" w:rsidP="00D46284">
      <w:pPr>
        <w:numPr>
          <w:ilvl w:val="0"/>
          <w:numId w:val="7"/>
        </w:numPr>
        <w:jc w:val="both"/>
        <w:rPr>
          <w:sz w:val="22"/>
          <w:szCs w:val="22"/>
          <w:highlight w:val="lightGray"/>
          <w:lang w:val="fr-FR"/>
        </w:rPr>
      </w:pPr>
      <w:r w:rsidRPr="00D46284">
        <w:rPr>
          <w:sz w:val="22"/>
          <w:szCs w:val="22"/>
          <w:highlight w:val="lightGray"/>
          <w:lang w:val="fr-FR"/>
        </w:rPr>
        <w:t>67% de personnel féminin dans la juridiction de Ségou ;</w:t>
      </w:r>
    </w:p>
    <w:p w14:paraId="5922B6F8" w14:textId="77777777" w:rsidR="00D46284" w:rsidRPr="00D46284" w:rsidRDefault="00D46284" w:rsidP="00D46284">
      <w:pPr>
        <w:numPr>
          <w:ilvl w:val="0"/>
          <w:numId w:val="7"/>
        </w:numPr>
        <w:jc w:val="both"/>
        <w:rPr>
          <w:sz w:val="22"/>
          <w:szCs w:val="22"/>
          <w:highlight w:val="lightGray"/>
          <w:lang w:val="fr-FR"/>
        </w:rPr>
      </w:pPr>
      <w:r w:rsidRPr="00D46284">
        <w:rPr>
          <w:sz w:val="22"/>
          <w:szCs w:val="22"/>
          <w:highlight w:val="lightGray"/>
          <w:lang w:val="fr-FR"/>
        </w:rPr>
        <w:t>89% des secrétaires au greffier sont des femmes dans l’ensemble ;</w:t>
      </w:r>
    </w:p>
    <w:p w14:paraId="23D22A1A" w14:textId="77777777" w:rsidR="00D46284" w:rsidRPr="00D46284" w:rsidRDefault="00D46284" w:rsidP="00D46284">
      <w:pPr>
        <w:numPr>
          <w:ilvl w:val="0"/>
          <w:numId w:val="7"/>
        </w:numPr>
        <w:jc w:val="both"/>
        <w:rPr>
          <w:sz w:val="22"/>
          <w:szCs w:val="22"/>
          <w:highlight w:val="lightGray"/>
          <w:lang w:val="fr-FR"/>
        </w:rPr>
      </w:pPr>
      <w:r w:rsidRPr="00D46284">
        <w:rPr>
          <w:iCs/>
          <w:sz w:val="22"/>
          <w:szCs w:val="22"/>
          <w:highlight w:val="lightGray"/>
          <w:lang w:val="fr-ML"/>
        </w:rPr>
        <w:t>100% des greffiers et secrétaires au greffier sont des femmes à Gao ;</w:t>
      </w:r>
    </w:p>
    <w:p w14:paraId="50A5F166" w14:textId="77777777" w:rsidR="00D46284" w:rsidRPr="00D46284" w:rsidRDefault="00D46284" w:rsidP="00D46284">
      <w:pPr>
        <w:numPr>
          <w:ilvl w:val="0"/>
          <w:numId w:val="7"/>
        </w:numPr>
        <w:jc w:val="both"/>
        <w:rPr>
          <w:sz w:val="22"/>
          <w:szCs w:val="22"/>
          <w:highlight w:val="lightGray"/>
          <w:lang w:val="fr-FR"/>
        </w:rPr>
      </w:pPr>
      <w:r w:rsidRPr="00D46284">
        <w:rPr>
          <w:sz w:val="22"/>
          <w:szCs w:val="22"/>
          <w:highlight w:val="lightGray"/>
          <w:lang w:val="fr-FR"/>
        </w:rPr>
        <w:t>100% des juridictions ont reçu des formations sur le genre</w:t>
      </w:r>
    </w:p>
    <w:p w14:paraId="092ABA9D" w14:textId="77777777" w:rsidR="00D46284" w:rsidRPr="00D46284" w:rsidRDefault="00D46284" w:rsidP="00D46284">
      <w:pPr>
        <w:numPr>
          <w:ilvl w:val="0"/>
          <w:numId w:val="7"/>
        </w:numPr>
        <w:jc w:val="both"/>
        <w:rPr>
          <w:b/>
          <w:bCs/>
          <w:sz w:val="22"/>
          <w:szCs w:val="22"/>
          <w:highlight w:val="lightGray"/>
          <w:lang w:val="fr-FR"/>
        </w:rPr>
      </w:pPr>
      <w:r w:rsidRPr="00D46284">
        <w:rPr>
          <w:sz w:val="22"/>
          <w:szCs w:val="22"/>
          <w:highlight w:val="lightGray"/>
          <w:lang w:val="fr-FR"/>
        </w:rPr>
        <w:t>80% des enquêtés trouvent nécessaires la mise en place d’un tribunal mobile</w:t>
      </w:r>
    </w:p>
    <w:p w14:paraId="4745C35F" w14:textId="77777777" w:rsidR="00D46284" w:rsidRPr="00D46284" w:rsidRDefault="00D46284" w:rsidP="00D46284">
      <w:pPr>
        <w:numPr>
          <w:ilvl w:val="0"/>
          <w:numId w:val="7"/>
        </w:numPr>
        <w:jc w:val="both"/>
        <w:rPr>
          <w:b/>
          <w:bCs/>
          <w:sz w:val="22"/>
          <w:szCs w:val="22"/>
          <w:highlight w:val="lightGray"/>
          <w:lang w:val="fr-FR"/>
        </w:rPr>
      </w:pPr>
      <w:r w:rsidRPr="00D46284">
        <w:rPr>
          <w:sz w:val="22"/>
          <w:szCs w:val="22"/>
          <w:highlight w:val="lightGray"/>
          <w:lang w:val="fr-FR"/>
        </w:rPr>
        <w:t>L’</w:t>
      </w:r>
      <w:r w:rsidRPr="00D46284">
        <w:rPr>
          <w:bCs/>
          <w:sz w:val="22"/>
          <w:szCs w:val="22"/>
          <w:highlight w:val="lightGray"/>
          <w:lang w:val="fr-FR"/>
        </w:rPr>
        <w:t>assistance juridique des Organisations de la Société Civile (OSC) est la principale voie de recours disponible pour les femmes.</w:t>
      </w:r>
    </w:p>
    <w:p w14:paraId="5A64DF0A" w14:textId="77777777" w:rsidR="00D46284" w:rsidRPr="00D46284" w:rsidRDefault="00D46284" w:rsidP="00D46284">
      <w:pPr>
        <w:ind w:left="-720"/>
        <w:jc w:val="both"/>
        <w:rPr>
          <w:b/>
          <w:lang w:val="fr-FR"/>
        </w:rPr>
      </w:pPr>
      <w:r w:rsidRPr="00D46284">
        <w:rPr>
          <w:bCs/>
          <w:iCs/>
          <w:sz w:val="22"/>
          <w:szCs w:val="22"/>
          <w:highlight w:val="lightGray"/>
          <w:lang w:val="fr-ML"/>
        </w:rPr>
        <w:t>L’étude s’est d’abord intéressée au traitement des dossiers judiciaires impliquant les femmes ; à l’accès des femmes à la justice ; aux types d’affaires pénales comme civiles auxquelles les femmes font face dans les juridictions cibles.</w:t>
      </w:r>
    </w:p>
    <w:p w14:paraId="56D257C7" w14:textId="77777777" w:rsidR="00D46284" w:rsidRPr="00D46284" w:rsidRDefault="00D46284" w:rsidP="00D46284">
      <w:pPr>
        <w:ind w:left="-720"/>
        <w:jc w:val="both"/>
        <w:rPr>
          <w:bCs/>
          <w:iCs/>
          <w:sz w:val="22"/>
          <w:szCs w:val="22"/>
          <w:lang w:val="fr-ML"/>
        </w:rPr>
      </w:pPr>
      <w:r w:rsidRPr="00D46284">
        <w:rPr>
          <w:bCs/>
          <w:iCs/>
          <w:sz w:val="22"/>
          <w:szCs w:val="22"/>
          <w:lang w:val="fr-ML"/>
        </w:rPr>
        <w:t>Sur la base des données collectées sur le terrain, les principaux constats sont les suivants :</w:t>
      </w:r>
    </w:p>
    <w:p w14:paraId="5E7E5B70" w14:textId="77777777" w:rsidR="00D46284" w:rsidRPr="00D46284" w:rsidRDefault="00D46284" w:rsidP="00D46284">
      <w:pPr>
        <w:ind w:left="-720"/>
        <w:jc w:val="both"/>
        <w:rPr>
          <w:bCs/>
          <w:iCs/>
          <w:sz w:val="22"/>
          <w:szCs w:val="22"/>
          <w:lang w:val="fr-ML"/>
        </w:rPr>
      </w:pPr>
      <w:r w:rsidRPr="00D46284">
        <w:rPr>
          <w:bCs/>
          <w:iCs/>
          <w:sz w:val="22"/>
          <w:szCs w:val="22"/>
          <w:lang w:val="fr-ML"/>
        </w:rPr>
        <w:t>En 2019, 2020 et 2021, il ressort au total 2917 dossiers judiciarisés par l’ensemble des 6 juridictions ciblées par l’étude, soit une moyenne de 162 dossiers judiciarisés par juridiction par an. Le plus grand nombre de dossiers a été judiciarisé en 2019, soit 1229 dossiers. La juridiction de Ségou compte plus de dossiers judiciarisés avec une moyenne de 790 dossiers judiciarisés par an. Les répondants estiment qu’il y a une faible saisine des juridictions. Les juridictions de Ségou, Djenné et Tombouctou tiennent une comptabilité sur le nombre de dossiers judiciarisés par an. Les autres juridictions n’ont pas un système d’archivage adéquat pour donner des chiffres.</w:t>
      </w:r>
    </w:p>
    <w:p w14:paraId="3A6698F1" w14:textId="6F2B89F9" w:rsidR="00D46284" w:rsidRPr="00D46284" w:rsidRDefault="00D46284" w:rsidP="00CD2513">
      <w:pPr>
        <w:ind w:left="-720"/>
        <w:jc w:val="both"/>
        <w:rPr>
          <w:bCs/>
          <w:sz w:val="22"/>
          <w:szCs w:val="22"/>
          <w:highlight w:val="lightGray"/>
          <w:lang w:val="fr-FR"/>
        </w:rPr>
      </w:pPr>
      <w:r w:rsidRPr="00D46284">
        <w:rPr>
          <w:bCs/>
          <w:iCs/>
          <w:sz w:val="22"/>
          <w:szCs w:val="22"/>
          <w:lang w:val="fr-ML"/>
        </w:rPr>
        <w:t>Seulement 19% des dossiers ont été judiciarisés par les femmes durant les trois années (soit 554 dossiers). L’année 2019 a enregistré le meilleur pourcentage avec 21%, et après on constate une diminution progressive pour les années suivantes. A Tombouctou, 100% des dossiers (377) sont judiciarisés par les hommes. Toutefois, la juridiction de Djenné se démarque des autres avec 64% de dossiers judiciarisés par les femmes</w:t>
      </w:r>
      <w:r w:rsidR="00AC0DE8">
        <w:rPr>
          <w:bCs/>
          <w:iCs/>
          <w:sz w:val="22"/>
          <w:szCs w:val="22"/>
          <w:lang w:val="fr-ML"/>
        </w:rPr>
        <w:t xml:space="preserve"> </w:t>
      </w:r>
      <w:r w:rsidRPr="00D46284">
        <w:rPr>
          <w:bCs/>
          <w:iCs/>
          <w:sz w:val="22"/>
          <w:szCs w:val="22"/>
          <w:lang w:val="fr-ML"/>
        </w:rPr>
        <w:t>Ceux–ci concernent des dossiers où la femme est citée comme partie ou témoin au procès.   Les femmes sont impliquées seulement dans 154 dossiers sur l’ensemble des 2917 dossiers judiciarisés, soit un pourcentage de 5,28%. A nouveau, la juridiction de Djenné enregistre 70% de dossiers judiciarisés impliquant les femmes.</w:t>
      </w:r>
      <w:r w:rsidRPr="00D46284">
        <w:rPr>
          <w:rFonts w:asciiTheme="minorHAnsi" w:eastAsia="Calibri" w:hAnsiTheme="minorHAnsi" w:cstheme="minorHAnsi"/>
          <w:lang w:val="fr-ML" w:eastAsia="fr-FR"/>
        </w:rPr>
        <w:t xml:space="preserve"> </w:t>
      </w:r>
      <w:r w:rsidRPr="00D46284">
        <w:rPr>
          <w:bCs/>
          <w:iCs/>
          <w:sz w:val="22"/>
          <w:szCs w:val="22"/>
          <w:lang w:val="fr-ML"/>
        </w:rPr>
        <w:t>La méconnaissance des droits constitue la principale raison, elle occupe 33,33% de l’ensemble des raisons évoquées.</w:t>
      </w:r>
    </w:p>
    <w:p w14:paraId="5663E85B" w14:textId="74591402" w:rsidR="00675507" w:rsidRPr="00905EDE" w:rsidRDefault="00675507" w:rsidP="00675507">
      <w:pPr>
        <w:ind w:left="-720"/>
        <w:rPr>
          <w:b/>
          <w:lang w:val="fr-FR"/>
        </w:rPr>
      </w:pPr>
    </w:p>
    <w:p w14:paraId="51D5DD53" w14:textId="77777777" w:rsidR="00675507" w:rsidRPr="00174BA4" w:rsidRDefault="00675507" w:rsidP="00675507">
      <w:pPr>
        <w:ind w:left="-720"/>
        <w:rPr>
          <w:b/>
          <w:lang w:val="fr-FR"/>
        </w:rPr>
      </w:pPr>
    </w:p>
    <w:p w14:paraId="14989312" w14:textId="62D6857B"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D91039" w:rsidRPr="005D15A3">
        <w:rPr>
          <w:b/>
          <w:bCs/>
          <w:color w:val="000000"/>
          <w:lang w:val="fr-FR" w:eastAsia="en-US"/>
        </w:rPr>
        <w:t>résultat</w:t>
      </w:r>
      <w:r w:rsidR="00D91039"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186188FD" w:rsidR="00675507" w:rsidRPr="00905EDE" w:rsidRDefault="00D46284" w:rsidP="00675507">
      <w:pPr>
        <w:ind w:left="-720"/>
        <w:rPr>
          <w:b/>
          <w:lang w:val="fr-FR"/>
        </w:rPr>
      </w:pPr>
      <w:r w:rsidRPr="00805BF2">
        <w:rPr>
          <w:bCs/>
          <w:iCs/>
          <w:sz w:val="22"/>
          <w:szCs w:val="22"/>
          <w:highlight w:val="lightGray"/>
          <w:lang w:val="fr-FR"/>
        </w:rPr>
        <w:t>Une attention particulière est portée à la prise en compte du genre et la promotion de l’équité à travers l’inclusion des jeunes et des femmes dans les activités réalisées. Ainsi l’ensemble des activités ont touché plus de 400 femmes et jeunes, ce qui représente 58% de l’ensemble des personnes touché</w:t>
      </w:r>
      <w:r w:rsidR="00F801F3">
        <w:rPr>
          <w:bCs/>
          <w:iCs/>
          <w:sz w:val="22"/>
          <w:szCs w:val="22"/>
          <w:highlight w:val="lightGray"/>
        </w:rPr>
        <w:t>e</w:t>
      </w:r>
      <w:r w:rsidRPr="00805BF2">
        <w:rPr>
          <w:bCs/>
          <w:iCs/>
          <w:sz w:val="22"/>
          <w:szCs w:val="22"/>
          <w:highlight w:val="lightGray"/>
          <w:lang w:val="fr-FR"/>
        </w:rPr>
        <w:t xml:space="preserve">s dans les </w:t>
      </w:r>
      <w:r>
        <w:rPr>
          <w:bCs/>
          <w:iCs/>
          <w:sz w:val="22"/>
          <w:szCs w:val="22"/>
          <w:highlight w:val="lightGray"/>
          <w:lang w:val="fr-FR"/>
        </w:rPr>
        <w:t>07</w:t>
      </w:r>
      <w:r w:rsidRPr="00805BF2">
        <w:rPr>
          <w:bCs/>
          <w:iCs/>
          <w:sz w:val="22"/>
          <w:szCs w:val="22"/>
          <w:highlight w:val="lightGray"/>
          <w:lang w:val="fr-FR"/>
        </w:rPr>
        <w:t xml:space="preserve"> cercles d’intervention du projet durant ce </w:t>
      </w:r>
      <w:r>
        <w:rPr>
          <w:bCs/>
          <w:iCs/>
          <w:sz w:val="22"/>
          <w:szCs w:val="22"/>
          <w:highlight w:val="lightGray"/>
          <w:lang w:val="fr-FR"/>
        </w:rPr>
        <w:t>semestre</w:t>
      </w:r>
      <w:r w:rsidRPr="00805BF2">
        <w:rPr>
          <w:bCs/>
          <w:iCs/>
          <w:sz w:val="22"/>
          <w:szCs w:val="22"/>
          <w:highlight w:val="lightGray"/>
          <w:lang w:val="fr-FR"/>
        </w:rPr>
        <w:t xml:space="preserve">. L’équipe terrain a organisé des rencontres spécifiques </w:t>
      </w:r>
      <w:r w:rsidRPr="00805BF2">
        <w:rPr>
          <w:bCs/>
          <w:iCs/>
          <w:sz w:val="22"/>
          <w:szCs w:val="22"/>
          <w:highlight w:val="lightGray"/>
          <w:lang w:val="fr-FR"/>
        </w:rPr>
        <w:lastRenderedPageBreak/>
        <w:t xml:space="preserve">avec les groupements de femmes et jeunes pour identifier des espaces agricoles pouvant être renégocié et sécuriser pour les femmes et les jeunes </w:t>
      </w:r>
    </w:p>
    <w:p w14:paraId="35EDE632" w14:textId="77777777" w:rsidR="00627A1C" w:rsidRPr="00174BA4" w:rsidRDefault="00627A1C" w:rsidP="00627A1C">
      <w:pPr>
        <w:ind w:left="-720"/>
        <w:rPr>
          <w:b/>
          <w:lang w:val="fr-FR"/>
        </w:rPr>
      </w:pPr>
    </w:p>
    <w:p w14:paraId="31D898C4" w14:textId="77777777" w:rsidR="00D46284" w:rsidRPr="00ED6B34" w:rsidRDefault="00675507" w:rsidP="00D46284">
      <w:pPr>
        <w:ind w:left="-720"/>
        <w:jc w:val="both"/>
        <w:rPr>
          <w:b/>
          <w:bCs/>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D46284" w:rsidRPr="00ED6B34">
        <w:rPr>
          <w:rFonts w:asciiTheme="majorBidi" w:hAnsiTheme="majorBidi" w:cstheme="majorBidi"/>
          <w:b/>
          <w:bCs/>
          <w:lang w:val="fr-FR"/>
        </w:rPr>
        <w:t>L’accès à la justice des populations du centre du Mali est facilité et la protection des victimes saisissant les acteurs en charge de la lutte contre l’impunité est assurée</w:t>
      </w:r>
      <w:r w:rsidR="00D46284" w:rsidRPr="00ED6B34">
        <w:rPr>
          <w:rFonts w:asciiTheme="majorBidi" w:hAnsiTheme="majorBidi" w:cstheme="majorBidi"/>
          <w:b/>
          <w:bCs/>
          <w:iCs/>
          <w:lang w:val="fr-FR"/>
        </w:rPr>
        <w:t>.</w:t>
      </w:r>
    </w:p>
    <w:p w14:paraId="02A4DAC5" w14:textId="70D119EA" w:rsidR="00675507" w:rsidRPr="00615EA3" w:rsidRDefault="00675507" w:rsidP="00675507">
      <w:pPr>
        <w:ind w:left="-720"/>
        <w:rPr>
          <w:b/>
          <w:lang w:val="fr-FR"/>
        </w:rPr>
      </w:pPr>
    </w:p>
    <w:p w14:paraId="09695970" w14:textId="77777777" w:rsidR="00675507" w:rsidRPr="00615EA3" w:rsidRDefault="00675507" w:rsidP="00675507">
      <w:pPr>
        <w:ind w:left="-720"/>
        <w:rPr>
          <w:b/>
          <w:lang w:val="fr-FR"/>
        </w:rPr>
      </w:pPr>
    </w:p>
    <w:p w14:paraId="2998D510" w14:textId="49AEE67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91039">
        <w:rPr>
          <w:rFonts w:ascii="inherit" w:hAnsi="inherit"/>
          <w:color w:val="212121"/>
          <w:lang w:val="fr-FR"/>
        </w:rPr>
        <w:t>résultat</w:t>
      </w:r>
      <w:r w:rsidR="00D91039" w:rsidRPr="009C39D0">
        <w:rPr>
          <w:rFonts w:ascii="inherit" w:hAnsi="inherit"/>
          <w:color w:val="212121"/>
          <w:lang w:val="fr-FR"/>
        </w:rPr>
        <w:t xml:space="preserve"> :</w:t>
      </w:r>
      <w:r w:rsidRPr="00615EA3">
        <w:rPr>
          <w:b/>
          <w:lang w:val="fr-FR"/>
        </w:rPr>
        <w:t xml:space="preserve"> </w:t>
      </w:r>
      <w:r w:rsidR="00D46284">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D46284" w:rsidRPr="00CD2513">
        <w:rPr>
          <w:rFonts w:ascii="Arial Narrow" w:hAnsi="Arial Narrow"/>
          <w:b/>
          <w:sz w:val="22"/>
          <w:szCs w:val="22"/>
          <w:lang w:val="fr-FR"/>
        </w:rPr>
        <w:instrText xml:space="preserve"> FORMDROPDOWN </w:instrText>
      </w:r>
      <w:r w:rsidR="000D4328">
        <w:rPr>
          <w:rFonts w:ascii="Arial Narrow" w:hAnsi="Arial Narrow"/>
          <w:b/>
          <w:sz w:val="22"/>
          <w:szCs w:val="22"/>
        </w:rPr>
      </w:r>
      <w:r w:rsidR="000D4328">
        <w:rPr>
          <w:rFonts w:ascii="Arial Narrow" w:hAnsi="Arial Narrow"/>
          <w:b/>
          <w:sz w:val="22"/>
          <w:szCs w:val="22"/>
        </w:rPr>
        <w:fldChar w:fldCharType="separate"/>
      </w:r>
      <w:r w:rsidR="00D46284">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522AB733"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D91039" w:rsidRPr="005D15A3">
        <w:rPr>
          <w:rFonts w:ascii="inherit" w:hAnsi="inherit"/>
          <w:b/>
          <w:bCs/>
          <w:color w:val="212121"/>
          <w:lang w:val="fr-FR"/>
        </w:rPr>
        <w:t>progrès</w:t>
      </w:r>
      <w:r w:rsidR="00D91039" w:rsidRPr="005D15A3">
        <w:rPr>
          <w:b/>
          <w:lang w:val="fr-FR"/>
        </w:rPr>
        <w:t xml:space="preserve"> :</w:t>
      </w:r>
      <w:r w:rsidRPr="005D15A3">
        <w:rPr>
          <w:b/>
          <w:lang w:val="fr-FR"/>
        </w:rPr>
        <w:t xml:space="preserve"> </w:t>
      </w:r>
      <w:r>
        <w:rPr>
          <w:rFonts w:ascii="inherit" w:hAnsi="inherit"/>
          <w:color w:val="212121"/>
          <w:lang w:val="fr-FR"/>
        </w:rPr>
        <w:t>(Limite de 3000 caractères)</w:t>
      </w:r>
    </w:p>
    <w:p w14:paraId="447DD577" w14:textId="77777777" w:rsidR="002C6280" w:rsidRPr="002C6280" w:rsidRDefault="002C6280" w:rsidP="002C6280">
      <w:pPr>
        <w:ind w:left="-720"/>
        <w:jc w:val="both"/>
        <w:rPr>
          <w:i/>
          <w:iCs/>
          <w:sz w:val="22"/>
          <w:szCs w:val="22"/>
          <w:highlight w:val="lightGray"/>
        </w:rPr>
      </w:pPr>
    </w:p>
    <w:p w14:paraId="32379EC4" w14:textId="26ECD389" w:rsidR="00DE0DCE" w:rsidRPr="00D91039" w:rsidRDefault="002C6280" w:rsidP="002C6280">
      <w:pPr>
        <w:ind w:left="-720"/>
        <w:jc w:val="both"/>
        <w:rPr>
          <w:iCs/>
          <w:sz w:val="22"/>
          <w:szCs w:val="22"/>
          <w:highlight w:val="lightGray"/>
          <w:lang w:val="fr-FR"/>
        </w:rPr>
      </w:pPr>
      <w:r w:rsidRPr="002C6280">
        <w:rPr>
          <w:iCs/>
          <w:sz w:val="22"/>
          <w:szCs w:val="22"/>
          <w:highlight w:val="lightGray"/>
          <w:lang w:val="fr-FR"/>
        </w:rPr>
        <w:t xml:space="preserve">Malgré des défis rencontrés </w:t>
      </w:r>
      <w:r w:rsidRPr="00D91039">
        <w:rPr>
          <w:iCs/>
          <w:sz w:val="22"/>
          <w:szCs w:val="22"/>
          <w:highlight w:val="lightGray"/>
          <w:lang w:val="fr-FR"/>
        </w:rPr>
        <w:t>au niveau de la mobilisation des ressources humaines et expertises de qualité indispensables à la mise en œuvre de certaines activités du résultat 3, le projet a toutefois enregistré des avancées au niveau des</w:t>
      </w:r>
      <w:r w:rsidRPr="002C6280">
        <w:rPr>
          <w:iCs/>
          <w:sz w:val="22"/>
          <w:szCs w:val="22"/>
          <w:highlight w:val="lightGray"/>
          <w:lang w:val="fr-FR"/>
        </w:rPr>
        <w:t xml:space="preserve"> recrutements</w:t>
      </w:r>
      <w:r w:rsidR="00DE0DCE" w:rsidRPr="00D91039">
        <w:rPr>
          <w:iCs/>
          <w:sz w:val="22"/>
          <w:szCs w:val="22"/>
          <w:highlight w:val="lightGray"/>
          <w:lang w:val="fr-FR"/>
        </w:rPr>
        <w:t xml:space="preserve"> et de la mise en œuvre des activités</w:t>
      </w:r>
      <w:r w:rsidRPr="00D91039">
        <w:rPr>
          <w:iCs/>
          <w:sz w:val="22"/>
          <w:szCs w:val="22"/>
          <w:highlight w:val="lightGray"/>
          <w:lang w:val="fr-FR"/>
        </w:rPr>
        <w:t xml:space="preserve">. </w:t>
      </w:r>
    </w:p>
    <w:p w14:paraId="1D5198FD" w14:textId="77777777" w:rsidR="00DE0DCE" w:rsidRPr="00D91039" w:rsidRDefault="00DE0DCE" w:rsidP="002C6280">
      <w:pPr>
        <w:ind w:left="-720"/>
        <w:jc w:val="both"/>
        <w:rPr>
          <w:iCs/>
          <w:sz w:val="22"/>
          <w:szCs w:val="22"/>
          <w:highlight w:val="lightGray"/>
          <w:lang w:val="fr-FR"/>
        </w:rPr>
      </w:pPr>
    </w:p>
    <w:p w14:paraId="2A73128B" w14:textId="17E90510" w:rsidR="002C6280" w:rsidRPr="002C6280" w:rsidRDefault="002C6280" w:rsidP="002C6280">
      <w:pPr>
        <w:ind w:left="-720"/>
        <w:jc w:val="both"/>
        <w:rPr>
          <w:iCs/>
          <w:sz w:val="22"/>
          <w:szCs w:val="22"/>
          <w:highlight w:val="lightGray"/>
          <w:lang w:val="fr-FR"/>
        </w:rPr>
      </w:pPr>
      <w:r w:rsidRPr="00D91039">
        <w:rPr>
          <w:iCs/>
          <w:sz w:val="22"/>
          <w:szCs w:val="22"/>
          <w:highlight w:val="lightGray"/>
          <w:lang w:val="fr-FR"/>
        </w:rPr>
        <w:t xml:space="preserve">Ainsi, </w:t>
      </w:r>
      <w:r w:rsidR="00DE0DCE" w:rsidRPr="00D91039">
        <w:rPr>
          <w:iCs/>
          <w:sz w:val="22"/>
          <w:szCs w:val="22"/>
          <w:highlight w:val="lightGray"/>
          <w:lang w:val="fr-FR"/>
        </w:rPr>
        <w:t xml:space="preserve">grâce à une collaboration étroite entre le PNUD et le HCDH, </w:t>
      </w:r>
      <w:r w:rsidRPr="002C6280">
        <w:rPr>
          <w:iCs/>
          <w:sz w:val="22"/>
          <w:szCs w:val="22"/>
          <w:highlight w:val="lightGray"/>
          <w:lang w:val="fr-FR"/>
        </w:rPr>
        <w:t xml:space="preserve">le coordinateur national a été recruté et a pris fonction. Deux consultants en protection des victimes, témoins et sources et en assistance juridique et judicaire ont été recrutés et le recrutement du consultant chargé de l’évaluation finale du projet est en cours. </w:t>
      </w:r>
    </w:p>
    <w:p w14:paraId="278FA8F3" w14:textId="77777777" w:rsidR="002C6280" w:rsidRPr="00D91039" w:rsidRDefault="002C6280" w:rsidP="001E7ACB">
      <w:pPr>
        <w:jc w:val="both"/>
        <w:rPr>
          <w:iCs/>
          <w:sz w:val="22"/>
          <w:szCs w:val="22"/>
          <w:highlight w:val="lightGray"/>
          <w:lang w:val="fr-FR"/>
        </w:rPr>
      </w:pPr>
    </w:p>
    <w:p w14:paraId="141CAA8F" w14:textId="77777777" w:rsidR="00402A6A" w:rsidRPr="00402A6A" w:rsidRDefault="00DE0DCE" w:rsidP="00402A6A">
      <w:pPr>
        <w:ind w:left="-720"/>
        <w:jc w:val="both"/>
        <w:rPr>
          <w:bCs/>
          <w:iCs/>
          <w:sz w:val="22"/>
          <w:szCs w:val="22"/>
          <w:highlight w:val="lightGray"/>
          <w:lang w:val="fr-FR"/>
        </w:rPr>
      </w:pPr>
      <w:r w:rsidRPr="00D91039">
        <w:rPr>
          <w:iCs/>
          <w:sz w:val="22"/>
          <w:szCs w:val="22"/>
          <w:highlight w:val="lightGray"/>
          <w:lang w:val="fr-FR"/>
        </w:rPr>
        <w:t>Par ailleurs, les</w:t>
      </w:r>
      <w:r w:rsidR="00D46284" w:rsidRPr="00D91039">
        <w:rPr>
          <w:iCs/>
          <w:sz w:val="22"/>
          <w:szCs w:val="22"/>
          <w:highlight w:val="lightGray"/>
          <w:lang w:val="fr-FR"/>
        </w:rPr>
        <w:t xml:space="preserve"> documents stratégiques qui permettront d’améliorer les</w:t>
      </w:r>
      <w:r w:rsidR="00E6629B" w:rsidRPr="00D91039">
        <w:rPr>
          <w:iCs/>
          <w:sz w:val="22"/>
          <w:szCs w:val="22"/>
          <w:highlight w:val="lightGray"/>
          <w:lang w:val="fr-FR"/>
        </w:rPr>
        <w:t xml:space="preserve"> </w:t>
      </w:r>
      <w:r w:rsidR="00D46284" w:rsidRPr="00D91039">
        <w:rPr>
          <w:iCs/>
          <w:sz w:val="22"/>
          <w:szCs w:val="22"/>
          <w:highlight w:val="lightGray"/>
          <w:lang w:val="fr-FR"/>
        </w:rPr>
        <w:t xml:space="preserve">accès à la justice des groupes vulnérables et la protection des victimes sont en cours d’élaboration </w:t>
      </w:r>
      <w:r w:rsidR="006D27F6" w:rsidRPr="00D91039">
        <w:rPr>
          <w:iCs/>
          <w:sz w:val="22"/>
          <w:szCs w:val="22"/>
          <w:highlight w:val="lightGray"/>
          <w:lang w:val="fr-FR"/>
        </w:rPr>
        <w:t>par</w:t>
      </w:r>
      <w:r w:rsidR="00D46284" w:rsidRPr="00D91039">
        <w:rPr>
          <w:iCs/>
          <w:sz w:val="22"/>
          <w:szCs w:val="22"/>
          <w:highlight w:val="lightGray"/>
          <w:lang w:val="fr-FR"/>
        </w:rPr>
        <w:t xml:space="preserve"> le </w:t>
      </w:r>
      <w:r w:rsidR="006D27F6" w:rsidRPr="00D91039">
        <w:rPr>
          <w:iCs/>
          <w:sz w:val="22"/>
          <w:szCs w:val="22"/>
          <w:highlight w:val="lightGray"/>
          <w:lang w:val="fr-FR"/>
        </w:rPr>
        <w:t>ministère</w:t>
      </w:r>
      <w:r w:rsidR="00D46284" w:rsidRPr="00D91039">
        <w:rPr>
          <w:iCs/>
          <w:sz w:val="22"/>
          <w:szCs w:val="22"/>
          <w:highlight w:val="lightGray"/>
          <w:lang w:val="fr-FR"/>
        </w:rPr>
        <w:t xml:space="preserve"> de la Justice et des Droits de l’Homme.</w:t>
      </w:r>
      <w:r w:rsidR="006D27F6" w:rsidRPr="00D91039">
        <w:rPr>
          <w:iCs/>
          <w:sz w:val="22"/>
          <w:szCs w:val="22"/>
          <w:highlight w:val="lightGray"/>
          <w:lang w:val="fr-FR"/>
        </w:rPr>
        <w:t xml:space="preserve"> </w:t>
      </w:r>
      <w:r w:rsidR="006D27F6" w:rsidRPr="009804F2">
        <w:rPr>
          <w:iCs/>
          <w:sz w:val="22"/>
          <w:szCs w:val="22"/>
          <w:highlight w:val="lightGray"/>
          <w:lang w:val="fr-FR"/>
        </w:rPr>
        <w:t xml:space="preserve">Dans le cadre de l’appui technique du HCDH, la Commission législative permanente a clôturé l’examen de l’avant-projet de loi relative à l’assistance juridique et judiciaire et son décret d’application. L’étape suivante </w:t>
      </w:r>
      <w:r w:rsidR="006D27F6" w:rsidRPr="00D91039">
        <w:rPr>
          <w:iCs/>
          <w:sz w:val="22"/>
          <w:szCs w:val="22"/>
          <w:highlight w:val="lightGray"/>
          <w:lang w:val="fr-FR"/>
        </w:rPr>
        <w:t xml:space="preserve">appuyé </w:t>
      </w:r>
      <w:r w:rsidR="006D27F6" w:rsidRPr="009804F2">
        <w:rPr>
          <w:iCs/>
          <w:sz w:val="22"/>
          <w:szCs w:val="22"/>
          <w:highlight w:val="lightGray"/>
          <w:lang w:val="fr-FR"/>
        </w:rPr>
        <w:t>par le projet consistera en sa mise à disposition du cabinet du ministre de la Justice et des droits de l’Homme</w:t>
      </w:r>
      <w:r w:rsidR="00402A6A" w:rsidRPr="00402A6A">
        <w:rPr>
          <w:bCs/>
          <w:iCs/>
          <w:sz w:val="22"/>
          <w:szCs w:val="22"/>
          <w:highlight w:val="lightGray"/>
          <w:lang w:val="fr-FR"/>
        </w:rPr>
        <w:t xml:space="preserve"> </w:t>
      </w:r>
      <w:r w:rsidR="00402A6A" w:rsidRPr="00D91039">
        <w:rPr>
          <w:bCs/>
          <w:iCs/>
          <w:sz w:val="22"/>
          <w:szCs w:val="22"/>
          <w:highlight w:val="lightGray"/>
          <w:lang w:val="fr-FR"/>
        </w:rPr>
        <w:t>La conception de la stratégie d</w:t>
      </w:r>
      <w:r w:rsidR="00402A6A" w:rsidRPr="00D91039">
        <w:rPr>
          <w:iCs/>
          <w:sz w:val="22"/>
          <w:szCs w:val="22"/>
          <w:highlight w:val="lightGray"/>
          <w:lang w:val="fr-FR"/>
        </w:rPr>
        <w:t>’</w:t>
      </w:r>
      <w:r w:rsidR="00402A6A" w:rsidRPr="00D91039">
        <w:rPr>
          <w:bCs/>
          <w:iCs/>
          <w:sz w:val="22"/>
          <w:szCs w:val="22"/>
          <w:highlight w:val="lightGray"/>
          <w:lang w:val="fr-FR"/>
        </w:rPr>
        <w:t>assistance juridique et judiciaire et de la stratégie de protection des victimes, témoins et sources pour les régions ciblées est en cours sous la direction du Ministère de la Justice et des Droits de l</w:t>
      </w:r>
      <w:r w:rsidR="00402A6A" w:rsidRPr="00D91039">
        <w:rPr>
          <w:iCs/>
          <w:sz w:val="22"/>
          <w:szCs w:val="22"/>
          <w:highlight w:val="lightGray"/>
          <w:lang w:val="fr-FR"/>
        </w:rPr>
        <w:t>’</w:t>
      </w:r>
      <w:r w:rsidR="00402A6A" w:rsidRPr="00D91039">
        <w:rPr>
          <w:bCs/>
          <w:iCs/>
          <w:sz w:val="22"/>
          <w:szCs w:val="22"/>
          <w:highlight w:val="lightGray"/>
          <w:lang w:val="fr-FR"/>
        </w:rPr>
        <w:t>Homme en partenariat avec HCDH et ONU Femmes</w:t>
      </w:r>
      <w:r w:rsidR="00402A6A">
        <w:rPr>
          <w:bCs/>
          <w:iCs/>
          <w:sz w:val="22"/>
          <w:szCs w:val="22"/>
          <w:highlight w:val="lightGray"/>
          <w:lang w:val="fr-FR"/>
        </w:rPr>
        <w:t xml:space="preserve"> </w:t>
      </w:r>
      <w:r w:rsidR="00402A6A" w:rsidRPr="00402A6A">
        <w:rPr>
          <w:bCs/>
          <w:iCs/>
          <w:sz w:val="22"/>
          <w:szCs w:val="22"/>
          <w:highlight w:val="lightGray"/>
          <w:lang w:val="fr-FR"/>
        </w:rPr>
        <w:t xml:space="preserve">Cependant, cet exercice a enregistré une lenteur au sein du gouvernement et il est probable que le projet ne puisse accompagner le ministère jusqu’à la fin du processus compte tenu du délai qui lui est imparti.  </w:t>
      </w:r>
    </w:p>
    <w:p w14:paraId="0113F145" w14:textId="031771F8" w:rsidR="00402A6A" w:rsidRPr="001E7ACB" w:rsidRDefault="00402A6A" w:rsidP="001E7ACB">
      <w:pPr>
        <w:ind w:left="-720"/>
        <w:jc w:val="both"/>
        <w:rPr>
          <w:bCs/>
          <w:iCs/>
          <w:sz w:val="22"/>
          <w:szCs w:val="22"/>
          <w:lang w:val="fr-FR"/>
        </w:rPr>
      </w:pPr>
      <w:r w:rsidRPr="00D91039">
        <w:rPr>
          <w:bCs/>
          <w:iCs/>
          <w:sz w:val="22"/>
          <w:szCs w:val="22"/>
          <w:highlight w:val="lightGray"/>
          <w:lang w:val="fr-FR"/>
        </w:rPr>
        <w:t xml:space="preserve"> </w:t>
      </w:r>
    </w:p>
    <w:p w14:paraId="751B9B10" w14:textId="3B6B2F55" w:rsidR="00402A6A" w:rsidRPr="00D91039" w:rsidRDefault="00402A6A" w:rsidP="00402A6A">
      <w:pPr>
        <w:ind w:left="-720"/>
        <w:jc w:val="both"/>
        <w:rPr>
          <w:iCs/>
          <w:sz w:val="22"/>
          <w:szCs w:val="22"/>
          <w:highlight w:val="lightGray"/>
          <w:lang w:val="fr-FR"/>
        </w:rPr>
      </w:pPr>
      <w:r w:rsidRPr="00D91039">
        <w:rPr>
          <w:iCs/>
          <w:sz w:val="22"/>
          <w:szCs w:val="22"/>
          <w:highlight w:val="lightGray"/>
          <w:lang w:val="fr-FR"/>
        </w:rPr>
        <w:t xml:space="preserve">60 membres (32 femmes) du cadre de concertation des organisations des droits humains, des organisations locales des femmes et enfants, de la </w:t>
      </w:r>
      <w:bookmarkStart w:id="16" w:name="_Hlk105021612"/>
      <w:r w:rsidRPr="00D91039">
        <w:rPr>
          <w:iCs/>
          <w:sz w:val="22"/>
          <w:szCs w:val="22"/>
          <w:highlight w:val="lightGray"/>
          <w:lang w:val="fr-FR"/>
        </w:rPr>
        <w:t>Commission Nationale des Droits de l’Ho</w:t>
      </w:r>
      <w:r>
        <w:rPr>
          <w:iCs/>
          <w:sz w:val="22"/>
          <w:szCs w:val="22"/>
          <w:highlight w:val="lightGray"/>
          <w:lang w:val="fr-FR"/>
        </w:rPr>
        <w:t>mme</w:t>
      </w:r>
      <w:r w:rsidRPr="00D91039">
        <w:rPr>
          <w:iCs/>
          <w:sz w:val="22"/>
          <w:szCs w:val="22"/>
          <w:highlight w:val="lightGray"/>
          <w:lang w:val="fr-FR"/>
        </w:rPr>
        <w:t xml:space="preserve"> (CNDH) </w:t>
      </w:r>
      <w:bookmarkEnd w:id="16"/>
      <w:r w:rsidRPr="00D91039">
        <w:rPr>
          <w:iCs/>
          <w:sz w:val="22"/>
          <w:szCs w:val="22"/>
          <w:highlight w:val="lightGray"/>
          <w:lang w:val="fr-FR"/>
        </w:rPr>
        <w:t xml:space="preserve">sont renforcés sur les droits de l’homme et la problématique liée à l’accès à la justice des groupes vulnérables dans la région de Mopti. </w:t>
      </w:r>
    </w:p>
    <w:p w14:paraId="3F189B17" w14:textId="77777777" w:rsidR="00402A6A" w:rsidRPr="00D91039" w:rsidRDefault="00402A6A" w:rsidP="00402A6A">
      <w:pPr>
        <w:ind w:left="-720"/>
        <w:jc w:val="both"/>
        <w:rPr>
          <w:iCs/>
          <w:sz w:val="22"/>
          <w:szCs w:val="22"/>
          <w:highlight w:val="lightGray"/>
          <w:lang w:val="fr-FR"/>
        </w:rPr>
      </w:pPr>
    </w:p>
    <w:p w14:paraId="2E02A47D" w14:textId="77777777" w:rsidR="00402A6A" w:rsidRPr="00D91039" w:rsidRDefault="00402A6A" w:rsidP="00402A6A">
      <w:pPr>
        <w:ind w:left="-720"/>
        <w:jc w:val="both"/>
        <w:rPr>
          <w:iCs/>
          <w:sz w:val="22"/>
          <w:szCs w:val="22"/>
          <w:lang w:val="fr-FR"/>
        </w:rPr>
      </w:pPr>
      <w:r w:rsidRPr="00D91039">
        <w:rPr>
          <w:iCs/>
          <w:sz w:val="22"/>
          <w:szCs w:val="22"/>
          <w:highlight w:val="lightGray"/>
          <w:lang w:val="fr-FR"/>
        </w:rPr>
        <w:t>Le processus d’élaboration du rapport thématique sur l’accès à la justice dans le Centre incluant une analyse genre est toujours en cours.</w:t>
      </w:r>
    </w:p>
    <w:p w14:paraId="366D0ECD" w14:textId="77777777" w:rsidR="00402A6A" w:rsidRPr="009804F2" w:rsidRDefault="00402A6A" w:rsidP="00402A6A">
      <w:pPr>
        <w:ind w:left="-720"/>
        <w:jc w:val="both"/>
        <w:rPr>
          <w:iCs/>
          <w:sz w:val="22"/>
          <w:szCs w:val="22"/>
          <w:highlight w:val="lightGray"/>
          <w:lang w:val="fr-FR"/>
        </w:rPr>
      </w:pPr>
    </w:p>
    <w:p w14:paraId="10DD9B94" w14:textId="69542619" w:rsidR="00402A6A" w:rsidRPr="009804F2" w:rsidRDefault="00402A6A" w:rsidP="00402A6A">
      <w:pPr>
        <w:ind w:left="-720"/>
        <w:jc w:val="both"/>
        <w:rPr>
          <w:iCs/>
          <w:sz w:val="22"/>
          <w:szCs w:val="22"/>
          <w:highlight w:val="lightGray"/>
          <w:lang w:val="fr-FR"/>
        </w:rPr>
      </w:pPr>
      <w:r w:rsidRPr="009804F2">
        <w:rPr>
          <w:iCs/>
          <w:sz w:val="22"/>
          <w:szCs w:val="22"/>
          <w:highlight w:val="lightGray"/>
          <w:lang w:val="fr-FR"/>
        </w:rPr>
        <w:t>Des rencontres avec les partenaires de la société civile, le Barreau, les radios locales ont été tenues dans le cadre des sessions de sensibilisation. Des chronogrammes d’activités des tours de juridiques ont été présentées à l’entreprise de communication recrutée par HCDH et ONU Femmes.</w:t>
      </w:r>
      <w:r w:rsidR="00BE3C7B">
        <w:rPr>
          <w:iCs/>
          <w:sz w:val="22"/>
          <w:szCs w:val="22"/>
          <w:highlight w:val="lightGray"/>
          <w:lang w:val="fr-FR"/>
        </w:rPr>
        <w:t xml:space="preserve"> Ces activités de sensibilisation</w:t>
      </w:r>
      <w:r w:rsidR="0012190D">
        <w:rPr>
          <w:iCs/>
          <w:sz w:val="22"/>
          <w:szCs w:val="22"/>
          <w:highlight w:val="lightGray"/>
          <w:lang w:val="fr-FR"/>
        </w:rPr>
        <w:t xml:space="preserve"> toucheront plus de 3</w:t>
      </w:r>
      <w:r w:rsidR="003E04E6">
        <w:rPr>
          <w:iCs/>
          <w:sz w:val="22"/>
          <w:szCs w:val="22"/>
          <w:highlight w:val="lightGray"/>
          <w:lang w:val="fr-FR"/>
        </w:rPr>
        <w:t xml:space="preserve">0 </w:t>
      </w:r>
      <w:r w:rsidR="0012190D">
        <w:rPr>
          <w:iCs/>
          <w:sz w:val="22"/>
          <w:szCs w:val="22"/>
          <w:highlight w:val="lightGray"/>
          <w:lang w:val="fr-FR"/>
        </w:rPr>
        <w:t xml:space="preserve">000 personnes. </w:t>
      </w:r>
      <w:r w:rsidRPr="009804F2">
        <w:rPr>
          <w:iCs/>
          <w:sz w:val="22"/>
          <w:szCs w:val="22"/>
          <w:highlight w:val="lightGray"/>
          <w:lang w:val="fr-FR"/>
        </w:rPr>
        <w:t xml:space="preserve"> </w:t>
      </w:r>
    </w:p>
    <w:p w14:paraId="220E7247" w14:textId="77777777" w:rsidR="00402A6A" w:rsidRPr="009804F2" w:rsidRDefault="00402A6A" w:rsidP="001E7ACB">
      <w:pPr>
        <w:jc w:val="both"/>
        <w:rPr>
          <w:iCs/>
          <w:sz w:val="22"/>
          <w:szCs w:val="22"/>
          <w:highlight w:val="lightGray"/>
          <w:lang w:val="fr-FR"/>
        </w:rPr>
      </w:pPr>
    </w:p>
    <w:p w14:paraId="1F42C2B2" w14:textId="75CECF93" w:rsidR="00402A6A" w:rsidRPr="009804F2" w:rsidRDefault="00402A6A" w:rsidP="00402A6A">
      <w:pPr>
        <w:ind w:left="-720"/>
        <w:jc w:val="both"/>
        <w:rPr>
          <w:iCs/>
          <w:sz w:val="22"/>
          <w:szCs w:val="22"/>
          <w:highlight w:val="lightGray"/>
          <w:lang w:val="fr-FR"/>
        </w:rPr>
      </w:pPr>
      <w:r w:rsidRPr="009804F2">
        <w:rPr>
          <w:iCs/>
          <w:sz w:val="22"/>
          <w:szCs w:val="22"/>
          <w:highlight w:val="lightGray"/>
          <w:lang w:val="fr-FR"/>
        </w:rPr>
        <w:t xml:space="preserve">Le Fonds d’assistance juridique et judiciaire a été mis en place en partenariat avec le Barreau et des avocats se sont constitués dans les dossiers. Une des bonnes pratiques qui mérite d’être soulignée est la collaboration entre le HCDH, ONU Femmes et le Barreau dans le cadre de traitement des dossiers emblématiques qui permettront aux victimes de graves violations des droits humains d’être représentées devant des instances judiciaires en conformité avec les standards internationaux notamment devant les cours de justice militaire. Dans la dynamique d’approche genre, une formation sur la stratégie de protection des victimes et des témoins a été organisée avec les avocats particulièrement dans le cadre de la prise en charge juridique et judiciaire des filles et des femmes en vue de répondre aux besoins sexospécifiques et d’apporter des solutions appropriées. La sélection des dossiers ainsi que des avocats a été effectuée </w:t>
      </w:r>
      <w:r w:rsidRPr="00D91039">
        <w:rPr>
          <w:iCs/>
          <w:sz w:val="22"/>
          <w:szCs w:val="22"/>
          <w:highlight w:val="lightGray"/>
          <w:lang w:val="fr-FR"/>
        </w:rPr>
        <w:t xml:space="preserve">en adoptant </w:t>
      </w:r>
      <w:r w:rsidRPr="009804F2">
        <w:rPr>
          <w:iCs/>
          <w:sz w:val="22"/>
          <w:szCs w:val="22"/>
          <w:highlight w:val="lightGray"/>
          <w:lang w:val="fr-FR"/>
        </w:rPr>
        <w:t>cette approche genre.</w:t>
      </w:r>
      <w:r w:rsidR="0012190D">
        <w:rPr>
          <w:iCs/>
          <w:sz w:val="22"/>
          <w:szCs w:val="22"/>
          <w:highlight w:val="lightGray"/>
          <w:lang w:val="fr-FR"/>
        </w:rPr>
        <w:t xml:space="preserve"> Au moins 327 victimes directes seront représentées devant les instances judiciaires. </w:t>
      </w:r>
      <w:r w:rsidRPr="009804F2">
        <w:rPr>
          <w:iCs/>
          <w:sz w:val="22"/>
          <w:szCs w:val="22"/>
          <w:highlight w:val="lightGray"/>
          <w:lang w:val="fr-FR"/>
        </w:rPr>
        <w:t xml:space="preserve">   </w:t>
      </w:r>
    </w:p>
    <w:p w14:paraId="5F33E348" w14:textId="77777777" w:rsidR="00402A6A" w:rsidRPr="009804F2" w:rsidRDefault="00402A6A" w:rsidP="00402A6A">
      <w:pPr>
        <w:ind w:left="-720"/>
        <w:jc w:val="both"/>
        <w:rPr>
          <w:iCs/>
          <w:sz w:val="22"/>
          <w:szCs w:val="22"/>
          <w:highlight w:val="lightGray"/>
          <w:lang w:val="fr-FR"/>
        </w:rPr>
      </w:pPr>
    </w:p>
    <w:p w14:paraId="4F3285F0" w14:textId="34739892" w:rsidR="006D27F6" w:rsidRPr="009804F2" w:rsidRDefault="00402A6A" w:rsidP="00402A6A">
      <w:pPr>
        <w:ind w:left="-720"/>
        <w:jc w:val="both"/>
        <w:rPr>
          <w:iCs/>
          <w:sz w:val="22"/>
          <w:szCs w:val="22"/>
          <w:highlight w:val="lightGray"/>
          <w:lang w:val="fr-FR"/>
        </w:rPr>
      </w:pPr>
      <w:r w:rsidRPr="009804F2">
        <w:rPr>
          <w:iCs/>
          <w:sz w:val="22"/>
          <w:szCs w:val="22"/>
          <w:highlight w:val="lightGray"/>
          <w:lang w:val="fr-FR"/>
        </w:rPr>
        <w:lastRenderedPageBreak/>
        <w:t xml:space="preserve">Avec l’appui du HCDH et ONU Femmes, la nouvelle base de données mise à la disposition de la CNDH a permis un meilleur traitement et recueil de plaintes. Pour la première fois, l’enregistrement de ces plaintes a été informatisé. La base de données a permis à la CNDH de disposer de statistiques fiables et facilement exploitables. </w:t>
      </w:r>
      <w:r w:rsidRPr="00D91039">
        <w:rPr>
          <w:iCs/>
          <w:sz w:val="22"/>
          <w:szCs w:val="22"/>
          <w:highlight w:val="lightGray"/>
          <w:lang w:val="fr-FR"/>
        </w:rPr>
        <w:t>En conséquence</w:t>
      </w:r>
      <w:r w:rsidRPr="009804F2">
        <w:rPr>
          <w:iCs/>
          <w:sz w:val="22"/>
          <w:szCs w:val="22"/>
          <w:highlight w:val="lightGray"/>
          <w:lang w:val="fr-FR"/>
        </w:rPr>
        <w:t>, au moins 30 cas ont été enregistrés dans la base de données dont 10 dossiers clôturés et 20 en cours</w:t>
      </w:r>
      <w:r w:rsidRPr="00D91039">
        <w:rPr>
          <w:iCs/>
          <w:sz w:val="22"/>
          <w:szCs w:val="22"/>
          <w:highlight w:val="lightGray"/>
          <w:lang w:val="fr-FR"/>
        </w:rPr>
        <w:t xml:space="preserve">. </w:t>
      </w:r>
      <w:r w:rsidRPr="009804F2">
        <w:rPr>
          <w:iCs/>
          <w:sz w:val="22"/>
          <w:szCs w:val="22"/>
          <w:highlight w:val="lightGray"/>
          <w:lang w:val="fr-FR"/>
        </w:rPr>
        <w:t>La prochaine étape consistera dans la mise en place d’un serveur propre à la CNDH pour une meilleure sauvegarde et confidentialité des données sensibles. Par ailleurs, le HCDH et le PNUD ont appuyé 3 actions de plaidoyer de la CNDH auprès des autorités judiciaires pour une meilleure administration de la justice</w:t>
      </w:r>
      <w:r w:rsidR="006D27F6" w:rsidRPr="009804F2">
        <w:rPr>
          <w:iCs/>
          <w:sz w:val="22"/>
          <w:szCs w:val="22"/>
          <w:highlight w:val="lightGray"/>
          <w:lang w:val="fr-FR"/>
        </w:rPr>
        <w:t xml:space="preserve">. </w:t>
      </w:r>
    </w:p>
    <w:p w14:paraId="739A2AD5" w14:textId="77777777" w:rsidR="00D46284" w:rsidRPr="00D91039" w:rsidRDefault="00D46284" w:rsidP="00CD2513">
      <w:pPr>
        <w:jc w:val="both"/>
        <w:rPr>
          <w:i/>
          <w:lang w:val="fr-FR"/>
        </w:rPr>
      </w:pPr>
    </w:p>
    <w:p w14:paraId="470F9892" w14:textId="469A9C86" w:rsidR="00675507" w:rsidRPr="001E7ACB" w:rsidRDefault="009804F2" w:rsidP="001E7ACB">
      <w:pPr>
        <w:ind w:left="-720"/>
        <w:jc w:val="both"/>
        <w:rPr>
          <w:iCs/>
          <w:sz w:val="22"/>
          <w:szCs w:val="22"/>
          <w:highlight w:val="lightGray"/>
          <w:lang w:val="fr-FR"/>
        </w:rPr>
      </w:pPr>
      <w:r w:rsidRPr="009804F2">
        <w:rPr>
          <w:iCs/>
          <w:sz w:val="22"/>
          <w:szCs w:val="22"/>
          <w:highlight w:val="lightGray"/>
          <w:lang w:val="fr-FR"/>
        </w:rPr>
        <w:t xml:space="preserve">  </w:t>
      </w:r>
    </w:p>
    <w:p w14:paraId="3C5CF25B" w14:textId="4F773F06"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1B5649" w:rsidRPr="005D15A3">
        <w:rPr>
          <w:b/>
          <w:bCs/>
          <w:color w:val="000000"/>
          <w:lang w:val="fr-FR" w:eastAsia="en-US"/>
        </w:rPr>
        <w:t>résultat</w:t>
      </w:r>
      <w:r w:rsidR="001B5649"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B030F25" w14:textId="77777777" w:rsidR="00D46284" w:rsidRPr="00ED6B34" w:rsidRDefault="00D46284" w:rsidP="00D46284">
      <w:pPr>
        <w:ind w:left="-720"/>
        <w:jc w:val="both"/>
        <w:rPr>
          <w:bCs/>
          <w:lang w:val="de-DE"/>
        </w:rPr>
      </w:pPr>
      <w:r w:rsidRPr="00ED6B34">
        <w:rPr>
          <w:bCs/>
          <w:lang w:val="de-DE"/>
        </w:rPr>
        <w:t xml:space="preserve">La prise en compte du genre est intégrée depuis </w:t>
      </w:r>
      <w:r>
        <w:rPr>
          <w:bCs/>
          <w:lang w:val="de-DE"/>
        </w:rPr>
        <w:t>l’élaboration des</w:t>
      </w:r>
      <w:r w:rsidRPr="00ED6B34">
        <w:rPr>
          <w:bCs/>
          <w:lang w:val="de-DE"/>
        </w:rPr>
        <w:t xml:space="preserve"> termes de références d</w:t>
      </w:r>
      <w:r w:rsidRPr="00ED6B34">
        <w:rPr>
          <w:bCs/>
          <w:lang w:val="fr-FR"/>
        </w:rPr>
        <w:t xml:space="preserve">e la stratégie </w:t>
      </w:r>
      <w:r w:rsidRPr="00ED6B34">
        <w:rPr>
          <w:bCs/>
          <w:iCs/>
          <w:lang w:val="de-DE"/>
        </w:rPr>
        <w:t>d</w:t>
      </w:r>
      <w:r w:rsidRPr="00ED6B34">
        <w:rPr>
          <w:bCs/>
          <w:iCs/>
          <w:lang w:val="fr-FR"/>
        </w:rPr>
        <w:t>’</w:t>
      </w:r>
      <w:r w:rsidRPr="00ED6B34">
        <w:rPr>
          <w:bCs/>
          <w:iCs/>
          <w:lang w:val="de-DE"/>
        </w:rPr>
        <w:t xml:space="preserve">assistance juridique et judiciaire </w:t>
      </w:r>
      <w:r>
        <w:rPr>
          <w:bCs/>
          <w:iCs/>
          <w:lang w:val="de-DE"/>
        </w:rPr>
        <w:t>ainsi que</w:t>
      </w:r>
      <w:r w:rsidRPr="00ED6B34">
        <w:rPr>
          <w:bCs/>
          <w:iCs/>
          <w:lang w:val="de-DE"/>
        </w:rPr>
        <w:t xml:space="preserve"> de la stratégie de protection des victimes, témoins et sources</w:t>
      </w:r>
      <w:r w:rsidRPr="00ED6B34">
        <w:rPr>
          <w:bCs/>
          <w:lang w:val="de-DE"/>
        </w:rPr>
        <w:t>.</w:t>
      </w:r>
      <w:r>
        <w:rPr>
          <w:bCs/>
          <w:lang w:val="de-DE"/>
        </w:rPr>
        <w:t xml:space="preserve"> En outre, les outils développés par les consultants ont intégrés la dimension sexospécifique pour la collecte des données.</w:t>
      </w:r>
    </w:p>
    <w:p w14:paraId="54CA5451" w14:textId="607BE578" w:rsidR="00675507" w:rsidRPr="00905EDE" w:rsidRDefault="00675507" w:rsidP="00675507">
      <w:pPr>
        <w:ind w:left="-720"/>
        <w:rPr>
          <w:b/>
          <w:lang w:val="fr-FR"/>
        </w:rPr>
      </w:pPr>
    </w:p>
    <w:p w14:paraId="7111774C" w14:textId="77777777" w:rsidR="00627A1C" w:rsidRPr="00174BA4" w:rsidRDefault="00627A1C" w:rsidP="00627A1C">
      <w:pPr>
        <w:ind w:left="-720"/>
        <w:rPr>
          <w:b/>
          <w:lang w:val="fr-FR"/>
        </w:rPr>
      </w:pPr>
    </w:p>
    <w:p w14:paraId="09DF2041" w14:textId="4FE50879" w:rsidR="00117EE7" w:rsidRDefault="00117EE7" w:rsidP="00CD2513">
      <w:pPr>
        <w:rPr>
          <w:b/>
        </w:rPr>
      </w:pPr>
    </w:p>
    <w:p w14:paraId="1F076BB6"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CD2513" w14:paraId="7EE4520F" w14:textId="77777777" w:rsidTr="00445152">
        <w:trPr>
          <w:tblHeader/>
        </w:trPr>
        <w:tc>
          <w:tcPr>
            <w:tcW w:w="1530" w:type="dxa"/>
          </w:tcPr>
          <w:p w14:paraId="01B511BC" w14:textId="77777777" w:rsidR="00117EE7" w:rsidRPr="005A6420" w:rsidRDefault="00117EE7" w:rsidP="00445152">
            <w:pPr>
              <w:jc w:val="center"/>
              <w:rPr>
                <w:rFonts w:cs="Tahoma"/>
                <w:b/>
                <w:szCs w:val="20"/>
                <w:lang w:val="fr-FR" w:eastAsia="en-US"/>
              </w:rPr>
            </w:pPr>
            <w:bookmarkStart w:id="17" w:name="_Hlk105690308"/>
          </w:p>
        </w:tc>
        <w:tc>
          <w:tcPr>
            <w:tcW w:w="2070" w:type="dxa"/>
            <w:shd w:val="clear" w:color="auto" w:fill="EEECE1"/>
          </w:tcPr>
          <w:p w14:paraId="1A75FF4A" w14:textId="77777777" w:rsidR="00117EE7" w:rsidRPr="005A6420" w:rsidRDefault="00117EE7" w:rsidP="00445152">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3BCF70E2" w14:textId="77777777" w:rsidR="00117EE7" w:rsidRPr="005A6420" w:rsidRDefault="00117EE7" w:rsidP="00445152">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202A6505" w14:textId="77777777" w:rsidR="00117EE7" w:rsidRPr="005A6420" w:rsidRDefault="00117EE7" w:rsidP="00445152">
            <w:pPr>
              <w:jc w:val="center"/>
              <w:rPr>
                <w:rFonts w:cs="Tahoma"/>
                <w:b/>
                <w:szCs w:val="20"/>
                <w:lang w:val="fr-FR" w:eastAsia="en-US"/>
              </w:rPr>
            </w:pPr>
            <w:r w:rsidRPr="005A6420">
              <w:rPr>
                <w:rFonts w:cs="Tahoma"/>
                <w:b/>
                <w:szCs w:val="20"/>
                <w:lang w:val="fr-FR" w:eastAsia="en-US"/>
              </w:rPr>
              <w:t>Cible de fin de projet</w:t>
            </w:r>
          </w:p>
        </w:tc>
        <w:tc>
          <w:tcPr>
            <w:tcW w:w="2070" w:type="dxa"/>
          </w:tcPr>
          <w:p w14:paraId="15723F45" w14:textId="77777777" w:rsidR="00117EE7" w:rsidRPr="005A6420" w:rsidRDefault="00117EE7" w:rsidP="00445152">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5AF1F45C" w14:textId="77777777" w:rsidR="00117EE7" w:rsidRPr="005A6420" w:rsidRDefault="00117EE7" w:rsidP="00445152">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0F385367" w14:textId="77777777" w:rsidR="00117EE7" w:rsidRPr="005A6420" w:rsidRDefault="00117EE7" w:rsidP="00445152">
            <w:pPr>
              <w:jc w:val="center"/>
              <w:rPr>
                <w:rFonts w:cs="Tahoma"/>
                <w:b/>
                <w:szCs w:val="20"/>
                <w:lang w:val="fr-FR" w:eastAsia="en-US"/>
              </w:rPr>
            </w:pPr>
            <w:r w:rsidRPr="005A6420">
              <w:rPr>
                <w:rFonts w:cs="Tahoma"/>
                <w:b/>
                <w:szCs w:val="20"/>
                <w:lang w:val="fr-FR" w:eastAsia="en-US"/>
              </w:rPr>
              <w:t>Raisons pour les retards ou changements</w:t>
            </w:r>
          </w:p>
        </w:tc>
      </w:tr>
      <w:bookmarkEnd w:id="17"/>
      <w:tr w:rsidR="00D27F55" w:rsidRPr="00CD2513" w14:paraId="769BC43A" w14:textId="77777777" w:rsidTr="00CD2513">
        <w:trPr>
          <w:trHeight w:val="548"/>
        </w:trPr>
        <w:tc>
          <w:tcPr>
            <w:tcW w:w="1530" w:type="dxa"/>
            <w:vMerge w:val="restart"/>
          </w:tcPr>
          <w:p w14:paraId="182CF9C5" w14:textId="77777777" w:rsidR="00D27F55" w:rsidRPr="005A6420" w:rsidRDefault="00D27F55" w:rsidP="00D27F55">
            <w:pPr>
              <w:rPr>
                <w:rFonts w:cs="Tahoma"/>
                <w:b/>
                <w:szCs w:val="20"/>
                <w:lang w:val="fr-FR" w:eastAsia="en-US"/>
              </w:rPr>
            </w:pPr>
            <w:r w:rsidRPr="005A6420">
              <w:rPr>
                <w:rFonts w:cs="Tahoma"/>
                <w:b/>
                <w:szCs w:val="20"/>
                <w:lang w:val="fr-FR" w:eastAsia="en-US"/>
              </w:rPr>
              <w:t>Résultat 1</w:t>
            </w:r>
          </w:p>
          <w:p w14:paraId="1076B8D6" w14:textId="27D26D75" w:rsidR="00D27F55" w:rsidRPr="005A6420" w:rsidRDefault="00D27F55" w:rsidP="00D27F55">
            <w:pPr>
              <w:rPr>
                <w:rFonts w:cs="Tahoma"/>
                <w:b/>
                <w:szCs w:val="20"/>
                <w:lang w:val="fr-FR" w:eastAsia="en-US"/>
              </w:rPr>
            </w:pPr>
            <w:r w:rsidRPr="00EB7677">
              <w:rPr>
                <w:bCs/>
                <w:sz w:val="20"/>
                <w:szCs w:val="20"/>
                <w:lang w:val="fr-FR" w:eastAsia="en-US"/>
              </w:rPr>
              <w:t>Les causes de l’impunité et les perceptions des acteurs dans les régions de Ségou et Mopti sont connues et un cadre de recherche des solutions répondant à la demande sociale de justice est mis en place à travers un dialogue multi-acteurs.</w:t>
            </w:r>
          </w:p>
        </w:tc>
        <w:tc>
          <w:tcPr>
            <w:tcW w:w="2070" w:type="dxa"/>
            <w:shd w:val="clear" w:color="auto" w:fill="EEECE1"/>
          </w:tcPr>
          <w:p w14:paraId="462C3962" w14:textId="77777777" w:rsidR="00C031DD" w:rsidRPr="008C270F" w:rsidRDefault="00C031DD" w:rsidP="00C031DD">
            <w:pPr>
              <w:jc w:val="both"/>
              <w:rPr>
                <w:bCs/>
                <w:sz w:val="20"/>
                <w:szCs w:val="20"/>
                <w:lang w:val="fr-FR" w:eastAsia="en-US"/>
              </w:rPr>
            </w:pPr>
            <w:r w:rsidRPr="008C270F">
              <w:rPr>
                <w:bCs/>
                <w:sz w:val="20"/>
                <w:szCs w:val="20"/>
                <w:lang w:val="fr-FR" w:eastAsia="en-US"/>
              </w:rPr>
              <w:t>I</w:t>
            </w:r>
            <w:r w:rsidRPr="001658A1">
              <w:rPr>
                <w:b/>
                <w:sz w:val="20"/>
                <w:szCs w:val="20"/>
                <w:lang w:val="fr-FR" w:eastAsia="en-US"/>
              </w:rPr>
              <w:t>ndicateur 1.a</w:t>
            </w:r>
          </w:p>
          <w:p w14:paraId="29A23AEC" w14:textId="77777777" w:rsidR="00C031DD" w:rsidRPr="008C270F" w:rsidRDefault="00C031DD" w:rsidP="00C031DD">
            <w:pPr>
              <w:jc w:val="both"/>
              <w:rPr>
                <w:bCs/>
                <w:sz w:val="20"/>
                <w:szCs w:val="20"/>
                <w:lang w:val="fr-FR" w:eastAsia="en-US"/>
              </w:rPr>
            </w:pPr>
            <w:r w:rsidRPr="008C270F">
              <w:rPr>
                <w:bCs/>
                <w:sz w:val="20"/>
                <w:szCs w:val="20"/>
                <w:lang w:val="fr-FR" w:eastAsia="en-US"/>
              </w:rPr>
              <w:t>Amélioration de la convergence entre les barrières au recours à la justice identifiées par les justiciables et les acteurs de la justice eux-mêmes</w:t>
            </w:r>
          </w:p>
          <w:p w14:paraId="7A51E2C3" w14:textId="7DEEE7C4" w:rsidR="00D27F55" w:rsidRPr="00CD2513" w:rsidRDefault="00D27F55" w:rsidP="00D27F55">
            <w:pPr>
              <w:jc w:val="both"/>
              <w:rPr>
                <w:bCs/>
                <w:sz w:val="20"/>
                <w:szCs w:val="20"/>
                <w:lang w:val="fr-FR"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32755704" w14:textId="60E25AC3" w:rsidR="00D27F55" w:rsidRPr="005A6420" w:rsidRDefault="00A36172" w:rsidP="00D27F55">
            <w:pPr>
              <w:rPr>
                <w:rFonts w:cs="Tahoma"/>
                <w:szCs w:val="20"/>
                <w:lang w:val="fr-FR" w:eastAsia="en-US"/>
              </w:rPr>
            </w:pPr>
            <w:r>
              <w:rPr>
                <w:b/>
                <w:sz w:val="20"/>
                <w:szCs w:val="20"/>
                <w:lang w:val="fr-FR" w:eastAsia="en-US"/>
              </w:rPr>
              <w:t>0</w:t>
            </w:r>
          </w:p>
        </w:tc>
        <w:tc>
          <w:tcPr>
            <w:tcW w:w="1620" w:type="dxa"/>
            <w:shd w:val="clear" w:color="auto" w:fill="EEECE1"/>
          </w:tcPr>
          <w:p w14:paraId="5A97F7D0" w14:textId="513E5040" w:rsidR="00D27F55" w:rsidRPr="005A6420" w:rsidRDefault="003C3648" w:rsidP="00D27F55">
            <w:pPr>
              <w:rPr>
                <w:lang w:val="fr-FR"/>
              </w:rPr>
            </w:pPr>
            <w:r w:rsidRPr="00784490">
              <w:rPr>
                <w:b/>
                <w:sz w:val="20"/>
                <w:szCs w:val="20"/>
                <w:lang w:val="fr-FR" w:eastAsia="en-US"/>
              </w:rPr>
              <w:t>+30%</w:t>
            </w:r>
          </w:p>
        </w:tc>
        <w:tc>
          <w:tcPr>
            <w:tcW w:w="2070" w:type="dxa"/>
          </w:tcPr>
          <w:p w14:paraId="130ACBB8" w14:textId="77777777" w:rsidR="00D27F55" w:rsidRPr="005A6420" w:rsidRDefault="00D27F55" w:rsidP="00D27F5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360D90" w14:textId="77777777" w:rsidR="00D27F55" w:rsidRPr="005A6420" w:rsidRDefault="00D27F55" w:rsidP="00D27F5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Borders>
              <w:top w:val="single" w:sz="4" w:space="0" w:color="000000"/>
              <w:left w:val="single" w:sz="4" w:space="0" w:color="000000"/>
              <w:bottom w:val="single" w:sz="4" w:space="0" w:color="000000"/>
              <w:right w:val="single" w:sz="4" w:space="0" w:color="000000"/>
            </w:tcBorders>
          </w:tcPr>
          <w:p w14:paraId="09E91FAF" w14:textId="7347AC9F" w:rsidR="00D27F55" w:rsidRPr="00EB7677" w:rsidRDefault="00D27F55" w:rsidP="00D27F55">
            <w:pPr>
              <w:jc w:val="both"/>
              <w:rPr>
                <w:bCs/>
                <w:sz w:val="20"/>
                <w:szCs w:val="20"/>
                <w:lang w:val="fr-FR" w:eastAsia="en-US"/>
              </w:rPr>
            </w:pPr>
            <w:r w:rsidRPr="00EB7677">
              <w:rPr>
                <w:bCs/>
                <w:sz w:val="20"/>
                <w:szCs w:val="20"/>
                <w:lang w:val="fr-FR" w:eastAsia="en-US"/>
              </w:rPr>
              <w:t>L’étude de base a</w:t>
            </w:r>
            <w:r w:rsidR="00A36172">
              <w:rPr>
                <w:bCs/>
                <w:sz w:val="20"/>
                <w:szCs w:val="20"/>
                <w:lang w:val="fr-FR" w:eastAsia="en-US"/>
              </w:rPr>
              <w:t xml:space="preserve"> été faite à travers un questionnaire</w:t>
            </w:r>
            <w:r w:rsidRPr="00EB7677">
              <w:rPr>
                <w:bCs/>
                <w:sz w:val="20"/>
                <w:szCs w:val="20"/>
                <w:lang w:val="fr-FR" w:eastAsia="en-US"/>
              </w:rPr>
              <w:t xml:space="preserve">. </w:t>
            </w:r>
          </w:p>
          <w:p w14:paraId="4F711FB7" w14:textId="2A678563" w:rsidR="00D27F55" w:rsidRPr="00EB7677" w:rsidRDefault="00D27F55" w:rsidP="00D27F55">
            <w:pPr>
              <w:jc w:val="both"/>
              <w:rPr>
                <w:bCs/>
                <w:sz w:val="20"/>
                <w:szCs w:val="20"/>
                <w:lang w:val="fr-FR" w:eastAsia="en-US"/>
              </w:rPr>
            </w:pPr>
            <w:r w:rsidRPr="00EB7677">
              <w:rPr>
                <w:bCs/>
                <w:sz w:val="20"/>
                <w:szCs w:val="20"/>
                <w:lang w:val="fr-FR" w:eastAsia="en-US"/>
              </w:rPr>
              <w:t>L’étude de end</w:t>
            </w:r>
            <w:r>
              <w:rPr>
                <w:bCs/>
                <w:sz w:val="20"/>
                <w:szCs w:val="20"/>
                <w:lang w:val="fr-FR" w:eastAsia="en-US"/>
              </w:rPr>
              <w:t xml:space="preserve"> </w:t>
            </w:r>
            <w:r w:rsidRPr="00EB7677">
              <w:rPr>
                <w:bCs/>
                <w:sz w:val="20"/>
                <w:szCs w:val="20"/>
                <w:lang w:val="fr-FR" w:eastAsia="en-US"/>
              </w:rPr>
              <w:t xml:space="preserve">line </w:t>
            </w:r>
            <w:r>
              <w:rPr>
                <w:bCs/>
                <w:sz w:val="20"/>
                <w:szCs w:val="20"/>
                <w:lang w:val="fr-FR" w:eastAsia="en-US"/>
              </w:rPr>
              <w:t xml:space="preserve">sera administrée </w:t>
            </w:r>
            <w:r w:rsidRPr="004C7EA9">
              <w:rPr>
                <w:bCs/>
                <w:sz w:val="20"/>
                <w:szCs w:val="20"/>
                <w:lang w:val="fr-FR" w:eastAsia="en-US"/>
              </w:rPr>
              <w:t>à</w:t>
            </w:r>
            <w:r>
              <w:rPr>
                <w:bCs/>
                <w:sz w:val="20"/>
                <w:szCs w:val="20"/>
                <w:lang w:val="fr-FR" w:eastAsia="en-US"/>
              </w:rPr>
              <w:t xml:space="preserve"> partir de juin 2022</w:t>
            </w:r>
            <w:r w:rsidRPr="00EB7677">
              <w:rPr>
                <w:bCs/>
                <w:sz w:val="20"/>
                <w:szCs w:val="20"/>
                <w:lang w:val="fr-FR" w:eastAsia="en-US"/>
              </w:rPr>
              <w:t xml:space="preserve"> pour pouvoir renseigner le progrès de l’indicateur d’ici la fin du projet.</w:t>
            </w:r>
          </w:p>
          <w:p w14:paraId="54B31E3C" w14:textId="47D63FE3" w:rsidR="00D27F55" w:rsidRPr="005A6420" w:rsidRDefault="00D27F55" w:rsidP="00D27F55">
            <w:pPr>
              <w:rPr>
                <w:lang w:val="fr-FR"/>
              </w:rPr>
            </w:pPr>
          </w:p>
        </w:tc>
      </w:tr>
      <w:tr w:rsidR="00D27F55" w:rsidRPr="00CD2513" w14:paraId="25B15906" w14:textId="77777777" w:rsidTr="00CD2513">
        <w:trPr>
          <w:trHeight w:val="548"/>
        </w:trPr>
        <w:tc>
          <w:tcPr>
            <w:tcW w:w="1530" w:type="dxa"/>
            <w:vMerge/>
          </w:tcPr>
          <w:p w14:paraId="50C3DC81" w14:textId="77777777" w:rsidR="00D27F55" w:rsidRPr="005A6420" w:rsidRDefault="00D27F55" w:rsidP="00D27F55">
            <w:pPr>
              <w:rPr>
                <w:rFonts w:cs="Tahoma"/>
                <w:b/>
                <w:szCs w:val="20"/>
                <w:lang w:val="fr-FR" w:eastAsia="en-US"/>
              </w:rPr>
            </w:pPr>
          </w:p>
        </w:tc>
        <w:tc>
          <w:tcPr>
            <w:tcW w:w="2070" w:type="dxa"/>
            <w:shd w:val="clear" w:color="auto" w:fill="EEECE1"/>
          </w:tcPr>
          <w:p w14:paraId="4156ADF3" w14:textId="77777777" w:rsidR="003C3648" w:rsidRPr="001658A1" w:rsidRDefault="003C3648" w:rsidP="003C3648">
            <w:pPr>
              <w:jc w:val="both"/>
              <w:rPr>
                <w:b/>
                <w:sz w:val="20"/>
                <w:szCs w:val="20"/>
                <w:lang w:val="fr-FR" w:eastAsia="en-US"/>
              </w:rPr>
            </w:pPr>
            <w:r w:rsidRPr="001658A1">
              <w:rPr>
                <w:b/>
                <w:sz w:val="20"/>
                <w:szCs w:val="20"/>
                <w:lang w:val="fr-FR" w:eastAsia="en-US"/>
              </w:rPr>
              <w:t>Indicateur 1.b</w:t>
            </w:r>
          </w:p>
          <w:p w14:paraId="66F9995E" w14:textId="4D6CD497" w:rsidR="00D27F55" w:rsidRPr="005A6420" w:rsidRDefault="003C3648" w:rsidP="00D27F55">
            <w:pPr>
              <w:jc w:val="both"/>
              <w:rPr>
                <w:rFonts w:cs="Tahoma"/>
                <w:szCs w:val="20"/>
                <w:lang w:val="fr-FR" w:eastAsia="en-US"/>
              </w:rPr>
            </w:pPr>
            <w:r w:rsidRPr="008C270F">
              <w:rPr>
                <w:bCs/>
                <w:sz w:val="20"/>
                <w:szCs w:val="20"/>
                <w:lang w:val="fr-FR" w:eastAsia="en-US"/>
              </w:rPr>
              <w:t>Augmentation du nombre de justiciables participants qui listent des avantages à aller vers la justice formelle en cas de litige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107D9207" w14:textId="2F2FAE97" w:rsidR="00D27F55" w:rsidRPr="005A6420" w:rsidRDefault="006C2A03" w:rsidP="00D27F55">
            <w:pPr>
              <w:rPr>
                <w:lang w:val="fr-FR"/>
              </w:rPr>
            </w:pPr>
            <w:r>
              <w:rPr>
                <w:b/>
                <w:sz w:val="20"/>
                <w:szCs w:val="20"/>
                <w:lang w:val="fr-FR" w:eastAsia="en-US"/>
              </w:rPr>
              <w:t>0</w:t>
            </w:r>
          </w:p>
        </w:tc>
        <w:tc>
          <w:tcPr>
            <w:tcW w:w="1620" w:type="dxa"/>
            <w:shd w:val="clear" w:color="auto" w:fill="EEECE1"/>
          </w:tcPr>
          <w:p w14:paraId="3C57D914" w14:textId="6324715B" w:rsidR="00D27F55" w:rsidRPr="005A6420" w:rsidRDefault="003C3648" w:rsidP="00D27F55">
            <w:pPr>
              <w:rPr>
                <w:lang w:val="fr-FR"/>
              </w:rPr>
            </w:pPr>
            <w:r w:rsidRPr="00784490">
              <w:rPr>
                <w:b/>
                <w:sz w:val="20"/>
                <w:szCs w:val="20"/>
                <w:lang w:val="fr-FR" w:eastAsia="en-US"/>
              </w:rPr>
              <w:t>+30%</w:t>
            </w:r>
          </w:p>
        </w:tc>
        <w:tc>
          <w:tcPr>
            <w:tcW w:w="2070" w:type="dxa"/>
          </w:tcPr>
          <w:p w14:paraId="112FB97F" w14:textId="77777777" w:rsidR="00D27F55" w:rsidRPr="005A6420" w:rsidRDefault="00D27F55" w:rsidP="00D27F5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EEBFFD2" w14:textId="77777777" w:rsidR="00D27F55" w:rsidRPr="005A6420" w:rsidRDefault="00D27F55" w:rsidP="00D27F5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B313E31" w14:textId="5349A408" w:rsidR="00D27F55" w:rsidRPr="00EB7677" w:rsidRDefault="00D27F55" w:rsidP="00D27F55">
            <w:pPr>
              <w:jc w:val="both"/>
              <w:rPr>
                <w:bCs/>
                <w:sz w:val="20"/>
                <w:szCs w:val="20"/>
                <w:lang w:val="fr-FR" w:eastAsia="en-US"/>
              </w:rPr>
            </w:pPr>
            <w:r w:rsidRPr="00EB7677">
              <w:rPr>
                <w:bCs/>
                <w:sz w:val="20"/>
                <w:szCs w:val="20"/>
                <w:lang w:val="fr-FR" w:eastAsia="en-US"/>
              </w:rPr>
              <w:t>L’étude de ba</w:t>
            </w:r>
            <w:r w:rsidR="0012190D">
              <w:rPr>
                <w:bCs/>
                <w:sz w:val="20"/>
                <w:szCs w:val="20"/>
                <w:lang w:val="fr-FR" w:eastAsia="en-US"/>
              </w:rPr>
              <w:t xml:space="preserve">se </w:t>
            </w:r>
            <w:r w:rsidR="0012190D" w:rsidRPr="0012190D">
              <w:rPr>
                <w:bCs/>
                <w:sz w:val="20"/>
                <w:szCs w:val="20"/>
                <w:lang w:val="fr-FR" w:eastAsia="en-US"/>
              </w:rPr>
              <w:t>été faite à travers un questionnaire</w:t>
            </w:r>
            <w:r w:rsidR="0012190D">
              <w:rPr>
                <w:bCs/>
                <w:sz w:val="20"/>
                <w:szCs w:val="20"/>
                <w:lang w:val="fr-FR" w:eastAsia="en-US"/>
              </w:rPr>
              <w:t xml:space="preserve">. </w:t>
            </w:r>
            <w:r w:rsidR="0012190D" w:rsidRPr="0012190D">
              <w:rPr>
                <w:bCs/>
                <w:sz w:val="20"/>
                <w:szCs w:val="20"/>
                <w:lang w:val="fr-FR" w:eastAsia="en-US"/>
              </w:rPr>
              <w:t xml:space="preserve"> </w:t>
            </w:r>
            <w:r w:rsidRPr="00EB7677">
              <w:rPr>
                <w:bCs/>
                <w:sz w:val="20"/>
                <w:szCs w:val="20"/>
                <w:lang w:val="fr-FR" w:eastAsia="en-US"/>
              </w:rPr>
              <w:t xml:space="preserve"> </w:t>
            </w:r>
          </w:p>
          <w:p w14:paraId="4B2BA4E8" w14:textId="77777777" w:rsidR="00D27F55" w:rsidRPr="00EB7677" w:rsidRDefault="00D27F55" w:rsidP="00D27F55">
            <w:pPr>
              <w:jc w:val="both"/>
              <w:rPr>
                <w:bCs/>
                <w:sz w:val="20"/>
                <w:szCs w:val="20"/>
                <w:lang w:val="fr-FR" w:eastAsia="en-US"/>
              </w:rPr>
            </w:pPr>
            <w:r w:rsidRPr="00EB7677">
              <w:rPr>
                <w:bCs/>
                <w:sz w:val="20"/>
                <w:szCs w:val="20"/>
                <w:lang w:val="fr-FR" w:eastAsia="en-US"/>
              </w:rPr>
              <w:t xml:space="preserve">L’étude de </w:t>
            </w:r>
            <w:proofErr w:type="spellStart"/>
            <w:r w:rsidRPr="00EB7677">
              <w:rPr>
                <w:bCs/>
                <w:sz w:val="20"/>
                <w:szCs w:val="20"/>
                <w:lang w:val="fr-FR" w:eastAsia="en-US"/>
              </w:rPr>
              <w:t>endline</w:t>
            </w:r>
            <w:proofErr w:type="spellEnd"/>
            <w:r w:rsidRPr="00EB7677">
              <w:rPr>
                <w:bCs/>
                <w:sz w:val="20"/>
                <w:szCs w:val="20"/>
                <w:lang w:val="fr-FR" w:eastAsia="en-US"/>
              </w:rPr>
              <w:t xml:space="preserve"> est en cours d’administration pour pouvoir renseigner le progrès de l’indicateur d’ici la fin du projet.</w:t>
            </w:r>
          </w:p>
          <w:p w14:paraId="6EC20E74" w14:textId="081D9B5C" w:rsidR="00D27F55" w:rsidRPr="005A6420" w:rsidRDefault="00D27F55" w:rsidP="00D27F55">
            <w:pPr>
              <w:rPr>
                <w:lang w:val="fr-FR"/>
              </w:rPr>
            </w:pPr>
          </w:p>
        </w:tc>
      </w:tr>
      <w:tr w:rsidR="00D27F55" w:rsidRPr="00CD2513" w14:paraId="09C7C5EE" w14:textId="77777777" w:rsidTr="00CD2513">
        <w:trPr>
          <w:trHeight w:val="548"/>
        </w:trPr>
        <w:tc>
          <w:tcPr>
            <w:tcW w:w="1530" w:type="dxa"/>
            <w:vMerge/>
          </w:tcPr>
          <w:p w14:paraId="1FB10FC7" w14:textId="77777777" w:rsidR="00D27F55" w:rsidRPr="005A6420" w:rsidRDefault="00D27F55" w:rsidP="00D27F55">
            <w:pPr>
              <w:rPr>
                <w:rFonts w:cs="Tahoma"/>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1D48BE95" w14:textId="77777777" w:rsidR="00D27F55" w:rsidRPr="001658A1" w:rsidRDefault="00D27F55" w:rsidP="00D27F55">
            <w:pPr>
              <w:jc w:val="both"/>
              <w:rPr>
                <w:b/>
                <w:sz w:val="20"/>
                <w:szCs w:val="20"/>
                <w:lang w:val="fr-FR" w:eastAsia="en-US"/>
              </w:rPr>
            </w:pPr>
            <w:r w:rsidRPr="001658A1">
              <w:rPr>
                <w:b/>
                <w:sz w:val="20"/>
                <w:szCs w:val="20"/>
                <w:lang w:val="fr-FR" w:eastAsia="en-US"/>
              </w:rPr>
              <w:t>Indicateur 1.c</w:t>
            </w:r>
          </w:p>
          <w:p w14:paraId="14DCCA75" w14:textId="1930AF6D" w:rsidR="00D27F55" w:rsidRPr="005A6420" w:rsidRDefault="00D27F55" w:rsidP="00D27F55">
            <w:pPr>
              <w:jc w:val="both"/>
              <w:rPr>
                <w:rFonts w:cs="Tahoma"/>
                <w:szCs w:val="20"/>
                <w:lang w:val="fr-FR" w:eastAsia="en-US"/>
              </w:rPr>
            </w:pPr>
            <w:r w:rsidRPr="00EB7677">
              <w:rPr>
                <w:bCs/>
                <w:sz w:val="20"/>
                <w:szCs w:val="20"/>
                <w:lang w:val="fr-FR" w:eastAsia="en-US"/>
              </w:rPr>
              <w:t>Nombre d’acteurs et partenaires qui incorporent les recommandations du baromètre et des dialogues dans leurs activités</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754F9E80" w14:textId="7BC6B073" w:rsidR="00D27F55" w:rsidRPr="005A6420" w:rsidRDefault="00D27F55" w:rsidP="00D27F55">
            <w:pPr>
              <w:rPr>
                <w:lang w:val="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0A8096F4" w14:textId="106C3367" w:rsidR="00D27F55" w:rsidRPr="005A6420" w:rsidRDefault="00D27F55" w:rsidP="00D27F55">
            <w:pPr>
              <w:rPr>
                <w:lang w:val="fr-FR"/>
              </w:rPr>
            </w:pPr>
            <w:r w:rsidRPr="00784490">
              <w:rPr>
                <w:b/>
                <w:sz w:val="20"/>
                <w:szCs w:val="20"/>
                <w:lang w:val="fr-FR" w:eastAsia="en-US"/>
              </w:rPr>
              <w:t>5</w:t>
            </w:r>
          </w:p>
        </w:tc>
        <w:tc>
          <w:tcPr>
            <w:tcW w:w="2070" w:type="dxa"/>
            <w:tcBorders>
              <w:top w:val="single" w:sz="4" w:space="0" w:color="000000"/>
              <w:left w:val="single" w:sz="4" w:space="0" w:color="000000"/>
              <w:bottom w:val="single" w:sz="4" w:space="0" w:color="000000"/>
              <w:right w:val="single" w:sz="4" w:space="0" w:color="000000"/>
            </w:tcBorders>
          </w:tcPr>
          <w:p w14:paraId="022BCB43" w14:textId="21FCA134" w:rsidR="00D27F55" w:rsidRPr="005A6420" w:rsidRDefault="00D27F55" w:rsidP="00D27F55">
            <w:pPr>
              <w:rPr>
                <w:lang w:val="fr-FR"/>
              </w:rPr>
            </w:pPr>
          </w:p>
        </w:tc>
        <w:tc>
          <w:tcPr>
            <w:tcW w:w="2070" w:type="dxa"/>
            <w:tcBorders>
              <w:top w:val="single" w:sz="4" w:space="0" w:color="000000"/>
              <w:left w:val="single" w:sz="4" w:space="0" w:color="000000"/>
              <w:bottom w:val="single" w:sz="4" w:space="0" w:color="000000"/>
              <w:right w:val="single" w:sz="4" w:space="0" w:color="000000"/>
            </w:tcBorders>
          </w:tcPr>
          <w:p w14:paraId="65217ACA" w14:textId="73C116DD" w:rsidR="00D27F55" w:rsidRPr="005A6420" w:rsidRDefault="00D27F55" w:rsidP="00D27F55">
            <w:pPr>
              <w:rPr>
                <w:lang w:val="fr-FR"/>
              </w:rPr>
            </w:pPr>
            <w:r w:rsidRPr="00535EDF">
              <w:rPr>
                <w:b/>
                <w:bCs/>
                <w:sz w:val="20"/>
                <w:szCs w:val="20"/>
                <w:lang w:val="fr-FR" w:eastAsia="en-US"/>
              </w:rPr>
              <w:t>7</w:t>
            </w:r>
          </w:p>
        </w:tc>
        <w:tc>
          <w:tcPr>
            <w:tcW w:w="4140" w:type="dxa"/>
            <w:tcBorders>
              <w:top w:val="single" w:sz="4" w:space="0" w:color="000000"/>
              <w:left w:val="single" w:sz="4" w:space="0" w:color="000000"/>
              <w:bottom w:val="single" w:sz="4" w:space="0" w:color="000000"/>
              <w:right w:val="single" w:sz="4" w:space="0" w:color="000000"/>
            </w:tcBorders>
          </w:tcPr>
          <w:p w14:paraId="50709317" w14:textId="5197075B" w:rsidR="00D27F55" w:rsidRPr="005A6420" w:rsidRDefault="00D27F55" w:rsidP="00D27F55">
            <w:pPr>
              <w:rPr>
                <w:lang w:val="fr-FR"/>
              </w:rPr>
            </w:pPr>
            <w:r w:rsidRPr="00EB7677">
              <w:rPr>
                <w:bCs/>
                <w:sz w:val="20"/>
                <w:szCs w:val="20"/>
                <w:lang w:val="fr-FR" w:eastAsia="en-US"/>
              </w:rPr>
              <w:t xml:space="preserve">Les partenaires du projet, notamment ONU Femmes et les Bureaux d’Assistance Juridique et Judiciaire de chaque cercle. </w:t>
            </w:r>
          </w:p>
        </w:tc>
      </w:tr>
      <w:tr w:rsidR="00B10051" w:rsidRPr="00CD2513" w14:paraId="6DF5E99B" w14:textId="77777777" w:rsidTr="00CD2513">
        <w:trPr>
          <w:trHeight w:val="548"/>
        </w:trPr>
        <w:tc>
          <w:tcPr>
            <w:tcW w:w="1530" w:type="dxa"/>
            <w:tcBorders>
              <w:top w:val="single" w:sz="4" w:space="0" w:color="000000"/>
              <w:left w:val="single" w:sz="4" w:space="0" w:color="000000"/>
              <w:bottom w:val="single" w:sz="4" w:space="0" w:color="000000"/>
              <w:right w:val="single" w:sz="4" w:space="0" w:color="000000"/>
            </w:tcBorders>
          </w:tcPr>
          <w:p w14:paraId="416A429B" w14:textId="77777777" w:rsidR="00B10051" w:rsidRPr="00EB7677" w:rsidRDefault="00B10051" w:rsidP="00B10051">
            <w:pPr>
              <w:jc w:val="both"/>
              <w:rPr>
                <w:bCs/>
                <w:sz w:val="20"/>
                <w:szCs w:val="20"/>
                <w:lang w:val="fr-FR" w:eastAsia="en-US"/>
              </w:rPr>
            </w:pPr>
            <w:r w:rsidRPr="00EB7677">
              <w:rPr>
                <w:bCs/>
                <w:sz w:val="20"/>
                <w:szCs w:val="20"/>
                <w:lang w:val="fr-FR" w:eastAsia="en-US"/>
              </w:rPr>
              <w:t>Produit 1.1</w:t>
            </w:r>
          </w:p>
          <w:p w14:paraId="5713AC0F" w14:textId="248A1D6F" w:rsidR="00B10051" w:rsidRPr="005A6420" w:rsidRDefault="00B10051" w:rsidP="00B10051">
            <w:pPr>
              <w:rPr>
                <w:rFonts w:cs="Tahoma"/>
                <w:szCs w:val="20"/>
                <w:lang w:val="fr-FR" w:eastAsia="en-US"/>
              </w:rPr>
            </w:pPr>
            <w:r w:rsidRPr="00EB7677">
              <w:rPr>
                <w:bCs/>
                <w:sz w:val="20"/>
                <w:szCs w:val="20"/>
                <w:lang w:val="fr-FR" w:eastAsia="en-US"/>
              </w:rPr>
              <w:t xml:space="preserve">Une compréhension commune des défis est établie </w:t>
            </w:r>
            <w:r w:rsidRPr="00EB7677">
              <w:rPr>
                <w:bCs/>
                <w:sz w:val="20"/>
                <w:szCs w:val="20"/>
                <w:lang w:val="fr-FR" w:eastAsia="en-US"/>
              </w:rPr>
              <w:lastRenderedPageBreak/>
              <w:t>avec la participation d'au moins 4 210 personnes</w:t>
            </w: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6197FF18" w14:textId="77777777" w:rsidR="00B10051" w:rsidRPr="001658A1" w:rsidRDefault="00B10051" w:rsidP="00B10051">
            <w:pPr>
              <w:jc w:val="both"/>
              <w:rPr>
                <w:b/>
                <w:sz w:val="20"/>
                <w:szCs w:val="20"/>
                <w:lang w:val="fr-FR" w:eastAsia="en-US"/>
              </w:rPr>
            </w:pPr>
            <w:r w:rsidRPr="001658A1">
              <w:rPr>
                <w:b/>
                <w:sz w:val="20"/>
                <w:szCs w:val="20"/>
                <w:lang w:val="fr-FR" w:eastAsia="en-US"/>
              </w:rPr>
              <w:lastRenderedPageBreak/>
              <w:t>Indicateur 1.1.1</w:t>
            </w:r>
          </w:p>
          <w:p w14:paraId="28BC96DD" w14:textId="1F221868" w:rsidR="00B10051" w:rsidRPr="001658A1" w:rsidRDefault="00B10051" w:rsidP="00B10051">
            <w:pPr>
              <w:jc w:val="both"/>
              <w:rPr>
                <w:b/>
                <w:sz w:val="20"/>
                <w:szCs w:val="20"/>
                <w:lang w:val="fr-FR" w:eastAsia="en-US"/>
              </w:rPr>
            </w:pPr>
            <w:r w:rsidRPr="00EB7677">
              <w:rPr>
                <w:bCs/>
                <w:sz w:val="20"/>
                <w:szCs w:val="20"/>
                <w:lang w:val="fr-FR" w:eastAsia="en-US"/>
              </w:rPr>
              <w:t>Cartographie des acteurs disponible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65F466D6" w14:textId="7A0F1BB4" w:rsidR="00B10051" w:rsidRPr="005A6420" w:rsidDel="001F466D" w:rsidRDefault="00B10051" w:rsidP="00B10051">
            <w:pPr>
              <w:rPr>
                <w:b/>
                <w:sz w:val="22"/>
                <w:szCs w:val="22"/>
                <w:lang w:val="fr-FR" w:eastAsia="en-US"/>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6C1A15AD" w14:textId="30A6C4FF" w:rsidR="00B10051" w:rsidRPr="00784490" w:rsidRDefault="00B10051" w:rsidP="00B10051">
            <w:pPr>
              <w:rPr>
                <w:b/>
                <w:sz w:val="20"/>
                <w:szCs w:val="20"/>
                <w:lang w:val="fr-FR" w:eastAsia="en-US"/>
              </w:rPr>
            </w:pPr>
            <w:r w:rsidRPr="00784490">
              <w:rPr>
                <w:b/>
                <w:sz w:val="20"/>
                <w:szCs w:val="20"/>
                <w:lang w:val="fr-FR" w:eastAsia="en-US"/>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FBE8A4E" w14:textId="08E0472D" w:rsidR="00B10051" w:rsidRPr="005A6420" w:rsidDel="001F466D" w:rsidRDefault="00B10051" w:rsidP="00B10051">
            <w:pPr>
              <w:rPr>
                <w:b/>
                <w:sz w:val="22"/>
                <w:szCs w:val="22"/>
                <w:lang w:val="fr-FR" w:eastAsia="en-US"/>
              </w:rPr>
            </w:pPr>
            <w:r w:rsidRPr="004055DB">
              <w:rPr>
                <w:b/>
                <w:sz w:val="20"/>
                <w:szCs w:val="20"/>
                <w:lang w:val="fr-FR" w:eastAsia="en-US"/>
              </w:rPr>
              <w:fldChar w:fldCharType="begin">
                <w:ffData>
                  <w:name w:val=""/>
                  <w:enabled/>
                  <w:calcOnExit w:val="0"/>
                  <w:textInput>
                    <w:default w:val="1"/>
                    <w:maxLength w:val="300"/>
                  </w:textInput>
                </w:ffData>
              </w:fldChar>
            </w:r>
            <w:r w:rsidRPr="004055DB">
              <w:rPr>
                <w:b/>
                <w:sz w:val="20"/>
                <w:szCs w:val="20"/>
                <w:lang w:val="fr-FR" w:eastAsia="en-US"/>
              </w:rPr>
              <w:instrText xml:space="preserve"> FORMTEXT </w:instrText>
            </w:r>
            <w:r w:rsidRPr="004055DB">
              <w:rPr>
                <w:b/>
                <w:sz w:val="20"/>
                <w:szCs w:val="20"/>
                <w:lang w:val="fr-FR" w:eastAsia="en-US"/>
              </w:rPr>
            </w:r>
            <w:r w:rsidRPr="004055DB">
              <w:rPr>
                <w:b/>
                <w:sz w:val="20"/>
                <w:szCs w:val="20"/>
                <w:lang w:val="fr-FR" w:eastAsia="en-US"/>
              </w:rPr>
              <w:fldChar w:fldCharType="separate"/>
            </w:r>
            <w:r w:rsidRPr="004055DB">
              <w:rPr>
                <w:b/>
                <w:sz w:val="20"/>
                <w:szCs w:val="20"/>
                <w:lang w:val="fr-FR" w:eastAsia="en-US"/>
              </w:rPr>
              <w:t>1</w:t>
            </w:r>
            <w:r w:rsidRPr="004055DB">
              <w:rPr>
                <w:b/>
                <w:sz w:val="20"/>
                <w:szCs w:val="20"/>
                <w:lang w:val="fr-FR" w:eastAsia="en-US"/>
              </w:rPr>
              <w:fldChar w:fldCharType="end"/>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F174957" w14:textId="77777777" w:rsidR="00B10051" w:rsidRPr="00535EDF" w:rsidRDefault="00B10051" w:rsidP="00B10051">
            <w:pPr>
              <w:jc w:val="both"/>
              <w:rPr>
                <w:b/>
                <w:bCs/>
                <w:sz w:val="20"/>
                <w:szCs w:val="20"/>
                <w:lang w:val="fr-FR" w:eastAsia="en-US"/>
              </w:rPr>
            </w:pPr>
            <w:r w:rsidRPr="00535EDF">
              <w:rPr>
                <w:b/>
                <w:bCs/>
                <w:sz w:val="20"/>
                <w:szCs w:val="20"/>
                <w:lang w:val="fr-FR" w:eastAsia="en-US"/>
              </w:rPr>
              <w:t>1</w:t>
            </w:r>
          </w:p>
          <w:p w14:paraId="5B6546BA" w14:textId="77777777" w:rsidR="00B10051" w:rsidRPr="00535EDF" w:rsidRDefault="00B10051" w:rsidP="00B10051">
            <w:pPr>
              <w:jc w:val="both"/>
              <w:rPr>
                <w:b/>
                <w:bCs/>
                <w:sz w:val="20"/>
                <w:szCs w:val="20"/>
                <w:lang w:val="fr-FR" w:eastAsia="en-US"/>
              </w:rPr>
            </w:pPr>
          </w:p>
          <w:p w14:paraId="0BCCA0F0" w14:textId="77777777" w:rsidR="00B10051" w:rsidRPr="00535EDF" w:rsidRDefault="00B10051" w:rsidP="00B10051">
            <w:pPr>
              <w:rPr>
                <w:b/>
                <w:bCs/>
                <w:sz w:val="20"/>
                <w:szCs w:val="20"/>
                <w:lang w:val="fr-FR" w:eastAsia="en-US"/>
              </w:rPr>
            </w:pPr>
          </w:p>
        </w:tc>
        <w:tc>
          <w:tcPr>
            <w:tcW w:w="4140" w:type="dxa"/>
            <w:tcBorders>
              <w:top w:val="single" w:sz="4" w:space="0" w:color="000000"/>
              <w:left w:val="single" w:sz="4" w:space="0" w:color="000000"/>
              <w:bottom w:val="single" w:sz="4" w:space="0" w:color="000000"/>
              <w:right w:val="single" w:sz="4" w:space="0" w:color="000000"/>
            </w:tcBorders>
          </w:tcPr>
          <w:p w14:paraId="4446DF6B" w14:textId="57572948" w:rsidR="00B10051" w:rsidRPr="00EB7677" w:rsidRDefault="00B10051" w:rsidP="00B10051">
            <w:pPr>
              <w:rPr>
                <w:bCs/>
                <w:sz w:val="20"/>
                <w:szCs w:val="20"/>
                <w:lang w:val="fr-FR" w:eastAsia="en-US"/>
              </w:rPr>
            </w:pPr>
            <w:r w:rsidRPr="00EB7677">
              <w:rPr>
                <w:bCs/>
                <w:sz w:val="20"/>
                <w:szCs w:val="20"/>
                <w:lang w:val="fr-FR" w:eastAsia="en-US"/>
              </w:rPr>
              <w:t>La cartographie des acteurs a été faite est complétée continuellement grâce aux missions dans les 6 cercles d’intervention.</w:t>
            </w:r>
          </w:p>
        </w:tc>
      </w:tr>
      <w:tr w:rsidR="00B10051" w:rsidRPr="00CD2513" w14:paraId="383F93C2" w14:textId="77777777" w:rsidTr="00E37961">
        <w:trPr>
          <w:trHeight w:val="548"/>
        </w:trPr>
        <w:tc>
          <w:tcPr>
            <w:tcW w:w="1530" w:type="dxa"/>
            <w:tcBorders>
              <w:top w:val="single" w:sz="4" w:space="0" w:color="000000"/>
              <w:left w:val="single" w:sz="4" w:space="0" w:color="000000"/>
              <w:bottom w:val="single" w:sz="4" w:space="0" w:color="000000"/>
              <w:right w:val="single" w:sz="4" w:space="0" w:color="000000"/>
            </w:tcBorders>
          </w:tcPr>
          <w:p w14:paraId="49679097" w14:textId="77777777" w:rsidR="00B10051" w:rsidRPr="00EB7677" w:rsidRDefault="00B10051" w:rsidP="00B10051">
            <w:pPr>
              <w:jc w:val="both"/>
              <w:rPr>
                <w:bCs/>
                <w:sz w:val="20"/>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48945DC2" w14:textId="77777777" w:rsidR="00B10051" w:rsidRPr="00EB7677" w:rsidRDefault="00B10051" w:rsidP="00B10051">
            <w:pPr>
              <w:jc w:val="both"/>
              <w:rPr>
                <w:bCs/>
                <w:sz w:val="20"/>
                <w:szCs w:val="20"/>
                <w:lang w:val="fr-FR" w:eastAsia="en-US"/>
              </w:rPr>
            </w:pPr>
            <w:r w:rsidRPr="00EB7677">
              <w:rPr>
                <w:bCs/>
                <w:sz w:val="20"/>
                <w:szCs w:val="20"/>
                <w:lang w:val="fr-FR" w:eastAsia="en-US"/>
              </w:rPr>
              <w:t>Indicateur 1.1.2</w:t>
            </w:r>
          </w:p>
          <w:p w14:paraId="2522DA48" w14:textId="7EDDBDA1" w:rsidR="00B10051" w:rsidRPr="001658A1" w:rsidRDefault="00B10051" w:rsidP="00B10051">
            <w:pPr>
              <w:jc w:val="both"/>
              <w:rPr>
                <w:b/>
                <w:sz w:val="20"/>
                <w:szCs w:val="20"/>
                <w:lang w:val="fr-FR" w:eastAsia="en-US"/>
              </w:rPr>
            </w:pPr>
            <w:r w:rsidRPr="00EB7677">
              <w:rPr>
                <w:bCs/>
                <w:sz w:val="20"/>
                <w:szCs w:val="20"/>
                <w:lang w:val="fr-FR" w:eastAsia="en-US"/>
              </w:rPr>
              <w:t>Nombre de personnes enquêtées dans le baromètre participatif sur la gouvernance du système de justice.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451CC570" w14:textId="1BC0C7BF" w:rsidR="00B10051" w:rsidRPr="00784490" w:rsidRDefault="00B10051" w:rsidP="00B10051">
            <w:pPr>
              <w:rPr>
                <w:b/>
                <w:sz w:val="20"/>
                <w:szCs w:val="20"/>
                <w:lang w:val="fr-FR" w:eastAsia="en-US"/>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7BCF25E3" w14:textId="4DBBA069" w:rsidR="00B10051" w:rsidRPr="00784490" w:rsidRDefault="00B10051" w:rsidP="00B10051">
            <w:pPr>
              <w:rPr>
                <w:b/>
                <w:sz w:val="20"/>
                <w:szCs w:val="20"/>
                <w:lang w:val="fr-FR" w:eastAsia="en-US"/>
              </w:rPr>
            </w:pPr>
            <w:r w:rsidRPr="00784490">
              <w:rPr>
                <w:b/>
                <w:sz w:val="20"/>
                <w:szCs w:val="20"/>
                <w:lang w:val="fr-FR" w:eastAsia="en-US"/>
              </w:rPr>
              <w:t>2297 (au moins 50% de femmes ; les pourcentages &amp; des âges seront établis lors de l’élaboration de l’échantillonnage)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4ED6B40" w14:textId="77777777" w:rsidR="00B10051" w:rsidRPr="004055DB" w:rsidRDefault="00B10051" w:rsidP="00B10051">
            <w:pPr>
              <w:rPr>
                <w:b/>
                <w:sz w:val="20"/>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205B490" w14:textId="77777777" w:rsidR="00B10051" w:rsidRPr="00535EDF" w:rsidRDefault="00B10051" w:rsidP="00B10051">
            <w:pPr>
              <w:jc w:val="both"/>
              <w:rPr>
                <w:b/>
                <w:bCs/>
                <w:sz w:val="20"/>
                <w:szCs w:val="20"/>
                <w:lang w:val="fr-FR" w:eastAsia="en-US"/>
              </w:rPr>
            </w:pPr>
            <w:r w:rsidRPr="00535EDF">
              <w:rPr>
                <w:b/>
                <w:bCs/>
                <w:sz w:val="20"/>
                <w:szCs w:val="20"/>
                <w:lang w:val="fr-FR" w:eastAsia="en-US"/>
              </w:rPr>
              <w:fldChar w:fldCharType="begin">
                <w:ffData>
                  <w:name w:val=""/>
                  <w:enabled/>
                  <w:calcOnExit w:val="0"/>
                  <w:textInput>
                    <w:default w:val="2276"/>
                    <w:maxLength w:val="300"/>
                  </w:textInput>
                </w:ffData>
              </w:fldChar>
            </w:r>
            <w:r w:rsidRPr="00535EDF">
              <w:rPr>
                <w:b/>
                <w:bCs/>
                <w:sz w:val="20"/>
                <w:szCs w:val="20"/>
                <w:lang w:val="fr-FR" w:eastAsia="en-US"/>
              </w:rPr>
              <w:instrText xml:space="preserve"> FORMTEXT </w:instrText>
            </w:r>
            <w:r w:rsidRPr="00535EDF">
              <w:rPr>
                <w:b/>
                <w:bCs/>
                <w:sz w:val="20"/>
                <w:szCs w:val="20"/>
                <w:lang w:val="fr-FR" w:eastAsia="en-US"/>
              </w:rPr>
            </w:r>
            <w:r w:rsidRPr="00535EDF">
              <w:rPr>
                <w:b/>
                <w:bCs/>
                <w:sz w:val="20"/>
                <w:szCs w:val="20"/>
                <w:lang w:val="fr-FR" w:eastAsia="en-US"/>
              </w:rPr>
              <w:fldChar w:fldCharType="separate"/>
            </w:r>
            <w:r w:rsidRPr="00535EDF">
              <w:rPr>
                <w:b/>
                <w:bCs/>
                <w:sz w:val="20"/>
                <w:szCs w:val="20"/>
                <w:lang w:val="fr-FR" w:eastAsia="en-US"/>
              </w:rPr>
              <w:t>2276</w:t>
            </w:r>
            <w:r w:rsidRPr="00535EDF">
              <w:rPr>
                <w:b/>
                <w:bCs/>
                <w:sz w:val="20"/>
                <w:szCs w:val="20"/>
                <w:lang w:val="fr-FR" w:eastAsia="en-US"/>
              </w:rPr>
              <w:fldChar w:fldCharType="end"/>
            </w:r>
          </w:p>
          <w:p w14:paraId="1FECB8AE" w14:textId="77777777" w:rsidR="00B10051" w:rsidRPr="00535EDF" w:rsidRDefault="00B10051" w:rsidP="00B10051">
            <w:pPr>
              <w:jc w:val="both"/>
              <w:rPr>
                <w:b/>
                <w:bCs/>
                <w:sz w:val="20"/>
                <w:szCs w:val="20"/>
                <w:lang w:val="fr-FR" w:eastAsia="en-US"/>
              </w:rPr>
            </w:pPr>
            <w:r w:rsidRPr="00535EDF">
              <w:rPr>
                <w:b/>
                <w:bCs/>
                <w:sz w:val="20"/>
                <w:szCs w:val="20"/>
                <w:lang w:val="fr-FR" w:eastAsia="en-US"/>
              </w:rPr>
              <w:t>(51% femmes et 35% de jeunes)</w:t>
            </w:r>
          </w:p>
          <w:p w14:paraId="333864C5" w14:textId="77777777" w:rsidR="00B10051" w:rsidRPr="00535EDF" w:rsidRDefault="00B10051" w:rsidP="00B10051">
            <w:pPr>
              <w:jc w:val="both"/>
              <w:rPr>
                <w:b/>
                <w:bCs/>
                <w:sz w:val="20"/>
                <w:szCs w:val="20"/>
                <w:lang w:val="fr-FR" w:eastAsia="en-US"/>
              </w:rPr>
            </w:pPr>
          </w:p>
        </w:tc>
        <w:tc>
          <w:tcPr>
            <w:tcW w:w="4140" w:type="dxa"/>
            <w:tcBorders>
              <w:top w:val="single" w:sz="4" w:space="0" w:color="000000"/>
              <w:left w:val="single" w:sz="4" w:space="0" w:color="000000"/>
              <w:bottom w:val="single" w:sz="4" w:space="0" w:color="000000"/>
              <w:right w:val="single" w:sz="4" w:space="0" w:color="000000"/>
            </w:tcBorders>
          </w:tcPr>
          <w:p w14:paraId="157EB056" w14:textId="72DDD017" w:rsidR="00B10051" w:rsidRPr="00EB7677" w:rsidRDefault="00B10051" w:rsidP="00B10051">
            <w:pPr>
              <w:rPr>
                <w:bCs/>
                <w:sz w:val="20"/>
                <w:szCs w:val="20"/>
                <w:lang w:val="fr-FR" w:eastAsia="en-US"/>
              </w:rPr>
            </w:pPr>
            <w:r w:rsidRPr="00EB7677">
              <w:rPr>
                <w:bCs/>
                <w:sz w:val="20"/>
                <w:szCs w:val="20"/>
                <w:lang w:val="fr-FR" w:eastAsia="en-US"/>
              </w:rPr>
              <w:t xml:space="preserve">La collecte de données du baromètre a été effectuée de manière statistiquement représentative de la population des 6 cercles de mise en œuvre du projet. 2297 personnes ont été interrogées et 21 réponses ont dû être exclues lors du nettoyage car incomplètes ou collectées de manière non aléatoires. </w:t>
            </w:r>
          </w:p>
        </w:tc>
      </w:tr>
      <w:tr w:rsidR="00B10051" w:rsidRPr="00CD2513" w14:paraId="3E637479" w14:textId="77777777" w:rsidTr="00E37961">
        <w:trPr>
          <w:trHeight w:val="548"/>
        </w:trPr>
        <w:tc>
          <w:tcPr>
            <w:tcW w:w="1530" w:type="dxa"/>
            <w:tcBorders>
              <w:top w:val="single" w:sz="4" w:space="0" w:color="000000"/>
              <w:left w:val="single" w:sz="4" w:space="0" w:color="000000"/>
              <w:bottom w:val="single" w:sz="4" w:space="0" w:color="000000"/>
              <w:right w:val="single" w:sz="4" w:space="0" w:color="000000"/>
            </w:tcBorders>
          </w:tcPr>
          <w:p w14:paraId="737D18C9" w14:textId="77777777" w:rsidR="00B10051" w:rsidRPr="00EB7677" w:rsidRDefault="00B10051" w:rsidP="00B10051">
            <w:pPr>
              <w:jc w:val="both"/>
              <w:rPr>
                <w:bCs/>
                <w:sz w:val="20"/>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5680B5AB" w14:textId="77777777" w:rsidR="00B10051" w:rsidRPr="00EB7677" w:rsidRDefault="00B10051" w:rsidP="00B10051">
            <w:pPr>
              <w:jc w:val="both"/>
              <w:rPr>
                <w:bCs/>
                <w:sz w:val="20"/>
                <w:szCs w:val="20"/>
                <w:lang w:val="fr-FR" w:eastAsia="en-US"/>
              </w:rPr>
            </w:pPr>
            <w:r w:rsidRPr="00EB7677">
              <w:rPr>
                <w:bCs/>
                <w:sz w:val="20"/>
                <w:szCs w:val="20"/>
                <w:lang w:val="fr-FR" w:eastAsia="en-US"/>
              </w:rPr>
              <w:t>Indicateur 1.1.3</w:t>
            </w:r>
          </w:p>
          <w:p w14:paraId="212CC23E" w14:textId="22C6496C" w:rsidR="00B10051" w:rsidRPr="001658A1" w:rsidRDefault="00B10051" w:rsidP="00B10051">
            <w:pPr>
              <w:jc w:val="both"/>
              <w:rPr>
                <w:b/>
                <w:sz w:val="20"/>
                <w:szCs w:val="20"/>
                <w:lang w:val="fr-FR" w:eastAsia="en-US"/>
              </w:rPr>
            </w:pPr>
            <w:r w:rsidRPr="00EB7677">
              <w:rPr>
                <w:bCs/>
                <w:sz w:val="20"/>
                <w:szCs w:val="20"/>
                <w:lang w:val="fr-FR" w:eastAsia="en-US"/>
              </w:rPr>
              <w:t>Existence d’un baromètre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4D249BAA" w14:textId="2BFB8815" w:rsidR="00B10051" w:rsidRPr="00784490" w:rsidRDefault="00B10051" w:rsidP="00B10051">
            <w:pPr>
              <w:rPr>
                <w:b/>
                <w:sz w:val="20"/>
                <w:szCs w:val="20"/>
                <w:lang w:val="fr-FR" w:eastAsia="en-US"/>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1074AC1E" w14:textId="6BA04AEB" w:rsidR="00B10051" w:rsidRPr="00784490" w:rsidRDefault="00B10051" w:rsidP="00B10051">
            <w:pPr>
              <w:rPr>
                <w:b/>
                <w:sz w:val="20"/>
                <w:szCs w:val="20"/>
                <w:lang w:val="fr-FR" w:eastAsia="en-US"/>
              </w:rPr>
            </w:pPr>
            <w:r w:rsidRPr="00784490">
              <w:rPr>
                <w:b/>
                <w:sz w:val="20"/>
                <w:szCs w:val="20"/>
                <w:lang w:val="fr-FR" w:eastAsia="en-US"/>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6FBA8D4" w14:textId="7F670989" w:rsidR="00B10051" w:rsidRPr="004055DB" w:rsidRDefault="00B10051" w:rsidP="00B10051">
            <w:pPr>
              <w:rPr>
                <w:b/>
                <w:sz w:val="20"/>
                <w:szCs w:val="20"/>
                <w:lang w:val="fr-FR" w:eastAsia="en-US"/>
              </w:rPr>
            </w:pPr>
            <w:r w:rsidRPr="004055DB">
              <w:rPr>
                <w:b/>
                <w:sz w:val="20"/>
                <w:szCs w:val="20"/>
                <w:lang w:val="fr-FR" w:eastAsia="en-US"/>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EE5C9D4" w14:textId="77777777" w:rsidR="00B10051" w:rsidRPr="00535EDF" w:rsidRDefault="00B10051" w:rsidP="00B10051">
            <w:pPr>
              <w:jc w:val="both"/>
              <w:rPr>
                <w:b/>
                <w:bCs/>
                <w:sz w:val="20"/>
                <w:szCs w:val="20"/>
                <w:lang w:val="fr-FR" w:eastAsia="en-US"/>
              </w:rPr>
            </w:pPr>
            <w:r w:rsidRPr="00535EDF">
              <w:rPr>
                <w:b/>
                <w:bCs/>
                <w:sz w:val="20"/>
                <w:szCs w:val="20"/>
                <w:lang w:val="fr-FR" w:eastAsia="en-US"/>
              </w:rPr>
              <w:t>1</w:t>
            </w:r>
          </w:p>
          <w:p w14:paraId="407C83A3" w14:textId="77777777" w:rsidR="00B10051" w:rsidRPr="00535EDF" w:rsidRDefault="00B10051" w:rsidP="00B10051">
            <w:pPr>
              <w:jc w:val="both"/>
              <w:rPr>
                <w:b/>
                <w:bCs/>
                <w:sz w:val="20"/>
                <w:szCs w:val="20"/>
                <w:lang w:val="fr-FR" w:eastAsia="en-US"/>
              </w:rPr>
            </w:pPr>
          </w:p>
          <w:p w14:paraId="5F88B41E" w14:textId="77777777" w:rsidR="00B10051" w:rsidRPr="00535EDF" w:rsidRDefault="00B10051" w:rsidP="00B10051">
            <w:pPr>
              <w:jc w:val="both"/>
              <w:rPr>
                <w:b/>
                <w:bCs/>
                <w:sz w:val="20"/>
                <w:szCs w:val="20"/>
                <w:lang w:val="fr-FR" w:eastAsia="en-US"/>
              </w:rPr>
            </w:pPr>
          </w:p>
        </w:tc>
        <w:tc>
          <w:tcPr>
            <w:tcW w:w="4140" w:type="dxa"/>
            <w:tcBorders>
              <w:top w:val="single" w:sz="4" w:space="0" w:color="000000"/>
              <w:left w:val="single" w:sz="4" w:space="0" w:color="000000"/>
              <w:bottom w:val="single" w:sz="4" w:space="0" w:color="000000"/>
              <w:right w:val="single" w:sz="4" w:space="0" w:color="000000"/>
            </w:tcBorders>
          </w:tcPr>
          <w:p w14:paraId="1A72BA58" w14:textId="428500FC" w:rsidR="00B10051" w:rsidRPr="00EB7677" w:rsidRDefault="00B10051" w:rsidP="00B10051">
            <w:pPr>
              <w:rPr>
                <w:bCs/>
                <w:sz w:val="20"/>
                <w:szCs w:val="20"/>
                <w:lang w:val="fr-FR" w:eastAsia="en-US"/>
              </w:rPr>
            </w:pPr>
            <w:r w:rsidRPr="00EB7677">
              <w:rPr>
                <w:bCs/>
                <w:sz w:val="20"/>
                <w:szCs w:val="20"/>
                <w:lang w:val="fr-FR" w:eastAsia="en-US"/>
              </w:rPr>
              <w:t xml:space="preserve">Le baromètre a été réalisé. Les étapes de conception ont été finalisées ainsi que la collecte et l’analyse des données La plateforme d’accès aux données est </w:t>
            </w:r>
            <w:r w:rsidR="003C3648" w:rsidRPr="00EB7677">
              <w:rPr>
                <w:bCs/>
                <w:sz w:val="20"/>
                <w:szCs w:val="20"/>
                <w:lang w:val="fr-FR" w:eastAsia="en-US"/>
              </w:rPr>
              <w:t>prête dont</w:t>
            </w:r>
            <w:r w:rsidRPr="00EB7677">
              <w:rPr>
                <w:bCs/>
                <w:sz w:val="20"/>
                <w:szCs w:val="20"/>
                <w:lang w:val="fr-FR" w:eastAsia="en-US"/>
              </w:rPr>
              <w:t xml:space="preserve"> le lancement sera effectué concomitamment avec le lancement du rapport dont la rédaction est en cours.</w:t>
            </w:r>
          </w:p>
        </w:tc>
      </w:tr>
      <w:tr w:rsidR="00B10051" w:rsidRPr="00CD2513" w14:paraId="71C7AE6E" w14:textId="77777777" w:rsidTr="00CD2513">
        <w:trPr>
          <w:trHeight w:val="422"/>
        </w:trPr>
        <w:tc>
          <w:tcPr>
            <w:tcW w:w="1530" w:type="dxa"/>
            <w:vMerge w:val="restart"/>
            <w:tcBorders>
              <w:top w:val="single" w:sz="4" w:space="0" w:color="000000"/>
              <w:left w:val="single" w:sz="4" w:space="0" w:color="000000"/>
              <w:bottom w:val="single" w:sz="4" w:space="0" w:color="000000"/>
              <w:right w:val="single" w:sz="4" w:space="0" w:color="000000"/>
            </w:tcBorders>
          </w:tcPr>
          <w:p w14:paraId="7B3242AD" w14:textId="77777777" w:rsidR="00B10051" w:rsidRPr="00EB7677" w:rsidRDefault="00B10051" w:rsidP="00B10051">
            <w:pPr>
              <w:jc w:val="both"/>
              <w:rPr>
                <w:bCs/>
                <w:sz w:val="20"/>
                <w:szCs w:val="20"/>
                <w:lang w:val="fr-FR" w:eastAsia="en-US"/>
              </w:rPr>
            </w:pPr>
            <w:r w:rsidRPr="00EB7677">
              <w:rPr>
                <w:bCs/>
                <w:sz w:val="20"/>
                <w:szCs w:val="20"/>
                <w:lang w:val="fr-FR" w:eastAsia="en-US"/>
              </w:rPr>
              <w:t>Produit 1.2</w:t>
            </w:r>
          </w:p>
          <w:p w14:paraId="34E64D2A" w14:textId="4567EDE5" w:rsidR="00B10051" w:rsidRPr="005A6420" w:rsidRDefault="00B10051" w:rsidP="00B10051">
            <w:pPr>
              <w:rPr>
                <w:rFonts w:cs="Tahoma"/>
                <w:b/>
                <w:szCs w:val="20"/>
                <w:lang w:val="fr-FR" w:eastAsia="en-US"/>
              </w:rPr>
            </w:pPr>
            <w:r w:rsidRPr="00EB7677">
              <w:rPr>
                <w:bCs/>
                <w:sz w:val="20"/>
                <w:szCs w:val="20"/>
                <w:lang w:val="fr-FR" w:eastAsia="en-US"/>
              </w:rPr>
              <w:t>Un dialogue entre communautés et les acteurs de la justice au Centre au Mali est lancé et approprié par les parties prenantes avec la participation d'au moins 960 personnes.</w:t>
            </w: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1B3CF7BF" w14:textId="77777777" w:rsidR="00B10051" w:rsidRPr="00EB23FE" w:rsidRDefault="00B10051" w:rsidP="00B10051">
            <w:pPr>
              <w:jc w:val="both"/>
              <w:rPr>
                <w:b/>
                <w:sz w:val="20"/>
                <w:szCs w:val="20"/>
                <w:lang w:val="fr-FR" w:eastAsia="en-US"/>
              </w:rPr>
            </w:pPr>
            <w:r w:rsidRPr="00EB23FE">
              <w:rPr>
                <w:b/>
                <w:sz w:val="20"/>
                <w:szCs w:val="20"/>
                <w:lang w:val="fr-FR" w:eastAsia="en-US"/>
              </w:rPr>
              <w:t>Indicateur 1.2.1</w:t>
            </w:r>
          </w:p>
          <w:p w14:paraId="4BAA1131" w14:textId="3C705A80" w:rsidR="00B10051" w:rsidRPr="005A6420" w:rsidRDefault="00B10051" w:rsidP="00B10051">
            <w:pPr>
              <w:jc w:val="both"/>
              <w:rPr>
                <w:rFonts w:cs="Tahoma"/>
                <w:szCs w:val="20"/>
                <w:lang w:val="fr-FR" w:eastAsia="en-US"/>
              </w:rPr>
            </w:pPr>
            <w:r w:rsidRPr="00EB7677">
              <w:rPr>
                <w:bCs/>
                <w:sz w:val="20"/>
                <w:szCs w:val="20"/>
                <w:lang w:val="fr-FR" w:eastAsia="en-US"/>
              </w:rPr>
              <w:t>Nombre de participants aux focus groupes, séances de dialogue et projections ventilés par sexe et âge.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56626CCD" w14:textId="3D4CB0F9" w:rsidR="00B10051" w:rsidRPr="005A6420" w:rsidRDefault="00B10051" w:rsidP="00B10051">
            <w:pPr>
              <w:rPr>
                <w:lang w:val="fr-FR"/>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18F4E9D0" w14:textId="422E1D71" w:rsidR="00B10051" w:rsidRPr="005A6420" w:rsidRDefault="00B10051" w:rsidP="00B10051">
            <w:pPr>
              <w:rPr>
                <w:lang w:val="fr-FR"/>
              </w:rPr>
            </w:pPr>
            <w:r w:rsidRPr="00784490">
              <w:rPr>
                <w:b/>
                <w:sz w:val="20"/>
                <w:szCs w:val="20"/>
                <w:lang w:val="fr-FR" w:eastAsia="en-US"/>
              </w:rPr>
              <w:t>480</w:t>
            </w:r>
          </w:p>
        </w:tc>
        <w:tc>
          <w:tcPr>
            <w:tcW w:w="2070" w:type="dxa"/>
            <w:tcBorders>
              <w:top w:val="single" w:sz="4" w:space="0" w:color="000000"/>
              <w:left w:val="single" w:sz="4" w:space="0" w:color="000000"/>
              <w:bottom w:val="single" w:sz="4" w:space="0" w:color="000000"/>
              <w:right w:val="single" w:sz="4" w:space="0" w:color="000000"/>
            </w:tcBorders>
          </w:tcPr>
          <w:p w14:paraId="06BA9547" w14:textId="7E2C61D9" w:rsidR="00B10051" w:rsidRPr="005A6420" w:rsidRDefault="00B10051" w:rsidP="00B10051">
            <w:pPr>
              <w:rPr>
                <w:lang w:val="fr-FR"/>
              </w:rPr>
            </w:pPr>
            <w:r w:rsidRPr="004055DB">
              <w:rPr>
                <w:b/>
                <w:sz w:val="20"/>
                <w:szCs w:val="20"/>
                <w:lang w:val="fr-FR" w:eastAsia="en-US"/>
              </w:rPr>
              <w:t>300</w:t>
            </w:r>
          </w:p>
        </w:tc>
        <w:tc>
          <w:tcPr>
            <w:tcW w:w="2070" w:type="dxa"/>
            <w:tcBorders>
              <w:top w:val="single" w:sz="4" w:space="0" w:color="000000"/>
              <w:left w:val="single" w:sz="4" w:space="0" w:color="000000"/>
              <w:bottom w:val="single" w:sz="4" w:space="0" w:color="000000"/>
              <w:right w:val="single" w:sz="4" w:space="0" w:color="000000"/>
            </w:tcBorders>
          </w:tcPr>
          <w:p w14:paraId="42CD9159" w14:textId="77777777" w:rsidR="00B10051" w:rsidRPr="00535EDF" w:rsidRDefault="00B10051" w:rsidP="00B10051">
            <w:pPr>
              <w:jc w:val="both"/>
              <w:rPr>
                <w:b/>
                <w:bCs/>
                <w:sz w:val="20"/>
                <w:szCs w:val="20"/>
                <w:lang w:val="fr-FR" w:eastAsia="en-US"/>
              </w:rPr>
            </w:pPr>
            <w:r w:rsidRPr="00535EDF">
              <w:rPr>
                <w:b/>
                <w:bCs/>
                <w:sz w:val="20"/>
                <w:szCs w:val="20"/>
                <w:lang w:val="fr-FR" w:eastAsia="en-US"/>
              </w:rPr>
              <w:t>690 dont 183 femmes soit 26% et 178 jeunes de moins de 35 ans soit 26%</w:t>
            </w:r>
          </w:p>
          <w:p w14:paraId="3EFD678F" w14:textId="07B2ADF5" w:rsidR="00B10051" w:rsidRPr="005A6420" w:rsidRDefault="00B10051" w:rsidP="00B10051">
            <w:pPr>
              <w:rPr>
                <w:lang w:val="fr-FR"/>
              </w:rPr>
            </w:pPr>
          </w:p>
        </w:tc>
        <w:tc>
          <w:tcPr>
            <w:tcW w:w="4140" w:type="dxa"/>
            <w:tcBorders>
              <w:top w:val="single" w:sz="4" w:space="0" w:color="000000"/>
              <w:left w:val="single" w:sz="4" w:space="0" w:color="000000"/>
              <w:bottom w:val="single" w:sz="4" w:space="0" w:color="000000"/>
              <w:right w:val="single" w:sz="4" w:space="0" w:color="000000"/>
            </w:tcBorders>
          </w:tcPr>
          <w:p w14:paraId="5922D5E8" w14:textId="77777777" w:rsidR="00B10051" w:rsidRPr="00EB7677" w:rsidRDefault="00B10051" w:rsidP="00B10051">
            <w:pPr>
              <w:jc w:val="both"/>
              <w:rPr>
                <w:bCs/>
                <w:sz w:val="20"/>
                <w:szCs w:val="20"/>
                <w:lang w:val="fr-FR" w:eastAsia="en-US"/>
              </w:rPr>
            </w:pPr>
            <w:r w:rsidRPr="00EB7677">
              <w:rPr>
                <w:bCs/>
                <w:sz w:val="20"/>
                <w:szCs w:val="20"/>
                <w:lang w:val="fr-FR" w:eastAsia="en-US"/>
              </w:rPr>
              <w:t>18 focus groupes homogènes ont été tenus représentant les justiciables (hommes, femmes et jeunes interrogés séparément).</w:t>
            </w:r>
          </w:p>
          <w:p w14:paraId="28751AB2" w14:textId="77777777" w:rsidR="00B10051" w:rsidRPr="00EB7677" w:rsidRDefault="00B10051" w:rsidP="00B10051">
            <w:pPr>
              <w:jc w:val="both"/>
              <w:rPr>
                <w:bCs/>
                <w:sz w:val="20"/>
                <w:szCs w:val="20"/>
                <w:lang w:val="fr-FR" w:eastAsia="en-US"/>
              </w:rPr>
            </w:pPr>
            <w:r w:rsidRPr="00EB7677">
              <w:rPr>
                <w:bCs/>
                <w:sz w:val="20"/>
                <w:szCs w:val="20"/>
                <w:lang w:val="fr-FR" w:eastAsia="en-US"/>
              </w:rPr>
              <w:t xml:space="preserve">6 focus groupes homogènes avec les acteurs de la justice   </w:t>
            </w:r>
          </w:p>
          <w:p w14:paraId="2F8DEA58" w14:textId="77777777" w:rsidR="00B10051" w:rsidRPr="00EB7677" w:rsidRDefault="00B10051" w:rsidP="00B10051">
            <w:pPr>
              <w:jc w:val="both"/>
              <w:rPr>
                <w:bCs/>
                <w:sz w:val="20"/>
                <w:szCs w:val="20"/>
                <w:lang w:val="fr-FR" w:eastAsia="en-US"/>
              </w:rPr>
            </w:pPr>
            <w:r w:rsidRPr="00EB7677">
              <w:rPr>
                <w:bCs/>
                <w:sz w:val="20"/>
                <w:szCs w:val="20"/>
                <w:lang w:val="fr-FR" w:eastAsia="en-US"/>
              </w:rPr>
              <w:t xml:space="preserve">6 focus groupes homogènes avec les acteurs de la justice avec les autorités traditionnelles </w:t>
            </w:r>
          </w:p>
          <w:p w14:paraId="7263F6FA" w14:textId="77777777" w:rsidR="00B10051" w:rsidRPr="00EB7677" w:rsidRDefault="00B10051" w:rsidP="00B10051">
            <w:pPr>
              <w:jc w:val="both"/>
              <w:rPr>
                <w:bCs/>
                <w:sz w:val="20"/>
                <w:szCs w:val="20"/>
                <w:lang w:val="fr-FR" w:eastAsia="en-US"/>
              </w:rPr>
            </w:pPr>
            <w:r w:rsidRPr="00EB7677">
              <w:rPr>
                <w:bCs/>
                <w:sz w:val="20"/>
                <w:szCs w:val="20"/>
                <w:lang w:val="fr-FR" w:eastAsia="en-US"/>
              </w:rPr>
              <w:t>7 ateliers d’analyse ont eu lieu (6 dans les cercles d’intervention et 1 à Bamako)</w:t>
            </w:r>
          </w:p>
          <w:p w14:paraId="0006B9D4" w14:textId="77777777" w:rsidR="00B10051" w:rsidRPr="00EB7677" w:rsidRDefault="00B10051" w:rsidP="00B10051">
            <w:pPr>
              <w:jc w:val="both"/>
              <w:rPr>
                <w:bCs/>
                <w:sz w:val="20"/>
                <w:szCs w:val="20"/>
                <w:lang w:val="fr-FR" w:eastAsia="en-US"/>
              </w:rPr>
            </w:pPr>
            <w:r w:rsidRPr="00EB7677">
              <w:rPr>
                <w:bCs/>
                <w:sz w:val="20"/>
                <w:szCs w:val="20"/>
                <w:lang w:val="fr-FR" w:eastAsia="en-US"/>
              </w:rPr>
              <w:t xml:space="preserve">2 ateliers de restitutions et de validations des données </w:t>
            </w:r>
          </w:p>
          <w:p w14:paraId="1A7ABD95" w14:textId="6CC847AC" w:rsidR="00B10051" w:rsidRPr="005A6420" w:rsidRDefault="00B10051" w:rsidP="00B10051">
            <w:pPr>
              <w:rPr>
                <w:lang w:val="fr-FR"/>
              </w:rPr>
            </w:pPr>
          </w:p>
        </w:tc>
      </w:tr>
      <w:tr w:rsidR="00B10051" w:rsidRPr="00CD2513" w14:paraId="1D26BBE7" w14:textId="77777777" w:rsidTr="00CD2513">
        <w:trPr>
          <w:trHeight w:val="422"/>
        </w:trPr>
        <w:tc>
          <w:tcPr>
            <w:tcW w:w="1530" w:type="dxa"/>
            <w:vMerge/>
            <w:tcBorders>
              <w:top w:val="single" w:sz="4" w:space="0" w:color="000000"/>
              <w:left w:val="single" w:sz="4" w:space="0" w:color="000000"/>
              <w:bottom w:val="single" w:sz="4" w:space="0" w:color="000000"/>
              <w:right w:val="single" w:sz="4" w:space="0" w:color="000000"/>
            </w:tcBorders>
          </w:tcPr>
          <w:p w14:paraId="147B9FBC" w14:textId="77777777" w:rsidR="00B10051" w:rsidRPr="005A6420" w:rsidRDefault="00B10051" w:rsidP="00B10051">
            <w:pPr>
              <w:rPr>
                <w:rFonts w:cs="Tahoma"/>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2D0C0C0C" w14:textId="77777777" w:rsidR="00B10051" w:rsidRPr="00073038" w:rsidRDefault="00B10051" w:rsidP="00B10051">
            <w:pPr>
              <w:jc w:val="both"/>
              <w:rPr>
                <w:b/>
                <w:sz w:val="20"/>
                <w:szCs w:val="20"/>
                <w:lang w:val="fr-FR" w:eastAsia="en-US"/>
              </w:rPr>
            </w:pPr>
            <w:r w:rsidRPr="00073038">
              <w:rPr>
                <w:b/>
                <w:sz w:val="20"/>
                <w:szCs w:val="20"/>
                <w:lang w:val="fr-FR" w:eastAsia="en-US"/>
              </w:rPr>
              <w:t>Indicateur 1.2.2</w:t>
            </w:r>
          </w:p>
          <w:p w14:paraId="052B909F" w14:textId="05E6F01A" w:rsidR="00B10051" w:rsidRPr="005A6420" w:rsidRDefault="00B10051" w:rsidP="00B10051">
            <w:pPr>
              <w:jc w:val="both"/>
              <w:rPr>
                <w:rFonts w:cs="Tahoma"/>
                <w:szCs w:val="20"/>
                <w:lang w:val="fr-FR" w:eastAsia="en-US"/>
              </w:rPr>
            </w:pPr>
            <w:r w:rsidRPr="00EB7677">
              <w:rPr>
                <w:bCs/>
                <w:sz w:val="20"/>
                <w:szCs w:val="20"/>
                <w:lang w:val="fr-FR" w:eastAsia="en-US"/>
              </w:rPr>
              <w:t>Nombre de programmes radio effectués et rapports distribués</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7357DE6E" w14:textId="0795D3B7" w:rsidR="00B10051" w:rsidRPr="005A6420" w:rsidRDefault="00B10051" w:rsidP="00B10051">
            <w:pPr>
              <w:rPr>
                <w:lang w:val="fr-FR"/>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541241D9" w14:textId="77777777" w:rsidR="00B10051" w:rsidRPr="00784490" w:rsidRDefault="00B10051" w:rsidP="00B10051">
            <w:pPr>
              <w:jc w:val="both"/>
              <w:rPr>
                <w:b/>
                <w:sz w:val="20"/>
                <w:szCs w:val="20"/>
                <w:lang w:val="fr-FR" w:eastAsia="en-US"/>
              </w:rPr>
            </w:pPr>
            <w:r w:rsidRPr="00784490">
              <w:rPr>
                <w:b/>
                <w:sz w:val="20"/>
                <w:szCs w:val="20"/>
                <w:lang w:val="fr-FR" w:eastAsia="en-US"/>
              </w:rPr>
              <w:t>12 programmes</w:t>
            </w:r>
          </w:p>
          <w:p w14:paraId="0CFD046C" w14:textId="19E7C4C9" w:rsidR="00B10051" w:rsidRPr="005A6420" w:rsidRDefault="00B10051" w:rsidP="00B10051">
            <w:pPr>
              <w:rPr>
                <w:lang w:val="fr-FR"/>
              </w:rPr>
            </w:pPr>
            <w:r w:rsidRPr="00784490">
              <w:rPr>
                <w:b/>
                <w:sz w:val="20"/>
                <w:szCs w:val="20"/>
                <w:lang w:val="fr-FR" w:eastAsia="en-US"/>
              </w:rPr>
              <w:t>300 rapports</w:t>
            </w:r>
          </w:p>
        </w:tc>
        <w:tc>
          <w:tcPr>
            <w:tcW w:w="2070" w:type="dxa"/>
            <w:tcBorders>
              <w:top w:val="single" w:sz="4" w:space="0" w:color="000000"/>
              <w:left w:val="single" w:sz="4" w:space="0" w:color="000000"/>
              <w:bottom w:val="single" w:sz="4" w:space="0" w:color="000000"/>
              <w:right w:val="single" w:sz="4" w:space="0" w:color="000000"/>
            </w:tcBorders>
          </w:tcPr>
          <w:p w14:paraId="7E3A4822" w14:textId="77777777" w:rsidR="00B10051" w:rsidRPr="004055DB" w:rsidRDefault="00B10051" w:rsidP="00B10051">
            <w:pPr>
              <w:jc w:val="both"/>
              <w:rPr>
                <w:b/>
                <w:sz w:val="20"/>
                <w:szCs w:val="20"/>
                <w:lang w:val="fr-FR" w:eastAsia="en-US"/>
              </w:rPr>
            </w:pPr>
            <w:r w:rsidRPr="004055DB">
              <w:rPr>
                <w:b/>
                <w:sz w:val="20"/>
                <w:szCs w:val="20"/>
                <w:lang w:val="fr-FR" w:eastAsia="en-US"/>
              </w:rPr>
              <w:t>4</w:t>
            </w:r>
          </w:p>
          <w:p w14:paraId="619F4A6C" w14:textId="6B751A6D" w:rsidR="00B10051" w:rsidRPr="005A6420" w:rsidRDefault="00B10051" w:rsidP="00B10051">
            <w:pPr>
              <w:rPr>
                <w:lang w:val="fr-FR"/>
              </w:rPr>
            </w:pPr>
            <w:r w:rsidRPr="004055DB">
              <w:rPr>
                <w:b/>
                <w:sz w:val="20"/>
                <w:szCs w:val="20"/>
                <w:lang w:val="fr-FR" w:eastAsia="en-US"/>
              </w:rPr>
              <w:t>100</w:t>
            </w:r>
          </w:p>
        </w:tc>
        <w:tc>
          <w:tcPr>
            <w:tcW w:w="2070" w:type="dxa"/>
            <w:tcBorders>
              <w:top w:val="single" w:sz="4" w:space="0" w:color="000000"/>
              <w:left w:val="single" w:sz="4" w:space="0" w:color="000000"/>
              <w:bottom w:val="single" w:sz="4" w:space="0" w:color="000000"/>
              <w:right w:val="single" w:sz="4" w:space="0" w:color="000000"/>
            </w:tcBorders>
          </w:tcPr>
          <w:p w14:paraId="4166DDEF" w14:textId="77777777" w:rsidR="00B10051" w:rsidRPr="00535EDF" w:rsidRDefault="00B10051" w:rsidP="00B10051">
            <w:pPr>
              <w:jc w:val="both"/>
              <w:rPr>
                <w:b/>
                <w:bCs/>
                <w:sz w:val="20"/>
                <w:szCs w:val="20"/>
                <w:lang w:val="fr-FR" w:eastAsia="en-US"/>
              </w:rPr>
            </w:pPr>
            <w:r w:rsidRPr="00535EDF">
              <w:rPr>
                <w:b/>
                <w:bCs/>
                <w:sz w:val="20"/>
                <w:szCs w:val="20"/>
                <w:lang w:val="fr-FR" w:eastAsia="en-US"/>
              </w:rPr>
              <w:t>12</w:t>
            </w:r>
          </w:p>
          <w:p w14:paraId="36F6EB00" w14:textId="0683A569" w:rsidR="00B10051" w:rsidRPr="005A6420" w:rsidRDefault="00B10051" w:rsidP="00B10051">
            <w:pPr>
              <w:rPr>
                <w:lang w:val="fr-FR"/>
              </w:rPr>
            </w:pPr>
            <w:r w:rsidRPr="00535EDF">
              <w:rPr>
                <w:b/>
                <w:bCs/>
                <w:sz w:val="20"/>
                <w:szCs w:val="20"/>
                <w:lang w:val="fr-FR" w:eastAsia="en-US"/>
              </w:rPr>
              <w:t>0</w:t>
            </w:r>
          </w:p>
        </w:tc>
        <w:tc>
          <w:tcPr>
            <w:tcW w:w="4140" w:type="dxa"/>
            <w:tcBorders>
              <w:top w:val="single" w:sz="4" w:space="0" w:color="000000"/>
              <w:left w:val="single" w:sz="4" w:space="0" w:color="000000"/>
              <w:bottom w:val="single" w:sz="4" w:space="0" w:color="000000"/>
              <w:right w:val="single" w:sz="4" w:space="0" w:color="000000"/>
            </w:tcBorders>
          </w:tcPr>
          <w:p w14:paraId="53C45E37" w14:textId="77777777" w:rsidR="00B10051" w:rsidRPr="00EB7677" w:rsidRDefault="00B10051" w:rsidP="00B10051">
            <w:pPr>
              <w:jc w:val="both"/>
              <w:rPr>
                <w:bCs/>
                <w:sz w:val="20"/>
                <w:szCs w:val="20"/>
                <w:lang w:val="fr-FR" w:eastAsia="en-US"/>
              </w:rPr>
            </w:pPr>
            <w:r w:rsidRPr="00EB7677">
              <w:rPr>
                <w:bCs/>
                <w:sz w:val="20"/>
                <w:szCs w:val="20"/>
                <w:lang w:val="fr-FR" w:eastAsia="en-US"/>
              </w:rPr>
              <w:t>12 émissions radio ont été diffusées, à raison de deux par cercle d’intervention.</w:t>
            </w:r>
          </w:p>
          <w:p w14:paraId="39A229B4" w14:textId="036D7082" w:rsidR="00B10051" w:rsidRPr="005A6420" w:rsidRDefault="00B10051" w:rsidP="00B10051">
            <w:pPr>
              <w:rPr>
                <w:lang w:val="fr-FR"/>
              </w:rPr>
            </w:pPr>
            <w:r w:rsidRPr="00EB7677">
              <w:rPr>
                <w:bCs/>
                <w:sz w:val="20"/>
                <w:szCs w:val="20"/>
                <w:lang w:val="fr-FR" w:eastAsia="en-US"/>
              </w:rPr>
              <w:t>La dissémination de rapport doit être faite à</w:t>
            </w:r>
            <w:r>
              <w:rPr>
                <w:bCs/>
                <w:sz w:val="20"/>
                <w:szCs w:val="20"/>
                <w:lang w:val="fr-FR" w:eastAsia="en-US"/>
              </w:rPr>
              <w:t xml:space="preserve"> </w:t>
            </w:r>
            <w:r w:rsidRPr="00EB7677">
              <w:rPr>
                <w:bCs/>
                <w:sz w:val="20"/>
                <w:szCs w:val="20"/>
                <w:lang w:val="fr-FR" w:eastAsia="en-US"/>
              </w:rPr>
              <w:t xml:space="preserve">l’issue de la finalisation et du lancement du </w:t>
            </w:r>
            <w:r w:rsidRPr="00EB7677">
              <w:rPr>
                <w:bCs/>
                <w:sz w:val="20"/>
                <w:szCs w:val="20"/>
                <w:lang w:val="fr-FR" w:eastAsia="en-US"/>
              </w:rPr>
              <w:lastRenderedPageBreak/>
              <w:t>rapport prévus dans la prochaine période de rapportage.</w:t>
            </w:r>
          </w:p>
        </w:tc>
      </w:tr>
      <w:tr w:rsidR="00B10051" w:rsidRPr="00CD2513" w14:paraId="77BA454A" w14:textId="77777777" w:rsidTr="00CD2513">
        <w:trPr>
          <w:trHeight w:val="422"/>
        </w:trPr>
        <w:tc>
          <w:tcPr>
            <w:tcW w:w="1530" w:type="dxa"/>
            <w:vMerge/>
            <w:tcBorders>
              <w:top w:val="single" w:sz="4" w:space="0" w:color="000000"/>
              <w:left w:val="single" w:sz="4" w:space="0" w:color="000000"/>
              <w:bottom w:val="single" w:sz="4" w:space="0" w:color="000000"/>
              <w:right w:val="single" w:sz="4" w:space="0" w:color="000000"/>
            </w:tcBorders>
          </w:tcPr>
          <w:p w14:paraId="72035AC4" w14:textId="77777777" w:rsidR="00B10051" w:rsidRPr="005A6420" w:rsidRDefault="00B10051" w:rsidP="00B10051">
            <w:pPr>
              <w:rPr>
                <w:rFonts w:cs="Tahoma"/>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tcPr>
          <w:p w14:paraId="1768B90C" w14:textId="77777777" w:rsidR="00B10051" w:rsidRPr="00073038" w:rsidRDefault="00B10051" w:rsidP="00B10051">
            <w:pPr>
              <w:jc w:val="both"/>
              <w:rPr>
                <w:b/>
                <w:sz w:val="20"/>
                <w:szCs w:val="20"/>
                <w:lang w:val="fr-FR" w:eastAsia="en-US"/>
              </w:rPr>
            </w:pPr>
            <w:r w:rsidRPr="00073038">
              <w:rPr>
                <w:b/>
                <w:sz w:val="20"/>
                <w:szCs w:val="20"/>
                <w:lang w:val="fr-FR" w:eastAsia="en-US"/>
              </w:rPr>
              <w:t>Indicateur 1.2.3</w:t>
            </w:r>
          </w:p>
          <w:p w14:paraId="661946D6" w14:textId="2D0BC1B2" w:rsidR="00B10051" w:rsidRPr="005A6420" w:rsidRDefault="00B10051" w:rsidP="00B10051">
            <w:pPr>
              <w:jc w:val="both"/>
              <w:rPr>
                <w:rFonts w:cs="Tahoma"/>
                <w:szCs w:val="20"/>
                <w:lang w:val="fr-FR" w:eastAsia="en-US"/>
              </w:rPr>
            </w:pPr>
            <w:r w:rsidRPr="00EB7677">
              <w:rPr>
                <w:bCs/>
                <w:sz w:val="20"/>
                <w:szCs w:val="20"/>
                <w:lang w:val="fr-FR" w:eastAsia="en-US"/>
              </w:rPr>
              <w:t>Nombre d’initiatives recensées (en lien avec les R2 et R3)</w:t>
            </w:r>
          </w:p>
        </w:tc>
        <w:tc>
          <w:tcPr>
            <w:tcW w:w="1530" w:type="dxa"/>
            <w:tcBorders>
              <w:top w:val="single" w:sz="4" w:space="0" w:color="000000"/>
              <w:left w:val="single" w:sz="4" w:space="0" w:color="000000"/>
              <w:bottom w:val="single" w:sz="4" w:space="0" w:color="000000"/>
              <w:right w:val="single" w:sz="4" w:space="0" w:color="000000"/>
            </w:tcBorders>
          </w:tcPr>
          <w:p w14:paraId="72BF6CAF" w14:textId="371283BC" w:rsidR="00B10051" w:rsidRPr="005A6420" w:rsidRDefault="00B10051" w:rsidP="00B10051">
            <w:pPr>
              <w:rPr>
                <w:lang w:val="fr-FR"/>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tcPr>
          <w:p w14:paraId="34B979D3" w14:textId="5C54945E" w:rsidR="00B10051" w:rsidRPr="005A6420" w:rsidRDefault="00B10051" w:rsidP="00B10051">
            <w:pPr>
              <w:rPr>
                <w:lang w:val="fr-FR"/>
              </w:rPr>
            </w:pPr>
            <w:r w:rsidRPr="00784490">
              <w:rPr>
                <w:b/>
                <w:sz w:val="20"/>
                <w:szCs w:val="20"/>
                <w:lang w:val="fr-FR" w:eastAsia="en-US"/>
              </w:rPr>
              <w:t>6</w:t>
            </w:r>
          </w:p>
        </w:tc>
        <w:tc>
          <w:tcPr>
            <w:tcW w:w="2070" w:type="dxa"/>
            <w:tcBorders>
              <w:top w:val="single" w:sz="4" w:space="0" w:color="000000"/>
              <w:left w:val="single" w:sz="4" w:space="0" w:color="000000"/>
              <w:bottom w:val="single" w:sz="4" w:space="0" w:color="000000"/>
              <w:right w:val="single" w:sz="4" w:space="0" w:color="000000"/>
            </w:tcBorders>
          </w:tcPr>
          <w:p w14:paraId="4A835E0E" w14:textId="33CCC885" w:rsidR="00B10051" w:rsidRPr="005A6420" w:rsidRDefault="00B10051" w:rsidP="00B10051">
            <w:pPr>
              <w:rPr>
                <w:lang w:val="fr-FR"/>
              </w:rPr>
            </w:pPr>
            <w:r w:rsidRPr="004055DB">
              <w:rPr>
                <w:b/>
                <w:sz w:val="20"/>
                <w:szCs w:val="20"/>
                <w:lang w:val="fr-FR" w:eastAsia="en-US"/>
              </w:rPr>
              <w:t>3</w:t>
            </w:r>
          </w:p>
        </w:tc>
        <w:tc>
          <w:tcPr>
            <w:tcW w:w="2070" w:type="dxa"/>
            <w:tcBorders>
              <w:top w:val="single" w:sz="4" w:space="0" w:color="000000"/>
              <w:left w:val="single" w:sz="4" w:space="0" w:color="000000"/>
              <w:bottom w:val="single" w:sz="4" w:space="0" w:color="000000"/>
              <w:right w:val="single" w:sz="4" w:space="0" w:color="000000"/>
            </w:tcBorders>
          </w:tcPr>
          <w:p w14:paraId="65F7A12E" w14:textId="77777777" w:rsidR="00B10051" w:rsidRPr="00535EDF" w:rsidRDefault="00B10051" w:rsidP="00B10051">
            <w:pPr>
              <w:jc w:val="both"/>
              <w:rPr>
                <w:b/>
                <w:bCs/>
                <w:sz w:val="20"/>
                <w:szCs w:val="20"/>
                <w:lang w:val="fr-FR" w:eastAsia="en-US"/>
              </w:rPr>
            </w:pPr>
            <w:r w:rsidRPr="00535EDF">
              <w:rPr>
                <w:b/>
                <w:bCs/>
                <w:sz w:val="20"/>
                <w:szCs w:val="20"/>
                <w:lang w:val="fr-FR" w:eastAsia="en-US"/>
              </w:rPr>
              <w:t>17</w:t>
            </w:r>
          </w:p>
          <w:p w14:paraId="2CBC2717" w14:textId="52355F25" w:rsidR="00B10051" w:rsidRPr="005A6420" w:rsidRDefault="00B10051" w:rsidP="00B10051">
            <w:pPr>
              <w:rPr>
                <w:lang w:val="fr-FR"/>
              </w:rPr>
            </w:pPr>
          </w:p>
        </w:tc>
        <w:tc>
          <w:tcPr>
            <w:tcW w:w="4140" w:type="dxa"/>
            <w:tcBorders>
              <w:top w:val="single" w:sz="4" w:space="0" w:color="000000"/>
              <w:left w:val="single" w:sz="4" w:space="0" w:color="000000"/>
              <w:bottom w:val="single" w:sz="4" w:space="0" w:color="000000"/>
              <w:right w:val="single" w:sz="4" w:space="0" w:color="000000"/>
            </w:tcBorders>
          </w:tcPr>
          <w:p w14:paraId="716D366B" w14:textId="356EEF75" w:rsidR="00B10051" w:rsidRPr="00EB7677" w:rsidRDefault="00B10051" w:rsidP="00B10051">
            <w:pPr>
              <w:jc w:val="both"/>
              <w:rPr>
                <w:bCs/>
                <w:sz w:val="20"/>
                <w:szCs w:val="20"/>
                <w:lang w:val="fr-FR" w:eastAsia="en-US"/>
              </w:rPr>
            </w:pPr>
            <w:r w:rsidRPr="00EB7677">
              <w:rPr>
                <w:bCs/>
                <w:sz w:val="20"/>
                <w:szCs w:val="20"/>
                <w:lang w:val="fr-FR" w:eastAsia="en-US"/>
              </w:rPr>
              <w:t>Des initiatives de sensibilisation et de plaidoyer pour une prise en compte des besoins des femmes ont été identifiées et référées à ONU FEMMES pour un appui. Par exemple, le groupement des « Femmes Amazones souhaitent mener des activités de sensibilisation aux droits et devoirs des femmes liés à la justice et la consolidation de la paix dans le cercle de Djenné.</w:t>
            </w:r>
          </w:p>
          <w:p w14:paraId="49345554" w14:textId="648FFD8F" w:rsidR="00B10051" w:rsidRPr="005A6420" w:rsidRDefault="00B10051" w:rsidP="00B10051">
            <w:pPr>
              <w:rPr>
                <w:lang w:val="fr-FR"/>
              </w:rPr>
            </w:pPr>
          </w:p>
        </w:tc>
      </w:tr>
      <w:tr w:rsidR="00B10051" w:rsidRPr="00CD2513" w14:paraId="34A2B093" w14:textId="77777777" w:rsidTr="00CD2513">
        <w:trPr>
          <w:trHeight w:val="422"/>
        </w:trPr>
        <w:tc>
          <w:tcPr>
            <w:tcW w:w="1530" w:type="dxa"/>
            <w:tcBorders>
              <w:top w:val="single" w:sz="4" w:space="0" w:color="000000"/>
              <w:left w:val="single" w:sz="4" w:space="0" w:color="000000"/>
              <w:right w:val="single" w:sz="4" w:space="0" w:color="000000"/>
            </w:tcBorders>
          </w:tcPr>
          <w:p w14:paraId="3F64FFDD" w14:textId="77777777" w:rsidR="00B10051" w:rsidRPr="00EB7677" w:rsidRDefault="00B10051" w:rsidP="00B10051">
            <w:pPr>
              <w:jc w:val="both"/>
              <w:rPr>
                <w:bCs/>
                <w:sz w:val="20"/>
                <w:szCs w:val="20"/>
                <w:lang w:val="fr-FR" w:eastAsia="en-US"/>
              </w:rPr>
            </w:pPr>
            <w:r w:rsidRPr="00EB7677">
              <w:rPr>
                <w:bCs/>
                <w:sz w:val="20"/>
                <w:szCs w:val="20"/>
                <w:lang w:val="fr-FR" w:eastAsia="en-US"/>
              </w:rPr>
              <w:t>Produit 1.3</w:t>
            </w:r>
          </w:p>
          <w:p w14:paraId="58178B71" w14:textId="20B88493" w:rsidR="00B10051" w:rsidRPr="005A6420" w:rsidRDefault="00B10051" w:rsidP="00B10051">
            <w:pPr>
              <w:rPr>
                <w:rFonts w:cs="Tahoma"/>
                <w:szCs w:val="20"/>
                <w:lang w:val="fr-FR" w:eastAsia="en-US"/>
              </w:rPr>
            </w:pPr>
            <w:r w:rsidRPr="00EB7677">
              <w:rPr>
                <w:bCs/>
                <w:sz w:val="20"/>
                <w:szCs w:val="20"/>
                <w:lang w:val="fr-FR" w:eastAsia="en-US"/>
              </w:rPr>
              <w:t>360 personnes sont engagées à la recherche de solution locales communes et les acteurs clés de la justice s'engagent à soutenir des changements durables</w:t>
            </w: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61C2B339" w14:textId="77777777" w:rsidR="00B10051" w:rsidRPr="0039650A" w:rsidRDefault="00B10051" w:rsidP="00B10051">
            <w:pPr>
              <w:jc w:val="both"/>
              <w:rPr>
                <w:b/>
                <w:sz w:val="20"/>
                <w:szCs w:val="20"/>
                <w:lang w:val="fr-FR" w:eastAsia="en-US"/>
              </w:rPr>
            </w:pPr>
            <w:r w:rsidRPr="0039650A">
              <w:rPr>
                <w:b/>
                <w:sz w:val="20"/>
                <w:szCs w:val="20"/>
                <w:lang w:val="fr-FR" w:eastAsia="en-US"/>
              </w:rPr>
              <w:t>Indicateur 1.3.1</w:t>
            </w:r>
          </w:p>
          <w:p w14:paraId="1A4D58E7" w14:textId="056277EA" w:rsidR="00B10051" w:rsidRPr="00073038" w:rsidRDefault="00B10051" w:rsidP="00B10051">
            <w:pPr>
              <w:jc w:val="both"/>
              <w:rPr>
                <w:b/>
                <w:sz w:val="20"/>
                <w:szCs w:val="20"/>
                <w:lang w:val="fr-FR" w:eastAsia="en-US"/>
              </w:rPr>
            </w:pPr>
            <w:r w:rsidRPr="00EB7677">
              <w:rPr>
                <w:bCs/>
                <w:sz w:val="20"/>
                <w:szCs w:val="20"/>
                <w:lang w:val="fr-FR" w:eastAsia="en-US"/>
              </w:rPr>
              <w:t>Nombre de personnes participants aux échanges et dialogues sur les rôles et responsabilités des acteurs de la chaine judiciaire.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24584A25" w14:textId="2D9EF632" w:rsidR="00B10051" w:rsidRPr="00784490" w:rsidRDefault="00B10051" w:rsidP="00B10051">
            <w:pPr>
              <w:rPr>
                <w:b/>
                <w:sz w:val="20"/>
                <w:szCs w:val="20"/>
                <w:lang w:val="fr-FR" w:eastAsia="en-US"/>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6A213811" w14:textId="465799C1" w:rsidR="00B10051" w:rsidRPr="00784490" w:rsidRDefault="00B10051" w:rsidP="00B10051">
            <w:pPr>
              <w:rPr>
                <w:b/>
                <w:sz w:val="20"/>
                <w:szCs w:val="20"/>
                <w:lang w:val="fr-FR" w:eastAsia="en-US"/>
              </w:rPr>
            </w:pPr>
            <w:r w:rsidRPr="00784490">
              <w:rPr>
                <w:b/>
                <w:sz w:val="20"/>
                <w:szCs w:val="20"/>
                <w:lang w:val="fr-FR" w:eastAsia="en-US"/>
              </w:rPr>
              <w:t>100</w:t>
            </w:r>
          </w:p>
        </w:tc>
        <w:tc>
          <w:tcPr>
            <w:tcW w:w="2070" w:type="dxa"/>
            <w:tcBorders>
              <w:top w:val="single" w:sz="4" w:space="0" w:color="000000"/>
              <w:left w:val="single" w:sz="4" w:space="0" w:color="000000"/>
              <w:bottom w:val="single" w:sz="4" w:space="0" w:color="000000"/>
              <w:right w:val="single" w:sz="4" w:space="0" w:color="000000"/>
            </w:tcBorders>
          </w:tcPr>
          <w:p w14:paraId="1770E116" w14:textId="29B266CB" w:rsidR="00B10051" w:rsidRPr="004055DB" w:rsidRDefault="00B10051" w:rsidP="00B10051">
            <w:pPr>
              <w:rPr>
                <w:b/>
                <w:sz w:val="20"/>
                <w:szCs w:val="20"/>
                <w:lang w:val="fr-FR" w:eastAsia="en-US"/>
              </w:rPr>
            </w:pPr>
            <w:r w:rsidRPr="004055DB">
              <w:rPr>
                <w:b/>
                <w:sz w:val="20"/>
                <w:szCs w:val="20"/>
                <w:lang w:val="fr-FR" w:eastAsia="en-US"/>
              </w:rPr>
              <w:t>0</w:t>
            </w:r>
          </w:p>
        </w:tc>
        <w:tc>
          <w:tcPr>
            <w:tcW w:w="2070" w:type="dxa"/>
            <w:tcBorders>
              <w:top w:val="single" w:sz="4" w:space="0" w:color="000000"/>
              <w:left w:val="single" w:sz="4" w:space="0" w:color="000000"/>
              <w:bottom w:val="single" w:sz="4" w:space="0" w:color="000000"/>
              <w:right w:val="single" w:sz="4" w:space="0" w:color="000000"/>
            </w:tcBorders>
          </w:tcPr>
          <w:p w14:paraId="6077B499" w14:textId="3C1E3FE1" w:rsidR="00B10051" w:rsidRPr="00535EDF" w:rsidRDefault="00B10051" w:rsidP="00B10051">
            <w:pPr>
              <w:jc w:val="both"/>
              <w:rPr>
                <w:b/>
                <w:bCs/>
                <w:sz w:val="20"/>
                <w:szCs w:val="20"/>
                <w:lang w:val="fr-FR" w:eastAsia="en-US"/>
              </w:rPr>
            </w:pPr>
            <w:r w:rsidRPr="00535EDF">
              <w:rPr>
                <w:b/>
                <w:bCs/>
                <w:sz w:val="20"/>
                <w:szCs w:val="20"/>
                <w:lang w:val="fr-FR" w:eastAsia="en-US"/>
              </w:rPr>
              <w:t>347 dont 75 femmes soit 22% et 76 jeunes de moins de 35 ans soit 22%</w:t>
            </w:r>
          </w:p>
        </w:tc>
        <w:tc>
          <w:tcPr>
            <w:tcW w:w="4140" w:type="dxa"/>
            <w:tcBorders>
              <w:top w:val="single" w:sz="4" w:space="0" w:color="000000"/>
              <w:left w:val="single" w:sz="4" w:space="0" w:color="000000"/>
              <w:bottom w:val="single" w:sz="4" w:space="0" w:color="000000"/>
              <w:right w:val="single" w:sz="4" w:space="0" w:color="000000"/>
            </w:tcBorders>
          </w:tcPr>
          <w:p w14:paraId="6B5846D8" w14:textId="6F85752D" w:rsidR="00B10051" w:rsidRPr="00EB7677" w:rsidRDefault="00B10051" w:rsidP="00B10051">
            <w:pPr>
              <w:jc w:val="both"/>
              <w:rPr>
                <w:bCs/>
                <w:sz w:val="20"/>
                <w:szCs w:val="20"/>
                <w:lang w:val="fr-FR" w:eastAsia="en-US"/>
              </w:rPr>
            </w:pPr>
            <w:r w:rsidRPr="00EB7677">
              <w:rPr>
                <w:bCs/>
                <w:sz w:val="20"/>
                <w:szCs w:val="20"/>
                <w:lang w:val="fr-FR" w:eastAsia="en-US"/>
              </w:rPr>
              <w:t>Les ateliers d’échanges entre populations, acteurs de justice et autorités traditionnelles et religieuses ont eu lieu entre novembre 2021 et février 2022 dans les 6 cercles.</w:t>
            </w:r>
          </w:p>
        </w:tc>
      </w:tr>
      <w:tr w:rsidR="00B10051" w:rsidRPr="00CD2513" w14:paraId="49C8BFE6" w14:textId="77777777" w:rsidTr="00CD2513">
        <w:trPr>
          <w:trHeight w:val="422"/>
        </w:trPr>
        <w:tc>
          <w:tcPr>
            <w:tcW w:w="1530" w:type="dxa"/>
            <w:tcBorders>
              <w:left w:val="single" w:sz="4" w:space="0" w:color="000000"/>
              <w:bottom w:val="single" w:sz="4" w:space="0" w:color="000000"/>
              <w:right w:val="single" w:sz="4" w:space="0" w:color="000000"/>
            </w:tcBorders>
          </w:tcPr>
          <w:p w14:paraId="4E48337E" w14:textId="77777777" w:rsidR="00B10051" w:rsidRPr="005A6420" w:rsidRDefault="00B10051" w:rsidP="00B10051">
            <w:pPr>
              <w:rPr>
                <w:rFonts w:cs="Tahoma"/>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tcPr>
          <w:p w14:paraId="6DED2267" w14:textId="77777777" w:rsidR="00B10051" w:rsidRPr="002E667C" w:rsidRDefault="00B10051" w:rsidP="00B10051">
            <w:pPr>
              <w:jc w:val="both"/>
              <w:rPr>
                <w:b/>
                <w:sz w:val="20"/>
                <w:szCs w:val="20"/>
                <w:lang w:val="fr-FR" w:eastAsia="en-US"/>
              </w:rPr>
            </w:pPr>
            <w:r w:rsidRPr="002E667C">
              <w:rPr>
                <w:b/>
                <w:sz w:val="20"/>
                <w:szCs w:val="20"/>
                <w:lang w:val="fr-FR" w:eastAsia="en-US"/>
              </w:rPr>
              <w:t>Indicateur 1.3.2</w:t>
            </w:r>
          </w:p>
          <w:p w14:paraId="42EC3906" w14:textId="5644FFFE" w:rsidR="00B10051" w:rsidRPr="00073038" w:rsidRDefault="00B10051" w:rsidP="00B10051">
            <w:pPr>
              <w:jc w:val="both"/>
              <w:rPr>
                <w:b/>
                <w:sz w:val="20"/>
                <w:szCs w:val="20"/>
                <w:lang w:val="fr-FR" w:eastAsia="en-US"/>
              </w:rPr>
            </w:pPr>
            <w:r w:rsidRPr="00EB7677">
              <w:rPr>
                <w:bCs/>
                <w:sz w:val="20"/>
                <w:szCs w:val="20"/>
                <w:lang w:val="fr-FR" w:eastAsia="en-US"/>
              </w:rPr>
              <w:t>Nombre de cadre de rencontre avec les décideurs et acteurs internationaux sur la justice créée.</w:t>
            </w:r>
          </w:p>
        </w:tc>
        <w:tc>
          <w:tcPr>
            <w:tcW w:w="1530" w:type="dxa"/>
            <w:tcBorders>
              <w:top w:val="single" w:sz="4" w:space="0" w:color="000000"/>
              <w:left w:val="single" w:sz="4" w:space="0" w:color="000000"/>
              <w:bottom w:val="single" w:sz="4" w:space="0" w:color="000000"/>
              <w:right w:val="single" w:sz="4" w:space="0" w:color="000000"/>
            </w:tcBorders>
          </w:tcPr>
          <w:p w14:paraId="7B546342" w14:textId="674063ED" w:rsidR="00B10051" w:rsidRPr="00784490" w:rsidRDefault="00B10051" w:rsidP="00B10051">
            <w:pPr>
              <w:rPr>
                <w:b/>
                <w:sz w:val="20"/>
                <w:szCs w:val="20"/>
                <w:lang w:val="fr-FR" w:eastAsia="en-US"/>
              </w:rPr>
            </w:pPr>
            <w:r w:rsidRPr="00784490">
              <w:rPr>
                <w:b/>
                <w:sz w:val="20"/>
                <w:szCs w:val="20"/>
                <w:lang w:val="fr-FR" w:eastAsia="en-US"/>
              </w:rPr>
              <w:t>0</w:t>
            </w:r>
          </w:p>
        </w:tc>
        <w:tc>
          <w:tcPr>
            <w:tcW w:w="1620" w:type="dxa"/>
            <w:tcBorders>
              <w:top w:val="single" w:sz="4" w:space="0" w:color="000000"/>
              <w:left w:val="single" w:sz="4" w:space="0" w:color="000000"/>
              <w:bottom w:val="single" w:sz="4" w:space="0" w:color="000000"/>
              <w:right w:val="single" w:sz="4" w:space="0" w:color="000000"/>
            </w:tcBorders>
          </w:tcPr>
          <w:p w14:paraId="6F70D123" w14:textId="2C467622" w:rsidR="00B10051" w:rsidRPr="00784490" w:rsidRDefault="00B10051" w:rsidP="00B10051">
            <w:pPr>
              <w:rPr>
                <w:b/>
                <w:sz w:val="20"/>
                <w:szCs w:val="20"/>
                <w:lang w:val="fr-FR" w:eastAsia="en-US"/>
              </w:rPr>
            </w:pPr>
            <w:r w:rsidRPr="00784490">
              <w:rPr>
                <w:b/>
                <w:sz w:val="20"/>
                <w:szCs w:val="20"/>
                <w:lang w:val="fr-FR" w:eastAsia="en-US"/>
              </w:rPr>
              <w:t>14</w:t>
            </w:r>
          </w:p>
        </w:tc>
        <w:tc>
          <w:tcPr>
            <w:tcW w:w="2070" w:type="dxa"/>
            <w:tcBorders>
              <w:top w:val="single" w:sz="4" w:space="0" w:color="000000"/>
              <w:left w:val="single" w:sz="4" w:space="0" w:color="000000"/>
              <w:bottom w:val="single" w:sz="4" w:space="0" w:color="000000"/>
              <w:right w:val="single" w:sz="4" w:space="0" w:color="000000"/>
            </w:tcBorders>
          </w:tcPr>
          <w:p w14:paraId="561416C9" w14:textId="262EB392" w:rsidR="00B10051" w:rsidRPr="004055DB" w:rsidRDefault="00B10051" w:rsidP="00B10051">
            <w:pPr>
              <w:rPr>
                <w:b/>
                <w:sz w:val="20"/>
                <w:szCs w:val="20"/>
                <w:lang w:val="fr-FR" w:eastAsia="en-US"/>
              </w:rPr>
            </w:pPr>
            <w:r w:rsidRPr="004055DB">
              <w:rPr>
                <w:b/>
                <w:sz w:val="20"/>
                <w:szCs w:val="20"/>
                <w:lang w:val="fr-FR" w:eastAsia="en-US"/>
              </w:rPr>
              <w:t>5</w:t>
            </w:r>
          </w:p>
        </w:tc>
        <w:tc>
          <w:tcPr>
            <w:tcW w:w="2070" w:type="dxa"/>
            <w:tcBorders>
              <w:top w:val="single" w:sz="4" w:space="0" w:color="000000"/>
              <w:left w:val="single" w:sz="4" w:space="0" w:color="000000"/>
              <w:bottom w:val="single" w:sz="4" w:space="0" w:color="000000"/>
              <w:right w:val="single" w:sz="4" w:space="0" w:color="000000"/>
            </w:tcBorders>
          </w:tcPr>
          <w:p w14:paraId="68ABAADF" w14:textId="77777777" w:rsidR="00B10051" w:rsidRPr="00535EDF" w:rsidRDefault="00B10051" w:rsidP="00B10051">
            <w:pPr>
              <w:jc w:val="center"/>
              <w:rPr>
                <w:b/>
                <w:bCs/>
                <w:sz w:val="20"/>
                <w:szCs w:val="20"/>
                <w:lang w:val="fr-FR" w:eastAsia="en-US"/>
              </w:rPr>
            </w:pPr>
            <w:r w:rsidRPr="00535EDF">
              <w:rPr>
                <w:b/>
                <w:bCs/>
                <w:sz w:val="20"/>
                <w:szCs w:val="20"/>
                <w:lang w:val="fr-FR" w:eastAsia="en-US"/>
              </w:rPr>
              <w:t>1</w:t>
            </w:r>
          </w:p>
          <w:p w14:paraId="1CC72E1E" w14:textId="77777777" w:rsidR="00B10051" w:rsidRPr="00535EDF" w:rsidRDefault="00B10051" w:rsidP="00B10051">
            <w:pPr>
              <w:jc w:val="center"/>
              <w:rPr>
                <w:b/>
                <w:bCs/>
                <w:sz w:val="20"/>
                <w:szCs w:val="20"/>
                <w:lang w:val="fr-FR" w:eastAsia="en-US"/>
              </w:rPr>
            </w:pPr>
          </w:p>
          <w:p w14:paraId="5BBB0C96" w14:textId="77777777" w:rsidR="00B10051" w:rsidRPr="00535EDF" w:rsidRDefault="00B10051" w:rsidP="00B10051">
            <w:pPr>
              <w:jc w:val="both"/>
              <w:rPr>
                <w:b/>
                <w:bCs/>
                <w:sz w:val="20"/>
                <w:szCs w:val="20"/>
                <w:lang w:val="fr-FR" w:eastAsia="en-US"/>
              </w:rPr>
            </w:pPr>
          </w:p>
        </w:tc>
        <w:tc>
          <w:tcPr>
            <w:tcW w:w="4140" w:type="dxa"/>
            <w:tcBorders>
              <w:top w:val="single" w:sz="4" w:space="0" w:color="000000"/>
              <w:left w:val="single" w:sz="4" w:space="0" w:color="000000"/>
              <w:bottom w:val="single" w:sz="4" w:space="0" w:color="000000"/>
              <w:right w:val="single" w:sz="4" w:space="0" w:color="000000"/>
            </w:tcBorders>
          </w:tcPr>
          <w:p w14:paraId="2040E71A" w14:textId="77777777" w:rsidR="00B10051" w:rsidRPr="00EB7677" w:rsidRDefault="00B10051" w:rsidP="00B10051">
            <w:pPr>
              <w:jc w:val="both"/>
              <w:rPr>
                <w:bCs/>
                <w:sz w:val="20"/>
                <w:szCs w:val="20"/>
                <w:lang w:val="fr-FR" w:eastAsia="en-US"/>
              </w:rPr>
            </w:pPr>
            <w:r w:rsidRPr="00EB7677">
              <w:rPr>
                <w:bCs/>
                <w:sz w:val="20"/>
                <w:szCs w:val="20"/>
                <w:lang w:val="fr-FR" w:eastAsia="en-US"/>
              </w:rPr>
              <w:t>Un cadre d’échange s’est tenu à Bamako avec les membres du comité de pilotage.</w:t>
            </w:r>
          </w:p>
          <w:p w14:paraId="74EE9EBE" w14:textId="77777777" w:rsidR="00B10051" w:rsidRPr="00EB7677" w:rsidRDefault="00B10051" w:rsidP="00B10051">
            <w:pPr>
              <w:jc w:val="both"/>
              <w:rPr>
                <w:bCs/>
                <w:sz w:val="20"/>
                <w:szCs w:val="20"/>
                <w:lang w:val="fr-FR" w:eastAsia="en-US"/>
              </w:rPr>
            </w:pPr>
          </w:p>
          <w:p w14:paraId="31DEC217" w14:textId="77777777" w:rsidR="00B10051" w:rsidRPr="00EB7677" w:rsidRDefault="00B10051" w:rsidP="00B10051">
            <w:pPr>
              <w:jc w:val="both"/>
              <w:rPr>
                <w:bCs/>
                <w:sz w:val="20"/>
                <w:szCs w:val="20"/>
                <w:lang w:val="fr-FR" w:eastAsia="en-US"/>
              </w:rPr>
            </w:pPr>
          </w:p>
        </w:tc>
      </w:tr>
      <w:tr w:rsidR="00DD1026" w:rsidRPr="00B10051" w14:paraId="4BAC2C0C" w14:textId="77777777" w:rsidTr="00CD2513">
        <w:trPr>
          <w:trHeight w:val="422"/>
        </w:trPr>
        <w:tc>
          <w:tcPr>
            <w:tcW w:w="1530" w:type="dxa"/>
            <w:vMerge w:val="restart"/>
          </w:tcPr>
          <w:p w14:paraId="7415F825" w14:textId="77777777" w:rsidR="00DD1026" w:rsidRPr="00ED6B34" w:rsidRDefault="00DD1026" w:rsidP="00DD1026">
            <w:pPr>
              <w:rPr>
                <w:b/>
                <w:sz w:val="20"/>
                <w:szCs w:val="20"/>
                <w:lang w:val="fr-FR" w:eastAsia="en-US"/>
              </w:rPr>
            </w:pPr>
            <w:r w:rsidRPr="00ED6B34">
              <w:rPr>
                <w:b/>
                <w:sz w:val="20"/>
                <w:szCs w:val="20"/>
                <w:lang w:val="fr-FR" w:eastAsia="en-US"/>
              </w:rPr>
              <w:t>Résultat 2</w:t>
            </w:r>
          </w:p>
          <w:p w14:paraId="0EBF7A10" w14:textId="09DDAC44" w:rsidR="00DD1026" w:rsidRPr="00ED6B34" w:rsidRDefault="00DD1026" w:rsidP="00DD1026">
            <w:pPr>
              <w:rPr>
                <w:sz w:val="20"/>
                <w:szCs w:val="20"/>
                <w:lang w:val="fr-FR" w:eastAsia="en-US"/>
              </w:rPr>
            </w:pPr>
            <w:r w:rsidRPr="00ED6B34">
              <w:rPr>
                <w:sz w:val="20"/>
                <w:szCs w:val="20"/>
                <w:lang w:val="fr-FR"/>
              </w:rPr>
              <w:t xml:space="preserve">Les acteurs de la justice formelle et informelle sont plus efficaces et disposent d’une </w:t>
            </w:r>
            <w:r w:rsidRPr="00ED6B34">
              <w:rPr>
                <w:sz w:val="20"/>
                <w:szCs w:val="20"/>
                <w:lang w:val="fr-FR"/>
              </w:rPr>
              <w:lastRenderedPageBreak/>
              <w:t>confiance accrue de la part des populations afin de mieux combattre l’impunité dans les régions de Ségou et Mopti.</w:t>
            </w:r>
          </w:p>
        </w:tc>
        <w:tc>
          <w:tcPr>
            <w:tcW w:w="2070" w:type="dxa"/>
            <w:shd w:val="clear" w:color="auto" w:fill="EEECE1"/>
          </w:tcPr>
          <w:p w14:paraId="3194FEF3" w14:textId="77777777" w:rsidR="00DD1026" w:rsidRPr="00411B0B" w:rsidRDefault="00DD1026" w:rsidP="00DD1026">
            <w:pPr>
              <w:jc w:val="both"/>
              <w:rPr>
                <w:b/>
                <w:sz w:val="20"/>
                <w:szCs w:val="20"/>
                <w:lang w:val="fr-FR" w:eastAsia="en-US"/>
              </w:rPr>
            </w:pPr>
            <w:r w:rsidRPr="00411B0B">
              <w:rPr>
                <w:b/>
                <w:sz w:val="20"/>
                <w:szCs w:val="20"/>
                <w:lang w:val="fr-FR" w:eastAsia="en-US"/>
              </w:rPr>
              <w:lastRenderedPageBreak/>
              <w:t>Indicateur 2.a</w:t>
            </w:r>
          </w:p>
          <w:p w14:paraId="3C05822D" w14:textId="77777777" w:rsidR="00DD1026" w:rsidRPr="00982028" w:rsidRDefault="00DD1026" w:rsidP="00F3475E">
            <w:pPr>
              <w:jc w:val="both"/>
              <w:rPr>
                <w:sz w:val="20"/>
                <w:szCs w:val="20"/>
                <w:lang w:val="fr-FR"/>
              </w:rPr>
            </w:pPr>
            <w:r w:rsidRPr="00982028">
              <w:rPr>
                <w:sz w:val="20"/>
                <w:szCs w:val="20"/>
                <w:lang w:val="fr-FR"/>
              </w:rPr>
              <w:t xml:space="preserve">Niveau de confiance des participants envers les forces de sécurité dans les communes concernées par les CCS (données </w:t>
            </w:r>
            <w:r w:rsidRPr="00982028">
              <w:rPr>
                <w:sz w:val="20"/>
                <w:szCs w:val="20"/>
                <w:lang w:val="fr-FR"/>
              </w:rPr>
              <w:lastRenderedPageBreak/>
              <w:t>désagrégées hommes/femmes/jeunes)</w:t>
            </w:r>
          </w:p>
          <w:p w14:paraId="62BA6FEF" w14:textId="77777777" w:rsidR="00DD1026" w:rsidRPr="00ED6B34" w:rsidRDefault="00DD1026" w:rsidP="001A0965">
            <w:pPr>
              <w:jc w:val="both"/>
              <w:rPr>
                <w:b/>
                <w:bCs/>
                <w:sz w:val="20"/>
                <w:szCs w:val="20"/>
                <w:lang w:val="fr-FR" w:eastAsia="en-US"/>
              </w:rPr>
            </w:pPr>
          </w:p>
        </w:tc>
        <w:tc>
          <w:tcPr>
            <w:tcW w:w="1530" w:type="dxa"/>
            <w:shd w:val="clear" w:color="auto" w:fill="EEECE1"/>
          </w:tcPr>
          <w:p w14:paraId="2564FF8A" w14:textId="7401933E" w:rsidR="00DD1026" w:rsidRPr="00784490" w:rsidRDefault="00304BAD" w:rsidP="00F3475E">
            <w:pPr>
              <w:jc w:val="both"/>
              <w:rPr>
                <w:b/>
                <w:sz w:val="20"/>
                <w:szCs w:val="20"/>
                <w:lang w:val="fr-FR" w:eastAsia="en-US"/>
              </w:rPr>
            </w:pPr>
            <w:r w:rsidRPr="008C270F">
              <w:rPr>
                <w:b/>
                <w:sz w:val="20"/>
                <w:szCs w:val="20"/>
                <w:lang w:val="fr-FR"/>
              </w:rPr>
              <w:lastRenderedPageBreak/>
              <w:t>TBD – Sondage retro perspectif des participants aux différentes activités de sensibilisation</w:t>
            </w:r>
          </w:p>
        </w:tc>
        <w:tc>
          <w:tcPr>
            <w:tcW w:w="1620" w:type="dxa"/>
            <w:shd w:val="clear" w:color="auto" w:fill="EEECE1"/>
          </w:tcPr>
          <w:p w14:paraId="2EAC1133" w14:textId="6158F3F5" w:rsidR="00DD1026" w:rsidRPr="00EB7677" w:rsidRDefault="00304BAD" w:rsidP="001A0965">
            <w:pPr>
              <w:rPr>
                <w:b/>
                <w:sz w:val="20"/>
                <w:szCs w:val="20"/>
                <w:lang w:val="fr-FR"/>
              </w:rPr>
            </w:pPr>
            <w:r w:rsidRPr="00784490">
              <w:rPr>
                <w:b/>
                <w:sz w:val="20"/>
                <w:szCs w:val="20"/>
                <w:lang w:val="fr-FR" w:eastAsia="en-US"/>
              </w:rPr>
              <w:t>5%</w:t>
            </w:r>
          </w:p>
        </w:tc>
        <w:tc>
          <w:tcPr>
            <w:tcW w:w="2070" w:type="dxa"/>
          </w:tcPr>
          <w:p w14:paraId="1A1C909F" w14:textId="77777777" w:rsidR="00DD1026" w:rsidRPr="00EB7677" w:rsidRDefault="00DD1026" w:rsidP="001A0965">
            <w:pPr>
              <w:rPr>
                <w:b/>
                <w:sz w:val="20"/>
                <w:szCs w:val="20"/>
                <w:lang w:val="fr-FR"/>
              </w:rPr>
            </w:pPr>
          </w:p>
        </w:tc>
        <w:tc>
          <w:tcPr>
            <w:tcW w:w="2070" w:type="dxa"/>
          </w:tcPr>
          <w:p w14:paraId="54E4D4FD" w14:textId="77777777" w:rsidR="00DD1026" w:rsidRPr="00535EDF" w:rsidRDefault="00DD1026" w:rsidP="001A0965">
            <w:pPr>
              <w:jc w:val="center"/>
              <w:rPr>
                <w:b/>
                <w:bCs/>
                <w:sz w:val="20"/>
                <w:szCs w:val="20"/>
                <w:lang w:val="fr-FR"/>
              </w:rPr>
            </w:pPr>
          </w:p>
        </w:tc>
        <w:tc>
          <w:tcPr>
            <w:tcW w:w="4140" w:type="dxa"/>
          </w:tcPr>
          <w:p w14:paraId="69CBD4B6" w14:textId="77777777" w:rsidR="00DD1026" w:rsidRPr="00ED6B34" w:rsidRDefault="00DD1026" w:rsidP="001A0965">
            <w:pPr>
              <w:jc w:val="both"/>
              <w:rPr>
                <w:b/>
                <w:bCs/>
                <w:sz w:val="20"/>
                <w:szCs w:val="20"/>
                <w:lang w:val="fr-FR" w:eastAsia="en-US"/>
              </w:rPr>
            </w:pPr>
          </w:p>
        </w:tc>
      </w:tr>
      <w:tr w:rsidR="00DD1026" w:rsidRPr="00B10051" w14:paraId="4B6BFF04" w14:textId="77777777" w:rsidTr="00CD2513">
        <w:trPr>
          <w:trHeight w:val="422"/>
        </w:trPr>
        <w:tc>
          <w:tcPr>
            <w:tcW w:w="1530" w:type="dxa"/>
            <w:vMerge/>
          </w:tcPr>
          <w:p w14:paraId="79579362" w14:textId="77777777" w:rsidR="00DD1026" w:rsidRPr="00ED6B34" w:rsidRDefault="00DD1026" w:rsidP="001A0965">
            <w:pPr>
              <w:rPr>
                <w:sz w:val="20"/>
                <w:szCs w:val="20"/>
                <w:lang w:val="fr-FR" w:eastAsia="en-US"/>
              </w:rPr>
            </w:pPr>
          </w:p>
        </w:tc>
        <w:tc>
          <w:tcPr>
            <w:tcW w:w="2070" w:type="dxa"/>
            <w:shd w:val="clear" w:color="auto" w:fill="EEECE1"/>
          </w:tcPr>
          <w:p w14:paraId="708A11D5" w14:textId="77777777" w:rsidR="00304BAD" w:rsidRPr="00ED6B34" w:rsidRDefault="00304BAD" w:rsidP="00304BAD">
            <w:pPr>
              <w:jc w:val="both"/>
              <w:rPr>
                <w:b/>
                <w:bCs/>
                <w:sz w:val="20"/>
                <w:szCs w:val="20"/>
                <w:lang w:val="fr-FR" w:eastAsia="en-US"/>
              </w:rPr>
            </w:pPr>
            <w:r w:rsidRPr="00ED6B34">
              <w:rPr>
                <w:b/>
                <w:bCs/>
                <w:sz w:val="20"/>
                <w:szCs w:val="20"/>
                <w:lang w:val="fr-FR" w:eastAsia="en-US"/>
              </w:rPr>
              <w:t>Indicateur 2.b</w:t>
            </w:r>
          </w:p>
          <w:p w14:paraId="2FBE045F" w14:textId="7BDB01F3" w:rsidR="00DD1026" w:rsidRPr="00ED6B34" w:rsidRDefault="00304BAD" w:rsidP="00304BAD">
            <w:pPr>
              <w:jc w:val="both"/>
              <w:rPr>
                <w:b/>
                <w:bCs/>
                <w:sz w:val="20"/>
                <w:szCs w:val="20"/>
                <w:lang w:val="fr-FR" w:eastAsia="en-US"/>
              </w:rPr>
            </w:pPr>
            <w:r w:rsidRPr="00ED6B34">
              <w:rPr>
                <w:bCs/>
                <w:sz w:val="20"/>
                <w:szCs w:val="20"/>
                <w:lang w:val="fr-FR" w:eastAsia="en-US"/>
              </w:rPr>
              <w:t>Le niveau de confiance des populations envers les acteurs de la justice formelle (données désagrégées en H, F et jeunes)</w:t>
            </w:r>
          </w:p>
        </w:tc>
        <w:tc>
          <w:tcPr>
            <w:tcW w:w="1530" w:type="dxa"/>
            <w:shd w:val="clear" w:color="auto" w:fill="EEECE1"/>
          </w:tcPr>
          <w:p w14:paraId="27BA8E66" w14:textId="4CD2825C" w:rsidR="00DD1026" w:rsidRPr="00784490" w:rsidRDefault="00304BAD" w:rsidP="00F3475E">
            <w:pPr>
              <w:jc w:val="both"/>
              <w:rPr>
                <w:b/>
                <w:sz w:val="20"/>
                <w:szCs w:val="20"/>
                <w:lang w:val="fr-FR" w:eastAsia="en-US"/>
              </w:rPr>
            </w:pPr>
            <w:r w:rsidRPr="008C270F">
              <w:rPr>
                <w:b/>
                <w:sz w:val="20"/>
                <w:szCs w:val="20"/>
                <w:lang w:val="fr-FR"/>
              </w:rPr>
              <w:t>TBD – Sondage retro perspectif des participants aux différentes activités de sensibilisation</w:t>
            </w:r>
          </w:p>
        </w:tc>
        <w:tc>
          <w:tcPr>
            <w:tcW w:w="1620" w:type="dxa"/>
            <w:shd w:val="clear" w:color="auto" w:fill="EEECE1"/>
          </w:tcPr>
          <w:p w14:paraId="3AF5A962" w14:textId="1E3EE021" w:rsidR="00DD1026" w:rsidRPr="00EB7677" w:rsidRDefault="00304BAD" w:rsidP="001A0965">
            <w:pPr>
              <w:rPr>
                <w:b/>
                <w:sz w:val="20"/>
                <w:szCs w:val="20"/>
                <w:lang w:val="fr-FR"/>
              </w:rPr>
            </w:pPr>
            <w:r w:rsidRPr="00784490">
              <w:rPr>
                <w:b/>
                <w:sz w:val="20"/>
                <w:szCs w:val="20"/>
                <w:lang w:val="fr-FR" w:eastAsia="en-US"/>
              </w:rPr>
              <w:t>5%</w:t>
            </w:r>
          </w:p>
        </w:tc>
        <w:tc>
          <w:tcPr>
            <w:tcW w:w="2070" w:type="dxa"/>
          </w:tcPr>
          <w:p w14:paraId="7D6FF5A1" w14:textId="77777777" w:rsidR="00DD1026" w:rsidRPr="00EB7677" w:rsidRDefault="00DD1026" w:rsidP="001A0965">
            <w:pPr>
              <w:rPr>
                <w:b/>
                <w:sz w:val="20"/>
                <w:szCs w:val="20"/>
                <w:lang w:val="fr-FR"/>
              </w:rPr>
            </w:pPr>
          </w:p>
        </w:tc>
        <w:tc>
          <w:tcPr>
            <w:tcW w:w="2070" w:type="dxa"/>
          </w:tcPr>
          <w:p w14:paraId="4B2F2A4F" w14:textId="77777777" w:rsidR="00DD1026" w:rsidRPr="00535EDF" w:rsidRDefault="00DD1026" w:rsidP="001A0965">
            <w:pPr>
              <w:jc w:val="center"/>
              <w:rPr>
                <w:b/>
                <w:bCs/>
                <w:sz w:val="20"/>
                <w:szCs w:val="20"/>
                <w:lang w:val="fr-FR"/>
              </w:rPr>
            </w:pPr>
          </w:p>
        </w:tc>
        <w:tc>
          <w:tcPr>
            <w:tcW w:w="4140" w:type="dxa"/>
          </w:tcPr>
          <w:p w14:paraId="6B76E63F" w14:textId="77777777" w:rsidR="00DD1026" w:rsidRPr="00ED6B34" w:rsidRDefault="00DD1026" w:rsidP="001A0965">
            <w:pPr>
              <w:jc w:val="both"/>
              <w:rPr>
                <w:b/>
                <w:bCs/>
                <w:sz w:val="20"/>
                <w:szCs w:val="20"/>
                <w:lang w:val="fr-FR" w:eastAsia="en-US"/>
              </w:rPr>
            </w:pPr>
          </w:p>
        </w:tc>
      </w:tr>
      <w:tr w:rsidR="001A0965" w:rsidRPr="00B10051" w14:paraId="10621893" w14:textId="77777777" w:rsidTr="00CD2513">
        <w:trPr>
          <w:trHeight w:val="422"/>
        </w:trPr>
        <w:tc>
          <w:tcPr>
            <w:tcW w:w="1530" w:type="dxa"/>
          </w:tcPr>
          <w:p w14:paraId="563D9A11" w14:textId="77777777" w:rsidR="001A0965" w:rsidRPr="00ED6B34" w:rsidRDefault="001A0965" w:rsidP="001A0965">
            <w:pPr>
              <w:rPr>
                <w:sz w:val="20"/>
                <w:szCs w:val="20"/>
                <w:lang w:val="fr-FR" w:eastAsia="en-US"/>
              </w:rPr>
            </w:pPr>
            <w:r w:rsidRPr="00ED6B34">
              <w:rPr>
                <w:sz w:val="20"/>
                <w:szCs w:val="20"/>
                <w:lang w:val="fr-FR" w:eastAsia="en-US"/>
              </w:rPr>
              <w:t>Produit 2.1</w:t>
            </w:r>
          </w:p>
          <w:p w14:paraId="144C5F10" w14:textId="77777777" w:rsidR="001A0965" w:rsidRPr="00ED6B34" w:rsidRDefault="001A0965" w:rsidP="001A0965">
            <w:pPr>
              <w:rPr>
                <w:bCs/>
                <w:sz w:val="20"/>
                <w:szCs w:val="20"/>
                <w:lang w:val="fr-FR" w:eastAsia="en-US"/>
              </w:rPr>
            </w:pPr>
            <w:r w:rsidRPr="00ED6B34">
              <w:rPr>
                <w:bCs/>
                <w:iCs/>
                <w:sz w:val="20"/>
                <w:szCs w:val="20"/>
                <w:lang w:val="fr-FR"/>
              </w:rPr>
              <w:t>Les capacités des acteurs de la sécurité et de la justice sont renforcées</w:t>
            </w:r>
          </w:p>
          <w:p w14:paraId="494ADF76" w14:textId="77777777" w:rsidR="001A0965" w:rsidRPr="005A6420" w:rsidRDefault="001A0965" w:rsidP="001A0965">
            <w:pPr>
              <w:rPr>
                <w:rFonts w:cs="Tahoma"/>
                <w:szCs w:val="20"/>
                <w:lang w:val="fr-FR" w:eastAsia="en-US"/>
              </w:rPr>
            </w:pPr>
          </w:p>
        </w:tc>
        <w:tc>
          <w:tcPr>
            <w:tcW w:w="2070" w:type="dxa"/>
            <w:shd w:val="clear" w:color="auto" w:fill="EEECE1"/>
          </w:tcPr>
          <w:p w14:paraId="50E796F8" w14:textId="77777777" w:rsidR="001A0965" w:rsidRPr="00ED6B34" w:rsidRDefault="001A0965" w:rsidP="001A0965">
            <w:pPr>
              <w:jc w:val="both"/>
              <w:rPr>
                <w:b/>
                <w:bCs/>
                <w:sz w:val="20"/>
                <w:szCs w:val="20"/>
                <w:lang w:val="fr-FR" w:eastAsia="en-US"/>
              </w:rPr>
            </w:pPr>
            <w:r w:rsidRPr="00ED6B34">
              <w:rPr>
                <w:b/>
                <w:bCs/>
                <w:sz w:val="20"/>
                <w:szCs w:val="20"/>
                <w:lang w:val="fr-FR" w:eastAsia="en-US"/>
              </w:rPr>
              <w:t>Indicateur 2.1.1</w:t>
            </w:r>
          </w:p>
          <w:p w14:paraId="586B991E" w14:textId="5F977DBC" w:rsidR="001A0965" w:rsidRPr="002E667C" w:rsidRDefault="001A0965" w:rsidP="001A0965">
            <w:pPr>
              <w:jc w:val="both"/>
              <w:rPr>
                <w:b/>
                <w:sz w:val="20"/>
                <w:szCs w:val="20"/>
                <w:lang w:val="fr-FR" w:eastAsia="en-US"/>
              </w:rPr>
            </w:pPr>
            <w:r w:rsidRPr="00ED6B34">
              <w:rPr>
                <w:sz w:val="20"/>
                <w:szCs w:val="20"/>
                <w:lang w:val="fr-FR" w:eastAsia="en-US"/>
              </w:rPr>
              <w:t>Nombre d’acteurs de la sécurité et de la justice formés par le projet, désagrégé par sexe et âge</w:t>
            </w:r>
          </w:p>
        </w:tc>
        <w:tc>
          <w:tcPr>
            <w:tcW w:w="1530" w:type="dxa"/>
            <w:shd w:val="clear" w:color="auto" w:fill="EEECE1"/>
          </w:tcPr>
          <w:p w14:paraId="32DDF947" w14:textId="51BF86BD" w:rsidR="001A0965" w:rsidRPr="00784490" w:rsidRDefault="001A0965" w:rsidP="001A0965">
            <w:pPr>
              <w:rPr>
                <w:b/>
                <w:sz w:val="20"/>
                <w:szCs w:val="20"/>
                <w:lang w:val="fr-FR" w:eastAsia="en-US"/>
              </w:rPr>
            </w:pPr>
            <w:r w:rsidRPr="00784490">
              <w:rPr>
                <w:b/>
                <w:sz w:val="20"/>
                <w:szCs w:val="20"/>
                <w:lang w:val="fr-FR" w:eastAsia="en-US"/>
              </w:rPr>
              <w:t>0</w:t>
            </w:r>
          </w:p>
        </w:tc>
        <w:tc>
          <w:tcPr>
            <w:tcW w:w="1620" w:type="dxa"/>
            <w:shd w:val="clear" w:color="auto" w:fill="EEECE1"/>
          </w:tcPr>
          <w:p w14:paraId="08B0E96B" w14:textId="3BA0DAA6" w:rsidR="001A0965" w:rsidRPr="00784490" w:rsidRDefault="001A0965" w:rsidP="001A0965">
            <w:pPr>
              <w:rPr>
                <w:b/>
                <w:sz w:val="20"/>
                <w:szCs w:val="20"/>
                <w:lang w:val="fr-FR" w:eastAsia="en-US"/>
              </w:rPr>
            </w:pPr>
            <w:r w:rsidRPr="00EB7677">
              <w:rPr>
                <w:b/>
                <w:sz w:val="20"/>
                <w:szCs w:val="20"/>
                <w:lang w:val="fr-FR"/>
              </w:rPr>
              <w:t>330 dont 30% de femmes</w:t>
            </w:r>
          </w:p>
        </w:tc>
        <w:tc>
          <w:tcPr>
            <w:tcW w:w="2070" w:type="dxa"/>
          </w:tcPr>
          <w:p w14:paraId="05F7726F" w14:textId="24F0F1EA" w:rsidR="001A0965" w:rsidRPr="004055DB" w:rsidRDefault="001A0965" w:rsidP="001A0965">
            <w:pPr>
              <w:rPr>
                <w:b/>
                <w:sz w:val="20"/>
                <w:szCs w:val="20"/>
                <w:lang w:val="fr-FR" w:eastAsia="en-US"/>
              </w:rPr>
            </w:pPr>
            <w:r w:rsidRPr="00EB7677">
              <w:rPr>
                <w:b/>
                <w:sz w:val="20"/>
                <w:szCs w:val="20"/>
                <w:lang w:val="fr-FR"/>
              </w:rPr>
              <w:t>113 dont 56 femmes</w:t>
            </w:r>
          </w:p>
        </w:tc>
        <w:tc>
          <w:tcPr>
            <w:tcW w:w="2070" w:type="dxa"/>
          </w:tcPr>
          <w:p w14:paraId="00EDC786" w14:textId="4A7D6F28" w:rsidR="001A0965" w:rsidRPr="00535EDF" w:rsidRDefault="001A0965" w:rsidP="001A0965">
            <w:pPr>
              <w:jc w:val="center"/>
              <w:rPr>
                <w:b/>
                <w:bCs/>
                <w:sz w:val="20"/>
                <w:szCs w:val="20"/>
                <w:lang w:val="fr-FR" w:eastAsia="en-US"/>
              </w:rPr>
            </w:pPr>
            <w:r w:rsidRPr="00535EDF">
              <w:rPr>
                <w:b/>
                <w:bCs/>
                <w:sz w:val="20"/>
                <w:szCs w:val="20"/>
                <w:lang w:val="fr-FR"/>
              </w:rPr>
              <w:t>343 dont 121 femmes au total (2020 à 2022)</w:t>
            </w:r>
          </w:p>
        </w:tc>
        <w:tc>
          <w:tcPr>
            <w:tcW w:w="4140" w:type="dxa"/>
          </w:tcPr>
          <w:p w14:paraId="3D0BFFD3" w14:textId="491E2081" w:rsidR="001A0965" w:rsidRPr="00EB7677" w:rsidRDefault="001A0965" w:rsidP="001A0965">
            <w:pPr>
              <w:jc w:val="both"/>
              <w:rPr>
                <w:bCs/>
                <w:sz w:val="20"/>
                <w:szCs w:val="20"/>
                <w:lang w:val="fr-FR" w:eastAsia="en-US"/>
              </w:rPr>
            </w:pPr>
            <w:r w:rsidRPr="00ED6B34">
              <w:rPr>
                <w:b/>
                <w:bCs/>
                <w:sz w:val="20"/>
                <w:szCs w:val="20"/>
                <w:lang w:val="fr-FR" w:eastAsia="en-US"/>
              </w:rPr>
              <w:fldChar w:fldCharType="begin">
                <w:ffData>
                  <w:name w:val=""/>
                  <w:enabled/>
                  <w:calcOnExit w:val="0"/>
                  <w:textInput>
                    <w:maxLength w:val="300"/>
                  </w:textInput>
                </w:ffData>
              </w:fldChar>
            </w:r>
            <w:r w:rsidRPr="00ED6B34">
              <w:rPr>
                <w:b/>
                <w:bCs/>
                <w:sz w:val="20"/>
                <w:szCs w:val="20"/>
                <w:lang w:val="fr-FR" w:eastAsia="en-US"/>
              </w:rPr>
              <w:instrText xml:space="preserve"> FORMTEXT </w:instrText>
            </w:r>
            <w:r w:rsidRPr="00ED6B34">
              <w:rPr>
                <w:b/>
                <w:bCs/>
                <w:sz w:val="20"/>
                <w:szCs w:val="20"/>
                <w:lang w:val="fr-FR" w:eastAsia="en-US"/>
              </w:rPr>
            </w:r>
            <w:r w:rsidRPr="00ED6B34">
              <w:rPr>
                <w:b/>
                <w:bCs/>
                <w:sz w:val="20"/>
                <w:szCs w:val="20"/>
                <w:lang w:val="fr-FR" w:eastAsia="en-US"/>
              </w:rPr>
              <w:fldChar w:fldCharType="separate"/>
            </w:r>
            <w:r w:rsidRPr="00ED6B34">
              <w:rPr>
                <w:b/>
                <w:bCs/>
                <w:noProof/>
                <w:sz w:val="20"/>
                <w:szCs w:val="20"/>
                <w:lang w:val="fr-FR" w:eastAsia="en-US"/>
              </w:rPr>
              <w:t> </w:t>
            </w:r>
            <w:r w:rsidRPr="00ED6B34">
              <w:rPr>
                <w:b/>
                <w:bCs/>
                <w:noProof/>
                <w:sz w:val="20"/>
                <w:szCs w:val="20"/>
                <w:lang w:val="fr-FR" w:eastAsia="en-US"/>
              </w:rPr>
              <w:t> </w:t>
            </w:r>
            <w:r w:rsidRPr="00ED6B34">
              <w:rPr>
                <w:b/>
                <w:bCs/>
                <w:noProof/>
                <w:sz w:val="20"/>
                <w:szCs w:val="20"/>
                <w:lang w:val="fr-FR" w:eastAsia="en-US"/>
              </w:rPr>
              <w:t> </w:t>
            </w:r>
            <w:r w:rsidRPr="00ED6B34">
              <w:rPr>
                <w:b/>
                <w:bCs/>
                <w:noProof/>
                <w:sz w:val="20"/>
                <w:szCs w:val="20"/>
                <w:lang w:val="fr-FR" w:eastAsia="en-US"/>
              </w:rPr>
              <w:t> </w:t>
            </w:r>
            <w:r w:rsidRPr="00ED6B34">
              <w:rPr>
                <w:b/>
                <w:bCs/>
                <w:noProof/>
                <w:sz w:val="20"/>
                <w:szCs w:val="20"/>
                <w:lang w:val="fr-FR" w:eastAsia="en-US"/>
              </w:rPr>
              <w:t> </w:t>
            </w:r>
            <w:r w:rsidRPr="00ED6B34">
              <w:rPr>
                <w:noProof/>
                <w:lang w:val="fr-FR" w:eastAsia="en-US"/>
              </w:rPr>
              <w:t>￼</w:t>
            </w:r>
            <w:r w:rsidRPr="00ED6B34">
              <w:rPr>
                <w:b/>
                <w:sz w:val="20"/>
                <w:szCs w:val="20"/>
                <w:lang w:val="fr-FR" w:eastAsia="en-US"/>
              </w:rPr>
              <w:fldChar w:fldCharType="end"/>
            </w:r>
            <w:r>
              <w:rPr>
                <w:b/>
                <w:sz w:val="20"/>
                <w:szCs w:val="20"/>
                <w:lang w:val="fr-FR" w:eastAsia="en-US"/>
              </w:rPr>
              <w:t>xxx</w:t>
            </w:r>
          </w:p>
        </w:tc>
      </w:tr>
      <w:tr w:rsidR="001A0965" w:rsidRPr="00B10051" w14:paraId="6CC399BE" w14:textId="77777777" w:rsidTr="00CD2513">
        <w:trPr>
          <w:trHeight w:val="422"/>
        </w:trPr>
        <w:tc>
          <w:tcPr>
            <w:tcW w:w="1530" w:type="dxa"/>
          </w:tcPr>
          <w:p w14:paraId="21B55106" w14:textId="77777777" w:rsidR="001A0965" w:rsidRPr="005A6420" w:rsidRDefault="001A0965" w:rsidP="001A0965">
            <w:pPr>
              <w:rPr>
                <w:rFonts w:cs="Tahoma"/>
                <w:szCs w:val="20"/>
                <w:lang w:val="fr-FR" w:eastAsia="en-US"/>
              </w:rPr>
            </w:pPr>
          </w:p>
        </w:tc>
        <w:tc>
          <w:tcPr>
            <w:tcW w:w="2070" w:type="dxa"/>
            <w:shd w:val="clear" w:color="auto" w:fill="EEECE1"/>
          </w:tcPr>
          <w:p w14:paraId="23D1DFF0" w14:textId="77777777" w:rsidR="001A0965" w:rsidRPr="00ED6B34" w:rsidRDefault="001A0965" w:rsidP="001A0965">
            <w:pPr>
              <w:jc w:val="both"/>
              <w:rPr>
                <w:b/>
                <w:bCs/>
                <w:sz w:val="20"/>
                <w:szCs w:val="20"/>
                <w:lang w:val="fr-FR" w:eastAsia="en-US"/>
              </w:rPr>
            </w:pPr>
            <w:r w:rsidRPr="00ED6B34">
              <w:rPr>
                <w:b/>
                <w:bCs/>
                <w:sz w:val="20"/>
                <w:szCs w:val="20"/>
                <w:lang w:val="fr-FR" w:eastAsia="en-US"/>
              </w:rPr>
              <w:t>Indicateur 2.1.2</w:t>
            </w:r>
          </w:p>
          <w:p w14:paraId="43F21B8F" w14:textId="4588C351" w:rsidR="001A0965" w:rsidRPr="002E667C" w:rsidRDefault="001A0965" w:rsidP="001A0965">
            <w:pPr>
              <w:jc w:val="both"/>
              <w:rPr>
                <w:b/>
                <w:sz w:val="20"/>
                <w:szCs w:val="20"/>
                <w:lang w:val="fr-FR" w:eastAsia="en-US"/>
              </w:rPr>
            </w:pPr>
            <w:r w:rsidRPr="00ED6B34">
              <w:rPr>
                <w:bCs/>
                <w:sz w:val="20"/>
                <w:szCs w:val="20"/>
                <w:lang w:val="fr-FR" w:eastAsia="en-US"/>
              </w:rPr>
              <w:t>Nbre de personnes sensibilisées sur la lutte contre la corruption et le rôle des acteurs de la sécurité et de la justice dans la lutte contre l’impunité, désagrégé en sexe et âge</w:t>
            </w:r>
          </w:p>
        </w:tc>
        <w:tc>
          <w:tcPr>
            <w:tcW w:w="1530" w:type="dxa"/>
            <w:shd w:val="clear" w:color="auto" w:fill="EEECE1"/>
          </w:tcPr>
          <w:p w14:paraId="3A18289F" w14:textId="2AB9DF0E" w:rsidR="001A0965" w:rsidRPr="00784490" w:rsidRDefault="001A0965" w:rsidP="001A0965">
            <w:pPr>
              <w:rPr>
                <w:b/>
                <w:sz w:val="20"/>
                <w:szCs w:val="20"/>
                <w:lang w:val="fr-FR" w:eastAsia="en-US"/>
              </w:rPr>
            </w:pPr>
            <w:r w:rsidRPr="00784490">
              <w:rPr>
                <w:b/>
                <w:sz w:val="20"/>
                <w:szCs w:val="20"/>
                <w:lang w:val="fr-FR" w:eastAsia="en-US"/>
              </w:rPr>
              <w:t>0</w:t>
            </w:r>
          </w:p>
        </w:tc>
        <w:tc>
          <w:tcPr>
            <w:tcW w:w="1620" w:type="dxa"/>
            <w:shd w:val="clear" w:color="auto" w:fill="EEECE1"/>
          </w:tcPr>
          <w:p w14:paraId="4BDB3646" w14:textId="37AEF3C1" w:rsidR="001A0965" w:rsidRPr="00784490" w:rsidRDefault="001A0965" w:rsidP="001A0965">
            <w:pPr>
              <w:rPr>
                <w:b/>
                <w:sz w:val="20"/>
                <w:szCs w:val="20"/>
                <w:lang w:val="fr-FR" w:eastAsia="en-US"/>
              </w:rPr>
            </w:pPr>
            <w:r w:rsidRPr="00EB7677">
              <w:rPr>
                <w:b/>
                <w:sz w:val="20"/>
                <w:szCs w:val="20"/>
                <w:lang w:val="fr-FR"/>
              </w:rPr>
              <w:t>1000 dont 30% de femmes</w:t>
            </w:r>
          </w:p>
        </w:tc>
        <w:tc>
          <w:tcPr>
            <w:tcW w:w="2070" w:type="dxa"/>
          </w:tcPr>
          <w:p w14:paraId="33BE0574" w14:textId="4DC9FA85" w:rsidR="001A0965" w:rsidRPr="004055DB" w:rsidRDefault="001A0965" w:rsidP="001A0965">
            <w:pPr>
              <w:rPr>
                <w:b/>
                <w:sz w:val="20"/>
                <w:szCs w:val="20"/>
                <w:lang w:val="fr-FR" w:eastAsia="en-US"/>
              </w:rPr>
            </w:pPr>
            <w:r w:rsidRPr="004055DB">
              <w:rPr>
                <w:b/>
                <w:sz w:val="20"/>
                <w:szCs w:val="20"/>
                <w:lang w:val="fr-FR" w:eastAsia="en-US"/>
              </w:rPr>
              <w:fldChar w:fldCharType="begin">
                <w:ffData>
                  <w:name w:val=""/>
                  <w:enabled/>
                  <w:calcOnExit w:val="0"/>
                  <w:textInput>
                    <w:maxLength w:val="300"/>
                  </w:textInput>
                </w:ffData>
              </w:fldChar>
            </w:r>
            <w:r w:rsidRPr="004055DB">
              <w:rPr>
                <w:b/>
                <w:sz w:val="20"/>
                <w:szCs w:val="20"/>
                <w:lang w:val="fr-FR" w:eastAsia="en-US"/>
              </w:rPr>
              <w:instrText xml:space="preserve"> FORMTEXT </w:instrText>
            </w:r>
            <w:r w:rsidRPr="004055DB">
              <w:rPr>
                <w:b/>
                <w:sz w:val="20"/>
                <w:szCs w:val="20"/>
                <w:lang w:val="fr-FR" w:eastAsia="en-US"/>
              </w:rPr>
            </w:r>
            <w:r w:rsidRPr="004055DB">
              <w:rPr>
                <w:b/>
                <w:sz w:val="20"/>
                <w:szCs w:val="20"/>
                <w:lang w:val="fr-FR" w:eastAsia="en-US"/>
              </w:rPr>
              <w:fldChar w:fldCharType="separate"/>
            </w:r>
            <w:r w:rsidRPr="004055DB">
              <w:rPr>
                <w:b/>
                <w:noProof/>
                <w:sz w:val="20"/>
                <w:szCs w:val="20"/>
                <w:lang w:val="fr-FR" w:eastAsia="en-US"/>
              </w:rPr>
              <w:t> </w:t>
            </w:r>
            <w:r w:rsidRPr="004055DB">
              <w:rPr>
                <w:b/>
                <w:noProof/>
                <w:sz w:val="20"/>
                <w:szCs w:val="20"/>
                <w:lang w:val="fr-FR" w:eastAsia="en-US"/>
              </w:rPr>
              <w:t> </w:t>
            </w:r>
            <w:r w:rsidRPr="004055DB">
              <w:rPr>
                <w:b/>
                <w:noProof/>
                <w:sz w:val="20"/>
                <w:szCs w:val="20"/>
                <w:lang w:val="fr-FR" w:eastAsia="en-US"/>
              </w:rPr>
              <w:t> </w:t>
            </w:r>
            <w:r w:rsidRPr="004055DB">
              <w:rPr>
                <w:b/>
                <w:noProof/>
                <w:sz w:val="20"/>
                <w:szCs w:val="20"/>
                <w:lang w:val="fr-FR" w:eastAsia="en-US"/>
              </w:rPr>
              <w:t> </w:t>
            </w:r>
            <w:r w:rsidRPr="004055DB">
              <w:rPr>
                <w:b/>
                <w:noProof/>
                <w:sz w:val="20"/>
                <w:szCs w:val="20"/>
                <w:lang w:val="fr-FR" w:eastAsia="en-US"/>
              </w:rPr>
              <w:t> </w:t>
            </w:r>
            <w:r w:rsidRPr="00EB7677">
              <w:rPr>
                <w:b/>
                <w:noProof/>
                <w:lang w:val="fr-FR" w:eastAsia="en-US"/>
              </w:rPr>
              <w:t>￼</w:t>
            </w:r>
            <w:r w:rsidRPr="004055DB">
              <w:rPr>
                <w:b/>
                <w:sz w:val="20"/>
                <w:szCs w:val="20"/>
                <w:lang w:val="fr-FR" w:eastAsia="en-US"/>
              </w:rPr>
              <w:fldChar w:fldCharType="end"/>
            </w:r>
          </w:p>
        </w:tc>
        <w:tc>
          <w:tcPr>
            <w:tcW w:w="2070" w:type="dxa"/>
          </w:tcPr>
          <w:p w14:paraId="589C9E20" w14:textId="77777777" w:rsidR="001A0965" w:rsidRPr="00EB7677" w:rsidRDefault="001A0965" w:rsidP="001A0965">
            <w:pPr>
              <w:rPr>
                <w:b/>
                <w:bCs/>
                <w:sz w:val="20"/>
                <w:szCs w:val="20"/>
                <w:lang w:val="fr-FR"/>
              </w:rPr>
            </w:pPr>
            <w:r w:rsidRPr="00EB7677">
              <w:rPr>
                <w:b/>
                <w:bCs/>
                <w:sz w:val="20"/>
                <w:szCs w:val="20"/>
                <w:lang w:val="fr-FR"/>
              </w:rPr>
              <w:t>A renseigner par le PNUD</w:t>
            </w:r>
          </w:p>
          <w:p w14:paraId="1BE40DCE" w14:textId="77777777" w:rsidR="001A0965" w:rsidRPr="00535EDF" w:rsidRDefault="001A0965" w:rsidP="001A0965">
            <w:pPr>
              <w:jc w:val="center"/>
              <w:rPr>
                <w:b/>
                <w:bCs/>
                <w:sz w:val="20"/>
                <w:szCs w:val="20"/>
                <w:lang w:val="fr-FR" w:eastAsia="en-US"/>
              </w:rPr>
            </w:pPr>
          </w:p>
        </w:tc>
        <w:tc>
          <w:tcPr>
            <w:tcW w:w="4140" w:type="dxa"/>
          </w:tcPr>
          <w:p w14:paraId="0B6B1B5A" w14:textId="77777777" w:rsidR="001A0965" w:rsidRPr="00ED6B34" w:rsidRDefault="001A0965" w:rsidP="001A0965">
            <w:pPr>
              <w:rPr>
                <w:bCs/>
                <w:sz w:val="20"/>
                <w:szCs w:val="20"/>
                <w:lang w:val="fr-FR"/>
              </w:rPr>
            </w:pPr>
            <w:r w:rsidRPr="00ED6B34">
              <w:rPr>
                <w:bCs/>
                <w:sz w:val="20"/>
                <w:szCs w:val="20"/>
                <w:lang w:val="fr-FR"/>
              </w:rPr>
              <w:t>A renseigner par le PNUD</w:t>
            </w:r>
          </w:p>
          <w:p w14:paraId="16F26970" w14:textId="77777777" w:rsidR="001A0965" w:rsidRPr="00EB7677" w:rsidRDefault="001A0965" w:rsidP="001A0965">
            <w:pPr>
              <w:jc w:val="both"/>
              <w:rPr>
                <w:bCs/>
                <w:sz w:val="20"/>
                <w:szCs w:val="20"/>
                <w:lang w:val="fr-FR" w:eastAsia="en-US"/>
              </w:rPr>
            </w:pPr>
          </w:p>
        </w:tc>
      </w:tr>
      <w:tr w:rsidR="000B0453" w:rsidRPr="00CD2513" w14:paraId="24C30810" w14:textId="77777777" w:rsidTr="008B47D4">
        <w:trPr>
          <w:trHeight w:val="512"/>
        </w:trPr>
        <w:tc>
          <w:tcPr>
            <w:tcW w:w="1530" w:type="dxa"/>
            <w:vMerge w:val="restart"/>
          </w:tcPr>
          <w:p w14:paraId="7DF8399E" w14:textId="77777777" w:rsidR="000B0453" w:rsidRPr="00ED6B34" w:rsidRDefault="000B0453" w:rsidP="008B47D4">
            <w:pPr>
              <w:rPr>
                <w:bCs/>
                <w:sz w:val="20"/>
                <w:szCs w:val="20"/>
                <w:lang w:val="fr-FR" w:eastAsia="en-US"/>
              </w:rPr>
            </w:pPr>
          </w:p>
          <w:p w14:paraId="36C76167" w14:textId="77777777" w:rsidR="000B0453" w:rsidRPr="00ED6B34" w:rsidRDefault="000B0453" w:rsidP="008B47D4">
            <w:pPr>
              <w:rPr>
                <w:bCs/>
                <w:sz w:val="20"/>
                <w:szCs w:val="20"/>
                <w:lang w:val="fr-FR" w:eastAsia="en-US"/>
              </w:rPr>
            </w:pPr>
            <w:r w:rsidRPr="00ED6B34">
              <w:rPr>
                <w:bCs/>
                <w:sz w:val="20"/>
                <w:szCs w:val="20"/>
                <w:lang w:val="fr-FR" w:eastAsia="en-US"/>
              </w:rPr>
              <w:t>Produit 2.2</w:t>
            </w:r>
          </w:p>
          <w:p w14:paraId="19F081C4" w14:textId="77777777" w:rsidR="000B0453" w:rsidRPr="00ED6B34" w:rsidRDefault="000B0453" w:rsidP="008B47D4">
            <w:pPr>
              <w:rPr>
                <w:bCs/>
                <w:sz w:val="20"/>
                <w:szCs w:val="20"/>
                <w:lang w:val="fr-FR" w:eastAsia="en-US"/>
              </w:rPr>
            </w:pPr>
            <w:r w:rsidRPr="00ED6B34">
              <w:rPr>
                <w:bCs/>
                <w:iCs/>
                <w:sz w:val="20"/>
                <w:szCs w:val="20"/>
                <w:lang w:val="fr-FR"/>
              </w:rPr>
              <w:t xml:space="preserve">Les comités consultatifs de sécurité (CCS) inclusifs sont mise en place dans les </w:t>
            </w:r>
            <w:r w:rsidRPr="00ED6B34">
              <w:rPr>
                <w:bCs/>
                <w:iCs/>
                <w:sz w:val="20"/>
                <w:szCs w:val="20"/>
                <w:lang w:val="fr-FR"/>
              </w:rPr>
              <w:lastRenderedPageBreak/>
              <w:t>communes où sont présents les forces de sécurité</w:t>
            </w:r>
          </w:p>
        </w:tc>
        <w:tc>
          <w:tcPr>
            <w:tcW w:w="2070" w:type="dxa"/>
            <w:shd w:val="clear" w:color="auto" w:fill="EEECE1"/>
          </w:tcPr>
          <w:p w14:paraId="3AAEEB69" w14:textId="77777777" w:rsidR="000B0453" w:rsidRPr="00ED6B34" w:rsidRDefault="000B0453" w:rsidP="008B47D4">
            <w:pPr>
              <w:jc w:val="both"/>
              <w:rPr>
                <w:b/>
                <w:bCs/>
                <w:sz w:val="20"/>
                <w:szCs w:val="20"/>
                <w:lang w:val="fr-FR" w:eastAsia="en-US"/>
              </w:rPr>
            </w:pPr>
            <w:r w:rsidRPr="00ED6B34">
              <w:rPr>
                <w:b/>
                <w:bCs/>
                <w:sz w:val="20"/>
                <w:szCs w:val="20"/>
                <w:lang w:val="fr-FR" w:eastAsia="en-US"/>
              </w:rPr>
              <w:lastRenderedPageBreak/>
              <w:t>Indicateur 2.2.1</w:t>
            </w:r>
          </w:p>
          <w:p w14:paraId="6389DF41" w14:textId="77777777" w:rsidR="000B0453" w:rsidRPr="00ED6B34" w:rsidRDefault="000B0453" w:rsidP="008B47D4">
            <w:pPr>
              <w:jc w:val="both"/>
              <w:rPr>
                <w:bCs/>
                <w:sz w:val="20"/>
                <w:szCs w:val="20"/>
                <w:lang w:val="fr-FR" w:eastAsia="en-US"/>
              </w:rPr>
            </w:pPr>
            <w:r w:rsidRPr="00ED6B34">
              <w:rPr>
                <w:bCs/>
                <w:sz w:val="20"/>
                <w:szCs w:val="20"/>
                <w:lang w:val="fr-FR" w:eastAsia="en-US"/>
              </w:rPr>
              <w:t>Nbre de CCS opérationnels</w:t>
            </w:r>
          </w:p>
        </w:tc>
        <w:tc>
          <w:tcPr>
            <w:tcW w:w="1530" w:type="dxa"/>
            <w:shd w:val="clear" w:color="auto" w:fill="EEECE1"/>
          </w:tcPr>
          <w:p w14:paraId="3B469EB9" w14:textId="77777777" w:rsidR="000B0453" w:rsidRPr="00EB7677" w:rsidRDefault="000B0453" w:rsidP="008B47D4">
            <w:pPr>
              <w:rPr>
                <w:b/>
                <w:sz w:val="20"/>
                <w:szCs w:val="20"/>
                <w:lang w:val="fr-FR"/>
              </w:rPr>
            </w:pPr>
            <w:r w:rsidRPr="00784490">
              <w:rPr>
                <w:b/>
                <w:sz w:val="20"/>
                <w:szCs w:val="20"/>
                <w:lang w:val="fr-FR" w:eastAsia="en-US"/>
              </w:rPr>
              <w:t>0</w:t>
            </w:r>
          </w:p>
        </w:tc>
        <w:tc>
          <w:tcPr>
            <w:tcW w:w="1620" w:type="dxa"/>
            <w:shd w:val="clear" w:color="auto" w:fill="EEECE1"/>
          </w:tcPr>
          <w:p w14:paraId="1F43FE71" w14:textId="77777777" w:rsidR="000B0453" w:rsidRPr="00EB7677" w:rsidRDefault="000B0453" w:rsidP="008B47D4">
            <w:pPr>
              <w:rPr>
                <w:b/>
                <w:sz w:val="20"/>
                <w:szCs w:val="20"/>
                <w:lang w:val="fr-FR"/>
              </w:rPr>
            </w:pPr>
            <w:r w:rsidRPr="00784490">
              <w:rPr>
                <w:b/>
                <w:sz w:val="20"/>
                <w:szCs w:val="20"/>
                <w:lang w:val="fr-FR" w:eastAsia="en-US"/>
              </w:rPr>
              <w:t>7</w:t>
            </w:r>
          </w:p>
        </w:tc>
        <w:tc>
          <w:tcPr>
            <w:tcW w:w="2070" w:type="dxa"/>
          </w:tcPr>
          <w:p w14:paraId="0E8509B9" w14:textId="77777777" w:rsidR="000B0453" w:rsidRPr="00EB7677" w:rsidRDefault="000B0453" w:rsidP="008B47D4">
            <w:pPr>
              <w:rPr>
                <w:b/>
                <w:sz w:val="20"/>
                <w:szCs w:val="20"/>
                <w:lang w:val="fr-FR"/>
              </w:rPr>
            </w:pPr>
            <w:r w:rsidRPr="004055DB">
              <w:rPr>
                <w:b/>
                <w:sz w:val="20"/>
                <w:szCs w:val="20"/>
                <w:lang w:val="fr-FR" w:eastAsia="en-US"/>
              </w:rPr>
              <w:t xml:space="preserve">7 CCS sont opérationnels à Niono, Bla, San, Bandiagara, Djenné, </w:t>
            </w:r>
            <w:proofErr w:type="spellStart"/>
            <w:r w:rsidRPr="004055DB">
              <w:rPr>
                <w:b/>
                <w:sz w:val="20"/>
                <w:szCs w:val="20"/>
                <w:lang w:val="fr-FR" w:eastAsia="en-US"/>
              </w:rPr>
              <w:t>Yasso</w:t>
            </w:r>
            <w:proofErr w:type="spellEnd"/>
            <w:r w:rsidRPr="004055DB">
              <w:rPr>
                <w:b/>
                <w:sz w:val="20"/>
                <w:szCs w:val="20"/>
                <w:lang w:val="fr-FR" w:eastAsia="en-US"/>
              </w:rPr>
              <w:t xml:space="preserve"> et </w:t>
            </w:r>
            <w:proofErr w:type="spellStart"/>
            <w:r w:rsidRPr="004055DB">
              <w:rPr>
                <w:b/>
                <w:sz w:val="20"/>
                <w:szCs w:val="20"/>
                <w:lang w:val="fr-FR" w:eastAsia="en-US"/>
              </w:rPr>
              <w:t>Femaye</w:t>
            </w:r>
            <w:proofErr w:type="spellEnd"/>
          </w:p>
        </w:tc>
        <w:tc>
          <w:tcPr>
            <w:tcW w:w="2070" w:type="dxa"/>
          </w:tcPr>
          <w:p w14:paraId="20D2BB6D" w14:textId="77777777" w:rsidR="000B0453" w:rsidRPr="00EB7677" w:rsidRDefault="000B0453" w:rsidP="008B47D4">
            <w:pPr>
              <w:rPr>
                <w:b/>
                <w:bCs/>
                <w:sz w:val="20"/>
                <w:szCs w:val="20"/>
                <w:lang w:val="fr-FR"/>
              </w:rPr>
            </w:pPr>
            <w:r w:rsidRPr="00535EDF">
              <w:rPr>
                <w:b/>
                <w:bCs/>
                <w:sz w:val="20"/>
                <w:szCs w:val="20"/>
                <w:lang w:val="fr-FR" w:eastAsia="en-US"/>
              </w:rPr>
              <w:t xml:space="preserve">9 CCS sont opérationnelles à Mopti, Ségou Niono, Bla, San, Bandiagara, Djenné et </w:t>
            </w:r>
            <w:proofErr w:type="spellStart"/>
            <w:r w:rsidRPr="00535EDF">
              <w:rPr>
                <w:b/>
                <w:bCs/>
                <w:sz w:val="20"/>
                <w:szCs w:val="20"/>
                <w:lang w:val="fr-FR" w:eastAsia="en-US"/>
              </w:rPr>
              <w:t>Femaye</w:t>
            </w:r>
            <w:proofErr w:type="spellEnd"/>
            <w:r w:rsidRPr="00535EDF">
              <w:rPr>
                <w:b/>
                <w:bCs/>
                <w:sz w:val="20"/>
                <w:szCs w:val="20"/>
                <w:lang w:val="fr-FR" w:eastAsia="en-US"/>
              </w:rPr>
              <w:t xml:space="preserve"> (2020 et 2021)</w:t>
            </w:r>
          </w:p>
        </w:tc>
        <w:tc>
          <w:tcPr>
            <w:tcW w:w="4140" w:type="dxa"/>
          </w:tcPr>
          <w:p w14:paraId="4F6D076F" w14:textId="77777777" w:rsidR="000B0453" w:rsidRPr="00ED6B34" w:rsidRDefault="000B0453" w:rsidP="008B47D4">
            <w:pPr>
              <w:rPr>
                <w:sz w:val="20"/>
                <w:szCs w:val="20"/>
                <w:lang w:val="fr-FR"/>
              </w:rPr>
            </w:pPr>
            <w:r w:rsidRPr="00ED6B34">
              <w:rPr>
                <w:bCs/>
                <w:sz w:val="20"/>
                <w:szCs w:val="20"/>
                <w:lang w:val="fr-FR" w:eastAsia="en-US"/>
              </w:rPr>
              <w:t xml:space="preserve">Sur 7 CCS prévus à l’origine, 9 sont installés et </w:t>
            </w:r>
            <w:proofErr w:type="spellStart"/>
            <w:r w:rsidRPr="00ED6B34">
              <w:rPr>
                <w:bCs/>
                <w:sz w:val="20"/>
                <w:szCs w:val="20"/>
                <w:lang w:val="fr-FR" w:eastAsia="en-US"/>
              </w:rPr>
              <w:t>opérationnal</w:t>
            </w:r>
            <w:proofErr w:type="spellEnd"/>
            <w:r w:rsidRPr="00ED6B34">
              <w:rPr>
                <w:bCs/>
                <w:sz w:val="20"/>
                <w:szCs w:val="20"/>
                <w:lang w:val="fr-FR" w:eastAsia="en-US"/>
              </w:rPr>
              <w:t xml:space="preserve">. Au début du projet, la Commune de </w:t>
            </w:r>
            <w:proofErr w:type="spellStart"/>
            <w:r w:rsidRPr="00ED6B34">
              <w:rPr>
                <w:bCs/>
                <w:sz w:val="20"/>
                <w:szCs w:val="20"/>
                <w:lang w:val="fr-FR" w:eastAsia="en-US"/>
              </w:rPr>
              <w:t>Yasso</w:t>
            </w:r>
            <w:proofErr w:type="spellEnd"/>
            <w:r w:rsidRPr="00ED6B34">
              <w:rPr>
                <w:bCs/>
                <w:sz w:val="20"/>
                <w:szCs w:val="20"/>
                <w:lang w:val="fr-FR" w:eastAsia="en-US"/>
              </w:rPr>
              <w:t xml:space="preserve"> (dans le Cercle de </w:t>
            </w:r>
            <w:proofErr w:type="spellStart"/>
            <w:r w:rsidRPr="00ED6B34">
              <w:rPr>
                <w:bCs/>
                <w:sz w:val="20"/>
                <w:szCs w:val="20"/>
                <w:lang w:val="fr-FR" w:eastAsia="en-US"/>
              </w:rPr>
              <w:t>Tominian</w:t>
            </w:r>
            <w:proofErr w:type="spellEnd"/>
            <w:r w:rsidRPr="00ED6B34">
              <w:rPr>
                <w:bCs/>
                <w:sz w:val="20"/>
                <w:szCs w:val="20"/>
                <w:lang w:val="fr-FR" w:eastAsia="en-US"/>
              </w:rPr>
              <w:t xml:space="preserve">) et la Commune de </w:t>
            </w:r>
            <w:proofErr w:type="spellStart"/>
            <w:r w:rsidRPr="00ED6B34">
              <w:rPr>
                <w:bCs/>
                <w:sz w:val="20"/>
                <w:szCs w:val="20"/>
                <w:lang w:val="fr-FR" w:eastAsia="en-US"/>
              </w:rPr>
              <w:t>Femaye</w:t>
            </w:r>
            <w:proofErr w:type="spellEnd"/>
            <w:r w:rsidRPr="00ED6B34">
              <w:rPr>
                <w:bCs/>
                <w:sz w:val="20"/>
                <w:szCs w:val="20"/>
                <w:lang w:val="fr-FR" w:eastAsia="en-US"/>
              </w:rPr>
              <w:t xml:space="preserve"> ( dans le Cercle de Djenné ne faisaient parties de la planification, elles  ont été intégrées pour être des cas pilotes de comparaison en accord avec le Commissariat à la Réforme du Secteur de la Sécurité (CRSS). </w:t>
            </w:r>
            <w:r w:rsidRPr="00ED6B34">
              <w:rPr>
                <w:bCs/>
                <w:sz w:val="20"/>
                <w:szCs w:val="20"/>
                <w:lang w:val="fr-FR" w:eastAsia="en-US"/>
              </w:rPr>
              <w:lastRenderedPageBreak/>
              <w:t>Cette commune n’abrite pas les FDS contrairement aux autres communes identifiées.</w:t>
            </w:r>
          </w:p>
        </w:tc>
      </w:tr>
      <w:tr w:rsidR="000B0453" w:rsidRPr="00CD2513" w14:paraId="2AD63142" w14:textId="77777777" w:rsidTr="008B47D4">
        <w:trPr>
          <w:trHeight w:val="458"/>
        </w:trPr>
        <w:tc>
          <w:tcPr>
            <w:tcW w:w="1530" w:type="dxa"/>
            <w:vMerge/>
          </w:tcPr>
          <w:p w14:paraId="69192660" w14:textId="77777777" w:rsidR="000B0453" w:rsidRPr="00ED6B34" w:rsidRDefault="000B0453" w:rsidP="008B47D4">
            <w:pPr>
              <w:rPr>
                <w:b/>
                <w:sz w:val="20"/>
                <w:szCs w:val="20"/>
                <w:lang w:val="fr-FR" w:eastAsia="en-US"/>
              </w:rPr>
            </w:pPr>
          </w:p>
        </w:tc>
        <w:tc>
          <w:tcPr>
            <w:tcW w:w="2070" w:type="dxa"/>
            <w:shd w:val="clear" w:color="auto" w:fill="EEECE1"/>
          </w:tcPr>
          <w:p w14:paraId="04E2258B" w14:textId="77777777" w:rsidR="000B0453" w:rsidRPr="00ED6B34" w:rsidRDefault="000B0453" w:rsidP="008B47D4">
            <w:pPr>
              <w:jc w:val="both"/>
              <w:rPr>
                <w:b/>
                <w:bCs/>
                <w:sz w:val="20"/>
                <w:szCs w:val="20"/>
                <w:lang w:val="fr-FR" w:eastAsia="en-US"/>
              </w:rPr>
            </w:pPr>
            <w:r w:rsidRPr="00ED6B34">
              <w:rPr>
                <w:b/>
                <w:bCs/>
                <w:sz w:val="20"/>
                <w:szCs w:val="20"/>
                <w:lang w:val="fr-FR" w:eastAsia="en-US"/>
              </w:rPr>
              <w:t>Indicateur 2.2.2</w:t>
            </w:r>
          </w:p>
          <w:p w14:paraId="72C6F1DA" w14:textId="77777777" w:rsidR="000B0453" w:rsidRPr="00ED6B34" w:rsidRDefault="000B0453" w:rsidP="008B47D4">
            <w:pPr>
              <w:jc w:val="both"/>
              <w:rPr>
                <w:bCs/>
                <w:sz w:val="20"/>
                <w:szCs w:val="20"/>
                <w:lang w:val="fr-FR" w:eastAsia="en-US"/>
              </w:rPr>
            </w:pPr>
            <w:r w:rsidRPr="00ED6B34">
              <w:rPr>
                <w:bCs/>
                <w:sz w:val="20"/>
                <w:szCs w:val="20"/>
                <w:lang w:val="fr-FR" w:eastAsia="en-US"/>
              </w:rPr>
              <w:t>Nbre de personnes sensibilisée au rôle des CCS, désagrégé par sexe et âge.</w:t>
            </w:r>
          </w:p>
        </w:tc>
        <w:tc>
          <w:tcPr>
            <w:tcW w:w="1530" w:type="dxa"/>
            <w:shd w:val="clear" w:color="auto" w:fill="EEECE1"/>
          </w:tcPr>
          <w:p w14:paraId="5539266A" w14:textId="77777777" w:rsidR="000B0453" w:rsidRPr="00EB7677" w:rsidRDefault="000B0453" w:rsidP="008B47D4">
            <w:pPr>
              <w:rPr>
                <w:b/>
                <w:sz w:val="20"/>
                <w:szCs w:val="20"/>
                <w:lang w:val="fr-FR"/>
              </w:rPr>
            </w:pPr>
            <w:r w:rsidRPr="00EB7677">
              <w:rPr>
                <w:b/>
                <w:sz w:val="20"/>
                <w:szCs w:val="20"/>
                <w:lang w:val="fr-FR"/>
              </w:rPr>
              <w:t>0</w:t>
            </w:r>
          </w:p>
        </w:tc>
        <w:tc>
          <w:tcPr>
            <w:tcW w:w="1620" w:type="dxa"/>
            <w:shd w:val="clear" w:color="auto" w:fill="EEECE1"/>
          </w:tcPr>
          <w:p w14:paraId="0C8391D8" w14:textId="77777777" w:rsidR="000B0453" w:rsidRPr="00EB7677" w:rsidRDefault="000B0453" w:rsidP="008B47D4">
            <w:pPr>
              <w:rPr>
                <w:b/>
                <w:sz w:val="20"/>
                <w:szCs w:val="20"/>
                <w:lang w:val="fr-FR"/>
              </w:rPr>
            </w:pPr>
            <w:r w:rsidRPr="00EB7677">
              <w:rPr>
                <w:b/>
                <w:sz w:val="20"/>
                <w:szCs w:val="20"/>
                <w:lang w:val="fr-FR"/>
              </w:rPr>
              <w:t>1000 dont 30% de femmes</w:t>
            </w:r>
          </w:p>
        </w:tc>
        <w:tc>
          <w:tcPr>
            <w:tcW w:w="2070" w:type="dxa"/>
          </w:tcPr>
          <w:p w14:paraId="2E7EBD13" w14:textId="77777777" w:rsidR="000B0453" w:rsidRPr="00EB7677" w:rsidRDefault="000B0453" w:rsidP="008B47D4">
            <w:pPr>
              <w:rPr>
                <w:b/>
                <w:sz w:val="20"/>
                <w:szCs w:val="20"/>
                <w:lang w:val="fr-FR"/>
              </w:rPr>
            </w:pPr>
            <w:r w:rsidRPr="00EB7677">
              <w:rPr>
                <w:b/>
                <w:sz w:val="20"/>
                <w:lang w:val="fr-FR"/>
              </w:rPr>
              <w:t>10000</w:t>
            </w:r>
          </w:p>
        </w:tc>
        <w:tc>
          <w:tcPr>
            <w:tcW w:w="2070" w:type="dxa"/>
          </w:tcPr>
          <w:p w14:paraId="4F283ED2" w14:textId="15248E5B" w:rsidR="000B0453" w:rsidRPr="00535EDF" w:rsidRDefault="000B0453" w:rsidP="008B47D4">
            <w:pPr>
              <w:rPr>
                <w:b/>
                <w:bCs/>
                <w:sz w:val="20"/>
                <w:szCs w:val="20"/>
                <w:lang w:val="fr-FR"/>
              </w:rPr>
            </w:pPr>
            <w:r w:rsidRPr="00535EDF">
              <w:rPr>
                <w:b/>
                <w:bCs/>
                <w:sz w:val="22"/>
                <w:szCs w:val="22"/>
                <w:highlight w:val="lightGray"/>
                <w:lang w:val="fr-FR"/>
              </w:rPr>
              <w:t xml:space="preserve">30 000 personnes </w:t>
            </w:r>
            <w:r w:rsidRPr="00535EDF">
              <w:rPr>
                <w:b/>
                <w:bCs/>
                <w:sz w:val="22"/>
                <w:szCs w:val="22"/>
                <w:highlight w:val="lightGray"/>
                <w:lang w:val="zh-CN"/>
              </w:rPr>
              <w:t xml:space="preserve">(dont </w:t>
            </w:r>
            <w:r w:rsidRPr="00535EDF">
              <w:rPr>
                <w:b/>
                <w:bCs/>
                <w:sz w:val="22"/>
                <w:szCs w:val="22"/>
                <w:highlight w:val="lightGray"/>
                <w:lang w:val="fr-FR"/>
              </w:rPr>
              <w:t xml:space="preserve">13 </w:t>
            </w:r>
            <w:r w:rsidRPr="00535EDF">
              <w:rPr>
                <w:b/>
                <w:bCs/>
                <w:sz w:val="22"/>
                <w:szCs w:val="22"/>
                <w:highlight w:val="lightGray"/>
                <w:lang w:val="zh-CN"/>
              </w:rPr>
              <w:t xml:space="preserve">000 </w:t>
            </w:r>
            <w:r w:rsidR="001C4F74" w:rsidRPr="00535EDF">
              <w:rPr>
                <w:b/>
                <w:bCs/>
                <w:sz w:val="22"/>
                <w:szCs w:val="22"/>
                <w:highlight w:val="lightGray"/>
                <w:lang w:val="zh-CN"/>
              </w:rPr>
              <w:t>femmes) depuis</w:t>
            </w:r>
            <w:r w:rsidRPr="00535EDF">
              <w:rPr>
                <w:b/>
                <w:bCs/>
                <w:sz w:val="22"/>
                <w:szCs w:val="22"/>
                <w:lang w:val="fr-FR"/>
              </w:rPr>
              <w:t xml:space="preserve"> le début du Projet</w:t>
            </w:r>
          </w:p>
        </w:tc>
        <w:tc>
          <w:tcPr>
            <w:tcW w:w="4140" w:type="dxa"/>
          </w:tcPr>
          <w:p w14:paraId="55FECB9D" w14:textId="77777777" w:rsidR="000B0453" w:rsidRPr="00ED6B34" w:rsidRDefault="000B0453" w:rsidP="008B47D4">
            <w:pPr>
              <w:rPr>
                <w:b/>
                <w:bCs/>
                <w:noProof/>
                <w:sz w:val="20"/>
                <w:szCs w:val="20"/>
                <w:lang w:val="fr-FR" w:eastAsia="en-US"/>
              </w:rPr>
            </w:pPr>
          </w:p>
        </w:tc>
      </w:tr>
      <w:tr w:rsidR="000B0453" w:rsidRPr="00ED6B34" w14:paraId="7B96BDF2" w14:textId="77777777" w:rsidTr="008B47D4">
        <w:trPr>
          <w:trHeight w:val="458"/>
        </w:trPr>
        <w:tc>
          <w:tcPr>
            <w:tcW w:w="1530" w:type="dxa"/>
          </w:tcPr>
          <w:p w14:paraId="762C880A" w14:textId="77777777" w:rsidR="000B0453" w:rsidRPr="00ED6B34" w:rsidRDefault="000B0453" w:rsidP="008B47D4">
            <w:pPr>
              <w:rPr>
                <w:b/>
                <w:sz w:val="20"/>
                <w:szCs w:val="20"/>
                <w:lang w:val="fr-FR" w:eastAsia="en-US"/>
              </w:rPr>
            </w:pPr>
          </w:p>
        </w:tc>
        <w:tc>
          <w:tcPr>
            <w:tcW w:w="2070" w:type="dxa"/>
            <w:shd w:val="clear" w:color="auto" w:fill="EEECE1"/>
          </w:tcPr>
          <w:p w14:paraId="256BEA62" w14:textId="77777777" w:rsidR="000B0453" w:rsidRPr="00ED6B34" w:rsidRDefault="000B0453" w:rsidP="008B47D4">
            <w:pPr>
              <w:jc w:val="both"/>
              <w:rPr>
                <w:sz w:val="20"/>
                <w:szCs w:val="20"/>
                <w:lang w:val="fr-FR"/>
              </w:rPr>
            </w:pPr>
            <w:r w:rsidRPr="00ED6B34">
              <w:rPr>
                <w:sz w:val="20"/>
                <w:szCs w:val="20"/>
                <w:lang w:val="fr-FR"/>
              </w:rPr>
              <w:t xml:space="preserve">Nombre d’acteurs de la sécurité et des représentants des OSC formés en matière de police de </w:t>
            </w:r>
            <w:proofErr w:type="spellStart"/>
            <w:r w:rsidRPr="00ED6B34">
              <w:rPr>
                <w:sz w:val="20"/>
                <w:szCs w:val="20"/>
                <w:lang w:val="fr-FR"/>
              </w:rPr>
              <w:t>proximité,désagrégé</w:t>
            </w:r>
            <w:proofErr w:type="spellEnd"/>
            <w:r w:rsidRPr="00ED6B34">
              <w:rPr>
                <w:sz w:val="20"/>
                <w:szCs w:val="20"/>
                <w:lang w:val="fr-FR"/>
              </w:rPr>
              <w:t xml:space="preserve"> par sexe et âge</w:t>
            </w:r>
          </w:p>
        </w:tc>
        <w:tc>
          <w:tcPr>
            <w:tcW w:w="1530" w:type="dxa"/>
            <w:shd w:val="clear" w:color="auto" w:fill="EEECE1"/>
          </w:tcPr>
          <w:p w14:paraId="380B8A18" w14:textId="77777777" w:rsidR="000B0453" w:rsidRPr="00EB7677" w:rsidRDefault="000B0453" w:rsidP="008B47D4">
            <w:pPr>
              <w:rPr>
                <w:b/>
                <w:sz w:val="20"/>
                <w:szCs w:val="20"/>
                <w:lang w:val="fr-FR"/>
              </w:rPr>
            </w:pPr>
          </w:p>
        </w:tc>
        <w:tc>
          <w:tcPr>
            <w:tcW w:w="1620" w:type="dxa"/>
            <w:shd w:val="clear" w:color="auto" w:fill="EEECE1"/>
          </w:tcPr>
          <w:p w14:paraId="2DBD820D" w14:textId="77777777" w:rsidR="000B0453" w:rsidRPr="00EB7677" w:rsidRDefault="000B0453" w:rsidP="008B47D4">
            <w:pPr>
              <w:rPr>
                <w:b/>
                <w:sz w:val="20"/>
                <w:szCs w:val="20"/>
                <w:lang w:val="fr-FR"/>
              </w:rPr>
            </w:pPr>
          </w:p>
        </w:tc>
        <w:tc>
          <w:tcPr>
            <w:tcW w:w="2070" w:type="dxa"/>
          </w:tcPr>
          <w:p w14:paraId="5A330390" w14:textId="77777777" w:rsidR="000B0453" w:rsidRPr="004055DB" w:rsidRDefault="000B0453" w:rsidP="008B47D4">
            <w:pPr>
              <w:rPr>
                <w:b/>
                <w:sz w:val="20"/>
                <w:szCs w:val="20"/>
                <w:lang w:val="fr-FR" w:eastAsia="en-US"/>
              </w:rPr>
            </w:pPr>
          </w:p>
        </w:tc>
        <w:tc>
          <w:tcPr>
            <w:tcW w:w="2070" w:type="dxa"/>
          </w:tcPr>
          <w:p w14:paraId="721C9928" w14:textId="77777777" w:rsidR="000B0453" w:rsidRPr="00EB7677" w:rsidRDefault="000B0453" w:rsidP="008B47D4">
            <w:pPr>
              <w:rPr>
                <w:b/>
                <w:bCs/>
                <w:sz w:val="20"/>
                <w:szCs w:val="20"/>
                <w:lang w:val="fr-FR"/>
              </w:rPr>
            </w:pPr>
            <w:r w:rsidRPr="00EB7677">
              <w:rPr>
                <w:b/>
                <w:bCs/>
                <w:sz w:val="20"/>
                <w:szCs w:val="20"/>
                <w:lang w:val="fr-FR"/>
              </w:rPr>
              <w:t>A renseigner par le PNUD</w:t>
            </w:r>
          </w:p>
          <w:p w14:paraId="4E2C784F" w14:textId="77777777" w:rsidR="000B0453" w:rsidRPr="00535EDF" w:rsidRDefault="000B0453" w:rsidP="008B47D4">
            <w:pPr>
              <w:rPr>
                <w:b/>
                <w:bCs/>
                <w:sz w:val="20"/>
                <w:szCs w:val="20"/>
                <w:lang w:val="fr-FR" w:eastAsia="en-US"/>
              </w:rPr>
            </w:pPr>
          </w:p>
        </w:tc>
        <w:tc>
          <w:tcPr>
            <w:tcW w:w="4140" w:type="dxa"/>
          </w:tcPr>
          <w:p w14:paraId="1B105461" w14:textId="77777777" w:rsidR="000B0453" w:rsidRPr="00ED6B34" w:rsidRDefault="000B0453" w:rsidP="008B47D4">
            <w:pPr>
              <w:rPr>
                <w:bCs/>
                <w:sz w:val="20"/>
                <w:szCs w:val="20"/>
                <w:lang w:val="fr-FR"/>
              </w:rPr>
            </w:pPr>
            <w:r w:rsidRPr="00ED6B34">
              <w:rPr>
                <w:bCs/>
                <w:sz w:val="20"/>
                <w:szCs w:val="20"/>
                <w:lang w:val="fr-FR"/>
              </w:rPr>
              <w:t>A renseigner par le PNUD</w:t>
            </w:r>
          </w:p>
          <w:p w14:paraId="5C81D35F" w14:textId="77777777" w:rsidR="000B0453" w:rsidRPr="00ED6B34" w:rsidRDefault="000B0453" w:rsidP="008B47D4">
            <w:pPr>
              <w:rPr>
                <w:sz w:val="20"/>
                <w:lang w:val="fr-FR"/>
              </w:rPr>
            </w:pPr>
          </w:p>
        </w:tc>
      </w:tr>
      <w:tr w:rsidR="000B0453" w:rsidRPr="00CD2513" w14:paraId="7E486A02" w14:textId="77777777" w:rsidTr="00445152">
        <w:trPr>
          <w:trHeight w:val="458"/>
        </w:trPr>
        <w:tc>
          <w:tcPr>
            <w:tcW w:w="1530" w:type="dxa"/>
            <w:vMerge w:val="restart"/>
          </w:tcPr>
          <w:p w14:paraId="61C265CA" w14:textId="77777777" w:rsidR="000B0453" w:rsidRPr="00ED6B34" w:rsidRDefault="000B0453" w:rsidP="000B0453">
            <w:pPr>
              <w:rPr>
                <w:bCs/>
                <w:sz w:val="20"/>
                <w:szCs w:val="20"/>
                <w:lang w:val="fr-FR" w:eastAsia="en-US"/>
              </w:rPr>
            </w:pPr>
          </w:p>
          <w:p w14:paraId="79C7E38D" w14:textId="77777777" w:rsidR="000B0453" w:rsidRPr="00ED6B34" w:rsidRDefault="000B0453" w:rsidP="000B0453">
            <w:pPr>
              <w:rPr>
                <w:bCs/>
                <w:sz w:val="20"/>
                <w:szCs w:val="20"/>
                <w:lang w:val="fr-FR" w:eastAsia="en-US"/>
              </w:rPr>
            </w:pPr>
            <w:r w:rsidRPr="00ED6B34">
              <w:rPr>
                <w:bCs/>
                <w:sz w:val="20"/>
                <w:szCs w:val="20"/>
                <w:lang w:val="fr-FR" w:eastAsia="en-US"/>
              </w:rPr>
              <w:t>Produit 2.3</w:t>
            </w:r>
          </w:p>
          <w:p w14:paraId="66860E3C" w14:textId="41795F94" w:rsidR="000B0453" w:rsidRPr="005A6420" w:rsidRDefault="000B0453" w:rsidP="000B0453">
            <w:pPr>
              <w:rPr>
                <w:rFonts w:cs="Tahoma"/>
                <w:b/>
                <w:szCs w:val="20"/>
                <w:lang w:val="fr-FR" w:eastAsia="en-US"/>
              </w:rPr>
            </w:pPr>
            <w:r w:rsidRPr="00ED6B34">
              <w:rPr>
                <w:bCs/>
                <w:iCs/>
                <w:sz w:val="20"/>
                <w:szCs w:val="20"/>
                <w:lang w:val="fr-FR"/>
              </w:rPr>
              <w:t>Les mécanismes formels et informels de gestions des conflits sont renforcés afin de prévenir les conflits intercommunautaires</w:t>
            </w:r>
          </w:p>
        </w:tc>
        <w:tc>
          <w:tcPr>
            <w:tcW w:w="2070" w:type="dxa"/>
            <w:shd w:val="clear" w:color="auto" w:fill="EEECE1"/>
          </w:tcPr>
          <w:p w14:paraId="6FA4A906" w14:textId="77777777" w:rsidR="000B0453" w:rsidRPr="00ED6B34" w:rsidRDefault="000B0453" w:rsidP="000B0453">
            <w:pPr>
              <w:jc w:val="both"/>
              <w:rPr>
                <w:b/>
                <w:bCs/>
                <w:sz w:val="20"/>
                <w:szCs w:val="20"/>
                <w:lang w:val="fr-FR" w:eastAsia="en-US"/>
              </w:rPr>
            </w:pPr>
            <w:r w:rsidRPr="00ED6B34">
              <w:rPr>
                <w:b/>
                <w:bCs/>
                <w:sz w:val="20"/>
                <w:szCs w:val="20"/>
                <w:lang w:val="fr-FR" w:eastAsia="en-US"/>
              </w:rPr>
              <w:t>Indicateur 2.3.1</w:t>
            </w:r>
          </w:p>
          <w:p w14:paraId="1A924C82" w14:textId="73A9D340" w:rsidR="000B0453" w:rsidRPr="005A6420" w:rsidRDefault="000B0453" w:rsidP="000B0453">
            <w:pPr>
              <w:jc w:val="both"/>
              <w:rPr>
                <w:rFonts w:cs="Tahoma"/>
                <w:szCs w:val="20"/>
                <w:lang w:val="fr-FR" w:eastAsia="en-US"/>
              </w:rPr>
            </w:pPr>
            <w:r w:rsidRPr="00ED6B34">
              <w:rPr>
                <w:bCs/>
                <w:sz w:val="20"/>
                <w:szCs w:val="20"/>
                <w:lang w:val="fr-FR" w:eastAsia="en-US"/>
              </w:rPr>
              <w:t>Nombre de commissions foncières redynamisées</w:t>
            </w:r>
          </w:p>
        </w:tc>
        <w:tc>
          <w:tcPr>
            <w:tcW w:w="1530" w:type="dxa"/>
            <w:shd w:val="clear" w:color="auto" w:fill="EEECE1"/>
          </w:tcPr>
          <w:p w14:paraId="798DDF3B" w14:textId="551A3E14" w:rsidR="000B0453" w:rsidRPr="005A6420" w:rsidRDefault="000B0453" w:rsidP="000B0453">
            <w:pPr>
              <w:rPr>
                <w:lang w:val="fr-FR"/>
              </w:rPr>
            </w:pPr>
            <w:r w:rsidRPr="00EB7677">
              <w:rPr>
                <w:b/>
                <w:sz w:val="20"/>
                <w:szCs w:val="20"/>
                <w:lang w:val="fr-FR"/>
              </w:rPr>
              <w:t>0</w:t>
            </w:r>
          </w:p>
        </w:tc>
        <w:tc>
          <w:tcPr>
            <w:tcW w:w="1620" w:type="dxa"/>
            <w:shd w:val="clear" w:color="auto" w:fill="EEECE1"/>
          </w:tcPr>
          <w:p w14:paraId="52B9C9A0" w14:textId="6ACC5A9B" w:rsidR="000B0453" w:rsidRPr="005A6420" w:rsidRDefault="000B0453" w:rsidP="000B0453">
            <w:pPr>
              <w:rPr>
                <w:lang w:val="fr-FR"/>
              </w:rPr>
            </w:pPr>
            <w:r w:rsidRPr="00EB7677">
              <w:rPr>
                <w:b/>
                <w:sz w:val="20"/>
                <w:szCs w:val="20"/>
                <w:lang w:val="fr-FR"/>
              </w:rPr>
              <w:t>115 commissions (une par commune)</w:t>
            </w:r>
          </w:p>
        </w:tc>
        <w:tc>
          <w:tcPr>
            <w:tcW w:w="2070" w:type="dxa"/>
          </w:tcPr>
          <w:p w14:paraId="3C78EE3F" w14:textId="3CBCE83E" w:rsidR="000B0453" w:rsidRPr="005A6420" w:rsidRDefault="000B0453" w:rsidP="000B0453">
            <w:pPr>
              <w:rPr>
                <w:lang w:val="fr-FR"/>
              </w:rPr>
            </w:pPr>
            <w:r w:rsidRPr="00EB7677">
              <w:rPr>
                <w:b/>
                <w:sz w:val="20"/>
                <w:szCs w:val="20"/>
                <w:lang w:val="fr-FR"/>
              </w:rPr>
              <w:t>115 commissions redynamisées</w:t>
            </w:r>
          </w:p>
        </w:tc>
        <w:tc>
          <w:tcPr>
            <w:tcW w:w="2070" w:type="dxa"/>
          </w:tcPr>
          <w:p w14:paraId="0658A8AD" w14:textId="362656C9" w:rsidR="000B0453" w:rsidRPr="005A6420" w:rsidRDefault="000B0453" w:rsidP="000B0453">
            <w:pPr>
              <w:rPr>
                <w:lang w:val="fr-FR"/>
              </w:rPr>
            </w:pPr>
            <w:r w:rsidRPr="00535EDF">
              <w:rPr>
                <w:b/>
                <w:bCs/>
                <w:sz w:val="20"/>
                <w:szCs w:val="20"/>
                <w:lang w:val="fr-FR" w:eastAsia="en-US"/>
              </w:rPr>
              <w:t xml:space="preserve">115 </w:t>
            </w:r>
            <w:r w:rsidRPr="00535EDF">
              <w:rPr>
                <w:b/>
                <w:bCs/>
                <w:sz w:val="20"/>
                <w:szCs w:val="20"/>
                <w:lang w:val="fr-FR"/>
              </w:rPr>
              <w:t>commissions redynamisées</w:t>
            </w:r>
          </w:p>
        </w:tc>
        <w:tc>
          <w:tcPr>
            <w:tcW w:w="4140" w:type="dxa"/>
          </w:tcPr>
          <w:p w14:paraId="124BBAC2" w14:textId="77DC22B3" w:rsidR="000B0453" w:rsidRPr="005A6420" w:rsidRDefault="000B0453" w:rsidP="000B0453">
            <w:pPr>
              <w:rPr>
                <w:lang w:val="fr-FR"/>
              </w:rPr>
            </w:pPr>
            <w:r>
              <w:rPr>
                <w:b/>
                <w:bCs/>
                <w:sz w:val="20"/>
                <w:szCs w:val="20"/>
                <w:lang w:val="fr-FR" w:eastAsia="en-US"/>
              </w:rPr>
              <w:t xml:space="preserve">Le projet a prévu de mettre en place 115 </w:t>
            </w:r>
            <w:proofErr w:type="spellStart"/>
            <w:r>
              <w:rPr>
                <w:b/>
                <w:bCs/>
                <w:sz w:val="20"/>
                <w:szCs w:val="20"/>
                <w:lang w:val="fr-FR" w:eastAsia="en-US"/>
              </w:rPr>
              <w:t>CoFos</w:t>
            </w:r>
            <w:proofErr w:type="spellEnd"/>
            <w:r>
              <w:rPr>
                <w:b/>
                <w:bCs/>
                <w:sz w:val="20"/>
                <w:szCs w:val="20"/>
                <w:lang w:val="fr-FR" w:eastAsia="en-US"/>
              </w:rPr>
              <w:t xml:space="preserve"> et les rendre fonctionnels. A ce jour les 115 sont mis en place, fonctionnent et disposent de plans d’actions inclusif sensibles genre </w:t>
            </w:r>
          </w:p>
        </w:tc>
      </w:tr>
      <w:tr w:rsidR="000B0453" w:rsidRPr="00CD2513" w14:paraId="6B215250" w14:textId="77777777" w:rsidTr="00445152">
        <w:trPr>
          <w:trHeight w:val="458"/>
        </w:trPr>
        <w:tc>
          <w:tcPr>
            <w:tcW w:w="1530" w:type="dxa"/>
            <w:vMerge/>
          </w:tcPr>
          <w:p w14:paraId="3B17BE25" w14:textId="77777777" w:rsidR="000B0453" w:rsidRPr="005A6420" w:rsidRDefault="000B0453" w:rsidP="000B0453">
            <w:pPr>
              <w:rPr>
                <w:rFonts w:cs="Tahoma"/>
                <w:szCs w:val="20"/>
                <w:lang w:val="fr-FR" w:eastAsia="en-US"/>
              </w:rPr>
            </w:pPr>
          </w:p>
        </w:tc>
        <w:tc>
          <w:tcPr>
            <w:tcW w:w="2070" w:type="dxa"/>
            <w:shd w:val="clear" w:color="auto" w:fill="EEECE1"/>
          </w:tcPr>
          <w:p w14:paraId="00D2AA79" w14:textId="77777777" w:rsidR="000B0453" w:rsidRPr="00ED6B34" w:rsidRDefault="000B0453" w:rsidP="000B0453">
            <w:pPr>
              <w:jc w:val="both"/>
              <w:rPr>
                <w:b/>
                <w:bCs/>
                <w:sz w:val="20"/>
                <w:szCs w:val="20"/>
                <w:lang w:val="fr-FR" w:eastAsia="en-US"/>
              </w:rPr>
            </w:pPr>
            <w:r w:rsidRPr="00ED6B34">
              <w:rPr>
                <w:b/>
                <w:bCs/>
                <w:sz w:val="20"/>
                <w:szCs w:val="20"/>
                <w:lang w:val="fr-FR" w:eastAsia="en-US"/>
              </w:rPr>
              <w:t>Indicateur 2.3.2</w:t>
            </w:r>
          </w:p>
          <w:p w14:paraId="5B43F41A" w14:textId="21E4510D" w:rsidR="000B0453" w:rsidRPr="005A6420" w:rsidRDefault="000B0453" w:rsidP="000B0453">
            <w:pPr>
              <w:jc w:val="both"/>
              <w:rPr>
                <w:rFonts w:cs="Tahoma"/>
                <w:szCs w:val="20"/>
                <w:lang w:val="fr-FR" w:eastAsia="en-US"/>
              </w:rPr>
            </w:pPr>
            <w:r w:rsidRPr="00ED6B34">
              <w:rPr>
                <w:bCs/>
                <w:sz w:val="20"/>
                <w:szCs w:val="20"/>
                <w:lang w:val="fr-FR" w:eastAsia="en-US"/>
              </w:rPr>
              <w:t>Nbre de personnes sensibilisées par le projet sur les mécanismes formels et informels de gestion des conflits fonciers, désagrégé par sexe et âge.</w:t>
            </w:r>
          </w:p>
        </w:tc>
        <w:tc>
          <w:tcPr>
            <w:tcW w:w="1530" w:type="dxa"/>
            <w:shd w:val="clear" w:color="auto" w:fill="EEECE1"/>
          </w:tcPr>
          <w:p w14:paraId="58F872B8" w14:textId="4F0611B3" w:rsidR="000B0453" w:rsidRPr="005A6420" w:rsidRDefault="000B0453" w:rsidP="000B0453">
            <w:pPr>
              <w:rPr>
                <w:lang w:val="fr-FR"/>
              </w:rPr>
            </w:pPr>
            <w:r w:rsidRPr="00EB7677">
              <w:rPr>
                <w:b/>
                <w:sz w:val="20"/>
                <w:szCs w:val="20"/>
                <w:lang w:val="fr-FR"/>
              </w:rPr>
              <w:t>0</w:t>
            </w:r>
          </w:p>
        </w:tc>
        <w:tc>
          <w:tcPr>
            <w:tcW w:w="1620" w:type="dxa"/>
            <w:shd w:val="clear" w:color="auto" w:fill="EEECE1"/>
          </w:tcPr>
          <w:p w14:paraId="4E55DE8D" w14:textId="36E1DFC9" w:rsidR="000B0453" w:rsidRPr="005A6420" w:rsidRDefault="000B0453" w:rsidP="000B0453">
            <w:pPr>
              <w:rPr>
                <w:lang w:val="fr-FR"/>
              </w:rPr>
            </w:pPr>
            <w:r w:rsidRPr="00EB7677">
              <w:rPr>
                <w:b/>
                <w:sz w:val="20"/>
                <w:szCs w:val="20"/>
                <w:lang w:val="fr-FR"/>
              </w:rPr>
              <w:t>1000 dont 30% de femmes</w:t>
            </w:r>
          </w:p>
        </w:tc>
        <w:tc>
          <w:tcPr>
            <w:tcW w:w="2070" w:type="dxa"/>
          </w:tcPr>
          <w:p w14:paraId="4F479BAB" w14:textId="1253011B" w:rsidR="000B0453" w:rsidRPr="005A6420" w:rsidRDefault="000B0453" w:rsidP="000B0453">
            <w:pPr>
              <w:rPr>
                <w:lang w:val="fr-FR"/>
              </w:rPr>
            </w:pPr>
          </w:p>
        </w:tc>
        <w:tc>
          <w:tcPr>
            <w:tcW w:w="2070" w:type="dxa"/>
          </w:tcPr>
          <w:p w14:paraId="3DC6F454" w14:textId="77777777" w:rsidR="000B0453" w:rsidRPr="00EB7677" w:rsidRDefault="000B0453" w:rsidP="000B0453">
            <w:pPr>
              <w:rPr>
                <w:b/>
                <w:bCs/>
                <w:iCs/>
                <w:sz w:val="20"/>
                <w:szCs w:val="20"/>
                <w:lang w:val="fr-FR"/>
              </w:rPr>
            </w:pPr>
            <w:r w:rsidRPr="00EB7677">
              <w:rPr>
                <w:b/>
                <w:bCs/>
                <w:iCs/>
                <w:sz w:val="20"/>
                <w:szCs w:val="20"/>
                <w:lang w:val="fr-FR"/>
              </w:rPr>
              <w:t>8478 dont 3248 femmes (38,31%) en 2021</w:t>
            </w:r>
          </w:p>
          <w:p w14:paraId="092BBDCD" w14:textId="155E2F8B" w:rsidR="000B0453" w:rsidRPr="005A6420" w:rsidRDefault="000B0453" w:rsidP="000B0453">
            <w:pPr>
              <w:rPr>
                <w:lang w:val="fr-FR"/>
              </w:rPr>
            </w:pPr>
            <w:r w:rsidRPr="00EB7677">
              <w:rPr>
                <w:b/>
                <w:bCs/>
                <w:iCs/>
                <w:sz w:val="20"/>
                <w:szCs w:val="20"/>
                <w:lang w:val="fr-FR"/>
              </w:rPr>
              <w:t>516 personnes dont 112 femmes en 2022</w:t>
            </w:r>
          </w:p>
        </w:tc>
        <w:tc>
          <w:tcPr>
            <w:tcW w:w="4140" w:type="dxa"/>
          </w:tcPr>
          <w:p w14:paraId="6E1D0A4E" w14:textId="5952ACF4" w:rsidR="000B0453" w:rsidRPr="005A6420" w:rsidRDefault="000B0453" w:rsidP="000B0453">
            <w:pPr>
              <w:rPr>
                <w:lang w:val="fr-FR"/>
              </w:rPr>
            </w:pPr>
            <w:r w:rsidRPr="00ED6B34">
              <w:rPr>
                <w:b/>
                <w:bCs/>
                <w:noProof/>
                <w:sz w:val="20"/>
                <w:szCs w:val="20"/>
                <w:lang w:val="fr-FR" w:eastAsia="en-US"/>
              </w:rPr>
              <w:t xml:space="preserve"> </w:t>
            </w:r>
          </w:p>
        </w:tc>
      </w:tr>
      <w:tr w:rsidR="000B0453" w:rsidRPr="00CD2513" w14:paraId="64D3B4C3" w14:textId="77777777" w:rsidTr="00445152">
        <w:trPr>
          <w:trHeight w:val="458"/>
        </w:trPr>
        <w:tc>
          <w:tcPr>
            <w:tcW w:w="1530" w:type="dxa"/>
            <w:vMerge w:val="restart"/>
          </w:tcPr>
          <w:p w14:paraId="23A8C7E4" w14:textId="77777777" w:rsidR="000B0453" w:rsidRPr="00ED6B34" w:rsidRDefault="000B0453" w:rsidP="000B0453">
            <w:pPr>
              <w:rPr>
                <w:b/>
                <w:sz w:val="20"/>
                <w:szCs w:val="20"/>
                <w:lang w:val="fr-FR" w:eastAsia="en-US"/>
              </w:rPr>
            </w:pPr>
            <w:r w:rsidRPr="00ED6B34">
              <w:rPr>
                <w:b/>
                <w:sz w:val="20"/>
                <w:szCs w:val="20"/>
                <w:lang w:val="fr-FR" w:eastAsia="en-US"/>
              </w:rPr>
              <w:t>Résultat 3</w:t>
            </w:r>
          </w:p>
          <w:p w14:paraId="60A0CDF6" w14:textId="3388EB8B" w:rsidR="000B0453" w:rsidRPr="005A6420" w:rsidRDefault="000B0453" w:rsidP="000B0453">
            <w:pPr>
              <w:rPr>
                <w:rFonts w:cs="Tahoma"/>
                <w:b/>
                <w:szCs w:val="20"/>
                <w:lang w:val="fr-FR" w:eastAsia="en-US"/>
              </w:rPr>
            </w:pPr>
            <w:r w:rsidRPr="00ED6B34">
              <w:rPr>
                <w:b/>
                <w:bCs/>
                <w:sz w:val="20"/>
                <w:szCs w:val="20"/>
                <w:lang w:val="fr-FR"/>
              </w:rPr>
              <w:t xml:space="preserve">L’accès à la justice des populations du centre du Mali est facilité et la protection des victimes </w:t>
            </w:r>
            <w:r w:rsidRPr="00ED6B34">
              <w:rPr>
                <w:b/>
                <w:bCs/>
                <w:sz w:val="20"/>
                <w:szCs w:val="20"/>
                <w:lang w:val="fr-FR"/>
              </w:rPr>
              <w:lastRenderedPageBreak/>
              <w:t>saisissant les acteurs en charge de la lutte contre l’impunité est assurée</w:t>
            </w:r>
            <w:r w:rsidRPr="00ED6B34">
              <w:rPr>
                <w:b/>
                <w:bCs/>
                <w:iCs/>
                <w:sz w:val="20"/>
                <w:szCs w:val="20"/>
                <w:lang w:val="fr-FR"/>
              </w:rPr>
              <w:t>.</w:t>
            </w:r>
          </w:p>
        </w:tc>
        <w:tc>
          <w:tcPr>
            <w:tcW w:w="2070" w:type="dxa"/>
            <w:shd w:val="clear" w:color="auto" w:fill="EEECE1"/>
          </w:tcPr>
          <w:p w14:paraId="3879C106" w14:textId="11BBD9B9" w:rsidR="000B0453" w:rsidRPr="00ED6B34" w:rsidRDefault="000B0453" w:rsidP="000B0453">
            <w:pPr>
              <w:jc w:val="both"/>
              <w:rPr>
                <w:b/>
                <w:bCs/>
                <w:sz w:val="20"/>
                <w:szCs w:val="20"/>
                <w:lang w:val="fr-FR" w:eastAsia="en-US"/>
              </w:rPr>
            </w:pPr>
            <w:r w:rsidRPr="00ED6B34">
              <w:rPr>
                <w:b/>
                <w:bCs/>
                <w:sz w:val="20"/>
                <w:szCs w:val="20"/>
                <w:lang w:val="fr-FR" w:eastAsia="en-US"/>
              </w:rPr>
              <w:lastRenderedPageBreak/>
              <w:t>Indicateur 3.</w:t>
            </w:r>
            <w:r>
              <w:rPr>
                <w:b/>
                <w:bCs/>
                <w:sz w:val="20"/>
                <w:szCs w:val="20"/>
                <w:lang w:val="fr-FR" w:eastAsia="en-US"/>
              </w:rPr>
              <w:t>1</w:t>
            </w:r>
          </w:p>
          <w:p w14:paraId="6A6E9ECE" w14:textId="49FA8A5B" w:rsidR="000B0453" w:rsidRPr="005A6420" w:rsidRDefault="000B0453" w:rsidP="000B0453">
            <w:pPr>
              <w:jc w:val="both"/>
              <w:rPr>
                <w:rFonts w:cs="Tahoma"/>
                <w:szCs w:val="20"/>
                <w:lang w:val="fr-FR" w:eastAsia="en-US"/>
              </w:rPr>
            </w:pPr>
            <w:r w:rsidRPr="00ED6B34">
              <w:rPr>
                <w:bCs/>
                <w:sz w:val="20"/>
                <w:szCs w:val="20"/>
                <w:lang w:val="fr-FR" w:eastAsia="en-US"/>
              </w:rPr>
              <w:t>Existence d’une stratégie d’aide aux victimes</w:t>
            </w:r>
          </w:p>
        </w:tc>
        <w:tc>
          <w:tcPr>
            <w:tcW w:w="1530" w:type="dxa"/>
            <w:shd w:val="clear" w:color="auto" w:fill="EEECE1"/>
          </w:tcPr>
          <w:p w14:paraId="30CF396D" w14:textId="2B9AA771" w:rsidR="000B0453" w:rsidRPr="005A6420" w:rsidRDefault="000B0453" w:rsidP="000B0453">
            <w:pPr>
              <w:rPr>
                <w:lang w:val="fr-FR"/>
              </w:rPr>
            </w:pPr>
            <w:r w:rsidRPr="00784490">
              <w:rPr>
                <w:b/>
                <w:sz w:val="20"/>
                <w:szCs w:val="20"/>
                <w:lang w:val="fr-FR" w:eastAsia="en-US"/>
              </w:rPr>
              <w:t>0</w:t>
            </w:r>
          </w:p>
        </w:tc>
        <w:tc>
          <w:tcPr>
            <w:tcW w:w="1620" w:type="dxa"/>
            <w:shd w:val="clear" w:color="auto" w:fill="EEECE1"/>
          </w:tcPr>
          <w:p w14:paraId="18DAD65A" w14:textId="6716607B" w:rsidR="000B0453" w:rsidRPr="005A6420" w:rsidRDefault="000B0453" w:rsidP="000B0453">
            <w:pPr>
              <w:rPr>
                <w:lang w:val="fr-FR"/>
              </w:rPr>
            </w:pPr>
            <w:r w:rsidRPr="00EB7677">
              <w:rPr>
                <w:b/>
                <w:sz w:val="20"/>
                <w:szCs w:val="20"/>
                <w:lang w:val="fr-FR"/>
              </w:rPr>
              <w:t>1</w:t>
            </w:r>
          </w:p>
        </w:tc>
        <w:tc>
          <w:tcPr>
            <w:tcW w:w="2070" w:type="dxa"/>
          </w:tcPr>
          <w:p w14:paraId="1E5E06AD" w14:textId="608044FE" w:rsidR="000B0453" w:rsidRPr="005A6420" w:rsidRDefault="000B0453" w:rsidP="000B0453">
            <w:pPr>
              <w:rPr>
                <w:lang w:val="fr-FR"/>
              </w:rPr>
            </w:pPr>
            <w:r w:rsidRPr="004055DB">
              <w:rPr>
                <w:b/>
                <w:sz w:val="20"/>
                <w:szCs w:val="20"/>
                <w:lang w:val="fr-FR" w:eastAsia="en-US"/>
              </w:rPr>
              <w:t>1</w:t>
            </w:r>
          </w:p>
        </w:tc>
        <w:tc>
          <w:tcPr>
            <w:tcW w:w="2070" w:type="dxa"/>
          </w:tcPr>
          <w:p w14:paraId="1832D55F" w14:textId="33E3BD35" w:rsidR="000B0453" w:rsidRPr="005A6420" w:rsidRDefault="000B0453" w:rsidP="000B0453">
            <w:pPr>
              <w:rPr>
                <w:lang w:val="fr-FR"/>
              </w:rPr>
            </w:pPr>
            <w:r w:rsidRPr="00EB7677">
              <w:rPr>
                <w:b/>
                <w:bCs/>
                <w:sz w:val="20"/>
                <w:szCs w:val="20"/>
                <w:lang w:val="fr-FR" w:eastAsia="en-US"/>
              </w:rPr>
              <w:fldChar w:fldCharType="begin">
                <w:ffData>
                  <w:name w:val=""/>
                  <w:enabled/>
                  <w:calcOnExit w:val="0"/>
                  <w:textInput>
                    <w:maxLength w:val="300"/>
                  </w:textInput>
                </w:ffData>
              </w:fldChar>
            </w:r>
            <w:r w:rsidRPr="00EB7677">
              <w:rPr>
                <w:b/>
                <w:bCs/>
                <w:sz w:val="20"/>
                <w:szCs w:val="20"/>
                <w:lang w:val="fr-FR" w:eastAsia="en-US"/>
              </w:rPr>
              <w:instrText xml:space="preserve"> FORMTEXT </w:instrText>
            </w:r>
            <w:r w:rsidRPr="00EB7677">
              <w:rPr>
                <w:b/>
                <w:bCs/>
                <w:sz w:val="20"/>
                <w:szCs w:val="20"/>
                <w:lang w:val="fr-FR" w:eastAsia="en-US"/>
              </w:rPr>
            </w:r>
            <w:r w:rsidRPr="00EB7677">
              <w:rPr>
                <w:b/>
                <w:bCs/>
                <w:sz w:val="20"/>
                <w:szCs w:val="20"/>
                <w:lang w:val="fr-FR" w:eastAsia="en-US"/>
              </w:rPr>
              <w:fldChar w:fldCharType="separate"/>
            </w:r>
            <w:r w:rsidRPr="00EB7677">
              <w:rPr>
                <w:b/>
                <w:bCs/>
                <w:noProof/>
                <w:sz w:val="20"/>
                <w:szCs w:val="20"/>
                <w:lang w:val="fr-FR" w:eastAsia="en-US"/>
              </w:rPr>
              <w:t> </w:t>
            </w:r>
            <w:r w:rsidRPr="00EB7677">
              <w:rPr>
                <w:b/>
                <w:bCs/>
                <w:noProof/>
                <w:sz w:val="20"/>
                <w:szCs w:val="20"/>
                <w:lang w:val="fr-FR" w:eastAsia="en-US"/>
              </w:rPr>
              <w:t> </w:t>
            </w:r>
            <w:r w:rsidRPr="00EB7677">
              <w:rPr>
                <w:b/>
                <w:bCs/>
                <w:noProof/>
                <w:sz w:val="20"/>
                <w:szCs w:val="20"/>
                <w:lang w:val="fr-FR" w:eastAsia="en-US"/>
              </w:rPr>
              <w:t> </w:t>
            </w:r>
            <w:r w:rsidRPr="00EB7677">
              <w:rPr>
                <w:b/>
                <w:bCs/>
                <w:noProof/>
                <w:sz w:val="20"/>
                <w:szCs w:val="20"/>
                <w:lang w:val="fr-FR" w:eastAsia="en-US"/>
              </w:rPr>
              <w:t> </w:t>
            </w:r>
            <w:r w:rsidRPr="00EB7677">
              <w:rPr>
                <w:b/>
                <w:bCs/>
                <w:noProof/>
                <w:sz w:val="20"/>
                <w:szCs w:val="20"/>
                <w:lang w:val="fr-FR" w:eastAsia="en-US"/>
              </w:rPr>
              <w:t> </w:t>
            </w:r>
            <w:r w:rsidRPr="00EB7677">
              <w:rPr>
                <w:b/>
                <w:bCs/>
                <w:noProof/>
                <w:lang w:val="fr-FR" w:eastAsia="en-US"/>
              </w:rPr>
              <w:t>￼</w:t>
            </w:r>
            <w:r w:rsidRPr="00EB7677">
              <w:rPr>
                <w:b/>
                <w:bCs/>
                <w:sz w:val="20"/>
                <w:szCs w:val="20"/>
                <w:lang w:val="fr-FR" w:eastAsia="en-US"/>
              </w:rPr>
              <w:fldChar w:fldCharType="end"/>
            </w:r>
            <w:r w:rsidRPr="00EB7677">
              <w:rPr>
                <w:b/>
                <w:bCs/>
                <w:sz w:val="20"/>
                <w:szCs w:val="20"/>
                <w:lang w:val="fr-FR" w:eastAsia="en-US"/>
              </w:rPr>
              <w:t>Activité en cours</w:t>
            </w:r>
          </w:p>
        </w:tc>
        <w:tc>
          <w:tcPr>
            <w:tcW w:w="4140" w:type="dxa"/>
          </w:tcPr>
          <w:p w14:paraId="71304BAA" w14:textId="42DE7A89" w:rsidR="000B0453" w:rsidRPr="005A6420" w:rsidRDefault="000B0453" w:rsidP="000B0453">
            <w:pPr>
              <w:rPr>
                <w:lang w:val="fr-FR"/>
              </w:rPr>
            </w:pPr>
            <w:r w:rsidRPr="00ED6B34">
              <w:rPr>
                <w:sz w:val="20"/>
                <w:szCs w:val="20"/>
                <w:lang w:val="fr-FR" w:eastAsia="en-US"/>
              </w:rPr>
              <w:t>Pas disponible en ce moment</w:t>
            </w:r>
            <w:r w:rsidRPr="00ED6B34">
              <w:rPr>
                <w:noProof/>
                <w:sz w:val="20"/>
                <w:szCs w:val="20"/>
                <w:lang w:val="fr-FR" w:eastAsia="en-US"/>
              </w:rPr>
              <w:t xml:space="preserve"> </w:t>
            </w:r>
          </w:p>
        </w:tc>
      </w:tr>
      <w:tr w:rsidR="000B0453" w:rsidRPr="005A6420" w14:paraId="1917E29E" w14:textId="77777777" w:rsidTr="00445152">
        <w:trPr>
          <w:trHeight w:val="458"/>
        </w:trPr>
        <w:tc>
          <w:tcPr>
            <w:tcW w:w="1530" w:type="dxa"/>
            <w:vMerge/>
          </w:tcPr>
          <w:p w14:paraId="28CA8E5C" w14:textId="77777777" w:rsidR="000B0453" w:rsidRPr="005A6420" w:rsidRDefault="000B0453" w:rsidP="000B0453">
            <w:pPr>
              <w:rPr>
                <w:rFonts w:cs="Tahoma"/>
                <w:szCs w:val="20"/>
                <w:lang w:val="fr-FR" w:eastAsia="en-US"/>
              </w:rPr>
            </w:pPr>
          </w:p>
        </w:tc>
        <w:tc>
          <w:tcPr>
            <w:tcW w:w="2070" w:type="dxa"/>
            <w:shd w:val="clear" w:color="auto" w:fill="EEECE1"/>
          </w:tcPr>
          <w:p w14:paraId="71DB95D5" w14:textId="51429B6C" w:rsidR="000B0453" w:rsidRPr="00ED6B34" w:rsidRDefault="000B0453" w:rsidP="000B0453">
            <w:pPr>
              <w:jc w:val="both"/>
              <w:rPr>
                <w:b/>
                <w:bCs/>
                <w:sz w:val="20"/>
                <w:szCs w:val="20"/>
                <w:lang w:val="fr-FR" w:eastAsia="en-US"/>
              </w:rPr>
            </w:pPr>
            <w:r w:rsidRPr="00ED6B34">
              <w:rPr>
                <w:b/>
                <w:bCs/>
                <w:sz w:val="20"/>
                <w:szCs w:val="20"/>
                <w:lang w:val="fr-FR" w:eastAsia="en-US"/>
              </w:rPr>
              <w:t>Indicateur 3.</w:t>
            </w:r>
            <w:r>
              <w:rPr>
                <w:b/>
                <w:bCs/>
                <w:sz w:val="20"/>
                <w:szCs w:val="20"/>
                <w:lang w:val="fr-FR" w:eastAsia="en-US"/>
              </w:rPr>
              <w:t>2</w:t>
            </w:r>
          </w:p>
          <w:p w14:paraId="6726E6F0" w14:textId="637FF311" w:rsidR="000B0453" w:rsidRPr="005A6420" w:rsidRDefault="000B0453" w:rsidP="000B0453">
            <w:pPr>
              <w:jc w:val="both"/>
              <w:rPr>
                <w:rFonts w:cs="Tahoma"/>
                <w:szCs w:val="20"/>
                <w:lang w:val="fr-FR" w:eastAsia="en-US"/>
              </w:rPr>
            </w:pPr>
            <w:r w:rsidRPr="00ED6B34">
              <w:rPr>
                <w:bCs/>
                <w:sz w:val="20"/>
                <w:szCs w:val="20"/>
                <w:lang w:val="fr-FR" w:eastAsia="en-US"/>
              </w:rPr>
              <w:t xml:space="preserve">Nbre de personnes touchées par les informations </w:t>
            </w:r>
            <w:r w:rsidRPr="00ED6B34">
              <w:rPr>
                <w:bCs/>
                <w:sz w:val="20"/>
                <w:szCs w:val="20"/>
                <w:lang w:val="fr-FR" w:eastAsia="en-US"/>
              </w:rPr>
              <w:lastRenderedPageBreak/>
              <w:t>disséminées, désagrégé par sexe et âge.</w:t>
            </w:r>
          </w:p>
        </w:tc>
        <w:tc>
          <w:tcPr>
            <w:tcW w:w="1530" w:type="dxa"/>
            <w:shd w:val="clear" w:color="auto" w:fill="EEECE1"/>
          </w:tcPr>
          <w:p w14:paraId="5A767D25" w14:textId="3E9CBC13" w:rsidR="000B0453" w:rsidRPr="005A6420" w:rsidRDefault="000B0453" w:rsidP="000B0453">
            <w:pPr>
              <w:rPr>
                <w:lang w:val="fr-FR"/>
              </w:rPr>
            </w:pPr>
            <w:r w:rsidRPr="00EB7677">
              <w:rPr>
                <w:b/>
                <w:sz w:val="20"/>
                <w:szCs w:val="20"/>
                <w:lang w:val="fr-FR"/>
              </w:rPr>
              <w:lastRenderedPageBreak/>
              <w:t>0</w:t>
            </w:r>
          </w:p>
        </w:tc>
        <w:tc>
          <w:tcPr>
            <w:tcW w:w="1620" w:type="dxa"/>
            <w:shd w:val="clear" w:color="auto" w:fill="EEECE1"/>
          </w:tcPr>
          <w:p w14:paraId="0EABED3B" w14:textId="1DE80A22" w:rsidR="000B0453" w:rsidRPr="005A6420" w:rsidRDefault="000B0453" w:rsidP="000B0453">
            <w:pPr>
              <w:rPr>
                <w:lang w:val="fr-FR"/>
              </w:rPr>
            </w:pPr>
            <w:r w:rsidRPr="00EB7677">
              <w:rPr>
                <w:b/>
                <w:sz w:val="20"/>
                <w:szCs w:val="20"/>
                <w:lang w:val="fr-FR"/>
              </w:rPr>
              <w:t>32 300</w:t>
            </w:r>
          </w:p>
        </w:tc>
        <w:tc>
          <w:tcPr>
            <w:tcW w:w="2070" w:type="dxa"/>
          </w:tcPr>
          <w:p w14:paraId="62CB7984" w14:textId="77777777" w:rsidR="000B0453" w:rsidRPr="004055DB" w:rsidRDefault="000B0453" w:rsidP="000B0453">
            <w:pPr>
              <w:rPr>
                <w:b/>
                <w:sz w:val="20"/>
                <w:szCs w:val="20"/>
                <w:lang w:val="fr-FR" w:eastAsia="en-US"/>
              </w:rPr>
            </w:pPr>
            <w:r w:rsidRPr="004055DB">
              <w:rPr>
                <w:b/>
                <w:sz w:val="20"/>
                <w:szCs w:val="20"/>
                <w:lang w:val="fr-FR" w:eastAsia="en-US"/>
              </w:rPr>
              <w:fldChar w:fldCharType="begin">
                <w:ffData>
                  <w:name w:val=""/>
                  <w:enabled/>
                  <w:calcOnExit w:val="0"/>
                  <w:textInput>
                    <w:default w:val="16000"/>
                    <w:maxLength w:val="300"/>
                  </w:textInput>
                </w:ffData>
              </w:fldChar>
            </w:r>
            <w:r w:rsidRPr="004055DB">
              <w:rPr>
                <w:b/>
                <w:sz w:val="20"/>
                <w:szCs w:val="20"/>
                <w:lang w:val="fr-FR" w:eastAsia="en-US"/>
              </w:rPr>
              <w:instrText xml:space="preserve"> FORMTEXT </w:instrText>
            </w:r>
            <w:r w:rsidRPr="004055DB">
              <w:rPr>
                <w:b/>
                <w:sz w:val="20"/>
                <w:szCs w:val="20"/>
                <w:lang w:val="fr-FR" w:eastAsia="en-US"/>
              </w:rPr>
            </w:r>
            <w:r w:rsidRPr="004055DB">
              <w:rPr>
                <w:b/>
                <w:sz w:val="20"/>
                <w:szCs w:val="20"/>
                <w:lang w:val="fr-FR" w:eastAsia="en-US"/>
              </w:rPr>
              <w:fldChar w:fldCharType="separate"/>
            </w:r>
            <w:r w:rsidRPr="004055DB">
              <w:rPr>
                <w:b/>
                <w:noProof/>
                <w:sz w:val="20"/>
                <w:szCs w:val="20"/>
                <w:lang w:val="fr-FR" w:eastAsia="en-US"/>
              </w:rPr>
              <w:t>16000</w:t>
            </w:r>
            <w:r w:rsidRPr="004055DB">
              <w:rPr>
                <w:b/>
                <w:sz w:val="20"/>
                <w:szCs w:val="20"/>
                <w:lang w:val="fr-FR" w:eastAsia="en-US"/>
              </w:rPr>
              <w:fldChar w:fldCharType="end"/>
            </w:r>
            <w:r w:rsidRPr="004055DB">
              <w:rPr>
                <w:b/>
                <w:sz w:val="20"/>
                <w:szCs w:val="20"/>
                <w:lang w:val="fr-FR" w:eastAsia="en-US"/>
              </w:rPr>
              <w:t xml:space="preserve"> en 2021</w:t>
            </w:r>
          </w:p>
          <w:p w14:paraId="74B89C6A" w14:textId="69D97D09" w:rsidR="000B0453" w:rsidRPr="005A6420" w:rsidRDefault="000B0453" w:rsidP="000B0453">
            <w:pPr>
              <w:rPr>
                <w:lang w:val="fr-FR"/>
              </w:rPr>
            </w:pPr>
            <w:r w:rsidRPr="004055DB">
              <w:rPr>
                <w:b/>
                <w:sz w:val="20"/>
                <w:szCs w:val="20"/>
                <w:lang w:val="fr-FR" w:eastAsia="en-US"/>
              </w:rPr>
              <w:t>60 en 2022 par ONU Femmes</w:t>
            </w:r>
          </w:p>
        </w:tc>
        <w:tc>
          <w:tcPr>
            <w:tcW w:w="2070" w:type="dxa"/>
          </w:tcPr>
          <w:p w14:paraId="6955803F" w14:textId="587999E7" w:rsidR="000B0453" w:rsidRPr="005A6420" w:rsidRDefault="00CC1EED" w:rsidP="000B0453">
            <w:pPr>
              <w:rPr>
                <w:lang w:val="fr-FR"/>
              </w:rPr>
            </w:pPr>
            <w:r w:rsidRPr="00CC1EED">
              <w:rPr>
                <w:b/>
                <w:bCs/>
                <w:sz w:val="20"/>
                <w:szCs w:val="20"/>
                <w:lang w:val="fr-FR" w:eastAsia="en-US"/>
              </w:rPr>
              <w:t>Activité en cours</w:t>
            </w:r>
            <w:r w:rsidRPr="00CC1EED" w:rsidDel="00CC1EED">
              <w:rPr>
                <w:b/>
                <w:bCs/>
                <w:sz w:val="20"/>
                <w:szCs w:val="20"/>
                <w:lang w:val="fr-FR" w:eastAsia="en-US"/>
              </w:rPr>
              <w:t xml:space="preserve"> </w:t>
            </w:r>
            <w:r w:rsidRPr="00EB7677" w:rsidDel="00CC1EED">
              <w:rPr>
                <w:b/>
                <w:bCs/>
                <w:sz w:val="20"/>
                <w:szCs w:val="20"/>
                <w:lang w:val="fr-FR" w:eastAsia="en-US"/>
              </w:rPr>
              <w:t xml:space="preserve"> </w:t>
            </w:r>
          </w:p>
        </w:tc>
        <w:tc>
          <w:tcPr>
            <w:tcW w:w="4140" w:type="dxa"/>
          </w:tcPr>
          <w:p w14:paraId="1025E6E7" w14:textId="4B26A431" w:rsidR="000B0453" w:rsidRPr="005A6420" w:rsidRDefault="000B0453" w:rsidP="000B0453">
            <w:pPr>
              <w:rPr>
                <w:lang w:val="fr-FR"/>
              </w:rPr>
            </w:pPr>
          </w:p>
        </w:tc>
      </w:tr>
      <w:tr w:rsidR="000B0453" w:rsidRPr="005A6420" w14:paraId="46B909A3" w14:textId="77777777" w:rsidTr="00445152">
        <w:trPr>
          <w:trHeight w:val="458"/>
        </w:trPr>
        <w:tc>
          <w:tcPr>
            <w:tcW w:w="1530" w:type="dxa"/>
            <w:vMerge/>
          </w:tcPr>
          <w:p w14:paraId="445D91CD" w14:textId="77777777" w:rsidR="000B0453" w:rsidRPr="005A6420" w:rsidRDefault="000B0453" w:rsidP="000B0453">
            <w:pPr>
              <w:rPr>
                <w:rFonts w:cs="Tahoma"/>
                <w:szCs w:val="20"/>
                <w:lang w:val="fr-FR" w:eastAsia="en-US"/>
              </w:rPr>
            </w:pPr>
            <w:bookmarkStart w:id="18" w:name="_Hlk105690233"/>
          </w:p>
        </w:tc>
        <w:tc>
          <w:tcPr>
            <w:tcW w:w="2070" w:type="dxa"/>
            <w:shd w:val="clear" w:color="auto" w:fill="EEECE1"/>
          </w:tcPr>
          <w:p w14:paraId="4DFDDFD8" w14:textId="49843207" w:rsidR="000B0453" w:rsidRPr="00ED6B34" w:rsidRDefault="000B0453" w:rsidP="000B0453">
            <w:pPr>
              <w:jc w:val="both"/>
              <w:rPr>
                <w:b/>
                <w:bCs/>
                <w:sz w:val="20"/>
                <w:szCs w:val="20"/>
                <w:lang w:val="fr-FR" w:eastAsia="en-US"/>
              </w:rPr>
            </w:pPr>
            <w:r w:rsidRPr="00ED6B34">
              <w:rPr>
                <w:b/>
                <w:bCs/>
                <w:sz w:val="20"/>
                <w:szCs w:val="20"/>
                <w:lang w:val="fr-FR" w:eastAsia="en-US"/>
              </w:rPr>
              <w:t>Indicateur 3.</w:t>
            </w:r>
            <w:r>
              <w:rPr>
                <w:b/>
                <w:bCs/>
                <w:sz w:val="20"/>
                <w:szCs w:val="20"/>
                <w:lang w:val="fr-FR" w:eastAsia="en-US"/>
              </w:rPr>
              <w:t>3</w:t>
            </w:r>
          </w:p>
          <w:p w14:paraId="643BF94A" w14:textId="6792A67F" w:rsidR="000B0453" w:rsidRPr="005A6420" w:rsidRDefault="000B0453" w:rsidP="000B0453">
            <w:pPr>
              <w:jc w:val="both"/>
              <w:rPr>
                <w:rFonts w:cs="Tahoma"/>
                <w:szCs w:val="20"/>
                <w:lang w:val="fr-FR" w:eastAsia="en-US"/>
              </w:rPr>
            </w:pPr>
            <w:r w:rsidRPr="00ED6B34">
              <w:rPr>
                <w:bCs/>
                <w:sz w:val="20"/>
                <w:szCs w:val="20"/>
                <w:lang w:val="fr-FR" w:eastAsia="en-US"/>
              </w:rPr>
              <w:t>Nbre de dossiers soumis à la CNDH et traités par les autorités judiciaires concernées</w:t>
            </w:r>
          </w:p>
        </w:tc>
        <w:tc>
          <w:tcPr>
            <w:tcW w:w="1530" w:type="dxa"/>
            <w:shd w:val="clear" w:color="auto" w:fill="EEECE1"/>
          </w:tcPr>
          <w:p w14:paraId="6BD78005" w14:textId="000A3766" w:rsidR="000B0453" w:rsidRPr="005A6420" w:rsidRDefault="000B0453" w:rsidP="000B0453">
            <w:pPr>
              <w:rPr>
                <w:b/>
                <w:sz w:val="22"/>
                <w:szCs w:val="22"/>
                <w:lang w:val="fr-FR" w:eastAsia="en-US"/>
              </w:rPr>
            </w:pPr>
            <w:r w:rsidRPr="00EB7677">
              <w:rPr>
                <w:b/>
                <w:sz w:val="20"/>
                <w:szCs w:val="20"/>
                <w:lang w:val="fr-FR"/>
              </w:rPr>
              <w:t>0</w:t>
            </w:r>
          </w:p>
        </w:tc>
        <w:tc>
          <w:tcPr>
            <w:tcW w:w="1620" w:type="dxa"/>
            <w:shd w:val="clear" w:color="auto" w:fill="EEECE1"/>
          </w:tcPr>
          <w:p w14:paraId="45572E7C" w14:textId="22FBEEB1" w:rsidR="000B0453" w:rsidRPr="005A6420" w:rsidRDefault="000B0453" w:rsidP="000B0453">
            <w:pPr>
              <w:rPr>
                <w:b/>
                <w:sz w:val="22"/>
                <w:szCs w:val="22"/>
                <w:lang w:val="fr-FR" w:eastAsia="en-US"/>
              </w:rPr>
            </w:pPr>
            <w:r w:rsidRPr="00EB7677">
              <w:rPr>
                <w:b/>
                <w:sz w:val="20"/>
                <w:szCs w:val="20"/>
                <w:lang w:val="fr-FR"/>
              </w:rPr>
              <w:t>50</w:t>
            </w:r>
          </w:p>
        </w:tc>
        <w:tc>
          <w:tcPr>
            <w:tcW w:w="2070" w:type="dxa"/>
          </w:tcPr>
          <w:p w14:paraId="3C9F2FD3" w14:textId="136F2431" w:rsidR="000B0453" w:rsidRPr="005A6420" w:rsidRDefault="000B0453" w:rsidP="000B0453">
            <w:pPr>
              <w:rPr>
                <w:b/>
                <w:sz w:val="22"/>
                <w:szCs w:val="22"/>
                <w:lang w:val="fr-FR" w:eastAsia="en-US"/>
              </w:rPr>
            </w:pPr>
          </w:p>
        </w:tc>
        <w:tc>
          <w:tcPr>
            <w:tcW w:w="2070" w:type="dxa"/>
          </w:tcPr>
          <w:p w14:paraId="41FA9741" w14:textId="06A07193" w:rsidR="000B0453" w:rsidRPr="005A6420" w:rsidRDefault="00C85138" w:rsidP="000B0453">
            <w:pPr>
              <w:rPr>
                <w:b/>
                <w:sz w:val="22"/>
                <w:szCs w:val="22"/>
                <w:lang w:val="fr-FR" w:eastAsia="en-US"/>
              </w:rPr>
            </w:pPr>
            <w:r>
              <w:rPr>
                <w:b/>
                <w:sz w:val="22"/>
                <w:szCs w:val="22"/>
                <w:lang w:val="fr-FR" w:eastAsia="en-US"/>
              </w:rPr>
              <w:t>30</w:t>
            </w:r>
          </w:p>
        </w:tc>
        <w:tc>
          <w:tcPr>
            <w:tcW w:w="4140" w:type="dxa"/>
          </w:tcPr>
          <w:p w14:paraId="45897E24" w14:textId="04A700A9" w:rsidR="000B0453" w:rsidRPr="005A6420" w:rsidRDefault="000B0453" w:rsidP="000B0453">
            <w:pPr>
              <w:rPr>
                <w:b/>
                <w:sz w:val="22"/>
                <w:szCs w:val="22"/>
                <w:lang w:val="fr-FR" w:eastAsia="en-US"/>
              </w:rPr>
            </w:pPr>
          </w:p>
        </w:tc>
      </w:tr>
      <w:bookmarkEnd w:id="18"/>
      <w:tr w:rsidR="000B0453" w:rsidRPr="00CD2513" w14:paraId="2BF58059" w14:textId="77777777" w:rsidTr="00445152">
        <w:trPr>
          <w:trHeight w:val="458"/>
        </w:trPr>
        <w:tc>
          <w:tcPr>
            <w:tcW w:w="1530" w:type="dxa"/>
          </w:tcPr>
          <w:p w14:paraId="5BAADD71" w14:textId="77777777" w:rsidR="000B0453" w:rsidRPr="00ED6B34" w:rsidRDefault="000B0453" w:rsidP="000B0453">
            <w:pPr>
              <w:rPr>
                <w:sz w:val="20"/>
                <w:szCs w:val="20"/>
                <w:lang w:val="fr-FR" w:eastAsia="en-US"/>
              </w:rPr>
            </w:pPr>
            <w:r w:rsidRPr="00ED6B34">
              <w:rPr>
                <w:sz w:val="20"/>
                <w:szCs w:val="20"/>
                <w:lang w:val="fr-FR" w:eastAsia="en-US"/>
              </w:rPr>
              <w:t>Produit 3.1</w:t>
            </w:r>
          </w:p>
          <w:p w14:paraId="5CB89764" w14:textId="44FE1975" w:rsidR="000B0453" w:rsidRPr="005A6420" w:rsidRDefault="000B0453" w:rsidP="000B0453">
            <w:pPr>
              <w:rPr>
                <w:rFonts w:cs="Tahoma"/>
                <w:szCs w:val="20"/>
                <w:lang w:val="fr-FR" w:eastAsia="en-US"/>
              </w:rPr>
            </w:pPr>
            <w:r w:rsidRPr="00ED6B34">
              <w:rPr>
                <w:sz w:val="20"/>
                <w:szCs w:val="20"/>
                <w:lang w:val="fr-FR"/>
              </w:rPr>
              <w:t>Une stratégie d'aide aux victimes de violation des droits de l'homme visant à assurer qu'elles reçoivent des informations, un soutien et une protection adéquats en vue de garantir leurs droits est élaborée et mise en œuvre</w:t>
            </w:r>
          </w:p>
        </w:tc>
        <w:tc>
          <w:tcPr>
            <w:tcW w:w="2070" w:type="dxa"/>
            <w:shd w:val="clear" w:color="auto" w:fill="EEECE1"/>
          </w:tcPr>
          <w:p w14:paraId="5EFE05E8" w14:textId="77777777" w:rsidR="000B0453" w:rsidRPr="00ED6B34" w:rsidRDefault="000B0453" w:rsidP="000B0453">
            <w:pPr>
              <w:jc w:val="both"/>
              <w:rPr>
                <w:b/>
                <w:bCs/>
                <w:sz w:val="20"/>
                <w:szCs w:val="20"/>
                <w:lang w:val="fr-FR" w:eastAsia="en-US"/>
              </w:rPr>
            </w:pPr>
            <w:r w:rsidRPr="00ED6B34">
              <w:rPr>
                <w:b/>
                <w:bCs/>
                <w:sz w:val="20"/>
                <w:szCs w:val="20"/>
                <w:lang w:val="fr-FR" w:eastAsia="en-US"/>
              </w:rPr>
              <w:t>Indicateur 3.1.1</w:t>
            </w:r>
          </w:p>
          <w:p w14:paraId="523583F3" w14:textId="77777777" w:rsidR="000B0453" w:rsidRPr="00EB7677" w:rsidRDefault="000B0453" w:rsidP="000B0453">
            <w:pPr>
              <w:rPr>
                <w:sz w:val="20"/>
                <w:szCs w:val="20"/>
                <w:lang w:val="fr-FR"/>
              </w:rPr>
            </w:pPr>
            <w:r w:rsidRPr="00EB7677">
              <w:rPr>
                <w:sz w:val="20"/>
                <w:szCs w:val="20"/>
                <w:lang w:val="fr-FR"/>
              </w:rPr>
              <w:t xml:space="preserve">Nombre de personnes </w:t>
            </w:r>
            <w:r w:rsidRPr="00EB7677">
              <w:rPr>
                <w:b/>
                <w:bCs/>
                <w:sz w:val="20"/>
                <w:szCs w:val="20"/>
                <w:lang w:val="fr-FR"/>
              </w:rPr>
              <w:t>(victimes directes et indirectes)</w:t>
            </w:r>
            <w:r w:rsidRPr="00EB7677">
              <w:rPr>
                <w:sz w:val="20"/>
                <w:szCs w:val="20"/>
                <w:lang w:val="fr-FR"/>
              </w:rPr>
              <w:t xml:space="preserve"> ayant bénéficié d’une assistance par rapport au nombre de personnes recensées</w:t>
            </w:r>
          </w:p>
          <w:p w14:paraId="3094AEB2" w14:textId="77777777" w:rsidR="000B0453" w:rsidRPr="00ED6B34" w:rsidRDefault="000B0453" w:rsidP="000B0453">
            <w:pPr>
              <w:jc w:val="both"/>
              <w:rPr>
                <w:b/>
                <w:bCs/>
                <w:sz w:val="20"/>
                <w:szCs w:val="20"/>
                <w:lang w:val="fr-FR" w:eastAsia="en-US"/>
              </w:rPr>
            </w:pPr>
          </w:p>
        </w:tc>
        <w:tc>
          <w:tcPr>
            <w:tcW w:w="1530" w:type="dxa"/>
            <w:shd w:val="clear" w:color="auto" w:fill="EEECE1"/>
          </w:tcPr>
          <w:p w14:paraId="52FEB48F" w14:textId="6A13E5FB" w:rsidR="000B0453" w:rsidRPr="00EB7677" w:rsidRDefault="000B0453" w:rsidP="000B0453">
            <w:pPr>
              <w:rPr>
                <w:b/>
                <w:sz w:val="20"/>
                <w:szCs w:val="20"/>
                <w:lang w:val="fr-FR"/>
              </w:rPr>
            </w:pPr>
            <w:r w:rsidRPr="00EB7677">
              <w:rPr>
                <w:b/>
                <w:sz w:val="20"/>
                <w:szCs w:val="20"/>
                <w:lang w:val="fr-FR"/>
              </w:rPr>
              <w:t>0</w:t>
            </w:r>
          </w:p>
        </w:tc>
        <w:tc>
          <w:tcPr>
            <w:tcW w:w="1620" w:type="dxa"/>
            <w:shd w:val="clear" w:color="auto" w:fill="EEECE1"/>
          </w:tcPr>
          <w:p w14:paraId="1061C03F" w14:textId="186AACD2" w:rsidR="000B0453" w:rsidRPr="00EB7677" w:rsidRDefault="000B0453" w:rsidP="000B0453">
            <w:pPr>
              <w:rPr>
                <w:b/>
                <w:sz w:val="20"/>
                <w:szCs w:val="20"/>
                <w:lang w:val="fr-FR"/>
              </w:rPr>
            </w:pPr>
            <w:r w:rsidRPr="00EB7677">
              <w:rPr>
                <w:b/>
                <w:sz w:val="20"/>
                <w:szCs w:val="20"/>
                <w:lang w:val="fr-FR"/>
              </w:rPr>
              <w:t>350 dont 150 femmes</w:t>
            </w:r>
          </w:p>
        </w:tc>
        <w:tc>
          <w:tcPr>
            <w:tcW w:w="2070" w:type="dxa"/>
          </w:tcPr>
          <w:p w14:paraId="1118F2C0" w14:textId="77777777" w:rsidR="000B0453" w:rsidRPr="005A6420" w:rsidDel="00CA1648" w:rsidRDefault="000B0453" w:rsidP="000B0453">
            <w:pPr>
              <w:rPr>
                <w:b/>
                <w:sz w:val="22"/>
                <w:szCs w:val="22"/>
                <w:lang w:val="fr-FR" w:eastAsia="en-US"/>
              </w:rPr>
            </w:pPr>
          </w:p>
        </w:tc>
        <w:tc>
          <w:tcPr>
            <w:tcW w:w="2070" w:type="dxa"/>
          </w:tcPr>
          <w:p w14:paraId="05257CA1" w14:textId="5D8D1F49" w:rsidR="000B0453" w:rsidRPr="00EB7677" w:rsidRDefault="00CC1EED" w:rsidP="000B0453">
            <w:pPr>
              <w:rPr>
                <w:b/>
                <w:bCs/>
                <w:sz w:val="20"/>
                <w:szCs w:val="20"/>
                <w:lang w:val="fr-FR" w:eastAsia="en-US"/>
              </w:rPr>
            </w:pPr>
            <w:r>
              <w:rPr>
                <w:b/>
                <w:bCs/>
                <w:sz w:val="20"/>
                <w:szCs w:val="20"/>
                <w:lang w:val="fr-FR" w:eastAsia="en-US"/>
              </w:rPr>
              <w:t xml:space="preserve">327 victimes </w:t>
            </w:r>
          </w:p>
        </w:tc>
        <w:tc>
          <w:tcPr>
            <w:tcW w:w="4140" w:type="dxa"/>
          </w:tcPr>
          <w:p w14:paraId="0A2AEDE7" w14:textId="09F62BDC" w:rsidR="000B0453" w:rsidRPr="00ED6B34" w:rsidRDefault="000B0453" w:rsidP="000B0453">
            <w:pPr>
              <w:rPr>
                <w:sz w:val="20"/>
                <w:szCs w:val="20"/>
                <w:lang w:val="fr-FR" w:eastAsia="en-US"/>
              </w:rPr>
            </w:pPr>
          </w:p>
        </w:tc>
      </w:tr>
      <w:tr w:rsidR="000B0453" w:rsidRPr="000B0453" w14:paraId="2305F218" w14:textId="77777777" w:rsidTr="00445152">
        <w:trPr>
          <w:trHeight w:val="458"/>
        </w:trPr>
        <w:tc>
          <w:tcPr>
            <w:tcW w:w="1530" w:type="dxa"/>
          </w:tcPr>
          <w:p w14:paraId="42FAEFE9" w14:textId="77777777" w:rsidR="000B0453" w:rsidRPr="005A6420" w:rsidRDefault="000B0453" w:rsidP="000B0453">
            <w:pPr>
              <w:rPr>
                <w:rFonts w:cs="Tahoma"/>
                <w:szCs w:val="20"/>
                <w:lang w:val="fr-FR" w:eastAsia="en-US"/>
              </w:rPr>
            </w:pPr>
          </w:p>
        </w:tc>
        <w:tc>
          <w:tcPr>
            <w:tcW w:w="2070" w:type="dxa"/>
            <w:shd w:val="clear" w:color="auto" w:fill="EEECE1"/>
          </w:tcPr>
          <w:p w14:paraId="3B8D40B2" w14:textId="77777777" w:rsidR="000B0453" w:rsidRPr="00ED6B34" w:rsidRDefault="000B0453" w:rsidP="000B0453">
            <w:pPr>
              <w:jc w:val="both"/>
              <w:rPr>
                <w:b/>
                <w:bCs/>
                <w:sz w:val="20"/>
                <w:szCs w:val="20"/>
                <w:lang w:val="fr-FR" w:eastAsia="en-US"/>
              </w:rPr>
            </w:pPr>
            <w:r w:rsidRPr="00ED6B34">
              <w:rPr>
                <w:b/>
                <w:bCs/>
                <w:sz w:val="20"/>
                <w:szCs w:val="20"/>
                <w:lang w:val="fr-FR" w:eastAsia="en-US"/>
              </w:rPr>
              <w:t>Indicateur 3.1.2</w:t>
            </w:r>
          </w:p>
          <w:p w14:paraId="2FD2A665" w14:textId="34F7BD37" w:rsidR="000B0453" w:rsidRPr="00ED6B34" w:rsidRDefault="000B0453" w:rsidP="000B0453">
            <w:pPr>
              <w:jc w:val="both"/>
              <w:rPr>
                <w:b/>
                <w:bCs/>
                <w:sz w:val="20"/>
                <w:szCs w:val="20"/>
                <w:lang w:val="fr-FR" w:eastAsia="en-US"/>
              </w:rPr>
            </w:pPr>
            <w:r w:rsidRPr="00ED6B34">
              <w:rPr>
                <w:bCs/>
                <w:sz w:val="20"/>
                <w:szCs w:val="20"/>
                <w:lang w:val="fr-FR" w:eastAsia="en-US"/>
              </w:rPr>
              <w:t>Nbre de réunions /plaidoyers portant sur le développement d’une stratégie nationale de protection des victimes et des témoins</w:t>
            </w:r>
          </w:p>
        </w:tc>
        <w:tc>
          <w:tcPr>
            <w:tcW w:w="1530" w:type="dxa"/>
            <w:shd w:val="clear" w:color="auto" w:fill="EEECE1"/>
          </w:tcPr>
          <w:p w14:paraId="3F4647FC" w14:textId="1F22A493" w:rsidR="000B0453" w:rsidRPr="00EB7677" w:rsidRDefault="000B0453" w:rsidP="000B0453">
            <w:pPr>
              <w:rPr>
                <w:b/>
                <w:sz w:val="20"/>
                <w:szCs w:val="20"/>
                <w:lang w:val="fr-FR"/>
              </w:rPr>
            </w:pPr>
            <w:r w:rsidRPr="00EB7677">
              <w:rPr>
                <w:b/>
                <w:sz w:val="20"/>
                <w:szCs w:val="20"/>
                <w:lang w:val="fr-FR"/>
              </w:rPr>
              <w:t>0</w:t>
            </w:r>
          </w:p>
        </w:tc>
        <w:tc>
          <w:tcPr>
            <w:tcW w:w="1620" w:type="dxa"/>
            <w:shd w:val="clear" w:color="auto" w:fill="EEECE1"/>
          </w:tcPr>
          <w:p w14:paraId="0644597B" w14:textId="0F105AB8" w:rsidR="000B0453" w:rsidRPr="00EB7677" w:rsidRDefault="000B0453" w:rsidP="000B0453">
            <w:pPr>
              <w:rPr>
                <w:b/>
                <w:sz w:val="20"/>
                <w:szCs w:val="20"/>
                <w:lang w:val="fr-FR"/>
              </w:rPr>
            </w:pPr>
            <w:r w:rsidRPr="00EB7677">
              <w:rPr>
                <w:b/>
                <w:sz w:val="20"/>
                <w:szCs w:val="20"/>
                <w:lang w:val="fr-FR"/>
              </w:rPr>
              <w:t>1</w:t>
            </w:r>
          </w:p>
        </w:tc>
        <w:tc>
          <w:tcPr>
            <w:tcW w:w="2070" w:type="dxa"/>
          </w:tcPr>
          <w:p w14:paraId="07296960" w14:textId="016A1A90" w:rsidR="000B0453" w:rsidRPr="005A6420" w:rsidDel="00CA1648" w:rsidRDefault="00D91039" w:rsidP="000B0453">
            <w:pPr>
              <w:rPr>
                <w:b/>
                <w:sz w:val="22"/>
                <w:szCs w:val="22"/>
                <w:lang w:val="fr-FR" w:eastAsia="en-US"/>
              </w:rPr>
            </w:pPr>
            <w:r>
              <w:rPr>
                <w:b/>
                <w:sz w:val="20"/>
                <w:szCs w:val="20"/>
                <w:lang w:val="fr-FR" w:eastAsia="en-US"/>
              </w:rPr>
              <w:t>1</w:t>
            </w:r>
          </w:p>
        </w:tc>
        <w:tc>
          <w:tcPr>
            <w:tcW w:w="2070" w:type="dxa"/>
          </w:tcPr>
          <w:p w14:paraId="5ABC495C" w14:textId="162F9C0A" w:rsidR="000B0453" w:rsidRPr="00EB7677" w:rsidRDefault="00D91039" w:rsidP="000B0453">
            <w:pPr>
              <w:rPr>
                <w:b/>
                <w:bCs/>
                <w:sz w:val="20"/>
                <w:szCs w:val="20"/>
                <w:lang w:val="fr-FR" w:eastAsia="en-US"/>
              </w:rPr>
            </w:pPr>
            <w:r>
              <w:rPr>
                <w:b/>
                <w:bCs/>
                <w:sz w:val="20"/>
                <w:szCs w:val="20"/>
                <w:lang w:val="fr-FR" w:eastAsia="en-US"/>
              </w:rPr>
              <w:t>1</w:t>
            </w:r>
          </w:p>
        </w:tc>
        <w:tc>
          <w:tcPr>
            <w:tcW w:w="4140" w:type="dxa"/>
          </w:tcPr>
          <w:p w14:paraId="04574530" w14:textId="24DA2EF1" w:rsidR="000B0453" w:rsidRPr="00ED6B34" w:rsidRDefault="000B0453" w:rsidP="000B0453">
            <w:pPr>
              <w:rPr>
                <w:sz w:val="20"/>
                <w:szCs w:val="20"/>
                <w:lang w:val="fr-FR" w:eastAsia="en-US"/>
              </w:rPr>
            </w:pPr>
          </w:p>
        </w:tc>
      </w:tr>
      <w:tr w:rsidR="000B0453" w:rsidRPr="000B0453" w14:paraId="2AE391B7" w14:textId="77777777" w:rsidTr="00445152">
        <w:trPr>
          <w:trHeight w:val="458"/>
        </w:trPr>
        <w:tc>
          <w:tcPr>
            <w:tcW w:w="1530" w:type="dxa"/>
          </w:tcPr>
          <w:p w14:paraId="7D0393DB" w14:textId="77777777" w:rsidR="000B0453" w:rsidRPr="00ED6B34" w:rsidRDefault="000B0453" w:rsidP="000B0453">
            <w:pPr>
              <w:rPr>
                <w:sz w:val="20"/>
                <w:szCs w:val="20"/>
                <w:lang w:val="fr-FR" w:eastAsia="en-US"/>
              </w:rPr>
            </w:pPr>
            <w:r w:rsidRPr="00ED6B34">
              <w:rPr>
                <w:sz w:val="20"/>
                <w:szCs w:val="20"/>
                <w:lang w:val="fr-FR" w:eastAsia="en-US"/>
              </w:rPr>
              <w:t>Produit 3.2</w:t>
            </w:r>
          </w:p>
          <w:p w14:paraId="486A69C3" w14:textId="0D4C2210" w:rsidR="000B0453" w:rsidRPr="005A6420" w:rsidRDefault="000B0453" w:rsidP="000B0453">
            <w:pPr>
              <w:rPr>
                <w:rFonts w:cs="Tahoma"/>
                <w:szCs w:val="20"/>
                <w:lang w:val="fr-FR" w:eastAsia="en-US"/>
              </w:rPr>
            </w:pPr>
            <w:r w:rsidRPr="00ED6B34">
              <w:rPr>
                <w:sz w:val="20"/>
                <w:szCs w:val="20"/>
                <w:lang w:val="fr-FR" w:eastAsia="en-US"/>
              </w:rPr>
              <w:t xml:space="preserve">Les OSC, y compris les </w:t>
            </w:r>
            <w:r w:rsidRPr="00ED6B34">
              <w:rPr>
                <w:sz w:val="20"/>
                <w:szCs w:val="20"/>
                <w:lang w:val="fr-FR" w:eastAsia="en-US"/>
              </w:rPr>
              <w:lastRenderedPageBreak/>
              <w:t>organisations de femmes et de jeunes, le public en général et les médias sont mieux informés sur les droits relatifs à l'accès à la justice et aux procédures judiciaires</w:t>
            </w:r>
          </w:p>
        </w:tc>
        <w:tc>
          <w:tcPr>
            <w:tcW w:w="2070" w:type="dxa"/>
            <w:shd w:val="clear" w:color="auto" w:fill="EEECE1"/>
          </w:tcPr>
          <w:p w14:paraId="3CC369B3" w14:textId="77777777" w:rsidR="000B0453" w:rsidRPr="00ED6B34" w:rsidRDefault="000B0453" w:rsidP="000B0453">
            <w:pPr>
              <w:jc w:val="both"/>
              <w:rPr>
                <w:b/>
                <w:bCs/>
                <w:sz w:val="20"/>
                <w:szCs w:val="20"/>
                <w:lang w:val="fr-FR" w:eastAsia="en-US"/>
              </w:rPr>
            </w:pPr>
            <w:r w:rsidRPr="00ED6B34">
              <w:rPr>
                <w:b/>
                <w:bCs/>
                <w:sz w:val="20"/>
                <w:szCs w:val="20"/>
                <w:lang w:val="fr-FR" w:eastAsia="en-US"/>
              </w:rPr>
              <w:lastRenderedPageBreak/>
              <w:t>Indicateur 3.2.1</w:t>
            </w:r>
          </w:p>
          <w:p w14:paraId="35683761" w14:textId="2FBAC01C" w:rsidR="000B0453" w:rsidRPr="00ED6B34" w:rsidRDefault="000B0453" w:rsidP="000B0453">
            <w:pPr>
              <w:jc w:val="both"/>
              <w:rPr>
                <w:b/>
                <w:bCs/>
                <w:sz w:val="20"/>
                <w:szCs w:val="20"/>
                <w:lang w:val="fr-FR" w:eastAsia="en-US"/>
              </w:rPr>
            </w:pPr>
            <w:r w:rsidRPr="00ED6B34">
              <w:rPr>
                <w:bCs/>
                <w:sz w:val="20"/>
                <w:szCs w:val="20"/>
                <w:lang w:val="fr-FR" w:eastAsia="en-US"/>
              </w:rPr>
              <w:t>Nbre d’émissions produits</w:t>
            </w:r>
          </w:p>
        </w:tc>
        <w:tc>
          <w:tcPr>
            <w:tcW w:w="1530" w:type="dxa"/>
            <w:shd w:val="clear" w:color="auto" w:fill="EEECE1"/>
          </w:tcPr>
          <w:p w14:paraId="7A216066" w14:textId="2A68C1F9" w:rsidR="000B0453" w:rsidRPr="00EB7677" w:rsidRDefault="000B0453" w:rsidP="000B0453">
            <w:pPr>
              <w:rPr>
                <w:b/>
                <w:sz w:val="20"/>
                <w:szCs w:val="20"/>
                <w:lang w:val="fr-FR"/>
              </w:rPr>
            </w:pPr>
            <w:r w:rsidRPr="00784490">
              <w:rPr>
                <w:b/>
                <w:sz w:val="20"/>
                <w:szCs w:val="20"/>
                <w:lang w:val="fr-FR" w:eastAsia="en-US"/>
              </w:rPr>
              <w:t>0</w:t>
            </w:r>
          </w:p>
        </w:tc>
        <w:tc>
          <w:tcPr>
            <w:tcW w:w="1620" w:type="dxa"/>
            <w:shd w:val="clear" w:color="auto" w:fill="EEECE1"/>
          </w:tcPr>
          <w:p w14:paraId="6D7C12ED" w14:textId="0FE63218" w:rsidR="000B0453" w:rsidRPr="00EB7677" w:rsidRDefault="000B0453" w:rsidP="000B0453">
            <w:pPr>
              <w:rPr>
                <w:b/>
                <w:sz w:val="20"/>
                <w:szCs w:val="20"/>
                <w:lang w:val="fr-FR"/>
              </w:rPr>
            </w:pPr>
            <w:r w:rsidRPr="00784490">
              <w:rPr>
                <w:b/>
                <w:sz w:val="20"/>
                <w:szCs w:val="20"/>
                <w:lang w:val="fr-FR" w:eastAsia="en-US"/>
              </w:rPr>
              <w:t>10</w:t>
            </w:r>
          </w:p>
        </w:tc>
        <w:tc>
          <w:tcPr>
            <w:tcW w:w="2070" w:type="dxa"/>
          </w:tcPr>
          <w:p w14:paraId="4BEF0143" w14:textId="2F58D6AC" w:rsidR="000B0453" w:rsidRPr="005A6420" w:rsidDel="00CA1648" w:rsidRDefault="000B0453" w:rsidP="000B0453">
            <w:pPr>
              <w:rPr>
                <w:b/>
                <w:sz w:val="22"/>
                <w:szCs w:val="22"/>
                <w:lang w:val="fr-FR" w:eastAsia="en-US"/>
              </w:rPr>
            </w:pPr>
          </w:p>
        </w:tc>
        <w:tc>
          <w:tcPr>
            <w:tcW w:w="2070" w:type="dxa"/>
          </w:tcPr>
          <w:p w14:paraId="2B104839" w14:textId="43FD3F75" w:rsidR="000B0453" w:rsidRPr="00EB7677" w:rsidRDefault="000B0453" w:rsidP="000B0453">
            <w:pPr>
              <w:rPr>
                <w:b/>
                <w:bCs/>
                <w:sz w:val="20"/>
                <w:szCs w:val="20"/>
                <w:lang w:val="fr-FR" w:eastAsia="en-US"/>
              </w:rPr>
            </w:pPr>
          </w:p>
        </w:tc>
        <w:tc>
          <w:tcPr>
            <w:tcW w:w="4140" w:type="dxa"/>
          </w:tcPr>
          <w:p w14:paraId="2AAF873A" w14:textId="7403C0A5" w:rsidR="000B0453" w:rsidRPr="00ED6B34" w:rsidRDefault="0036374A" w:rsidP="000B0453">
            <w:pPr>
              <w:rPr>
                <w:sz w:val="20"/>
                <w:szCs w:val="20"/>
                <w:lang w:val="fr-FR" w:eastAsia="en-US"/>
              </w:rPr>
            </w:pPr>
            <w:r>
              <w:rPr>
                <w:sz w:val="20"/>
                <w:szCs w:val="20"/>
                <w:lang w:val="fr-FR" w:eastAsia="en-US"/>
              </w:rPr>
              <w:t xml:space="preserve">Le recrutement de l’entreprise de communication a pris du retard mais les activités </w:t>
            </w:r>
            <w:r>
              <w:rPr>
                <w:sz w:val="20"/>
                <w:szCs w:val="20"/>
                <w:lang w:val="fr-FR" w:eastAsia="en-US"/>
              </w:rPr>
              <w:lastRenderedPageBreak/>
              <w:t xml:space="preserve">ont </w:t>
            </w:r>
            <w:r w:rsidR="00C85138">
              <w:rPr>
                <w:sz w:val="20"/>
                <w:szCs w:val="20"/>
                <w:lang w:val="fr-FR" w:eastAsia="en-US"/>
              </w:rPr>
              <w:t xml:space="preserve">débuté en juin. Les chiffres seront fournis dans le prochain rapport.  </w:t>
            </w:r>
          </w:p>
        </w:tc>
      </w:tr>
      <w:tr w:rsidR="000B0453" w:rsidRPr="000B0453" w14:paraId="64B10596" w14:textId="77777777" w:rsidTr="00445152">
        <w:trPr>
          <w:trHeight w:val="458"/>
        </w:trPr>
        <w:tc>
          <w:tcPr>
            <w:tcW w:w="1530" w:type="dxa"/>
          </w:tcPr>
          <w:p w14:paraId="658F6C12" w14:textId="77777777" w:rsidR="000B0453" w:rsidRPr="005A6420" w:rsidRDefault="000B0453" w:rsidP="000B0453">
            <w:pPr>
              <w:rPr>
                <w:rFonts w:cs="Tahoma"/>
                <w:szCs w:val="20"/>
                <w:lang w:val="fr-FR" w:eastAsia="en-US"/>
              </w:rPr>
            </w:pPr>
          </w:p>
        </w:tc>
        <w:tc>
          <w:tcPr>
            <w:tcW w:w="2070" w:type="dxa"/>
            <w:shd w:val="clear" w:color="auto" w:fill="EEECE1"/>
          </w:tcPr>
          <w:p w14:paraId="1DB60252" w14:textId="77777777" w:rsidR="000B0453" w:rsidRPr="00ED6B34" w:rsidRDefault="000B0453" w:rsidP="000B0453">
            <w:pPr>
              <w:jc w:val="both"/>
              <w:rPr>
                <w:b/>
                <w:bCs/>
                <w:sz w:val="20"/>
                <w:szCs w:val="20"/>
                <w:lang w:val="fr-FR" w:eastAsia="en-US"/>
              </w:rPr>
            </w:pPr>
            <w:r w:rsidRPr="00ED6B34">
              <w:rPr>
                <w:b/>
                <w:bCs/>
                <w:sz w:val="20"/>
                <w:szCs w:val="20"/>
                <w:lang w:val="fr-FR" w:eastAsia="en-US"/>
              </w:rPr>
              <w:t>Indicateur 3.2.2</w:t>
            </w:r>
          </w:p>
          <w:p w14:paraId="4A31E53A" w14:textId="6A83CFD7" w:rsidR="000B0453" w:rsidRPr="00ED6B34" w:rsidRDefault="000B0453" w:rsidP="000B0453">
            <w:pPr>
              <w:jc w:val="both"/>
              <w:rPr>
                <w:b/>
                <w:bCs/>
                <w:sz w:val="20"/>
                <w:szCs w:val="20"/>
                <w:lang w:val="fr-FR" w:eastAsia="en-US"/>
              </w:rPr>
            </w:pPr>
            <w:r w:rsidRPr="00ED6B34">
              <w:rPr>
                <w:bCs/>
                <w:sz w:val="20"/>
                <w:szCs w:val="20"/>
                <w:lang w:val="fr-FR" w:eastAsia="en-US"/>
              </w:rPr>
              <w:t>% des personnes qui connaissent les droits relatifs à l’accès à la justice et les procédures judiciaires, désagrégé par sexe et âge.</w:t>
            </w:r>
          </w:p>
        </w:tc>
        <w:tc>
          <w:tcPr>
            <w:tcW w:w="1530" w:type="dxa"/>
            <w:shd w:val="clear" w:color="auto" w:fill="EEECE1"/>
          </w:tcPr>
          <w:p w14:paraId="7733B11E" w14:textId="5DC952F4" w:rsidR="000B0453" w:rsidRPr="00EB7677" w:rsidRDefault="000B0453" w:rsidP="000B0453">
            <w:pPr>
              <w:rPr>
                <w:b/>
                <w:sz w:val="20"/>
                <w:szCs w:val="20"/>
                <w:lang w:val="fr-FR"/>
              </w:rPr>
            </w:pPr>
            <w:r w:rsidRPr="00784490">
              <w:rPr>
                <w:b/>
                <w:sz w:val="20"/>
                <w:szCs w:val="20"/>
                <w:lang w:val="fr-FR" w:eastAsia="en-US"/>
              </w:rPr>
              <w:t>n/a</w:t>
            </w:r>
          </w:p>
        </w:tc>
        <w:tc>
          <w:tcPr>
            <w:tcW w:w="1620" w:type="dxa"/>
            <w:shd w:val="clear" w:color="auto" w:fill="EEECE1"/>
          </w:tcPr>
          <w:p w14:paraId="151EBDF1" w14:textId="0F805168" w:rsidR="000B0453" w:rsidRPr="00EB7677" w:rsidRDefault="000B0453" w:rsidP="000B0453">
            <w:pPr>
              <w:rPr>
                <w:b/>
                <w:sz w:val="20"/>
                <w:szCs w:val="20"/>
                <w:lang w:val="fr-FR"/>
              </w:rPr>
            </w:pPr>
            <w:r w:rsidRPr="00EB7677">
              <w:rPr>
                <w:b/>
                <w:sz w:val="20"/>
                <w:szCs w:val="20"/>
                <w:lang w:val="fr-FR"/>
              </w:rPr>
              <w:t>Augmentation au moins 30%</w:t>
            </w:r>
          </w:p>
        </w:tc>
        <w:tc>
          <w:tcPr>
            <w:tcW w:w="2070" w:type="dxa"/>
          </w:tcPr>
          <w:p w14:paraId="57698BB5" w14:textId="48BFB26F" w:rsidR="000B0453" w:rsidRPr="005A6420" w:rsidDel="00CA1648" w:rsidRDefault="000B0453" w:rsidP="000B0453">
            <w:pPr>
              <w:rPr>
                <w:b/>
                <w:sz w:val="22"/>
                <w:szCs w:val="22"/>
                <w:lang w:val="fr-FR" w:eastAsia="en-US"/>
              </w:rPr>
            </w:pPr>
            <w:r w:rsidRPr="004055DB">
              <w:rPr>
                <w:b/>
                <w:sz w:val="20"/>
                <w:szCs w:val="20"/>
                <w:lang w:val="fr-FR" w:eastAsia="en-US"/>
              </w:rPr>
              <w:t>210 dont 156 femmes pour ONU Femmes</w:t>
            </w:r>
          </w:p>
        </w:tc>
        <w:tc>
          <w:tcPr>
            <w:tcW w:w="2070" w:type="dxa"/>
          </w:tcPr>
          <w:p w14:paraId="072191B3" w14:textId="42CCB242" w:rsidR="000B0453" w:rsidRPr="00EB7677" w:rsidRDefault="000B0453" w:rsidP="000B0453">
            <w:pPr>
              <w:rPr>
                <w:b/>
                <w:bCs/>
                <w:sz w:val="20"/>
                <w:szCs w:val="20"/>
                <w:lang w:val="fr-FR" w:eastAsia="en-US"/>
              </w:rPr>
            </w:pPr>
          </w:p>
        </w:tc>
        <w:tc>
          <w:tcPr>
            <w:tcW w:w="4140" w:type="dxa"/>
          </w:tcPr>
          <w:p w14:paraId="2DDF2591" w14:textId="596FB563" w:rsidR="000B0453" w:rsidRPr="00ED6B34" w:rsidRDefault="00966A7C" w:rsidP="000B0453">
            <w:pPr>
              <w:rPr>
                <w:sz w:val="20"/>
                <w:szCs w:val="20"/>
                <w:lang w:val="fr-FR" w:eastAsia="en-US"/>
              </w:rPr>
            </w:pPr>
            <w:r>
              <w:rPr>
                <w:sz w:val="20"/>
                <w:szCs w:val="20"/>
                <w:lang w:val="fr-FR" w:eastAsia="en-US"/>
              </w:rPr>
              <w:t>Activité toujours en cours</w:t>
            </w:r>
          </w:p>
        </w:tc>
      </w:tr>
      <w:tr w:rsidR="000B0453" w:rsidRPr="000B0453" w14:paraId="4BC58319" w14:textId="77777777" w:rsidTr="00445152">
        <w:trPr>
          <w:trHeight w:val="458"/>
        </w:trPr>
        <w:tc>
          <w:tcPr>
            <w:tcW w:w="1530" w:type="dxa"/>
          </w:tcPr>
          <w:p w14:paraId="6EB1F9D3" w14:textId="77777777" w:rsidR="000B0453" w:rsidRPr="005A6420" w:rsidRDefault="000B0453" w:rsidP="000B0453">
            <w:pPr>
              <w:rPr>
                <w:rFonts w:cs="Tahoma"/>
                <w:szCs w:val="20"/>
                <w:lang w:val="fr-FR" w:eastAsia="en-US"/>
              </w:rPr>
            </w:pPr>
          </w:p>
        </w:tc>
        <w:tc>
          <w:tcPr>
            <w:tcW w:w="2070" w:type="dxa"/>
            <w:shd w:val="clear" w:color="auto" w:fill="EEECE1"/>
          </w:tcPr>
          <w:p w14:paraId="308160B3" w14:textId="77777777" w:rsidR="000B0453" w:rsidRPr="00ED6B34" w:rsidRDefault="000B0453" w:rsidP="000B0453">
            <w:pPr>
              <w:jc w:val="both"/>
              <w:rPr>
                <w:b/>
                <w:bCs/>
                <w:sz w:val="20"/>
                <w:szCs w:val="20"/>
                <w:lang w:val="fr-FR" w:eastAsia="en-US"/>
              </w:rPr>
            </w:pPr>
            <w:r w:rsidRPr="00ED6B34">
              <w:rPr>
                <w:b/>
                <w:bCs/>
                <w:sz w:val="20"/>
                <w:szCs w:val="20"/>
                <w:lang w:val="fr-FR" w:eastAsia="en-US"/>
              </w:rPr>
              <w:t>Indicateur 3.2.3</w:t>
            </w:r>
          </w:p>
          <w:p w14:paraId="3CCA01A6" w14:textId="6E678080" w:rsidR="000B0453" w:rsidRPr="00ED6B34" w:rsidRDefault="000B0453" w:rsidP="000B0453">
            <w:pPr>
              <w:jc w:val="both"/>
              <w:rPr>
                <w:b/>
                <w:bCs/>
                <w:sz w:val="20"/>
                <w:szCs w:val="20"/>
                <w:lang w:val="fr-FR" w:eastAsia="en-US"/>
              </w:rPr>
            </w:pPr>
            <w:r w:rsidRPr="00ED6B34">
              <w:rPr>
                <w:sz w:val="20"/>
                <w:szCs w:val="20"/>
                <w:lang w:val="fr-FR" w:eastAsia="en-US"/>
              </w:rPr>
              <w:t>Nombre de dépliants produits et disséminés</w:t>
            </w:r>
          </w:p>
        </w:tc>
        <w:tc>
          <w:tcPr>
            <w:tcW w:w="1530" w:type="dxa"/>
            <w:shd w:val="clear" w:color="auto" w:fill="EEECE1"/>
          </w:tcPr>
          <w:p w14:paraId="2CAE09A8" w14:textId="13B9A7A9" w:rsidR="000B0453" w:rsidRPr="00EB7677" w:rsidRDefault="000B0453" w:rsidP="000B0453">
            <w:pPr>
              <w:rPr>
                <w:b/>
                <w:sz w:val="20"/>
                <w:szCs w:val="20"/>
                <w:lang w:val="fr-FR"/>
              </w:rPr>
            </w:pPr>
            <w:r w:rsidRPr="00784490">
              <w:rPr>
                <w:b/>
                <w:sz w:val="20"/>
                <w:szCs w:val="20"/>
                <w:lang w:val="fr-FR" w:eastAsia="en-US"/>
              </w:rPr>
              <w:t>0</w:t>
            </w:r>
          </w:p>
        </w:tc>
        <w:tc>
          <w:tcPr>
            <w:tcW w:w="1620" w:type="dxa"/>
            <w:shd w:val="clear" w:color="auto" w:fill="EEECE1"/>
          </w:tcPr>
          <w:p w14:paraId="2BB54F65" w14:textId="5461CD4B" w:rsidR="000B0453" w:rsidRPr="00EB7677" w:rsidRDefault="000B0453" w:rsidP="000B0453">
            <w:pPr>
              <w:rPr>
                <w:b/>
                <w:sz w:val="20"/>
                <w:szCs w:val="20"/>
                <w:lang w:val="fr-FR"/>
              </w:rPr>
            </w:pPr>
            <w:r w:rsidRPr="00EB7677">
              <w:rPr>
                <w:b/>
                <w:sz w:val="20"/>
                <w:szCs w:val="20"/>
                <w:lang w:val="fr-FR"/>
              </w:rPr>
              <w:t>20 000</w:t>
            </w:r>
          </w:p>
        </w:tc>
        <w:tc>
          <w:tcPr>
            <w:tcW w:w="2070" w:type="dxa"/>
          </w:tcPr>
          <w:p w14:paraId="65B3959A" w14:textId="470D9A5A" w:rsidR="000B0453" w:rsidRPr="005A6420" w:rsidDel="00CA1648" w:rsidRDefault="000B0453" w:rsidP="000B0453">
            <w:pPr>
              <w:rPr>
                <w:b/>
                <w:sz w:val="22"/>
                <w:szCs w:val="22"/>
                <w:lang w:val="fr-FR" w:eastAsia="en-US"/>
              </w:rPr>
            </w:pPr>
            <w:r w:rsidRPr="004055DB">
              <w:rPr>
                <w:b/>
                <w:sz w:val="20"/>
                <w:szCs w:val="20"/>
                <w:lang w:val="fr-FR" w:eastAsia="en-US"/>
              </w:rPr>
              <w:t xml:space="preserve">3000 </w:t>
            </w:r>
          </w:p>
        </w:tc>
        <w:tc>
          <w:tcPr>
            <w:tcW w:w="2070" w:type="dxa"/>
          </w:tcPr>
          <w:p w14:paraId="357F32D3" w14:textId="6FE73BF2" w:rsidR="000B0453" w:rsidRPr="00EB7677" w:rsidRDefault="000B0453" w:rsidP="000B0453">
            <w:pPr>
              <w:rPr>
                <w:b/>
                <w:bCs/>
                <w:sz w:val="20"/>
                <w:szCs w:val="20"/>
                <w:lang w:val="fr-FR" w:eastAsia="en-US"/>
              </w:rPr>
            </w:pPr>
            <w:r w:rsidRPr="00535EDF">
              <w:rPr>
                <w:b/>
                <w:bCs/>
                <w:sz w:val="20"/>
                <w:szCs w:val="20"/>
                <w:lang w:val="fr-FR" w:eastAsia="en-US"/>
              </w:rPr>
              <w:t>3000 dépliants disséminés</w:t>
            </w:r>
          </w:p>
        </w:tc>
        <w:tc>
          <w:tcPr>
            <w:tcW w:w="4140" w:type="dxa"/>
          </w:tcPr>
          <w:p w14:paraId="6BCDA87C" w14:textId="0D32F998" w:rsidR="000B0453" w:rsidRPr="00ED6B34" w:rsidRDefault="00DD52DF" w:rsidP="000B0453">
            <w:pPr>
              <w:rPr>
                <w:sz w:val="20"/>
                <w:szCs w:val="20"/>
                <w:lang w:val="fr-FR" w:eastAsia="en-US"/>
              </w:rPr>
            </w:pPr>
            <w:r>
              <w:rPr>
                <w:sz w:val="20"/>
                <w:szCs w:val="20"/>
                <w:lang w:val="fr-FR" w:eastAsia="en-US"/>
              </w:rPr>
              <w:t>Activité</w:t>
            </w:r>
            <w:r w:rsidR="00D91039">
              <w:rPr>
                <w:sz w:val="20"/>
                <w:szCs w:val="20"/>
                <w:lang w:val="fr-FR" w:eastAsia="en-US"/>
              </w:rPr>
              <w:t xml:space="preserve"> en </w:t>
            </w:r>
            <w:r>
              <w:rPr>
                <w:sz w:val="20"/>
                <w:szCs w:val="20"/>
                <w:lang w:val="fr-FR" w:eastAsia="en-US"/>
              </w:rPr>
              <w:t xml:space="preserve">cours tout au long du projet. L’entreprise de communication a été recrutée. </w:t>
            </w:r>
          </w:p>
        </w:tc>
      </w:tr>
      <w:tr w:rsidR="00D73255" w:rsidRPr="000B0453" w14:paraId="6973401D" w14:textId="77777777" w:rsidTr="00445152">
        <w:trPr>
          <w:trHeight w:val="458"/>
        </w:trPr>
        <w:tc>
          <w:tcPr>
            <w:tcW w:w="1530" w:type="dxa"/>
          </w:tcPr>
          <w:p w14:paraId="22DB92E0" w14:textId="77777777" w:rsidR="00D73255" w:rsidRPr="00ED6B34" w:rsidRDefault="00D73255" w:rsidP="00D73255">
            <w:pPr>
              <w:rPr>
                <w:sz w:val="20"/>
                <w:szCs w:val="20"/>
                <w:lang w:val="fr-FR" w:eastAsia="en-US"/>
              </w:rPr>
            </w:pPr>
            <w:r w:rsidRPr="00ED6B34">
              <w:rPr>
                <w:sz w:val="20"/>
                <w:szCs w:val="20"/>
                <w:lang w:val="fr-FR" w:eastAsia="en-US"/>
              </w:rPr>
              <w:t>Produit 3.3</w:t>
            </w:r>
          </w:p>
          <w:p w14:paraId="5C9E6F38" w14:textId="77777777" w:rsidR="00D73255" w:rsidRPr="00ED6B34" w:rsidRDefault="00D73255" w:rsidP="00D73255">
            <w:pPr>
              <w:spacing w:before="120"/>
              <w:jc w:val="both"/>
              <w:rPr>
                <w:sz w:val="20"/>
                <w:szCs w:val="20"/>
                <w:lang w:val="fr-FR"/>
              </w:rPr>
            </w:pPr>
            <w:r w:rsidRPr="00ED6B34">
              <w:rPr>
                <w:sz w:val="20"/>
                <w:szCs w:val="20"/>
                <w:lang w:val="fr-FR"/>
              </w:rPr>
              <w:t xml:space="preserve">La présence et les capacités d'intervention de la CNDH-Mali dans les régions de Mopti et Ségou sont renforcées et contribuent à une meilleure administration de la justice </w:t>
            </w:r>
            <w:r w:rsidRPr="00ED6B34">
              <w:rPr>
                <w:sz w:val="20"/>
                <w:szCs w:val="20"/>
                <w:lang w:val="fr-FR"/>
              </w:rPr>
              <w:lastRenderedPageBreak/>
              <w:t>dans le centre du Mali</w:t>
            </w:r>
          </w:p>
          <w:p w14:paraId="2918255E" w14:textId="77777777" w:rsidR="00D73255" w:rsidRPr="005A6420" w:rsidRDefault="00D73255" w:rsidP="00D73255">
            <w:pPr>
              <w:rPr>
                <w:rFonts w:cs="Tahoma"/>
                <w:szCs w:val="20"/>
                <w:lang w:val="fr-FR" w:eastAsia="en-US"/>
              </w:rPr>
            </w:pPr>
          </w:p>
        </w:tc>
        <w:tc>
          <w:tcPr>
            <w:tcW w:w="2070" w:type="dxa"/>
            <w:shd w:val="clear" w:color="auto" w:fill="EEECE1"/>
          </w:tcPr>
          <w:p w14:paraId="1A231F0A" w14:textId="77777777" w:rsidR="00D73255" w:rsidRPr="00ED6B34" w:rsidRDefault="00D73255" w:rsidP="00D73255">
            <w:pPr>
              <w:jc w:val="both"/>
              <w:rPr>
                <w:b/>
                <w:bCs/>
                <w:sz w:val="20"/>
                <w:szCs w:val="20"/>
                <w:lang w:val="fr-FR" w:eastAsia="en-US"/>
              </w:rPr>
            </w:pPr>
            <w:r w:rsidRPr="00ED6B34">
              <w:rPr>
                <w:b/>
                <w:bCs/>
                <w:sz w:val="20"/>
                <w:szCs w:val="20"/>
                <w:lang w:val="fr-FR" w:eastAsia="en-US"/>
              </w:rPr>
              <w:lastRenderedPageBreak/>
              <w:t>Indicateur 3.3.1</w:t>
            </w:r>
          </w:p>
          <w:p w14:paraId="1E5E58D3" w14:textId="506A8ACA" w:rsidR="00D73255" w:rsidRPr="00ED6B34" w:rsidRDefault="00D73255" w:rsidP="00D73255">
            <w:pPr>
              <w:jc w:val="both"/>
              <w:rPr>
                <w:b/>
                <w:bCs/>
                <w:sz w:val="20"/>
                <w:szCs w:val="20"/>
                <w:lang w:val="fr-FR" w:eastAsia="en-US"/>
              </w:rPr>
            </w:pPr>
            <w:r w:rsidRPr="00ED6B34">
              <w:rPr>
                <w:bCs/>
                <w:sz w:val="20"/>
                <w:szCs w:val="20"/>
                <w:lang w:val="fr-FR" w:eastAsia="en-US"/>
              </w:rPr>
              <w:t>Rédaction et publication d’un rapport bien documenté sur l’accès à la justice</w:t>
            </w:r>
          </w:p>
        </w:tc>
        <w:tc>
          <w:tcPr>
            <w:tcW w:w="1530" w:type="dxa"/>
            <w:shd w:val="clear" w:color="auto" w:fill="EEECE1"/>
          </w:tcPr>
          <w:p w14:paraId="248249AE" w14:textId="225B3E27" w:rsidR="00D73255" w:rsidRPr="00EB7677" w:rsidRDefault="00D73255" w:rsidP="00D73255">
            <w:pPr>
              <w:rPr>
                <w:b/>
                <w:sz w:val="20"/>
                <w:szCs w:val="20"/>
                <w:lang w:val="fr-FR"/>
              </w:rPr>
            </w:pPr>
            <w:r w:rsidRPr="00EB7677">
              <w:rPr>
                <w:b/>
                <w:sz w:val="20"/>
                <w:szCs w:val="20"/>
                <w:lang w:val="fr-FR"/>
              </w:rPr>
              <w:t>0</w:t>
            </w:r>
          </w:p>
        </w:tc>
        <w:tc>
          <w:tcPr>
            <w:tcW w:w="1620" w:type="dxa"/>
            <w:shd w:val="clear" w:color="auto" w:fill="EEECE1"/>
          </w:tcPr>
          <w:p w14:paraId="35516670" w14:textId="216C1EAF" w:rsidR="00D73255" w:rsidRPr="00EB7677" w:rsidRDefault="00D73255" w:rsidP="00D73255">
            <w:pPr>
              <w:rPr>
                <w:b/>
                <w:sz w:val="20"/>
                <w:szCs w:val="20"/>
                <w:lang w:val="fr-FR"/>
              </w:rPr>
            </w:pPr>
            <w:r w:rsidRPr="00EB7677">
              <w:rPr>
                <w:b/>
                <w:sz w:val="20"/>
                <w:szCs w:val="20"/>
                <w:lang w:val="fr-FR"/>
              </w:rPr>
              <w:t>1</w:t>
            </w:r>
          </w:p>
        </w:tc>
        <w:tc>
          <w:tcPr>
            <w:tcW w:w="2070" w:type="dxa"/>
          </w:tcPr>
          <w:p w14:paraId="0ED3A271" w14:textId="4BE1E21C" w:rsidR="00D73255" w:rsidRPr="005A6420" w:rsidDel="00CA1648" w:rsidRDefault="00D73255" w:rsidP="00D73255">
            <w:pPr>
              <w:rPr>
                <w:b/>
                <w:sz w:val="22"/>
                <w:szCs w:val="22"/>
                <w:lang w:val="fr-FR" w:eastAsia="en-US"/>
              </w:rPr>
            </w:pPr>
            <w:r w:rsidRPr="004055DB">
              <w:rPr>
                <w:b/>
                <w:sz w:val="20"/>
                <w:szCs w:val="20"/>
                <w:lang w:val="fr-FR" w:eastAsia="en-US"/>
              </w:rPr>
              <w:fldChar w:fldCharType="begin">
                <w:ffData>
                  <w:name w:val=""/>
                  <w:enabled/>
                  <w:calcOnExit w:val="0"/>
                  <w:textInput>
                    <w:maxLength w:val="300"/>
                  </w:textInput>
                </w:ffData>
              </w:fldChar>
            </w:r>
            <w:r w:rsidRPr="004055DB">
              <w:rPr>
                <w:b/>
                <w:sz w:val="20"/>
                <w:szCs w:val="20"/>
                <w:lang w:val="fr-FR" w:eastAsia="en-US"/>
              </w:rPr>
              <w:instrText xml:space="preserve"> FORMTEXT </w:instrText>
            </w:r>
            <w:r w:rsidRPr="004055DB">
              <w:rPr>
                <w:b/>
                <w:sz w:val="20"/>
                <w:szCs w:val="20"/>
                <w:lang w:val="fr-FR" w:eastAsia="en-US"/>
              </w:rPr>
            </w:r>
            <w:r w:rsidRPr="004055DB">
              <w:rPr>
                <w:b/>
                <w:sz w:val="20"/>
                <w:szCs w:val="20"/>
                <w:lang w:val="fr-FR" w:eastAsia="en-US"/>
              </w:rPr>
              <w:fldChar w:fldCharType="separate"/>
            </w:r>
            <w:r w:rsidRPr="004055DB">
              <w:rPr>
                <w:b/>
                <w:noProof/>
                <w:sz w:val="20"/>
                <w:szCs w:val="20"/>
                <w:lang w:val="fr-FR" w:eastAsia="en-US"/>
              </w:rPr>
              <w:t> </w:t>
            </w:r>
            <w:r w:rsidRPr="004055DB">
              <w:rPr>
                <w:b/>
                <w:noProof/>
                <w:sz w:val="20"/>
                <w:szCs w:val="20"/>
                <w:lang w:val="fr-FR" w:eastAsia="en-US"/>
              </w:rPr>
              <w:t> </w:t>
            </w:r>
            <w:r w:rsidRPr="004055DB">
              <w:rPr>
                <w:b/>
                <w:noProof/>
                <w:sz w:val="20"/>
                <w:szCs w:val="20"/>
                <w:lang w:val="fr-FR" w:eastAsia="en-US"/>
              </w:rPr>
              <w:t> </w:t>
            </w:r>
            <w:r w:rsidRPr="004055DB">
              <w:rPr>
                <w:b/>
                <w:noProof/>
                <w:sz w:val="20"/>
                <w:szCs w:val="20"/>
                <w:lang w:val="fr-FR" w:eastAsia="en-US"/>
              </w:rPr>
              <w:t> </w:t>
            </w:r>
            <w:r w:rsidRPr="004055DB">
              <w:rPr>
                <w:b/>
                <w:noProof/>
                <w:sz w:val="20"/>
                <w:szCs w:val="20"/>
                <w:lang w:val="fr-FR" w:eastAsia="en-US"/>
              </w:rPr>
              <w:t> </w:t>
            </w:r>
            <w:r w:rsidRPr="00EB7677">
              <w:rPr>
                <w:b/>
                <w:noProof/>
                <w:lang w:val="fr-FR" w:eastAsia="en-US"/>
              </w:rPr>
              <w:t>￼</w:t>
            </w:r>
            <w:r w:rsidRPr="004055DB">
              <w:rPr>
                <w:b/>
                <w:sz w:val="20"/>
                <w:szCs w:val="20"/>
                <w:lang w:val="fr-FR" w:eastAsia="en-US"/>
              </w:rPr>
              <w:fldChar w:fldCharType="end"/>
            </w:r>
          </w:p>
        </w:tc>
        <w:tc>
          <w:tcPr>
            <w:tcW w:w="2070" w:type="dxa"/>
          </w:tcPr>
          <w:p w14:paraId="680B9507" w14:textId="5392E0EC" w:rsidR="00D73255" w:rsidRPr="00EB7677" w:rsidRDefault="00344155" w:rsidP="00D73255">
            <w:pPr>
              <w:rPr>
                <w:b/>
                <w:bCs/>
                <w:sz w:val="20"/>
                <w:szCs w:val="20"/>
                <w:lang w:val="fr-FR" w:eastAsia="en-US"/>
              </w:rPr>
            </w:pPr>
            <w:r w:rsidRPr="00EB7677">
              <w:rPr>
                <w:b/>
                <w:bCs/>
                <w:sz w:val="20"/>
                <w:szCs w:val="20"/>
                <w:lang w:val="fr-FR" w:eastAsia="en-US"/>
              </w:rPr>
              <w:t>A</w:t>
            </w:r>
            <w:r>
              <w:rPr>
                <w:b/>
                <w:bCs/>
                <w:sz w:val="20"/>
                <w:szCs w:val="20"/>
                <w:lang w:val="fr-FR" w:eastAsia="en-US"/>
              </w:rPr>
              <w:t>ctivité en cours</w:t>
            </w:r>
          </w:p>
        </w:tc>
        <w:tc>
          <w:tcPr>
            <w:tcW w:w="4140" w:type="dxa"/>
          </w:tcPr>
          <w:p w14:paraId="1F610E6D" w14:textId="5821BF55" w:rsidR="00D73255" w:rsidRPr="00ED6B34" w:rsidRDefault="00344155" w:rsidP="00D73255">
            <w:pPr>
              <w:rPr>
                <w:sz w:val="20"/>
                <w:szCs w:val="20"/>
                <w:lang w:val="fr-FR" w:eastAsia="en-US"/>
              </w:rPr>
            </w:pPr>
            <w:r>
              <w:rPr>
                <w:sz w:val="20"/>
                <w:szCs w:val="20"/>
                <w:lang w:val="fr-FR" w:eastAsia="en-US"/>
              </w:rPr>
              <w:t xml:space="preserve">Le rapport est toujours en </w:t>
            </w:r>
            <w:r w:rsidR="001922F2">
              <w:rPr>
                <w:sz w:val="20"/>
                <w:szCs w:val="20"/>
                <w:lang w:val="fr-FR" w:eastAsia="en-US"/>
              </w:rPr>
              <w:t xml:space="preserve">cours de rédaction. </w:t>
            </w:r>
            <w:r>
              <w:rPr>
                <w:sz w:val="20"/>
                <w:szCs w:val="20"/>
                <w:lang w:val="fr-FR" w:eastAsia="en-US"/>
              </w:rPr>
              <w:t xml:space="preserve"> </w:t>
            </w:r>
          </w:p>
        </w:tc>
      </w:tr>
      <w:tr w:rsidR="00D73255" w:rsidRPr="00D73255" w14:paraId="34E04490" w14:textId="77777777" w:rsidTr="00445152">
        <w:trPr>
          <w:trHeight w:val="458"/>
        </w:trPr>
        <w:tc>
          <w:tcPr>
            <w:tcW w:w="1530" w:type="dxa"/>
          </w:tcPr>
          <w:p w14:paraId="7EAC666E" w14:textId="77777777" w:rsidR="00D73255" w:rsidRPr="00ED6B34" w:rsidRDefault="00D73255" w:rsidP="00D73255">
            <w:pPr>
              <w:rPr>
                <w:sz w:val="20"/>
                <w:szCs w:val="20"/>
                <w:lang w:val="fr-FR" w:eastAsia="en-US"/>
              </w:rPr>
            </w:pPr>
            <w:bookmarkStart w:id="19" w:name="_Hlk105690751"/>
          </w:p>
        </w:tc>
        <w:tc>
          <w:tcPr>
            <w:tcW w:w="2070" w:type="dxa"/>
            <w:shd w:val="clear" w:color="auto" w:fill="EEECE1"/>
          </w:tcPr>
          <w:p w14:paraId="651A7B9C" w14:textId="77777777" w:rsidR="00D73255" w:rsidRPr="00ED6B34" w:rsidRDefault="00D73255" w:rsidP="00D73255">
            <w:pPr>
              <w:jc w:val="both"/>
              <w:rPr>
                <w:b/>
                <w:bCs/>
                <w:sz w:val="20"/>
                <w:szCs w:val="20"/>
                <w:lang w:val="fr-FR" w:eastAsia="en-US"/>
              </w:rPr>
            </w:pPr>
            <w:r w:rsidRPr="00ED6B34">
              <w:rPr>
                <w:b/>
                <w:bCs/>
                <w:sz w:val="20"/>
                <w:szCs w:val="20"/>
                <w:lang w:val="fr-FR" w:eastAsia="en-US"/>
              </w:rPr>
              <w:t>Indicateur 3.3.2</w:t>
            </w:r>
          </w:p>
          <w:p w14:paraId="36E29780" w14:textId="4404F08E" w:rsidR="00D73255" w:rsidRPr="00ED6B34" w:rsidRDefault="00D73255" w:rsidP="00D73255">
            <w:pPr>
              <w:jc w:val="both"/>
              <w:rPr>
                <w:b/>
                <w:bCs/>
                <w:sz w:val="20"/>
                <w:szCs w:val="20"/>
                <w:lang w:val="fr-FR" w:eastAsia="en-US"/>
              </w:rPr>
            </w:pPr>
            <w:r w:rsidRPr="00ED6B34">
              <w:rPr>
                <w:bCs/>
                <w:sz w:val="20"/>
                <w:szCs w:val="20"/>
                <w:lang w:val="fr-FR" w:eastAsia="en-US"/>
              </w:rPr>
              <w:t>Nbre de cas présentés par la CNDH lors des réunions de plaidoyer avec les autorités judiciaires concernées</w:t>
            </w:r>
          </w:p>
        </w:tc>
        <w:tc>
          <w:tcPr>
            <w:tcW w:w="1530" w:type="dxa"/>
            <w:shd w:val="clear" w:color="auto" w:fill="EEECE1"/>
          </w:tcPr>
          <w:p w14:paraId="2DDAE7FC" w14:textId="0C8D4C1C" w:rsidR="00D73255" w:rsidRPr="00EB7677" w:rsidRDefault="00D73255" w:rsidP="00D73255">
            <w:pPr>
              <w:rPr>
                <w:b/>
                <w:sz w:val="20"/>
                <w:szCs w:val="20"/>
                <w:lang w:val="fr-FR"/>
              </w:rPr>
            </w:pPr>
            <w:r w:rsidRPr="00EB7677">
              <w:rPr>
                <w:b/>
                <w:sz w:val="20"/>
                <w:szCs w:val="20"/>
                <w:lang w:val="fr-FR"/>
              </w:rPr>
              <w:t>0</w:t>
            </w:r>
          </w:p>
        </w:tc>
        <w:tc>
          <w:tcPr>
            <w:tcW w:w="1620" w:type="dxa"/>
            <w:shd w:val="clear" w:color="auto" w:fill="EEECE1"/>
          </w:tcPr>
          <w:p w14:paraId="42028A42" w14:textId="23AD7D74" w:rsidR="00D73255" w:rsidRPr="00EB7677" w:rsidRDefault="00D73255" w:rsidP="00D73255">
            <w:pPr>
              <w:rPr>
                <w:b/>
                <w:sz w:val="20"/>
                <w:szCs w:val="20"/>
                <w:lang w:val="fr-FR"/>
              </w:rPr>
            </w:pPr>
            <w:r w:rsidRPr="00EB7677">
              <w:rPr>
                <w:b/>
                <w:sz w:val="20"/>
                <w:szCs w:val="20"/>
                <w:lang w:val="fr-FR"/>
              </w:rPr>
              <w:t>5</w:t>
            </w:r>
          </w:p>
        </w:tc>
        <w:tc>
          <w:tcPr>
            <w:tcW w:w="2070" w:type="dxa"/>
          </w:tcPr>
          <w:p w14:paraId="767EEC67" w14:textId="65DCA5E4" w:rsidR="00D73255" w:rsidRPr="005A6420" w:rsidDel="00CA1648" w:rsidRDefault="0036374A" w:rsidP="00D73255">
            <w:pPr>
              <w:rPr>
                <w:b/>
                <w:sz w:val="22"/>
                <w:szCs w:val="22"/>
                <w:lang w:val="fr-FR" w:eastAsia="en-US"/>
              </w:rPr>
            </w:pPr>
            <w:r>
              <w:rPr>
                <w:b/>
                <w:sz w:val="22"/>
                <w:szCs w:val="22"/>
                <w:lang w:val="fr-FR" w:eastAsia="en-US"/>
              </w:rPr>
              <w:t>10</w:t>
            </w:r>
          </w:p>
        </w:tc>
        <w:tc>
          <w:tcPr>
            <w:tcW w:w="2070" w:type="dxa"/>
          </w:tcPr>
          <w:p w14:paraId="7E4010DE" w14:textId="7229240C" w:rsidR="00D73255" w:rsidRPr="00EB7677" w:rsidRDefault="0036374A" w:rsidP="00D73255">
            <w:pPr>
              <w:rPr>
                <w:b/>
                <w:bCs/>
                <w:sz w:val="20"/>
                <w:szCs w:val="20"/>
                <w:lang w:val="fr-FR" w:eastAsia="en-US"/>
              </w:rPr>
            </w:pPr>
            <w:r>
              <w:rPr>
                <w:b/>
                <w:bCs/>
                <w:sz w:val="20"/>
                <w:szCs w:val="20"/>
                <w:lang w:val="fr-FR" w:eastAsia="en-US"/>
              </w:rPr>
              <w:t>10</w:t>
            </w:r>
          </w:p>
        </w:tc>
        <w:tc>
          <w:tcPr>
            <w:tcW w:w="4140" w:type="dxa"/>
          </w:tcPr>
          <w:p w14:paraId="7AD412C0" w14:textId="592A95A8" w:rsidR="00D73255" w:rsidRPr="00ED6B34" w:rsidRDefault="00D73255" w:rsidP="00D73255">
            <w:pPr>
              <w:rPr>
                <w:sz w:val="20"/>
                <w:szCs w:val="20"/>
                <w:lang w:val="fr-FR" w:eastAsia="en-US"/>
              </w:rPr>
            </w:pPr>
          </w:p>
        </w:tc>
      </w:tr>
      <w:bookmarkEnd w:id="19"/>
      <w:tr w:rsidR="00D73255" w:rsidRPr="00D73255" w14:paraId="736E4C01" w14:textId="77777777" w:rsidTr="00445152">
        <w:trPr>
          <w:trHeight w:val="458"/>
        </w:trPr>
        <w:tc>
          <w:tcPr>
            <w:tcW w:w="1530" w:type="dxa"/>
          </w:tcPr>
          <w:p w14:paraId="681BFC4E" w14:textId="77777777" w:rsidR="00D73255" w:rsidRPr="00ED6B34" w:rsidRDefault="00D73255" w:rsidP="00D73255">
            <w:pPr>
              <w:rPr>
                <w:sz w:val="20"/>
                <w:szCs w:val="20"/>
                <w:lang w:val="fr-FR" w:eastAsia="en-US"/>
              </w:rPr>
            </w:pPr>
          </w:p>
        </w:tc>
        <w:tc>
          <w:tcPr>
            <w:tcW w:w="2070" w:type="dxa"/>
            <w:shd w:val="clear" w:color="auto" w:fill="EEECE1"/>
          </w:tcPr>
          <w:p w14:paraId="34B5D48F" w14:textId="77777777" w:rsidR="00D73255" w:rsidRPr="00ED6B34" w:rsidRDefault="00D73255" w:rsidP="00D73255">
            <w:pPr>
              <w:jc w:val="both"/>
              <w:rPr>
                <w:b/>
                <w:bCs/>
                <w:sz w:val="20"/>
                <w:szCs w:val="20"/>
                <w:lang w:val="fr-FR" w:eastAsia="en-US"/>
              </w:rPr>
            </w:pPr>
            <w:r w:rsidRPr="00ED6B34">
              <w:rPr>
                <w:b/>
                <w:bCs/>
                <w:sz w:val="20"/>
                <w:szCs w:val="20"/>
                <w:lang w:val="fr-FR" w:eastAsia="en-US"/>
              </w:rPr>
              <w:t>Indicateur 3.3.3</w:t>
            </w:r>
          </w:p>
          <w:p w14:paraId="14AB39C5" w14:textId="3EA840ED" w:rsidR="00D73255" w:rsidRPr="00ED6B34" w:rsidRDefault="00D73255" w:rsidP="00D73255">
            <w:pPr>
              <w:jc w:val="both"/>
              <w:rPr>
                <w:b/>
                <w:bCs/>
                <w:sz w:val="20"/>
                <w:szCs w:val="20"/>
                <w:lang w:val="fr-FR" w:eastAsia="en-US"/>
              </w:rPr>
            </w:pPr>
            <w:r w:rsidRPr="00ED6B34">
              <w:rPr>
                <w:sz w:val="20"/>
                <w:szCs w:val="20"/>
                <w:lang w:val="fr-FR" w:eastAsia="en-US"/>
              </w:rPr>
              <w:t>Le cadre de concertation est pleinement opérationnel avec une participation accrue des organisations locales</w:t>
            </w:r>
          </w:p>
        </w:tc>
        <w:tc>
          <w:tcPr>
            <w:tcW w:w="1530" w:type="dxa"/>
            <w:shd w:val="clear" w:color="auto" w:fill="EEECE1"/>
          </w:tcPr>
          <w:p w14:paraId="07D3F098" w14:textId="57CF944F" w:rsidR="00D73255" w:rsidRPr="00EB7677" w:rsidRDefault="00D73255" w:rsidP="00D73255">
            <w:pPr>
              <w:rPr>
                <w:b/>
                <w:sz w:val="20"/>
                <w:szCs w:val="20"/>
                <w:lang w:val="fr-FR"/>
              </w:rPr>
            </w:pPr>
            <w:r w:rsidRPr="00784490">
              <w:rPr>
                <w:b/>
                <w:sz w:val="20"/>
                <w:szCs w:val="20"/>
                <w:lang w:val="fr-FR"/>
              </w:rPr>
              <w:t>Faible participation</w:t>
            </w:r>
          </w:p>
        </w:tc>
        <w:tc>
          <w:tcPr>
            <w:tcW w:w="1620" w:type="dxa"/>
            <w:shd w:val="clear" w:color="auto" w:fill="EEECE1"/>
          </w:tcPr>
          <w:p w14:paraId="68C1A945" w14:textId="51797284" w:rsidR="00D73255" w:rsidRPr="00EB7677" w:rsidRDefault="00D73255" w:rsidP="00D73255">
            <w:pPr>
              <w:rPr>
                <w:b/>
                <w:sz w:val="20"/>
                <w:szCs w:val="20"/>
                <w:lang w:val="fr-FR"/>
              </w:rPr>
            </w:pPr>
            <w:r w:rsidRPr="00784490">
              <w:rPr>
                <w:b/>
                <w:sz w:val="20"/>
                <w:szCs w:val="20"/>
                <w:lang w:val="fr-FR"/>
              </w:rPr>
              <w:t>Plus grande participation</w:t>
            </w:r>
          </w:p>
        </w:tc>
        <w:tc>
          <w:tcPr>
            <w:tcW w:w="2070" w:type="dxa"/>
          </w:tcPr>
          <w:p w14:paraId="6887A2CA" w14:textId="3B2B074C" w:rsidR="00D73255" w:rsidRPr="005A6420" w:rsidDel="00CA1648" w:rsidRDefault="00D73255" w:rsidP="00D73255">
            <w:pPr>
              <w:rPr>
                <w:b/>
                <w:sz w:val="22"/>
                <w:szCs w:val="22"/>
                <w:lang w:val="fr-FR" w:eastAsia="en-US"/>
              </w:rPr>
            </w:pPr>
            <w:r w:rsidRPr="004055DB">
              <w:rPr>
                <w:b/>
                <w:sz w:val="20"/>
                <w:szCs w:val="20"/>
                <w:lang w:val="fr-FR" w:eastAsia="en-US"/>
              </w:rPr>
              <w:t>Une bonne représentation / participation des OSC locales au sein du cadre de concertation</w:t>
            </w:r>
          </w:p>
        </w:tc>
        <w:tc>
          <w:tcPr>
            <w:tcW w:w="2070" w:type="dxa"/>
          </w:tcPr>
          <w:p w14:paraId="367D20B6" w14:textId="7CC3C42D" w:rsidR="00D73255" w:rsidRPr="00EB7677" w:rsidRDefault="00D73255" w:rsidP="00D73255">
            <w:pPr>
              <w:rPr>
                <w:b/>
                <w:bCs/>
                <w:sz w:val="20"/>
                <w:szCs w:val="20"/>
                <w:lang w:val="fr-FR" w:eastAsia="en-US"/>
              </w:rPr>
            </w:pPr>
            <w:r w:rsidRPr="00EB7677">
              <w:rPr>
                <w:b/>
                <w:bCs/>
                <w:sz w:val="20"/>
                <w:szCs w:val="20"/>
                <w:lang w:val="fr-FR" w:eastAsia="en-US"/>
              </w:rPr>
              <w:t>02 sessions du cadre de concertations avec les organisations de locales tenues à Mopti et à Ségou</w:t>
            </w:r>
          </w:p>
        </w:tc>
        <w:tc>
          <w:tcPr>
            <w:tcW w:w="4140" w:type="dxa"/>
          </w:tcPr>
          <w:p w14:paraId="795CAD39" w14:textId="2E98A9EF" w:rsidR="00D73255" w:rsidRPr="00ED6B34" w:rsidRDefault="00D73255" w:rsidP="00D73255">
            <w:pPr>
              <w:rPr>
                <w:sz w:val="20"/>
                <w:szCs w:val="20"/>
                <w:lang w:val="fr-FR" w:eastAsia="en-US"/>
              </w:rPr>
            </w:pPr>
          </w:p>
        </w:tc>
      </w:tr>
    </w:tbl>
    <w:p w14:paraId="30F7835D" w14:textId="77777777" w:rsidR="00117EE7" w:rsidRDefault="00117EE7" w:rsidP="003758E5">
      <w:pPr>
        <w:rPr>
          <w:b/>
          <w:u w:val="single"/>
          <w:lang w:val="fr-FR"/>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Partie II</w:t>
      </w:r>
      <w:r>
        <w:rPr>
          <w:b/>
          <w:u w:val="single"/>
          <w:lang w:val="fr-FR"/>
        </w:rPr>
        <w:t>I</w:t>
      </w:r>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758C8468"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r w:rsidR="00DD52DF" w:rsidRPr="00F778A1">
        <w:rPr>
          <w:lang w:val="fr-FR"/>
        </w:rPr>
        <w:t>) :</w:t>
      </w:r>
      <w:r w:rsidRPr="00F778A1">
        <w:rPr>
          <w:lang w:val="fr-FR"/>
        </w:rPr>
        <w:t xml:space="preserve"> </w:t>
      </w:r>
    </w:p>
    <w:p w14:paraId="19F608EA" w14:textId="3E69132F" w:rsidR="00A77597" w:rsidRDefault="00A77597" w:rsidP="00117EE7">
      <w:pPr>
        <w:ind w:left="-810"/>
        <w:rPr>
          <w:lang w:val="fr-FR"/>
        </w:rPr>
      </w:pPr>
    </w:p>
    <w:p w14:paraId="093712A8" w14:textId="77777777" w:rsidR="00A77597" w:rsidRPr="00A77597" w:rsidRDefault="00A77597" w:rsidP="00A77597">
      <w:pPr>
        <w:numPr>
          <w:ilvl w:val="0"/>
          <w:numId w:val="9"/>
        </w:numPr>
        <w:rPr>
          <w:lang w:val="fr-FR"/>
        </w:rPr>
      </w:pPr>
      <w:r w:rsidRPr="00A77597">
        <w:rPr>
          <w:lang w:val="fr-FR"/>
        </w:rPr>
        <w:t xml:space="preserve">Finaliser les études situationnelles en cours ;  </w:t>
      </w:r>
    </w:p>
    <w:p w14:paraId="20D37BE5" w14:textId="77777777" w:rsidR="00A77597" w:rsidRPr="00A77597" w:rsidRDefault="00A77597" w:rsidP="00A77597">
      <w:pPr>
        <w:numPr>
          <w:ilvl w:val="0"/>
          <w:numId w:val="9"/>
        </w:numPr>
        <w:rPr>
          <w:lang w:val="fr-FR"/>
        </w:rPr>
      </w:pPr>
      <w:r w:rsidRPr="00A77597">
        <w:rPr>
          <w:lang w:val="fr-FR"/>
        </w:rPr>
        <w:t>Conduire les ateliers et consultations sans limitation de mouvements et avec une plus grande participation des bénéficiaires ;</w:t>
      </w:r>
    </w:p>
    <w:p w14:paraId="6C44B0E4" w14:textId="77777777" w:rsidR="00A77597" w:rsidRPr="00A77597" w:rsidRDefault="00A77597" w:rsidP="00A77597">
      <w:pPr>
        <w:numPr>
          <w:ilvl w:val="0"/>
          <w:numId w:val="9"/>
        </w:numPr>
        <w:rPr>
          <w:lang w:val="fr-FR"/>
        </w:rPr>
      </w:pPr>
      <w:r w:rsidRPr="00A77597">
        <w:rPr>
          <w:lang w:val="fr-FR"/>
        </w:rPr>
        <w:t>Poursuivre et intensifier les activités de sensibilisation et d’information au public ;</w:t>
      </w:r>
    </w:p>
    <w:p w14:paraId="22431D95" w14:textId="77777777" w:rsidR="00A77597" w:rsidRPr="00A77597" w:rsidRDefault="00A77597" w:rsidP="00A77597">
      <w:pPr>
        <w:numPr>
          <w:ilvl w:val="0"/>
          <w:numId w:val="9"/>
        </w:numPr>
        <w:rPr>
          <w:lang w:val="fr-FR"/>
        </w:rPr>
      </w:pPr>
      <w:r w:rsidRPr="00A77597">
        <w:rPr>
          <w:lang w:val="fr-FR"/>
        </w:rPr>
        <w:t>Mettre en place des actions concrètes identifiées avec les communautés pour la prise en compte des besoins spécifiques des femmes et des filles pour un meilleur accès à la justice ;</w:t>
      </w:r>
    </w:p>
    <w:p w14:paraId="03D28F43" w14:textId="77777777" w:rsidR="00A77597" w:rsidRPr="00A77597" w:rsidRDefault="00A77597" w:rsidP="00A77597">
      <w:pPr>
        <w:numPr>
          <w:ilvl w:val="0"/>
          <w:numId w:val="9"/>
        </w:numPr>
        <w:rPr>
          <w:lang w:val="fr-FR"/>
        </w:rPr>
      </w:pPr>
      <w:r w:rsidRPr="00A77597">
        <w:rPr>
          <w:lang w:val="fr-FR"/>
        </w:rPr>
        <w:t xml:space="preserve">Accompagner la mise en œuvre des plans d’action des Comités Consultatifs de Sécurité (CCS) ; </w:t>
      </w:r>
    </w:p>
    <w:p w14:paraId="3FCE9E4F" w14:textId="77777777" w:rsidR="00A77597" w:rsidRPr="00A77597" w:rsidRDefault="00A77597" w:rsidP="00A77597">
      <w:pPr>
        <w:numPr>
          <w:ilvl w:val="0"/>
          <w:numId w:val="9"/>
        </w:numPr>
        <w:rPr>
          <w:lang w:val="fr-FR"/>
        </w:rPr>
      </w:pPr>
      <w:r w:rsidRPr="00A77597">
        <w:rPr>
          <w:lang w:val="fr-FR"/>
        </w:rPr>
        <w:t>Apprécier la prise en compte de nouvelles priorités dans la mise en œuvre du projet ;</w:t>
      </w:r>
    </w:p>
    <w:p w14:paraId="749C138A" w14:textId="77777777" w:rsidR="00A77597" w:rsidRPr="00A77597" w:rsidRDefault="00A77597" w:rsidP="00A77597">
      <w:pPr>
        <w:numPr>
          <w:ilvl w:val="0"/>
          <w:numId w:val="9"/>
        </w:numPr>
        <w:rPr>
          <w:lang w:val="fr-FR"/>
        </w:rPr>
      </w:pPr>
      <w:r w:rsidRPr="00A77597">
        <w:rPr>
          <w:lang w:val="fr-FR"/>
        </w:rPr>
        <w:t>Poursuivre la représentation juridique et judiciaire des victimes de graves violations des droits de l’homme par le Barreau ;</w:t>
      </w:r>
    </w:p>
    <w:p w14:paraId="22A682FB" w14:textId="77777777" w:rsidR="00A77597" w:rsidRPr="00A77597" w:rsidRDefault="00A77597" w:rsidP="00A77597">
      <w:pPr>
        <w:numPr>
          <w:ilvl w:val="0"/>
          <w:numId w:val="9"/>
        </w:numPr>
        <w:rPr>
          <w:lang w:val="fr-FR"/>
        </w:rPr>
      </w:pPr>
      <w:r w:rsidRPr="00A77597">
        <w:rPr>
          <w:lang w:val="fr-FR"/>
        </w:rPr>
        <w:t xml:space="preserve">Poursuivre l’appui à la CNDH pour la pleine opérationnalisation de sa base de données sur les cas de violations et abus des droits de l’homme </w:t>
      </w:r>
    </w:p>
    <w:p w14:paraId="68FB95BF" w14:textId="77777777" w:rsidR="00A77597" w:rsidRPr="00A77597" w:rsidRDefault="00A77597" w:rsidP="00A77597">
      <w:pPr>
        <w:numPr>
          <w:ilvl w:val="0"/>
          <w:numId w:val="9"/>
        </w:numPr>
        <w:rPr>
          <w:b/>
          <w:bCs/>
          <w:i/>
          <w:iCs/>
          <w:lang w:val="fr-FR"/>
        </w:rPr>
      </w:pPr>
      <w:r w:rsidRPr="00A77597">
        <w:rPr>
          <w:lang w:val="fr-FR"/>
        </w:rPr>
        <w:t xml:space="preserve">Documenter les bonnes pratiques et leçons apprises à capitaliser pour les projets futurs en cours de préparation ; </w:t>
      </w:r>
    </w:p>
    <w:p w14:paraId="16ACB3EE" w14:textId="77777777" w:rsidR="00A77597" w:rsidRPr="00A77597" w:rsidRDefault="00A77597" w:rsidP="00A77597">
      <w:pPr>
        <w:numPr>
          <w:ilvl w:val="0"/>
          <w:numId w:val="9"/>
        </w:numPr>
        <w:rPr>
          <w:b/>
          <w:bCs/>
          <w:i/>
          <w:iCs/>
          <w:lang w:val="fr-FR"/>
        </w:rPr>
      </w:pPr>
      <w:r w:rsidRPr="00A77597">
        <w:rPr>
          <w:lang w:val="fr-FR"/>
        </w:rPr>
        <w:t xml:space="preserve">Organiser correctement l’évaluation finale du projet. </w:t>
      </w:r>
    </w:p>
    <w:p w14:paraId="6011CBD6" w14:textId="77777777" w:rsidR="00A77597" w:rsidRDefault="00A77597" w:rsidP="00117EE7">
      <w:pPr>
        <w:ind w:left="-810"/>
        <w:rPr>
          <w:lang w:val="fr-FR"/>
        </w:rPr>
      </w:pPr>
    </w:p>
    <w:p w14:paraId="13C52B88" w14:textId="77777777" w:rsidR="00117EE7" w:rsidRDefault="00117EE7" w:rsidP="00117EE7">
      <w:pPr>
        <w:ind w:left="-810"/>
        <w:rPr>
          <w:lang w:val="fr-FR"/>
        </w:rPr>
      </w:pPr>
    </w:p>
    <w:p w14:paraId="42600897" w14:textId="77777777" w:rsidR="00DD52DF" w:rsidRDefault="00117EE7" w:rsidP="00DD52DF">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bookmarkStart w:id="20" w:name="_Hlk85096892"/>
    </w:p>
    <w:p w14:paraId="293CBBA3" w14:textId="77777777" w:rsidR="00DD52DF" w:rsidRDefault="00DD52DF" w:rsidP="00DD52DF">
      <w:pPr>
        <w:ind w:left="-810"/>
        <w:rPr>
          <w:lang w:val="fr-FR"/>
        </w:rPr>
      </w:pPr>
      <w:r>
        <w:rPr>
          <w:sz w:val="22"/>
          <w:szCs w:val="22"/>
          <w:highlight w:val="lightGray"/>
          <w:lang w:val="de-DE"/>
        </w:rPr>
        <w:t>La reconnaissance des CoFos par les tribunaux</w:t>
      </w:r>
      <w:r>
        <w:rPr>
          <w:sz w:val="22"/>
          <w:szCs w:val="22"/>
          <w:lang w:val="de-DE"/>
        </w:rPr>
        <w:t xml:space="preserve"> démontre aussi la consolidation de la confiance entre les communautés et le sytème de justice formelle. Elles ont concilié les mécanismes traditionnels de résolution des conflits fonciers auquels elles sont attachées, aux  mécanismes formels comme les Cofos.</w:t>
      </w:r>
    </w:p>
    <w:p w14:paraId="152CFDC4" w14:textId="7E14F3B8" w:rsidR="00DD52DF" w:rsidRDefault="00DD52DF" w:rsidP="00DD52DF">
      <w:pPr>
        <w:ind w:left="-810"/>
        <w:rPr>
          <w:lang w:val="fr-FR"/>
        </w:rPr>
      </w:pPr>
      <w:r>
        <w:rPr>
          <w:bCs/>
          <w:iCs/>
          <w:sz w:val="22"/>
          <w:szCs w:val="22"/>
          <w:lang w:val="de-DE"/>
        </w:rPr>
        <w:t xml:space="preserve">A titre illustratif, on peut citer le témoignage du président du Cofo de </w:t>
      </w:r>
      <w:r>
        <w:rPr>
          <w:bCs/>
          <w:iCs/>
          <w:sz w:val="22"/>
          <w:szCs w:val="22"/>
          <w:lang w:val="fr-FR"/>
        </w:rPr>
        <w:t xml:space="preserve"> </w:t>
      </w:r>
      <w:proofErr w:type="spellStart"/>
      <w:r>
        <w:rPr>
          <w:bCs/>
          <w:sz w:val="22"/>
          <w:szCs w:val="22"/>
          <w:lang w:val="fr-CA"/>
        </w:rPr>
        <w:t>Koundia</w:t>
      </w:r>
      <w:proofErr w:type="spellEnd"/>
      <w:r>
        <w:rPr>
          <w:bCs/>
          <w:sz w:val="22"/>
          <w:szCs w:val="22"/>
          <w:lang w:val="fr-CA"/>
        </w:rPr>
        <w:t xml:space="preserve"> Bine </w:t>
      </w:r>
      <w:proofErr w:type="spellStart"/>
      <w:r>
        <w:rPr>
          <w:bCs/>
          <w:sz w:val="22"/>
          <w:szCs w:val="22"/>
          <w:lang w:val="fr-CA"/>
        </w:rPr>
        <w:t>Pelcoulba</w:t>
      </w:r>
      <w:proofErr w:type="spellEnd"/>
      <w:r>
        <w:rPr>
          <w:bCs/>
          <w:sz w:val="22"/>
          <w:szCs w:val="22"/>
          <w:lang w:val="fr-CA"/>
        </w:rPr>
        <w:t xml:space="preserve">, Président de la commission foncière de </w:t>
      </w:r>
      <w:proofErr w:type="spellStart"/>
      <w:r>
        <w:rPr>
          <w:bCs/>
          <w:sz w:val="22"/>
          <w:szCs w:val="22"/>
          <w:lang w:val="fr-CA"/>
        </w:rPr>
        <w:t>Madina</w:t>
      </w:r>
      <w:proofErr w:type="spellEnd"/>
      <w:r>
        <w:rPr>
          <w:bCs/>
          <w:i/>
          <w:iCs/>
          <w:sz w:val="22"/>
          <w:szCs w:val="22"/>
          <w:lang w:val="fr-CA"/>
        </w:rPr>
        <w:t xml:space="preserve"> : </w:t>
      </w:r>
      <w:r>
        <w:rPr>
          <w:bCs/>
          <w:iCs/>
          <w:sz w:val="22"/>
          <w:szCs w:val="22"/>
          <w:lang w:val="fr-FR"/>
        </w:rPr>
        <w:t>“</w:t>
      </w:r>
      <w:r>
        <w:rPr>
          <w:bCs/>
          <w:i/>
          <w:iCs/>
          <w:sz w:val="22"/>
          <w:szCs w:val="22"/>
          <w:lang w:val="fr-CA"/>
        </w:rPr>
        <w:t xml:space="preserve">Le litige foncier dont je vous parle remonte à janvier 2021. Grâce à l’appui du partenaire qui a appuyé la mise en place de la commission foncière dans le village de </w:t>
      </w:r>
      <w:proofErr w:type="spellStart"/>
      <w:r>
        <w:rPr>
          <w:bCs/>
          <w:i/>
          <w:iCs/>
          <w:sz w:val="22"/>
          <w:szCs w:val="22"/>
          <w:lang w:val="fr-CA"/>
        </w:rPr>
        <w:t>Madina</w:t>
      </w:r>
      <w:proofErr w:type="spellEnd"/>
      <w:r>
        <w:rPr>
          <w:bCs/>
          <w:i/>
          <w:iCs/>
          <w:sz w:val="22"/>
          <w:szCs w:val="22"/>
          <w:lang w:val="fr-CA"/>
        </w:rPr>
        <w:t xml:space="preserve">, avec des sensibilisations et des renforcements de capacité des membres de la commission, une solution fût trouvée au litige. Le conflit s’est opposé entre, </w:t>
      </w:r>
      <w:proofErr w:type="spellStart"/>
      <w:r>
        <w:rPr>
          <w:bCs/>
          <w:i/>
          <w:iCs/>
          <w:sz w:val="22"/>
          <w:szCs w:val="22"/>
          <w:lang w:val="fr-CA"/>
        </w:rPr>
        <w:t>Kanda</w:t>
      </w:r>
      <w:proofErr w:type="spellEnd"/>
      <w:r>
        <w:rPr>
          <w:bCs/>
          <w:i/>
          <w:iCs/>
          <w:sz w:val="22"/>
          <w:szCs w:val="22"/>
          <w:lang w:val="fr-CA"/>
        </w:rPr>
        <w:t xml:space="preserve"> </w:t>
      </w:r>
      <w:proofErr w:type="spellStart"/>
      <w:r>
        <w:rPr>
          <w:bCs/>
          <w:i/>
          <w:iCs/>
          <w:sz w:val="22"/>
          <w:szCs w:val="22"/>
          <w:lang w:val="fr-CA"/>
        </w:rPr>
        <w:t>Oulogeum</w:t>
      </w:r>
      <w:proofErr w:type="spellEnd"/>
      <w:r>
        <w:rPr>
          <w:bCs/>
          <w:i/>
          <w:iCs/>
          <w:sz w:val="22"/>
          <w:szCs w:val="22"/>
          <w:lang w:val="fr-CA"/>
        </w:rPr>
        <w:t xml:space="preserve"> cultivateur et Oumar </w:t>
      </w:r>
      <w:proofErr w:type="spellStart"/>
      <w:r>
        <w:rPr>
          <w:bCs/>
          <w:i/>
          <w:iCs/>
          <w:sz w:val="22"/>
          <w:szCs w:val="22"/>
          <w:lang w:val="fr-CA"/>
        </w:rPr>
        <w:t>Pelcoulba</w:t>
      </w:r>
      <w:proofErr w:type="spellEnd"/>
      <w:r>
        <w:rPr>
          <w:bCs/>
          <w:i/>
          <w:iCs/>
          <w:sz w:val="22"/>
          <w:szCs w:val="22"/>
          <w:lang w:val="fr-CA"/>
        </w:rPr>
        <w:t xml:space="preserve"> éleveur.</w:t>
      </w:r>
    </w:p>
    <w:p w14:paraId="764C4E36" w14:textId="3EFC8CC3" w:rsidR="00DD52DF" w:rsidRDefault="00DD52DF" w:rsidP="00DD52DF">
      <w:pPr>
        <w:ind w:left="-810"/>
        <w:rPr>
          <w:lang w:val="fr-FR"/>
        </w:rPr>
      </w:pPr>
      <w:r>
        <w:rPr>
          <w:bCs/>
          <w:i/>
          <w:iCs/>
          <w:sz w:val="22"/>
          <w:szCs w:val="22"/>
          <w:u w:val="single"/>
          <w:lang w:val="fr-CA"/>
        </w:rPr>
        <w:t>L’objet du litige</w:t>
      </w:r>
      <w:r>
        <w:rPr>
          <w:bCs/>
          <w:i/>
          <w:iCs/>
          <w:sz w:val="22"/>
          <w:szCs w:val="22"/>
          <w:lang w:val="fr-CA"/>
        </w:rPr>
        <w:t xml:space="preserve"> : Débordement de l’espace dédié au pâturage.</w:t>
      </w:r>
    </w:p>
    <w:p w14:paraId="409CBE53" w14:textId="22A8DFDD" w:rsidR="00DD52DF" w:rsidRPr="00DD52DF" w:rsidRDefault="00DD52DF" w:rsidP="00DD52DF">
      <w:pPr>
        <w:ind w:left="-810"/>
        <w:rPr>
          <w:lang w:val="fr-FR"/>
        </w:rPr>
      </w:pPr>
      <w:r>
        <w:rPr>
          <w:bCs/>
          <w:i/>
          <w:iCs/>
          <w:sz w:val="22"/>
          <w:szCs w:val="22"/>
          <w:u w:val="single"/>
          <w:lang w:val="fr-CA"/>
        </w:rPr>
        <w:t>Les faits :</w:t>
      </w:r>
      <w:r>
        <w:rPr>
          <w:bCs/>
          <w:i/>
          <w:iCs/>
          <w:sz w:val="22"/>
          <w:szCs w:val="22"/>
          <w:lang w:val="fr-CA"/>
        </w:rPr>
        <w:t xml:space="preserve"> Les animaux d’Oumar </w:t>
      </w:r>
      <w:proofErr w:type="spellStart"/>
      <w:r>
        <w:rPr>
          <w:bCs/>
          <w:i/>
          <w:iCs/>
          <w:sz w:val="22"/>
          <w:szCs w:val="22"/>
          <w:lang w:val="fr-CA"/>
        </w:rPr>
        <w:t>pelcoulba</w:t>
      </w:r>
      <w:proofErr w:type="spellEnd"/>
      <w:r>
        <w:rPr>
          <w:bCs/>
          <w:i/>
          <w:iCs/>
          <w:sz w:val="22"/>
          <w:szCs w:val="22"/>
          <w:lang w:val="fr-CA"/>
        </w:rPr>
        <w:t xml:space="preserve"> ont endommagé la parcelle de culture de </w:t>
      </w:r>
      <w:proofErr w:type="spellStart"/>
      <w:r>
        <w:rPr>
          <w:bCs/>
          <w:i/>
          <w:iCs/>
          <w:sz w:val="22"/>
          <w:szCs w:val="22"/>
          <w:lang w:val="fr-CA"/>
        </w:rPr>
        <w:t>Kanda</w:t>
      </w:r>
      <w:proofErr w:type="spellEnd"/>
      <w:r>
        <w:rPr>
          <w:bCs/>
          <w:i/>
          <w:iCs/>
          <w:sz w:val="22"/>
          <w:szCs w:val="22"/>
          <w:lang w:val="fr-CA"/>
        </w:rPr>
        <w:t xml:space="preserve"> </w:t>
      </w:r>
      <w:proofErr w:type="spellStart"/>
      <w:r>
        <w:rPr>
          <w:bCs/>
          <w:i/>
          <w:iCs/>
          <w:sz w:val="22"/>
          <w:szCs w:val="22"/>
          <w:lang w:val="fr-CA"/>
        </w:rPr>
        <w:t>Oulogueum</w:t>
      </w:r>
      <w:proofErr w:type="spellEnd"/>
      <w:r>
        <w:rPr>
          <w:bCs/>
          <w:i/>
          <w:iCs/>
          <w:sz w:val="22"/>
          <w:szCs w:val="22"/>
          <w:lang w:val="fr-CA"/>
        </w:rPr>
        <w:t xml:space="preserve">. Ce dernier informe le président de la commission foncière qui a aussitôt fait appel aux autres membres de la </w:t>
      </w:r>
      <w:proofErr w:type="spellStart"/>
      <w:r>
        <w:rPr>
          <w:bCs/>
          <w:i/>
          <w:iCs/>
          <w:sz w:val="22"/>
          <w:szCs w:val="22"/>
          <w:lang w:val="fr-CA"/>
        </w:rPr>
        <w:t>Cofo</w:t>
      </w:r>
      <w:proofErr w:type="spellEnd"/>
      <w:r>
        <w:rPr>
          <w:bCs/>
          <w:i/>
          <w:iCs/>
          <w:sz w:val="22"/>
          <w:szCs w:val="22"/>
          <w:lang w:val="fr-CA"/>
        </w:rPr>
        <w:t xml:space="preserve">. Trois rencontres ont été tenues par la </w:t>
      </w:r>
      <w:proofErr w:type="spellStart"/>
      <w:r>
        <w:rPr>
          <w:bCs/>
          <w:i/>
          <w:iCs/>
          <w:sz w:val="22"/>
          <w:szCs w:val="22"/>
          <w:lang w:val="fr-CA"/>
        </w:rPr>
        <w:t>cofo</w:t>
      </w:r>
      <w:proofErr w:type="spellEnd"/>
      <w:r>
        <w:rPr>
          <w:bCs/>
          <w:i/>
          <w:iCs/>
          <w:sz w:val="22"/>
          <w:szCs w:val="22"/>
          <w:lang w:val="fr-CA"/>
        </w:rPr>
        <w:t xml:space="preserve"> pour trouver la solution au litige :</w:t>
      </w:r>
    </w:p>
    <w:p w14:paraId="583E51B7" w14:textId="144874CF" w:rsidR="00DD52DF" w:rsidRDefault="00DD52DF" w:rsidP="00DD52DF">
      <w:pPr>
        <w:jc w:val="both"/>
        <w:rPr>
          <w:bCs/>
          <w:i/>
          <w:iCs/>
          <w:sz w:val="22"/>
          <w:szCs w:val="22"/>
          <w:lang w:val="fr-CA"/>
        </w:rPr>
      </w:pPr>
      <w:r>
        <w:rPr>
          <w:bCs/>
          <w:i/>
          <w:iCs/>
          <w:sz w:val="22"/>
          <w:szCs w:val="22"/>
          <w:lang w:val="fr-CA"/>
        </w:rPr>
        <w:t>•</w:t>
      </w:r>
      <w:r>
        <w:rPr>
          <w:bCs/>
          <w:i/>
          <w:iCs/>
          <w:sz w:val="22"/>
          <w:szCs w:val="22"/>
          <w:lang w:val="fr-CA"/>
        </w:rPr>
        <w:tab/>
        <w:t>Première rencontre le 11 janvier 2022, s’était tenue pour écouter les deux (02) parties, sanctionnée de PV,</w:t>
      </w:r>
    </w:p>
    <w:p w14:paraId="69D1B1F8" w14:textId="6544DA32" w:rsidR="00DD52DF" w:rsidRDefault="00DD52DF" w:rsidP="00DD52DF">
      <w:pPr>
        <w:jc w:val="both"/>
        <w:rPr>
          <w:bCs/>
          <w:i/>
          <w:iCs/>
          <w:sz w:val="22"/>
          <w:szCs w:val="22"/>
          <w:lang w:val="fr-CA"/>
        </w:rPr>
      </w:pPr>
      <w:r>
        <w:rPr>
          <w:bCs/>
          <w:i/>
          <w:iCs/>
          <w:sz w:val="22"/>
          <w:szCs w:val="22"/>
          <w:lang w:val="fr-CA"/>
        </w:rPr>
        <w:t>•</w:t>
      </w:r>
      <w:r>
        <w:rPr>
          <w:bCs/>
          <w:i/>
          <w:iCs/>
          <w:sz w:val="22"/>
          <w:szCs w:val="22"/>
          <w:lang w:val="fr-CA"/>
        </w:rPr>
        <w:tab/>
        <w:t>Deuxième rencontre le 14 janvier 2022, a eu lieu pour aller faire le constat sur le lieu, sanctionnée de PV,</w:t>
      </w:r>
    </w:p>
    <w:p w14:paraId="2CA564CA" w14:textId="32099DA3" w:rsidR="00DD52DF" w:rsidRDefault="00DD52DF" w:rsidP="00DD52DF">
      <w:pPr>
        <w:jc w:val="both"/>
        <w:rPr>
          <w:bCs/>
          <w:i/>
          <w:iCs/>
          <w:sz w:val="22"/>
          <w:szCs w:val="22"/>
          <w:lang w:val="fr-CA"/>
        </w:rPr>
      </w:pPr>
      <w:r>
        <w:rPr>
          <w:bCs/>
          <w:i/>
          <w:iCs/>
          <w:sz w:val="22"/>
          <w:szCs w:val="22"/>
          <w:lang w:val="fr-CA"/>
        </w:rPr>
        <w:t>•</w:t>
      </w:r>
      <w:r>
        <w:rPr>
          <w:bCs/>
          <w:i/>
          <w:iCs/>
          <w:sz w:val="22"/>
          <w:szCs w:val="22"/>
          <w:lang w:val="fr-CA"/>
        </w:rPr>
        <w:tab/>
        <w:t>Et la dernière rencontre le 20 janvier 2022, a eu lieu pour la conciliation des deux parties, sanctionnée de PV.</w:t>
      </w:r>
    </w:p>
    <w:p w14:paraId="60187039" w14:textId="6A2F0679" w:rsidR="00DD52DF" w:rsidRDefault="00DD52DF" w:rsidP="00DD52DF">
      <w:pPr>
        <w:jc w:val="both"/>
        <w:rPr>
          <w:bCs/>
          <w:i/>
          <w:iCs/>
          <w:sz w:val="22"/>
          <w:szCs w:val="22"/>
          <w:lang w:val="fr-CA"/>
        </w:rPr>
      </w:pPr>
      <w:r>
        <w:rPr>
          <w:bCs/>
          <w:i/>
          <w:iCs/>
          <w:sz w:val="22"/>
          <w:szCs w:val="22"/>
          <w:lang w:val="fr-CA"/>
        </w:rPr>
        <w:lastRenderedPageBreak/>
        <w:t xml:space="preserve">Après les constats et une longue discussion, il a été conclu que Mr Oumar </w:t>
      </w:r>
      <w:proofErr w:type="spellStart"/>
      <w:r>
        <w:rPr>
          <w:bCs/>
          <w:i/>
          <w:iCs/>
          <w:sz w:val="22"/>
          <w:szCs w:val="22"/>
          <w:lang w:val="fr-CA"/>
        </w:rPr>
        <w:t>Ouologuem</w:t>
      </w:r>
      <w:proofErr w:type="spellEnd"/>
      <w:r>
        <w:rPr>
          <w:bCs/>
          <w:i/>
          <w:iCs/>
          <w:sz w:val="22"/>
          <w:szCs w:val="22"/>
          <w:lang w:val="fr-CA"/>
        </w:rPr>
        <w:t xml:space="preserve"> cultivateur est rentré dans l’espace de pâturages de 7.5 mètres et il a reconnu son tort. A cet effet une attestation de prêt annuel a été remplie en fin de campagne au nom du village et remis au président de la commission. Les deux protagonistes se sont demandé et accordé leur pardon publiquement et voilà comment ce litige a été résolu. »</w:t>
      </w:r>
      <w:bookmarkEnd w:id="20"/>
    </w:p>
    <w:p w14:paraId="380B8939" w14:textId="2D9C33D0" w:rsidR="00F72415" w:rsidRPr="00DD52DF" w:rsidRDefault="00F72415" w:rsidP="00117EE7">
      <w:pPr>
        <w:ind w:left="-810"/>
        <w:rPr>
          <w:lang w:val="fr-CA"/>
        </w:rPr>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D73255" w:rsidRPr="00CD2513" w14:paraId="3278E054" w14:textId="77777777" w:rsidTr="00116E27">
        <w:tc>
          <w:tcPr>
            <w:tcW w:w="4756" w:type="dxa"/>
            <w:shd w:val="clear" w:color="auto" w:fill="auto"/>
          </w:tcPr>
          <w:p w14:paraId="1A9F4B35" w14:textId="77777777" w:rsidR="00D73255" w:rsidRPr="00CD2513" w:rsidRDefault="00D73255" w:rsidP="00D73255">
            <w:pPr>
              <w:rPr>
                <w:lang w:val="fr-FR"/>
              </w:rPr>
            </w:pPr>
            <w:r w:rsidRPr="009C1311">
              <w:rPr>
                <w:b/>
                <w:bCs/>
                <w:u w:val="single"/>
                <w:lang w:val="fr-FR"/>
              </w:rPr>
              <w:t>Suivi</w:t>
            </w:r>
            <w:r w:rsidRPr="00CD2513">
              <w:rPr>
                <w:b/>
                <w:bCs/>
                <w:lang w:val="fr-FR"/>
              </w:rPr>
              <w:t xml:space="preserve">: </w:t>
            </w:r>
            <w:r w:rsidRPr="00CD2513">
              <w:rPr>
                <w:lang w:val="fr-FR"/>
              </w:rPr>
              <w:t>Indiquez les activités de suivi conduites dans la période du rapport (Limite de 1000 caractères)</w:t>
            </w:r>
          </w:p>
          <w:p w14:paraId="6C14F0C4" w14:textId="77777777" w:rsidR="00D73255" w:rsidRPr="00CD2513" w:rsidRDefault="00D73255" w:rsidP="00D73255">
            <w:pPr>
              <w:rPr>
                <w:iCs/>
                <w:lang w:val="fr-FR"/>
              </w:rPr>
            </w:pPr>
          </w:p>
          <w:p w14:paraId="7377DE59" w14:textId="77777777" w:rsidR="00D73255" w:rsidRPr="00CD2513" w:rsidRDefault="00D73255" w:rsidP="00D73255">
            <w:pPr>
              <w:jc w:val="both"/>
              <w:rPr>
                <w:iCs/>
                <w:sz w:val="22"/>
                <w:szCs w:val="22"/>
                <w:lang w:val="fr-FR" w:eastAsia="de-DE"/>
              </w:rPr>
            </w:pPr>
            <w:bookmarkStart w:id="21" w:name="_Hlk85099385"/>
            <w:r w:rsidRPr="00CD2513">
              <w:rPr>
                <w:iCs/>
                <w:sz w:val="22"/>
                <w:szCs w:val="22"/>
                <w:lang w:val="fr-FR" w:eastAsia="de-DE"/>
              </w:rPr>
              <w:t>Le suivi de la mise en œuvre du plan de travail annuel a été fait avec l’appui de l’unité de suivi/évaluation d’ONU Femmes.</w:t>
            </w:r>
          </w:p>
          <w:p w14:paraId="5899EF92" w14:textId="5475F452" w:rsidR="00D73255" w:rsidRPr="00CD2513" w:rsidRDefault="00D73255" w:rsidP="00D73255">
            <w:pPr>
              <w:jc w:val="both"/>
              <w:rPr>
                <w:iCs/>
                <w:sz w:val="22"/>
                <w:szCs w:val="22"/>
                <w:lang w:val="fr-FR" w:eastAsia="de-DE"/>
              </w:rPr>
            </w:pPr>
            <w:r w:rsidRPr="00CD2513">
              <w:rPr>
                <w:iCs/>
                <w:sz w:val="22"/>
                <w:szCs w:val="22"/>
                <w:lang w:val="fr-FR" w:eastAsia="de-DE"/>
              </w:rPr>
              <w:t xml:space="preserve">L’équipe d’ONU Femmes a participé aux réunions trimestrielles de coordination (opérationnelle et stratégique) organisées par HCDH sur le suivi des plans de travail et aux réunions de suivi du Secrétariat de PBF. </w:t>
            </w:r>
          </w:p>
          <w:p w14:paraId="24889BF7" w14:textId="4C2ADF15" w:rsidR="00D73255" w:rsidRPr="00CD2513" w:rsidRDefault="00344155" w:rsidP="00D73255">
            <w:pPr>
              <w:jc w:val="both"/>
              <w:rPr>
                <w:iCs/>
                <w:sz w:val="22"/>
                <w:szCs w:val="22"/>
                <w:lang w:val="fr-FR" w:eastAsia="de-DE"/>
              </w:rPr>
            </w:pPr>
            <w:r w:rsidRPr="00CD2513">
              <w:rPr>
                <w:iCs/>
                <w:sz w:val="22"/>
                <w:szCs w:val="22"/>
                <w:lang w:val="fr-FR" w:eastAsia="de-DE"/>
              </w:rPr>
              <w:t>Q</w:t>
            </w:r>
            <w:r w:rsidR="00D73255" w:rsidRPr="00CD2513">
              <w:rPr>
                <w:iCs/>
                <w:sz w:val="22"/>
                <w:szCs w:val="22"/>
                <w:lang w:val="fr-FR" w:eastAsia="de-DE"/>
              </w:rPr>
              <w:t>uatre missions de suivi ont été conduites par l’équipe de projet à Mopti et Ségou.</w:t>
            </w:r>
          </w:p>
          <w:p w14:paraId="64D0BA62" w14:textId="3589C430" w:rsidR="001E739E" w:rsidRPr="00CD2513" w:rsidRDefault="001E739E" w:rsidP="00D73255">
            <w:pPr>
              <w:jc w:val="both"/>
              <w:rPr>
                <w:iCs/>
                <w:sz w:val="22"/>
                <w:szCs w:val="22"/>
                <w:lang w:val="fr-FR" w:eastAsia="de-DE"/>
              </w:rPr>
            </w:pPr>
            <w:r w:rsidRPr="00CD2513">
              <w:rPr>
                <w:iCs/>
                <w:sz w:val="22"/>
                <w:szCs w:val="22"/>
                <w:lang w:val="fr-FR" w:eastAsia="de-DE"/>
              </w:rPr>
              <w:t xml:space="preserve">Une collaboration étroite entre le PNUD et le HCDH a permis le suivi du recrutement de 3 consultants dont le coordinateur national du projet. </w:t>
            </w:r>
          </w:p>
          <w:bookmarkEnd w:id="21"/>
          <w:p w14:paraId="7A657819" w14:textId="31E388EE" w:rsidR="00D73255" w:rsidRPr="00CD2513" w:rsidRDefault="00D73255" w:rsidP="00D73255">
            <w:pPr>
              <w:rPr>
                <w:i/>
                <w:lang w:val="fr-FR"/>
              </w:rPr>
            </w:pPr>
            <w:r w:rsidRPr="009C1311">
              <w:rPr>
                <w:i/>
                <w:lang w:val="fr-FR"/>
              </w:rPr>
              <w:t xml:space="preserve"> </w:t>
            </w:r>
          </w:p>
          <w:p w14:paraId="21BD62AD" w14:textId="77777777" w:rsidR="00D73255" w:rsidRPr="00CD2513" w:rsidRDefault="00D73255" w:rsidP="00D73255">
            <w:pPr>
              <w:rPr>
                <w:lang w:val="fr-FR"/>
              </w:rPr>
            </w:pPr>
          </w:p>
        </w:tc>
        <w:tc>
          <w:tcPr>
            <w:tcW w:w="5414" w:type="dxa"/>
            <w:shd w:val="clear" w:color="auto" w:fill="auto"/>
          </w:tcPr>
          <w:p w14:paraId="6ADD3143" w14:textId="77777777" w:rsidR="00D73255" w:rsidRPr="00CD2513" w:rsidRDefault="00D73255" w:rsidP="00D73255">
            <w:pPr>
              <w:rPr>
                <w:b/>
                <w:bCs/>
                <w:lang w:val="fr-FR"/>
              </w:rPr>
            </w:pPr>
            <w:r w:rsidRPr="009C1311">
              <w:rPr>
                <w:lang w:val="fr-FR"/>
              </w:rPr>
              <w:t xml:space="preserve">Est-ce que les indicateurs des résultats ont des bases de référence? </w:t>
            </w:r>
            <w:r w:rsidRPr="00CD2513">
              <w:rPr>
                <w:b/>
                <w:lang w:val="fr-FR"/>
              </w:rPr>
              <w:t xml:space="preserve"> Oui</w:t>
            </w:r>
          </w:p>
          <w:p w14:paraId="42B7D020" w14:textId="77777777" w:rsidR="00D73255" w:rsidRPr="00CD2513" w:rsidRDefault="00D73255" w:rsidP="00D73255">
            <w:pPr>
              <w:rPr>
                <w:lang w:val="fr-FR"/>
              </w:rPr>
            </w:pPr>
          </w:p>
          <w:p w14:paraId="20B82DF9" w14:textId="77777777" w:rsidR="00D73255" w:rsidRPr="00CD2513" w:rsidRDefault="00D73255" w:rsidP="00D73255">
            <w:pPr>
              <w:jc w:val="both"/>
              <w:rPr>
                <w:bCs/>
                <w:lang w:val="fr-FR"/>
              </w:rPr>
            </w:pPr>
            <w:r w:rsidRPr="00CD2513">
              <w:rPr>
                <w:lang w:val="fr-FR"/>
              </w:rPr>
              <w:t>Le projet a-t-il lancé des enquêtes de perception ou d'autres collectes de données communautaires?</w:t>
            </w:r>
            <w:r w:rsidRPr="00CD2513">
              <w:rPr>
                <w:b/>
                <w:lang w:val="fr-FR"/>
              </w:rPr>
              <w:t xml:space="preserve"> Oui.</w:t>
            </w:r>
            <w:r w:rsidRPr="00CD2513">
              <w:rPr>
                <w:bCs/>
                <w:lang w:val="fr-FR"/>
              </w:rPr>
              <w:t xml:space="preserve"> </w:t>
            </w:r>
          </w:p>
          <w:p w14:paraId="7AFCB550" w14:textId="77777777" w:rsidR="00D73255" w:rsidRPr="00CD2513" w:rsidRDefault="00D73255" w:rsidP="00D73255">
            <w:pPr>
              <w:jc w:val="both"/>
              <w:rPr>
                <w:bCs/>
                <w:sz w:val="22"/>
                <w:szCs w:val="22"/>
                <w:lang w:val="fr-FR"/>
              </w:rPr>
            </w:pPr>
          </w:p>
          <w:p w14:paraId="54C874D5" w14:textId="2116991D" w:rsidR="00D73255" w:rsidRPr="00CD2513" w:rsidRDefault="00D73255" w:rsidP="009C1311">
            <w:pPr>
              <w:jc w:val="both"/>
              <w:rPr>
                <w:bCs/>
                <w:sz w:val="22"/>
                <w:szCs w:val="22"/>
                <w:lang w:val="fr-FR"/>
              </w:rPr>
            </w:pPr>
            <w:r w:rsidRPr="00CD2513">
              <w:rPr>
                <w:bCs/>
                <w:sz w:val="22"/>
                <w:szCs w:val="22"/>
                <w:lang w:val="fr-FR"/>
              </w:rPr>
              <w:t>Il s’agit du baromètre participatif sous le lead de INTERPEACE. L’analyse des besoins des populations et des Forces de Défense et de Sécurité (FDS)en matière de gestion de la sécurité a été conduite par ONU Femmes.</w:t>
            </w:r>
          </w:p>
          <w:p w14:paraId="2937053E" w14:textId="77777777" w:rsidR="00D73255" w:rsidRPr="009C1311" w:rsidRDefault="00D73255" w:rsidP="00CD2513">
            <w:pPr>
              <w:jc w:val="both"/>
              <w:rPr>
                <w:lang w:val="fr-FR"/>
              </w:rPr>
            </w:pPr>
          </w:p>
          <w:p w14:paraId="3ED0EAA6" w14:textId="7EEAB253" w:rsidR="00D73255" w:rsidRPr="00CD2513" w:rsidRDefault="00D73255" w:rsidP="001E739E">
            <w:pPr>
              <w:pStyle w:val="BodyText2"/>
              <w:jc w:val="both"/>
            </w:pPr>
            <w:r w:rsidRPr="00CD2513">
              <w:t>Les études suivantes ont été réalisées (les documents sont disponibles en annexe) :</w:t>
            </w:r>
          </w:p>
          <w:p w14:paraId="0CC820A7" w14:textId="77777777" w:rsidR="001E739E" w:rsidRPr="00CD2513" w:rsidRDefault="001E739E" w:rsidP="00CD2513">
            <w:pPr>
              <w:pStyle w:val="BodyText2"/>
              <w:jc w:val="both"/>
            </w:pPr>
          </w:p>
          <w:p w14:paraId="6FC6B4F3" w14:textId="77777777" w:rsidR="00D73255" w:rsidRPr="009C1311" w:rsidRDefault="00D73255" w:rsidP="00CD2513">
            <w:pPr>
              <w:jc w:val="both"/>
              <w:rPr>
                <w:sz w:val="22"/>
                <w:szCs w:val="22"/>
                <w:lang w:val="fr-FR"/>
              </w:rPr>
            </w:pPr>
            <w:r w:rsidRPr="00CD2513">
              <w:rPr>
                <w:b/>
                <w:bCs/>
                <w:sz w:val="22"/>
                <w:szCs w:val="22"/>
                <w:lang w:val="fr-FR"/>
              </w:rPr>
              <w:t>Annexe1 :</w:t>
            </w:r>
            <w:r w:rsidRPr="00CD2513">
              <w:rPr>
                <w:sz w:val="22"/>
                <w:szCs w:val="22"/>
                <w:lang w:val="fr-FR"/>
              </w:rPr>
              <w:t xml:space="preserve"> rapport sur les études situationnelles locales sur les cas des conflits intercommunautaires pris en charge par les acteurs formels et informels mettant en évidence les cas impliquants les femmes dans les localités de Mopti, Bandiagara, Djenné, Niono, San, Bla et Ségou.(Décembre 2021)</w:t>
            </w:r>
          </w:p>
          <w:p w14:paraId="3518B588" w14:textId="77777777" w:rsidR="00D73255" w:rsidRPr="00CD2513" w:rsidRDefault="00D73255" w:rsidP="00CD2513">
            <w:pPr>
              <w:jc w:val="both"/>
              <w:rPr>
                <w:sz w:val="22"/>
                <w:szCs w:val="22"/>
                <w:lang w:val="fr-FR"/>
              </w:rPr>
            </w:pPr>
          </w:p>
          <w:p w14:paraId="2BD200E3" w14:textId="41DC695B" w:rsidR="00D73255" w:rsidRPr="009C1311" w:rsidRDefault="00D73255" w:rsidP="00CF4979">
            <w:pPr>
              <w:jc w:val="both"/>
              <w:rPr>
                <w:lang w:val="fr-FR"/>
              </w:rPr>
            </w:pPr>
          </w:p>
        </w:tc>
      </w:tr>
      <w:tr w:rsidR="00D73255" w:rsidRPr="00CD2513" w14:paraId="36A88C83" w14:textId="77777777" w:rsidTr="00116E27">
        <w:tc>
          <w:tcPr>
            <w:tcW w:w="4756" w:type="dxa"/>
            <w:shd w:val="clear" w:color="auto" w:fill="auto"/>
          </w:tcPr>
          <w:p w14:paraId="6242C484" w14:textId="77777777" w:rsidR="00D73255" w:rsidRPr="00CD2513" w:rsidRDefault="00D73255" w:rsidP="00D73255">
            <w:pPr>
              <w:rPr>
                <w:lang w:val="fr-FR"/>
              </w:rPr>
            </w:pPr>
            <w:r w:rsidRPr="009C1311">
              <w:rPr>
                <w:b/>
                <w:bCs/>
                <w:u w:val="single"/>
                <w:lang w:val="fr-FR"/>
              </w:rPr>
              <w:t>Evaluation:</w:t>
            </w:r>
            <w:r w:rsidRPr="00CD2513">
              <w:rPr>
                <w:lang w:val="fr-FR"/>
              </w:rPr>
              <w:t xml:space="preserve"> Est-ce qu’un exercice évaluatif a été conduit pendant la période du rapport?</w:t>
            </w:r>
          </w:p>
          <w:p w14:paraId="3679D92A" w14:textId="3FC2B049" w:rsidR="00D73255" w:rsidRPr="009C1311" w:rsidRDefault="00D73255" w:rsidP="00D73255">
            <w:r w:rsidRPr="00CD2513">
              <w:fldChar w:fldCharType="begin">
                <w:ffData>
                  <w:name w:val=""/>
                  <w:enabled/>
                  <w:calcOnExit w:val="0"/>
                  <w:ddList>
                    <w:listEntry w:val="Non"/>
                    <w:listEntry w:val="Oui"/>
                    <w:listEntry w:val="Veuillez sélectionner"/>
                  </w:ddList>
                </w:ffData>
              </w:fldChar>
            </w:r>
            <w:r w:rsidRPr="00CD2513">
              <w:instrText xml:space="preserve"> FORMDROPDOWN </w:instrText>
            </w:r>
            <w:r w:rsidR="000D4328">
              <w:fldChar w:fldCharType="separate"/>
            </w:r>
            <w:r w:rsidRPr="00CD2513">
              <w:fldChar w:fldCharType="end"/>
            </w:r>
            <w:r w:rsidR="001E739E" w:rsidRPr="009C1311">
              <w:t>, le recrutement du consul</w:t>
            </w:r>
            <w:r w:rsidR="001E739E" w:rsidRPr="00CD2513">
              <w:t>tant est en cours</w:t>
            </w:r>
          </w:p>
        </w:tc>
        <w:tc>
          <w:tcPr>
            <w:tcW w:w="5414" w:type="dxa"/>
            <w:shd w:val="clear" w:color="auto" w:fill="auto"/>
          </w:tcPr>
          <w:p w14:paraId="71B5E717" w14:textId="2EC19309" w:rsidR="00D73255" w:rsidRPr="00CD2513" w:rsidRDefault="00D73255" w:rsidP="00D73255">
            <w:pPr>
              <w:rPr>
                <w:lang w:val="fr-FR"/>
              </w:rPr>
            </w:pPr>
            <w:r w:rsidRPr="00CD2513">
              <w:rPr>
                <w:lang w:val="fr-FR"/>
              </w:rPr>
              <w:t xml:space="preserve">Budget pour évaluation finale (réponse obligatoire): </w:t>
            </w:r>
            <w:r w:rsidR="003E04E6">
              <w:rPr>
                <w:lang w:val="fr-FR"/>
              </w:rPr>
              <w:t xml:space="preserve">10 000$ </w:t>
            </w:r>
            <w:r w:rsidRPr="00CD2513">
              <w:rPr>
                <w:lang w:val="fr-FR"/>
              </w:rPr>
              <w:t xml:space="preserve"> </w:t>
            </w:r>
            <w:r w:rsidRPr="009C1311">
              <w:rPr>
                <w:lang w:val="fr-FR"/>
              </w:rPr>
              <w:t xml:space="preserve"> </w:t>
            </w:r>
          </w:p>
          <w:p w14:paraId="6A6F4940" w14:textId="77777777" w:rsidR="00D73255" w:rsidRPr="00CD2513" w:rsidRDefault="00D73255" w:rsidP="00D73255">
            <w:pPr>
              <w:rPr>
                <w:lang w:val="fr-FR"/>
              </w:rPr>
            </w:pPr>
          </w:p>
          <w:p w14:paraId="4A5A0BAB" w14:textId="55443C06" w:rsidR="00D73255" w:rsidRPr="00CD2513" w:rsidRDefault="00D73255" w:rsidP="00D73255">
            <w:pPr>
              <w:rPr>
                <w:lang w:val="fr-FR"/>
              </w:rPr>
            </w:pPr>
            <w:r w:rsidRPr="00CD2513">
              <w:rPr>
                <w:lang w:val="fr-FR"/>
              </w:rPr>
              <w:t>Si le projet se termine dans les 6 prochains mois, décrire les préparatifs pour l’évaluation</w:t>
            </w:r>
            <w:r w:rsidR="00A77597" w:rsidRPr="00CD2513">
              <w:rPr>
                <w:lang w:val="fr-FR"/>
              </w:rPr>
              <w:t xml:space="preserve"> </w:t>
            </w:r>
            <w:r w:rsidRPr="00CD2513">
              <w:rPr>
                <w:i/>
                <w:lang w:val="fr-FR"/>
              </w:rPr>
              <w:t>(</w:t>
            </w:r>
            <w:r w:rsidRPr="00CD2513">
              <w:rPr>
                <w:lang w:val="fr-FR"/>
              </w:rPr>
              <w:t>Limite de 1500 caractères</w:t>
            </w:r>
            <w:r w:rsidRPr="00CD2513">
              <w:rPr>
                <w:i/>
                <w:lang w:val="fr-FR"/>
              </w:rPr>
              <w:t>)</w:t>
            </w:r>
            <w:r w:rsidRPr="00CD2513">
              <w:rPr>
                <w:lang w:val="fr-FR"/>
              </w:rPr>
              <w:t xml:space="preserve">: les termes de références </w:t>
            </w:r>
            <w:r w:rsidR="00A90E6D">
              <w:rPr>
                <w:lang w:val="fr-FR"/>
              </w:rPr>
              <w:t xml:space="preserve">pour le recrutement du Consultant </w:t>
            </w:r>
            <w:r w:rsidRPr="009C1311">
              <w:rPr>
                <w:lang w:val="fr-FR"/>
              </w:rPr>
              <w:t xml:space="preserve">sont élaborés par HCDH </w:t>
            </w:r>
            <w:r w:rsidR="00A77597" w:rsidRPr="00CD2513">
              <w:rPr>
                <w:lang w:val="fr-FR"/>
              </w:rPr>
              <w:t xml:space="preserve">comme agence coordinatrice </w:t>
            </w:r>
            <w:r w:rsidRPr="00CD2513">
              <w:rPr>
                <w:lang w:val="fr-FR"/>
              </w:rPr>
              <w:t>avec les contributions</w:t>
            </w:r>
            <w:r w:rsidR="00A90E6D">
              <w:rPr>
                <w:lang w:val="fr-FR"/>
              </w:rPr>
              <w:t xml:space="preserve"> de tous les partenaires</w:t>
            </w:r>
            <w:r w:rsidRPr="00CD2513">
              <w:rPr>
                <w:lang w:val="fr-FR"/>
              </w:rPr>
              <w:t>.</w:t>
            </w:r>
            <w:r w:rsidRPr="00CD2513" w:rsidDel="004423C5">
              <w:rPr>
                <w:lang w:val="fr-FR"/>
              </w:rPr>
              <w:t xml:space="preserve"> </w:t>
            </w:r>
          </w:p>
          <w:p w14:paraId="7B8CF898" w14:textId="35BF8C52" w:rsidR="00D73255" w:rsidRPr="009C1311" w:rsidRDefault="00D73255" w:rsidP="00D73255">
            <w:pPr>
              <w:rPr>
                <w:lang w:val="fr-FR"/>
              </w:rPr>
            </w:pPr>
          </w:p>
          <w:p w14:paraId="6A29E557" w14:textId="77777777" w:rsidR="00D73255" w:rsidRPr="00CD2513" w:rsidRDefault="00D73255" w:rsidP="00D73255">
            <w:pPr>
              <w:rPr>
                <w:lang w:val="fr-FR"/>
              </w:rPr>
            </w:pPr>
          </w:p>
          <w:p w14:paraId="6FFC21C6" w14:textId="5D2E0EC5" w:rsidR="00D73255" w:rsidRPr="009C1311" w:rsidRDefault="00D73255" w:rsidP="00D73255">
            <w:pPr>
              <w:rPr>
                <w:lang w:val="fr-FR"/>
              </w:rPr>
            </w:pPr>
            <w:r w:rsidRPr="00CD2513">
              <w:rPr>
                <w:lang w:val="fr-FR"/>
              </w:rPr>
              <w:t xml:space="preserve">Si le projet se termine dans les 6 prochains mois, décrire les préparatifs pour l’évaluation </w:t>
            </w:r>
            <w:r w:rsidRPr="00CD2513">
              <w:rPr>
                <w:i/>
                <w:lang w:val="fr-FR"/>
              </w:rPr>
              <w:t>(</w:t>
            </w:r>
            <w:r w:rsidRPr="00CD2513">
              <w:rPr>
                <w:lang w:val="fr-FR"/>
              </w:rPr>
              <w:t>Limite de 1500 caractères</w:t>
            </w:r>
            <w:r w:rsidRPr="00CD2513">
              <w:rPr>
                <w:i/>
                <w:lang w:val="fr-FR"/>
              </w:rPr>
              <w:t>)</w:t>
            </w:r>
            <w:r w:rsidRPr="00CD2513">
              <w:rPr>
                <w:lang w:val="fr-FR"/>
              </w:rPr>
              <w:t xml:space="preserve">: </w:t>
            </w:r>
            <w:r w:rsidRPr="00CD2513">
              <w:fldChar w:fldCharType="begin">
                <w:ffData>
                  <w:name w:val="Text45"/>
                  <w:enabled/>
                  <w:calcOnExit w:val="0"/>
                  <w:textInput>
                    <w:maxLength w:val="1500"/>
                    <w:format w:val="FIRST CAPITAL"/>
                  </w:textInput>
                </w:ffData>
              </w:fldChar>
            </w:r>
            <w:bookmarkStart w:id="22" w:name="Text45"/>
            <w:r w:rsidRPr="00CD2513">
              <w:rPr>
                <w:lang w:val="fr-FR"/>
              </w:rPr>
              <w:instrText xml:space="preserve"> FORMTEXT </w:instrText>
            </w:r>
            <w:r w:rsidRPr="00CD2513">
              <w:fldChar w:fldCharType="separate"/>
            </w:r>
            <w:r w:rsidRPr="00CD2513">
              <w:rPr>
                <w:noProof/>
              </w:rPr>
              <w:t> </w:t>
            </w:r>
            <w:r w:rsidRPr="00CD2513">
              <w:rPr>
                <w:noProof/>
              </w:rPr>
              <w:t> </w:t>
            </w:r>
            <w:r w:rsidRPr="00CD2513">
              <w:rPr>
                <w:noProof/>
              </w:rPr>
              <w:t> </w:t>
            </w:r>
            <w:r w:rsidRPr="00CD2513">
              <w:rPr>
                <w:noProof/>
              </w:rPr>
              <w:t> </w:t>
            </w:r>
            <w:r w:rsidRPr="00CD2513">
              <w:rPr>
                <w:noProof/>
              </w:rPr>
              <w:t> </w:t>
            </w:r>
            <w:r w:rsidRPr="00CD2513">
              <w:fldChar w:fldCharType="end"/>
            </w:r>
            <w:bookmarkEnd w:id="22"/>
          </w:p>
        </w:tc>
      </w:tr>
      <w:tr w:rsidR="00D73255" w:rsidRPr="00627A1C" w14:paraId="781498F5" w14:textId="77777777" w:rsidTr="00116E27">
        <w:tc>
          <w:tcPr>
            <w:tcW w:w="4756" w:type="dxa"/>
            <w:shd w:val="clear" w:color="auto" w:fill="auto"/>
          </w:tcPr>
          <w:p w14:paraId="7B23407F" w14:textId="77777777" w:rsidR="00D73255" w:rsidRPr="00CD2513" w:rsidRDefault="00D73255" w:rsidP="00D73255">
            <w:pPr>
              <w:rPr>
                <w:lang w:val="fr-FR"/>
              </w:rPr>
            </w:pPr>
            <w:r w:rsidRPr="009C1311">
              <w:rPr>
                <w:b/>
                <w:bCs/>
                <w:u w:val="single"/>
                <w:lang w:val="fr-FR"/>
              </w:rPr>
              <w:t>Effets catalytiques (financiers)</w:t>
            </w:r>
            <w:r w:rsidRPr="00CD2513">
              <w:rPr>
                <w:b/>
                <w:bCs/>
                <w:lang w:val="fr-FR"/>
              </w:rPr>
              <w:t>:</w:t>
            </w:r>
            <w:r w:rsidRPr="00CD2513">
              <w:rPr>
                <w:lang w:val="fr-FR"/>
              </w:rPr>
              <w:t xml:space="preserve"> Indiquez le nom de l'agent de financement et le montant du soutien financier non PBF supplémentaire qui a été obtenu par le projet.</w:t>
            </w:r>
          </w:p>
        </w:tc>
        <w:tc>
          <w:tcPr>
            <w:tcW w:w="5414" w:type="dxa"/>
            <w:shd w:val="clear" w:color="auto" w:fill="auto"/>
          </w:tcPr>
          <w:p w14:paraId="126E5036" w14:textId="77777777" w:rsidR="00D73255" w:rsidRPr="00CD2513" w:rsidRDefault="00D73255" w:rsidP="00D73255">
            <w:pPr>
              <w:rPr>
                <w:lang w:val="fr-FR"/>
              </w:rPr>
            </w:pPr>
            <w:r w:rsidRPr="00CD2513">
              <w:rPr>
                <w:lang w:val="fr-FR"/>
              </w:rPr>
              <w:t xml:space="preserve">Nom de </w:t>
            </w:r>
            <w:proofErr w:type="spellStart"/>
            <w:r w:rsidRPr="00CD2513">
              <w:rPr>
                <w:lang w:val="fr-FR"/>
              </w:rPr>
              <w:t>donnateur</w:t>
            </w:r>
            <w:proofErr w:type="spellEnd"/>
            <w:r w:rsidRPr="009C1311">
              <w:rPr>
                <w:lang w:val="fr-FR"/>
              </w:rPr>
              <w:t>:     Montant ($):</w:t>
            </w:r>
          </w:p>
          <w:p w14:paraId="465E5FF5" w14:textId="77777777" w:rsidR="00D73255" w:rsidRPr="00CD2513" w:rsidRDefault="00D73255" w:rsidP="00D73255">
            <w:pPr>
              <w:rPr>
                <w:lang w:val="de-DE"/>
              </w:rPr>
            </w:pPr>
            <w:r w:rsidRPr="00CD2513">
              <w:rPr>
                <w:lang w:val="de-DE"/>
              </w:rPr>
              <w:t>Il n’y a pas eu de financement supplémentaire.</w:t>
            </w:r>
          </w:p>
          <w:p w14:paraId="2D07D5B3" w14:textId="7B2AA3D2" w:rsidR="00D73255" w:rsidRPr="009C1311" w:rsidRDefault="00D73255" w:rsidP="00D73255">
            <w:r w:rsidRPr="009C1311">
              <w:rPr>
                <w:lang w:val="fr-FR"/>
              </w:rPr>
              <w:t xml:space="preserve">                          </w:t>
            </w:r>
            <w:r w:rsidRPr="00CD2513">
              <w:fldChar w:fldCharType="begin">
                <w:ffData>
                  <w:name w:val=""/>
                  <w:enabled/>
                  <w:calcOnExit w:val="0"/>
                  <w:textInput>
                    <w:type w:val="number"/>
                    <w:format w:val="0.00"/>
                  </w:textInput>
                </w:ffData>
              </w:fldChar>
            </w:r>
            <w:r w:rsidRPr="00CD2513">
              <w:instrText xml:space="preserve"> FORMTEXT </w:instrText>
            </w:r>
            <w:r w:rsidRPr="00CD2513">
              <w:fldChar w:fldCharType="separate"/>
            </w:r>
            <w:r w:rsidRPr="00CD2513">
              <w:rPr>
                <w:noProof/>
              </w:rPr>
              <w:t> </w:t>
            </w:r>
            <w:r w:rsidRPr="00CD2513">
              <w:rPr>
                <w:noProof/>
              </w:rPr>
              <w:t> </w:t>
            </w:r>
            <w:r w:rsidRPr="00CD2513">
              <w:rPr>
                <w:noProof/>
              </w:rPr>
              <w:t> </w:t>
            </w:r>
            <w:r w:rsidRPr="00CD2513">
              <w:rPr>
                <w:noProof/>
              </w:rPr>
              <w:t> </w:t>
            </w:r>
            <w:r w:rsidRPr="00CD2513">
              <w:rPr>
                <w:noProof/>
              </w:rPr>
              <w:t> </w:t>
            </w:r>
            <w:r w:rsidRPr="00CD2513">
              <w:fldChar w:fldCharType="end"/>
            </w:r>
          </w:p>
          <w:p w14:paraId="5EA842B9" w14:textId="5A412564" w:rsidR="00D73255" w:rsidRPr="009C1311" w:rsidRDefault="00D73255" w:rsidP="00D73255"/>
        </w:tc>
      </w:tr>
      <w:tr w:rsidR="00D73255" w:rsidRPr="00CD2513" w14:paraId="7A1F5937" w14:textId="77777777" w:rsidTr="00116E27">
        <w:tc>
          <w:tcPr>
            <w:tcW w:w="4756" w:type="dxa"/>
            <w:shd w:val="clear" w:color="auto" w:fill="auto"/>
          </w:tcPr>
          <w:p w14:paraId="270EDE9A" w14:textId="786DA86B" w:rsidR="00D73255" w:rsidRPr="00CD2513" w:rsidRDefault="00D73255" w:rsidP="00D73255">
            <w:pPr>
              <w:rPr>
                <w:lang w:val="fr-FR"/>
              </w:rPr>
            </w:pPr>
            <w:proofErr w:type="spellStart"/>
            <w:r w:rsidRPr="009C1311">
              <w:rPr>
                <w:b/>
                <w:bCs/>
                <w:u w:val="single"/>
                <w:lang w:val="fr-FR"/>
              </w:rPr>
              <w:t>Eﬀet</w:t>
            </w:r>
            <w:proofErr w:type="spellEnd"/>
            <w:r w:rsidRPr="009C1311">
              <w:rPr>
                <w:b/>
                <w:bCs/>
                <w:u w:val="single"/>
                <w:lang w:val="fr-FR"/>
              </w:rPr>
              <w:t xml:space="preserve"> catalytique (non </w:t>
            </w:r>
            <w:proofErr w:type="spellStart"/>
            <w:r w:rsidRPr="009C1311">
              <w:rPr>
                <w:b/>
                <w:bCs/>
                <w:u w:val="single"/>
                <w:lang w:val="fr-FR"/>
              </w:rPr>
              <w:t>ﬁnancier</w:t>
            </w:r>
            <w:proofErr w:type="spellEnd"/>
            <w:r w:rsidRPr="009C1311">
              <w:rPr>
                <w:b/>
                <w:bCs/>
                <w:u w:val="single"/>
                <w:lang w:val="fr-FR"/>
              </w:rPr>
              <w:t xml:space="preserve">) </w:t>
            </w:r>
            <w:r w:rsidRPr="00CD2513">
              <w:rPr>
                <w:lang w:val="fr-FR"/>
              </w:rPr>
              <w:t xml:space="preserve">: Le projet a-t-il permis ou créé un changement plus </w:t>
            </w:r>
            <w:r w:rsidRPr="00CD2513">
              <w:rPr>
                <w:lang w:val="fr-FR"/>
              </w:rPr>
              <w:lastRenderedPageBreak/>
              <w:t>important ou à plus long terme dans la construction de la paix?</w:t>
            </w:r>
          </w:p>
          <w:p w14:paraId="0D8BF629" w14:textId="4D6F3180" w:rsidR="00D73255" w:rsidRPr="00CD2513" w:rsidRDefault="00D73255" w:rsidP="00D73255">
            <w:pPr>
              <w:rPr>
                <w:lang w:val="fr-FR"/>
              </w:rPr>
            </w:pPr>
          </w:p>
          <w:p w14:paraId="3794474F" w14:textId="11EB0FB0" w:rsidR="00D73255" w:rsidRPr="00CD2513" w:rsidRDefault="00D73255" w:rsidP="00D73255">
            <w:pPr>
              <w:rPr>
                <w:lang w:val="fr-FR"/>
              </w:rPr>
            </w:pPr>
            <w:r w:rsidRPr="00CD2513">
              <w:rPr>
                <w:lang w:val="fr-FR"/>
              </w:rPr>
              <w:fldChar w:fldCharType="begin">
                <w:ffData>
                  <w:name w:val="Check2"/>
                  <w:enabled/>
                  <w:calcOnExit w:val="0"/>
                  <w:checkBox>
                    <w:sizeAuto/>
                    <w:default w:val="0"/>
                  </w:checkBox>
                </w:ffData>
              </w:fldChar>
            </w:r>
            <w:bookmarkStart w:id="23" w:name="Check2"/>
            <w:r w:rsidRPr="00CD2513">
              <w:rPr>
                <w:lang w:val="fr-FR"/>
              </w:rPr>
              <w:instrText xml:space="preserve"> FORMCHECKBOX </w:instrText>
            </w:r>
            <w:r w:rsidR="000D4328">
              <w:rPr>
                <w:lang w:val="fr-FR"/>
              </w:rPr>
            </w:r>
            <w:r w:rsidR="000D4328">
              <w:rPr>
                <w:lang w:val="fr-FR"/>
              </w:rPr>
              <w:fldChar w:fldCharType="separate"/>
            </w:r>
            <w:r w:rsidRPr="00CD2513">
              <w:rPr>
                <w:lang w:val="fr-FR"/>
              </w:rPr>
              <w:fldChar w:fldCharType="end"/>
            </w:r>
            <w:bookmarkEnd w:id="23"/>
            <w:r w:rsidRPr="009C1311">
              <w:rPr>
                <w:lang w:val="fr-FR"/>
              </w:rPr>
              <w:t xml:space="preserve">Aucun </w:t>
            </w:r>
            <w:proofErr w:type="spellStart"/>
            <w:r w:rsidRPr="009C1311">
              <w:rPr>
                <w:lang w:val="fr-FR"/>
              </w:rPr>
              <w:t>eﬀet</w:t>
            </w:r>
            <w:proofErr w:type="spellEnd"/>
            <w:r w:rsidRPr="009C1311">
              <w:rPr>
                <w:lang w:val="fr-FR"/>
              </w:rPr>
              <w:t xml:space="preserve"> catalytique</w:t>
            </w:r>
          </w:p>
          <w:p w14:paraId="15AAB52D" w14:textId="5601B4A1" w:rsidR="00D73255" w:rsidRPr="00CD2513" w:rsidRDefault="00D73255" w:rsidP="00D73255">
            <w:pPr>
              <w:rPr>
                <w:lang w:val="fr-FR"/>
              </w:rPr>
            </w:pPr>
            <w:r w:rsidRPr="00CD2513">
              <w:rPr>
                <w:lang w:val="fr-FR"/>
              </w:rPr>
              <w:fldChar w:fldCharType="begin">
                <w:ffData>
                  <w:name w:val="Check3"/>
                  <w:enabled/>
                  <w:calcOnExit w:val="0"/>
                  <w:checkBox>
                    <w:sizeAuto/>
                    <w:default w:val="0"/>
                  </w:checkBox>
                </w:ffData>
              </w:fldChar>
            </w:r>
            <w:bookmarkStart w:id="24" w:name="Check3"/>
            <w:r w:rsidRPr="00CD2513">
              <w:rPr>
                <w:lang w:val="fr-FR"/>
              </w:rPr>
              <w:instrText xml:space="preserve"> FORMCHECKBOX </w:instrText>
            </w:r>
            <w:r w:rsidR="000D4328">
              <w:rPr>
                <w:lang w:val="fr-FR"/>
              </w:rPr>
            </w:r>
            <w:r w:rsidR="000D4328">
              <w:rPr>
                <w:lang w:val="fr-FR"/>
              </w:rPr>
              <w:fldChar w:fldCharType="separate"/>
            </w:r>
            <w:r w:rsidRPr="00CD2513">
              <w:rPr>
                <w:lang w:val="fr-FR"/>
              </w:rPr>
              <w:fldChar w:fldCharType="end"/>
            </w:r>
            <w:bookmarkEnd w:id="24"/>
            <w:r w:rsidRPr="009C1311">
              <w:rPr>
                <w:lang w:val="fr-FR"/>
              </w:rPr>
              <w:t>Peu d’</w:t>
            </w:r>
            <w:proofErr w:type="spellStart"/>
            <w:r w:rsidRPr="00CD2513">
              <w:rPr>
                <w:lang w:val="fr-FR"/>
              </w:rPr>
              <w:t>eﬀet</w:t>
            </w:r>
            <w:proofErr w:type="spellEnd"/>
            <w:r w:rsidRPr="00CD2513">
              <w:rPr>
                <w:lang w:val="fr-FR"/>
              </w:rPr>
              <w:t xml:space="preserve"> catalytique </w:t>
            </w:r>
          </w:p>
          <w:p w14:paraId="3D10BB28" w14:textId="34BA2D2F" w:rsidR="00D73255" w:rsidRPr="00CD2513" w:rsidRDefault="002310CA" w:rsidP="00D73255">
            <w:pPr>
              <w:rPr>
                <w:lang w:val="fr-FR"/>
              </w:rPr>
            </w:pPr>
            <w:r>
              <w:rPr>
                <w:lang w:val="fr-FR"/>
              </w:rPr>
              <w:fldChar w:fldCharType="begin">
                <w:ffData>
                  <w:name w:val="Check5"/>
                  <w:enabled/>
                  <w:calcOnExit w:val="0"/>
                  <w:checkBox>
                    <w:sizeAuto/>
                    <w:default w:val="1"/>
                  </w:checkBox>
                </w:ffData>
              </w:fldChar>
            </w:r>
            <w:r>
              <w:rPr>
                <w:lang w:val="fr-FR"/>
              </w:rPr>
              <w:instrText xml:space="preserve"> </w:instrText>
            </w:r>
            <w:bookmarkStart w:id="25" w:name="Check5"/>
            <w:r>
              <w:rPr>
                <w:lang w:val="fr-FR"/>
              </w:rPr>
              <w:instrText xml:space="preserve">FORMCHECKBOX </w:instrText>
            </w:r>
            <w:r w:rsidR="000D4328">
              <w:rPr>
                <w:lang w:val="fr-FR"/>
              </w:rPr>
            </w:r>
            <w:r w:rsidR="000D4328">
              <w:rPr>
                <w:lang w:val="fr-FR"/>
              </w:rPr>
              <w:fldChar w:fldCharType="separate"/>
            </w:r>
            <w:r>
              <w:rPr>
                <w:lang w:val="fr-FR"/>
              </w:rPr>
              <w:fldChar w:fldCharType="end"/>
            </w:r>
            <w:bookmarkEnd w:id="25"/>
            <w:proofErr w:type="spellStart"/>
            <w:r w:rsidR="00D73255" w:rsidRPr="009C1311">
              <w:rPr>
                <w:lang w:val="fr-FR"/>
              </w:rPr>
              <w:t>Eﬀet</w:t>
            </w:r>
            <w:proofErr w:type="spellEnd"/>
            <w:r w:rsidR="00D73255" w:rsidRPr="009C1311">
              <w:rPr>
                <w:lang w:val="fr-FR"/>
              </w:rPr>
              <w:t xml:space="preserve"> catalytique important </w:t>
            </w:r>
          </w:p>
          <w:p w14:paraId="7CDABAB6" w14:textId="77777777" w:rsidR="00D73255" w:rsidRPr="00CD2513" w:rsidRDefault="00D73255" w:rsidP="00D73255">
            <w:pPr>
              <w:rPr>
                <w:lang w:val="fr-FR"/>
              </w:rPr>
            </w:pPr>
            <w:r w:rsidRPr="00CD2513">
              <w:rPr>
                <w:lang w:val="fr-FR"/>
              </w:rPr>
              <w:fldChar w:fldCharType="begin">
                <w:ffData>
                  <w:name w:val="Check4"/>
                  <w:enabled/>
                  <w:calcOnExit w:val="0"/>
                  <w:checkBox>
                    <w:sizeAuto/>
                    <w:default w:val="0"/>
                  </w:checkBox>
                </w:ffData>
              </w:fldChar>
            </w:r>
            <w:bookmarkStart w:id="26" w:name="Check4"/>
            <w:r w:rsidRPr="00CD2513">
              <w:rPr>
                <w:lang w:val="fr-FR"/>
              </w:rPr>
              <w:instrText xml:space="preserve"> FORMCHECKBOX </w:instrText>
            </w:r>
            <w:r w:rsidR="000D4328">
              <w:rPr>
                <w:lang w:val="fr-FR"/>
              </w:rPr>
            </w:r>
            <w:r w:rsidR="000D4328">
              <w:rPr>
                <w:lang w:val="fr-FR"/>
              </w:rPr>
              <w:fldChar w:fldCharType="separate"/>
            </w:r>
            <w:r w:rsidRPr="00CD2513">
              <w:rPr>
                <w:lang w:val="fr-FR"/>
              </w:rPr>
              <w:fldChar w:fldCharType="end"/>
            </w:r>
            <w:bookmarkEnd w:id="26"/>
            <w:proofErr w:type="spellStart"/>
            <w:r w:rsidRPr="009C1311">
              <w:rPr>
                <w:lang w:val="fr-FR"/>
              </w:rPr>
              <w:t>Eﬀet</w:t>
            </w:r>
            <w:proofErr w:type="spellEnd"/>
            <w:r w:rsidRPr="009C1311">
              <w:rPr>
                <w:lang w:val="fr-FR"/>
              </w:rPr>
              <w:t xml:space="preserve"> catalytique très important </w:t>
            </w:r>
          </w:p>
          <w:p w14:paraId="4E80655C" w14:textId="50C0EB95" w:rsidR="00D73255" w:rsidRPr="00CD2513" w:rsidRDefault="00D73255" w:rsidP="00D73255">
            <w:pPr>
              <w:rPr>
                <w:lang w:val="fr-FR"/>
              </w:rPr>
            </w:pPr>
            <w:r w:rsidRPr="00CD2513">
              <w:rPr>
                <w:lang w:val="fr-FR"/>
              </w:rPr>
              <w:fldChar w:fldCharType="begin">
                <w:ffData>
                  <w:name w:val="Check7"/>
                  <w:enabled/>
                  <w:calcOnExit w:val="0"/>
                  <w:checkBox>
                    <w:sizeAuto/>
                    <w:default w:val="0"/>
                  </w:checkBox>
                </w:ffData>
              </w:fldChar>
            </w:r>
            <w:bookmarkStart w:id="27" w:name="Check7"/>
            <w:r w:rsidRPr="00CD2513">
              <w:rPr>
                <w:lang w:val="fr-FR"/>
              </w:rPr>
              <w:instrText xml:space="preserve"> FORMCHECKBOX </w:instrText>
            </w:r>
            <w:r w:rsidR="000D4328">
              <w:rPr>
                <w:lang w:val="fr-FR"/>
              </w:rPr>
            </w:r>
            <w:r w:rsidR="000D4328">
              <w:rPr>
                <w:lang w:val="fr-FR"/>
              </w:rPr>
              <w:fldChar w:fldCharType="separate"/>
            </w:r>
            <w:r w:rsidRPr="00CD2513">
              <w:rPr>
                <w:lang w:val="fr-FR"/>
              </w:rPr>
              <w:fldChar w:fldCharType="end"/>
            </w:r>
            <w:bookmarkEnd w:id="27"/>
            <w:r w:rsidRPr="009C1311">
              <w:rPr>
                <w:lang w:val="fr-FR"/>
              </w:rPr>
              <w:t>Je ne sais pas</w:t>
            </w:r>
          </w:p>
          <w:p w14:paraId="0847F164" w14:textId="141AA4B9" w:rsidR="00D73255" w:rsidRPr="00CD2513" w:rsidRDefault="00D73255" w:rsidP="00D73255">
            <w:pPr>
              <w:rPr>
                <w:lang w:val="fr-FR"/>
              </w:rPr>
            </w:pPr>
            <w:r w:rsidRPr="00CD2513">
              <w:rPr>
                <w:lang w:val="fr-FR"/>
              </w:rPr>
              <w:fldChar w:fldCharType="begin">
                <w:ffData>
                  <w:name w:val="Check6"/>
                  <w:enabled/>
                  <w:calcOnExit w:val="0"/>
                  <w:checkBox>
                    <w:sizeAuto/>
                    <w:default w:val="0"/>
                  </w:checkBox>
                </w:ffData>
              </w:fldChar>
            </w:r>
            <w:bookmarkStart w:id="28" w:name="Check6"/>
            <w:r w:rsidRPr="00CD2513">
              <w:rPr>
                <w:lang w:val="fr-FR"/>
              </w:rPr>
              <w:instrText xml:space="preserve"> FORMCHECKBOX </w:instrText>
            </w:r>
            <w:r w:rsidR="000D4328">
              <w:rPr>
                <w:lang w:val="fr-FR"/>
              </w:rPr>
            </w:r>
            <w:r w:rsidR="000D4328">
              <w:rPr>
                <w:lang w:val="fr-FR"/>
              </w:rPr>
              <w:fldChar w:fldCharType="separate"/>
            </w:r>
            <w:r w:rsidRPr="00CD2513">
              <w:rPr>
                <w:lang w:val="fr-FR"/>
              </w:rPr>
              <w:fldChar w:fldCharType="end"/>
            </w:r>
            <w:bookmarkEnd w:id="28"/>
            <w:r w:rsidRPr="009C1311">
              <w:rPr>
                <w:lang w:val="fr-FR"/>
              </w:rPr>
              <w:t>Trop tôt pour savoir</w:t>
            </w:r>
          </w:p>
        </w:tc>
        <w:tc>
          <w:tcPr>
            <w:tcW w:w="5414" w:type="dxa"/>
            <w:shd w:val="clear" w:color="auto" w:fill="auto"/>
          </w:tcPr>
          <w:p w14:paraId="2DEDD837" w14:textId="77777777" w:rsidR="00D73255" w:rsidRPr="00CD2513" w:rsidRDefault="00D73255" w:rsidP="00D73255">
            <w:pPr>
              <w:rPr>
                <w:lang w:val="fr-FR"/>
              </w:rPr>
            </w:pPr>
            <w:r w:rsidRPr="00CD2513">
              <w:rPr>
                <w:lang w:val="fr-FR"/>
              </w:rPr>
              <w:lastRenderedPageBreak/>
              <w:t>Veuillez décrire comment le projet a eu un effet catalytique (non-financier)</w:t>
            </w:r>
          </w:p>
          <w:p w14:paraId="39ED4876" w14:textId="39CD3342" w:rsidR="00D73255" w:rsidRDefault="00D73255" w:rsidP="00D73255">
            <w:pPr>
              <w:rPr>
                <w:lang w:val="fr-FR"/>
              </w:rPr>
            </w:pPr>
            <w:r w:rsidRPr="00CD2513">
              <w:rPr>
                <w:lang w:val="fr-FR"/>
              </w:rPr>
              <w:lastRenderedPageBreak/>
              <w:t>Veuillez limitez vos réponses à 3000 caractères</w:t>
            </w:r>
          </w:p>
          <w:p w14:paraId="103434A2" w14:textId="62BB37AC" w:rsidR="002310CA" w:rsidRDefault="002310CA" w:rsidP="00D73255">
            <w:pPr>
              <w:rPr>
                <w:lang w:val="fr-FR"/>
              </w:rPr>
            </w:pPr>
          </w:p>
          <w:p w14:paraId="67106A39" w14:textId="77777777" w:rsidR="002310CA" w:rsidRPr="002310CA" w:rsidRDefault="002310CA" w:rsidP="002310CA">
            <w:pPr>
              <w:jc w:val="both"/>
              <w:rPr>
                <w:lang w:val="fr-FR"/>
              </w:rPr>
            </w:pPr>
            <w:r w:rsidRPr="002310CA">
              <w:rPr>
                <w:lang w:val="fr-FR"/>
              </w:rPr>
              <w:t xml:space="preserve">Les interventions du PBF ont permis de mobiliser des fonds dans le cadre d’un PROSMED : Programme d’Appui à la Stabilisation du Mali travers le Renforcement de l’Etat de Droit conjointement exécuté par le PNUD, MINUSMA et ONUFEMMES. Les principaux bailleurs de fonds du programme sont : les Pays bas, la Suisse, le PNUD, la Norvège, UK et la MINUSMA (à travers les TF). Ce programme de 5 ans (2021-2025) est financé à hauteur de 32 millions de USD et  a déjà mobilisé </w:t>
            </w:r>
            <w:r w:rsidRPr="002310CA">
              <w:rPr>
                <w:b/>
                <w:bCs/>
                <w:lang w:val="fr-FR"/>
              </w:rPr>
              <w:t>21,459,011</w:t>
            </w:r>
            <w:r w:rsidRPr="002310CA">
              <w:rPr>
                <w:lang w:val="fr-FR"/>
              </w:rPr>
              <w:t xml:space="preserve"> USD.</w:t>
            </w:r>
          </w:p>
          <w:p w14:paraId="7BC7FCF2" w14:textId="77777777" w:rsidR="002310CA" w:rsidRPr="002310CA" w:rsidRDefault="002310CA" w:rsidP="002310CA">
            <w:pPr>
              <w:jc w:val="both"/>
              <w:rPr>
                <w:lang w:val="fr-FR"/>
              </w:rPr>
            </w:pPr>
          </w:p>
          <w:p w14:paraId="423FD3DD" w14:textId="77777777" w:rsidR="002310CA" w:rsidRPr="002310CA" w:rsidRDefault="002310CA" w:rsidP="002310CA">
            <w:pPr>
              <w:jc w:val="both"/>
              <w:rPr>
                <w:lang w:val="fr-FR"/>
              </w:rPr>
            </w:pPr>
            <w:r w:rsidRPr="002310CA">
              <w:rPr>
                <w:lang w:val="fr-FR"/>
              </w:rPr>
              <w:t xml:space="preserve">Bien plus, conscient des progrès positifs du programme et de l’urgence d’élargir la mise en œuvre à certaines zones du Sud du pays afin de consolider la paix et la coexistence pacifique des populations dans ces zones et de prévenir ainsi l’élargissement progressif du conflit , le PROSMED est en discussion avec le PBSO pour un financement de 5 millions de USD qui complémentera et capitalisera les interventions existantes dans le cadre du projet « PBF impunité » dans les  5 cercles des régions du Sud du Mali : Nara (Nara), Diéma et </w:t>
            </w:r>
            <w:proofErr w:type="spellStart"/>
            <w:r w:rsidRPr="002310CA">
              <w:rPr>
                <w:lang w:val="fr-FR"/>
              </w:rPr>
              <w:t>Yelimane</w:t>
            </w:r>
            <w:proofErr w:type="spellEnd"/>
            <w:r w:rsidRPr="002310CA">
              <w:rPr>
                <w:lang w:val="fr-FR"/>
              </w:rPr>
              <w:t xml:space="preserve"> (Kayes), Nioro (Nioro) et </w:t>
            </w:r>
            <w:proofErr w:type="spellStart"/>
            <w:r w:rsidRPr="002310CA">
              <w:rPr>
                <w:lang w:val="fr-FR"/>
              </w:rPr>
              <w:t>Yorosso</w:t>
            </w:r>
            <w:proofErr w:type="spellEnd"/>
            <w:r w:rsidRPr="002310CA">
              <w:rPr>
                <w:lang w:val="fr-FR"/>
              </w:rPr>
              <w:t xml:space="preserve"> (Koutiala). Ces cercles sont choisis car par le fait qu’ils sont proches des régions du centre qui font l’objet d’attaques répétées des groupes armés terroristes. </w:t>
            </w:r>
          </w:p>
          <w:p w14:paraId="4353A4FD" w14:textId="77777777" w:rsidR="002310CA" w:rsidRDefault="002310CA" w:rsidP="00D73255">
            <w:pPr>
              <w:rPr>
                <w:lang w:val="fr-FR"/>
              </w:rPr>
            </w:pPr>
          </w:p>
          <w:p w14:paraId="7EED5424" w14:textId="77777777" w:rsidR="003E04E6" w:rsidRDefault="003E04E6" w:rsidP="00D73255">
            <w:pPr>
              <w:rPr>
                <w:lang w:val="fr-FR"/>
              </w:rPr>
            </w:pPr>
          </w:p>
          <w:p w14:paraId="4B042C2B" w14:textId="08F6CB99" w:rsidR="003E04E6" w:rsidRPr="00CD2513" w:rsidRDefault="003E04E6" w:rsidP="00D73255">
            <w:pPr>
              <w:rPr>
                <w:lang w:val="fr-FR"/>
              </w:rPr>
            </w:pPr>
          </w:p>
        </w:tc>
      </w:tr>
      <w:tr w:rsidR="00D73255" w:rsidRPr="00627A1C" w14:paraId="04EF3772" w14:textId="77777777" w:rsidTr="00116E27">
        <w:tc>
          <w:tcPr>
            <w:tcW w:w="4756" w:type="dxa"/>
            <w:shd w:val="clear" w:color="auto" w:fill="auto"/>
          </w:tcPr>
          <w:p w14:paraId="3FC8EBFD" w14:textId="4AF972EF" w:rsidR="00D73255" w:rsidRPr="00CD2513" w:rsidRDefault="00D73255" w:rsidP="00D73255">
            <w:pPr>
              <w:rPr>
                <w:lang w:val="fr-FR"/>
              </w:rPr>
            </w:pPr>
            <w:r w:rsidRPr="009C1311">
              <w:rPr>
                <w:b/>
                <w:bCs/>
                <w:u w:val="single"/>
                <w:lang w:val="fr-FR"/>
              </w:rPr>
              <w:lastRenderedPageBreak/>
              <w:t>Autre</w:t>
            </w:r>
            <w:r w:rsidRPr="00CD2513">
              <w:rPr>
                <w:lang w:val="fr-FR"/>
              </w:rPr>
              <w:t>: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64F439DE" w14:textId="77777777" w:rsidR="00AD18E7" w:rsidRPr="00CD2513" w:rsidRDefault="00AD18E7" w:rsidP="00AD18E7">
            <w:pPr>
              <w:rPr>
                <w:lang w:val="fr-FR"/>
              </w:rPr>
            </w:pPr>
            <w:r w:rsidRPr="00CD2513">
              <w:rPr>
                <w:lang w:val="fr-ML"/>
              </w:rPr>
              <w:t>Initier la célébration des mariages en groupe pour faciliter l’acquisition d’actes de mariage pour les couples qui sont dans le besoins et</w:t>
            </w:r>
            <w:r w:rsidRPr="00CD2513">
              <w:rPr>
                <w:rFonts w:eastAsiaTheme="minorHAnsi"/>
                <w:sz w:val="22"/>
                <w:szCs w:val="22"/>
                <w:lang w:val="fr-ML" w:eastAsia="en-US"/>
              </w:rPr>
              <w:t xml:space="preserve"> </w:t>
            </w:r>
            <w:r w:rsidRPr="00CD2513">
              <w:rPr>
                <w:lang w:val="fr-ML"/>
              </w:rPr>
              <w:t>sensibilisation dans les radios locales pour appeler les couples qui souhaitent formaliser leur situation à la mairie.</w:t>
            </w:r>
          </w:p>
          <w:p w14:paraId="1A120CF3" w14:textId="77777777" w:rsidR="00D73255" w:rsidRPr="00CD2513" w:rsidRDefault="00D73255" w:rsidP="00D73255">
            <w:pPr>
              <w:rPr>
                <w:lang w:val="fr-FR"/>
              </w:rPr>
            </w:pPr>
          </w:p>
          <w:p w14:paraId="4187770E" w14:textId="77777777" w:rsidR="00D73255" w:rsidRPr="009C1311" w:rsidRDefault="00D73255" w:rsidP="00D73255">
            <w:r w:rsidRPr="00CD2513">
              <w:fldChar w:fldCharType="begin">
                <w:ffData>
                  <w:name w:val=""/>
                  <w:enabled/>
                  <w:calcOnExit w:val="0"/>
                  <w:textInput>
                    <w:maxLength w:val="1500"/>
                    <w:format w:val="FIRST CAPITAL"/>
                  </w:textInput>
                </w:ffData>
              </w:fldChar>
            </w:r>
            <w:r w:rsidRPr="00CD2513">
              <w:instrText xml:space="preserve"> FORMTEXT </w:instrText>
            </w:r>
            <w:r w:rsidRPr="00CD2513">
              <w:fldChar w:fldCharType="separate"/>
            </w:r>
            <w:r w:rsidRPr="00CD2513">
              <w:rPr>
                <w:noProof/>
              </w:rPr>
              <w:t> </w:t>
            </w:r>
            <w:r w:rsidRPr="00CD2513">
              <w:rPr>
                <w:noProof/>
              </w:rPr>
              <w:t> </w:t>
            </w:r>
            <w:r w:rsidRPr="00CD2513">
              <w:rPr>
                <w:noProof/>
              </w:rPr>
              <w:t> </w:t>
            </w:r>
            <w:r w:rsidRPr="00CD2513">
              <w:rPr>
                <w:noProof/>
              </w:rPr>
              <w:t> </w:t>
            </w:r>
            <w:r w:rsidRPr="00CD2513">
              <w:rPr>
                <w:noProof/>
              </w:rPr>
              <w:t> </w:t>
            </w:r>
            <w:r w:rsidRPr="00CD2513">
              <w:fldChar w:fldCharType="end"/>
            </w:r>
          </w:p>
        </w:tc>
      </w:tr>
    </w:tbl>
    <w:p w14:paraId="401385A4" w14:textId="77777777" w:rsidR="003758E5" w:rsidRDefault="00600B5F" w:rsidP="00116E27">
      <w:pPr>
        <w:ind w:left="-567"/>
        <w:rPr>
          <w:b/>
          <w:u w:val="single"/>
          <w:lang w:val="fr-FR"/>
        </w:rPr>
      </w:pPr>
      <w:r w:rsidRPr="00547F47">
        <w:rPr>
          <w:b/>
          <w:u w:val="single"/>
          <w:lang w:val="fr-FR"/>
        </w:rPr>
        <w:t>Partie IV: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01966A66" w:rsidR="003758E5" w:rsidRPr="003758E5"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AD18E7">
        <w:fldChar w:fldCharType="begin">
          <w:ffData>
            <w:name w:val=""/>
            <w:enabled/>
            <w:calcOnExit w:val="0"/>
            <w:textInput>
              <w:default w:val="NA"/>
              <w:maxLength w:val="100"/>
              <w:format w:val="FIRST CAPITAL"/>
            </w:textInput>
          </w:ffData>
        </w:fldChar>
      </w:r>
      <w:r w:rsidR="00AD18E7">
        <w:instrText xml:space="preserve"> FORMTEXT </w:instrText>
      </w:r>
      <w:r w:rsidR="00AD18E7">
        <w:fldChar w:fldCharType="separate"/>
      </w:r>
      <w:r w:rsidR="00AD18E7">
        <w:rPr>
          <w:noProof/>
        </w:rPr>
        <w:t>NA</w:t>
      </w:r>
      <w:r w:rsidR="00AD18E7">
        <w:fldChar w:fldCharType="end"/>
      </w:r>
    </w:p>
    <w:p w14:paraId="6288C896" w14:textId="77777777" w:rsidR="003758E5" w:rsidRDefault="003758E5" w:rsidP="003758E5">
      <w:pPr>
        <w:ind w:left="-709"/>
        <w:rPr>
          <w:lang w:val="fr-FR"/>
        </w:rPr>
      </w:pPr>
    </w:p>
    <w:p w14:paraId="4688D494" w14:textId="027C7E3C" w:rsidR="003758E5" w:rsidRPr="000960DC" w:rsidRDefault="003107C9" w:rsidP="001B7DD1">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AD18E7">
        <w:fldChar w:fldCharType="begin">
          <w:ffData>
            <w:name w:val=""/>
            <w:enabled/>
            <w:calcOnExit w:val="0"/>
            <w:textInput>
              <w:default w:val="NA"/>
              <w:maxLength w:val="2000"/>
              <w:format w:val="FIRST CAPITAL"/>
            </w:textInput>
          </w:ffData>
        </w:fldChar>
      </w:r>
      <w:r w:rsidR="00AD18E7" w:rsidRPr="00CD2513">
        <w:rPr>
          <w:lang w:val="fr-FR"/>
        </w:rPr>
        <w:instrText xml:space="preserve"> FORMTEXT </w:instrText>
      </w:r>
      <w:r w:rsidR="00AD18E7">
        <w:fldChar w:fldCharType="separate"/>
      </w:r>
      <w:r w:rsidR="00AD18E7">
        <w:rPr>
          <w:noProof/>
        </w:rPr>
        <w:t>NA</w:t>
      </w:r>
      <w:r w:rsidR="00AD18E7">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lastRenderedPageBreak/>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7D037998" w:rsidR="00600B5F" w:rsidRPr="00CB5499" w:rsidRDefault="000D4328" w:rsidP="003758E5">
      <w:pPr>
        <w:ind w:left="-567"/>
        <w:rPr>
          <w:lang w:val="fr-FR"/>
        </w:rPr>
      </w:pPr>
      <w:sdt>
        <w:sdtPr>
          <w:rPr>
            <w:lang w:val="fr-FR"/>
          </w:rPr>
          <w:id w:val="402566072"/>
          <w14:checkbox>
            <w14:checked w14:val="1"/>
            <w14:checkedState w14:val="2612" w14:font="MS Gothic"/>
            <w14:uncheckedState w14:val="2610" w14:font="MS Gothic"/>
          </w14:checkbox>
        </w:sdtPr>
        <w:sdtEndPr/>
        <w:sdtContent>
          <w:r w:rsidR="00AD18E7">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09857AB7" w:rsidR="009E329B" w:rsidRDefault="000D4328" w:rsidP="003758E5">
      <w:pPr>
        <w:ind w:left="-567"/>
        <w:rPr>
          <w:lang w:val="fr-FR"/>
        </w:rPr>
      </w:pPr>
      <w:sdt>
        <w:sdtPr>
          <w:rPr>
            <w:lang w:val="fr-FR"/>
          </w:rPr>
          <w:id w:val="1706904896"/>
          <w14:checkbox>
            <w14:checked w14:val="1"/>
            <w14:checkedState w14:val="2612" w14:font="MS Gothic"/>
            <w14:uncheckedState w14:val="2610" w14:font="MS Gothic"/>
          </w14:checkbox>
        </w:sdtPr>
        <w:sdtEndPr/>
        <w:sdtContent>
          <w:r w:rsidR="00AD18E7">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0D4328"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0D4328"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0D4328"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0D4328"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543CD614" w:rsidR="00600B5F" w:rsidRDefault="00AD18E7" w:rsidP="001C15CC">
      <w:pPr>
        <w:ind w:left="-567"/>
      </w:pPr>
      <w:r>
        <w:fldChar w:fldCharType="begin">
          <w:ffData>
            <w:name w:val=""/>
            <w:enabled/>
            <w:calcOnExit w:val="0"/>
            <w:textInput>
              <w:default w:val="NA"/>
              <w:maxLength w:val="2000"/>
              <w:format w:val="FIRST CAPITAL"/>
            </w:textInput>
          </w:ffData>
        </w:fldChar>
      </w:r>
      <w:r>
        <w:instrText xml:space="preserve"> FORMTEXT </w:instrText>
      </w:r>
      <w:r>
        <w:fldChar w:fldCharType="separate"/>
      </w:r>
      <w:r>
        <w:rPr>
          <w:noProof/>
        </w:rPr>
        <w:t>NA</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7A04" w14:textId="77777777" w:rsidR="000D4328" w:rsidRDefault="000D4328" w:rsidP="00E76CA1">
      <w:r>
        <w:separator/>
      </w:r>
    </w:p>
  </w:endnote>
  <w:endnote w:type="continuationSeparator" w:id="0">
    <w:p w14:paraId="3CC81D55" w14:textId="77777777" w:rsidR="000D4328" w:rsidRDefault="000D4328" w:rsidP="00E76CA1">
      <w:r>
        <w:continuationSeparator/>
      </w:r>
    </w:p>
  </w:endnote>
  <w:endnote w:type="continuationNotice" w:id="1">
    <w:p w14:paraId="5853F21F" w14:textId="77777777" w:rsidR="000D4328" w:rsidRDefault="000D4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Footer"/>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7F9F" w14:textId="77777777" w:rsidR="000D4328" w:rsidRDefault="000D4328" w:rsidP="00E76CA1">
      <w:r>
        <w:separator/>
      </w:r>
    </w:p>
  </w:footnote>
  <w:footnote w:type="continuationSeparator" w:id="0">
    <w:p w14:paraId="016B5CAD" w14:textId="77777777" w:rsidR="000D4328" w:rsidRDefault="000D4328" w:rsidP="00E76CA1">
      <w:r>
        <w:continuationSeparator/>
      </w:r>
    </w:p>
  </w:footnote>
  <w:footnote w:type="continuationNotice" w:id="1">
    <w:p w14:paraId="3A910160" w14:textId="77777777" w:rsidR="000D4328" w:rsidRDefault="000D4328"/>
  </w:footnote>
  <w:footnote w:id="2">
    <w:p w14:paraId="5812E895" w14:textId="73354D86" w:rsidR="00F3475E" w:rsidRPr="00F3475E" w:rsidRDefault="00F3475E">
      <w:pPr>
        <w:pStyle w:val="FootnoteText"/>
      </w:pPr>
      <w:r>
        <w:rPr>
          <w:rStyle w:val="FootnoteReference"/>
        </w:rPr>
        <w:footnoteRef/>
      </w:r>
      <w:r>
        <w:t xml:space="preserve"> L</w:t>
      </w:r>
      <w:r w:rsidRPr="00F3475E">
        <w:t>e montant indiqué pour le HCDH inclut aussi bien les dépenses que les fonds engagés</w:t>
      </w:r>
    </w:p>
  </w:footnote>
  <w:footnote w:id="3">
    <w:p w14:paraId="1D0C27AB" w14:textId="77777777" w:rsidR="00D46284" w:rsidRPr="004A31B6" w:rsidRDefault="00D46284" w:rsidP="00D46284">
      <w:pPr>
        <w:pStyle w:val="FootnoteText"/>
        <w:rPr>
          <w:lang w:val="fr-FR"/>
        </w:rPr>
      </w:pPr>
      <w:r>
        <w:rPr>
          <w:rStyle w:val="FootnoteReference"/>
        </w:rPr>
        <w:footnoteRef/>
      </w:r>
      <w:r w:rsidRPr="00EB7677">
        <w:rPr>
          <w:lang w:val="fr-FR"/>
        </w:rPr>
        <w:t xml:space="preserve"> Focus group, </w:t>
      </w:r>
      <w:r w:rsidRPr="13DF84EE">
        <w:rPr>
          <w:lang w:val="fr-FR"/>
        </w:rPr>
        <w:t>Bandiagara</w:t>
      </w:r>
      <w:r w:rsidRPr="00EB7677">
        <w:rPr>
          <w:lang w:val="fr-FR"/>
        </w:rPr>
        <w:t xml:space="preserve">, </w:t>
      </w:r>
      <w:r>
        <w:rPr>
          <w:lang w:val="fr-FR"/>
        </w:rPr>
        <w:t>p</w:t>
      </w:r>
      <w:r w:rsidRPr="13DF84EE">
        <w:rPr>
          <w:lang w:val="fr-FR"/>
        </w:rPr>
        <w:t xml:space="preserve">ropos d’un participant </w:t>
      </w:r>
    </w:p>
  </w:footnote>
  <w:footnote w:id="4">
    <w:p w14:paraId="765A9094" w14:textId="3CED92C2" w:rsidR="00D46284" w:rsidRPr="004A31B6" w:rsidRDefault="00D46284" w:rsidP="00D46284">
      <w:pPr>
        <w:pStyle w:val="FootnoteText"/>
        <w:rPr>
          <w:lang w:val="fr-FR"/>
        </w:rPr>
      </w:pPr>
      <w:r>
        <w:rPr>
          <w:rStyle w:val="FootnoteReference"/>
        </w:rPr>
        <w:footnoteRef/>
      </w:r>
      <w:r w:rsidRPr="004A31B6">
        <w:rPr>
          <w:lang w:val="fr-FR"/>
        </w:rPr>
        <w:t xml:space="preserve"> </w:t>
      </w:r>
      <w:r w:rsidRPr="13DF84EE">
        <w:rPr>
          <w:lang w:val="fr-FR"/>
        </w:rPr>
        <w:t>Propos d’un participant à Mopti</w:t>
      </w:r>
      <w:r>
        <w:rPr>
          <w:lang w:val="fr-FR"/>
        </w:rPr>
        <w:t xml:space="preserve"> lors d’un focus group</w:t>
      </w:r>
      <w:r w:rsidRPr="13DF84EE">
        <w:rPr>
          <w:lang w:val="fr-FR"/>
        </w:rPr>
        <w:t>.</w:t>
      </w:r>
    </w:p>
  </w:footnote>
  <w:footnote w:id="5">
    <w:p w14:paraId="3BA6B51D" w14:textId="77777777" w:rsidR="00D46284" w:rsidRPr="00905EDE" w:rsidRDefault="00D46284" w:rsidP="00D46284">
      <w:pPr>
        <w:rPr>
          <w:lang w:val="fr-FR"/>
        </w:rPr>
      </w:pPr>
    </w:p>
    <w:p w14:paraId="057EF673" w14:textId="77777777" w:rsidR="00D46284" w:rsidRPr="00EB7677" w:rsidRDefault="00D46284" w:rsidP="00D46284">
      <w:pPr>
        <w:pStyle w:val="FootnoteText"/>
        <w:rPr>
          <w:lang w:val="fr-FR"/>
        </w:rPr>
      </w:pPr>
    </w:p>
  </w:footnote>
  <w:footnote w:id="6">
    <w:p w14:paraId="72C1563E" w14:textId="06AE0F24" w:rsidR="00D46284" w:rsidRPr="00EB7677" w:rsidRDefault="00D46284" w:rsidP="00D46284">
      <w:pPr>
        <w:pStyle w:val="FootnoteText"/>
        <w:rPr>
          <w:lang w:val="fr-FR"/>
        </w:rPr>
      </w:pPr>
      <w:r>
        <w:rPr>
          <w:rStyle w:val="FootnoteReference"/>
        </w:rPr>
        <w:footnoteRef/>
      </w:r>
      <w:r w:rsidRPr="00EB7677">
        <w:rPr>
          <w:lang w:val="fr-FR"/>
        </w:rPr>
        <w:t xml:space="preserve"> </w:t>
      </w:r>
      <w:r>
        <w:rPr>
          <w:lang w:val="fr-FR"/>
        </w:rPr>
        <w:t xml:space="preserve">En raison de la </w:t>
      </w:r>
      <w:r w:rsidR="00D91039">
        <w:rPr>
          <w:lang w:val="fr-FR"/>
        </w:rPr>
        <w:t>non-présence</w:t>
      </w:r>
      <w:r>
        <w:rPr>
          <w:lang w:val="fr-FR"/>
        </w:rPr>
        <w:t xml:space="preserve"> régulière des forces de sécurité à </w:t>
      </w:r>
      <w:proofErr w:type="spellStart"/>
      <w:r>
        <w:rPr>
          <w:lang w:val="fr-FR"/>
        </w:rPr>
        <w:t>Yasso</w:t>
      </w:r>
      <w:proofErr w:type="spellEnd"/>
      <w:r>
        <w:rPr>
          <w:lang w:val="fr-FR"/>
        </w:rPr>
        <w:t xml:space="preserve">, il a été sursis à l’appui du PA de </w:t>
      </w:r>
      <w:proofErr w:type="spellStart"/>
      <w:r>
        <w:rPr>
          <w:lang w:val="fr-FR"/>
        </w:rPr>
        <w:t>Femaye</w:t>
      </w:r>
      <w:proofErr w:type="spellEnd"/>
    </w:p>
  </w:footnote>
  <w:footnote w:id="7">
    <w:p w14:paraId="7E1678C3" w14:textId="77777777" w:rsidR="00D46284" w:rsidRPr="000503C0" w:rsidRDefault="00D46284" w:rsidP="00D46284">
      <w:pPr>
        <w:pStyle w:val="FootnoteText"/>
        <w:rPr>
          <w:lang w:val="fr-FR"/>
        </w:rPr>
      </w:pPr>
      <w:r>
        <w:rPr>
          <w:rStyle w:val="FootnoteReference"/>
        </w:rPr>
        <w:footnoteRef/>
      </w:r>
      <w:r w:rsidRPr="000503C0">
        <w:rPr>
          <w:lang w:val="fr-FR"/>
        </w:rPr>
        <w:t xml:space="preserve"> Liste des </w:t>
      </w:r>
      <w:proofErr w:type="spellStart"/>
      <w:r w:rsidRPr="000503C0">
        <w:rPr>
          <w:lang w:val="fr-FR"/>
        </w:rPr>
        <w:t>CoFos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1443"/>
    <w:multiLevelType w:val="hybridMultilevel"/>
    <w:tmpl w:val="20E8D13E"/>
    <w:lvl w:ilvl="0" w:tplc="340C000B">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42A50144"/>
    <w:multiLevelType w:val="hybridMultilevel"/>
    <w:tmpl w:val="794A83F4"/>
    <w:lvl w:ilvl="0" w:tplc="DC788840">
      <w:start w:val="6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45093E53"/>
    <w:multiLevelType w:val="hybridMultilevel"/>
    <w:tmpl w:val="4FEA47EE"/>
    <w:lvl w:ilvl="0" w:tplc="2922847E">
      <w:numFmt w:val="bullet"/>
      <w:lvlText w:val="-"/>
      <w:lvlJc w:val="left"/>
      <w:pPr>
        <w:ind w:left="780" w:hanging="360"/>
      </w:pPr>
      <w:rPr>
        <w:rFonts w:ascii="Arial Narrow" w:eastAsia="Times New Roman" w:hAnsi="Arial Narrow"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FE02B76"/>
    <w:multiLevelType w:val="hybridMultilevel"/>
    <w:tmpl w:val="FC90A3A4"/>
    <w:lvl w:ilvl="0" w:tplc="CF488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1E482A"/>
    <w:multiLevelType w:val="hybridMultilevel"/>
    <w:tmpl w:val="81BA550C"/>
    <w:lvl w:ilvl="0" w:tplc="791A53A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4857">
    <w:abstractNumId w:val="5"/>
  </w:num>
  <w:num w:numId="2" w16cid:durableId="863636365">
    <w:abstractNumId w:val="9"/>
  </w:num>
  <w:num w:numId="3" w16cid:durableId="1963414124">
    <w:abstractNumId w:val="1"/>
  </w:num>
  <w:num w:numId="4" w16cid:durableId="542642350">
    <w:abstractNumId w:val="3"/>
  </w:num>
  <w:num w:numId="5" w16cid:durableId="1947733093">
    <w:abstractNumId w:val="4"/>
  </w:num>
  <w:num w:numId="6" w16cid:durableId="1111557495">
    <w:abstractNumId w:val="8"/>
  </w:num>
  <w:num w:numId="7" w16cid:durableId="533272022">
    <w:abstractNumId w:val="0"/>
  </w:num>
  <w:num w:numId="8" w16cid:durableId="196049311">
    <w:abstractNumId w:val="6"/>
  </w:num>
  <w:num w:numId="9" w16cid:durableId="690958967">
    <w:abstractNumId w:val="7"/>
  </w:num>
  <w:num w:numId="10" w16cid:durableId="8821390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076DB"/>
    <w:rsid w:val="00010EB0"/>
    <w:rsid w:val="0001109A"/>
    <w:rsid w:val="00013D36"/>
    <w:rsid w:val="00013D69"/>
    <w:rsid w:val="00014B13"/>
    <w:rsid w:val="0002538E"/>
    <w:rsid w:val="00025EFA"/>
    <w:rsid w:val="00031640"/>
    <w:rsid w:val="00045C24"/>
    <w:rsid w:val="00050759"/>
    <w:rsid w:val="00051F71"/>
    <w:rsid w:val="0005216F"/>
    <w:rsid w:val="00052745"/>
    <w:rsid w:val="00052DE5"/>
    <w:rsid w:val="00054C2F"/>
    <w:rsid w:val="000554F8"/>
    <w:rsid w:val="00062F14"/>
    <w:rsid w:val="00063017"/>
    <w:rsid w:val="000731D0"/>
    <w:rsid w:val="00075D98"/>
    <w:rsid w:val="0008134A"/>
    <w:rsid w:val="0008233D"/>
    <w:rsid w:val="00082738"/>
    <w:rsid w:val="00084F64"/>
    <w:rsid w:val="00091CFD"/>
    <w:rsid w:val="00092442"/>
    <w:rsid w:val="000960DC"/>
    <w:rsid w:val="000A45F4"/>
    <w:rsid w:val="000A4660"/>
    <w:rsid w:val="000A51DA"/>
    <w:rsid w:val="000A6719"/>
    <w:rsid w:val="000B0453"/>
    <w:rsid w:val="000B4E5C"/>
    <w:rsid w:val="000B7954"/>
    <w:rsid w:val="000B7BB4"/>
    <w:rsid w:val="000C7EA0"/>
    <w:rsid w:val="000D12F4"/>
    <w:rsid w:val="000D4328"/>
    <w:rsid w:val="000D4F4B"/>
    <w:rsid w:val="000E05AE"/>
    <w:rsid w:val="000E6A96"/>
    <w:rsid w:val="000F05A2"/>
    <w:rsid w:val="000F13B1"/>
    <w:rsid w:val="000F3F91"/>
    <w:rsid w:val="000F42E9"/>
    <w:rsid w:val="000F43A8"/>
    <w:rsid w:val="00101811"/>
    <w:rsid w:val="00102C0E"/>
    <w:rsid w:val="00112741"/>
    <w:rsid w:val="00113D2B"/>
    <w:rsid w:val="00113EC4"/>
    <w:rsid w:val="00116449"/>
    <w:rsid w:val="0011666C"/>
    <w:rsid w:val="00116E27"/>
    <w:rsid w:val="00117EE7"/>
    <w:rsid w:val="0012190D"/>
    <w:rsid w:val="00121B2D"/>
    <w:rsid w:val="00121EE7"/>
    <w:rsid w:val="001307FA"/>
    <w:rsid w:val="00130CED"/>
    <w:rsid w:val="00131824"/>
    <w:rsid w:val="00136B32"/>
    <w:rsid w:val="001444EE"/>
    <w:rsid w:val="00145766"/>
    <w:rsid w:val="001458E9"/>
    <w:rsid w:val="00153CD9"/>
    <w:rsid w:val="00155AFB"/>
    <w:rsid w:val="00156AFA"/>
    <w:rsid w:val="00156C4C"/>
    <w:rsid w:val="00157BF2"/>
    <w:rsid w:val="001607B2"/>
    <w:rsid w:val="0016088D"/>
    <w:rsid w:val="00161D02"/>
    <w:rsid w:val="001745E8"/>
    <w:rsid w:val="00174BA4"/>
    <w:rsid w:val="00176262"/>
    <w:rsid w:val="0018095F"/>
    <w:rsid w:val="0018313E"/>
    <w:rsid w:val="0018446E"/>
    <w:rsid w:val="00185425"/>
    <w:rsid w:val="00186529"/>
    <w:rsid w:val="001922F2"/>
    <w:rsid w:val="00192F1D"/>
    <w:rsid w:val="001948EA"/>
    <w:rsid w:val="00194D4C"/>
    <w:rsid w:val="00196AA8"/>
    <w:rsid w:val="001A0965"/>
    <w:rsid w:val="001A1E86"/>
    <w:rsid w:val="001A2539"/>
    <w:rsid w:val="001A3157"/>
    <w:rsid w:val="001A374F"/>
    <w:rsid w:val="001A4786"/>
    <w:rsid w:val="001B1EAF"/>
    <w:rsid w:val="001B458D"/>
    <w:rsid w:val="001B4FC7"/>
    <w:rsid w:val="001B5649"/>
    <w:rsid w:val="001B5D16"/>
    <w:rsid w:val="001B6DFD"/>
    <w:rsid w:val="001B7DD1"/>
    <w:rsid w:val="001C15CC"/>
    <w:rsid w:val="001C4484"/>
    <w:rsid w:val="001C46E9"/>
    <w:rsid w:val="001C4F74"/>
    <w:rsid w:val="001C5691"/>
    <w:rsid w:val="001C56B8"/>
    <w:rsid w:val="001C5B82"/>
    <w:rsid w:val="001C5D90"/>
    <w:rsid w:val="001C7F76"/>
    <w:rsid w:val="001D1B22"/>
    <w:rsid w:val="001D1C14"/>
    <w:rsid w:val="001D4CDF"/>
    <w:rsid w:val="001D575F"/>
    <w:rsid w:val="001D6683"/>
    <w:rsid w:val="001D67F9"/>
    <w:rsid w:val="001E660A"/>
    <w:rsid w:val="001E739E"/>
    <w:rsid w:val="001E7ACB"/>
    <w:rsid w:val="001F308A"/>
    <w:rsid w:val="00200A51"/>
    <w:rsid w:val="0020130A"/>
    <w:rsid w:val="00205EB7"/>
    <w:rsid w:val="0020791D"/>
    <w:rsid w:val="00210D7E"/>
    <w:rsid w:val="002129DA"/>
    <w:rsid w:val="0021550A"/>
    <w:rsid w:val="00215F41"/>
    <w:rsid w:val="00217A2E"/>
    <w:rsid w:val="00217EB6"/>
    <w:rsid w:val="002247C2"/>
    <w:rsid w:val="002310CA"/>
    <w:rsid w:val="002322E6"/>
    <w:rsid w:val="00233827"/>
    <w:rsid w:val="00234A5E"/>
    <w:rsid w:val="00236072"/>
    <w:rsid w:val="0023672E"/>
    <w:rsid w:val="00236AB3"/>
    <w:rsid w:val="00240A4C"/>
    <w:rsid w:val="002436F0"/>
    <w:rsid w:val="00243721"/>
    <w:rsid w:val="00245E73"/>
    <w:rsid w:val="00246135"/>
    <w:rsid w:val="00247F4E"/>
    <w:rsid w:val="00251E92"/>
    <w:rsid w:val="0025220B"/>
    <w:rsid w:val="00252B39"/>
    <w:rsid w:val="00254AC2"/>
    <w:rsid w:val="0025525B"/>
    <w:rsid w:val="00260750"/>
    <w:rsid w:val="0027242A"/>
    <w:rsid w:val="00272A58"/>
    <w:rsid w:val="00273AD0"/>
    <w:rsid w:val="00280FEA"/>
    <w:rsid w:val="002822AF"/>
    <w:rsid w:val="00282BD9"/>
    <w:rsid w:val="00284B3B"/>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628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4BAD"/>
    <w:rsid w:val="00305626"/>
    <w:rsid w:val="003107C9"/>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4155"/>
    <w:rsid w:val="00346D73"/>
    <w:rsid w:val="00347060"/>
    <w:rsid w:val="003473C6"/>
    <w:rsid w:val="00355C69"/>
    <w:rsid w:val="0035676B"/>
    <w:rsid w:val="0036374A"/>
    <w:rsid w:val="0036386A"/>
    <w:rsid w:val="00364B67"/>
    <w:rsid w:val="00366549"/>
    <w:rsid w:val="00372156"/>
    <w:rsid w:val="003722AE"/>
    <w:rsid w:val="0037561F"/>
    <w:rsid w:val="0037563A"/>
    <w:rsid w:val="003758E5"/>
    <w:rsid w:val="00380849"/>
    <w:rsid w:val="003818DB"/>
    <w:rsid w:val="00382583"/>
    <w:rsid w:val="003834CD"/>
    <w:rsid w:val="00383908"/>
    <w:rsid w:val="00391614"/>
    <w:rsid w:val="003966E6"/>
    <w:rsid w:val="003968D7"/>
    <w:rsid w:val="003A613D"/>
    <w:rsid w:val="003A6341"/>
    <w:rsid w:val="003B3A5F"/>
    <w:rsid w:val="003B4F6E"/>
    <w:rsid w:val="003B5338"/>
    <w:rsid w:val="003C3648"/>
    <w:rsid w:val="003C5283"/>
    <w:rsid w:val="003C5CC6"/>
    <w:rsid w:val="003D12C7"/>
    <w:rsid w:val="003D228B"/>
    <w:rsid w:val="003D4CD7"/>
    <w:rsid w:val="003D4D7C"/>
    <w:rsid w:val="003E04E6"/>
    <w:rsid w:val="003F08B1"/>
    <w:rsid w:val="003F21BE"/>
    <w:rsid w:val="003F36FB"/>
    <w:rsid w:val="003F660A"/>
    <w:rsid w:val="004017BD"/>
    <w:rsid w:val="00402083"/>
    <w:rsid w:val="004023AC"/>
    <w:rsid w:val="00402514"/>
    <w:rsid w:val="00402A6A"/>
    <w:rsid w:val="00404D31"/>
    <w:rsid w:val="0040513F"/>
    <w:rsid w:val="00405DE7"/>
    <w:rsid w:val="00411A5F"/>
    <w:rsid w:val="00413EAF"/>
    <w:rsid w:val="00414097"/>
    <w:rsid w:val="00416334"/>
    <w:rsid w:val="004213AF"/>
    <w:rsid w:val="00425AF8"/>
    <w:rsid w:val="00437FF5"/>
    <w:rsid w:val="00440506"/>
    <w:rsid w:val="004436E9"/>
    <w:rsid w:val="00445152"/>
    <w:rsid w:val="0045149A"/>
    <w:rsid w:val="0046101E"/>
    <w:rsid w:val="00461944"/>
    <w:rsid w:val="00464188"/>
    <w:rsid w:val="00470EC3"/>
    <w:rsid w:val="00476758"/>
    <w:rsid w:val="00477CF8"/>
    <w:rsid w:val="00480A02"/>
    <w:rsid w:val="0048168F"/>
    <w:rsid w:val="00484092"/>
    <w:rsid w:val="00484169"/>
    <w:rsid w:val="00486675"/>
    <w:rsid w:val="00493779"/>
    <w:rsid w:val="00495AC5"/>
    <w:rsid w:val="004965A3"/>
    <w:rsid w:val="004A210E"/>
    <w:rsid w:val="004A49E6"/>
    <w:rsid w:val="004B01AD"/>
    <w:rsid w:val="004B1E1E"/>
    <w:rsid w:val="004B5601"/>
    <w:rsid w:val="004B5B20"/>
    <w:rsid w:val="004C3DC3"/>
    <w:rsid w:val="004C4272"/>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6468"/>
    <w:rsid w:val="005174D6"/>
    <w:rsid w:val="0051786C"/>
    <w:rsid w:val="005208FF"/>
    <w:rsid w:val="00521468"/>
    <w:rsid w:val="005216B2"/>
    <w:rsid w:val="00526655"/>
    <w:rsid w:val="00526735"/>
    <w:rsid w:val="00526B32"/>
    <w:rsid w:val="0053126F"/>
    <w:rsid w:val="0053206E"/>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4D6E"/>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997"/>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0E1A"/>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19AA"/>
    <w:rsid w:val="006A207B"/>
    <w:rsid w:val="006A2E42"/>
    <w:rsid w:val="006A5032"/>
    <w:rsid w:val="006A5B0E"/>
    <w:rsid w:val="006B41FD"/>
    <w:rsid w:val="006B4DED"/>
    <w:rsid w:val="006C0158"/>
    <w:rsid w:val="006C0988"/>
    <w:rsid w:val="006C1819"/>
    <w:rsid w:val="006C29FB"/>
    <w:rsid w:val="006C2A03"/>
    <w:rsid w:val="006D0366"/>
    <w:rsid w:val="006D27F6"/>
    <w:rsid w:val="006D3593"/>
    <w:rsid w:val="006D3F0B"/>
    <w:rsid w:val="006D5799"/>
    <w:rsid w:val="006D60AB"/>
    <w:rsid w:val="006D6B92"/>
    <w:rsid w:val="006E10BF"/>
    <w:rsid w:val="006E2489"/>
    <w:rsid w:val="006E4DA8"/>
    <w:rsid w:val="006E5713"/>
    <w:rsid w:val="006E7CF8"/>
    <w:rsid w:val="006F0257"/>
    <w:rsid w:val="006F0654"/>
    <w:rsid w:val="006F0B62"/>
    <w:rsid w:val="006F0F2D"/>
    <w:rsid w:val="006F1516"/>
    <w:rsid w:val="006F4A07"/>
    <w:rsid w:val="006F690E"/>
    <w:rsid w:val="006F74C9"/>
    <w:rsid w:val="007065B1"/>
    <w:rsid w:val="00706795"/>
    <w:rsid w:val="007073F6"/>
    <w:rsid w:val="007118F5"/>
    <w:rsid w:val="007124F9"/>
    <w:rsid w:val="0071286E"/>
    <w:rsid w:val="00712FFA"/>
    <w:rsid w:val="007133CF"/>
    <w:rsid w:val="0071506D"/>
    <w:rsid w:val="00715EC6"/>
    <w:rsid w:val="00720431"/>
    <w:rsid w:val="007308CD"/>
    <w:rsid w:val="007317AD"/>
    <w:rsid w:val="0073324E"/>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3240"/>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E1083"/>
    <w:rsid w:val="008E3596"/>
    <w:rsid w:val="008E3872"/>
    <w:rsid w:val="008E729D"/>
    <w:rsid w:val="008F37DE"/>
    <w:rsid w:val="008F5112"/>
    <w:rsid w:val="008F6703"/>
    <w:rsid w:val="00900D78"/>
    <w:rsid w:val="00901C1E"/>
    <w:rsid w:val="00905814"/>
    <w:rsid w:val="00905ED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453"/>
    <w:rsid w:val="00952DE4"/>
    <w:rsid w:val="00953C30"/>
    <w:rsid w:val="009568EF"/>
    <w:rsid w:val="00956B79"/>
    <w:rsid w:val="00965F6B"/>
    <w:rsid w:val="00966A7C"/>
    <w:rsid w:val="009700FC"/>
    <w:rsid w:val="00970D92"/>
    <w:rsid w:val="00970F4C"/>
    <w:rsid w:val="0097130A"/>
    <w:rsid w:val="00974D94"/>
    <w:rsid w:val="009774FE"/>
    <w:rsid w:val="009804F2"/>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311"/>
    <w:rsid w:val="009C153E"/>
    <w:rsid w:val="009C28DE"/>
    <w:rsid w:val="009C2C5E"/>
    <w:rsid w:val="009C40E7"/>
    <w:rsid w:val="009D0838"/>
    <w:rsid w:val="009D0C9F"/>
    <w:rsid w:val="009D10B2"/>
    <w:rsid w:val="009D2543"/>
    <w:rsid w:val="009D2C54"/>
    <w:rsid w:val="009D64E4"/>
    <w:rsid w:val="009E20F1"/>
    <w:rsid w:val="009E329B"/>
    <w:rsid w:val="009E3414"/>
    <w:rsid w:val="009E3717"/>
    <w:rsid w:val="009E38EA"/>
    <w:rsid w:val="009E5594"/>
    <w:rsid w:val="009F517D"/>
    <w:rsid w:val="009F6554"/>
    <w:rsid w:val="009F68CF"/>
    <w:rsid w:val="009F7F98"/>
    <w:rsid w:val="00A02F58"/>
    <w:rsid w:val="00A032AE"/>
    <w:rsid w:val="00A048D2"/>
    <w:rsid w:val="00A10DAC"/>
    <w:rsid w:val="00A31988"/>
    <w:rsid w:val="00A34FE2"/>
    <w:rsid w:val="00A35FDA"/>
    <w:rsid w:val="00A360E8"/>
    <w:rsid w:val="00A36172"/>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77597"/>
    <w:rsid w:val="00A81DF0"/>
    <w:rsid w:val="00A8266F"/>
    <w:rsid w:val="00A843B5"/>
    <w:rsid w:val="00A85288"/>
    <w:rsid w:val="00A855EA"/>
    <w:rsid w:val="00A86B3F"/>
    <w:rsid w:val="00A86F4D"/>
    <w:rsid w:val="00A9067B"/>
    <w:rsid w:val="00A90E6D"/>
    <w:rsid w:val="00A90E80"/>
    <w:rsid w:val="00A91FCD"/>
    <w:rsid w:val="00A96579"/>
    <w:rsid w:val="00A9791E"/>
    <w:rsid w:val="00AA1DFA"/>
    <w:rsid w:val="00AA363D"/>
    <w:rsid w:val="00AA7C77"/>
    <w:rsid w:val="00AB1368"/>
    <w:rsid w:val="00AB37F4"/>
    <w:rsid w:val="00AB6561"/>
    <w:rsid w:val="00AB6BAD"/>
    <w:rsid w:val="00AC0DE8"/>
    <w:rsid w:val="00AC433F"/>
    <w:rsid w:val="00AC4B04"/>
    <w:rsid w:val="00AC5D55"/>
    <w:rsid w:val="00AC7088"/>
    <w:rsid w:val="00AD0A31"/>
    <w:rsid w:val="00AD18E7"/>
    <w:rsid w:val="00AD1B06"/>
    <w:rsid w:val="00AD6104"/>
    <w:rsid w:val="00AD6C55"/>
    <w:rsid w:val="00AD73D3"/>
    <w:rsid w:val="00AE0D84"/>
    <w:rsid w:val="00AE7D14"/>
    <w:rsid w:val="00AF2D89"/>
    <w:rsid w:val="00AF7DA4"/>
    <w:rsid w:val="00B00EBD"/>
    <w:rsid w:val="00B0370E"/>
    <w:rsid w:val="00B03E68"/>
    <w:rsid w:val="00B05E35"/>
    <w:rsid w:val="00B10051"/>
    <w:rsid w:val="00B124BD"/>
    <w:rsid w:val="00B12FB8"/>
    <w:rsid w:val="00B22390"/>
    <w:rsid w:val="00B244A1"/>
    <w:rsid w:val="00B24F72"/>
    <w:rsid w:val="00B27419"/>
    <w:rsid w:val="00B322E6"/>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8320B"/>
    <w:rsid w:val="00B91F39"/>
    <w:rsid w:val="00B96298"/>
    <w:rsid w:val="00BA4F96"/>
    <w:rsid w:val="00BA5D85"/>
    <w:rsid w:val="00BA6688"/>
    <w:rsid w:val="00BA6F4B"/>
    <w:rsid w:val="00BC1A5D"/>
    <w:rsid w:val="00BC34D3"/>
    <w:rsid w:val="00BC6808"/>
    <w:rsid w:val="00BC71E1"/>
    <w:rsid w:val="00BD2962"/>
    <w:rsid w:val="00BD5D49"/>
    <w:rsid w:val="00BD643D"/>
    <w:rsid w:val="00BE28AA"/>
    <w:rsid w:val="00BE3C7B"/>
    <w:rsid w:val="00BE41D3"/>
    <w:rsid w:val="00BE720A"/>
    <w:rsid w:val="00BE7698"/>
    <w:rsid w:val="00BF1BFB"/>
    <w:rsid w:val="00BF41E2"/>
    <w:rsid w:val="00BF43F8"/>
    <w:rsid w:val="00BF4E1E"/>
    <w:rsid w:val="00C031DD"/>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2BE2"/>
    <w:rsid w:val="00C640B2"/>
    <w:rsid w:val="00C64E0C"/>
    <w:rsid w:val="00C72CF8"/>
    <w:rsid w:val="00C74E37"/>
    <w:rsid w:val="00C846A4"/>
    <w:rsid w:val="00C847EE"/>
    <w:rsid w:val="00C85138"/>
    <w:rsid w:val="00C853D5"/>
    <w:rsid w:val="00C955F4"/>
    <w:rsid w:val="00C96336"/>
    <w:rsid w:val="00CA1B43"/>
    <w:rsid w:val="00CA6C99"/>
    <w:rsid w:val="00CB02F7"/>
    <w:rsid w:val="00CB25A2"/>
    <w:rsid w:val="00CB4B5C"/>
    <w:rsid w:val="00CB5499"/>
    <w:rsid w:val="00CC1EED"/>
    <w:rsid w:val="00CC2015"/>
    <w:rsid w:val="00CC26EB"/>
    <w:rsid w:val="00CC59E5"/>
    <w:rsid w:val="00CD1A8C"/>
    <w:rsid w:val="00CD2513"/>
    <w:rsid w:val="00CD2F67"/>
    <w:rsid w:val="00CD3754"/>
    <w:rsid w:val="00CD5E04"/>
    <w:rsid w:val="00CD5E74"/>
    <w:rsid w:val="00CE0239"/>
    <w:rsid w:val="00CE132D"/>
    <w:rsid w:val="00CE3BEA"/>
    <w:rsid w:val="00CE499C"/>
    <w:rsid w:val="00CE7C3A"/>
    <w:rsid w:val="00CF04AE"/>
    <w:rsid w:val="00CF4979"/>
    <w:rsid w:val="00D03D06"/>
    <w:rsid w:val="00D06A43"/>
    <w:rsid w:val="00D079BC"/>
    <w:rsid w:val="00D07C97"/>
    <w:rsid w:val="00D12CC9"/>
    <w:rsid w:val="00D13792"/>
    <w:rsid w:val="00D147C9"/>
    <w:rsid w:val="00D21E2D"/>
    <w:rsid w:val="00D22B42"/>
    <w:rsid w:val="00D23C54"/>
    <w:rsid w:val="00D2619A"/>
    <w:rsid w:val="00D26972"/>
    <w:rsid w:val="00D27F55"/>
    <w:rsid w:val="00D30647"/>
    <w:rsid w:val="00D3351A"/>
    <w:rsid w:val="00D34147"/>
    <w:rsid w:val="00D36AF6"/>
    <w:rsid w:val="00D36E09"/>
    <w:rsid w:val="00D403C9"/>
    <w:rsid w:val="00D41969"/>
    <w:rsid w:val="00D42BD6"/>
    <w:rsid w:val="00D44632"/>
    <w:rsid w:val="00D450BB"/>
    <w:rsid w:val="00D46284"/>
    <w:rsid w:val="00D5552B"/>
    <w:rsid w:val="00D557FD"/>
    <w:rsid w:val="00D569A1"/>
    <w:rsid w:val="00D61557"/>
    <w:rsid w:val="00D632A3"/>
    <w:rsid w:val="00D65589"/>
    <w:rsid w:val="00D65BB5"/>
    <w:rsid w:val="00D6788F"/>
    <w:rsid w:val="00D70EC5"/>
    <w:rsid w:val="00D73255"/>
    <w:rsid w:val="00D755D9"/>
    <w:rsid w:val="00D76947"/>
    <w:rsid w:val="00D82C29"/>
    <w:rsid w:val="00D84A39"/>
    <w:rsid w:val="00D85131"/>
    <w:rsid w:val="00D8543B"/>
    <w:rsid w:val="00D91039"/>
    <w:rsid w:val="00DA064C"/>
    <w:rsid w:val="00DA2795"/>
    <w:rsid w:val="00DA2CD8"/>
    <w:rsid w:val="00DA7B93"/>
    <w:rsid w:val="00DC1151"/>
    <w:rsid w:val="00DC3579"/>
    <w:rsid w:val="00DC3612"/>
    <w:rsid w:val="00DC4D0A"/>
    <w:rsid w:val="00DC5066"/>
    <w:rsid w:val="00DD1026"/>
    <w:rsid w:val="00DD52DF"/>
    <w:rsid w:val="00DE0DCE"/>
    <w:rsid w:val="00DE2383"/>
    <w:rsid w:val="00DF1D01"/>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629B"/>
    <w:rsid w:val="00E671FC"/>
    <w:rsid w:val="00E7397F"/>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75E"/>
    <w:rsid w:val="00F34857"/>
    <w:rsid w:val="00F3653F"/>
    <w:rsid w:val="00F36B57"/>
    <w:rsid w:val="00F434C7"/>
    <w:rsid w:val="00F5504F"/>
    <w:rsid w:val="00F5578A"/>
    <w:rsid w:val="00F63B1C"/>
    <w:rsid w:val="00F63FBE"/>
    <w:rsid w:val="00F71684"/>
    <w:rsid w:val="00F72415"/>
    <w:rsid w:val="00F75EBF"/>
    <w:rsid w:val="00F76C54"/>
    <w:rsid w:val="00F76F11"/>
    <w:rsid w:val="00F773B2"/>
    <w:rsid w:val="00F778A1"/>
    <w:rsid w:val="00F801F3"/>
    <w:rsid w:val="00F80B98"/>
    <w:rsid w:val="00F81B93"/>
    <w:rsid w:val="00F83BCA"/>
    <w:rsid w:val="00F84319"/>
    <w:rsid w:val="00F858BA"/>
    <w:rsid w:val="00F86077"/>
    <w:rsid w:val="00F86697"/>
    <w:rsid w:val="00F875C4"/>
    <w:rsid w:val="00F90494"/>
    <w:rsid w:val="00F90BC0"/>
    <w:rsid w:val="00F92DC8"/>
    <w:rsid w:val="00F933A1"/>
    <w:rsid w:val="00F96E14"/>
    <w:rsid w:val="00FA0393"/>
    <w:rsid w:val="00FA1F56"/>
    <w:rsid w:val="00FA2ECD"/>
    <w:rsid w:val="00FA49A7"/>
    <w:rsid w:val="00FA703B"/>
    <w:rsid w:val="00FA7C93"/>
    <w:rsid w:val="00FB1CB1"/>
    <w:rsid w:val="00FB27F5"/>
    <w:rsid w:val="00FB5C17"/>
    <w:rsid w:val="00FC14D4"/>
    <w:rsid w:val="00FC1C72"/>
    <w:rsid w:val="00FC5060"/>
    <w:rsid w:val="00FC7475"/>
    <w:rsid w:val="00FD00AA"/>
    <w:rsid w:val="00FD0105"/>
    <w:rsid w:val="00FD0B1C"/>
    <w:rsid w:val="00FD2745"/>
    <w:rsid w:val="00FD7A4A"/>
    <w:rsid w:val="00FD7BAE"/>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docId w15:val="{AE35D82E-D680-4615-B46A-25BF6746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fr-CH"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Bullets,References,Liste 1,Numbered List Paragraph,ReferencesCxSpLast,normal,Normal1,List Paragraph1,Paragrafo elenco,Evidence on Demand bullet points,Referenc,Normal2,Normal3,Normal4,Normal5,Normal6,Normal7,Normal8,Normal9,Normal10"/>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paragraph" w:styleId="BodyText3">
    <w:name w:val="Body Text 3"/>
    <w:basedOn w:val="Normal"/>
    <w:link w:val="BodyText3Char"/>
    <w:uiPriority w:val="99"/>
    <w:semiHidden/>
    <w:unhideWhenUsed/>
    <w:rsid w:val="000D12F4"/>
    <w:pPr>
      <w:spacing w:after="120"/>
    </w:pPr>
    <w:rPr>
      <w:sz w:val="16"/>
      <w:szCs w:val="16"/>
    </w:rPr>
  </w:style>
  <w:style w:type="character" w:customStyle="1" w:styleId="BodyText3Char">
    <w:name w:val="Body Text 3 Char"/>
    <w:basedOn w:val="DefaultParagraphFont"/>
    <w:link w:val="BodyText3"/>
    <w:uiPriority w:val="99"/>
    <w:semiHidden/>
    <w:rsid w:val="000D12F4"/>
    <w:rPr>
      <w:rFonts w:ascii="Times New Roman" w:eastAsia="Times New Roman" w:hAnsi="Times New Roman"/>
      <w:sz w:val="16"/>
      <w:szCs w:val="16"/>
      <w:lang w:val="en-GB" w:eastAsia="en-GB"/>
    </w:rPr>
  </w:style>
  <w:style w:type="character" w:customStyle="1" w:styleId="CommentTextChar">
    <w:name w:val="Comment Text Char"/>
    <w:basedOn w:val="DefaultParagraphFont"/>
    <w:link w:val="CommentText"/>
    <w:semiHidden/>
    <w:rsid w:val="000D12F4"/>
    <w:rPr>
      <w:rFonts w:ascii="Times New Roman" w:eastAsia="Times New Roman" w:hAnsi="Times New Roman"/>
      <w:lang w:val="en-GB" w:eastAsia="en-GB"/>
    </w:rPr>
  </w:style>
  <w:style w:type="character" w:customStyle="1" w:styleId="CommentSubjectChar">
    <w:name w:val="Comment Subject Char"/>
    <w:basedOn w:val="CommentTextChar"/>
    <w:link w:val="CommentSubject"/>
    <w:semiHidden/>
    <w:rsid w:val="000D12F4"/>
    <w:rPr>
      <w:rFonts w:ascii="Times New Roman" w:eastAsia="Times New Roman" w:hAnsi="Times New Roman"/>
      <w:b/>
      <w:bCs/>
      <w:lang w:val="en-GB" w:eastAsia="en-GB"/>
    </w:rPr>
  </w:style>
  <w:style w:type="character" w:customStyle="1" w:styleId="ListParagraphChar">
    <w:name w:val="List Paragraph Char"/>
    <w:aliases w:val="Bullets Char,References Char,Liste 1 Char,Numbered List Paragraph Char,ReferencesCxSpLast Char,normal Char,Normal1 Char,List Paragraph1 Char,Paragrafo elenco Char,Evidence on Demand bullet points Char,Referenc Char,Normal2 Char"/>
    <w:link w:val="ListParagraph"/>
    <w:uiPriority w:val="34"/>
    <w:qFormat/>
    <w:rsid w:val="000D12F4"/>
    <w:rPr>
      <w:rFonts w:ascii="Times New Roman" w:eastAsia="Times New Roman" w:hAnsi="Times New Roman"/>
      <w:sz w:val="24"/>
      <w:szCs w:val="24"/>
      <w:lang w:val="en-GB" w:eastAsia="en-GB"/>
    </w:rPr>
  </w:style>
  <w:style w:type="paragraph" w:styleId="BlockText">
    <w:name w:val="Block Text"/>
    <w:basedOn w:val="Normal"/>
    <w:uiPriority w:val="99"/>
    <w:unhideWhenUsed/>
    <w:rsid w:val="000D12F4"/>
    <w:pPr>
      <w:ind w:left="-810" w:right="-154"/>
      <w:jc w:val="both"/>
    </w:pPr>
    <w:rPr>
      <w:sz w:val="22"/>
      <w:szCs w:val="22"/>
      <w:lang w:val="de-DE"/>
    </w:rPr>
  </w:style>
  <w:style w:type="paragraph" w:styleId="BodyTextIndent">
    <w:name w:val="Body Text Indent"/>
    <w:basedOn w:val="Normal"/>
    <w:link w:val="BodyTextIndentChar"/>
    <w:uiPriority w:val="99"/>
    <w:semiHidden/>
    <w:unhideWhenUsed/>
    <w:rsid w:val="00D46284"/>
    <w:pPr>
      <w:spacing w:after="120"/>
      <w:ind w:left="360"/>
    </w:pPr>
  </w:style>
  <w:style w:type="character" w:customStyle="1" w:styleId="BodyTextIndentChar">
    <w:name w:val="Body Text Indent Char"/>
    <w:basedOn w:val="DefaultParagraphFont"/>
    <w:link w:val="BodyTextIndent"/>
    <w:uiPriority w:val="99"/>
    <w:semiHidden/>
    <w:rsid w:val="00D46284"/>
    <w:rPr>
      <w:rFonts w:ascii="Times New Roman" w:eastAsia="Times New Roman" w:hAnsi="Times New Roman"/>
      <w:sz w:val="24"/>
      <w:szCs w:val="24"/>
      <w:lang w:val="en-GB" w:eastAsia="en-GB"/>
    </w:rPr>
  </w:style>
  <w:style w:type="paragraph" w:styleId="BodyTextIndent2">
    <w:name w:val="Body Text Indent 2"/>
    <w:basedOn w:val="Normal"/>
    <w:link w:val="BodyTextIndent2Char"/>
    <w:uiPriority w:val="99"/>
    <w:semiHidden/>
    <w:unhideWhenUsed/>
    <w:rsid w:val="00D46284"/>
    <w:pPr>
      <w:spacing w:after="120" w:line="480" w:lineRule="auto"/>
      <w:ind w:left="360"/>
    </w:pPr>
  </w:style>
  <w:style w:type="character" w:customStyle="1" w:styleId="BodyTextIndent2Char">
    <w:name w:val="Body Text Indent 2 Char"/>
    <w:basedOn w:val="DefaultParagraphFont"/>
    <w:link w:val="BodyTextIndent2"/>
    <w:uiPriority w:val="99"/>
    <w:semiHidden/>
    <w:rsid w:val="00D46284"/>
    <w:rPr>
      <w:rFonts w:ascii="Times New Roman" w:eastAsia="Times New Roman" w:hAnsi="Times New Roman"/>
      <w:sz w:val="24"/>
      <w:szCs w:val="24"/>
      <w:lang w:val="en-GB" w:eastAsia="en-GB"/>
    </w:rPr>
  </w:style>
  <w:style w:type="paragraph" w:styleId="BodyText2">
    <w:name w:val="Body Text 2"/>
    <w:basedOn w:val="Normal"/>
    <w:link w:val="BodyText2Char"/>
    <w:uiPriority w:val="99"/>
    <w:unhideWhenUsed/>
    <w:rsid w:val="00D73255"/>
    <w:rPr>
      <w:sz w:val="22"/>
      <w:szCs w:val="22"/>
      <w:lang w:val="fr-FR"/>
    </w:rPr>
  </w:style>
  <w:style w:type="character" w:customStyle="1" w:styleId="BodyText2Char">
    <w:name w:val="Body Text 2 Char"/>
    <w:basedOn w:val="DefaultParagraphFont"/>
    <w:link w:val="BodyText2"/>
    <w:uiPriority w:val="99"/>
    <w:rsid w:val="00D73255"/>
    <w:rPr>
      <w:rFonts w:ascii="Times New Roman" w:eastAsia="Times New Roman" w:hAnsi="Times New Roman"/>
      <w:sz w:val="22"/>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55360562">
      <w:bodyDiv w:val="1"/>
      <w:marLeft w:val="0"/>
      <w:marRight w:val="0"/>
      <w:marTop w:val="0"/>
      <w:marBottom w:val="0"/>
      <w:divBdr>
        <w:top w:val="none" w:sz="0" w:space="0" w:color="auto"/>
        <w:left w:val="none" w:sz="0" w:space="0" w:color="auto"/>
        <w:bottom w:val="none" w:sz="0" w:space="0" w:color="auto"/>
        <w:right w:val="none" w:sz="0" w:space="0" w:color="auto"/>
      </w:divBdr>
    </w:div>
    <w:div w:id="1303118172">
      <w:bodyDiv w:val="1"/>
      <w:marLeft w:val="0"/>
      <w:marRight w:val="0"/>
      <w:marTop w:val="0"/>
      <w:marBottom w:val="0"/>
      <w:divBdr>
        <w:top w:val="none" w:sz="0" w:space="0" w:color="auto"/>
        <w:left w:val="none" w:sz="0" w:space="0" w:color="auto"/>
        <w:bottom w:val="none" w:sz="0" w:space="0" w:color="auto"/>
        <w:right w:val="none" w:sz="0" w:space="0" w:color="auto"/>
      </w:divBdr>
    </w:div>
    <w:div w:id="1360080100">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93880372">
      <w:bodyDiv w:val="1"/>
      <w:marLeft w:val="0"/>
      <w:marRight w:val="0"/>
      <w:marTop w:val="0"/>
      <w:marBottom w:val="0"/>
      <w:divBdr>
        <w:top w:val="none" w:sz="0" w:space="0" w:color="auto"/>
        <w:left w:val="none" w:sz="0" w:space="0" w:color="auto"/>
        <w:bottom w:val="none" w:sz="0" w:space="0" w:color="auto"/>
        <w:right w:val="none" w:sz="0" w:space="0" w:color="auto"/>
      </w:divBdr>
    </w:div>
    <w:div w:id="210687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8429</Words>
  <Characters>46365</Characters>
  <Application>Microsoft Office Word</Application>
  <DocSecurity>0</DocSecurity>
  <Lines>386</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Vanessa Mutoni</cp:lastModifiedBy>
  <cp:revision>2</cp:revision>
  <cp:lastPrinted>2014-02-10T17:12:00Z</cp:lastPrinted>
  <dcterms:created xsi:type="dcterms:W3CDTF">2022-06-13T12:27:00Z</dcterms:created>
  <dcterms:modified xsi:type="dcterms:W3CDTF">2022-06-13T12:27:00Z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