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90" w:rsidRPr="004658BE" w:rsidRDefault="00090D90" w:rsidP="004658BE">
      <w:pPr>
        <w:jc w:val="cente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7"/>
        <w:gridCol w:w="5003"/>
      </w:tblGrid>
      <w:tr w:rsidR="00090D90" w:rsidRPr="00F7637C" w:rsidTr="00B84BA4">
        <w:tc>
          <w:tcPr>
            <w:tcW w:w="5117" w:type="dxa"/>
          </w:tcPr>
          <w:p w:rsidR="00090D90" w:rsidRPr="00F7637C" w:rsidRDefault="00E31D9C" w:rsidP="00F7637C">
            <w:pPr>
              <w:jc w:val="center"/>
              <w:rPr>
                <w:b/>
                <w:u w:val="single"/>
              </w:rPr>
            </w:pPr>
            <w:r>
              <w:rPr>
                <w:rFonts w:ascii="Arial" w:hAnsi="Arial"/>
                <w:noProof/>
                <w:spacing w:val="-3"/>
                <w:sz w:val="20"/>
                <w:lang w:val="fr-FR" w:eastAsia="fr-FR"/>
              </w:rPr>
              <w:drawing>
                <wp:inline distT="0" distB="0" distL="0" distR="0">
                  <wp:extent cx="1035050" cy="8020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8" t="3618" r="10838" b="16402"/>
                          <a:stretch>
                            <a:fillRect/>
                          </a:stretch>
                        </pic:blipFill>
                        <pic:spPr bwMode="auto">
                          <a:xfrm>
                            <a:off x="0" y="0"/>
                            <a:ext cx="1035050" cy="802005"/>
                          </a:xfrm>
                          <a:prstGeom prst="rect">
                            <a:avLst/>
                          </a:prstGeom>
                          <a:solidFill>
                            <a:srgbClr val="3366FF"/>
                          </a:solidFill>
                          <a:ln w="9525">
                            <a:noFill/>
                            <a:miter lim="800000"/>
                            <a:headEnd/>
                            <a:tailEnd/>
                          </a:ln>
                        </pic:spPr>
                      </pic:pic>
                    </a:graphicData>
                  </a:graphic>
                </wp:inline>
              </w:drawing>
            </w:r>
          </w:p>
        </w:tc>
        <w:tc>
          <w:tcPr>
            <w:tcW w:w="5003" w:type="dxa"/>
          </w:tcPr>
          <w:p w:rsidR="00090D90" w:rsidRPr="00F7637C" w:rsidRDefault="00E31D9C" w:rsidP="00C926FE">
            <w:pPr>
              <w:jc w:val="center"/>
              <w:rPr>
                <w:u w:val="single"/>
              </w:rPr>
            </w:pPr>
            <w:r>
              <w:rPr>
                <w:noProof/>
                <w:u w:val="single"/>
                <w:lang w:val="fr-FR" w:eastAsia="fr-FR"/>
              </w:rPr>
              <w:drawing>
                <wp:anchor distT="0" distB="0" distL="114300" distR="114300" simplePos="0" relativeHeight="251657728" behindDoc="1" locked="0" layoutInCell="1" allowOverlap="1">
                  <wp:simplePos x="0" y="0"/>
                  <wp:positionH relativeFrom="column">
                    <wp:posOffset>2492375</wp:posOffset>
                  </wp:positionH>
                  <wp:positionV relativeFrom="paragraph">
                    <wp:posOffset>-363855</wp:posOffset>
                  </wp:positionV>
                  <wp:extent cx="1170305" cy="356235"/>
                  <wp:effectExtent l="19050" t="0" r="0" b="0"/>
                  <wp:wrapTight wrapText="bothSides">
                    <wp:wrapPolygon edited="0">
                      <wp:start x="-352" y="0"/>
                      <wp:lineTo x="-352" y="20791"/>
                      <wp:lineTo x="21448" y="20791"/>
                      <wp:lineTo x="21448" y="0"/>
                      <wp:lineTo x="-352" y="0"/>
                    </wp:wrapPolygon>
                  </wp:wrapTight>
                  <wp:docPr id="42" name="Picture 7" descr="mdgf-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dgf-documents.jpg"/>
                          <pic:cNvPicPr>
                            <a:picLocks noChangeAspect="1" noChangeArrowheads="1"/>
                          </pic:cNvPicPr>
                        </pic:nvPicPr>
                        <pic:blipFill>
                          <a:blip r:embed="rId8"/>
                          <a:srcRect/>
                          <a:stretch>
                            <a:fillRect/>
                          </a:stretch>
                        </pic:blipFill>
                        <pic:spPr bwMode="auto">
                          <a:xfrm>
                            <a:off x="0" y="0"/>
                            <a:ext cx="1170305" cy="356235"/>
                          </a:xfrm>
                          <a:prstGeom prst="rect">
                            <a:avLst/>
                          </a:prstGeom>
                          <a:noFill/>
                          <a:ln w="9525">
                            <a:noFill/>
                            <a:miter lim="800000"/>
                            <a:headEnd/>
                            <a:tailEnd/>
                          </a:ln>
                        </pic:spPr>
                      </pic:pic>
                    </a:graphicData>
                  </a:graphic>
                </wp:anchor>
              </w:drawing>
            </w:r>
          </w:p>
        </w:tc>
      </w:tr>
    </w:tbl>
    <w:p w:rsidR="00AB0274" w:rsidRPr="004D70EC" w:rsidRDefault="004658BE" w:rsidP="004658BE">
      <w:pPr>
        <w:jc w:val="center"/>
        <w:rPr>
          <w:b/>
          <w:lang w:val="fr-FR"/>
        </w:rPr>
      </w:pPr>
      <w:r w:rsidRPr="004D70EC">
        <w:rPr>
          <w:b/>
          <w:u w:val="single"/>
          <w:lang w:val="fr-FR"/>
        </w:rPr>
        <w:t xml:space="preserve"> </w:t>
      </w:r>
    </w:p>
    <w:p w:rsidR="00AB0274" w:rsidRPr="004D70EC" w:rsidRDefault="00AB0274" w:rsidP="00AB0274">
      <w:pPr>
        <w:jc w:val="center"/>
        <w:rPr>
          <w:b/>
          <w:lang w:val="fr-FR"/>
        </w:rPr>
      </w:pPr>
      <w:r w:rsidRPr="004D70EC">
        <w:rPr>
          <w:b/>
          <w:lang w:val="fr-FR"/>
        </w:rPr>
        <w:t>[</w:t>
      </w:r>
      <w:r w:rsidR="00C926FE" w:rsidRPr="004D70EC">
        <w:rPr>
          <w:b/>
          <w:lang w:val="fr-FR"/>
        </w:rPr>
        <w:t>MDG Fund</w:t>
      </w:r>
      <w:r w:rsidRPr="004D70EC">
        <w:rPr>
          <w:b/>
          <w:lang w:val="fr-FR"/>
        </w:rPr>
        <w:t>]</w:t>
      </w:r>
    </w:p>
    <w:p w:rsidR="00AB0274" w:rsidRPr="004D70EC" w:rsidRDefault="00AB0274" w:rsidP="00AB0274">
      <w:pPr>
        <w:rPr>
          <w:sz w:val="14"/>
          <w:szCs w:val="16"/>
          <w:lang w:val="fr-FR"/>
        </w:rPr>
      </w:pPr>
    </w:p>
    <w:p w:rsidR="00AB0274" w:rsidRPr="004D70EC" w:rsidRDefault="00C926FE" w:rsidP="00AB0274">
      <w:pPr>
        <w:jc w:val="center"/>
        <w:rPr>
          <w:b/>
          <w:bCs/>
          <w:caps/>
          <w:lang w:val="fr-FR"/>
        </w:rPr>
      </w:pPr>
      <w:r w:rsidRPr="004D70EC">
        <w:rPr>
          <w:b/>
          <w:bCs/>
          <w:caps/>
          <w:lang w:val="fr-FR"/>
        </w:rPr>
        <w:t xml:space="preserve">NARRATIF DU RAPPORT DE PROGRES ANNUEL </w:t>
      </w:r>
    </w:p>
    <w:p w:rsidR="00C926FE" w:rsidRPr="004D70EC" w:rsidRDefault="00C926FE" w:rsidP="00AB0274">
      <w:pPr>
        <w:jc w:val="center"/>
        <w:rPr>
          <w:b/>
          <w:bCs/>
          <w:caps/>
          <w:lang w:val="fr-FR"/>
        </w:rPr>
      </w:pPr>
    </w:p>
    <w:p w:rsidR="00AB0274" w:rsidRPr="00C926FE" w:rsidRDefault="00AB0274" w:rsidP="00AB0274">
      <w:pPr>
        <w:jc w:val="center"/>
        <w:rPr>
          <w:b/>
          <w:bCs/>
          <w:caps/>
          <w:lang w:val="fr-FR"/>
        </w:rPr>
      </w:pPr>
      <w:r w:rsidRPr="00C926FE">
        <w:rPr>
          <w:b/>
          <w:bCs/>
          <w:caps/>
          <w:lang w:val="fr-FR"/>
        </w:rPr>
        <w:t>PERIOD</w:t>
      </w:r>
      <w:r w:rsidR="00C926FE" w:rsidRPr="00C926FE">
        <w:rPr>
          <w:b/>
          <w:bCs/>
          <w:caps/>
          <w:lang w:val="fr-FR"/>
        </w:rPr>
        <w:t>E COUVERTE</w:t>
      </w:r>
      <w:r w:rsidRPr="00C926FE">
        <w:rPr>
          <w:b/>
          <w:bCs/>
          <w:caps/>
          <w:lang w:val="fr-FR"/>
        </w:rPr>
        <w:t>: 1</w:t>
      </w:r>
      <w:r w:rsidR="00C926FE" w:rsidRPr="00C926FE">
        <w:rPr>
          <w:b/>
          <w:bCs/>
          <w:caps/>
          <w:lang w:val="fr-FR"/>
        </w:rPr>
        <w:t>er  janVIER</w:t>
      </w:r>
      <w:r w:rsidRPr="00C926FE">
        <w:rPr>
          <w:b/>
          <w:bCs/>
          <w:caps/>
          <w:lang w:val="fr-FR"/>
        </w:rPr>
        <w:t xml:space="preserve"> – 31 Decembr</w:t>
      </w:r>
      <w:r w:rsidR="00C926FE" w:rsidRPr="00C926FE">
        <w:rPr>
          <w:b/>
          <w:bCs/>
          <w:caps/>
          <w:lang w:val="fr-FR"/>
        </w:rPr>
        <w:t>E</w:t>
      </w:r>
      <w:r w:rsidRPr="00C926FE">
        <w:rPr>
          <w:b/>
          <w:bCs/>
          <w:caps/>
          <w:lang w:val="fr-FR"/>
        </w:rPr>
        <w:t xml:space="preserve"> 2009</w:t>
      </w:r>
    </w:p>
    <w:p w:rsidR="00AB0274" w:rsidRPr="00C926FE" w:rsidRDefault="00AB0274" w:rsidP="00AB0274">
      <w:pPr>
        <w:rPr>
          <w:lang w:val="fr-FR"/>
        </w:rPr>
      </w:pPr>
    </w:p>
    <w:p w:rsidR="00C926FE" w:rsidRPr="004D70EC" w:rsidRDefault="00C926FE" w:rsidP="00AB0274">
      <w:pPr>
        <w:rPr>
          <w:lang w:val="fr-FR"/>
        </w:rPr>
      </w:pPr>
    </w:p>
    <w:tbl>
      <w:tblPr>
        <w:tblW w:w="0" w:type="auto"/>
        <w:tblLook w:val="01E0"/>
      </w:tblPr>
      <w:tblGrid>
        <w:gridCol w:w="4878"/>
        <w:gridCol w:w="270"/>
        <w:gridCol w:w="5040"/>
      </w:tblGrid>
      <w:tr w:rsidR="00AB0274" w:rsidRPr="00C926FE" w:rsidTr="00B84BA4">
        <w:tc>
          <w:tcPr>
            <w:tcW w:w="4878" w:type="dxa"/>
            <w:vMerge w:val="restart"/>
            <w:tcBorders>
              <w:top w:val="single" w:sz="4" w:space="0" w:color="auto"/>
              <w:left w:val="single" w:sz="4" w:space="0" w:color="auto"/>
              <w:right w:val="single" w:sz="4" w:space="0" w:color="auto"/>
            </w:tcBorders>
          </w:tcPr>
          <w:p w:rsidR="00AB0274" w:rsidRPr="00D90654" w:rsidRDefault="00AB0274" w:rsidP="00986BA5">
            <w:pPr>
              <w:pStyle w:val="Titre2"/>
              <w:rPr>
                <w:i/>
                <w:sz w:val="24"/>
                <w:lang w:val="fr-FR"/>
              </w:rPr>
            </w:pPr>
            <w:bookmarkStart w:id="0" w:name="_Toc249364469"/>
            <w:r w:rsidRPr="00D90654">
              <w:rPr>
                <w:i/>
                <w:sz w:val="24"/>
                <w:lang w:val="fr-FR"/>
              </w:rPr>
              <w:t>S</w:t>
            </w:r>
            <w:r w:rsidR="00C926FE" w:rsidRPr="00D90654">
              <w:rPr>
                <w:i/>
                <w:sz w:val="24"/>
                <w:lang w:val="fr-FR"/>
              </w:rPr>
              <w:t>oumis par</w:t>
            </w:r>
            <w:r w:rsidRPr="00D90654">
              <w:rPr>
                <w:i/>
                <w:sz w:val="24"/>
                <w:lang w:val="fr-FR"/>
              </w:rPr>
              <w:t>:</w:t>
            </w:r>
            <w:bookmarkEnd w:id="0"/>
          </w:p>
          <w:p w:rsidR="00C926FE" w:rsidRPr="00C926FE" w:rsidRDefault="00C926FE" w:rsidP="00986BA5">
            <w:pPr>
              <w:rPr>
                <w:lang w:val="fr-FR"/>
              </w:rPr>
            </w:pPr>
            <w:r w:rsidRPr="00C926FE">
              <w:rPr>
                <w:lang w:val="fr-FR"/>
              </w:rPr>
              <w:t xml:space="preserve">Maria do Valle Ribeiro, </w:t>
            </w:r>
          </w:p>
          <w:p w:rsidR="00AB0274" w:rsidRPr="00D90654" w:rsidRDefault="00C926FE" w:rsidP="00986BA5">
            <w:r w:rsidRPr="00C926FE">
              <w:rPr>
                <w:lang w:val="fr-FR"/>
              </w:rPr>
              <w:t>Représentante Résidente</w:t>
            </w:r>
            <w:r w:rsidR="00D90654">
              <w:t xml:space="preserve"> PNUD</w:t>
            </w:r>
          </w:p>
        </w:tc>
        <w:tc>
          <w:tcPr>
            <w:tcW w:w="270" w:type="dxa"/>
            <w:tcBorders>
              <w:left w:val="single" w:sz="4" w:space="0" w:color="auto"/>
              <w:right w:val="single" w:sz="4" w:space="0" w:color="auto"/>
            </w:tcBorders>
          </w:tcPr>
          <w:p w:rsidR="00AB0274" w:rsidRPr="00C926FE" w:rsidRDefault="00AB0274" w:rsidP="00986BA5">
            <w:pPr>
              <w:pStyle w:val="Titre2"/>
              <w:rPr>
                <w:i/>
                <w:sz w:val="24"/>
                <w:lang w:val="fr-FR"/>
              </w:rPr>
            </w:pPr>
          </w:p>
        </w:tc>
        <w:tc>
          <w:tcPr>
            <w:tcW w:w="5040" w:type="dxa"/>
            <w:vMerge w:val="restart"/>
            <w:tcBorders>
              <w:top w:val="single" w:sz="4" w:space="0" w:color="auto"/>
              <w:left w:val="single" w:sz="4" w:space="0" w:color="auto"/>
              <w:right w:val="single" w:sz="4" w:space="0" w:color="auto"/>
            </w:tcBorders>
          </w:tcPr>
          <w:p w:rsidR="00AB0274" w:rsidRPr="00C926FE" w:rsidRDefault="00C926FE" w:rsidP="00986BA5">
            <w:pPr>
              <w:pStyle w:val="Titre2"/>
              <w:rPr>
                <w:i/>
                <w:sz w:val="24"/>
                <w:lang w:val="fr-FR"/>
              </w:rPr>
            </w:pPr>
            <w:bookmarkStart w:id="1" w:name="_Toc249364470"/>
            <w:r w:rsidRPr="00C926FE">
              <w:rPr>
                <w:i/>
                <w:sz w:val="24"/>
                <w:lang w:val="fr-FR"/>
              </w:rPr>
              <w:t>Pays et thématique</w:t>
            </w:r>
            <w:bookmarkEnd w:id="1"/>
            <w:r w:rsidR="00D90654">
              <w:rPr>
                <w:i/>
                <w:sz w:val="24"/>
                <w:lang w:val="fr-FR"/>
              </w:rPr>
              <w:t xml:space="preserve"> : </w:t>
            </w:r>
          </w:p>
          <w:p w:rsidR="00AB0274" w:rsidRPr="00C926FE" w:rsidRDefault="00C926FE" w:rsidP="00986BA5">
            <w:pPr>
              <w:pStyle w:val="Titre2"/>
              <w:rPr>
                <w:b w:val="0"/>
                <w:i/>
                <w:sz w:val="24"/>
                <w:lang w:val="fr-FR"/>
              </w:rPr>
            </w:pPr>
            <w:r w:rsidRPr="00C926FE">
              <w:rPr>
                <w:b w:val="0"/>
                <w:i/>
                <w:sz w:val="24"/>
                <w:lang w:val="fr-FR"/>
              </w:rPr>
              <w:t>Mauritanie</w:t>
            </w:r>
          </w:p>
          <w:p w:rsidR="002A3031" w:rsidRPr="00C926FE" w:rsidRDefault="00C926FE" w:rsidP="00C926FE">
            <w:pPr>
              <w:rPr>
                <w:lang w:val="fr-FR"/>
              </w:rPr>
            </w:pPr>
            <w:r>
              <w:rPr>
                <w:lang w:val="fr-FR"/>
              </w:rPr>
              <w:t>E</w:t>
            </w:r>
            <w:r w:rsidRPr="00C926FE">
              <w:rPr>
                <w:lang w:val="fr-FR"/>
              </w:rPr>
              <w:t xml:space="preserve">nvironnement </w:t>
            </w:r>
          </w:p>
        </w:tc>
      </w:tr>
      <w:tr w:rsidR="00AB0274" w:rsidRPr="00C926FE" w:rsidTr="00B84BA4">
        <w:trPr>
          <w:trHeight w:val="396"/>
        </w:trPr>
        <w:tc>
          <w:tcPr>
            <w:tcW w:w="4878" w:type="dxa"/>
            <w:vMerge/>
            <w:tcBorders>
              <w:left w:val="single" w:sz="4" w:space="0" w:color="auto"/>
              <w:bottom w:val="single" w:sz="4" w:space="0" w:color="auto"/>
              <w:right w:val="single" w:sz="4" w:space="0" w:color="auto"/>
            </w:tcBorders>
          </w:tcPr>
          <w:p w:rsidR="00AB0274" w:rsidRPr="00C926FE" w:rsidRDefault="00AB0274" w:rsidP="00986BA5">
            <w:pPr>
              <w:pStyle w:val="Corpsdetexte"/>
              <w:rPr>
                <w:rFonts w:ascii="Times New Roman" w:hAnsi="Times New Roman"/>
                <w:sz w:val="24"/>
                <w:lang w:val="fr-FR"/>
              </w:rPr>
            </w:pPr>
          </w:p>
        </w:tc>
        <w:tc>
          <w:tcPr>
            <w:tcW w:w="270" w:type="dxa"/>
            <w:tcBorders>
              <w:left w:val="single" w:sz="4" w:space="0" w:color="auto"/>
              <w:right w:val="single" w:sz="4" w:space="0" w:color="auto"/>
            </w:tcBorders>
          </w:tcPr>
          <w:p w:rsidR="00AB0274" w:rsidRPr="00C926FE" w:rsidRDefault="00AB0274" w:rsidP="00986BA5">
            <w:pPr>
              <w:pStyle w:val="Corpsdetexte"/>
              <w:rPr>
                <w:rFonts w:ascii="Times New Roman" w:hAnsi="Times New Roman"/>
                <w:sz w:val="24"/>
                <w:lang w:val="fr-FR"/>
              </w:rPr>
            </w:pPr>
          </w:p>
        </w:tc>
        <w:tc>
          <w:tcPr>
            <w:tcW w:w="5040" w:type="dxa"/>
            <w:vMerge/>
            <w:tcBorders>
              <w:left w:val="single" w:sz="4" w:space="0" w:color="auto"/>
              <w:bottom w:val="single" w:sz="4" w:space="0" w:color="auto"/>
              <w:right w:val="single" w:sz="4" w:space="0" w:color="auto"/>
            </w:tcBorders>
          </w:tcPr>
          <w:p w:rsidR="00AB0274" w:rsidRPr="00C926FE" w:rsidRDefault="00AB0274" w:rsidP="00986BA5">
            <w:pPr>
              <w:pStyle w:val="Corpsdetexte"/>
              <w:rPr>
                <w:rFonts w:ascii="Times New Roman" w:hAnsi="Times New Roman"/>
                <w:sz w:val="24"/>
                <w:lang w:val="fr-FR"/>
              </w:rPr>
            </w:pPr>
          </w:p>
        </w:tc>
      </w:tr>
    </w:tbl>
    <w:p w:rsidR="00AB0274" w:rsidRPr="00C926FE" w:rsidRDefault="00AB0274" w:rsidP="00AB0274">
      <w:pPr>
        <w:rPr>
          <w:lang w:val="fr-FR"/>
        </w:rPr>
      </w:pPr>
    </w:p>
    <w:tbl>
      <w:tblPr>
        <w:tblW w:w="0" w:type="auto"/>
        <w:tblLook w:val="01E0"/>
      </w:tblPr>
      <w:tblGrid>
        <w:gridCol w:w="4878"/>
        <w:gridCol w:w="270"/>
        <w:gridCol w:w="5040"/>
      </w:tblGrid>
      <w:tr w:rsidR="00AB0274" w:rsidRPr="005F19C1" w:rsidTr="00B84BA4">
        <w:tc>
          <w:tcPr>
            <w:tcW w:w="4878" w:type="dxa"/>
            <w:vMerge w:val="restart"/>
            <w:tcBorders>
              <w:top w:val="single" w:sz="4" w:space="0" w:color="auto"/>
              <w:left w:val="single" w:sz="4" w:space="0" w:color="auto"/>
              <w:right w:val="single" w:sz="4" w:space="0" w:color="auto"/>
            </w:tcBorders>
          </w:tcPr>
          <w:p w:rsidR="00D90654" w:rsidRPr="00D90654" w:rsidRDefault="00D90654" w:rsidP="00986BA5">
            <w:pPr>
              <w:rPr>
                <w:b/>
                <w:i/>
              </w:rPr>
            </w:pPr>
            <w:r w:rsidRPr="00D90654">
              <w:rPr>
                <w:b/>
                <w:i/>
              </w:rPr>
              <w:t>No Programme Atlas:</w:t>
            </w:r>
          </w:p>
          <w:p w:rsidR="00AB0274" w:rsidRPr="00D90654" w:rsidRDefault="00AB0274" w:rsidP="00986BA5">
            <w:pPr>
              <w:rPr>
                <w:i/>
              </w:rPr>
            </w:pPr>
            <w:r w:rsidRPr="00D90654">
              <w:rPr>
                <w:i/>
              </w:rPr>
              <w:t>MD</w:t>
            </w:r>
            <w:r w:rsidR="00D90654" w:rsidRPr="00D90654">
              <w:rPr>
                <w:i/>
              </w:rPr>
              <w:t>G-</w:t>
            </w:r>
            <w:r w:rsidRPr="00D90654">
              <w:rPr>
                <w:i/>
              </w:rPr>
              <w:t xml:space="preserve">F </w:t>
            </w:r>
            <w:r w:rsidR="00D90654" w:rsidRPr="00D90654">
              <w:rPr>
                <w:i/>
              </w:rPr>
              <w:t xml:space="preserve">1724 </w:t>
            </w:r>
          </w:p>
          <w:p w:rsidR="00C926FE" w:rsidRPr="00D90654" w:rsidRDefault="00C926FE" w:rsidP="00986BA5">
            <w:pPr>
              <w:pStyle w:val="Titre2"/>
              <w:rPr>
                <w:i/>
                <w:sz w:val="24"/>
              </w:rPr>
            </w:pPr>
            <w:bookmarkStart w:id="2" w:name="_Toc249364475"/>
          </w:p>
          <w:p w:rsidR="00AB0274" w:rsidRPr="004D70EC" w:rsidRDefault="00C926FE" w:rsidP="00986BA5">
            <w:pPr>
              <w:pStyle w:val="Titre2"/>
              <w:rPr>
                <w:i/>
                <w:sz w:val="24"/>
                <w:lang w:val="fr-FR"/>
              </w:rPr>
            </w:pPr>
            <w:r w:rsidRPr="004D70EC">
              <w:rPr>
                <w:i/>
                <w:sz w:val="24"/>
                <w:lang w:val="fr-FR"/>
              </w:rPr>
              <w:t xml:space="preserve">Intitulé du </w:t>
            </w:r>
            <w:r w:rsidR="00AB0274" w:rsidRPr="004D70EC">
              <w:rPr>
                <w:i/>
                <w:sz w:val="24"/>
                <w:lang w:val="fr-FR"/>
              </w:rPr>
              <w:t>Programme:</w:t>
            </w:r>
            <w:bookmarkEnd w:id="2"/>
          </w:p>
          <w:p w:rsidR="00C926FE" w:rsidRPr="00C926FE" w:rsidRDefault="00C926FE" w:rsidP="00C926FE">
            <w:pPr>
              <w:rPr>
                <w:lang w:val="fr-FR"/>
              </w:rPr>
            </w:pPr>
            <w:r w:rsidRPr="00C926FE">
              <w:rPr>
                <w:lang w:val="fr-FR"/>
              </w:rPr>
              <w:t xml:space="preserve">Gestion locale de l’environnement et mainstreaming dans les processus de planification </w:t>
            </w:r>
          </w:p>
          <w:p w:rsidR="00AB0274" w:rsidRPr="00C926FE" w:rsidRDefault="00AB0274" w:rsidP="00986BA5">
            <w:pPr>
              <w:rPr>
                <w:lang w:val="fr-FR"/>
              </w:rPr>
            </w:pPr>
          </w:p>
        </w:tc>
        <w:tc>
          <w:tcPr>
            <w:tcW w:w="270" w:type="dxa"/>
            <w:tcBorders>
              <w:left w:val="single" w:sz="4" w:space="0" w:color="auto"/>
              <w:right w:val="single" w:sz="4" w:space="0" w:color="auto"/>
            </w:tcBorders>
          </w:tcPr>
          <w:p w:rsidR="00AB0274" w:rsidRPr="00C926FE" w:rsidRDefault="00AB0274" w:rsidP="00986BA5">
            <w:pPr>
              <w:pStyle w:val="Titre2"/>
              <w:rPr>
                <w:i/>
                <w:sz w:val="24"/>
                <w:lang w:val="fr-FR"/>
              </w:rPr>
            </w:pPr>
          </w:p>
        </w:tc>
        <w:tc>
          <w:tcPr>
            <w:tcW w:w="5040" w:type="dxa"/>
            <w:vMerge w:val="restart"/>
            <w:tcBorders>
              <w:top w:val="single" w:sz="4" w:space="0" w:color="auto"/>
              <w:left w:val="single" w:sz="4" w:space="0" w:color="auto"/>
              <w:right w:val="single" w:sz="4" w:space="0" w:color="auto"/>
            </w:tcBorders>
          </w:tcPr>
          <w:p w:rsidR="00AB0274" w:rsidRPr="004D70EC" w:rsidRDefault="00C926FE" w:rsidP="00C926FE">
            <w:pPr>
              <w:pStyle w:val="Titre2"/>
              <w:rPr>
                <w:i/>
                <w:sz w:val="24"/>
                <w:lang w:val="fr-FR"/>
              </w:rPr>
            </w:pPr>
            <w:bookmarkStart w:id="3" w:name="_Toc249364476"/>
            <w:r w:rsidRPr="004D70EC">
              <w:rPr>
                <w:i/>
                <w:sz w:val="24"/>
                <w:lang w:val="fr-FR"/>
              </w:rPr>
              <w:t xml:space="preserve">Organisations </w:t>
            </w:r>
            <w:r w:rsidR="00C85B34" w:rsidRPr="004D70EC">
              <w:rPr>
                <w:i/>
                <w:sz w:val="24"/>
                <w:lang w:val="fr-FR"/>
              </w:rPr>
              <w:t>Participa</w:t>
            </w:r>
            <w:r w:rsidRPr="004D70EC">
              <w:rPr>
                <w:i/>
                <w:sz w:val="24"/>
                <w:lang w:val="fr-FR"/>
              </w:rPr>
              <w:t>ntes</w:t>
            </w:r>
            <w:r w:rsidR="00AB0274" w:rsidRPr="004D70EC">
              <w:rPr>
                <w:i/>
                <w:sz w:val="24"/>
                <w:lang w:val="fr-FR"/>
              </w:rPr>
              <w:t>:</w:t>
            </w:r>
            <w:bookmarkEnd w:id="3"/>
            <w:r w:rsidR="00AB0274" w:rsidRPr="004D70EC">
              <w:rPr>
                <w:i/>
                <w:sz w:val="24"/>
                <w:lang w:val="fr-FR"/>
              </w:rPr>
              <w:tab/>
            </w:r>
          </w:p>
          <w:p w:rsidR="00C926FE" w:rsidRPr="004D70EC" w:rsidRDefault="00C926FE" w:rsidP="00C926FE">
            <w:pPr>
              <w:rPr>
                <w:lang w:val="fr-FR"/>
              </w:rPr>
            </w:pPr>
            <w:r w:rsidRPr="004D70EC">
              <w:rPr>
                <w:lang w:val="fr-FR"/>
              </w:rPr>
              <w:t>PNUD</w:t>
            </w:r>
          </w:p>
          <w:p w:rsidR="00C926FE" w:rsidRPr="004D70EC" w:rsidRDefault="00C926FE" w:rsidP="00C926FE">
            <w:pPr>
              <w:rPr>
                <w:lang w:val="fr-FR"/>
              </w:rPr>
            </w:pPr>
            <w:r w:rsidRPr="004D70EC">
              <w:rPr>
                <w:lang w:val="fr-FR"/>
              </w:rPr>
              <w:t>PNUE</w:t>
            </w:r>
          </w:p>
          <w:p w:rsidR="00C926FE" w:rsidRPr="004D70EC" w:rsidRDefault="00C926FE" w:rsidP="00C926FE">
            <w:pPr>
              <w:rPr>
                <w:lang w:val="fr-FR"/>
              </w:rPr>
            </w:pPr>
            <w:r w:rsidRPr="004D70EC">
              <w:rPr>
                <w:lang w:val="fr-FR"/>
              </w:rPr>
              <w:t>UNICEF</w:t>
            </w:r>
          </w:p>
          <w:p w:rsidR="00C926FE" w:rsidRPr="004D70EC" w:rsidRDefault="00C926FE" w:rsidP="00C926FE">
            <w:pPr>
              <w:rPr>
                <w:lang w:val="fr-FR"/>
              </w:rPr>
            </w:pPr>
            <w:r w:rsidRPr="004D70EC">
              <w:rPr>
                <w:lang w:val="fr-FR"/>
              </w:rPr>
              <w:t>OMS</w:t>
            </w:r>
          </w:p>
          <w:p w:rsidR="00C926FE" w:rsidRPr="00CB0B8E" w:rsidRDefault="00C926FE" w:rsidP="00C926FE">
            <w:r w:rsidRPr="00CB0B8E">
              <w:t>FAO</w:t>
            </w:r>
          </w:p>
          <w:p w:rsidR="00C926FE" w:rsidRPr="00CB0B8E" w:rsidRDefault="00C926FE" w:rsidP="00C926FE">
            <w:r w:rsidRPr="00CB0B8E">
              <w:t>UNESCO</w:t>
            </w:r>
          </w:p>
          <w:p w:rsidR="00C926FE" w:rsidRPr="00CB0B8E" w:rsidRDefault="00C926FE" w:rsidP="00C926FE">
            <w:r w:rsidRPr="00CB0B8E">
              <w:t>PAM</w:t>
            </w:r>
          </w:p>
          <w:p w:rsidR="00C926FE" w:rsidRPr="00C926FE" w:rsidRDefault="00C926FE" w:rsidP="00C926FE"/>
        </w:tc>
      </w:tr>
      <w:tr w:rsidR="00AB0274" w:rsidRPr="00234CC4" w:rsidTr="00B84BA4">
        <w:trPr>
          <w:trHeight w:val="621"/>
        </w:trPr>
        <w:tc>
          <w:tcPr>
            <w:tcW w:w="4878" w:type="dxa"/>
            <w:vMerge/>
            <w:tcBorders>
              <w:left w:val="single" w:sz="4" w:space="0" w:color="auto"/>
              <w:bottom w:val="single" w:sz="4" w:space="0" w:color="auto"/>
              <w:right w:val="single" w:sz="4" w:space="0" w:color="auto"/>
            </w:tcBorders>
          </w:tcPr>
          <w:p w:rsidR="00AB0274" w:rsidRPr="00234CC4" w:rsidRDefault="00AB0274" w:rsidP="00986BA5">
            <w:pPr>
              <w:pStyle w:val="Corpsdetexte"/>
              <w:rPr>
                <w:rFonts w:ascii="Times New Roman" w:hAnsi="Times New Roman"/>
                <w:sz w:val="24"/>
              </w:rPr>
            </w:pPr>
          </w:p>
        </w:tc>
        <w:tc>
          <w:tcPr>
            <w:tcW w:w="270" w:type="dxa"/>
            <w:tcBorders>
              <w:left w:val="single" w:sz="4" w:space="0" w:color="auto"/>
              <w:right w:val="single" w:sz="4" w:space="0" w:color="auto"/>
            </w:tcBorders>
          </w:tcPr>
          <w:p w:rsidR="00AB0274" w:rsidRPr="00234CC4" w:rsidRDefault="00AB0274" w:rsidP="00986BA5">
            <w:pPr>
              <w:pStyle w:val="Corpsdetexte"/>
              <w:rPr>
                <w:rFonts w:ascii="Times New Roman" w:hAnsi="Times New Roman"/>
                <w:sz w:val="24"/>
              </w:rPr>
            </w:pPr>
          </w:p>
        </w:tc>
        <w:tc>
          <w:tcPr>
            <w:tcW w:w="5040" w:type="dxa"/>
            <w:vMerge/>
            <w:tcBorders>
              <w:left w:val="single" w:sz="4" w:space="0" w:color="auto"/>
              <w:bottom w:val="single" w:sz="4" w:space="0" w:color="auto"/>
              <w:right w:val="single" w:sz="4" w:space="0" w:color="auto"/>
            </w:tcBorders>
          </w:tcPr>
          <w:p w:rsidR="00AB0274" w:rsidRPr="00234CC4" w:rsidRDefault="00AB0274" w:rsidP="00986BA5">
            <w:pPr>
              <w:pStyle w:val="Corpsdetexte"/>
              <w:rPr>
                <w:rFonts w:ascii="Times New Roman" w:hAnsi="Times New Roman"/>
                <w:i/>
                <w:sz w:val="24"/>
              </w:rPr>
            </w:pPr>
          </w:p>
        </w:tc>
      </w:tr>
    </w:tbl>
    <w:p w:rsidR="00AB0274" w:rsidRDefault="00AB0274" w:rsidP="00AB0274"/>
    <w:tbl>
      <w:tblPr>
        <w:tblW w:w="0" w:type="auto"/>
        <w:tblLook w:val="01E0"/>
      </w:tblPr>
      <w:tblGrid>
        <w:gridCol w:w="4850"/>
        <w:gridCol w:w="269"/>
        <w:gridCol w:w="5001"/>
      </w:tblGrid>
      <w:tr w:rsidR="00AB0274" w:rsidRPr="00F971C2" w:rsidTr="00B84BA4">
        <w:trPr>
          <w:trHeight w:val="1385"/>
        </w:trPr>
        <w:tc>
          <w:tcPr>
            <w:tcW w:w="4850" w:type="dxa"/>
            <w:tcBorders>
              <w:top w:val="single" w:sz="4" w:space="0" w:color="auto"/>
              <w:left w:val="single" w:sz="4" w:space="0" w:color="auto"/>
              <w:right w:val="single" w:sz="4" w:space="0" w:color="auto"/>
            </w:tcBorders>
          </w:tcPr>
          <w:p w:rsidR="00AB0274" w:rsidRPr="00D25B29" w:rsidRDefault="00D25B29" w:rsidP="00AB0274">
            <w:pPr>
              <w:pStyle w:val="Titre2"/>
              <w:rPr>
                <w:i/>
                <w:sz w:val="24"/>
                <w:lang w:val="fr-FR"/>
              </w:rPr>
            </w:pPr>
            <w:bookmarkStart w:id="4" w:name="_Toc249364477"/>
            <w:r w:rsidRPr="00D25B29">
              <w:rPr>
                <w:i/>
                <w:sz w:val="24"/>
                <w:lang w:val="fr-FR"/>
              </w:rPr>
              <w:lastRenderedPageBreak/>
              <w:t xml:space="preserve">Partenaires de mise en </w:t>
            </w:r>
            <w:r w:rsidR="00D90654" w:rsidRPr="00D25B29">
              <w:rPr>
                <w:i/>
                <w:sz w:val="24"/>
                <w:lang w:val="fr-FR"/>
              </w:rPr>
              <w:t>œuvre</w:t>
            </w:r>
            <w:r w:rsidR="00AB0274" w:rsidRPr="00D25B29">
              <w:rPr>
                <w:i/>
                <w:sz w:val="24"/>
                <w:lang w:val="fr-FR"/>
              </w:rPr>
              <w:t>:</w:t>
            </w:r>
            <w:bookmarkEnd w:id="4"/>
            <w:r w:rsidR="00AB0274" w:rsidRPr="00D25B29">
              <w:rPr>
                <w:i/>
                <w:sz w:val="24"/>
                <w:lang w:val="fr-FR"/>
              </w:rPr>
              <w:t xml:space="preserve"> </w:t>
            </w:r>
          </w:p>
          <w:p w:rsidR="00575320" w:rsidRPr="00575320" w:rsidRDefault="00575320" w:rsidP="00575320">
            <w:pPr>
              <w:pStyle w:val="Paragraphedeliste1"/>
              <w:numPr>
                <w:ilvl w:val="0"/>
                <w:numId w:val="48"/>
              </w:numPr>
              <w:ind w:left="357" w:hanging="357"/>
              <w:rPr>
                <w:rFonts w:eastAsia="Arial Unicode MS"/>
                <w:lang w:val="fr-FR"/>
              </w:rPr>
            </w:pPr>
            <w:r w:rsidRPr="00575320">
              <w:rPr>
                <w:rFonts w:eastAsia="Arial Unicode MS"/>
                <w:lang w:val="fr-FR"/>
              </w:rPr>
              <w:t xml:space="preserve">Ministère des affaires économiques et du développement </w:t>
            </w:r>
          </w:p>
          <w:p w:rsidR="00575320" w:rsidRPr="00575320" w:rsidRDefault="00575320" w:rsidP="00575320">
            <w:pPr>
              <w:pStyle w:val="Paragraphedeliste1"/>
              <w:numPr>
                <w:ilvl w:val="0"/>
                <w:numId w:val="48"/>
              </w:numPr>
              <w:ind w:left="357" w:hanging="357"/>
              <w:rPr>
                <w:rFonts w:eastAsia="Arial Unicode MS"/>
                <w:lang w:val="fr-FR"/>
              </w:rPr>
            </w:pPr>
            <w:r w:rsidRPr="00575320">
              <w:rPr>
                <w:rFonts w:eastAsia="Arial Unicode MS"/>
                <w:lang w:val="fr-FR"/>
              </w:rPr>
              <w:t xml:space="preserve">Ministère délégué auprès du </w:t>
            </w:r>
            <w:r w:rsidR="00D90654">
              <w:rPr>
                <w:rFonts w:eastAsia="Arial Unicode MS"/>
                <w:lang w:val="fr-FR"/>
              </w:rPr>
              <w:t>P</w:t>
            </w:r>
            <w:r w:rsidRPr="00575320">
              <w:rPr>
                <w:rFonts w:eastAsia="Arial Unicode MS"/>
                <w:lang w:val="fr-FR"/>
              </w:rPr>
              <w:t xml:space="preserve">remier </w:t>
            </w:r>
            <w:r w:rsidR="00D90654">
              <w:rPr>
                <w:rFonts w:eastAsia="Arial Unicode MS"/>
                <w:lang w:val="fr-FR"/>
              </w:rPr>
              <w:t>M</w:t>
            </w:r>
            <w:r w:rsidRPr="00575320">
              <w:rPr>
                <w:rFonts w:eastAsia="Arial Unicode MS"/>
                <w:lang w:val="fr-FR"/>
              </w:rPr>
              <w:t xml:space="preserve">inistre chargé de l’environnement et du développement durable </w:t>
            </w:r>
          </w:p>
          <w:p w:rsidR="00575320" w:rsidRPr="00575320" w:rsidRDefault="00575320" w:rsidP="00575320">
            <w:pPr>
              <w:pStyle w:val="Paragraphedeliste1"/>
              <w:numPr>
                <w:ilvl w:val="0"/>
                <w:numId w:val="48"/>
              </w:numPr>
              <w:ind w:left="357" w:hanging="357"/>
              <w:rPr>
                <w:rFonts w:eastAsia="Arial Unicode MS"/>
              </w:rPr>
            </w:pPr>
            <w:r w:rsidRPr="00575320">
              <w:rPr>
                <w:rFonts w:eastAsia="Arial Unicode MS"/>
              </w:rPr>
              <w:t xml:space="preserve">Ministère de la Santé </w:t>
            </w:r>
          </w:p>
          <w:p w:rsidR="00575320" w:rsidRPr="00575320" w:rsidRDefault="00575320" w:rsidP="00575320">
            <w:pPr>
              <w:pStyle w:val="Paragraphedeliste1"/>
              <w:numPr>
                <w:ilvl w:val="0"/>
                <w:numId w:val="48"/>
              </w:numPr>
              <w:ind w:left="357" w:hanging="357"/>
              <w:rPr>
                <w:rFonts w:eastAsia="Arial Unicode MS"/>
                <w:lang w:val="fr-FR"/>
              </w:rPr>
            </w:pPr>
            <w:r w:rsidRPr="00575320">
              <w:rPr>
                <w:rFonts w:eastAsia="Arial Unicode MS"/>
                <w:lang w:val="fr-FR"/>
              </w:rPr>
              <w:t xml:space="preserve">Ministère de l’hydraulique et de l’assainissement  </w:t>
            </w:r>
          </w:p>
          <w:p w:rsidR="00575320" w:rsidRPr="00575320" w:rsidRDefault="00575320" w:rsidP="00575320">
            <w:pPr>
              <w:pStyle w:val="Paragraphedeliste1"/>
              <w:numPr>
                <w:ilvl w:val="0"/>
                <w:numId w:val="48"/>
              </w:numPr>
              <w:ind w:left="357" w:hanging="357"/>
              <w:rPr>
                <w:rFonts w:eastAsia="Arial Unicode MS"/>
                <w:lang w:val="fr-FR"/>
              </w:rPr>
            </w:pPr>
            <w:r w:rsidRPr="00575320">
              <w:rPr>
                <w:rFonts w:eastAsia="Arial Unicode MS"/>
                <w:lang w:val="fr-FR"/>
              </w:rPr>
              <w:t>Ministère de la décentralisation et de l’aménagement du territoire</w:t>
            </w:r>
          </w:p>
          <w:p w:rsidR="00575320" w:rsidRDefault="00575320" w:rsidP="00575320">
            <w:pPr>
              <w:pStyle w:val="Paragraphedeliste1"/>
              <w:numPr>
                <w:ilvl w:val="0"/>
                <w:numId w:val="48"/>
              </w:numPr>
              <w:ind w:left="357" w:hanging="357"/>
              <w:rPr>
                <w:rFonts w:eastAsia="Arial Unicode MS"/>
                <w:lang w:val="fr-FR"/>
              </w:rPr>
            </w:pPr>
            <w:r w:rsidRPr="00575320">
              <w:rPr>
                <w:rFonts w:eastAsia="Arial Unicode MS"/>
                <w:lang w:val="fr-FR"/>
              </w:rPr>
              <w:t>Ministère de l’agriculture et de l’élevage</w:t>
            </w:r>
          </w:p>
          <w:p w:rsidR="00D90654" w:rsidRDefault="00D90654" w:rsidP="00D90654">
            <w:pPr>
              <w:pStyle w:val="Paragraphedeliste1"/>
              <w:numPr>
                <w:ilvl w:val="0"/>
                <w:numId w:val="48"/>
              </w:numPr>
              <w:rPr>
                <w:rFonts w:eastAsia="Arial Unicode MS"/>
                <w:lang w:val="fr-FR"/>
              </w:rPr>
            </w:pPr>
            <w:r w:rsidRPr="00575320">
              <w:rPr>
                <w:rFonts w:eastAsia="Arial Unicode MS"/>
                <w:lang w:val="fr-FR"/>
              </w:rPr>
              <w:t>Ministères de l’orientation et des affaires islamiques</w:t>
            </w:r>
          </w:p>
          <w:p w:rsidR="00D90654" w:rsidRPr="00D90654" w:rsidRDefault="00D90654" w:rsidP="00D90654">
            <w:pPr>
              <w:pStyle w:val="Paragraphedeliste1"/>
              <w:numPr>
                <w:ilvl w:val="0"/>
                <w:numId w:val="48"/>
              </w:numPr>
              <w:rPr>
                <w:rFonts w:eastAsia="Arial Unicode MS"/>
                <w:lang w:val="fr-FR"/>
              </w:rPr>
            </w:pPr>
            <w:r>
              <w:rPr>
                <w:rFonts w:eastAsia="Arial Unicode MS"/>
                <w:lang w:val="fr-FR"/>
              </w:rPr>
              <w:t>C</w:t>
            </w:r>
            <w:r w:rsidRPr="00575320">
              <w:rPr>
                <w:rFonts w:eastAsia="Arial Unicode MS"/>
                <w:lang w:val="fr-FR"/>
              </w:rPr>
              <w:t>ommune de Rosso</w:t>
            </w:r>
          </w:p>
          <w:p w:rsidR="00575320" w:rsidRPr="00575320" w:rsidRDefault="00575320" w:rsidP="00575320">
            <w:pPr>
              <w:pStyle w:val="Paragraphedeliste1"/>
              <w:numPr>
                <w:ilvl w:val="0"/>
                <w:numId w:val="48"/>
              </w:numPr>
              <w:ind w:left="357" w:hanging="357"/>
              <w:rPr>
                <w:rFonts w:eastAsia="Arial Unicode MS"/>
              </w:rPr>
            </w:pPr>
            <w:r w:rsidRPr="00575320">
              <w:rPr>
                <w:rFonts w:eastAsia="Arial Unicode MS"/>
              </w:rPr>
              <w:t>Société civile (ONGs Nationales )</w:t>
            </w:r>
          </w:p>
          <w:p w:rsidR="00575320" w:rsidRPr="00575320" w:rsidRDefault="00575320" w:rsidP="00575320">
            <w:pPr>
              <w:pStyle w:val="Paragraphedeliste1"/>
              <w:numPr>
                <w:ilvl w:val="0"/>
                <w:numId w:val="48"/>
              </w:numPr>
              <w:ind w:left="357" w:hanging="357"/>
              <w:rPr>
                <w:rFonts w:eastAsia="Arial Unicode MS"/>
              </w:rPr>
            </w:pPr>
            <w:r w:rsidRPr="00575320">
              <w:rPr>
                <w:rFonts w:eastAsia="Arial Unicode MS"/>
              </w:rPr>
              <w:t>Secteur privé ( patronat mauritanien)</w:t>
            </w:r>
          </w:p>
          <w:p w:rsidR="00575320" w:rsidRPr="00575320" w:rsidRDefault="00575320" w:rsidP="00575320">
            <w:pPr>
              <w:pStyle w:val="Paragraphedeliste1"/>
              <w:numPr>
                <w:ilvl w:val="0"/>
                <w:numId w:val="48"/>
              </w:numPr>
              <w:rPr>
                <w:rFonts w:eastAsia="Arial Unicode MS"/>
                <w:lang w:val="fr-FR"/>
              </w:rPr>
            </w:pPr>
            <w:r w:rsidRPr="00575320">
              <w:rPr>
                <w:rFonts w:eastAsia="Arial Unicode MS"/>
                <w:lang w:val="fr-FR"/>
              </w:rPr>
              <w:t>Partenaires techniques et financiers (Banque mondiale, GTZ, coopération espagnole, AFD, EU)</w:t>
            </w:r>
          </w:p>
          <w:p w:rsidR="001A2C73" w:rsidRPr="00575320" w:rsidRDefault="001A2C73" w:rsidP="00D90654">
            <w:pPr>
              <w:pStyle w:val="Paragraphedeliste1"/>
              <w:ind w:left="0"/>
              <w:rPr>
                <w:rFonts w:eastAsia="Arial Unicode MS"/>
                <w:lang w:val="fr-FR"/>
              </w:rPr>
            </w:pPr>
          </w:p>
        </w:tc>
        <w:tc>
          <w:tcPr>
            <w:tcW w:w="269" w:type="dxa"/>
            <w:tcBorders>
              <w:left w:val="single" w:sz="4" w:space="0" w:color="auto"/>
              <w:right w:val="single" w:sz="4" w:space="0" w:color="auto"/>
            </w:tcBorders>
          </w:tcPr>
          <w:p w:rsidR="00AB0274" w:rsidRPr="004D70EC" w:rsidRDefault="00AB0274" w:rsidP="00986BA5">
            <w:pPr>
              <w:pStyle w:val="Titre2"/>
              <w:rPr>
                <w:sz w:val="24"/>
                <w:lang w:val="fr-FR"/>
              </w:rPr>
            </w:pPr>
          </w:p>
        </w:tc>
        <w:tc>
          <w:tcPr>
            <w:tcW w:w="5001" w:type="dxa"/>
            <w:tcBorders>
              <w:top w:val="single" w:sz="4" w:space="0" w:color="auto"/>
              <w:left w:val="single" w:sz="4" w:space="0" w:color="auto"/>
              <w:right w:val="single" w:sz="4" w:space="0" w:color="auto"/>
            </w:tcBorders>
          </w:tcPr>
          <w:p w:rsidR="00AB0274" w:rsidRPr="00575320" w:rsidRDefault="00D25B29" w:rsidP="00986BA5">
            <w:pPr>
              <w:pStyle w:val="Titre2"/>
              <w:rPr>
                <w:i/>
                <w:sz w:val="24"/>
                <w:lang w:val="fr-FR"/>
              </w:rPr>
            </w:pPr>
            <w:bookmarkStart w:id="5" w:name="_Toc249364479"/>
            <w:r w:rsidRPr="00575320">
              <w:rPr>
                <w:i/>
                <w:sz w:val="24"/>
                <w:lang w:val="fr-FR"/>
              </w:rPr>
              <w:t xml:space="preserve">Budget du </w:t>
            </w:r>
            <w:r w:rsidR="00AB0274" w:rsidRPr="00575320">
              <w:rPr>
                <w:i/>
                <w:sz w:val="24"/>
                <w:lang w:val="fr-FR"/>
              </w:rPr>
              <w:t>Programme(</w:t>
            </w:r>
            <w:r w:rsidRPr="00575320">
              <w:rPr>
                <w:i/>
                <w:sz w:val="24"/>
                <w:lang w:val="fr-FR"/>
              </w:rPr>
              <w:t>émanant du Fonds</w:t>
            </w:r>
            <w:r w:rsidR="00AB0274" w:rsidRPr="00575320">
              <w:rPr>
                <w:i/>
                <w:sz w:val="24"/>
                <w:lang w:val="fr-FR"/>
              </w:rPr>
              <w:t>):</w:t>
            </w:r>
            <w:bookmarkEnd w:id="5"/>
          </w:p>
          <w:p w:rsidR="00D25B29" w:rsidRPr="00575320" w:rsidRDefault="00D25B29" w:rsidP="00D25B29">
            <w:r w:rsidRPr="00575320">
              <w:t xml:space="preserve">PNUD:   1 430 963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PNUE:       356 844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UNICEF:    695 382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OMS:        289 923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FAO:      1 008 409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UNESCO: 525 199 </w:t>
            </w:r>
            <w:smartTag w:uri="urn:schemas-microsoft-com:office:smarttags" w:element="country-region">
              <w:smartTag w:uri="urn:schemas-microsoft-com:office:smarttags" w:element="place">
                <w:r w:rsidRPr="00575320">
                  <w:t>US</w:t>
                </w:r>
              </w:smartTag>
            </w:smartTag>
            <w:r w:rsidRPr="00575320">
              <w:t>$</w:t>
            </w:r>
          </w:p>
          <w:p w:rsidR="00D25B29" w:rsidRPr="00575320" w:rsidRDefault="00D25B29" w:rsidP="00D25B29">
            <w:r w:rsidRPr="00575320">
              <w:t xml:space="preserve">PAM:        693 280 </w:t>
            </w:r>
            <w:smartTag w:uri="urn:schemas-microsoft-com:office:smarttags" w:element="country-region">
              <w:smartTag w:uri="urn:schemas-microsoft-com:office:smarttags" w:element="place">
                <w:r w:rsidRPr="00575320">
                  <w:t>US</w:t>
                </w:r>
              </w:smartTag>
            </w:smartTag>
            <w:r w:rsidRPr="00575320">
              <w:t>$</w:t>
            </w:r>
          </w:p>
          <w:p w:rsidR="00AB0274" w:rsidRDefault="00AB0274"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Default="00C307CF" w:rsidP="00986BA5">
            <w:pPr>
              <w:rPr>
                <w:lang w:val="fr-FR"/>
              </w:rPr>
            </w:pPr>
          </w:p>
          <w:p w:rsidR="00C307CF" w:rsidRPr="00575320" w:rsidRDefault="00C307CF" w:rsidP="00C307CF">
            <w:pPr>
              <w:rPr>
                <w:b/>
              </w:rPr>
            </w:pPr>
            <w:r w:rsidRPr="00575320">
              <w:rPr>
                <w:b/>
              </w:rPr>
              <w:t>Total: 5 000 000</w:t>
            </w:r>
            <w:r w:rsidRPr="00575320">
              <w:rPr>
                <w:b/>
              </w:rPr>
              <w:tab/>
            </w:r>
            <w:smartTag w:uri="urn:schemas-microsoft-com:office:smarttags" w:element="country-region">
              <w:smartTag w:uri="urn:schemas-microsoft-com:office:smarttags" w:element="place">
                <w:r w:rsidRPr="00575320">
                  <w:rPr>
                    <w:b/>
                  </w:rPr>
                  <w:t>US</w:t>
                </w:r>
              </w:smartTag>
            </w:smartTag>
            <w:r w:rsidRPr="00575320">
              <w:rPr>
                <w:b/>
              </w:rPr>
              <w:t>$</w:t>
            </w:r>
          </w:p>
          <w:p w:rsidR="00C307CF" w:rsidRDefault="00C307CF" w:rsidP="00986BA5">
            <w:pPr>
              <w:rPr>
                <w:lang w:val="fr-FR"/>
              </w:rPr>
            </w:pPr>
          </w:p>
          <w:p w:rsidR="00C307CF" w:rsidRPr="00575320" w:rsidRDefault="00C307CF" w:rsidP="00986BA5">
            <w:pPr>
              <w:rPr>
                <w:lang w:val="fr-FR"/>
              </w:rPr>
            </w:pPr>
          </w:p>
        </w:tc>
      </w:tr>
      <w:tr w:rsidR="00AB0274" w:rsidRPr="001A2C73" w:rsidTr="00D90654">
        <w:trPr>
          <w:trHeight w:val="290"/>
        </w:trPr>
        <w:tc>
          <w:tcPr>
            <w:tcW w:w="4850" w:type="dxa"/>
            <w:tcBorders>
              <w:left w:val="single" w:sz="4" w:space="0" w:color="auto"/>
              <w:bottom w:val="single" w:sz="4" w:space="0" w:color="auto"/>
              <w:right w:val="single" w:sz="4" w:space="0" w:color="auto"/>
            </w:tcBorders>
          </w:tcPr>
          <w:p w:rsidR="00AB0274" w:rsidRPr="004B5AAB" w:rsidRDefault="00AB0274" w:rsidP="00986BA5">
            <w:pPr>
              <w:pStyle w:val="Corpsdetexte"/>
              <w:rPr>
                <w:rFonts w:ascii="Times New Roman" w:hAnsi="Times New Roman"/>
                <w:sz w:val="24"/>
                <w:lang w:val="fr-FR"/>
              </w:rPr>
            </w:pPr>
          </w:p>
        </w:tc>
        <w:tc>
          <w:tcPr>
            <w:tcW w:w="269" w:type="dxa"/>
            <w:tcBorders>
              <w:left w:val="single" w:sz="4" w:space="0" w:color="auto"/>
              <w:right w:val="single" w:sz="4" w:space="0" w:color="auto"/>
            </w:tcBorders>
          </w:tcPr>
          <w:p w:rsidR="00AB0274" w:rsidRPr="004B5AAB" w:rsidRDefault="00AB0274" w:rsidP="00986BA5">
            <w:pPr>
              <w:pStyle w:val="Corpsdetexte"/>
              <w:rPr>
                <w:rFonts w:ascii="Times New Roman" w:hAnsi="Times New Roman"/>
                <w:sz w:val="24"/>
                <w:lang w:val="fr-FR"/>
              </w:rPr>
            </w:pPr>
          </w:p>
        </w:tc>
        <w:tc>
          <w:tcPr>
            <w:tcW w:w="5001" w:type="dxa"/>
            <w:tcBorders>
              <w:left w:val="single" w:sz="4" w:space="0" w:color="auto"/>
              <w:bottom w:val="single" w:sz="4" w:space="0" w:color="auto"/>
              <w:right w:val="single" w:sz="4" w:space="0" w:color="auto"/>
            </w:tcBorders>
          </w:tcPr>
          <w:p w:rsidR="00AB0274" w:rsidRPr="00575320" w:rsidRDefault="00AB0274" w:rsidP="00C307CF"/>
        </w:tc>
      </w:tr>
      <w:tr w:rsidR="00B84BA4" w:rsidRPr="00892409" w:rsidTr="002717AC">
        <w:tblPrEx>
          <w:tblBorders>
            <w:top w:val="single" w:sz="4" w:space="0" w:color="auto"/>
            <w:left w:val="single" w:sz="4" w:space="0" w:color="auto"/>
            <w:bottom w:val="single" w:sz="4" w:space="0" w:color="auto"/>
            <w:right w:val="single" w:sz="4" w:space="0" w:color="auto"/>
          </w:tblBorders>
        </w:tblPrEx>
        <w:trPr>
          <w:gridAfter w:val="2"/>
          <w:wAfter w:w="5270" w:type="dxa"/>
          <w:trHeight w:val="1715"/>
        </w:trPr>
        <w:tc>
          <w:tcPr>
            <w:tcW w:w="4850" w:type="dxa"/>
            <w:tcBorders>
              <w:top w:val="single" w:sz="4" w:space="0" w:color="auto"/>
              <w:left w:val="single" w:sz="4" w:space="0" w:color="auto"/>
              <w:bottom w:val="single" w:sz="4" w:space="0" w:color="auto"/>
              <w:right w:val="single" w:sz="4" w:space="0" w:color="auto"/>
            </w:tcBorders>
          </w:tcPr>
          <w:p w:rsidR="00B84BA4" w:rsidRPr="004D70EC" w:rsidRDefault="00B84BA4" w:rsidP="00B84BA4">
            <w:pPr>
              <w:rPr>
                <w:lang w:val="fr-FR"/>
              </w:rPr>
            </w:pPr>
            <w:bookmarkStart w:id="6" w:name="_Toc249364481"/>
          </w:p>
          <w:p w:rsidR="00B84BA4" w:rsidRPr="00D25B29" w:rsidRDefault="00D25B29" w:rsidP="00F7637C">
            <w:pPr>
              <w:pStyle w:val="Titre2"/>
              <w:rPr>
                <w:i/>
                <w:sz w:val="24"/>
                <w:lang w:val="fr-FR"/>
              </w:rPr>
            </w:pPr>
            <w:r w:rsidRPr="00D25B29">
              <w:rPr>
                <w:i/>
                <w:sz w:val="24"/>
                <w:lang w:val="fr-FR"/>
              </w:rPr>
              <w:t xml:space="preserve">Durée du </w:t>
            </w:r>
            <w:r w:rsidR="00B84BA4" w:rsidRPr="00D25B29">
              <w:rPr>
                <w:i/>
                <w:sz w:val="24"/>
                <w:lang w:val="fr-FR"/>
              </w:rPr>
              <w:t>Programm</w:t>
            </w:r>
            <w:r>
              <w:rPr>
                <w:i/>
                <w:sz w:val="24"/>
                <w:lang w:val="fr-FR"/>
              </w:rPr>
              <w:t>e</w:t>
            </w:r>
            <w:r w:rsidR="00B84BA4" w:rsidRPr="00D25B29">
              <w:rPr>
                <w:i/>
                <w:sz w:val="24"/>
                <w:lang w:val="fr-FR"/>
              </w:rPr>
              <w:t xml:space="preserve"> (</w:t>
            </w:r>
            <w:r w:rsidR="002717AC">
              <w:rPr>
                <w:i/>
                <w:sz w:val="24"/>
                <w:lang w:val="fr-FR"/>
              </w:rPr>
              <w:t xml:space="preserve">36 </w:t>
            </w:r>
            <w:r w:rsidRPr="00D25B29">
              <w:rPr>
                <w:i/>
                <w:sz w:val="24"/>
                <w:lang w:val="fr-FR"/>
              </w:rPr>
              <w:t>mois</w:t>
            </w:r>
            <w:r w:rsidR="00B84BA4" w:rsidRPr="00D25B29">
              <w:rPr>
                <w:i/>
                <w:sz w:val="24"/>
                <w:lang w:val="fr-FR"/>
              </w:rPr>
              <w:t>):</w:t>
            </w:r>
            <w:bookmarkEnd w:id="6"/>
          </w:p>
          <w:p w:rsidR="00B84BA4" w:rsidRPr="00D25B29" w:rsidRDefault="00D25B29" w:rsidP="00D25B29">
            <w:pPr>
              <w:rPr>
                <w:u w:val="single"/>
                <w:lang w:val="fr-FR"/>
              </w:rPr>
            </w:pPr>
            <w:r>
              <w:rPr>
                <w:u w:val="single"/>
                <w:lang w:val="fr-FR"/>
              </w:rPr>
              <w:t>Date de démarrage</w:t>
            </w:r>
            <w:r w:rsidR="00B84BA4" w:rsidRPr="00D25B29">
              <w:rPr>
                <w:u w:val="single"/>
                <w:lang w:val="fr-FR"/>
              </w:rPr>
              <w:t>:</w:t>
            </w:r>
            <w:r w:rsidRPr="00D25B29">
              <w:rPr>
                <w:u w:val="single"/>
                <w:lang w:val="fr-FR"/>
              </w:rPr>
              <w:t xml:space="preserve"> </w:t>
            </w:r>
            <w:r w:rsidRPr="00D25B29">
              <w:rPr>
                <w:lang w:val="fr-FR"/>
              </w:rPr>
              <w:t>14 a</w:t>
            </w:r>
            <w:r>
              <w:rPr>
                <w:lang w:val="fr-FR"/>
              </w:rPr>
              <w:t>oût</w:t>
            </w:r>
            <w:r w:rsidRPr="00D25B29">
              <w:rPr>
                <w:lang w:val="fr-FR"/>
              </w:rPr>
              <w:t xml:space="preserve"> 2008</w:t>
            </w:r>
          </w:p>
          <w:p w:rsidR="00B84BA4" w:rsidRPr="002717AC" w:rsidRDefault="00D25B29" w:rsidP="002717AC">
            <w:pPr>
              <w:pStyle w:val="Corpsdetexte"/>
              <w:rPr>
                <w:rFonts w:ascii="Times New Roman" w:hAnsi="Times New Roman"/>
                <w:sz w:val="24"/>
                <w:lang w:val="fr-FR"/>
              </w:rPr>
            </w:pPr>
            <w:r w:rsidRPr="002717AC">
              <w:rPr>
                <w:rFonts w:ascii="Times New Roman" w:hAnsi="Times New Roman"/>
                <w:sz w:val="24"/>
                <w:u w:val="single"/>
                <w:lang w:val="fr-FR"/>
              </w:rPr>
              <w:t>Date d’achèvement</w:t>
            </w:r>
            <w:r w:rsidR="00B84BA4" w:rsidRPr="002717AC">
              <w:rPr>
                <w:rFonts w:ascii="Times New Roman" w:hAnsi="Times New Roman"/>
                <w:sz w:val="24"/>
                <w:u w:val="single"/>
                <w:lang w:val="fr-FR"/>
              </w:rPr>
              <w:t>:</w:t>
            </w:r>
            <w:r w:rsidR="002717AC" w:rsidRPr="002717AC">
              <w:rPr>
                <w:rFonts w:ascii="Times New Roman" w:hAnsi="Times New Roman"/>
                <w:sz w:val="24"/>
                <w:u w:val="single"/>
                <w:lang w:val="fr-FR"/>
              </w:rPr>
              <w:t xml:space="preserve"> </w:t>
            </w:r>
            <w:r w:rsidR="002717AC" w:rsidRPr="002717AC">
              <w:rPr>
                <w:rFonts w:ascii="Times New Roman" w:hAnsi="Times New Roman"/>
                <w:sz w:val="24"/>
                <w:lang w:val="fr-FR"/>
              </w:rPr>
              <w:t>août 2011</w:t>
            </w:r>
          </w:p>
        </w:tc>
      </w:tr>
    </w:tbl>
    <w:p w:rsidR="00212FEB" w:rsidRDefault="00212FEB" w:rsidP="00AB0274"/>
    <w:p w:rsidR="00AB0274" w:rsidRDefault="00212FEB" w:rsidP="00AB0274">
      <w:r>
        <w:br w:type="page"/>
      </w:r>
    </w:p>
    <w:p w:rsidR="00AB0274" w:rsidRPr="00234CC4" w:rsidRDefault="004C7191"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7" w:name="_Toc249364483"/>
      <w:r>
        <w:rPr>
          <w:rFonts w:ascii="Times New Roman" w:hAnsi="Times New Roman" w:cs="Times New Roman"/>
          <w:sz w:val="24"/>
          <w:szCs w:val="24"/>
        </w:rPr>
        <w:t>Objectif</w:t>
      </w:r>
      <w:bookmarkEnd w:id="7"/>
      <w:r>
        <w:rPr>
          <w:rFonts w:ascii="Times New Roman" w:hAnsi="Times New Roman" w:cs="Times New Roman"/>
          <w:sz w:val="24"/>
          <w:szCs w:val="24"/>
        </w:rPr>
        <w:t xml:space="preserve"> </w:t>
      </w:r>
    </w:p>
    <w:p w:rsidR="004D70EC" w:rsidRDefault="004D70EC" w:rsidP="002B518E">
      <w:pPr>
        <w:pStyle w:val="Corpsdetexte"/>
        <w:jc w:val="both"/>
        <w:rPr>
          <w:rFonts w:ascii="Times New Roman" w:hAnsi="Times New Roman"/>
          <w:sz w:val="24"/>
          <w:lang w:val="fr-FR"/>
        </w:rPr>
      </w:pPr>
    </w:p>
    <w:p w:rsidR="00DE6E89" w:rsidRDefault="00E23B42" w:rsidP="002B518E">
      <w:pPr>
        <w:pStyle w:val="Corpsdetexte"/>
        <w:jc w:val="both"/>
        <w:rPr>
          <w:rFonts w:ascii="Times New Roman" w:hAnsi="Times New Roman"/>
          <w:sz w:val="24"/>
          <w:lang w:val="fr-FR"/>
        </w:rPr>
      </w:pPr>
      <w:r w:rsidRPr="00E23B42">
        <w:rPr>
          <w:rFonts w:ascii="Times New Roman" w:hAnsi="Times New Roman"/>
          <w:sz w:val="24"/>
          <w:lang w:val="fr-FR"/>
        </w:rPr>
        <w:t xml:space="preserve">Le Programme conjoint pour la Mauritanie s’articule autour de la réalisation de cas de projets dans 3 </w:t>
      </w:r>
      <w:r>
        <w:rPr>
          <w:rFonts w:ascii="Times New Roman" w:hAnsi="Times New Roman"/>
          <w:sz w:val="24"/>
          <w:lang w:val="fr-FR"/>
        </w:rPr>
        <w:t>régions</w:t>
      </w:r>
      <w:r w:rsidRPr="00E23B42">
        <w:rPr>
          <w:rFonts w:ascii="Times New Roman" w:hAnsi="Times New Roman"/>
          <w:sz w:val="24"/>
          <w:lang w:val="fr-FR"/>
        </w:rPr>
        <w:t xml:space="preserve"> prioritaires: Assaba, Trarza, Brakna, confrontées </w:t>
      </w:r>
      <w:r>
        <w:rPr>
          <w:rFonts w:ascii="Times New Roman" w:hAnsi="Times New Roman"/>
          <w:sz w:val="24"/>
          <w:lang w:val="fr-FR"/>
        </w:rPr>
        <w:t xml:space="preserve">à une dégradation similaire des ressources naturelles et dont les populations vivent dans des conditions de pauvreté et de situation sanitaire précaire. </w:t>
      </w:r>
    </w:p>
    <w:p w:rsidR="00E23B42" w:rsidRDefault="00E23B42" w:rsidP="002B518E">
      <w:pPr>
        <w:pStyle w:val="Corpsdetexte"/>
        <w:jc w:val="both"/>
        <w:rPr>
          <w:rFonts w:ascii="Times New Roman" w:hAnsi="Times New Roman"/>
          <w:sz w:val="24"/>
          <w:lang w:val="fr-FR"/>
        </w:rPr>
      </w:pPr>
    </w:p>
    <w:p w:rsidR="00E23B42" w:rsidRDefault="00E23B42" w:rsidP="002B518E">
      <w:pPr>
        <w:pStyle w:val="Corpsdetexte"/>
        <w:jc w:val="both"/>
        <w:rPr>
          <w:rFonts w:ascii="Times New Roman" w:hAnsi="Times New Roman"/>
          <w:sz w:val="24"/>
          <w:lang w:val="fr-FR"/>
        </w:rPr>
      </w:pPr>
      <w:r>
        <w:rPr>
          <w:rFonts w:ascii="Times New Roman" w:hAnsi="Times New Roman"/>
          <w:sz w:val="24"/>
          <w:lang w:val="fr-FR"/>
        </w:rPr>
        <w:t xml:space="preserve">Le programme a pour objectif de (i) promouvoir la gestion durable des ressources naturelles, l’accès à l’eau et de meilleures conditions d’assainissement et de bonnes pratiques d’hygiène à travers une approche participative des populations cibles, (ii) le renforcement des capacités nationales à pouvoir intégrer les problématiques environnementales dans les processus de planification de développement décentralisé. </w:t>
      </w:r>
    </w:p>
    <w:p w:rsidR="00E23B42" w:rsidRDefault="00E23B42" w:rsidP="002B518E">
      <w:pPr>
        <w:pStyle w:val="Corpsdetexte"/>
        <w:jc w:val="both"/>
        <w:rPr>
          <w:rFonts w:ascii="Times New Roman" w:hAnsi="Times New Roman"/>
          <w:sz w:val="24"/>
          <w:lang w:val="fr-FR"/>
        </w:rPr>
      </w:pPr>
    </w:p>
    <w:p w:rsidR="001E222D" w:rsidRDefault="00C307CF" w:rsidP="001E222D">
      <w:pPr>
        <w:pStyle w:val="Corpsdetexte"/>
        <w:jc w:val="both"/>
        <w:rPr>
          <w:rFonts w:ascii="Times New Roman" w:hAnsi="Times New Roman"/>
          <w:sz w:val="24"/>
          <w:lang w:val="fr-FR"/>
        </w:rPr>
      </w:pPr>
      <w:r>
        <w:rPr>
          <w:rFonts w:ascii="Times New Roman" w:hAnsi="Times New Roman"/>
          <w:sz w:val="24"/>
          <w:lang w:val="fr-FR"/>
        </w:rPr>
        <w:t xml:space="preserve">Il s’inscrit dans le cadre des </w:t>
      </w:r>
      <w:r w:rsidR="001E222D">
        <w:rPr>
          <w:rFonts w:ascii="Times New Roman" w:hAnsi="Times New Roman"/>
          <w:sz w:val="24"/>
          <w:lang w:val="fr-FR"/>
        </w:rPr>
        <w:t>priorités</w:t>
      </w:r>
      <w:r>
        <w:rPr>
          <w:rFonts w:ascii="Times New Roman" w:hAnsi="Times New Roman"/>
          <w:sz w:val="24"/>
          <w:lang w:val="fr-FR"/>
        </w:rPr>
        <w:t xml:space="preserve"> de l’UNDAF </w:t>
      </w:r>
      <w:r w:rsidR="001E222D">
        <w:rPr>
          <w:rFonts w:ascii="Times New Roman" w:hAnsi="Times New Roman"/>
          <w:sz w:val="24"/>
          <w:lang w:val="fr-FR"/>
        </w:rPr>
        <w:t xml:space="preserve">2009-2010 </w:t>
      </w:r>
      <w:r>
        <w:rPr>
          <w:rFonts w:ascii="Times New Roman" w:hAnsi="Times New Roman"/>
          <w:sz w:val="24"/>
          <w:lang w:val="fr-FR"/>
        </w:rPr>
        <w:t>alignées sur les or</w:t>
      </w:r>
      <w:r w:rsidR="001E222D">
        <w:rPr>
          <w:rFonts w:ascii="Times New Roman" w:hAnsi="Times New Roman"/>
          <w:sz w:val="24"/>
          <w:lang w:val="fr-FR"/>
        </w:rPr>
        <w:t>ient</w:t>
      </w:r>
      <w:r>
        <w:rPr>
          <w:rFonts w:ascii="Times New Roman" w:hAnsi="Times New Roman"/>
          <w:sz w:val="24"/>
          <w:lang w:val="fr-FR"/>
        </w:rPr>
        <w:t xml:space="preserve">ations nationales globales et </w:t>
      </w:r>
      <w:r w:rsidR="001E222D">
        <w:rPr>
          <w:rFonts w:ascii="Times New Roman" w:hAnsi="Times New Roman"/>
          <w:sz w:val="24"/>
          <w:lang w:val="fr-FR"/>
        </w:rPr>
        <w:t>sectorielles</w:t>
      </w:r>
      <w:r>
        <w:rPr>
          <w:rFonts w:ascii="Times New Roman" w:hAnsi="Times New Roman"/>
          <w:sz w:val="24"/>
          <w:lang w:val="fr-FR"/>
        </w:rPr>
        <w:t xml:space="preserve">, notamment le Cadre </w:t>
      </w:r>
      <w:r w:rsidR="001E222D">
        <w:rPr>
          <w:rFonts w:ascii="Times New Roman" w:hAnsi="Times New Roman"/>
          <w:sz w:val="24"/>
          <w:lang w:val="fr-FR"/>
        </w:rPr>
        <w:t>stratégique</w:t>
      </w:r>
      <w:r>
        <w:rPr>
          <w:rFonts w:ascii="Times New Roman" w:hAnsi="Times New Roman"/>
          <w:sz w:val="24"/>
          <w:lang w:val="fr-FR"/>
        </w:rPr>
        <w:t xml:space="preserve"> de Lutte contre la Pauvreté (CSLP, adopté en 2001 et dont le 2</w:t>
      </w:r>
      <w:r w:rsidRPr="00C307CF">
        <w:rPr>
          <w:rFonts w:ascii="Times New Roman" w:hAnsi="Times New Roman"/>
          <w:sz w:val="24"/>
          <w:vertAlign w:val="superscript"/>
          <w:lang w:val="fr-FR"/>
        </w:rPr>
        <w:t>ème</w:t>
      </w:r>
      <w:r>
        <w:rPr>
          <w:rFonts w:ascii="Times New Roman" w:hAnsi="Times New Roman"/>
          <w:sz w:val="24"/>
          <w:lang w:val="fr-FR"/>
        </w:rPr>
        <w:t xml:space="preserve"> plan d’action couvre la</w:t>
      </w:r>
      <w:r w:rsidR="001E222D">
        <w:rPr>
          <w:rFonts w:ascii="Times New Roman" w:hAnsi="Times New Roman"/>
          <w:sz w:val="24"/>
          <w:lang w:val="fr-FR"/>
        </w:rPr>
        <w:t xml:space="preserve"> </w:t>
      </w:r>
      <w:r>
        <w:rPr>
          <w:rFonts w:ascii="Times New Roman" w:hAnsi="Times New Roman"/>
          <w:sz w:val="24"/>
          <w:lang w:val="fr-FR"/>
        </w:rPr>
        <w:t xml:space="preserve">période 2006-2010), </w:t>
      </w:r>
      <w:r w:rsidR="001E222D">
        <w:rPr>
          <w:rFonts w:ascii="Times New Roman" w:hAnsi="Times New Roman"/>
          <w:sz w:val="24"/>
          <w:lang w:val="fr-FR"/>
        </w:rPr>
        <w:t xml:space="preserve">le PANE et le Plan d’action national de lutte contre la désertification, adoptés par le gouvernement mauritanien en 2006. </w:t>
      </w:r>
    </w:p>
    <w:p w:rsidR="001E222D" w:rsidRDefault="001E222D" w:rsidP="001E222D">
      <w:pPr>
        <w:pStyle w:val="Corpsdetexte"/>
        <w:jc w:val="both"/>
        <w:rPr>
          <w:rFonts w:ascii="Times New Roman" w:hAnsi="Times New Roman"/>
          <w:sz w:val="24"/>
          <w:lang w:val="fr-FR"/>
        </w:rPr>
      </w:pPr>
    </w:p>
    <w:p w:rsidR="001E222D" w:rsidRDefault="001E222D" w:rsidP="002B518E">
      <w:pPr>
        <w:pStyle w:val="Corpsdetexte"/>
        <w:jc w:val="both"/>
        <w:rPr>
          <w:rFonts w:ascii="Times New Roman" w:hAnsi="Times New Roman"/>
          <w:sz w:val="24"/>
          <w:lang w:val="fr-FR"/>
        </w:rPr>
      </w:pPr>
      <w:r>
        <w:rPr>
          <w:rFonts w:ascii="Times New Roman" w:hAnsi="Times New Roman"/>
          <w:sz w:val="24"/>
          <w:lang w:val="fr-FR"/>
        </w:rPr>
        <w:t xml:space="preserve">Le programmé bénéficie </w:t>
      </w:r>
      <w:r w:rsidR="00C307CF">
        <w:rPr>
          <w:rFonts w:ascii="Times New Roman" w:hAnsi="Times New Roman"/>
          <w:sz w:val="24"/>
          <w:lang w:val="fr-FR"/>
        </w:rPr>
        <w:t>de l’</w:t>
      </w:r>
      <w:r>
        <w:rPr>
          <w:rFonts w:ascii="Times New Roman" w:hAnsi="Times New Roman"/>
          <w:sz w:val="24"/>
          <w:lang w:val="fr-FR"/>
        </w:rPr>
        <w:t>expérience</w:t>
      </w:r>
      <w:r w:rsidR="00C307CF">
        <w:rPr>
          <w:rFonts w:ascii="Times New Roman" w:hAnsi="Times New Roman"/>
          <w:sz w:val="24"/>
          <w:lang w:val="fr-FR"/>
        </w:rPr>
        <w:t xml:space="preserve"> du SNU en matière de mise en œuvre d’</w:t>
      </w:r>
      <w:r>
        <w:rPr>
          <w:rFonts w:ascii="Times New Roman" w:hAnsi="Times New Roman"/>
          <w:sz w:val="24"/>
          <w:lang w:val="fr-FR"/>
        </w:rPr>
        <w:t>initiatives</w:t>
      </w:r>
      <w:r w:rsidR="00C307CF">
        <w:rPr>
          <w:rFonts w:ascii="Times New Roman" w:hAnsi="Times New Roman"/>
          <w:sz w:val="24"/>
          <w:lang w:val="fr-FR"/>
        </w:rPr>
        <w:t xml:space="preserve"> communes, </w:t>
      </w:r>
      <w:r>
        <w:rPr>
          <w:rFonts w:ascii="Times New Roman" w:hAnsi="Times New Roman"/>
          <w:sz w:val="24"/>
          <w:lang w:val="fr-FR"/>
        </w:rPr>
        <w:t>et s’appuie également sur la dynamique de régionalisation de l’UNDAF en Mauritanie, et de suivi et de réalisation des OMD au niveau décentralisé, initié par le SNU dans les Wilayas de l’Assaba, du Brakna et du Trarza. Cette dynamique, qui accompagne la régionalisation du CSLP, s’est notamment concrétisée par l’élaboration d’un plan d’action conjoint et d’un plan de suivi-évaluation intégré pour les interventions du SNU dans ces régions. Par ailleurs, dans le cadre de la décentralisation, le Gouvernement mauritanien a mis en place des Cellules de planification et de Suivi-Evaluation du Ministère des Affaires Economiques et du Développement en Assaba et au Brakna.</w:t>
      </w:r>
    </w:p>
    <w:p w:rsidR="001E222D" w:rsidRDefault="001E222D" w:rsidP="002B518E">
      <w:pPr>
        <w:pStyle w:val="Corpsdetexte"/>
        <w:jc w:val="both"/>
        <w:rPr>
          <w:rFonts w:ascii="Times New Roman" w:hAnsi="Times New Roman"/>
          <w:sz w:val="24"/>
          <w:lang w:val="fr-FR"/>
        </w:rPr>
      </w:pPr>
    </w:p>
    <w:p w:rsidR="00AB0274" w:rsidRPr="00B32E35" w:rsidRDefault="00AB0274"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8" w:name="_Toc249364484"/>
      <w:r w:rsidRPr="00B32E35">
        <w:rPr>
          <w:rFonts w:ascii="Times New Roman" w:hAnsi="Times New Roman" w:cs="Times New Roman"/>
          <w:sz w:val="24"/>
          <w:szCs w:val="24"/>
        </w:rPr>
        <w:t>Re</w:t>
      </w:r>
      <w:r w:rsidR="004C7191">
        <w:rPr>
          <w:rFonts w:ascii="Times New Roman" w:hAnsi="Times New Roman" w:cs="Times New Roman"/>
          <w:sz w:val="24"/>
          <w:szCs w:val="24"/>
        </w:rPr>
        <w:t>s</w:t>
      </w:r>
      <w:r w:rsidRPr="00B32E35">
        <w:rPr>
          <w:rFonts w:ascii="Times New Roman" w:hAnsi="Times New Roman" w:cs="Times New Roman"/>
          <w:sz w:val="24"/>
          <w:szCs w:val="24"/>
        </w:rPr>
        <w:t>sources</w:t>
      </w:r>
      <w:bookmarkEnd w:id="8"/>
      <w:r w:rsidRPr="00B32E35">
        <w:rPr>
          <w:rFonts w:ascii="Times New Roman" w:hAnsi="Times New Roman" w:cs="Times New Roman"/>
          <w:sz w:val="24"/>
          <w:szCs w:val="24"/>
        </w:rPr>
        <w:t xml:space="preserve"> </w:t>
      </w:r>
    </w:p>
    <w:p w:rsidR="00AB0274" w:rsidRDefault="00AB0274" w:rsidP="00621EDA">
      <w:pPr>
        <w:pStyle w:val="Corpsdetexte"/>
        <w:rPr>
          <w:rFonts w:ascii="Times New Roman" w:hAnsi="Times New Roman"/>
          <w:sz w:val="24"/>
        </w:rPr>
      </w:pPr>
    </w:p>
    <w:p w:rsidR="0064197D" w:rsidRDefault="0064197D" w:rsidP="0064197D">
      <w:pPr>
        <w:jc w:val="both"/>
        <w:rPr>
          <w:lang w:val="fr-FR"/>
        </w:rPr>
      </w:pPr>
      <w:r>
        <w:rPr>
          <w:rFonts w:eastAsia="MS Mincho"/>
          <w:lang w:val="fr-FR"/>
        </w:rPr>
        <w:t>Le budget global du programme, sur les trois années, s’établit à 5 millions dollars US, pourvus par les 7 Agences et Fonds participants (</w:t>
      </w:r>
      <w:r w:rsidRPr="0064197D">
        <w:rPr>
          <w:lang w:val="fr-FR"/>
        </w:rPr>
        <w:t>PNUD, PNUE, UNICEF, OMS, FAO, UNESCO et PAM).</w:t>
      </w:r>
      <w:r>
        <w:rPr>
          <w:lang w:val="fr-FR"/>
        </w:rPr>
        <w:t xml:space="preserve"> </w:t>
      </w:r>
    </w:p>
    <w:p w:rsidR="0064197D" w:rsidRDefault="0064197D" w:rsidP="00B73507">
      <w:pPr>
        <w:jc w:val="both"/>
        <w:rPr>
          <w:rFonts w:eastAsia="MS Mincho"/>
          <w:lang w:val="fr-FR"/>
        </w:rPr>
      </w:pPr>
    </w:p>
    <w:p w:rsidR="00B73507" w:rsidRDefault="00B73507" w:rsidP="00B73507">
      <w:pPr>
        <w:jc w:val="both"/>
        <w:rPr>
          <w:rFonts w:eastAsia="MS Mincho"/>
          <w:lang w:val="fr-FR"/>
        </w:rPr>
      </w:pPr>
      <w:r>
        <w:rPr>
          <w:rFonts w:eastAsia="MS Mincho"/>
          <w:lang w:val="fr-FR"/>
        </w:rPr>
        <w:t>Un r</w:t>
      </w:r>
      <w:r w:rsidRPr="00B73507">
        <w:rPr>
          <w:rFonts w:eastAsia="MS Mincho"/>
          <w:lang w:val="fr-FR"/>
        </w:rPr>
        <w:t xml:space="preserve">etard considérable </w:t>
      </w:r>
      <w:r>
        <w:rPr>
          <w:rFonts w:eastAsia="MS Mincho"/>
          <w:lang w:val="fr-FR"/>
        </w:rPr>
        <w:t xml:space="preserve">a été relevé dans </w:t>
      </w:r>
      <w:r w:rsidRPr="00B73507">
        <w:rPr>
          <w:rFonts w:eastAsia="MS Mincho"/>
          <w:lang w:val="fr-FR"/>
        </w:rPr>
        <w:t xml:space="preserve">la mobilisation des fonds (difficultés rencontrées par l’équipe pour l’élaboration de la requête de l’année 2), dans l’acquisition du matériel et </w:t>
      </w:r>
      <w:r w:rsidR="00AC1168">
        <w:rPr>
          <w:rFonts w:eastAsia="MS Mincho"/>
          <w:lang w:val="fr-FR"/>
        </w:rPr>
        <w:t>de l’</w:t>
      </w:r>
      <w:r w:rsidRPr="00B73507">
        <w:rPr>
          <w:rFonts w:eastAsia="MS Mincho"/>
          <w:lang w:val="fr-FR"/>
        </w:rPr>
        <w:t xml:space="preserve">équipement. </w:t>
      </w:r>
    </w:p>
    <w:p w:rsidR="00B73507" w:rsidRDefault="00B73507" w:rsidP="00B73507">
      <w:pPr>
        <w:jc w:val="both"/>
        <w:rPr>
          <w:rFonts w:eastAsia="MS Mincho"/>
          <w:lang w:val="fr-FR"/>
        </w:rPr>
      </w:pPr>
    </w:p>
    <w:p w:rsidR="00B73507" w:rsidRPr="00B73507" w:rsidRDefault="00AC1168" w:rsidP="00B73507">
      <w:pPr>
        <w:jc w:val="both"/>
        <w:rPr>
          <w:rFonts w:eastAsia="MS Mincho"/>
          <w:lang w:val="fr-FR"/>
        </w:rPr>
      </w:pPr>
      <w:r w:rsidRPr="00AC1168">
        <w:rPr>
          <w:rFonts w:eastAsia="MS Mincho"/>
          <w:lang w:val="fr-FR"/>
        </w:rPr>
        <w:t>A jour, il est également constaté que l</w:t>
      </w:r>
      <w:r w:rsidR="00B73507" w:rsidRPr="00AC1168">
        <w:rPr>
          <w:rFonts w:eastAsia="MS Mincho"/>
          <w:lang w:val="fr-FR"/>
        </w:rPr>
        <w:t>e décaissement groupé, conditionné par le delivery et la soumission des justificatifs, compromet la poursuite des activités au niveau des agences.</w:t>
      </w:r>
      <w:r w:rsidR="00B73507" w:rsidRPr="00B73507">
        <w:rPr>
          <w:rFonts w:eastAsia="MS Mincho"/>
          <w:lang w:val="fr-FR"/>
        </w:rPr>
        <w:t xml:space="preserve"> </w:t>
      </w:r>
    </w:p>
    <w:p w:rsidR="00B73507" w:rsidRDefault="00B73507" w:rsidP="00B73507">
      <w:pPr>
        <w:jc w:val="both"/>
        <w:rPr>
          <w:rFonts w:eastAsia="MS Mincho"/>
          <w:lang w:val="fr-FR"/>
        </w:rPr>
      </w:pPr>
    </w:p>
    <w:p w:rsidR="00B73507" w:rsidRPr="00B73507" w:rsidRDefault="00AC1168" w:rsidP="00B73507">
      <w:pPr>
        <w:jc w:val="both"/>
        <w:rPr>
          <w:rFonts w:eastAsia="MS Mincho"/>
          <w:lang w:val="fr-FR"/>
        </w:rPr>
      </w:pPr>
      <w:r>
        <w:rPr>
          <w:rFonts w:eastAsia="MS Mincho"/>
          <w:lang w:val="fr-FR"/>
        </w:rPr>
        <w:t>En outre, l</w:t>
      </w:r>
      <w:r w:rsidR="00B73507" w:rsidRPr="00B73507">
        <w:rPr>
          <w:rFonts w:eastAsia="MS Mincho"/>
          <w:lang w:val="fr-FR"/>
        </w:rPr>
        <w:t xml:space="preserve">es rôles et </w:t>
      </w:r>
      <w:r>
        <w:rPr>
          <w:rFonts w:eastAsia="MS Mincho"/>
          <w:lang w:val="fr-FR"/>
        </w:rPr>
        <w:t xml:space="preserve">les </w:t>
      </w:r>
      <w:r w:rsidR="00B73507" w:rsidRPr="00B73507">
        <w:rPr>
          <w:rFonts w:eastAsia="MS Mincho"/>
          <w:lang w:val="fr-FR"/>
        </w:rPr>
        <w:t xml:space="preserve">responsabilités du comité de gestion dans la mise en œuvre du programme ne sont pas tout à fait clairs. </w:t>
      </w:r>
    </w:p>
    <w:p w:rsidR="00CE618A" w:rsidRPr="00B73507" w:rsidRDefault="00CE618A" w:rsidP="004D70EC">
      <w:pPr>
        <w:pStyle w:val="Corpsdetexte"/>
        <w:rPr>
          <w:rFonts w:ascii="Times New Roman" w:hAnsi="Times New Roman"/>
          <w:sz w:val="24"/>
          <w:lang w:val="fr-FR"/>
        </w:rPr>
      </w:pPr>
    </w:p>
    <w:p w:rsidR="00C701B5" w:rsidRDefault="004D70EC" w:rsidP="002717AC">
      <w:pPr>
        <w:pStyle w:val="Paragraphedeliste1"/>
        <w:ind w:left="0"/>
        <w:jc w:val="both"/>
        <w:rPr>
          <w:lang w:val="fr-FR"/>
        </w:rPr>
      </w:pPr>
      <w:r>
        <w:rPr>
          <w:lang w:val="fr-FR"/>
        </w:rPr>
        <w:t>En ce qui concerne les ressources humaines, i</w:t>
      </w:r>
      <w:r w:rsidR="002717AC" w:rsidRPr="002717AC">
        <w:rPr>
          <w:lang w:val="fr-FR"/>
        </w:rPr>
        <w:t xml:space="preserve">l n’existe pas d’unité de gestion du programme conformément aux souhaits du Ministère des Affaires Economiques et du Développement. </w:t>
      </w:r>
    </w:p>
    <w:p w:rsidR="00C701B5" w:rsidRDefault="00C701B5" w:rsidP="002717AC">
      <w:pPr>
        <w:pStyle w:val="Paragraphedeliste1"/>
        <w:ind w:left="0"/>
        <w:jc w:val="both"/>
        <w:rPr>
          <w:lang w:val="fr-FR"/>
        </w:rPr>
      </w:pPr>
    </w:p>
    <w:p w:rsidR="00C701B5" w:rsidRPr="0064197D" w:rsidRDefault="00C701B5" w:rsidP="002717AC">
      <w:pPr>
        <w:pStyle w:val="Paragraphedeliste1"/>
        <w:ind w:left="0"/>
        <w:jc w:val="both"/>
        <w:rPr>
          <w:lang w:val="fr-FR"/>
        </w:rPr>
      </w:pPr>
      <w:r w:rsidRPr="0064197D">
        <w:rPr>
          <w:lang w:val="fr-FR"/>
        </w:rPr>
        <w:t>Un E</w:t>
      </w:r>
      <w:r w:rsidR="002717AC" w:rsidRPr="0064197D">
        <w:rPr>
          <w:lang w:val="fr-FR"/>
        </w:rPr>
        <w:t xml:space="preserve">xpert </w:t>
      </w:r>
      <w:r w:rsidR="00CE618A" w:rsidRPr="0064197D">
        <w:rPr>
          <w:lang w:val="fr-FR"/>
        </w:rPr>
        <w:t xml:space="preserve">national </w:t>
      </w:r>
      <w:r w:rsidR="002717AC" w:rsidRPr="0064197D">
        <w:rPr>
          <w:lang w:val="fr-FR"/>
        </w:rPr>
        <w:t xml:space="preserve">en suivi-évaluation </w:t>
      </w:r>
      <w:r w:rsidRPr="0064197D">
        <w:rPr>
          <w:lang w:val="fr-FR"/>
        </w:rPr>
        <w:t xml:space="preserve">a été </w:t>
      </w:r>
      <w:r w:rsidR="002717AC" w:rsidRPr="0064197D">
        <w:rPr>
          <w:lang w:val="fr-FR"/>
        </w:rPr>
        <w:t>recruté par l’agence chef de file en appui au comité de gestion du programme</w:t>
      </w:r>
      <w:r w:rsidRPr="0064197D">
        <w:rPr>
          <w:lang w:val="fr-FR"/>
        </w:rPr>
        <w:t xml:space="preserve"> en </w:t>
      </w:r>
      <w:r w:rsidR="00B73507" w:rsidRPr="0064197D">
        <w:rPr>
          <w:lang w:val="fr-FR"/>
        </w:rPr>
        <w:t xml:space="preserve">juillet </w:t>
      </w:r>
      <w:r w:rsidRPr="0064197D">
        <w:rPr>
          <w:lang w:val="fr-FR"/>
        </w:rPr>
        <w:t xml:space="preserve">2009, mais </w:t>
      </w:r>
      <w:r w:rsidR="0064197D">
        <w:rPr>
          <w:lang w:val="fr-FR"/>
        </w:rPr>
        <w:t xml:space="preserve">il </w:t>
      </w:r>
      <w:r w:rsidRPr="0064197D">
        <w:rPr>
          <w:lang w:val="fr-FR"/>
        </w:rPr>
        <w:t xml:space="preserve">a dû quitter ses fonctions pour convenances personnelles </w:t>
      </w:r>
      <w:r w:rsidR="00B73507" w:rsidRPr="0064197D">
        <w:rPr>
          <w:lang w:val="fr-FR"/>
        </w:rPr>
        <w:t>cinq</w:t>
      </w:r>
      <w:r w:rsidRPr="0064197D">
        <w:rPr>
          <w:lang w:val="fr-FR"/>
        </w:rPr>
        <w:t xml:space="preserve"> mois plus tard. Le poste est en phase d’être pourvu.</w:t>
      </w:r>
    </w:p>
    <w:p w:rsidR="00B73507" w:rsidRPr="0064197D" w:rsidRDefault="00B73507" w:rsidP="00B73507">
      <w:pPr>
        <w:jc w:val="both"/>
        <w:rPr>
          <w:rFonts w:eastAsia="MS Mincho"/>
          <w:lang w:val="fr-FR"/>
        </w:rPr>
      </w:pPr>
    </w:p>
    <w:p w:rsidR="00C701B5" w:rsidRDefault="00CE618A" w:rsidP="002717AC">
      <w:pPr>
        <w:pStyle w:val="Paragraphedeliste1"/>
        <w:ind w:left="0"/>
        <w:jc w:val="both"/>
        <w:rPr>
          <w:lang w:val="fr-FR"/>
        </w:rPr>
      </w:pPr>
      <w:r w:rsidRPr="0064197D">
        <w:rPr>
          <w:lang w:val="fr-FR"/>
        </w:rPr>
        <w:t xml:space="preserve">Le MDG-Fund dispose d’une staff </w:t>
      </w:r>
      <w:r w:rsidR="0064197D" w:rsidRPr="0064197D">
        <w:rPr>
          <w:lang w:val="fr-FR"/>
        </w:rPr>
        <w:t>international</w:t>
      </w:r>
      <w:r w:rsidRPr="0064197D">
        <w:rPr>
          <w:lang w:val="fr-FR"/>
        </w:rPr>
        <w:t xml:space="preserve"> en la </w:t>
      </w:r>
      <w:r w:rsidR="0064197D" w:rsidRPr="0064197D">
        <w:rPr>
          <w:lang w:val="fr-FR"/>
        </w:rPr>
        <w:t>personne</w:t>
      </w:r>
      <w:r w:rsidRPr="0064197D">
        <w:rPr>
          <w:lang w:val="fr-FR"/>
        </w:rPr>
        <w:t xml:space="preserve"> du Coordonnateur, </w:t>
      </w:r>
      <w:r w:rsidRPr="004D70EC">
        <w:rPr>
          <w:lang w:val="fr-FR"/>
        </w:rPr>
        <w:t>recruté en novembre 2009.</w:t>
      </w:r>
      <w:r w:rsidR="004D70EC">
        <w:rPr>
          <w:lang w:val="fr-FR"/>
        </w:rPr>
        <w:t xml:space="preserve"> </w:t>
      </w:r>
    </w:p>
    <w:p w:rsidR="00CE618A" w:rsidRDefault="00CE618A" w:rsidP="002717AC">
      <w:pPr>
        <w:pStyle w:val="Paragraphedeliste1"/>
        <w:ind w:left="0"/>
        <w:jc w:val="both"/>
        <w:rPr>
          <w:lang w:val="fr-FR"/>
        </w:rPr>
      </w:pPr>
    </w:p>
    <w:p w:rsidR="00AB0274" w:rsidRPr="00B32E35" w:rsidRDefault="00AB0274"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9" w:name="_Toc249364485"/>
      <w:r w:rsidRPr="00B32E35">
        <w:rPr>
          <w:rFonts w:ascii="Times New Roman" w:hAnsi="Times New Roman" w:cs="Times New Roman"/>
          <w:sz w:val="24"/>
          <w:szCs w:val="24"/>
        </w:rPr>
        <w:t>Arrangements</w:t>
      </w:r>
      <w:bookmarkEnd w:id="9"/>
      <w:r w:rsidR="004C7191">
        <w:rPr>
          <w:rFonts w:ascii="Times New Roman" w:hAnsi="Times New Roman" w:cs="Times New Roman"/>
          <w:sz w:val="24"/>
          <w:szCs w:val="24"/>
        </w:rPr>
        <w:t xml:space="preserve"> de gestion </w:t>
      </w:r>
    </w:p>
    <w:p w:rsidR="00AB0274" w:rsidRPr="00FD4AB4" w:rsidRDefault="00AB0274" w:rsidP="00FD4AB4">
      <w:pPr>
        <w:pStyle w:val="Corpsdetexte"/>
        <w:jc w:val="both"/>
        <w:rPr>
          <w:rFonts w:ascii="Times New Roman" w:hAnsi="Times New Roman"/>
          <w:sz w:val="24"/>
        </w:rPr>
      </w:pPr>
    </w:p>
    <w:p w:rsidR="00FD4AB4" w:rsidRDefault="00FD4AB4" w:rsidP="00FD4AB4">
      <w:pPr>
        <w:pStyle w:val="Corpsdetexte"/>
        <w:jc w:val="both"/>
        <w:rPr>
          <w:rFonts w:ascii="Times New Roman" w:hAnsi="Times New Roman"/>
          <w:sz w:val="24"/>
          <w:lang w:val="fr-FR"/>
        </w:rPr>
      </w:pPr>
      <w:r>
        <w:rPr>
          <w:rFonts w:ascii="Times New Roman" w:hAnsi="Times New Roman"/>
          <w:sz w:val="24"/>
          <w:lang w:val="fr-FR"/>
        </w:rPr>
        <w:t xml:space="preserve">Le programme est exécuté sous la responsabilité du Coordonnateur Résident du SNU qui supervise en continu les aspects programmatiques des activités du fonds co-préside les réunions régulières du Comité Directeur. La </w:t>
      </w:r>
      <w:r w:rsidR="00C45C7D">
        <w:rPr>
          <w:rFonts w:ascii="Times New Roman" w:hAnsi="Times New Roman"/>
          <w:sz w:val="24"/>
          <w:lang w:val="fr-FR"/>
        </w:rPr>
        <w:t>coordination</w:t>
      </w:r>
      <w:r>
        <w:rPr>
          <w:rFonts w:ascii="Times New Roman" w:hAnsi="Times New Roman"/>
          <w:sz w:val="24"/>
          <w:lang w:val="fr-FR"/>
        </w:rPr>
        <w:t xml:space="preserve"> stratégique du programme est assurée par le Comité directeur national (CDN) qui est responsable de </w:t>
      </w:r>
      <w:r w:rsidR="00C45C7D">
        <w:rPr>
          <w:rFonts w:ascii="Times New Roman" w:hAnsi="Times New Roman"/>
          <w:sz w:val="24"/>
          <w:lang w:val="fr-FR"/>
        </w:rPr>
        <w:t xml:space="preserve">la supervision du programme conjoint. La coordination opérationnelle du programme conjoint est confiée à un comité de gestion du programme (CGP). </w:t>
      </w:r>
    </w:p>
    <w:p w:rsidR="00FD4AB4" w:rsidRDefault="00FD4AB4" w:rsidP="00FD4AB4">
      <w:pPr>
        <w:pStyle w:val="Corpsdetexte"/>
        <w:jc w:val="both"/>
        <w:rPr>
          <w:rFonts w:ascii="Times New Roman" w:hAnsi="Times New Roman"/>
          <w:sz w:val="24"/>
          <w:lang w:val="fr-FR"/>
        </w:rPr>
      </w:pPr>
    </w:p>
    <w:p w:rsidR="00C45C7D" w:rsidRDefault="00C45C7D" w:rsidP="00FD4AB4">
      <w:pPr>
        <w:pStyle w:val="Corpsdetexte"/>
        <w:jc w:val="both"/>
        <w:rPr>
          <w:rFonts w:ascii="Times New Roman" w:hAnsi="Times New Roman"/>
          <w:sz w:val="24"/>
          <w:lang w:val="fr-FR"/>
        </w:rPr>
      </w:pPr>
      <w:r w:rsidRPr="00C45C7D">
        <w:rPr>
          <w:rFonts w:ascii="Times New Roman" w:hAnsi="Times New Roman"/>
          <w:sz w:val="24"/>
          <w:lang w:val="fr-FR"/>
        </w:rPr>
        <w:t>L</w:t>
      </w:r>
      <w:r>
        <w:rPr>
          <w:rFonts w:ascii="Times New Roman" w:hAnsi="Times New Roman"/>
          <w:sz w:val="24"/>
          <w:lang w:val="fr-FR"/>
        </w:rPr>
        <w:t>a</w:t>
      </w:r>
      <w:r w:rsidRPr="00C45C7D">
        <w:rPr>
          <w:rFonts w:ascii="Times New Roman" w:hAnsi="Times New Roman"/>
          <w:sz w:val="24"/>
          <w:lang w:val="fr-FR"/>
        </w:rPr>
        <w:t xml:space="preserve"> modalité</w:t>
      </w:r>
      <w:r>
        <w:rPr>
          <w:rFonts w:ascii="Times New Roman" w:hAnsi="Times New Roman"/>
          <w:sz w:val="24"/>
          <w:lang w:val="fr-FR"/>
        </w:rPr>
        <w:t xml:space="preserve"> de gestion financière applicable est celle de la gestion canalisée des fonds, conformément aux directives de gestion opérationnelles du Fonds OMD. Le PNUD agit en qualité d’agent administratif du programme conjoint (AA), la responsabilité de cette fonction relevant du Multi Donor Trust Fund (MDTF) Office du PNUD. Toutefois, certaines taches liées au rôle d’agent administratif sont réalisées par le Représentant Résident du PNUD au niveau pays sur délégation explicite du Coordonnateur exécutif du MDGTF Office. </w:t>
      </w:r>
    </w:p>
    <w:p w:rsidR="00C45C7D" w:rsidRDefault="00C45C7D" w:rsidP="00FD4AB4">
      <w:pPr>
        <w:pStyle w:val="Corpsdetexte"/>
        <w:jc w:val="both"/>
        <w:rPr>
          <w:rFonts w:ascii="Times New Roman" w:hAnsi="Times New Roman"/>
          <w:sz w:val="24"/>
          <w:lang w:val="fr-FR"/>
        </w:rPr>
      </w:pPr>
    </w:p>
    <w:p w:rsidR="00D03AE3" w:rsidRPr="00FD4AB4" w:rsidRDefault="00E23B42" w:rsidP="00FD4AB4">
      <w:pPr>
        <w:pStyle w:val="Corpsdetexte"/>
        <w:jc w:val="both"/>
        <w:rPr>
          <w:rFonts w:ascii="Times New Roman" w:hAnsi="Times New Roman"/>
          <w:sz w:val="24"/>
          <w:lang w:val="fr-FR"/>
        </w:rPr>
      </w:pPr>
      <w:r w:rsidRPr="00FD4AB4">
        <w:rPr>
          <w:rFonts w:ascii="Times New Roman" w:hAnsi="Times New Roman"/>
          <w:sz w:val="24"/>
          <w:lang w:val="fr-FR"/>
        </w:rPr>
        <w:t xml:space="preserve">Pour mesurer les </w:t>
      </w:r>
      <w:r w:rsidR="00FD4AB4" w:rsidRPr="00FD4AB4">
        <w:rPr>
          <w:rFonts w:ascii="Times New Roman" w:hAnsi="Times New Roman"/>
          <w:sz w:val="24"/>
          <w:lang w:val="fr-FR"/>
        </w:rPr>
        <w:t>effets</w:t>
      </w:r>
      <w:r w:rsidRPr="00FD4AB4">
        <w:rPr>
          <w:rFonts w:ascii="Times New Roman" w:hAnsi="Times New Roman"/>
          <w:sz w:val="24"/>
          <w:lang w:val="fr-FR"/>
        </w:rPr>
        <w:t xml:space="preserve"> du programme sur les group</w:t>
      </w:r>
      <w:r w:rsidR="00FD4AB4" w:rsidRPr="00FD4AB4">
        <w:rPr>
          <w:rFonts w:ascii="Times New Roman" w:hAnsi="Times New Roman"/>
          <w:sz w:val="24"/>
          <w:lang w:val="fr-FR"/>
        </w:rPr>
        <w:t>e</w:t>
      </w:r>
      <w:r w:rsidRPr="00FD4AB4">
        <w:rPr>
          <w:rFonts w:ascii="Times New Roman" w:hAnsi="Times New Roman"/>
          <w:sz w:val="24"/>
          <w:lang w:val="fr-FR"/>
        </w:rPr>
        <w:t xml:space="preserve">s </w:t>
      </w:r>
      <w:r w:rsidR="00FD4AB4" w:rsidRPr="00FD4AB4">
        <w:rPr>
          <w:rFonts w:ascii="Times New Roman" w:hAnsi="Times New Roman"/>
          <w:sz w:val="24"/>
          <w:lang w:val="fr-FR"/>
        </w:rPr>
        <w:t xml:space="preserve">et zones </w:t>
      </w:r>
      <w:r w:rsidRPr="00FD4AB4">
        <w:rPr>
          <w:rFonts w:ascii="Times New Roman" w:hAnsi="Times New Roman"/>
          <w:sz w:val="24"/>
          <w:lang w:val="fr-FR"/>
        </w:rPr>
        <w:t xml:space="preserve">cibles, </w:t>
      </w:r>
      <w:r w:rsidR="00FD4AB4" w:rsidRPr="00FD4AB4">
        <w:rPr>
          <w:rFonts w:ascii="Times New Roman" w:hAnsi="Times New Roman"/>
          <w:sz w:val="24"/>
          <w:lang w:val="fr-FR"/>
        </w:rPr>
        <w:t>un système de suivi-évaluation a été élaboré avec la société civile et les différent</w:t>
      </w:r>
      <w:r w:rsidR="00FD4AB4">
        <w:rPr>
          <w:rFonts w:ascii="Times New Roman" w:hAnsi="Times New Roman"/>
          <w:sz w:val="24"/>
          <w:lang w:val="fr-FR"/>
        </w:rPr>
        <w:t>e</w:t>
      </w:r>
      <w:r w:rsidR="00FD4AB4" w:rsidRPr="00FD4AB4">
        <w:rPr>
          <w:rFonts w:ascii="Times New Roman" w:hAnsi="Times New Roman"/>
          <w:sz w:val="24"/>
          <w:lang w:val="fr-FR"/>
        </w:rPr>
        <w:t xml:space="preserve">s parties prenantes. </w:t>
      </w:r>
    </w:p>
    <w:p w:rsidR="00D03AE3" w:rsidRPr="00FD4AB4" w:rsidRDefault="00D03AE3" w:rsidP="00FD4AB4">
      <w:pPr>
        <w:pStyle w:val="Corpsdetexte"/>
        <w:jc w:val="both"/>
        <w:rPr>
          <w:rFonts w:ascii="Times New Roman" w:hAnsi="Times New Roman"/>
          <w:sz w:val="24"/>
          <w:lang w:val="fr-FR"/>
        </w:rPr>
      </w:pPr>
    </w:p>
    <w:p w:rsidR="00AB0274" w:rsidRPr="00B32E35" w:rsidRDefault="00AB0274"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10" w:name="_Toc249364486"/>
      <w:r w:rsidRPr="00B32E35">
        <w:rPr>
          <w:rFonts w:ascii="Times New Roman" w:hAnsi="Times New Roman" w:cs="Times New Roman"/>
          <w:sz w:val="24"/>
          <w:szCs w:val="24"/>
        </w:rPr>
        <w:t>R</w:t>
      </w:r>
      <w:r w:rsidR="004C7191">
        <w:rPr>
          <w:rFonts w:ascii="Times New Roman" w:hAnsi="Times New Roman" w:cs="Times New Roman"/>
          <w:sz w:val="24"/>
          <w:szCs w:val="24"/>
        </w:rPr>
        <w:t>ésultats</w:t>
      </w:r>
      <w:bookmarkEnd w:id="10"/>
      <w:r w:rsidRPr="00B32E35">
        <w:rPr>
          <w:rFonts w:ascii="Times New Roman" w:hAnsi="Times New Roman" w:cs="Times New Roman"/>
          <w:sz w:val="24"/>
          <w:szCs w:val="24"/>
        </w:rPr>
        <w:t xml:space="preserve"> </w:t>
      </w:r>
    </w:p>
    <w:p w:rsidR="000E34E5" w:rsidRPr="004D70EC" w:rsidRDefault="000E34E5" w:rsidP="00575320">
      <w:pPr>
        <w:jc w:val="both"/>
      </w:pPr>
    </w:p>
    <w:p w:rsidR="00770DAA" w:rsidRPr="008C169A" w:rsidRDefault="00770DAA" w:rsidP="00770DAA">
      <w:pPr>
        <w:jc w:val="both"/>
        <w:rPr>
          <w:b/>
          <w:noProof/>
          <w:u w:val="single"/>
          <w:lang w:val="fr-FR"/>
        </w:rPr>
      </w:pPr>
      <w:r w:rsidRPr="008C169A">
        <w:rPr>
          <w:b/>
          <w:noProof/>
          <w:u w:val="single"/>
          <w:lang w:val="fr-FR"/>
        </w:rPr>
        <w:t>EFFET 1 : La gestion durable des ressources naturelles, l’accès à l’eau potable, un assainissement de base adéquat et de bonnes pratiques d’hygiène sont améliorés à travers la mise en oeuvre d’un porte feuille de projets environnementaux participatifs</w:t>
      </w:r>
    </w:p>
    <w:p w:rsidR="00770DAA" w:rsidRPr="00AC78E8" w:rsidRDefault="00770DAA" w:rsidP="00770DAA">
      <w:pPr>
        <w:rPr>
          <w:b/>
          <w:noProof/>
          <w:lang w:val="fr-FR"/>
        </w:rPr>
      </w:pPr>
    </w:p>
    <w:p w:rsidR="00770DAA" w:rsidRPr="008C169A" w:rsidRDefault="00770DAA" w:rsidP="008C169A">
      <w:pPr>
        <w:jc w:val="both"/>
        <w:rPr>
          <w:b/>
          <w:u w:val="single"/>
          <w:lang w:val="fr-FR"/>
        </w:rPr>
      </w:pPr>
      <w:r w:rsidRPr="008C169A">
        <w:rPr>
          <w:b/>
          <w:u w:val="single"/>
          <w:lang w:val="fr-FR"/>
        </w:rPr>
        <w:t>Composante 1 : gestion des ressources naturelles et lutte contre la désertification</w:t>
      </w:r>
    </w:p>
    <w:p w:rsidR="008C169A" w:rsidRDefault="008C169A" w:rsidP="008C169A">
      <w:pPr>
        <w:jc w:val="both"/>
        <w:rPr>
          <w:lang w:val="fr-FR"/>
        </w:rPr>
      </w:pPr>
    </w:p>
    <w:p w:rsidR="00770DAA" w:rsidRPr="00AC78E8" w:rsidRDefault="00AC78E8" w:rsidP="008C169A">
      <w:pPr>
        <w:jc w:val="both"/>
        <w:rPr>
          <w:lang w:val="fr-FR"/>
        </w:rPr>
      </w:pPr>
      <w:r w:rsidRPr="00AC78E8">
        <w:rPr>
          <w:lang w:val="fr-FR"/>
        </w:rPr>
        <w:t>Au titre de cette composante, l</w:t>
      </w:r>
      <w:r w:rsidR="00770DAA" w:rsidRPr="00AC78E8">
        <w:rPr>
          <w:lang w:val="fr-FR"/>
        </w:rPr>
        <w:t xml:space="preserve">es écosystèmes ont été réhabilités à travers la plantation de 300 hectares de gommier et la mise en défens de plus de 145 hectares d’espaces sylvo-pastoraux, favorisant ainsi l’accès des groupes vulnérables aux ressources naturelles. Par ailleurs, 228 hectares de dunes vives et mobiles ont été stabilisés et fixés sur 48 sites répartis dans les wilayas cibles afin de protéger des zones utiles telles que </w:t>
      </w:r>
      <w:r w:rsidRPr="00AC78E8">
        <w:rPr>
          <w:lang w:val="fr-FR"/>
        </w:rPr>
        <w:t xml:space="preserve">les </w:t>
      </w:r>
      <w:r w:rsidR="00770DAA" w:rsidRPr="00AC78E8">
        <w:rPr>
          <w:lang w:val="fr-FR"/>
        </w:rPr>
        <w:t xml:space="preserve">oasis, </w:t>
      </w:r>
      <w:r w:rsidRPr="00AC78E8">
        <w:rPr>
          <w:lang w:val="fr-FR"/>
        </w:rPr>
        <w:t xml:space="preserve">les </w:t>
      </w:r>
      <w:r w:rsidR="00770DAA" w:rsidRPr="00AC78E8">
        <w:rPr>
          <w:lang w:val="fr-FR"/>
        </w:rPr>
        <w:t xml:space="preserve">terres agricoles ou arables et </w:t>
      </w:r>
      <w:r w:rsidRPr="00AC78E8">
        <w:rPr>
          <w:lang w:val="fr-FR"/>
        </w:rPr>
        <w:t>l</w:t>
      </w:r>
      <w:r w:rsidR="00770DAA" w:rsidRPr="00AC78E8">
        <w:rPr>
          <w:lang w:val="fr-FR"/>
        </w:rPr>
        <w:t>es infrastructures (barrages, routes).</w:t>
      </w:r>
      <w:r w:rsidR="00770DAA" w:rsidRPr="00AC78E8">
        <w:rPr>
          <w:bCs/>
          <w:iCs/>
          <w:color w:val="000000"/>
          <w:lang w:val="fr-FR"/>
        </w:rPr>
        <w:t xml:space="preserve"> </w:t>
      </w:r>
      <w:r w:rsidRPr="00AC78E8">
        <w:rPr>
          <w:bCs/>
          <w:iCs/>
          <w:color w:val="000000"/>
          <w:lang w:val="fr-FR"/>
        </w:rPr>
        <w:t>En outre, le</w:t>
      </w:r>
      <w:r w:rsidR="00770DAA" w:rsidRPr="00AC78E8">
        <w:rPr>
          <w:lang w:val="fr-FR"/>
        </w:rPr>
        <w:t>s capacités techniques des communautés ciblées ont été renforcées pour accompagner la mise en œuvre des interventions et assurer la durabilité des réalisations escomptées.</w:t>
      </w:r>
    </w:p>
    <w:p w:rsidR="00770DAA" w:rsidRPr="00AC78E8" w:rsidRDefault="00770DAA" w:rsidP="00770DAA">
      <w:pPr>
        <w:jc w:val="both"/>
        <w:rPr>
          <w:lang w:val="fr-FR"/>
        </w:rPr>
      </w:pPr>
    </w:p>
    <w:p w:rsidR="00770DAA" w:rsidRPr="00AC78E8" w:rsidRDefault="00770DAA" w:rsidP="008C169A">
      <w:pPr>
        <w:jc w:val="both"/>
        <w:rPr>
          <w:lang w:val="fr-FR"/>
        </w:rPr>
      </w:pPr>
      <w:r w:rsidRPr="00AC78E8">
        <w:rPr>
          <w:lang w:val="fr-FR"/>
        </w:rPr>
        <w:t xml:space="preserve">Les sites de reforestation de mangroves dans le Parc du Diawling, réserve de biosphère de l’UNESCO, ont été retenus et une pépinière de 10.000 plants </w:t>
      </w:r>
      <w:r w:rsidR="00AC78E8" w:rsidRPr="00AC78E8">
        <w:rPr>
          <w:lang w:val="fr-FR"/>
        </w:rPr>
        <w:t xml:space="preserve">a été </w:t>
      </w:r>
      <w:r w:rsidRPr="00AC78E8">
        <w:rPr>
          <w:lang w:val="fr-FR"/>
        </w:rPr>
        <w:t xml:space="preserve">installée auprès de la </w:t>
      </w:r>
      <w:r w:rsidR="00AC78E8" w:rsidRPr="00AC78E8">
        <w:rPr>
          <w:lang w:val="fr-FR"/>
        </w:rPr>
        <w:t>D</w:t>
      </w:r>
      <w:r w:rsidRPr="00AC78E8">
        <w:rPr>
          <w:lang w:val="fr-FR"/>
        </w:rPr>
        <w:t>irection du Parc. La mise en place des plants sur le premier site doit débuter dans les semaines à venir</w:t>
      </w:r>
      <w:r w:rsidR="00AC78E8" w:rsidRPr="00AC78E8">
        <w:rPr>
          <w:lang w:val="fr-FR"/>
        </w:rPr>
        <w:t> ; e</w:t>
      </w:r>
      <w:r w:rsidRPr="00AC78E8">
        <w:rPr>
          <w:lang w:val="fr-FR"/>
        </w:rPr>
        <w:t xml:space="preserve">nviron 70 hectares seront régénérés à cette occasion. L’approche participative initiée par le partenaire de mise en </w:t>
      </w:r>
      <w:r w:rsidR="00621EDA" w:rsidRPr="00AC78E8">
        <w:rPr>
          <w:lang w:val="fr-FR"/>
        </w:rPr>
        <w:t>œuvre</w:t>
      </w:r>
      <w:r w:rsidRPr="00AC78E8">
        <w:rPr>
          <w:lang w:val="fr-FR"/>
        </w:rPr>
        <w:t xml:space="preserve"> a permis d’initier les villageois du site aux techniques de plantations de la Mangrove. Des séances de sensibilisation ont également été tenues afin de permettre aux populations de protéger au mieux ces zones. Des surfaces ont par ailleurs été mises en défens afin de permettre la régénération naturelle des mangroves.</w:t>
      </w:r>
    </w:p>
    <w:p w:rsidR="00AC78E8" w:rsidRPr="00AC78E8" w:rsidRDefault="00AC78E8" w:rsidP="00770DAA">
      <w:pPr>
        <w:jc w:val="both"/>
        <w:rPr>
          <w:lang w:val="fr-FR"/>
        </w:rPr>
      </w:pPr>
    </w:p>
    <w:p w:rsidR="00770DAA" w:rsidRPr="00AC78E8" w:rsidRDefault="00770DAA" w:rsidP="008C169A">
      <w:pPr>
        <w:jc w:val="both"/>
        <w:rPr>
          <w:lang w:val="fr-FR"/>
        </w:rPr>
      </w:pPr>
      <w:r w:rsidRPr="00AC78E8">
        <w:rPr>
          <w:lang w:val="fr-FR"/>
        </w:rPr>
        <w:lastRenderedPageBreak/>
        <w:t xml:space="preserve">S’agissant des forêts classées, un protocole d’accord a été signé pour la gestion participative de la forêt de wallaldé. </w:t>
      </w:r>
    </w:p>
    <w:p w:rsidR="00770DAA" w:rsidRPr="008C169A" w:rsidRDefault="00770DAA" w:rsidP="00770DAA">
      <w:pPr>
        <w:jc w:val="both"/>
        <w:rPr>
          <w:lang w:val="fr-FR"/>
        </w:rPr>
      </w:pPr>
    </w:p>
    <w:p w:rsidR="00770DAA" w:rsidRPr="008C169A" w:rsidRDefault="00770DAA" w:rsidP="008C169A">
      <w:pPr>
        <w:rPr>
          <w:b/>
          <w:u w:val="single"/>
          <w:lang w:val="fr-FR"/>
        </w:rPr>
      </w:pPr>
      <w:r w:rsidRPr="008C169A">
        <w:rPr>
          <w:b/>
          <w:u w:val="single"/>
          <w:lang w:val="fr-FR"/>
        </w:rPr>
        <w:t>Composante 2 : eau, assainissement et santé environnementale</w:t>
      </w:r>
    </w:p>
    <w:p w:rsidR="00770DAA" w:rsidRPr="008C169A" w:rsidRDefault="00770DAA" w:rsidP="00770DAA">
      <w:pPr>
        <w:jc w:val="both"/>
        <w:rPr>
          <w:lang w:val="fr-FR"/>
        </w:rPr>
      </w:pPr>
    </w:p>
    <w:p w:rsidR="00770DAA" w:rsidRPr="008C169A" w:rsidRDefault="00770DAA" w:rsidP="00770DAA">
      <w:pPr>
        <w:jc w:val="both"/>
        <w:rPr>
          <w:lang w:val="fr-FR"/>
        </w:rPr>
      </w:pPr>
      <w:r w:rsidRPr="008C169A">
        <w:rPr>
          <w:lang w:val="fr-FR"/>
        </w:rPr>
        <w:t>En ce qui concerne l’amélioration de la gouvernance de l’eau, un document de projet a été élaboré afin de permettre au pouvoir central de mettre en place le cadre favorable de déclinaison de ses politiques en matière de gestion des ressources en eau dans la région concernée. Les activités programmées dans le cadre du programme conjoint font partie intégrante de ce projet qui propose également un certain nombre d’actions orientées vers la gestion des infrastructures et des aménagements hydro-agricoles pour une gestion rationnelle de la ressource en eau dans la région. Ce document propose une stratégie de mobilisation de ressources complémentaires à travers d’autres partenaires au développement actifs dans la zone d’intervention et sur la thématique.</w:t>
      </w:r>
    </w:p>
    <w:p w:rsidR="00770DAA" w:rsidRPr="008C169A" w:rsidRDefault="00770DAA" w:rsidP="00770DAA">
      <w:pPr>
        <w:jc w:val="both"/>
        <w:rPr>
          <w:lang w:val="fr-FR"/>
        </w:rPr>
      </w:pPr>
    </w:p>
    <w:p w:rsidR="00554EAB" w:rsidRDefault="00770DAA" w:rsidP="00770DAA">
      <w:pPr>
        <w:pStyle w:val="Corpsdetexte2"/>
        <w:rPr>
          <w:rFonts w:ascii="Times New Roman" w:eastAsia="Calibri" w:hAnsi="Times New Roman" w:cs="Times New Roman"/>
          <w:sz w:val="24"/>
          <w:szCs w:val="24"/>
          <w:lang w:val="fr-FR"/>
        </w:rPr>
      </w:pPr>
      <w:r w:rsidRPr="008C169A">
        <w:rPr>
          <w:rFonts w:ascii="Times New Roman" w:eastAsia="Calibri" w:hAnsi="Times New Roman" w:cs="Times New Roman"/>
          <w:sz w:val="24"/>
          <w:szCs w:val="24"/>
          <w:lang w:val="fr-FR"/>
        </w:rPr>
        <w:t>Dans le domaine de l’assainissement, les interventions se sont focalisées sur le renforcement des capacités</w:t>
      </w:r>
      <w:r w:rsidR="006116F5">
        <w:rPr>
          <w:rFonts w:ascii="Times New Roman" w:eastAsia="Calibri" w:hAnsi="Times New Roman" w:cs="Times New Roman"/>
          <w:sz w:val="24"/>
          <w:szCs w:val="24"/>
          <w:lang w:val="fr-FR"/>
        </w:rPr>
        <w:t xml:space="preserve"> au profit des cadres, agents animateurs et artisans de la commune de Rosso, notamment en matière de suivi et de mise en en œuvre de l’</w:t>
      </w:r>
      <w:r w:rsidR="006116F5" w:rsidRPr="008C169A">
        <w:rPr>
          <w:rFonts w:ascii="Times New Roman" w:eastAsia="Calibri" w:hAnsi="Times New Roman" w:cs="Times New Roman"/>
          <w:sz w:val="24"/>
          <w:szCs w:val="24"/>
          <w:lang w:val="fr-FR"/>
        </w:rPr>
        <w:t>ATPC (Assainissement Total Piloté par la Communauté)</w:t>
      </w:r>
      <w:r w:rsidR="006116F5">
        <w:rPr>
          <w:rFonts w:ascii="Times New Roman" w:eastAsia="Calibri" w:hAnsi="Times New Roman" w:cs="Times New Roman"/>
          <w:sz w:val="24"/>
          <w:szCs w:val="24"/>
          <w:lang w:val="fr-FR"/>
        </w:rPr>
        <w:t>.</w:t>
      </w:r>
      <w:r w:rsidRPr="008C169A">
        <w:rPr>
          <w:rFonts w:ascii="Times New Roman" w:eastAsia="Calibri" w:hAnsi="Times New Roman" w:cs="Times New Roman"/>
          <w:sz w:val="24"/>
          <w:szCs w:val="24"/>
          <w:lang w:val="fr-FR"/>
        </w:rPr>
        <w:t xml:space="preserve"> </w:t>
      </w:r>
      <w:r w:rsidR="006116F5">
        <w:rPr>
          <w:rFonts w:ascii="Times New Roman" w:eastAsia="Calibri" w:hAnsi="Times New Roman" w:cs="Times New Roman"/>
          <w:sz w:val="24"/>
          <w:szCs w:val="24"/>
          <w:lang w:val="fr-FR"/>
        </w:rPr>
        <w:t xml:space="preserve">Cette approche </w:t>
      </w:r>
      <w:r w:rsidRPr="008C169A">
        <w:rPr>
          <w:rFonts w:ascii="Times New Roman" w:eastAsia="Calibri" w:hAnsi="Times New Roman" w:cs="Times New Roman"/>
          <w:sz w:val="24"/>
          <w:szCs w:val="24"/>
          <w:lang w:val="fr-FR"/>
        </w:rPr>
        <w:t>mise en œuvre pour la première fois en Mauritanie</w:t>
      </w:r>
      <w:r w:rsidR="006116F5">
        <w:rPr>
          <w:rFonts w:ascii="Times New Roman" w:eastAsia="Calibri" w:hAnsi="Times New Roman" w:cs="Times New Roman"/>
          <w:sz w:val="24"/>
          <w:szCs w:val="24"/>
          <w:lang w:val="fr-FR"/>
        </w:rPr>
        <w:t xml:space="preserve">, vise </w:t>
      </w:r>
      <w:r w:rsidR="00573BF0">
        <w:rPr>
          <w:rFonts w:ascii="Times New Roman" w:eastAsia="Calibri" w:hAnsi="Times New Roman" w:cs="Times New Roman"/>
          <w:sz w:val="24"/>
          <w:szCs w:val="24"/>
          <w:lang w:val="fr-FR"/>
        </w:rPr>
        <w:t xml:space="preserve">un changement de comportement en matière d’hygiène et </w:t>
      </w:r>
      <w:r w:rsidR="00147D80">
        <w:rPr>
          <w:rFonts w:ascii="Times New Roman" w:eastAsia="Calibri" w:hAnsi="Times New Roman" w:cs="Times New Roman"/>
          <w:sz w:val="24"/>
          <w:szCs w:val="24"/>
          <w:lang w:val="fr-FR"/>
        </w:rPr>
        <w:t>d’</w:t>
      </w:r>
      <w:r w:rsidR="00573BF0">
        <w:rPr>
          <w:rFonts w:ascii="Times New Roman" w:eastAsia="Calibri" w:hAnsi="Times New Roman" w:cs="Times New Roman"/>
          <w:sz w:val="24"/>
          <w:szCs w:val="24"/>
          <w:lang w:val="fr-FR"/>
        </w:rPr>
        <w:t>assainissement au bout duquel la communauté s</w:t>
      </w:r>
      <w:r w:rsidR="00057643">
        <w:rPr>
          <w:rFonts w:ascii="Times New Roman" w:eastAsia="Calibri" w:hAnsi="Times New Roman" w:cs="Times New Roman"/>
          <w:sz w:val="24"/>
          <w:szCs w:val="24"/>
          <w:lang w:val="fr-FR"/>
        </w:rPr>
        <w:t>e lance dans une dynamique d</w:t>
      </w:r>
      <w:r w:rsidR="009B58F9">
        <w:rPr>
          <w:rFonts w:ascii="Times New Roman" w:eastAsia="Calibri" w:hAnsi="Times New Roman" w:cs="Times New Roman"/>
          <w:sz w:val="24"/>
          <w:szCs w:val="24"/>
          <w:lang w:val="fr-FR"/>
        </w:rPr>
        <w:t>’</w:t>
      </w:r>
      <w:r w:rsidR="00AE5548">
        <w:rPr>
          <w:rFonts w:ascii="Times New Roman" w:eastAsia="Calibri" w:hAnsi="Times New Roman" w:cs="Times New Roman"/>
          <w:sz w:val="24"/>
          <w:szCs w:val="24"/>
          <w:lang w:val="fr-FR"/>
        </w:rPr>
        <w:t>auto-</w:t>
      </w:r>
      <w:r w:rsidR="00057643">
        <w:rPr>
          <w:rFonts w:ascii="Times New Roman" w:eastAsia="Calibri" w:hAnsi="Times New Roman" w:cs="Times New Roman"/>
          <w:sz w:val="24"/>
          <w:szCs w:val="24"/>
          <w:lang w:val="fr-FR"/>
        </w:rPr>
        <w:t>construction et d’utilisation des latrines en vue de</w:t>
      </w:r>
      <w:r w:rsidR="00573BF0">
        <w:rPr>
          <w:rFonts w:ascii="Times New Roman" w:eastAsia="Calibri" w:hAnsi="Times New Roman" w:cs="Times New Roman"/>
          <w:sz w:val="24"/>
          <w:szCs w:val="24"/>
          <w:lang w:val="fr-FR"/>
        </w:rPr>
        <w:t xml:space="preserve"> mettre fin à la disposition des excrétas à l’air libre. </w:t>
      </w:r>
      <w:r w:rsidR="00057643">
        <w:rPr>
          <w:rFonts w:ascii="Times New Roman" w:eastAsia="Calibri" w:hAnsi="Times New Roman" w:cs="Times New Roman"/>
          <w:sz w:val="24"/>
          <w:szCs w:val="24"/>
          <w:lang w:val="fr-FR"/>
        </w:rPr>
        <w:t>Dans ce c</w:t>
      </w:r>
      <w:r w:rsidR="009B58F9">
        <w:rPr>
          <w:rFonts w:ascii="Times New Roman" w:eastAsia="Calibri" w:hAnsi="Times New Roman" w:cs="Times New Roman"/>
          <w:sz w:val="24"/>
          <w:szCs w:val="24"/>
          <w:lang w:val="fr-FR"/>
        </w:rPr>
        <w:t>adre,</w:t>
      </w:r>
      <w:r w:rsidR="00057643">
        <w:rPr>
          <w:rFonts w:ascii="Times New Roman" w:eastAsia="Calibri" w:hAnsi="Times New Roman" w:cs="Times New Roman"/>
          <w:sz w:val="24"/>
          <w:szCs w:val="24"/>
          <w:lang w:val="fr-FR"/>
        </w:rPr>
        <w:t xml:space="preserve"> </w:t>
      </w:r>
      <w:r w:rsidR="00AE5548">
        <w:rPr>
          <w:rFonts w:ascii="Times New Roman" w:eastAsia="Calibri" w:hAnsi="Times New Roman" w:cs="Times New Roman"/>
          <w:sz w:val="24"/>
          <w:szCs w:val="24"/>
          <w:lang w:val="fr-FR"/>
        </w:rPr>
        <w:t>44</w:t>
      </w:r>
      <w:r w:rsidR="00057643">
        <w:rPr>
          <w:rFonts w:ascii="Times New Roman" w:eastAsia="Calibri" w:hAnsi="Times New Roman" w:cs="Times New Roman"/>
          <w:sz w:val="24"/>
          <w:szCs w:val="24"/>
          <w:lang w:val="fr-FR"/>
        </w:rPr>
        <w:t xml:space="preserve"> agents d</w:t>
      </w:r>
      <w:r w:rsidR="00912C6D">
        <w:rPr>
          <w:rFonts w:ascii="Times New Roman" w:eastAsia="Calibri" w:hAnsi="Times New Roman" w:cs="Times New Roman"/>
          <w:sz w:val="24"/>
          <w:szCs w:val="24"/>
          <w:lang w:val="fr-FR"/>
        </w:rPr>
        <w:t xml:space="preserve">’animations ont été formés. </w:t>
      </w:r>
      <w:r w:rsidRPr="008C169A">
        <w:rPr>
          <w:rFonts w:ascii="Times New Roman" w:eastAsia="Calibri" w:hAnsi="Times New Roman" w:cs="Times New Roman"/>
          <w:sz w:val="24"/>
          <w:szCs w:val="24"/>
          <w:lang w:val="fr-FR"/>
        </w:rPr>
        <w:t>Les zones ciblées ont fait l’objet de campagnes d’élimination des excréments à l’air libre et l’accès des ménages à l’assainissement individuel a été facilité</w:t>
      </w:r>
      <w:r w:rsidR="008C169A" w:rsidRPr="008C169A">
        <w:rPr>
          <w:rFonts w:ascii="Times New Roman" w:eastAsia="Calibri" w:hAnsi="Times New Roman" w:cs="Times New Roman"/>
          <w:sz w:val="24"/>
          <w:szCs w:val="24"/>
          <w:lang w:val="fr-FR"/>
        </w:rPr>
        <w:t>,</w:t>
      </w:r>
      <w:r w:rsidRPr="008C169A">
        <w:rPr>
          <w:rFonts w:ascii="Times New Roman" w:eastAsia="Calibri" w:hAnsi="Times New Roman" w:cs="Times New Roman"/>
          <w:sz w:val="24"/>
          <w:szCs w:val="24"/>
          <w:lang w:val="fr-FR"/>
        </w:rPr>
        <w:t xml:space="preserve"> notamment par </w:t>
      </w:r>
      <w:r w:rsidR="00057643" w:rsidRPr="008C169A">
        <w:rPr>
          <w:rFonts w:ascii="Times New Roman" w:eastAsia="Calibri" w:hAnsi="Times New Roman" w:cs="Times New Roman"/>
          <w:sz w:val="24"/>
          <w:szCs w:val="24"/>
          <w:lang w:val="fr-FR"/>
        </w:rPr>
        <w:t>l</w:t>
      </w:r>
      <w:r w:rsidR="00057643">
        <w:rPr>
          <w:rFonts w:ascii="Times New Roman" w:eastAsia="Calibri" w:hAnsi="Times New Roman" w:cs="Times New Roman"/>
          <w:sz w:val="24"/>
          <w:szCs w:val="24"/>
          <w:lang w:val="fr-FR"/>
        </w:rPr>
        <w:t>’auto</w:t>
      </w:r>
      <w:r w:rsidR="00057643" w:rsidRPr="008C169A">
        <w:rPr>
          <w:rFonts w:ascii="Times New Roman" w:eastAsia="Calibri" w:hAnsi="Times New Roman" w:cs="Times New Roman"/>
          <w:sz w:val="24"/>
          <w:szCs w:val="24"/>
          <w:lang w:val="fr-FR"/>
        </w:rPr>
        <w:t xml:space="preserve"> </w:t>
      </w:r>
      <w:r w:rsidRPr="008C169A">
        <w:rPr>
          <w:rFonts w:ascii="Times New Roman" w:eastAsia="Calibri" w:hAnsi="Times New Roman" w:cs="Times New Roman"/>
          <w:sz w:val="24"/>
          <w:szCs w:val="24"/>
          <w:lang w:val="fr-FR"/>
        </w:rPr>
        <w:t xml:space="preserve">construction de </w:t>
      </w:r>
      <w:r w:rsidR="00057643">
        <w:rPr>
          <w:rFonts w:ascii="Times New Roman" w:eastAsia="Calibri" w:hAnsi="Times New Roman" w:cs="Times New Roman"/>
          <w:sz w:val="24"/>
          <w:szCs w:val="24"/>
          <w:lang w:val="fr-FR"/>
        </w:rPr>
        <w:t xml:space="preserve">plus de </w:t>
      </w:r>
      <w:r w:rsidR="00AE5548">
        <w:rPr>
          <w:rFonts w:ascii="Times New Roman" w:eastAsia="Calibri" w:hAnsi="Times New Roman" w:cs="Times New Roman"/>
          <w:sz w:val="24"/>
          <w:szCs w:val="24"/>
          <w:lang w:val="fr-FR"/>
        </w:rPr>
        <w:t>5</w:t>
      </w:r>
      <w:r w:rsidR="00057643">
        <w:rPr>
          <w:rFonts w:ascii="Times New Roman" w:eastAsia="Calibri" w:hAnsi="Times New Roman" w:cs="Times New Roman"/>
          <w:sz w:val="24"/>
          <w:szCs w:val="24"/>
          <w:lang w:val="fr-FR"/>
        </w:rPr>
        <w:t xml:space="preserve">00 </w:t>
      </w:r>
      <w:r w:rsidRPr="008C169A">
        <w:rPr>
          <w:rFonts w:ascii="Times New Roman" w:eastAsia="Calibri" w:hAnsi="Times New Roman" w:cs="Times New Roman"/>
          <w:sz w:val="24"/>
          <w:szCs w:val="24"/>
          <w:lang w:val="fr-FR"/>
        </w:rPr>
        <w:t>latrines</w:t>
      </w:r>
      <w:r w:rsidR="00057643">
        <w:rPr>
          <w:rFonts w:ascii="Times New Roman" w:eastAsia="Calibri" w:hAnsi="Times New Roman" w:cs="Times New Roman"/>
          <w:sz w:val="24"/>
          <w:szCs w:val="24"/>
          <w:lang w:val="fr-FR"/>
        </w:rPr>
        <w:t xml:space="preserve"> communautaires</w:t>
      </w:r>
      <w:r w:rsidR="00AE5548">
        <w:rPr>
          <w:rFonts w:ascii="Times New Roman" w:eastAsia="Calibri" w:hAnsi="Times New Roman" w:cs="Times New Roman"/>
          <w:sz w:val="24"/>
          <w:szCs w:val="24"/>
          <w:lang w:val="fr-FR"/>
        </w:rPr>
        <w:t xml:space="preserve"> et la mise en place de dispositifs pour le lavage des mains. En 2009, 36 villages et quartiers </w:t>
      </w:r>
      <w:r w:rsidR="00002A1F">
        <w:rPr>
          <w:rFonts w:ascii="Times New Roman" w:eastAsia="Calibri" w:hAnsi="Times New Roman" w:cs="Times New Roman"/>
          <w:sz w:val="24"/>
          <w:szCs w:val="24"/>
          <w:lang w:val="fr-FR"/>
        </w:rPr>
        <w:t>s</w:t>
      </w:r>
      <w:r w:rsidR="00AE5548">
        <w:rPr>
          <w:rFonts w:ascii="Times New Roman" w:eastAsia="Calibri" w:hAnsi="Times New Roman" w:cs="Times New Roman"/>
          <w:sz w:val="24"/>
          <w:szCs w:val="24"/>
          <w:lang w:val="fr-FR"/>
        </w:rPr>
        <w:t>ont devenu</w:t>
      </w:r>
      <w:r w:rsidR="000D3F91">
        <w:rPr>
          <w:rFonts w:ascii="Times New Roman" w:eastAsia="Calibri" w:hAnsi="Times New Roman" w:cs="Times New Roman"/>
          <w:sz w:val="24"/>
          <w:szCs w:val="24"/>
          <w:lang w:val="fr-FR"/>
        </w:rPr>
        <w:t>s</w:t>
      </w:r>
      <w:r w:rsidR="00AE5548">
        <w:rPr>
          <w:rFonts w:ascii="Times New Roman" w:eastAsia="Calibri" w:hAnsi="Times New Roman" w:cs="Times New Roman"/>
          <w:sz w:val="24"/>
          <w:szCs w:val="24"/>
          <w:lang w:val="fr-FR"/>
        </w:rPr>
        <w:t xml:space="preserve"> FDAL (Fin de la Défécation à l’Air Libre)</w:t>
      </w:r>
      <w:r w:rsidRPr="008C169A">
        <w:rPr>
          <w:rFonts w:ascii="Times New Roman" w:eastAsia="Calibri" w:hAnsi="Times New Roman" w:cs="Times New Roman"/>
          <w:sz w:val="24"/>
          <w:szCs w:val="24"/>
          <w:lang w:val="fr-FR"/>
        </w:rPr>
        <w:t xml:space="preserve">. </w:t>
      </w:r>
      <w:r w:rsidR="00147D80">
        <w:rPr>
          <w:rFonts w:ascii="Times New Roman" w:eastAsia="Calibri" w:hAnsi="Times New Roman" w:cs="Times New Roman"/>
          <w:sz w:val="24"/>
          <w:szCs w:val="24"/>
          <w:lang w:val="fr-FR"/>
        </w:rPr>
        <w:t xml:space="preserve">Par ailleurs près de 20 maçons et vidangeurs ont été formés respectivement sur la construction des latrines à faible coût et sur l’évacuation hygiénique des vidanges des fosses. </w:t>
      </w:r>
      <w:r w:rsidRPr="008C169A">
        <w:rPr>
          <w:rFonts w:ascii="Times New Roman" w:eastAsia="Calibri" w:hAnsi="Times New Roman" w:cs="Times New Roman"/>
          <w:sz w:val="24"/>
          <w:szCs w:val="24"/>
          <w:lang w:val="fr-FR"/>
        </w:rPr>
        <w:t xml:space="preserve">Au total, </w:t>
      </w:r>
      <w:r w:rsidR="00912C6D">
        <w:rPr>
          <w:rFonts w:ascii="Times New Roman" w:eastAsia="Calibri" w:hAnsi="Times New Roman" w:cs="Times New Roman"/>
          <w:sz w:val="24"/>
          <w:szCs w:val="24"/>
          <w:lang w:val="fr-FR"/>
        </w:rPr>
        <w:t xml:space="preserve">environ </w:t>
      </w:r>
      <w:r w:rsidRPr="008C169A">
        <w:rPr>
          <w:rFonts w:ascii="Times New Roman" w:eastAsia="Calibri" w:hAnsi="Times New Roman" w:cs="Times New Roman"/>
          <w:sz w:val="24"/>
          <w:szCs w:val="24"/>
          <w:lang w:val="fr-FR"/>
        </w:rPr>
        <w:t>34</w:t>
      </w:r>
      <w:r w:rsidR="00002A1F">
        <w:rPr>
          <w:rFonts w:ascii="Times New Roman" w:eastAsia="Calibri" w:hAnsi="Times New Roman" w:cs="Times New Roman"/>
          <w:sz w:val="24"/>
          <w:szCs w:val="24"/>
          <w:lang w:val="fr-FR"/>
        </w:rPr>
        <w:t xml:space="preserve"> </w:t>
      </w:r>
      <w:r w:rsidRPr="008C169A">
        <w:rPr>
          <w:rFonts w:ascii="Times New Roman" w:eastAsia="Calibri" w:hAnsi="Times New Roman" w:cs="Times New Roman"/>
          <w:sz w:val="24"/>
          <w:szCs w:val="24"/>
          <w:lang w:val="fr-FR"/>
        </w:rPr>
        <w:t xml:space="preserve">000 personnes vivent </w:t>
      </w:r>
      <w:r w:rsidR="00912C6D">
        <w:rPr>
          <w:rFonts w:ascii="Times New Roman" w:eastAsia="Calibri" w:hAnsi="Times New Roman" w:cs="Times New Roman"/>
          <w:sz w:val="24"/>
          <w:szCs w:val="24"/>
          <w:lang w:val="fr-FR"/>
        </w:rPr>
        <w:t xml:space="preserve">désormais </w:t>
      </w:r>
      <w:r w:rsidRPr="008C169A">
        <w:rPr>
          <w:rFonts w:ascii="Times New Roman" w:eastAsia="Calibri" w:hAnsi="Times New Roman" w:cs="Times New Roman"/>
          <w:sz w:val="24"/>
          <w:szCs w:val="24"/>
          <w:lang w:val="fr-FR"/>
        </w:rPr>
        <w:t>dans un environnement moins contaminé</w:t>
      </w:r>
      <w:r w:rsidR="00912C6D">
        <w:rPr>
          <w:rFonts w:ascii="Times New Roman" w:eastAsia="Calibri" w:hAnsi="Times New Roman" w:cs="Times New Roman"/>
          <w:sz w:val="24"/>
          <w:szCs w:val="24"/>
          <w:lang w:val="fr-FR"/>
        </w:rPr>
        <w:t xml:space="preserve"> grâce à l’intervention du programme</w:t>
      </w:r>
      <w:r w:rsidR="00002A1F">
        <w:rPr>
          <w:rFonts w:ascii="Times New Roman" w:eastAsia="Calibri" w:hAnsi="Times New Roman" w:cs="Times New Roman"/>
          <w:sz w:val="24"/>
          <w:szCs w:val="24"/>
          <w:lang w:val="fr-FR"/>
        </w:rPr>
        <w:t xml:space="preserve">. </w:t>
      </w:r>
      <w:r w:rsidR="00554EAB">
        <w:rPr>
          <w:rFonts w:ascii="Times New Roman" w:eastAsia="Calibri" w:hAnsi="Times New Roman" w:cs="Times New Roman"/>
          <w:sz w:val="24"/>
          <w:szCs w:val="24"/>
          <w:lang w:val="fr-FR"/>
        </w:rPr>
        <w:t>Une évaluation de l’approche pilote mise en œuvre à Rosso a été conduite en décembre 2010 dans sa phase de collecte de données</w:t>
      </w:r>
      <w:r w:rsidR="00912C6D">
        <w:rPr>
          <w:rFonts w:ascii="Times New Roman" w:eastAsia="Calibri" w:hAnsi="Times New Roman" w:cs="Times New Roman"/>
          <w:sz w:val="24"/>
          <w:szCs w:val="24"/>
          <w:lang w:val="fr-FR"/>
        </w:rPr>
        <w:t>, qui a révélé qu’elle a été conduite avec satisfaction</w:t>
      </w:r>
      <w:r w:rsidR="00554EAB">
        <w:rPr>
          <w:rFonts w:ascii="Times New Roman" w:eastAsia="Calibri" w:hAnsi="Times New Roman" w:cs="Times New Roman"/>
          <w:sz w:val="24"/>
          <w:szCs w:val="24"/>
          <w:lang w:val="fr-FR"/>
        </w:rPr>
        <w:t>.</w:t>
      </w:r>
      <w:r w:rsidR="000F5BA1" w:rsidRPr="000F5BA1">
        <w:rPr>
          <w:rFonts w:ascii="Times New Roman" w:eastAsia="Calibri" w:hAnsi="Times New Roman" w:cs="Times New Roman"/>
          <w:sz w:val="24"/>
          <w:szCs w:val="24"/>
          <w:lang w:val="fr-FR"/>
        </w:rPr>
        <w:t xml:space="preserve"> </w:t>
      </w:r>
    </w:p>
    <w:p w:rsidR="00912C6D" w:rsidRDefault="00912C6D" w:rsidP="00770DAA">
      <w:pPr>
        <w:pStyle w:val="Corpsdetexte2"/>
        <w:rPr>
          <w:rFonts w:ascii="Times New Roman" w:eastAsia="Calibri" w:hAnsi="Times New Roman" w:cs="Times New Roman"/>
          <w:sz w:val="24"/>
          <w:szCs w:val="24"/>
          <w:lang w:val="fr-FR"/>
        </w:rPr>
      </w:pPr>
    </w:p>
    <w:p w:rsidR="00554EAB" w:rsidRPr="008C169A" w:rsidRDefault="00AE5548" w:rsidP="00554EAB">
      <w:pPr>
        <w:pStyle w:val="Corpsdetexte2"/>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Pour le volet </w:t>
      </w:r>
      <w:r w:rsidR="00912C6D">
        <w:rPr>
          <w:rFonts w:ascii="Times New Roman" w:eastAsia="Calibri" w:hAnsi="Times New Roman" w:cs="Times New Roman"/>
          <w:sz w:val="24"/>
          <w:szCs w:val="24"/>
          <w:lang w:val="fr-FR"/>
        </w:rPr>
        <w:t>« </w:t>
      </w:r>
      <w:r w:rsidR="000D3F91">
        <w:rPr>
          <w:rFonts w:ascii="Times New Roman" w:eastAsia="Calibri" w:hAnsi="Times New Roman" w:cs="Times New Roman"/>
          <w:sz w:val="24"/>
          <w:szCs w:val="24"/>
          <w:lang w:val="fr-FR"/>
        </w:rPr>
        <w:t>eau</w:t>
      </w:r>
      <w:r w:rsidR="00912C6D">
        <w:rPr>
          <w:rFonts w:ascii="Times New Roman" w:eastAsia="Calibri" w:hAnsi="Times New Roman" w:cs="Times New Roman"/>
          <w:sz w:val="24"/>
          <w:szCs w:val="24"/>
          <w:lang w:val="fr-FR"/>
        </w:rPr>
        <w:t> »,</w:t>
      </w:r>
      <w:r w:rsidR="000F5BA1">
        <w:rPr>
          <w:rFonts w:ascii="Times New Roman" w:eastAsia="Calibri" w:hAnsi="Times New Roman" w:cs="Times New Roman"/>
          <w:sz w:val="24"/>
          <w:szCs w:val="24"/>
          <w:lang w:val="fr-FR"/>
        </w:rPr>
        <w:t xml:space="preserve"> deux sites ont été identifiés</w:t>
      </w:r>
      <w:r w:rsidR="00554EAB">
        <w:rPr>
          <w:rFonts w:ascii="Times New Roman" w:eastAsia="Calibri" w:hAnsi="Times New Roman" w:cs="Times New Roman"/>
          <w:sz w:val="24"/>
          <w:szCs w:val="24"/>
          <w:lang w:val="fr-FR"/>
        </w:rPr>
        <w:t xml:space="preserve"> en vue de la réalisation de systèmes d’approvisionnement en eau potable</w:t>
      </w:r>
      <w:r w:rsidR="00912C6D">
        <w:rPr>
          <w:rFonts w:ascii="Times New Roman" w:eastAsia="Calibri" w:hAnsi="Times New Roman" w:cs="Times New Roman"/>
          <w:sz w:val="24"/>
          <w:szCs w:val="24"/>
          <w:lang w:val="fr-FR"/>
        </w:rPr>
        <w:t>,</w:t>
      </w:r>
      <w:r w:rsidR="003C340D">
        <w:rPr>
          <w:rFonts w:ascii="Times New Roman" w:eastAsia="Calibri" w:hAnsi="Times New Roman" w:cs="Times New Roman"/>
          <w:sz w:val="24"/>
          <w:szCs w:val="24"/>
          <w:lang w:val="fr-FR"/>
        </w:rPr>
        <w:t xml:space="preserve"> et</w:t>
      </w:r>
      <w:r w:rsidR="00912C6D">
        <w:rPr>
          <w:rFonts w:ascii="Times New Roman" w:eastAsia="Calibri" w:hAnsi="Times New Roman" w:cs="Times New Roman"/>
          <w:sz w:val="24"/>
          <w:szCs w:val="24"/>
          <w:lang w:val="fr-FR"/>
        </w:rPr>
        <w:t xml:space="preserve"> </w:t>
      </w:r>
      <w:r w:rsidR="003C340D">
        <w:rPr>
          <w:rFonts w:ascii="Times New Roman" w:eastAsia="Calibri" w:hAnsi="Times New Roman" w:cs="Times New Roman"/>
          <w:sz w:val="24"/>
          <w:szCs w:val="24"/>
          <w:lang w:val="fr-FR"/>
        </w:rPr>
        <w:t>l</w:t>
      </w:r>
      <w:r w:rsidR="000D3F91">
        <w:rPr>
          <w:rFonts w:ascii="Times New Roman" w:eastAsia="Calibri" w:hAnsi="Times New Roman" w:cs="Times New Roman"/>
          <w:sz w:val="24"/>
          <w:szCs w:val="24"/>
          <w:lang w:val="fr-FR"/>
        </w:rPr>
        <w:t xml:space="preserve">es études socio économiques et techniques ont </w:t>
      </w:r>
      <w:r w:rsidR="00912C6D">
        <w:rPr>
          <w:rFonts w:ascii="Times New Roman" w:eastAsia="Calibri" w:hAnsi="Times New Roman" w:cs="Times New Roman"/>
          <w:sz w:val="24"/>
          <w:szCs w:val="24"/>
          <w:lang w:val="fr-FR"/>
        </w:rPr>
        <w:t xml:space="preserve">été </w:t>
      </w:r>
      <w:r w:rsidR="000D3F91">
        <w:rPr>
          <w:rFonts w:ascii="Times New Roman" w:eastAsia="Calibri" w:hAnsi="Times New Roman" w:cs="Times New Roman"/>
          <w:sz w:val="24"/>
          <w:szCs w:val="24"/>
          <w:lang w:val="fr-FR"/>
        </w:rPr>
        <w:t>réalisées.</w:t>
      </w:r>
      <w:r w:rsidR="000F5BA1">
        <w:rPr>
          <w:rFonts w:ascii="Times New Roman" w:eastAsia="Calibri" w:hAnsi="Times New Roman" w:cs="Times New Roman"/>
          <w:sz w:val="24"/>
          <w:szCs w:val="24"/>
          <w:lang w:val="fr-FR"/>
        </w:rPr>
        <w:t xml:space="preserve"> </w:t>
      </w:r>
      <w:r w:rsidR="003C340D">
        <w:rPr>
          <w:rFonts w:ascii="Times New Roman" w:eastAsia="Calibri" w:hAnsi="Times New Roman" w:cs="Times New Roman"/>
          <w:sz w:val="24"/>
          <w:szCs w:val="24"/>
          <w:lang w:val="fr-FR"/>
        </w:rPr>
        <w:t>La construction d’un système d’approvisionnement en eau dans le village de Breun a commencé.</w:t>
      </w:r>
      <w:r w:rsidR="00BD0AC6">
        <w:rPr>
          <w:rFonts w:ascii="Times New Roman" w:eastAsia="Calibri" w:hAnsi="Times New Roman" w:cs="Times New Roman"/>
          <w:sz w:val="24"/>
          <w:szCs w:val="24"/>
          <w:lang w:val="fr-FR"/>
        </w:rPr>
        <w:t xml:space="preserve"> Par ailleurs, les capacités des</w:t>
      </w:r>
      <w:r w:rsidR="00770DAA" w:rsidRPr="008C169A">
        <w:rPr>
          <w:rFonts w:ascii="Times New Roman" w:eastAsia="Calibri" w:hAnsi="Times New Roman" w:cs="Times New Roman"/>
          <w:sz w:val="24"/>
          <w:szCs w:val="24"/>
          <w:lang w:val="fr-FR"/>
        </w:rPr>
        <w:t xml:space="preserve"> </w:t>
      </w:r>
      <w:r w:rsidR="00BD0AC6">
        <w:rPr>
          <w:rFonts w:ascii="Times New Roman" w:eastAsia="Calibri" w:hAnsi="Times New Roman" w:cs="Times New Roman"/>
          <w:sz w:val="24"/>
          <w:szCs w:val="24"/>
          <w:lang w:val="fr-FR"/>
        </w:rPr>
        <w:t>M</w:t>
      </w:r>
      <w:r w:rsidR="00770DAA" w:rsidRPr="008C169A">
        <w:rPr>
          <w:rFonts w:ascii="Times New Roman" w:eastAsia="Calibri" w:hAnsi="Times New Roman" w:cs="Times New Roman"/>
          <w:sz w:val="24"/>
          <w:szCs w:val="24"/>
          <w:lang w:val="fr-FR"/>
        </w:rPr>
        <w:t xml:space="preserve">airies </w:t>
      </w:r>
      <w:r w:rsidR="00147D80">
        <w:rPr>
          <w:rFonts w:ascii="Times New Roman" w:eastAsia="Calibri" w:hAnsi="Times New Roman" w:cs="Times New Roman"/>
          <w:sz w:val="24"/>
          <w:szCs w:val="24"/>
          <w:lang w:val="fr-FR"/>
        </w:rPr>
        <w:t>de Rosso et Keur-macène</w:t>
      </w:r>
      <w:r w:rsidR="00147D80" w:rsidRPr="008C169A">
        <w:rPr>
          <w:rFonts w:ascii="Times New Roman" w:eastAsia="Calibri" w:hAnsi="Times New Roman" w:cs="Times New Roman"/>
          <w:sz w:val="24"/>
          <w:szCs w:val="24"/>
          <w:lang w:val="fr-FR"/>
        </w:rPr>
        <w:t xml:space="preserve"> </w:t>
      </w:r>
      <w:r w:rsidR="003C340D" w:rsidRPr="008C169A">
        <w:rPr>
          <w:rFonts w:ascii="Times New Roman" w:eastAsia="Calibri" w:hAnsi="Times New Roman" w:cs="Times New Roman"/>
          <w:sz w:val="24"/>
          <w:szCs w:val="24"/>
          <w:lang w:val="fr-FR"/>
        </w:rPr>
        <w:t xml:space="preserve">ont été renforcées </w:t>
      </w:r>
      <w:r w:rsidR="00770DAA" w:rsidRPr="008C169A">
        <w:rPr>
          <w:rFonts w:ascii="Times New Roman" w:eastAsia="Calibri" w:hAnsi="Times New Roman" w:cs="Times New Roman"/>
          <w:sz w:val="24"/>
          <w:szCs w:val="24"/>
          <w:lang w:val="fr-FR"/>
        </w:rPr>
        <w:t xml:space="preserve">pour la réalisation </w:t>
      </w:r>
      <w:r w:rsidR="00147D80">
        <w:rPr>
          <w:rFonts w:ascii="Times New Roman" w:eastAsia="Calibri" w:hAnsi="Times New Roman" w:cs="Times New Roman"/>
          <w:sz w:val="24"/>
          <w:szCs w:val="24"/>
          <w:lang w:val="fr-FR"/>
        </w:rPr>
        <w:t xml:space="preserve">et la gestion </w:t>
      </w:r>
      <w:r w:rsidR="00770DAA" w:rsidRPr="008C169A">
        <w:rPr>
          <w:rFonts w:ascii="Times New Roman" w:eastAsia="Calibri" w:hAnsi="Times New Roman" w:cs="Times New Roman"/>
          <w:sz w:val="24"/>
          <w:szCs w:val="24"/>
          <w:lang w:val="fr-FR"/>
        </w:rPr>
        <w:t>des systèmes d’adduction d’eau</w:t>
      </w:r>
      <w:r w:rsidR="003C340D">
        <w:rPr>
          <w:rFonts w:ascii="Times New Roman" w:eastAsia="Calibri" w:hAnsi="Times New Roman" w:cs="Times New Roman"/>
          <w:sz w:val="24"/>
          <w:szCs w:val="24"/>
          <w:lang w:val="fr-FR"/>
        </w:rPr>
        <w:t>.</w:t>
      </w:r>
      <w:r w:rsidR="00BD0AC6">
        <w:rPr>
          <w:rFonts w:ascii="Times New Roman" w:eastAsia="Calibri" w:hAnsi="Times New Roman" w:cs="Times New Roman"/>
          <w:sz w:val="24"/>
          <w:szCs w:val="24"/>
          <w:lang w:val="fr-FR"/>
        </w:rPr>
        <w:t xml:space="preserve"> Cependant, l</w:t>
      </w:r>
      <w:r w:rsidR="00554EAB" w:rsidRPr="008C169A">
        <w:rPr>
          <w:rFonts w:ascii="Times New Roman" w:eastAsia="Calibri" w:hAnsi="Times New Roman" w:cs="Times New Roman"/>
          <w:sz w:val="24"/>
          <w:szCs w:val="24"/>
          <w:lang w:val="fr-FR"/>
        </w:rPr>
        <w:t>es inondations sévères qui ont affecté la ville de Rosso de septembre à octobre, nécessitant l’évacuation de près de 30% de la population, soit environ 10</w:t>
      </w:r>
      <w:r w:rsidR="00922E2A">
        <w:rPr>
          <w:rFonts w:ascii="Times New Roman" w:eastAsia="Calibri" w:hAnsi="Times New Roman" w:cs="Times New Roman"/>
          <w:sz w:val="24"/>
          <w:szCs w:val="24"/>
          <w:lang w:val="fr-FR"/>
        </w:rPr>
        <w:t xml:space="preserve"> </w:t>
      </w:r>
      <w:r w:rsidR="00554EAB" w:rsidRPr="008C169A">
        <w:rPr>
          <w:rFonts w:ascii="Times New Roman" w:eastAsia="Calibri" w:hAnsi="Times New Roman" w:cs="Times New Roman"/>
          <w:sz w:val="24"/>
          <w:szCs w:val="24"/>
          <w:lang w:val="fr-FR"/>
        </w:rPr>
        <w:t>00 personnes, ont retardé la réalisation des travaux prévus.</w:t>
      </w:r>
    </w:p>
    <w:p w:rsidR="00770DAA" w:rsidRPr="008C169A" w:rsidRDefault="00770DAA" w:rsidP="00770DAA">
      <w:pPr>
        <w:pStyle w:val="Corpsdetexte2"/>
        <w:rPr>
          <w:rFonts w:ascii="Times New Roman" w:eastAsia="Calibri" w:hAnsi="Times New Roman" w:cs="Times New Roman"/>
          <w:sz w:val="24"/>
          <w:szCs w:val="24"/>
          <w:lang w:val="fr-FR"/>
        </w:rPr>
      </w:pPr>
    </w:p>
    <w:p w:rsidR="00770DAA" w:rsidRPr="008C169A" w:rsidRDefault="00770DAA" w:rsidP="00770DAA">
      <w:pPr>
        <w:pStyle w:val="Corpsdetexte2"/>
        <w:rPr>
          <w:rFonts w:ascii="Times New Roman" w:eastAsia="Calibri" w:hAnsi="Times New Roman" w:cs="Times New Roman"/>
          <w:sz w:val="24"/>
          <w:szCs w:val="24"/>
          <w:lang w:val="fr-FR"/>
        </w:rPr>
      </w:pPr>
      <w:r w:rsidRPr="008C169A">
        <w:rPr>
          <w:rFonts w:ascii="Times New Roman" w:eastAsia="Calibri" w:hAnsi="Times New Roman" w:cs="Times New Roman"/>
          <w:sz w:val="24"/>
          <w:szCs w:val="24"/>
          <w:lang w:val="fr-FR"/>
        </w:rPr>
        <w:t>L’implantation du réseau de laboratoires piloté par l’Institut National de recherches en santé publique (INRSP) a été assurée dans les trois wilayas cibles du programme et une cartographie de la qualité de l’eau de boisson a été réalisée pour 6 des 13 régions que comptent le pays.</w:t>
      </w:r>
    </w:p>
    <w:p w:rsidR="008C169A" w:rsidRPr="008C169A" w:rsidRDefault="008C169A" w:rsidP="00770DAA">
      <w:pPr>
        <w:pStyle w:val="Corpsdetexte2"/>
        <w:rPr>
          <w:rFonts w:ascii="Times New Roman" w:eastAsia="Calibri" w:hAnsi="Times New Roman" w:cs="Times New Roman"/>
          <w:sz w:val="24"/>
          <w:szCs w:val="24"/>
          <w:lang w:val="fr-FR"/>
        </w:rPr>
      </w:pPr>
    </w:p>
    <w:p w:rsidR="00770DAA" w:rsidRPr="008C169A" w:rsidRDefault="00922E2A" w:rsidP="00770DAA">
      <w:pPr>
        <w:pStyle w:val="Corpsdetexte2"/>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En outre, l</w:t>
      </w:r>
      <w:r w:rsidR="00770DAA" w:rsidRPr="008C169A">
        <w:rPr>
          <w:rFonts w:ascii="Times New Roman" w:eastAsia="Calibri" w:hAnsi="Times New Roman" w:cs="Times New Roman"/>
          <w:sz w:val="24"/>
          <w:szCs w:val="24"/>
          <w:lang w:val="fr-FR"/>
        </w:rPr>
        <w:t xml:space="preserve">es nuisances environnementales et risques liés aux déchets biomédicaux ont été réduits par la construction de 06 incinérateurs et la formation adéquate de personnels de santé et paramédical dans 04 des 06 sites. </w:t>
      </w:r>
    </w:p>
    <w:p w:rsidR="00770DAA" w:rsidRPr="008C169A" w:rsidRDefault="00770DAA" w:rsidP="00770DAA">
      <w:pPr>
        <w:pStyle w:val="Corpsdetexte2"/>
        <w:rPr>
          <w:rFonts w:ascii="Times New Roman" w:hAnsi="Times New Roman" w:cs="Times New Roman"/>
          <w:sz w:val="24"/>
          <w:szCs w:val="24"/>
          <w:lang w:val="fr-FR" w:eastAsia="zh-CN"/>
        </w:rPr>
      </w:pPr>
    </w:p>
    <w:p w:rsidR="00770DAA" w:rsidRPr="008C169A" w:rsidRDefault="00770DAA" w:rsidP="00770DAA">
      <w:pPr>
        <w:pStyle w:val="Corpsdetexte2"/>
        <w:rPr>
          <w:rFonts w:ascii="Times New Roman" w:eastAsia="Calibri" w:hAnsi="Times New Roman" w:cs="Times New Roman"/>
          <w:sz w:val="24"/>
          <w:szCs w:val="24"/>
          <w:lang w:val="fr-FR"/>
        </w:rPr>
      </w:pPr>
      <w:r w:rsidRPr="008C169A">
        <w:rPr>
          <w:rFonts w:ascii="Times New Roman" w:eastAsia="Calibri" w:hAnsi="Times New Roman" w:cs="Times New Roman"/>
          <w:sz w:val="24"/>
          <w:szCs w:val="24"/>
          <w:lang w:val="fr-FR"/>
        </w:rPr>
        <w:lastRenderedPageBreak/>
        <w:t xml:space="preserve">Quatre projets « Changement de comportements favorables à l’approvisionnement en eau potable, à l’hygiène et l’assainissement » ont été </w:t>
      </w:r>
      <w:r w:rsidR="00922E2A">
        <w:rPr>
          <w:rFonts w:ascii="Times New Roman" w:eastAsia="Calibri" w:hAnsi="Times New Roman" w:cs="Times New Roman"/>
          <w:sz w:val="24"/>
          <w:szCs w:val="24"/>
          <w:lang w:val="fr-FR"/>
        </w:rPr>
        <w:t xml:space="preserve">mis en </w:t>
      </w:r>
      <w:r w:rsidR="007D3764">
        <w:rPr>
          <w:rFonts w:ascii="Times New Roman" w:eastAsia="Calibri" w:hAnsi="Times New Roman" w:cs="Times New Roman"/>
          <w:sz w:val="24"/>
          <w:szCs w:val="24"/>
          <w:lang w:val="fr-FR"/>
        </w:rPr>
        <w:t>œuvre</w:t>
      </w:r>
      <w:r w:rsidRPr="008C169A">
        <w:rPr>
          <w:rFonts w:ascii="Times New Roman" w:eastAsia="Calibri" w:hAnsi="Times New Roman" w:cs="Times New Roman"/>
          <w:sz w:val="24"/>
          <w:szCs w:val="24"/>
          <w:lang w:val="fr-FR"/>
        </w:rPr>
        <w:t xml:space="preserve"> dans des établissements pilotes </w:t>
      </w:r>
      <w:r w:rsidR="008C169A" w:rsidRPr="008C169A">
        <w:rPr>
          <w:rFonts w:ascii="Times New Roman" w:eastAsia="Calibri" w:hAnsi="Times New Roman" w:cs="Times New Roman"/>
          <w:sz w:val="24"/>
          <w:szCs w:val="24"/>
          <w:lang w:val="fr-FR"/>
        </w:rPr>
        <w:t xml:space="preserve">des </w:t>
      </w:r>
      <w:r w:rsidRPr="008C169A">
        <w:rPr>
          <w:rFonts w:ascii="Times New Roman" w:eastAsia="Calibri" w:hAnsi="Times New Roman" w:cs="Times New Roman"/>
          <w:sz w:val="24"/>
          <w:szCs w:val="24"/>
          <w:lang w:val="fr-FR"/>
        </w:rPr>
        <w:t>zones ciblées au profit de plus 2</w:t>
      </w:r>
      <w:r w:rsidR="008C169A" w:rsidRPr="008C169A">
        <w:rPr>
          <w:rFonts w:ascii="Times New Roman" w:eastAsia="Calibri" w:hAnsi="Times New Roman" w:cs="Times New Roman"/>
          <w:sz w:val="24"/>
          <w:szCs w:val="24"/>
          <w:lang w:val="fr-FR"/>
        </w:rPr>
        <w:t>.</w:t>
      </w:r>
      <w:r w:rsidRPr="008C169A">
        <w:rPr>
          <w:rFonts w:ascii="Times New Roman" w:eastAsia="Calibri" w:hAnsi="Times New Roman" w:cs="Times New Roman"/>
          <w:sz w:val="24"/>
          <w:szCs w:val="24"/>
          <w:lang w:val="fr-FR"/>
        </w:rPr>
        <w:t>100 élèves, 54 élus/enseignants/APE et 24 vendeurs d’eau à proximité des établissements formés.</w:t>
      </w:r>
    </w:p>
    <w:p w:rsidR="00770DAA" w:rsidRPr="008C169A" w:rsidRDefault="00770DAA" w:rsidP="00770DAA">
      <w:pPr>
        <w:pStyle w:val="Corpsdetexte2"/>
        <w:rPr>
          <w:rFonts w:ascii="Times New Roman" w:eastAsia="Calibri" w:hAnsi="Times New Roman" w:cs="Times New Roman"/>
          <w:sz w:val="24"/>
          <w:szCs w:val="24"/>
          <w:lang w:val="fr-FR"/>
        </w:rPr>
      </w:pPr>
    </w:p>
    <w:p w:rsidR="00770DAA" w:rsidRPr="008C169A" w:rsidRDefault="00770DAA" w:rsidP="00770DAA">
      <w:pPr>
        <w:jc w:val="both"/>
        <w:rPr>
          <w:lang w:val="fr-FR"/>
        </w:rPr>
      </w:pPr>
      <w:r w:rsidRPr="008C169A">
        <w:rPr>
          <w:lang w:val="fr-FR"/>
        </w:rPr>
        <w:t>S’agissant du renforcement des capacités des communautés locales et des organisations de la société civile à travers une gestion participative des ressources locales en eau, un protocole d’accord avec une ONG locale pour l’aménagement d’une dépression naturelle a été signé. Les capacités de la communauté seront renforcées dans le cadre de cet aménagement. Un système d’adduction d’eau et l’aménagement d’une carrière naturelle ont également été réalisés.</w:t>
      </w:r>
    </w:p>
    <w:p w:rsidR="00770DAA" w:rsidRPr="005C6FD4" w:rsidRDefault="00770DAA" w:rsidP="00770DAA">
      <w:pPr>
        <w:jc w:val="both"/>
        <w:rPr>
          <w:lang w:val="fr-FR"/>
        </w:rPr>
      </w:pPr>
    </w:p>
    <w:p w:rsidR="00770DAA" w:rsidRPr="005C6FD4" w:rsidRDefault="00770DAA" w:rsidP="00770DAA">
      <w:pPr>
        <w:jc w:val="both"/>
        <w:rPr>
          <w:b/>
          <w:noProof/>
          <w:u w:val="single"/>
          <w:lang w:val="fr-FR"/>
        </w:rPr>
      </w:pPr>
      <w:r w:rsidRPr="005C6FD4">
        <w:rPr>
          <w:b/>
          <w:noProof/>
          <w:u w:val="single"/>
          <w:lang w:val="fr-FR"/>
        </w:rPr>
        <w:t>EFFET 2 : Les capacités nationales sont renforcées pour assurer une meilleure prise en compte des défis environnementaux dans les processus de planification</w:t>
      </w:r>
    </w:p>
    <w:p w:rsidR="00770DAA" w:rsidRPr="005C6FD4" w:rsidRDefault="00770DAA" w:rsidP="00770DAA">
      <w:pPr>
        <w:pStyle w:val="Corpsdetexte2"/>
        <w:rPr>
          <w:rFonts w:ascii="Times New Roman" w:eastAsia="Calibri" w:hAnsi="Times New Roman" w:cs="Times New Roman"/>
          <w:sz w:val="24"/>
          <w:szCs w:val="24"/>
          <w:lang w:val="fr-CA"/>
        </w:rPr>
      </w:pPr>
    </w:p>
    <w:p w:rsidR="00770DAA" w:rsidRPr="005C6FD4" w:rsidRDefault="00770DAA" w:rsidP="00770DAA">
      <w:pPr>
        <w:jc w:val="both"/>
        <w:rPr>
          <w:lang w:val="fr-CA"/>
        </w:rPr>
      </w:pPr>
      <w:r w:rsidRPr="005C6FD4">
        <w:rPr>
          <w:lang w:val="fr-CA"/>
        </w:rPr>
        <w:t xml:space="preserve">Dans le cadre du projet Articulation Pauvreté Environnement qui vise une intégration de l’environnement dans les politiques nationales, une évaluation intégrée des écosystèmes  dans le parc de Diawling, la mare de Kankossa et le lac de Maal a été réalisée de même qu’une évaluation environnementale stratégique dans le secteur de la santé. </w:t>
      </w:r>
    </w:p>
    <w:p w:rsidR="005C6FD4" w:rsidRPr="005C6FD4" w:rsidRDefault="005C6FD4" w:rsidP="00770DAA">
      <w:pPr>
        <w:jc w:val="both"/>
        <w:rPr>
          <w:lang w:val="fr-CA"/>
        </w:rPr>
      </w:pPr>
    </w:p>
    <w:p w:rsidR="00770DAA" w:rsidRPr="005C6FD4" w:rsidRDefault="00770DAA" w:rsidP="00770DAA">
      <w:pPr>
        <w:autoSpaceDE w:val="0"/>
        <w:autoSpaceDN w:val="0"/>
        <w:adjustRightInd w:val="0"/>
        <w:jc w:val="both"/>
        <w:rPr>
          <w:lang w:val="fr-CA"/>
        </w:rPr>
      </w:pPr>
      <w:r w:rsidRPr="005C6FD4">
        <w:rPr>
          <w:lang w:val="fr-CA"/>
        </w:rPr>
        <w:t>Au regard du contexte politique</w:t>
      </w:r>
      <w:r w:rsidR="005C6FD4" w:rsidRPr="005C6FD4">
        <w:rPr>
          <w:lang w:val="fr-CA"/>
        </w:rPr>
        <w:t>,</w:t>
      </w:r>
      <w:r w:rsidRPr="005C6FD4">
        <w:rPr>
          <w:lang w:val="fr-CA"/>
        </w:rPr>
        <w:t xml:space="preserve"> les activités en rapport avec le renforcement des capacités comme la communication et la sensibilisation  environnementale n’ont pu avoir lieu. Elles ont été reportées sur l’année 2 du programme.</w:t>
      </w:r>
    </w:p>
    <w:p w:rsidR="00EA64F4" w:rsidRPr="005C6FD4" w:rsidRDefault="00EA64F4" w:rsidP="00575320">
      <w:pPr>
        <w:jc w:val="both"/>
        <w:rPr>
          <w:lang w:val="fr-CA"/>
        </w:rPr>
      </w:pPr>
    </w:p>
    <w:p w:rsidR="005C6FD4" w:rsidRPr="005C6FD4" w:rsidRDefault="005C6FD4" w:rsidP="000E34E5">
      <w:pPr>
        <w:jc w:val="both"/>
        <w:rPr>
          <w:lang w:val="fr-FR"/>
        </w:rPr>
      </w:pPr>
      <w:r w:rsidRPr="005C6FD4">
        <w:rPr>
          <w:lang w:val="fr-FR"/>
        </w:rPr>
        <w:t xml:space="preserve">En dépit des avancées réalisées, on relève dans l’ensemble quelques entravés liées à la bonne exécution du programme. Elles ont trait essentiellement au contexte politique et à la mise en place du cadre institutionnel et des modalités de gestion. </w:t>
      </w:r>
    </w:p>
    <w:p w:rsidR="005C6FD4" w:rsidRPr="005C6FD4" w:rsidRDefault="005C6FD4" w:rsidP="000E34E5">
      <w:pPr>
        <w:jc w:val="both"/>
        <w:rPr>
          <w:lang w:val="fr-FR"/>
        </w:rPr>
      </w:pPr>
    </w:p>
    <w:p w:rsidR="000E34E5" w:rsidRPr="005C6FD4" w:rsidRDefault="005C6FD4" w:rsidP="000E34E5">
      <w:pPr>
        <w:jc w:val="both"/>
        <w:rPr>
          <w:lang w:val="fr-FR"/>
        </w:rPr>
      </w:pPr>
      <w:r w:rsidRPr="005C6FD4">
        <w:rPr>
          <w:lang w:val="fr-FR"/>
        </w:rPr>
        <w:t xml:space="preserve">Au niveau politique, le lancement du programme </w:t>
      </w:r>
      <w:r w:rsidR="000E34E5" w:rsidRPr="005C6FD4">
        <w:rPr>
          <w:lang w:val="fr-FR"/>
        </w:rPr>
        <w:t>après le coup d’état du 6 Août 2008</w:t>
      </w:r>
      <w:r w:rsidRPr="005C6FD4">
        <w:rPr>
          <w:lang w:val="fr-FR"/>
        </w:rPr>
        <w:t xml:space="preserve"> n’a pas </w:t>
      </w:r>
      <w:r w:rsidR="000E34E5" w:rsidRPr="005C6FD4">
        <w:rPr>
          <w:lang w:val="fr-FR"/>
        </w:rPr>
        <w:t xml:space="preserve">facilité </w:t>
      </w:r>
      <w:r w:rsidRPr="005C6FD4">
        <w:rPr>
          <w:lang w:val="fr-FR"/>
        </w:rPr>
        <w:t>le</w:t>
      </w:r>
      <w:r w:rsidR="000E34E5" w:rsidRPr="005C6FD4">
        <w:rPr>
          <w:lang w:val="fr-FR"/>
        </w:rPr>
        <w:t xml:space="preserve"> démarrage </w:t>
      </w:r>
      <w:r w:rsidRPr="005C6FD4">
        <w:rPr>
          <w:lang w:val="fr-FR"/>
        </w:rPr>
        <w:t xml:space="preserve">effectif des activités opérationnelles. </w:t>
      </w:r>
    </w:p>
    <w:p w:rsidR="000E34E5" w:rsidRPr="005C6FD4" w:rsidRDefault="000E34E5" w:rsidP="00575320">
      <w:pPr>
        <w:jc w:val="both"/>
        <w:rPr>
          <w:lang w:val="fr-FR"/>
        </w:rPr>
      </w:pPr>
    </w:p>
    <w:p w:rsidR="00B73507" w:rsidRPr="005C6FD4" w:rsidRDefault="005C6FD4" w:rsidP="00B73507">
      <w:pPr>
        <w:jc w:val="both"/>
        <w:rPr>
          <w:rFonts w:eastAsia="MS Mincho"/>
          <w:lang w:val="fr-FR"/>
        </w:rPr>
      </w:pPr>
      <w:r w:rsidRPr="005C6FD4">
        <w:rPr>
          <w:rFonts w:eastAsia="MS Mincho"/>
          <w:lang w:val="fr-FR"/>
        </w:rPr>
        <w:t>Au niveau opérationnel, l</w:t>
      </w:r>
      <w:r w:rsidR="00B73507" w:rsidRPr="005C6FD4">
        <w:rPr>
          <w:rFonts w:eastAsia="MS Mincho"/>
          <w:lang w:val="fr-FR"/>
        </w:rPr>
        <w:t xml:space="preserve">’absence de traduction en arabe des outils de formation a </w:t>
      </w:r>
      <w:r w:rsidR="000C3014" w:rsidRPr="005C6FD4">
        <w:rPr>
          <w:rFonts w:eastAsia="MS Mincho"/>
          <w:lang w:val="fr-FR"/>
        </w:rPr>
        <w:t xml:space="preserve">constitué </w:t>
      </w:r>
      <w:r w:rsidR="00B73507" w:rsidRPr="005C6FD4">
        <w:rPr>
          <w:rFonts w:eastAsia="MS Mincho"/>
          <w:lang w:val="fr-FR"/>
        </w:rPr>
        <w:t>une contrainte majeure</w:t>
      </w:r>
      <w:r w:rsidR="000C3014" w:rsidRPr="005C6FD4">
        <w:rPr>
          <w:rFonts w:eastAsia="MS Mincho"/>
          <w:lang w:val="fr-FR"/>
        </w:rPr>
        <w:t xml:space="preserve"> dans la </w:t>
      </w:r>
      <w:r w:rsidR="000E34E5" w:rsidRPr="005C6FD4">
        <w:rPr>
          <w:rFonts w:eastAsia="MS Mincho"/>
          <w:lang w:val="fr-FR"/>
        </w:rPr>
        <w:t>conduite</w:t>
      </w:r>
      <w:r w:rsidR="000C3014" w:rsidRPr="005C6FD4">
        <w:rPr>
          <w:rFonts w:eastAsia="MS Mincho"/>
          <w:lang w:val="fr-FR"/>
        </w:rPr>
        <w:t xml:space="preserve"> des </w:t>
      </w:r>
      <w:r w:rsidR="000E34E5" w:rsidRPr="005C6FD4">
        <w:rPr>
          <w:rFonts w:eastAsia="MS Mincho"/>
          <w:lang w:val="fr-FR"/>
        </w:rPr>
        <w:t>activités</w:t>
      </w:r>
      <w:r w:rsidR="000C3014" w:rsidRPr="005C6FD4">
        <w:rPr>
          <w:rFonts w:eastAsia="MS Mincho"/>
          <w:lang w:val="fr-FR"/>
        </w:rPr>
        <w:t xml:space="preserve"> du </w:t>
      </w:r>
      <w:r w:rsidR="000E34E5" w:rsidRPr="005C6FD4">
        <w:rPr>
          <w:rFonts w:eastAsia="MS Mincho"/>
          <w:lang w:val="fr-FR"/>
        </w:rPr>
        <w:t>pr</w:t>
      </w:r>
      <w:r w:rsidR="000C3014" w:rsidRPr="005C6FD4">
        <w:rPr>
          <w:rFonts w:eastAsia="MS Mincho"/>
          <w:lang w:val="fr-FR"/>
        </w:rPr>
        <w:t>ogramme</w:t>
      </w:r>
      <w:r w:rsidR="00B73507" w:rsidRPr="005C6FD4">
        <w:rPr>
          <w:rFonts w:eastAsia="MS Mincho"/>
          <w:lang w:val="fr-FR"/>
        </w:rPr>
        <w:t xml:space="preserve">. </w:t>
      </w:r>
      <w:r w:rsidR="000C3014" w:rsidRPr="005C6FD4">
        <w:rPr>
          <w:rFonts w:eastAsia="MS Mincho"/>
          <w:lang w:val="fr-FR"/>
        </w:rPr>
        <w:t>En outre, les problèmes liés à l</w:t>
      </w:r>
      <w:r w:rsidR="00B73507" w:rsidRPr="005C6FD4">
        <w:rPr>
          <w:rFonts w:eastAsia="MS Mincho"/>
          <w:lang w:val="fr-FR"/>
        </w:rPr>
        <w:t>’identification des projets des différentes composantes</w:t>
      </w:r>
      <w:r w:rsidR="000C3014" w:rsidRPr="005C6FD4">
        <w:rPr>
          <w:rFonts w:eastAsia="MS Mincho"/>
          <w:lang w:val="fr-FR"/>
        </w:rPr>
        <w:t>, l</w:t>
      </w:r>
      <w:r w:rsidR="00B73507" w:rsidRPr="005C6FD4">
        <w:rPr>
          <w:rFonts w:eastAsia="MS Mincho"/>
          <w:lang w:val="fr-FR"/>
        </w:rPr>
        <w:t>a dispersion des sites et leur grand nombre</w:t>
      </w:r>
      <w:r w:rsidR="000C3014" w:rsidRPr="005C6FD4">
        <w:rPr>
          <w:rFonts w:eastAsia="MS Mincho"/>
          <w:lang w:val="fr-FR"/>
        </w:rPr>
        <w:t>,</w:t>
      </w:r>
      <w:r w:rsidR="00B73507" w:rsidRPr="005C6FD4">
        <w:rPr>
          <w:rFonts w:eastAsia="MS Mincho"/>
          <w:lang w:val="fr-FR"/>
        </w:rPr>
        <w:t xml:space="preserve"> </w:t>
      </w:r>
      <w:r w:rsidR="000C3014" w:rsidRPr="005C6FD4">
        <w:rPr>
          <w:rFonts w:eastAsia="MS Mincho"/>
          <w:lang w:val="fr-FR"/>
        </w:rPr>
        <w:t>ont</w:t>
      </w:r>
      <w:r w:rsidR="00B73507" w:rsidRPr="005C6FD4">
        <w:rPr>
          <w:rFonts w:eastAsia="MS Mincho"/>
          <w:lang w:val="fr-FR"/>
        </w:rPr>
        <w:t xml:space="preserve"> entraîné </w:t>
      </w:r>
      <w:r w:rsidR="000C3014" w:rsidRPr="005C6FD4">
        <w:rPr>
          <w:rFonts w:eastAsia="MS Mincho"/>
          <w:lang w:val="fr-FR"/>
        </w:rPr>
        <w:t>des</w:t>
      </w:r>
      <w:r w:rsidR="00B73507" w:rsidRPr="005C6FD4">
        <w:rPr>
          <w:rFonts w:eastAsia="MS Mincho"/>
          <w:lang w:val="fr-FR"/>
        </w:rPr>
        <w:t xml:space="preserve"> difficultés dans le suivi du programme.</w:t>
      </w:r>
      <w:r w:rsidRPr="005C6FD4">
        <w:rPr>
          <w:rFonts w:eastAsia="MS Mincho"/>
          <w:lang w:val="fr-FR"/>
        </w:rPr>
        <w:t xml:space="preserve"> </w:t>
      </w:r>
      <w:r w:rsidR="000C3014" w:rsidRPr="005C6FD4">
        <w:rPr>
          <w:rFonts w:eastAsia="MS Mincho"/>
          <w:lang w:val="fr-FR"/>
        </w:rPr>
        <w:t xml:space="preserve">La démission du </w:t>
      </w:r>
      <w:r w:rsidR="00B73507" w:rsidRPr="005C6FD4">
        <w:rPr>
          <w:rFonts w:eastAsia="MS Mincho"/>
          <w:lang w:val="fr-FR"/>
        </w:rPr>
        <w:t>chargé de suivi évaluation</w:t>
      </w:r>
      <w:r w:rsidR="000C3014" w:rsidRPr="005C6FD4">
        <w:rPr>
          <w:rFonts w:eastAsia="MS Mincho"/>
          <w:lang w:val="fr-FR"/>
        </w:rPr>
        <w:t xml:space="preserve"> décembre 2009, après seulement </w:t>
      </w:r>
      <w:r w:rsidR="00B73507" w:rsidRPr="005C6FD4">
        <w:rPr>
          <w:rFonts w:eastAsia="MS Mincho"/>
          <w:lang w:val="fr-FR"/>
        </w:rPr>
        <w:t xml:space="preserve">5 mois d’exercice, </w:t>
      </w:r>
      <w:r w:rsidR="000C3014" w:rsidRPr="005C6FD4">
        <w:rPr>
          <w:rFonts w:eastAsia="MS Mincho"/>
          <w:lang w:val="fr-FR"/>
        </w:rPr>
        <w:t xml:space="preserve">a également été préjudiciable au bon </w:t>
      </w:r>
      <w:r w:rsidR="00B73507" w:rsidRPr="005C6FD4">
        <w:rPr>
          <w:rFonts w:eastAsia="MS Mincho"/>
          <w:lang w:val="fr-FR"/>
        </w:rPr>
        <w:t>déroulement des activités</w:t>
      </w:r>
      <w:r w:rsidR="000C3014" w:rsidRPr="005C6FD4">
        <w:rPr>
          <w:rFonts w:eastAsia="MS Mincho"/>
          <w:lang w:val="fr-FR"/>
        </w:rPr>
        <w:t xml:space="preserve"> du programme</w:t>
      </w:r>
      <w:r w:rsidR="00B73507" w:rsidRPr="005C6FD4">
        <w:rPr>
          <w:rFonts w:eastAsia="MS Mincho"/>
          <w:lang w:val="fr-FR"/>
        </w:rPr>
        <w:t xml:space="preserve">. </w:t>
      </w:r>
    </w:p>
    <w:p w:rsidR="00B73507" w:rsidRPr="005C6FD4" w:rsidRDefault="00B73507" w:rsidP="00575320">
      <w:pPr>
        <w:jc w:val="both"/>
        <w:rPr>
          <w:lang w:val="fr-FR"/>
        </w:rPr>
      </w:pPr>
    </w:p>
    <w:p w:rsidR="00AB0274" w:rsidRPr="00B32E35" w:rsidRDefault="00AB0274"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11" w:name="_Toc249364487"/>
      <w:r w:rsidRPr="00B32E35">
        <w:rPr>
          <w:rFonts w:ascii="Times New Roman" w:hAnsi="Times New Roman" w:cs="Times New Roman"/>
          <w:sz w:val="24"/>
          <w:szCs w:val="24"/>
        </w:rPr>
        <w:t xml:space="preserve">Plan </w:t>
      </w:r>
      <w:r w:rsidR="004C7191">
        <w:rPr>
          <w:rFonts w:ascii="Times New Roman" w:hAnsi="Times New Roman" w:cs="Times New Roman"/>
          <w:sz w:val="24"/>
          <w:szCs w:val="24"/>
        </w:rPr>
        <w:t>de travail 2010</w:t>
      </w:r>
      <w:bookmarkEnd w:id="11"/>
    </w:p>
    <w:p w:rsidR="00AB0274" w:rsidRDefault="00AB0274" w:rsidP="00AE3B7D">
      <w:pPr>
        <w:jc w:val="both"/>
      </w:pPr>
    </w:p>
    <w:p w:rsidR="00AE3B7D" w:rsidRDefault="00AE3B7D" w:rsidP="00AE3B7D">
      <w:pPr>
        <w:jc w:val="both"/>
        <w:rPr>
          <w:lang w:val="fr-FR"/>
        </w:rPr>
      </w:pPr>
      <w:r w:rsidRPr="00AE3B7D">
        <w:rPr>
          <w:lang w:val="fr-FR"/>
        </w:rPr>
        <w:t xml:space="preserve">Le plan de travail </w:t>
      </w:r>
      <w:r>
        <w:rPr>
          <w:lang w:val="fr-FR"/>
        </w:rPr>
        <w:t xml:space="preserve">annuel </w:t>
      </w:r>
      <w:r w:rsidRPr="00AE3B7D">
        <w:rPr>
          <w:lang w:val="fr-FR"/>
        </w:rPr>
        <w:t xml:space="preserve">du programme en cours couvre la période allant </w:t>
      </w:r>
      <w:r>
        <w:rPr>
          <w:lang w:val="fr-FR"/>
        </w:rPr>
        <w:t xml:space="preserve">de septembre 2009 à aout 2010. Une partie donc des résultats relatés au titre de l’année civile 2009 sont couverts par ce plan de travail. Il s’inscrit globalement sur la lancée des activités engagées au cours de la première année et vise notamment à mettre l’accent sur le rattrapage du retard accusé. </w:t>
      </w:r>
    </w:p>
    <w:p w:rsidR="00AE3B7D" w:rsidRDefault="00AE3B7D" w:rsidP="00AE3B7D">
      <w:pPr>
        <w:jc w:val="both"/>
        <w:rPr>
          <w:lang w:val="fr-FR"/>
        </w:rPr>
      </w:pPr>
    </w:p>
    <w:p w:rsidR="00AE3B7D" w:rsidRPr="00AE3B7D" w:rsidRDefault="00AE3B7D" w:rsidP="00AE3B7D">
      <w:pPr>
        <w:jc w:val="both"/>
        <w:rPr>
          <w:lang w:val="fr-FR"/>
        </w:rPr>
      </w:pPr>
      <w:r>
        <w:rPr>
          <w:lang w:val="fr-FR"/>
        </w:rPr>
        <w:t xml:space="preserve">Le budget au tire de cette année s’élève à 2,07 millions dollars US, soit 41% du budget global du programme. L’année 2 s’avère donc déterminante dans la mise en œuvre du programme et requerra sans nulle doute des ajustements au niveau des modalités de mise en œuvre et de gestion. Cependant, aucun </w:t>
      </w:r>
      <w:r>
        <w:rPr>
          <w:lang w:val="fr-FR"/>
        </w:rPr>
        <w:lastRenderedPageBreak/>
        <w:t xml:space="preserve">changement fondamental ne sera opéré au niveau de l’orientation des produits et des activités du programme dont la pertinence ont été confirmées par les différentes parties prenantes. </w:t>
      </w:r>
    </w:p>
    <w:p w:rsidR="00575320" w:rsidRPr="00AE3B7D" w:rsidRDefault="00575320" w:rsidP="00AE3B7D">
      <w:pPr>
        <w:jc w:val="both"/>
        <w:rPr>
          <w:lang w:val="fr-FR"/>
        </w:rPr>
      </w:pPr>
    </w:p>
    <w:p w:rsidR="00AB0274" w:rsidRPr="00892409" w:rsidRDefault="00AD31B4" w:rsidP="00AB0274">
      <w:pPr>
        <w:pStyle w:val="Titre1"/>
        <w:numPr>
          <w:ilvl w:val="0"/>
          <w:numId w:val="29"/>
        </w:numPr>
        <w:tabs>
          <w:tab w:val="clear" w:pos="1080"/>
          <w:tab w:val="left" w:pos="360"/>
        </w:tabs>
        <w:ind w:left="360" w:hanging="360"/>
        <w:jc w:val="left"/>
        <w:rPr>
          <w:rFonts w:ascii="Times New Roman" w:hAnsi="Times New Roman" w:cs="Times New Roman"/>
          <w:sz w:val="24"/>
          <w:szCs w:val="24"/>
        </w:rPr>
      </w:pPr>
      <w:bookmarkStart w:id="12" w:name="_Toc249364488"/>
      <w:r>
        <w:rPr>
          <w:rFonts w:ascii="Times New Roman" w:hAnsi="Times New Roman" w:cs="Times New Roman"/>
          <w:sz w:val="24"/>
          <w:szCs w:val="24"/>
        </w:rPr>
        <w:t xml:space="preserve">Indicateurs de </w:t>
      </w:r>
      <w:bookmarkEnd w:id="12"/>
      <w:r>
        <w:rPr>
          <w:rFonts w:ascii="Times New Roman" w:hAnsi="Times New Roman" w:cs="Times New Roman"/>
          <w:sz w:val="24"/>
          <w:szCs w:val="24"/>
        </w:rPr>
        <w:t>performance</w:t>
      </w:r>
      <w:r w:rsidR="00BA3272">
        <w:rPr>
          <w:rFonts w:ascii="Times New Roman" w:hAnsi="Times New Roman" w:cs="Times New Roman"/>
          <w:sz w:val="24"/>
          <w:szCs w:val="24"/>
        </w:rPr>
        <w:t xml:space="preserve"> (option</w:t>
      </w:r>
      <w:r>
        <w:rPr>
          <w:rFonts w:ascii="Times New Roman" w:hAnsi="Times New Roman" w:cs="Times New Roman"/>
          <w:sz w:val="24"/>
          <w:szCs w:val="24"/>
        </w:rPr>
        <w:t>nel</w:t>
      </w:r>
      <w:r w:rsidR="00BA3272">
        <w:rPr>
          <w:rFonts w:ascii="Times New Roman" w:hAnsi="Times New Roman" w:cs="Times New Roman"/>
          <w:sz w:val="24"/>
          <w:szCs w:val="24"/>
        </w:rPr>
        <w:t>)</w:t>
      </w:r>
      <w:r w:rsidR="00BA3272" w:rsidRPr="00892409">
        <w:rPr>
          <w:rStyle w:val="Appelnotedebasdep"/>
          <w:b w:val="0"/>
          <w:bCs w:val="0"/>
        </w:rPr>
        <w:footnoteReference w:id="2"/>
      </w:r>
      <w:r w:rsidR="00A03233" w:rsidRPr="00892409">
        <w:rPr>
          <w:rStyle w:val="Appelnotedebasdep"/>
          <w:b w:val="0"/>
          <w:bCs w:val="0"/>
        </w:rPr>
        <w:t xml:space="preserve"> </w:t>
      </w:r>
    </w:p>
    <w:p w:rsidR="00AB0274" w:rsidRDefault="00AB0274" w:rsidP="00AB0274"/>
    <w:p w:rsidR="0064197D" w:rsidRPr="0064197D" w:rsidRDefault="0064197D" w:rsidP="00AB0274">
      <w:pPr>
        <w:rPr>
          <w:lang w:val="fr-FR"/>
        </w:rPr>
      </w:pPr>
      <w:r w:rsidRPr="0064197D">
        <w:rPr>
          <w:lang w:val="fr-FR"/>
        </w:rPr>
        <w:t xml:space="preserve">La situation des indicateurs de produits </w:t>
      </w:r>
      <w:r>
        <w:rPr>
          <w:lang w:val="fr-FR"/>
        </w:rPr>
        <w:t>au 31.12.2009 est</w:t>
      </w:r>
      <w:r w:rsidRPr="0064197D">
        <w:rPr>
          <w:lang w:val="fr-FR"/>
        </w:rPr>
        <w:t xml:space="preserve"> relat</w:t>
      </w:r>
      <w:r>
        <w:rPr>
          <w:lang w:val="fr-FR"/>
        </w:rPr>
        <w:t>é</w:t>
      </w:r>
      <w:r w:rsidRPr="0064197D">
        <w:rPr>
          <w:lang w:val="fr-FR"/>
        </w:rPr>
        <w:t xml:space="preserve">e </w:t>
      </w:r>
      <w:r>
        <w:rPr>
          <w:lang w:val="fr-FR"/>
        </w:rPr>
        <w:t>dans le tableau c</w:t>
      </w:r>
      <w:r w:rsidRPr="0064197D">
        <w:rPr>
          <w:lang w:val="fr-FR"/>
        </w:rPr>
        <w:t>i-de</w:t>
      </w:r>
      <w:r>
        <w:rPr>
          <w:lang w:val="fr-FR"/>
        </w:rPr>
        <w:t>s</w:t>
      </w:r>
      <w:r w:rsidRPr="0064197D">
        <w:rPr>
          <w:lang w:val="fr-FR"/>
        </w:rPr>
        <w:t xml:space="preserve">sous. </w:t>
      </w:r>
    </w:p>
    <w:p w:rsidR="0064197D" w:rsidRPr="0064197D" w:rsidRDefault="0064197D" w:rsidP="00AB0274">
      <w:pPr>
        <w:rPr>
          <w:lang w:val="fr-FR"/>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2"/>
        <w:gridCol w:w="2681"/>
        <w:gridCol w:w="3016"/>
        <w:gridCol w:w="1979"/>
      </w:tblGrid>
      <w:tr w:rsidR="00996BDA" w:rsidRPr="00055BFF" w:rsidTr="00055BFF">
        <w:trPr>
          <w:trHeight w:val="562"/>
        </w:trPr>
        <w:tc>
          <w:tcPr>
            <w:tcW w:w="2941" w:type="dxa"/>
          </w:tcPr>
          <w:p w:rsidR="00493697" w:rsidRPr="00055BFF" w:rsidRDefault="00493697" w:rsidP="00AB0274">
            <w:pPr>
              <w:rPr>
                <w:b/>
                <w:sz w:val="20"/>
                <w:szCs w:val="20"/>
                <w:lang w:val="fr-FR"/>
              </w:rPr>
            </w:pPr>
            <w:r w:rsidRPr="00055BFF">
              <w:rPr>
                <w:b/>
                <w:sz w:val="20"/>
                <w:szCs w:val="20"/>
                <w:lang w:val="fr-FR"/>
              </w:rPr>
              <w:t xml:space="preserve">Produits </w:t>
            </w:r>
          </w:p>
        </w:tc>
        <w:tc>
          <w:tcPr>
            <w:tcW w:w="2696" w:type="dxa"/>
          </w:tcPr>
          <w:p w:rsidR="00493697" w:rsidRPr="00055BFF" w:rsidRDefault="006D04D8" w:rsidP="00493697">
            <w:pPr>
              <w:rPr>
                <w:b/>
                <w:sz w:val="20"/>
                <w:szCs w:val="20"/>
                <w:lang w:val="fr-FR"/>
              </w:rPr>
            </w:pPr>
            <w:r w:rsidRPr="00055BFF">
              <w:rPr>
                <w:b/>
                <w:sz w:val="20"/>
                <w:szCs w:val="20"/>
                <w:lang w:val="fr-FR"/>
              </w:rPr>
              <w:t xml:space="preserve">Cibles / </w:t>
            </w:r>
            <w:r w:rsidR="00493697" w:rsidRPr="00055BFF">
              <w:rPr>
                <w:b/>
                <w:sz w:val="20"/>
                <w:szCs w:val="20"/>
                <w:lang w:val="fr-FR"/>
              </w:rPr>
              <w:t xml:space="preserve">Indicateurs </w:t>
            </w:r>
          </w:p>
        </w:tc>
        <w:tc>
          <w:tcPr>
            <w:tcW w:w="2976" w:type="dxa"/>
          </w:tcPr>
          <w:p w:rsidR="00493697" w:rsidRPr="00055BFF" w:rsidRDefault="006D04D8" w:rsidP="006D04D8">
            <w:pPr>
              <w:rPr>
                <w:b/>
                <w:sz w:val="20"/>
                <w:szCs w:val="20"/>
                <w:lang w:val="fr-FR"/>
              </w:rPr>
            </w:pPr>
            <w:r w:rsidRPr="00055BFF">
              <w:rPr>
                <w:b/>
                <w:bCs/>
                <w:sz w:val="20"/>
                <w:szCs w:val="20"/>
                <w:lang w:val="fr-CA"/>
              </w:rPr>
              <w:t>Progrès dans la réalisation</w:t>
            </w:r>
            <w:r w:rsidRPr="00055BFF">
              <w:rPr>
                <w:b/>
                <w:sz w:val="20"/>
                <w:szCs w:val="20"/>
                <w:lang w:val="fr-FR"/>
              </w:rPr>
              <w:t xml:space="preserve"> (s</w:t>
            </w:r>
            <w:r w:rsidR="00C078BA" w:rsidRPr="00055BFF">
              <w:rPr>
                <w:b/>
                <w:sz w:val="20"/>
                <w:szCs w:val="20"/>
                <w:lang w:val="fr-FR"/>
              </w:rPr>
              <w:t>ituation au 31.12.09</w:t>
            </w:r>
            <w:r w:rsidRPr="00055BFF">
              <w:rPr>
                <w:b/>
                <w:sz w:val="20"/>
                <w:szCs w:val="20"/>
                <w:lang w:val="fr-FR"/>
              </w:rPr>
              <w:t>)</w:t>
            </w:r>
          </w:p>
        </w:tc>
        <w:tc>
          <w:tcPr>
            <w:tcW w:w="1985" w:type="dxa"/>
          </w:tcPr>
          <w:p w:rsidR="00493697" w:rsidRPr="00055BFF" w:rsidRDefault="00C078BA" w:rsidP="00AB0274">
            <w:pPr>
              <w:rPr>
                <w:b/>
                <w:sz w:val="20"/>
                <w:szCs w:val="20"/>
                <w:lang w:val="fr-FR"/>
              </w:rPr>
            </w:pPr>
            <w:r w:rsidRPr="00055BFF">
              <w:rPr>
                <w:b/>
                <w:sz w:val="20"/>
                <w:szCs w:val="20"/>
                <w:lang w:val="fr-FR"/>
              </w:rPr>
              <w:t xml:space="preserve">Observations / Commentaires </w:t>
            </w:r>
          </w:p>
        </w:tc>
      </w:tr>
      <w:tr w:rsidR="006D04D8" w:rsidRPr="00055BFF" w:rsidTr="00055BFF">
        <w:tc>
          <w:tcPr>
            <w:tcW w:w="10598" w:type="dxa"/>
            <w:gridSpan w:val="4"/>
          </w:tcPr>
          <w:p w:rsidR="006D04D8" w:rsidRPr="00055BFF" w:rsidRDefault="006D04D8" w:rsidP="00AB0274">
            <w:pPr>
              <w:rPr>
                <w:sz w:val="20"/>
                <w:szCs w:val="20"/>
                <w:lang w:val="fr-FR"/>
              </w:rPr>
            </w:pPr>
            <w:r w:rsidRPr="00055BFF">
              <w:rPr>
                <w:b/>
                <w:noProof/>
                <w:sz w:val="20"/>
                <w:szCs w:val="20"/>
                <w:lang w:val="fr-FR"/>
              </w:rPr>
              <w:t>EFFET 1 : La gestion durable des ressources naturelles, l’accès à l’eau potable, un assainissement de base adéquat et de bonnes pratiques d’hygiène sont améliores à travers la mise en ouevre d’un porte feuille de projets environnementaux participatifs</w:t>
            </w:r>
          </w:p>
        </w:tc>
      </w:tr>
      <w:tr w:rsidR="006D04D8" w:rsidRPr="00055BFF" w:rsidTr="00055BFF">
        <w:tc>
          <w:tcPr>
            <w:tcW w:w="2941" w:type="dxa"/>
            <w:vMerge w:val="restart"/>
          </w:tcPr>
          <w:p w:rsidR="006D04D8" w:rsidRPr="00055BFF" w:rsidRDefault="006D04D8" w:rsidP="00432ABA">
            <w:pPr>
              <w:rPr>
                <w:sz w:val="16"/>
                <w:szCs w:val="16"/>
                <w:lang w:val="fr-FR"/>
              </w:rPr>
            </w:pPr>
            <w:r w:rsidRPr="00055BFF">
              <w:rPr>
                <w:bCs/>
                <w:sz w:val="16"/>
                <w:szCs w:val="16"/>
                <w:lang w:val="fr-CA"/>
              </w:rPr>
              <w:t>Écosystèmes des zones ciblées (littoral, zones humides, forêts classées, gommerais, et zones dégradées et ensablées) par le programme sont restaurées et les revenus  des communautés améliorés et diversifiés</w:t>
            </w:r>
          </w:p>
        </w:tc>
        <w:tc>
          <w:tcPr>
            <w:tcW w:w="2696" w:type="dxa"/>
            <w:vAlign w:val="center"/>
          </w:tcPr>
          <w:p w:rsidR="006D04D8" w:rsidRPr="00055BFF" w:rsidRDefault="006D04D8" w:rsidP="00055BFF">
            <w:pPr>
              <w:rPr>
                <w:bCs/>
                <w:iCs/>
                <w:sz w:val="16"/>
                <w:szCs w:val="16"/>
                <w:lang w:val="fr-CA"/>
              </w:rPr>
            </w:pPr>
            <w:r w:rsidRPr="00055BFF">
              <w:rPr>
                <w:bCs/>
                <w:iCs/>
                <w:sz w:val="16"/>
                <w:szCs w:val="16"/>
                <w:lang w:val="fr-FR"/>
              </w:rPr>
              <w:t xml:space="preserve">Régénération de </w:t>
            </w:r>
            <w:smartTag w:uri="urn:schemas-microsoft-com:office:smarttags" w:element="metricconverter">
              <w:smartTagPr>
                <w:attr w:name="ProductID" w:val="750 ha"/>
              </w:smartTagPr>
              <w:r w:rsidRPr="00055BFF">
                <w:rPr>
                  <w:bCs/>
                  <w:iCs/>
                  <w:sz w:val="16"/>
                  <w:szCs w:val="16"/>
                  <w:lang w:val="fr-FR"/>
                </w:rPr>
                <w:t>750 ha</w:t>
              </w:r>
            </w:smartTag>
            <w:r w:rsidRPr="00055BFF">
              <w:rPr>
                <w:bCs/>
                <w:iCs/>
                <w:sz w:val="16"/>
                <w:szCs w:val="16"/>
                <w:lang w:val="fr-FR"/>
              </w:rPr>
              <w:t xml:space="preserve"> gommier</w:t>
            </w:r>
          </w:p>
        </w:tc>
        <w:tc>
          <w:tcPr>
            <w:tcW w:w="2976" w:type="dxa"/>
            <w:vMerge w:val="restart"/>
          </w:tcPr>
          <w:p w:rsidR="006D04D8" w:rsidRPr="00055BFF" w:rsidRDefault="006D04D8" w:rsidP="006D04D8">
            <w:pPr>
              <w:rPr>
                <w:noProof/>
                <w:sz w:val="16"/>
                <w:szCs w:val="16"/>
                <w:lang w:val="fr-FR"/>
              </w:rPr>
            </w:pPr>
            <w:r w:rsidRPr="00055BFF">
              <w:rPr>
                <w:noProof/>
                <w:sz w:val="16"/>
                <w:szCs w:val="16"/>
                <w:lang w:val="fr-FR"/>
              </w:rPr>
              <w:t xml:space="preserve">Régénération de gommier sur </w:t>
            </w:r>
            <w:smartTag w:uri="urn:schemas-microsoft-com:office:smarttags" w:element="metricconverter">
              <w:smartTagPr>
                <w:attr w:name="ProductID" w:val="300 ha"/>
              </w:smartTagPr>
              <w:r w:rsidRPr="00055BFF">
                <w:rPr>
                  <w:noProof/>
                  <w:sz w:val="16"/>
                  <w:szCs w:val="16"/>
                  <w:lang w:val="fr-FR"/>
                </w:rPr>
                <w:t>300 ha</w:t>
              </w:r>
            </w:smartTag>
            <w:r w:rsidRPr="00055BFF">
              <w:rPr>
                <w:noProof/>
                <w:sz w:val="16"/>
                <w:szCs w:val="16"/>
                <w:lang w:val="fr-FR"/>
              </w:rPr>
              <w:t xml:space="preserve"> plantés  sur 6 sites levé topographique et cartographie des sites RG et délimitation des sites sur cartes régionale;</w:t>
            </w:r>
          </w:p>
          <w:p w:rsidR="006D04D8" w:rsidRPr="00055BFF" w:rsidRDefault="006D04D8" w:rsidP="006D04D8">
            <w:pPr>
              <w:rPr>
                <w:noProof/>
                <w:sz w:val="16"/>
                <w:szCs w:val="16"/>
                <w:lang w:val="fr-FR"/>
              </w:rPr>
            </w:pPr>
            <w:r w:rsidRPr="00055BFF">
              <w:rPr>
                <w:noProof/>
                <w:sz w:val="16"/>
                <w:szCs w:val="16"/>
                <w:lang w:val="fr-FR"/>
              </w:rPr>
              <w:t xml:space="preserve">Stabilisation et fixation de dunes vives et mobiles sur </w:t>
            </w:r>
            <w:smartTag w:uri="urn:schemas-microsoft-com:office:smarttags" w:element="metricconverter">
              <w:smartTagPr>
                <w:attr w:name="ProductID" w:val="228 ha"/>
              </w:smartTagPr>
              <w:r w:rsidRPr="00055BFF">
                <w:rPr>
                  <w:noProof/>
                  <w:sz w:val="16"/>
                  <w:szCs w:val="16"/>
                  <w:lang w:val="fr-FR"/>
                </w:rPr>
                <w:t>228 ha</w:t>
              </w:r>
            </w:smartTag>
            <w:r w:rsidRPr="00055BFF">
              <w:rPr>
                <w:noProof/>
                <w:sz w:val="16"/>
                <w:szCs w:val="16"/>
                <w:lang w:val="fr-FR"/>
              </w:rPr>
              <w:t xml:space="preserve">  réalisées sur 48 sites dans les wilayas cibles;</w:t>
            </w:r>
          </w:p>
          <w:p w:rsidR="006D04D8" w:rsidRPr="00055BFF" w:rsidRDefault="006D04D8" w:rsidP="006D04D8">
            <w:pPr>
              <w:rPr>
                <w:noProof/>
                <w:sz w:val="16"/>
                <w:szCs w:val="16"/>
                <w:lang w:val="fr-FR"/>
              </w:rPr>
            </w:pPr>
            <w:r w:rsidRPr="00055BFF">
              <w:rPr>
                <w:noProof/>
                <w:sz w:val="16"/>
                <w:szCs w:val="16"/>
                <w:lang w:val="fr-FR"/>
              </w:rPr>
              <w:t xml:space="preserve">Mise en défens d’éspaces sylvo-pasteraux sur </w:t>
            </w:r>
            <w:smartTag w:uri="urn:schemas-microsoft-com:office:smarttags" w:element="metricconverter">
              <w:smartTagPr>
                <w:attr w:name="ProductID" w:val="145 ha"/>
              </w:smartTagPr>
              <w:r w:rsidRPr="00055BFF">
                <w:rPr>
                  <w:noProof/>
                  <w:sz w:val="16"/>
                  <w:szCs w:val="16"/>
                  <w:lang w:val="fr-FR"/>
                </w:rPr>
                <w:t>145 ha</w:t>
              </w:r>
            </w:smartTag>
            <w:r w:rsidRPr="00055BFF">
              <w:rPr>
                <w:noProof/>
                <w:sz w:val="16"/>
                <w:szCs w:val="16"/>
                <w:lang w:val="fr-FR"/>
              </w:rPr>
              <w:t xml:space="preserve"> dans 20 sites.</w:t>
            </w:r>
          </w:p>
          <w:p w:rsidR="006D04D8" w:rsidRPr="00055BFF" w:rsidRDefault="006D04D8" w:rsidP="00AB0274">
            <w:pPr>
              <w:rPr>
                <w:sz w:val="16"/>
                <w:szCs w:val="16"/>
                <w:lang w:val="fr-FR"/>
              </w:rPr>
            </w:pPr>
          </w:p>
        </w:tc>
        <w:tc>
          <w:tcPr>
            <w:tcW w:w="1985" w:type="dxa"/>
          </w:tcPr>
          <w:p w:rsidR="006D04D8" w:rsidRPr="00055BFF" w:rsidRDefault="006D04D8" w:rsidP="00AB0274">
            <w:pPr>
              <w:rPr>
                <w:sz w:val="16"/>
                <w:szCs w:val="16"/>
                <w:lang w:val="fr-FR"/>
              </w:rPr>
            </w:pP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rFonts w:eastAsia="MS Mincho"/>
                <w:sz w:val="16"/>
                <w:szCs w:val="16"/>
                <w:lang w:val="fr-FR"/>
              </w:rPr>
              <w:t xml:space="preserve">Fixation de </w:t>
            </w:r>
            <w:smartTag w:uri="urn:schemas-microsoft-com:office:smarttags" w:element="metricconverter">
              <w:smartTagPr>
                <w:attr w:name="ProductID" w:val="600 ha"/>
              </w:smartTagPr>
              <w:r w:rsidRPr="00055BFF">
                <w:rPr>
                  <w:rFonts w:eastAsia="MS Mincho"/>
                  <w:sz w:val="16"/>
                  <w:szCs w:val="16"/>
                  <w:lang w:val="fr-FR"/>
                </w:rPr>
                <w:t>600 ha</w:t>
              </w:r>
            </w:smartTag>
            <w:r w:rsidRPr="00055BFF">
              <w:rPr>
                <w:rFonts w:eastAsia="MS Mincho"/>
                <w:sz w:val="16"/>
                <w:szCs w:val="16"/>
                <w:lang w:val="fr-FR"/>
              </w:rPr>
              <w:t xml:space="preserve"> de dunes </w:t>
            </w:r>
          </w:p>
        </w:tc>
        <w:tc>
          <w:tcPr>
            <w:tcW w:w="2976" w:type="dxa"/>
            <w:vMerge/>
          </w:tcPr>
          <w:p w:rsidR="006D04D8" w:rsidRPr="00055BFF" w:rsidRDefault="006D04D8" w:rsidP="00AB0274">
            <w:pPr>
              <w:rPr>
                <w:sz w:val="16"/>
                <w:szCs w:val="16"/>
                <w:lang w:val="fr-FR"/>
              </w:rPr>
            </w:pPr>
          </w:p>
        </w:tc>
        <w:tc>
          <w:tcPr>
            <w:tcW w:w="1985" w:type="dxa"/>
          </w:tcPr>
          <w:p w:rsidR="006D04D8" w:rsidRPr="00055BFF" w:rsidRDefault="006D04D8" w:rsidP="00AB0274">
            <w:pPr>
              <w:rPr>
                <w:sz w:val="16"/>
                <w:szCs w:val="16"/>
                <w:lang w:val="fr-FR"/>
              </w:rPr>
            </w:pP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rFonts w:eastAsia="MS Mincho"/>
                <w:sz w:val="16"/>
                <w:szCs w:val="16"/>
                <w:lang w:val="fr-FR"/>
              </w:rPr>
              <w:t xml:space="preserve">Mise en défens sur </w:t>
            </w:r>
            <w:smartTag w:uri="urn:schemas-microsoft-com:office:smarttags" w:element="metricconverter">
              <w:smartTagPr>
                <w:attr w:name="ProductID" w:val="200 ha"/>
              </w:smartTagPr>
              <w:r w:rsidRPr="00055BFF">
                <w:rPr>
                  <w:rFonts w:eastAsia="MS Mincho"/>
                  <w:sz w:val="16"/>
                  <w:szCs w:val="16"/>
                  <w:lang w:val="fr-FR"/>
                </w:rPr>
                <w:t>200 ha</w:t>
              </w:r>
            </w:smartTag>
            <w:r w:rsidRPr="00055BFF">
              <w:rPr>
                <w:rFonts w:eastAsia="MS Mincho"/>
                <w:sz w:val="16"/>
                <w:szCs w:val="16"/>
                <w:lang w:val="fr-FR"/>
              </w:rPr>
              <w:t xml:space="preserve"> d’espaces</w:t>
            </w:r>
          </w:p>
        </w:tc>
        <w:tc>
          <w:tcPr>
            <w:tcW w:w="2976" w:type="dxa"/>
            <w:vMerge/>
          </w:tcPr>
          <w:p w:rsidR="006D04D8" w:rsidRPr="00055BFF" w:rsidRDefault="006D04D8" w:rsidP="00AB0274">
            <w:pPr>
              <w:rPr>
                <w:sz w:val="16"/>
                <w:szCs w:val="16"/>
                <w:lang w:val="fr-FR"/>
              </w:rPr>
            </w:pPr>
          </w:p>
        </w:tc>
        <w:tc>
          <w:tcPr>
            <w:tcW w:w="1985" w:type="dxa"/>
          </w:tcPr>
          <w:p w:rsidR="006D04D8" w:rsidRPr="00055BFF" w:rsidRDefault="006D04D8" w:rsidP="00AB0274">
            <w:pPr>
              <w:rPr>
                <w:sz w:val="16"/>
                <w:szCs w:val="16"/>
                <w:lang w:val="fr-FR"/>
              </w:rPr>
            </w:pP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bCs/>
                <w:iCs/>
                <w:sz w:val="16"/>
                <w:szCs w:val="16"/>
                <w:lang w:val="fr-CA"/>
              </w:rPr>
              <w:t>Gestion participative de 3 forêts classées (identification des sites, choix des partenaires, mis en place des comités de gestion, étude de base, régarnissement d’</w:t>
            </w:r>
          </w:p>
          <w:p w:rsidR="006D04D8" w:rsidRPr="00055BFF" w:rsidRDefault="006D04D8" w:rsidP="00055BFF">
            <w:pPr>
              <w:rPr>
                <w:bCs/>
                <w:iCs/>
                <w:sz w:val="16"/>
                <w:szCs w:val="16"/>
                <w:lang w:val="fr-CA"/>
              </w:rPr>
            </w:pPr>
            <w:r w:rsidRPr="00055BFF">
              <w:rPr>
                <w:bCs/>
                <w:iCs/>
                <w:sz w:val="16"/>
                <w:szCs w:val="16"/>
                <w:lang w:val="fr-CA"/>
              </w:rPr>
              <w:t>espaces dégradés)</w:t>
            </w:r>
          </w:p>
          <w:p w:rsidR="006D04D8" w:rsidRPr="00055BFF" w:rsidRDefault="006D04D8" w:rsidP="00055BFF">
            <w:pPr>
              <w:rPr>
                <w:b/>
                <w:bCs/>
                <w:sz w:val="16"/>
                <w:szCs w:val="16"/>
                <w:lang w:val="fr-CA"/>
              </w:rPr>
            </w:pPr>
          </w:p>
        </w:tc>
        <w:tc>
          <w:tcPr>
            <w:tcW w:w="2976" w:type="dxa"/>
          </w:tcPr>
          <w:p w:rsidR="006D04D8" w:rsidRPr="00055BFF" w:rsidRDefault="00912C6D" w:rsidP="00912C6D">
            <w:pPr>
              <w:rPr>
                <w:noProof/>
                <w:sz w:val="16"/>
                <w:szCs w:val="16"/>
                <w:lang w:val="fr-FR"/>
              </w:rPr>
            </w:pPr>
            <w:r w:rsidRPr="00055BFF">
              <w:rPr>
                <w:noProof/>
                <w:sz w:val="16"/>
                <w:szCs w:val="16"/>
                <w:lang w:val="fr-FR"/>
              </w:rPr>
              <w:t>Un protocole d’accord a été signé avec AMAD pour la gestion participative de la forêt de wallaldé</w:t>
            </w:r>
          </w:p>
        </w:tc>
        <w:tc>
          <w:tcPr>
            <w:tcW w:w="1985" w:type="dxa"/>
          </w:tcPr>
          <w:p w:rsidR="00912C6D" w:rsidRPr="00055BFF" w:rsidRDefault="00912C6D" w:rsidP="00912C6D">
            <w:pPr>
              <w:rPr>
                <w:noProof/>
                <w:sz w:val="16"/>
                <w:szCs w:val="16"/>
                <w:lang w:val="fr-CA"/>
              </w:rPr>
            </w:pPr>
            <w:r w:rsidRPr="00055BFF">
              <w:rPr>
                <w:noProof/>
                <w:sz w:val="16"/>
                <w:szCs w:val="16"/>
                <w:lang w:val="fr-FR"/>
              </w:rPr>
              <w:t>Un retard a été accusé dans la mise en œuvre de l’activité. Une réorientation des activités sur la base de requêtes des populations, fera l’objet d’un avenant.</w:t>
            </w:r>
          </w:p>
          <w:p w:rsidR="006D04D8" w:rsidRPr="00055BFF" w:rsidRDefault="006D04D8" w:rsidP="00AB0274">
            <w:pPr>
              <w:rPr>
                <w:sz w:val="16"/>
                <w:szCs w:val="16"/>
                <w:lang w:val="fr-FR"/>
              </w:rPr>
            </w:pP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noProof/>
                <w:sz w:val="16"/>
                <w:szCs w:val="16"/>
                <w:lang w:val="fr-FR"/>
              </w:rPr>
            </w:pPr>
            <w:r w:rsidRPr="00055BFF">
              <w:rPr>
                <w:noProof/>
                <w:sz w:val="16"/>
                <w:szCs w:val="16"/>
                <w:lang w:val="fr-FR"/>
              </w:rPr>
              <w:t>Régénération de 150 ha de forêt de mangroves au niveau du Delta du fleuve du Sénégal</w:t>
            </w:r>
          </w:p>
          <w:p w:rsidR="006D04D8" w:rsidRPr="00055BFF" w:rsidRDefault="006D04D8" w:rsidP="00055BFF">
            <w:pPr>
              <w:rPr>
                <w:bCs/>
                <w:iCs/>
                <w:sz w:val="16"/>
                <w:szCs w:val="16"/>
                <w:lang w:val="fr-FR"/>
              </w:rPr>
            </w:pPr>
          </w:p>
        </w:tc>
        <w:tc>
          <w:tcPr>
            <w:tcW w:w="2976" w:type="dxa"/>
          </w:tcPr>
          <w:p w:rsidR="006D04D8" w:rsidRPr="00055BFF" w:rsidRDefault="006D04D8" w:rsidP="00055BFF">
            <w:pPr>
              <w:rPr>
                <w:bCs/>
                <w:noProof/>
                <w:sz w:val="16"/>
                <w:szCs w:val="16"/>
                <w:lang w:val="fr-FR"/>
              </w:rPr>
            </w:pPr>
            <w:r w:rsidRPr="00055BFF">
              <w:rPr>
                <w:bCs/>
                <w:noProof/>
                <w:sz w:val="16"/>
                <w:szCs w:val="16"/>
                <w:lang w:val="fr-FR"/>
              </w:rPr>
              <w:t>Les sites qui pourraient faire l’objet de reforestation de mangroves ont été retenus :</w:t>
            </w:r>
          </w:p>
          <w:p w:rsidR="006D04D8" w:rsidRPr="00055BFF" w:rsidRDefault="006D04D8" w:rsidP="00055BFF">
            <w:pPr>
              <w:widowControl w:val="0"/>
              <w:numPr>
                <w:ilvl w:val="0"/>
                <w:numId w:val="50"/>
              </w:numPr>
              <w:rPr>
                <w:bCs/>
                <w:noProof/>
                <w:sz w:val="16"/>
                <w:szCs w:val="16"/>
                <w:lang w:val="fr-FR"/>
              </w:rPr>
            </w:pPr>
            <w:r w:rsidRPr="00055BFF">
              <w:rPr>
                <w:bCs/>
                <w:noProof/>
                <w:sz w:val="16"/>
                <w:szCs w:val="16"/>
                <w:lang w:val="fr-FR"/>
              </w:rPr>
              <w:tab/>
              <w:t>Confluent de Bell-Khroumbam</w:t>
            </w:r>
          </w:p>
          <w:p w:rsidR="006D04D8" w:rsidRPr="00055BFF" w:rsidRDefault="006D04D8" w:rsidP="00055BFF">
            <w:pPr>
              <w:widowControl w:val="0"/>
              <w:numPr>
                <w:ilvl w:val="0"/>
                <w:numId w:val="50"/>
              </w:numPr>
              <w:rPr>
                <w:bCs/>
                <w:noProof/>
                <w:sz w:val="16"/>
                <w:szCs w:val="16"/>
                <w:lang w:val="fr-FR"/>
              </w:rPr>
            </w:pPr>
            <w:r w:rsidRPr="00055BFF">
              <w:rPr>
                <w:bCs/>
                <w:noProof/>
                <w:sz w:val="16"/>
                <w:szCs w:val="16"/>
                <w:lang w:val="fr-FR"/>
              </w:rPr>
              <w:tab/>
              <w:t>Marre de Birette</w:t>
            </w:r>
          </w:p>
          <w:p w:rsidR="006D04D8" w:rsidRPr="00055BFF" w:rsidRDefault="006D04D8" w:rsidP="00055BFF">
            <w:pPr>
              <w:widowControl w:val="0"/>
              <w:numPr>
                <w:ilvl w:val="0"/>
                <w:numId w:val="50"/>
              </w:numPr>
              <w:rPr>
                <w:bCs/>
                <w:noProof/>
                <w:sz w:val="16"/>
                <w:szCs w:val="16"/>
                <w:lang w:val="fr-FR"/>
              </w:rPr>
            </w:pPr>
            <w:r w:rsidRPr="00055BFF">
              <w:rPr>
                <w:bCs/>
                <w:noProof/>
                <w:sz w:val="16"/>
                <w:szCs w:val="16"/>
                <w:lang w:val="fr-FR"/>
              </w:rPr>
              <w:tab/>
              <w:t>Dar Essalam</w:t>
            </w:r>
          </w:p>
          <w:p w:rsidR="006D04D8" w:rsidRPr="00055BFF" w:rsidRDefault="006D04D8" w:rsidP="00055BFF">
            <w:pPr>
              <w:rPr>
                <w:bCs/>
                <w:noProof/>
                <w:sz w:val="16"/>
                <w:szCs w:val="16"/>
                <w:lang w:val="fr-FR"/>
              </w:rPr>
            </w:pPr>
          </w:p>
          <w:p w:rsidR="006D04D8" w:rsidRPr="00055BFF" w:rsidRDefault="006D04D8" w:rsidP="00055BFF">
            <w:pPr>
              <w:rPr>
                <w:bCs/>
                <w:noProof/>
                <w:sz w:val="16"/>
                <w:szCs w:val="16"/>
                <w:lang w:val="fr-FR"/>
              </w:rPr>
            </w:pPr>
            <w:r w:rsidRPr="00055BFF">
              <w:rPr>
                <w:bCs/>
                <w:noProof/>
                <w:sz w:val="16"/>
                <w:szCs w:val="16"/>
                <w:lang w:val="fr-FR"/>
              </w:rPr>
              <w:t>Une pépinière comprenant 10.000 plants a été installée au niveau de la direction du PND</w:t>
            </w:r>
          </w:p>
          <w:p w:rsidR="006D04D8" w:rsidRPr="00055BFF" w:rsidRDefault="006D04D8" w:rsidP="00055BFF">
            <w:pPr>
              <w:rPr>
                <w:bCs/>
                <w:noProof/>
                <w:sz w:val="16"/>
                <w:szCs w:val="16"/>
                <w:lang w:val="fr-FR"/>
              </w:rPr>
            </w:pPr>
            <w:r w:rsidRPr="00055BFF">
              <w:rPr>
                <w:bCs/>
                <w:noProof/>
                <w:sz w:val="16"/>
                <w:szCs w:val="16"/>
                <w:lang w:val="fr-FR"/>
              </w:rPr>
              <w:t xml:space="preserve">Le programme conjoint UNESCO/MDEDD a contribué à la régénération de 70 hectares équivalents de mangroves à </w:t>
            </w:r>
            <w:smartTag w:uri="urn:schemas-microsoft-com:office:smarttags" w:element="PersonName">
              <w:smartTagPr>
                <w:attr w:name="ProductID" w:val="la Marre"/>
              </w:smartTagPr>
              <w:r w:rsidRPr="00055BFF">
                <w:rPr>
                  <w:bCs/>
                  <w:noProof/>
                  <w:sz w:val="16"/>
                  <w:szCs w:val="16"/>
                  <w:lang w:val="fr-FR"/>
                </w:rPr>
                <w:t>la Marre</w:t>
              </w:r>
            </w:smartTag>
            <w:r w:rsidRPr="00055BFF">
              <w:rPr>
                <w:bCs/>
                <w:noProof/>
                <w:sz w:val="16"/>
                <w:szCs w:val="16"/>
                <w:lang w:val="fr-FR"/>
              </w:rPr>
              <w:t xml:space="preserve"> de Birette au PND.</w:t>
            </w:r>
          </w:p>
          <w:p w:rsidR="006D04D8" w:rsidRPr="00055BFF" w:rsidRDefault="006D04D8" w:rsidP="00055BFF">
            <w:pPr>
              <w:rPr>
                <w:noProof/>
                <w:sz w:val="16"/>
                <w:szCs w:val="16"/>
                <w:lang w:val="fr-FR"/>
              </w:rPr>
            </w:pPr>
            <w:r w:rsidRPr="00055BFF">
              <w:rPr>
                <w:bCs/>
                <w:noProof/>
                <w:sz w:val="16"/>
                <w:szCs w:val="16"/>
                <w:lang w:val="fr-FR"/>
              </w:rPr>
              <w:t xml:space="preserve">L’approche participative initiée par l’ONG Agir Pour </w:t>
            </w:r>
            <w:smartTag w:uri="urn:schemas-microsoft-com:office:smarttags" w:element="PersonName">
              <w:smartTagPr>
                <w:attr w:name="ProductID" w:val="la Pauvret￩"/>
              </w:smartTagPr>
              <w:r w:rsidRPr="00055BFF">
                <w:rPr>
                  <w:bCs/>
                  <w:noProof/>
                  <w:sz w:val="16"/>
                  <w:szCs w:val="16"/>
                  <w:lang w:val="fr-FR"/>
                </w:rPr>
                <w:t>la Pauvreté</w:t>
              </w:r>
            </w:smartTag>
            <w:r w:rsidRPr="00055BFF">
              <w:rPr>
                <w:bCs/>
                <w:noProof/>
                <w:sz w:val="16"/>
                <w:szCs w:val="16"/>
                <w:lang w:val="fr-FR"/>
              </w:rPr>
              <w:t xml:space="preserve"> (AGP) a permis d’initier les villageois du village de Birette aux t</w:t>
            </w:r>
            <w:r w:rsidRPr="00055BFF">
              <w:rPr>
                <w:noProof/>
                <w:sz w:val="16"/>
                <w:szCs w:val="16"/>
                <w:lang w:val="fr-FR"/>
              </w:rPr>
              <w:t xml:space="preserve">echniques de plantations de </w:t>
            </w:r>
            <w:smartTag w:uri="urn:schemas-microsoft-com:office:smarttags" w:element="PersonName">
              <w:smartTagPr>
                <w:attr w:name="ProductID" w:val="la Mangrove. Des"/>
              </w:smartTagPr>
              <w:r w:rsidRPr="00055BFF">
                <w:rPr>
                  <w:noProof/>
                  <w:sz w:val="16"/>
                  <w:szCs w:val="16"/>
                  <w:lang w:val="fr-FR"/>
                </w:rPr>
                <w:t>la Mangrove. Des</w:t>
              </w:r>
            </w:smartTag>
            <w:r w:rsidRPr="00055BFF">
              <w:rPr>
                <w:noProof/>
                <w:sz w:val="16"/>
                <w:szCs w:val="16"/>
                <w:lang w:val="fr-FR"/>
              </w:rPr>
              <w:t xml:space="preserve"> séances de sensibilisation ont également été tenues par l’AGP</w:t>
            </w:r>
          </w:p>
          <w:p w:rsidR="006D04D8" w:rsidRPr="00055BFF" w:rsidRDefault="006D04D8" w:rsidP="00055BFF">
            <w:pPr>
              <w:rPr>
                <w:bCs/>
                <w:noProof/>
                <w:sz w:val="16"/>
                <w:szCs w:val="16"/>
                <w:lang w:val="fr-FR"/>
              </w:rPr>
            </w:pPr>
          </w:p>
        </w:tc>
        <w:tc>
          <w:tcPr>
            <w:tcW w:w="1985" w:type="dxa"/>
          </w:tcPr>
          <w:p w:rsidR="006D04D8" w:rsidRPr="00055BFF" w:rsidRDefault="006D04D8" w:rsidP="00AB0274">
            <w:pPr>
              <w:rPr>
                <w:sz w:val="16"/>
                <w:szCs w:val="16"/>
                <w:lang w:val="fr-FR"/>
              </w:rPr>
            </w:pPr>
          </w:p>
        </w:tc>
      </w:tr>
      <w:tr w:rsidR="006D04D8" w:rsidRPr="00055BFF" w:rsidTr="00055BFF">
        <w:tc>
          <w:tcPr>
            <w:tcW w:w="2941" w:type="dxa"/>
          </w:tcPr>
          <w:p w:rsidR="006D04D8" w:rsidRPr="00055BFF" w:rsidRDefault="006D04D8" w:rsidP="00055BFF">
            <w:pPr>
              <w:rPr>
                <w:bCs/>
                <w:iCs/>
                <w:sz w:val="16"/>
                <w:szCs w:val="16"/>
                <w:lang w:val="fr-CA"/>
              </w:rPr>
            </w:pPr>
            <w:r w:rsidRPr="00055BFF">
              <w:rPr>
                <w:bCs/>
                <w:iCs/>
                <w:sz w:val="16"/>
                <w:szCs w:val="16"/>
                <w:lang w:val="fr-CA"/>
              </w:rPr>
              <w:t>La gouvernance du secteur de l’eau est améliorée au sein de la wilaya du Trarza.</w:t>
            </w:r>
          </w:p>
          <w:p w:rsidR="006D04D8" w:rsidRPr="00055BFF" w:rsidRDefault="006D04D8" w:rsidP="00055BFF">
            <w:pPr>
              <w:rPr>
                <w:sz w:val="16"/>
                <w:szCs w:val="16"/>
                <w:lang w:val="fr-CA"/>
              </w:rPr>
            </w:pPr>
          </w:p>
        </w:tc>
        <w:tc>
          <w:tcPr>
            <w:tcW w:w="2696" w:type="dxa"/>
            <w:vAlign w:val="bottom"/>
          </w:tcPr>
          <w:p w:rsidR="006D04D8" w:rsidRPr="00055BFF" w:rsidRDefault="006D04D8" w:rsidP="00055BFF">
            <w:pPr>
              <w:rPr>
                <w:bCs/>
                <w:iCs/>
                <w:sz w:val="16"/>
                <w:szCs w:val="16"/>
                <w:lang w:val="fr-CA"/>
              </w:rPr>
            </w:pPr>
            <w:r w:rsidRPr="00055BFF">
              <w:rPr>
                <w:bCs/>
                <w:iCs/>
                <w:sz w:val="16"/>
                <w:szCs w:val="16"/>
                <w:lang w:val="fr-CA"/>
              </w:rPr>
              <w:t>Renforcer les capacités des institutions impliquées dans la gestion de l’eau et mettre en place un système de suivi-évaluation</w:t>
            </w:r>
          </w:p>
          <w:p w:rsidR="006D04D8" w:rsidRPr="00055BFF" w:rsidRDefault="006D04D8" w:rsidP="00055BFF">
            <w:pPr>
              <w:rPr>
                <w:bCs/>
                <w:sz w:val="16"/>
                <w:szCs w:val="16"/>
                <w:lang w:val="fr-CA"/>
              </w:rPr>
            </w:pPr>
          </w:p>
        </w:tc>
        <w:tc>
          <w:tcPr>
            <w:tcW w:w="2976" w:type="dxa"/>
            <w:vMerge w:val="restart"/>
          </w:tcPr>
          <w:p w:rsidR="006D04D8" w:rsidRPr="00055BFF" w:rsidRDefault="006D04D8" w:rsidP="00912C6D">
            <w:pPr>
              <w:rPr>
                <w:sz w:val="16"/>
                <w:szCs w:val="16"/>
                <w:lang w:val="fr-FR"/>
              </w:rPr>
            </w:pPr>
            <w:r w:rsidRPr="00055BFF">
              <w:rPr>
                <w:noProof/>
                <w:sz w:val="16"/>
                <w:szCs w:val="16"/>
                <w:lang w:val="fr-FR"/>
              </w:rPr>
              <w:t xml:space="preserve">le PNUD s’est inspiré de son programme de gestion intégrée des ressources en eau pour élaborer un autre projet aménagement et gestion intégrée des ressources en eau dans la région du Trarza. Cette volonté de travailler dans le Trarza a été guidée par les vœux du gouvernement d’Espagne  à voir ce programme contribuer au relèvement des défis de gestion intégrée des ressources dans le Trarza. Un document de projet a été élaboré dans ce sens pour  permettre au pouvoir central de </w:t>
            </w:r>
            <w:r w:rsidRPr="00055BFF">
              <w:rPr>
                <w:noProof/>
                <w:sz w:val="16"/>
                <w:szCs w:val="16"/>
                <w:lang w:val="fr-FR"/>
              </w:rPr>
              <w:lastRenderedPageBreak/>
              <w:t>mettre en place le cadre favorable de déclinaison de ses politiques en matière de gestion des ressources en eau dans le Trarza. Les activités inscrites dans ce programme tiennent en compte des activités déjà programmées dans le cadre du document de projet MDG Fund mais aussi propose un certain nombre d’actions sur la gestion des infrastructures et aménagement hydro-agricoles pour  une gestion rationnelle de la ressource en eau. Ce document propose également une stratégie de mobilisation de ressources complémentaires à travers d’autres partenaires au développement actifs dans la zone d’intervention et sur la thématique.</w:t>
            </w:r>
          </w:p>
        </w:tc>
        <w:tc>
          <w:tcPr>
            <w:tcW w:w="1985" w:type="dxa"/>
          </w:tcPr>
          <w:p w:rsidR="006D04D8" w:rsidRPr="00055BFF" w:rsidRDefault="006D04D8" w:rsidP="00AB0274">
            <w:pPr>
              <w:rPr>
                <w:sz w:val="16"/>
                <w:szCs w:val="16"/>
                <w:lang w:val="fr-FR"/>
              </w:rPr>
            </w:pPr>
          </w:p>
        </w:tc>
      </w:tr>
      <w:tr w:rsidR="006D04D8" w:rsidRPr="00055BFF" w:rsidTr="00055BFF">
        <w:tc>
          <w:tcPr>
            <w:tcW w:w="2941" w:type="dxa"/>
          </w:tcPr>
          <w:p w:rsidR="006D04D8" w:rsidRPr="00055BFF" w:rsidRDefault="006D04D8" w:rsidP="00055BFF">
            <w:pPr>
              <w:rPr>
                <w:b/>
                <w:bCs/>
                <w:iCs/>
                <w:sz w:val="16"/>
                <w:szCs w:val="16"/>
                <w:lang w:val="fr-CA"/>
              </w:rPr>
            </w:pPr>
            <w:r w:rsidRPr="00055BFF">
              <w:rPr>
                <w:bCs/>
                <w:iCs/>
                <w:sz w:val="16"/>
                <w:szCs w:val="16"/>
                <w:lang w:val="fr-CA"/>
              </w:rPr>
              <w:t>La gestion durable des ressources en eau  est effective au plus prêt des usagers locaux au sein de la wilaya du Trarza, à travers le comité régional de l‘eau</w:t>
            </w:r>
            <w:r w:rsidRPr="00055BFF">
              <w:rPr>
                <w:b/>
                <w:bCs/>
                <w:iCs/>
                <w:sz w:val="16"/>
                <w:szCs w:val="16"/>
                <w:lang w:val="fr-CA"/>
              </w:rPr>
              <w:t>.</w:t>
            </w:r>
          </w:p>
          <w:p w:rsidR="006D04D8" w:rsidRPr="00055BFF" w:rsidRDefault="006D04D8" w:rsidP="00055BFF">
            <w:pPr>
              <w:rPr>
                <w:noProof/>
                <w:sz w:val="16"/>
                <w:szCs w:val="16"/>
                <w:lang w:val="fr-CA"/>
              </w:rPr>
            </w:pPr>
          </w:p>
        </w:tc>
        <w:tc>
          <w:tcPr>
            <w:tcW w:w="2696" w:type="dxa"/>
            <w:vAlign w:val="center"/>
          </w:tcPr>
          <w:p w:rsidR="006D04D8" w:rsidRPr="00055BFF" w:rsidRDefault="006D04D8" w:rsidP="00055BFF">
            <w:pPr>
              <w:rPr>
                <w:bCs/>
                <w:iCs/>
                <w:sz w:val="16"/>
                <w:szCs w:val="16"/>
                <w:lang w:val="fr-CA"/>
              </w:rPr>
            </w:pPr>
            <w:r w:rsidRPr="00055BFF">
              <w:rPr>
                <w:bCs/>
                <w:iCs/>
                <w:sz w:val="16"/>
                <w:szCs w:val="16"/>
                <w:lang w:val="fr-CA"/>
              </w:rPr>
              <w:t xml:space="preserve">Formuler et valider un bilan de propositions stratégiques pour la mise en œuvre régionalisée du code de l’eau et de </w:t>
            </w:r>
            <w:smartTag w:uri="urn:schemas-microsoft-com:office:smarttags" w:element="PersonName">
              <w:smartTagPr>
                <w:attr w:name="ProductID" w:val="la GIRE"/>
              </w:smartTagPr>
              <w:r w:rsidRPr="00055BFF">
                <w:rPr>
                  <w:bCs/>
                  <w:iCs/>
                  <w:sz w:val="16"/>
                  <w:szCs w:val="16"/>
                  <w:lang w:val="fr-CA"/>
                </w:rPr>
                <w:t>la GIRE</w:t>
              </w:r>
            </w:smartTag>
            <w:r w:rsidRPr="00055BFF">
              <w:rPr>
                <w:bCs/>
                <w:iCs/>
                <w:sz w:val="16"/>
                <w:szCs w:val="16"/>
                <w:lang w:val="fr-CA"/>
              </w:rPr>
              <w:t xml:space="preserve"> en perspective du PANAGIRE (Plan national/PNUD </w:t>
            </w:r>
          </w:p>
          <w:p w:rsidR="006D04D8" w:rsidRPr="00055BFF" w:rsidRDefault="006D04D8" w:rsidP="00055BFF">
            <w:pPr>
              <w:rPr>
                <w:bCs/>
                <w:sz w:val="16"/>
                <w:szCs w:val="16"/>
                <w:lang w:val="fr-FR"/>
              </w:rPr>
            </w:pPr>
          </w:p>
        </w:tc>
        <w:tc>
          <w:tcPr>
            <w:tcW w:w="2976" w:type="dxa"/>
            <w:vMerge/>
          </w:tcPr>
          <w:p w:rsidR="006D04D8" w:rsidRPr="00055BFF" w:rsidRDefault="006D04D8" w:rsidP="00AB0274">
            <w:pPr>
              <w:rPr>
                <w:sz w:val="16"/>
                <w:szCs w:val="16"/>
                <w:lang w:val="fr-FR"/>
              </w:rPr>
            </w:pPr>
          </w:p>
        </w:tc>
        <w:tc>
          <w:tcPr>
            <w:tcW w:w="1985" w:type="dxa"/>
          </w:tcPr>
          <w:p w:rsidR="006D04D8" w:rsidRPr="00055BFF" w:rsidRDefault="006D04D8" w:rsidP="00AB0274">
            <w:pPr>
              <w:rPr>
                <w:sz w:val="16"/>
                <w:szCs w:val="16"/>
                <w:lang w:val="fr-FR"/>
              </w:rPr>
            </w:pPr>
          </w:p>
        </w:tc>
      </w:tr>
      <w:tr w:rsidR="006D04D8" w:rsidRPr="00055BFF" w:rsidTr="00055BFF">
        <w:tc>
          <w:tcPr>
            <w:tcW w:w="2941" w:type="dxa"/>
            <w:vMerge w:val="restart"/>
          </w:tcPr>
          <w:p w:rsidR="006D04D8" w:rsidRPr="00055BFF" w:rsidRDefault="006D04D8" w:rsidP="00AB0274">
            <w:pPr>
              <w:rPr>
                <w:sz w:val="16"/>
                <w:szCs w:val="16"/>
                <w:lang w:val="fr-FR"/>
              </w:rPr>
            </w:pPr>
            <w:r w:rsidRPr="00055BFF">
              <w:rPr>
                <w:bCs/>
                <w:iCs/>
                <w:sz w:val="16"/>
                <w:szCs w:val="16"/>
                <w:lang w:val="fr-CA"/>
              </w:rPr>
              <w:lastRenderedPageBreak/>
              <w:t>Les populations des communes ciblées appuyées par les structures techniques décentralisées de l'administration ont un accès durable à une eau potable à des conditions d'assainissement adéquate et adoptent de bonnes pratiques d'hygiène</w:t>
            </w:r>
          </w:p>
        </w:tc>
        <w:tc>
          <w:tcPr>
            <w:tcW w:w="2696" w:type="dxa"/>
            <w:vAlign w:val="center"/>
          </w:tcPr>
          <w:p w:rsidR="006D04D8" w:rsidRPr="00055BFF" w:rsidRDefault="006D04D8" w:rsidP="00055BFF">
            <w:pPr>
              <w:rPr>
                <w:b/>
                <w:bCs/>
                <w:iCs/>
                <w:sz w:val="16"/>
                <w:szCs w:val="16"/>
                <w:lang w:val="fr-CA"/>
              </w:rPr>
            </w:pPr>
            <w:r w:rsidRPr="00055BFF">
              <w:rPr>
                <w:sz w:val="16"/>
                <w:szCs w:val="16"/>
                <w:lang w:val="fr-FR"/>
              </w:rPr>
              <w:t>Construction des 4 mini-AEP</w:t>
            </w:r>
          </w:p>
        </w:tc>
        <w:tc>
          <w:tcPr>
            <w:tcW w:w="2976" w:type="dxa"/>
            <w:vMerge w:val="restart"/>
          </w:tcPr>
          <w:p w:rsidR="00DB37B0" w:rsidRDefault="006D04D8" w:rsidP="006D04D8">
            <w:pPr>
              <w:pStyle w:val="Corpsdetexte2"/>
              <w:rPr>
                <w:rFonts w:ascii="Times New Roman" w:hAnsi="Times New Roman" w:cs="Times New Roman"/>
                <w:sz w:val="16"/>
                <w:szCs w:val="16"/>
                <w:lang w:val="fr-FR" w:eastAsia="zh-CN"/>
              </w:rPr>
            </w:pPr>
            <w:r w:rsidRPr="00055BFF">
              <w:rPr>
                <w:rFonts w:ascii="Times New Roman" w:hAnsi="Times New Roman" w:cs="Times New Roman"/>
                <w:sz w:val="16"/>
                <w:szCs w:val="16"/>
                <w:lang w:val="fr-FR" w:eastAsia="zh-CN"/>
              </w:rPr>
              <w:t>La composante eau et assainissement a commencé avec un peu de retard du fait des efforts  engagés dans le renforcement des capacités. Il s’agit de la formation des cadres</w:t>
            </w:r>
            <w:r w:rsidR="009325CD">
              <w:rPr>
                <w:rFonts w:ascii="Times New Roman" w:hAnsi="Times New Roman" w:cs="Times New Roman"/>
                <w:sz w:val="16"/>
                <w:szCs w:val="16"/>
                <w:lang w:val="fr-FR" w:eastAsia="zh-CN"/>
              </w:rPr>
              <w:t xml:space="preserve">, </w:t>
            </w:r>
            <w:r w:rsidR="004D70EC">
              <w:rPr>
                <w:rFonts w:ascii="Times New Roman" w:hAnsi="Times New Roman" w:cs="Times New Roman"/>
                <w:sz w:val="16"/>
                <w:szCs w:val="16"/>
                <w:lang w:val="fr-FR" w:eastAsia="zh-CN"/>
              </w:rPr>
              <w:t>animateurs</w:t>
            </w:r>
            <w:r w:rsidR="009325CD">
              <w:rPr>
                <w:rFonts w:ascii="Times New Roman" w:hAnsi="Times New Roman" w:cs="Times New Roman"/>
                <w:sz w:val="16"/>
                <w:szCs w:val="16"/>
                <w:lang w:val="fr-FR" w:eastAsia="zh-CN"/>
              </w:rPr>
              <w:t xml:space="preserve"> et </w:t>
            </w:r>
            <w:r w:rsidR="004D70EC">
              <w:rPr>
                <w:rFonts w:ascii="Times New Roman" w:hAnsi="Times New Roman" w:cs="Times New Roman"/>
                <w:sz w:val="16"/>
                <w:szCs w:val="16"/>
                <w:lang w:val="fr-FR" w:eastAsia="zh-CN"/>
              </w:rPr>
              <w:t>artisans</w:t>
            </w:r>
            <w:r w:rsidRPr="00055BFF">
              <w:rPr>
                <w:rFonts w:ascii="Times New Roman" w:hAnsi="Times New Roman" w:cs="Times New Roman"/>
                <w:sz w:val="16"/>
                <w:szCs w:val="16"/>
                <w:lang w:val="fr-FR" w:eastAsia="zh-CN"/>
              </w:rPr>
              <w:t xml:space="preserve"> sur l’initiative ATPC (Assainissement Total Piloté par </w:t>
            </w:r>
            <w:smartTag w:uri="urn:schemas-microsoft-com:office:smarttags" w:element="PersonName">
              <w:smartTagPr>
                <w:attr w:name="ProductID" w:val="la Communaut￩"/>
              </w:smartTagPr>
              <w:r w:rsidRPr="00055BFF">
                <w:rPr>
                  <w:rFonts w:ascii="Times New Roman" w:hAnsi="Times New Roman" w:cs="Times New Roman"/>
                  <w:sz w:val="16"/>
                  <w:szCs w:val="16"/>
                  <w:lang w:val="fr-FR" w:eastAsia="zh-CN"/>
                </w:rPr>
                <w:t>la Communauté</w:t>
              </w:r>
            </w:smartTag>
            <w:r w:rsidRPr="00055BFF">
              <w:rPr>
                <w:rFonts w:ascii="Times New Roman" w:hAnsi="Times New Roman" w:cs="Times New Roman"/>
                <w:sz w:val="16"/>
                <w:szCs w:val="16"/>
                <w:lang w:val="fr-FR" w:eastAsia="zh-CN"/>
              </w:rPr>
              <w:t>), mise en œuvre pour la première fois en Mauritanie</w:t>
            </w:r>
            <w:r w:rsidR="00DB37B0">
              <w:rPr>
                <w:rFonts w:ascii="Times New Roman" w:hAnsi="Times New Roman" w:cs="Times New Roman"/>
                <w:sz w:val="16"/>
                <w:szCs w:val="16"/>
                <w:lang w:val="fr-FR" w:eastAsia="zh-CN"/>
              </w:rPr>
              <w:t xml:space="preserve"> </w:t>
            </w:r>
            <w:r w:rsidR="009325CD">
              <w:rPr>
                <w:rFonts w:ascii="Times New Roman" w:hAnsi="Times New Roman" w:cs="Times New Roman"/>
                <w:sz w:val="16"/>
                <w:szCs w:val="16"/>
                <w:lang w:val="fr-FR" w:eastAsia="zh-CN"/>
              </w:rPr>
              <w:t>.</w:t>
            </w:r>
          </w:p>
          <w:p w:rsidR="006D04D8" w:rsidRDefault="00DB37B0" w:rsidP="006D04D8">
            <w:pPr>
              <w:pStyle w:val="Corpsdetexte2"/>
              <w:rPr>
                <w:rFonts w:ascii="Times New Roman" w:hAnsi="Times New Roman" w:cs="Times New Roman"/>
                <w:sz w:val="16"/>
                <w:szCs w:val="16"/>
                <w:lang w:val="fr-FR" w:eastAsia="zh-CN"/>
              </w:rPr>
            </w:pPr>
            <w:r>
              <w:rPr>
                <w:rFonts w:ascii="Times New Roman" w:hAnsi="Times New Roman" w:cs="Times New Roman"/>
                <w:sz w:val="16"/>
                <w:szCs w:val="16"/>
                <w:lang w:val="fr-FR" w:eastAsia="zh-CN"/>
              </w:rPr>
              <w:t xml:space="preserve">Le </w:t>
            </w:r>
            <w:r w:rsidR="006D04D8" w:rsidRPr="00055BFF">
              <w:rPr>
                <w:rFonts w:ascii="Times New Roman" w:hAnsi="Times New Roman" w:cs="Times New Roman"/>
                <w:sz w:val="16"/>
                <w:szCs w:val="16"/>
                <w:lang w:val="fr-FR" w:eastAsia="zh-CN"/>
              </w:rPr>
              <w:t xml:space="preserve">renforcement des capacités en </w:t>
            </w:r>
            <w:r>
              <w:rPr>
                <w:rFonts w:ascii="Times New Roman" w:hAnsi="Times New Roman" w:cs="Times New Roman"/>
                <w:sz w:val="16"/>
                <w:szCs w:val="16"/>
                <w:lang w:val="fr-FR" w:eastAsia="zh-CN"/>
              </w:rPr>
              <w:t xml:space="preserve">maîtrise </w:t>
            </w:r>
            <w:r w:rsidRPr="00055BFF">
              <w:rPr>
                <w:rFonts w:ascii="Times New Roman" w:hAnsi="Times New Roman" w:cs="Times New Roman"/>
                <w:sz w:val="16"/>
                <w:szCs w:val="16"/>
                <w:lang w:val="fr-FR" w:eastAsia="zh-CN"/>
              </w:rPr>
              <w:t xml:space="preserve"> </w:t>
            </w:r>
            <w:r w:rsidR="006D04D8" w:rsidRPr="00055BFF">
              <w:rPr>
                <w:rFonts w:ascii="Times New Roman" w:hAnsi="Times New Roman" w:cs="Times New Roman"/>
                <w:sz w:val="16"/>
                <w:szCs w:val="16"/>
                <w:lang w:val="fr-FR" w:eastAsia="zh-CN"/>
              </w:rPr>
              <w:t>d’ouvrage d’eau de deux mairies sélectionnées</w:t>
            </w:r>
            <w:r>
              <w:rPr>
                <w:rFonts w:ascii="Times New Roman" w:hAnsi="Times New Roman" w:cs="Times New Roman"/>
                <w:sz w:val="16"/>
                <w:szCs w:val="16"/>
                <w:lang w:val="fr-FR" w:eastAsia="zh-CN"/>
              </w:rPr>
              <w:t xml:space="preserve"> (Rosso et Keur-macène)</w:t>
            </w:r>
            <w:r w:rsidR="006D04D8" w:rsidRPr="00055BFF">
              <w:rPr>
                <w:rFonts w:ascii="Times New Roman" w:hAnsi="Times New Roman" w:cs="Times New Roman"/>
                <w:sz w:val="16"/>
                <w:szCs w:val="16"/>
                <w:lang w:val="fr-FR" w:eastAsia="zh-CN"/>
              </w:rPr>
              <w:t xml:space="preserve"> pour améliorer leurs compétences en gestion.</w:t>
            </w:r>
          </w:p>
          <w:p w:rsidR="005C7ADD" w:rsidRPr="00055BFF" w:rsidRDefault="005C7ADD" w:rsidP="006D04D8">
            <w:pPr>
              <w:pStyle w:val="Corpsdetexte2"/>
              <w:rPr>
                <w:rFonts w:ascii="Times New Roman" w:hAnsi="Times New Roman" w:cs="Times New Roman"/>
                <w:sz w:val="16"/>
                <w:szCs w:val="16"/>
                <w:lang w:val="fr-FR" w:eastAsia="zh-CN"/>
              </w:rPr>
            </w:pPr>
            <w:r>
              <w:rPr>
                <w:rFonts w:ascii="Times New Roman" w:hAnsi="Times New Roman" w:cs="Times New Roman"/>
                <w:sz w:val="16"/>
                <w:szCs w:val="16"/>
                <w:lang w:val="fr-FR" w:eastAsia="zh-CN"/>
              </w:rPr>
              <w:t xml:space="preserve">En assainissement la commune de Rosso a bénéficié aussi de la formation de </w:t>
            </w:r>
            <w:r w:rsidR="001B2CFE">
              <w:rPr>
                <w:rFonts w:ascii="Times New Roman" w:hAnsi="Times New Roman" w:cs="Times New Roman"/>
                <w:sz w:val="16"/>
                <w:szCs w:val="16"/>
                <w:lang w:val="fr-FR" w:eastAsia="zh-CN"/>
              </w:rPr>
              <w:t>42</w:t>
            </w:r>
            <w:r>
              <w:rPr>
                <w:rFonts w:ascii="Times New Roman" w:hAnsi="Times New Roman" w:cs="Times New Roman"/>
                <w:sz w:val="16"/>
                <w:szCs w:val="16"/>
                <w:lang w:val="fr-FR" w:eastAsia="zh-CN"/>
              </w:rPr>
              <w:t xml:space="preserve"> </w:t>
            </w:r>
            <w:r w:rsidR="001B2CFE">
              <w:rPr>
                <w:rFonts w:ascii="Times New Roman" w:hAnsi="Times New Roman" w:cs="Times New Roman"/>
                <w:sz w:val="16"/>
                <w:szCs w:val="16"/>
                <w:lang w:val="fr-FR" w:eastAsia="zh-CN"/>
              </w:rPr>
              <w:t xml:space="preserve">facilitateurs, 12 maçons et 6 vidangeurs. </w:t>
            </w:r>
          </w:p>
          <w:p w:rsidR="006D04D8" w:rsidRPr="00055BFF" w:rsidRDefault="006D04D8" w:rsidP="006D04D8">
            <w:pPr>
              <w:pStyle w:val="Corpsdetexte2"/>
              <w:rPr>
                <w:rFonts w:ascii="Times New Roman" w:hAnsi="Times New Roman" w:cs="Times New Roman"/>
                <w:sz w:val="16"/>
                <w:szCs w:val="16"/>
                <w:lang w:val="fr-FR" w:eastAsia="zh-CN"/>
              </w:rPr>
            </w:pPr>
          </w:p>
          <w:p w:rsidR="006D04D8" w:rsidRPr="00055BFF" w:rsidRDefault="006D04D8" w:rsidP="006D04D8">
            <w:pPr>
              <w:pStyle w:val="Corpsdetexte2"/>
              <w:rPr>
                <w:rFonts w:ascii="Times New Roman" w:hAnsi="Times New Roman" w:cs="Times New Roman"/>
                <w:b/>
                <w:sz w:val="16"/>
                <w:szCs w:val="16"/>
                <w:lang w:val="fr-FR" w:eastAsia="zh-CN"/>
              </w:rPr>
            </w:pPr>
            <w:r w:rsidRPr="00055BFF">
              <w:rPr>
                <w:rFonts w:ascii="Times New Roman" w:hAnsi="Times New Roman" w:cs="Times New Roman"/>
                <w:sz w:val="16"/>
                <w:szCs w:val="16"/>
                <w:lang w:val="fr-FR" w:eastAsia="zh-CN"/>
              </w:rPr>
              <w:t>Pour les activités de construction d’AEP, il a fallu mettre à niveau les compétences des deux mairies sélectionnées avant de commencer le processus d’appel d’offres. Les inondations pendant la période de septembre à octobre, avec 30% de la population de la ville de Rosso (10,000 personnes environ) évacuées, ont accentué le retard des activités</w:t>
            </w:r>
            <w:r w:rsidRPr="00055BFF">
              <w:rPr>
                <w:rFonts w:ascii="Times New Roman" w:hAnsi="Times New Roman" w:cs="Times New Roman"/>
                <w:b/>
                <w:sz w:val="16"/>
                <w:szCs w:val="16"/>
                <w:lang w:val="fr-FR" w:eastAsia="zh-CN"/>
              </w:rPr>
              <w:t>.</w:t>
            </w:r>
          </w:p>
          <w:p w:rsidR="006D04D8" w:rsidRPr="00055BFF" w:rsidRDefault="006D04D8" w:rsidP="00AB0274">
            <w:pPr>
              <w:rPr>
                <w:sz w:val="16"/>
                <w:szCs w:val="16"/>
                <w:lang w:val="fr-FR"/>
              </w:rPr>
            </w:pPr>
          </w:p>
        </w:tc>
        <w:tc>
          <w:tcPr>
            <w:tcW w:w="1985" w:type="dxa"/>
          </w:tcPr>
          <w:p w:rsidR="006D04D8" w:rsidRPr="00055BFF" w:rsidRDefault="001B2CFE" w:rsidP="00AB0274">
            <w:pPr>
              <w:rPr>
                <w:sz w:val="16"/>
                <w:szCs w:val="16"/>
                <w:lang w:val="fr-FR"/>
              </w:rPr>
            </w:pPr>
            <w:r>
              <w:rPr>
                <w:sz w:val="16"/>
                <w:szCs w:val="16"/>
                <w:lang w:val="fr-FR"/>
              </w:rPr>
              <w:t>L’identification de 2 sites et la réalisation des études socio –</w:t>
            </w:r>
            <w:r w:rsidR="004D70EC">
              <w:rPr>
                <w:sz w:val="16"/>
                <w:szCs w:val="16"/>
                <w:lang w:val="fr-FR"/>
              </w:rPr>
              <w:t>économique</w:t>
            </w:r>
            <w:r>
              <w:rPr>
                <w:sz w:val="16"/>
                <w:szCs w:val="16"/>
                <w:lang w:val="fr-FR"/>
              </w:rPr>
              <w:t xml:space="preserve"> et technique.</w:t>
            </w: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bCs/>
                <w:iCs/>
                <w:sz w:val="16"/>
                <w:szCs w:val="16"/>
                <w:lang w:val="fr-FR"/>
              </w:rPr>
              <w:t>Faciliter l'accès à l'assainissement individuel d'au moins 4000 ménages</w:t>
            </w:r>
          </w:p>
        </w:tc>
        <w:tc>
          <w:tcPr>
            <w:tcW w:w="2976" w:type="dxa"/>
            <w:vMerge/>
          </w:tcPr>
          <w:p w:rsidR="006D04D8" w:rsidRPr="00055BFF" w:rsidRDefault="006D04D8" w:rsidP="00AB0274">
            <w:pPr>
              <w:rPr>
                <w:sz w:val="16"/>
                <w:szCs w:val="16"/>
                <w:lang w:val="fr-FR"/>
              </w:rPr>
            </w:pPr>
          </w:p>
        </w:tc>
        <w:tc>
          <w:tcPr>
            <w:tcW w:w="1985" w:type="dxa"/>
          </w:tcPr>
          <w:p w:rsidR="006D04D8" w:rsidRPr="00055BFF" w:rsidRDefault="000F5BA1" w:rsidP="00AB0274">
            <w:pPr>
              <w:rPr>
                <w:sz w:val="16"/>
                <w:szCs w:val="16"/>
                <w:lang w:val="fr-FR"/>
              </w:rPr>
            </w:pPr>
            <w:r>
              <w:rPr>
                <w:sz w:val="16"/>
                <w:szCs w:val="16"/>
                <w:lang w:val="fr-FR"/>
              </w:rPr>
              <w:t>5</w:t>
            </w:r>
            <w:r w:rsidR="005C7ADD">
              <w:rPr>
                <w:sz w:val="16"/>
                <w:szCs w:val="16"/>
                <w:lang w:val="fr-FR"/>
              </w:rPr>
              <w:t xml:space="preserve">00 latrines communautaires </w:t>
            </w:r>
            <w:r w:rsidR="009325CD">
              <w:rPr>
                <w:sz w:val="16"/>
                <w:szCs w:val="16"/>
                <w:lang w:val="fr-FR"/>
              </w:rPr>
              <w:t>auto construites</w:t>
            </w:r>
            <w:r>
              <w:rPr>
                <w:sz w:val="16"/>
                <w:szCs w:val="16"/>
                <w:lang w:val="fr-FR"/>
              </w:rPr>
              <w:t xml:space="preserve"> et 44 villages </w:t>
            </w:r>
            <w:r w:rsidR="003C340D">
              <w:rPr>
                <w:sz w:val="16"/>
                <w:szCs w:val="16"/>
                <w:lang w:val="fr-FR"/>
              </w:rPr>
              <w:t>s</w:t>
            </w:r>
            <w:r>
              <w:rPr>
                <w:sz w:val="16"/>
                <w:szCs w:val="16"/>
                <w:lang w:val="fr-FR"/>
              </w:rPr>
              <w:t>ont devenu</w:t>
            </w:r>
            <w:r w:rsidR="00D44FB1">
              <w:rPr>
                <w:sz w:val="16"/>
                <w:szCs w:val="16"/>
                <w:lang w:val="fr-FR"/>
              </w:rPr>
              <w:t>s</w:t>
            </w:r>
            <w:r>
              <w:rPr>
                <w:sz w:val="16"/>
                <w:szCs w:val="16"/>
                <w:lang w:val="fr-FR"/>
              </w:rPr>
              <w:t xml:space="preserve"> FDAL.</w:t>
            </w: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bCs/>
                <w:iCs/>
                <w:sz w:val="16"/>
                <w:szCs w:val="16"/>
                <w:lang w:val="fr-FR"/>
              </w:rPr>
              <w:t>Renforcer les capacités des partenaires de mise en œuvre pour le suivi et la supervision</w:t>
            </w:r>
          </w:p>
        </w:tc>
        <w:tc>
          <w:tcPr>
            <w:tcW w:w="2976" w:type="dxa"/>
            <w:vMerge/>
          </w:tcPr>
          <w:p w:rsidR="006D04D8" w:rsidRPr="00055BFF" w:rsidRDefault="006D04D8" w:rsidP="00AB0274">
            <w:pPr>
              <w:rPr>
                <w:sz w:val="16"/>
                <w:szCs w:val="16"/>
                <w:lang w:val="fr-FR"/>
              </w:rPr>
            </w:pPr>
          </w:p>
        </w:tc>
        <w:tc>
          <w:tcPr>
            <w:tcW w:w="1985" w:type="dxa"/>
          </w:tcPr>
          <w:p w:rsidR="006D04D8" w:rsidRPr="00055BFF" w:rsidRDefault="005C7ADD" w:rsidP="00AB0274">
            <w:pPr>
              <w:rPr>
                <w:sz w:val="16"/>
                <w:szCs w:val="16"/>
                <w:lang w:val="fr-FR"/>
              </w:rPr>
            </w:pPr>
            <w:r>
              <w:rPr>
                <w:sz w:val="16"/>
                <w:szCs w:val="16"/>
                <w:lang w:val="fr-FR"/>
              </w:rPr>
              <w:t xml:space="preserve">Les capacités de la mairie sont </w:t>
            </w:r>
            <w:r w:rsidR="001B2CFE">
              <w:rPr>
                <w:sz w:val="16"/>
                <w:szCs w:val="16"/>
                <w:lang w:val="fr-FR"/>
              </w:rPr>
              <w:t>renforcées, en maitrise d’ouvrage et en promotion d’assainissement.</w:t>
            </w: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Cs/>
                <w:iCs/>
                <w:sz w:val="16"/>
                <w:szCs w:val="16"/>
                <w:lang w:val="fr-CA"/>
              </w:rPr>
            </w:pPr>
            <w:r w:rsidRPr="00055BFF">
              <w:rPr>
                <w:bCs/>
                <w:iCs/>
                <w:sz w:val="16"/>
                <w:szCs w:val="16"/>
                <w:lang w:val="fr-FR"/>
              </w:rPr>
              <w:t>Assistance technique</w:t>
            </w:r>
          </w:p>
        </w:tc>
        <w:tc>
          <w:tcPr>
            <w:tcW w:w="2976" w:type="dxa"/>
            <w:vMerge/>
          </w:tcPr>
          <w:p w:rsidR="006D04D8" w:rsidRPr="00055BFF" w:rsidRDefault="006D04D8" w:rsidP="00AB0274">
            <w:pPr>
              <w:rPr>
                <w:sz w:val="16"/>
                <w:szCs w:val="16"/>
                <w:lang w:val="fr-FR"/>
              </w:rPr>
            </w:pPr>
          </w:p>
        </w:tc>
        <w:tc>
          <w:tcPr>
            <w:tcW w:w="1985" w:type="dxa"/>
          </w:tcPr>
          <w:p w:rsidR="006D04D8" w:rsidRPr="00055BFF" w:rsidRDefault="000F5BA1" w:rsidP="00AB0274">
            <w:pPr>
              <w:rPr>
                <w:sz w:val="16"/>
                <w:szCs w:val="16"/>
                <w:lang w:val="fr-FR"/>
              </w:rPr>
            </w:pPr>
            <w:r>
              <w:rPr>
                <w:sz w:val="16"/>
                <w:szCs w:val="16"/>
                <w:lang w:val="fr-FR"/>
              </w:rPr>
              <w:t xml:space="preserve">44 facilitateurs, 12 </w:t>
            </w:r>
            <w:r w:rsidR="003C340D">
              <w:rPr>
                <w:sz w:val="16"/>
                <w:szCs w:val="16"/>
                <w:lang w:val="fr-FR"/>
              </w:rPr>
              <w:t>maçons</w:t>
            </w:r>
            <w:r>
              <w:rPr>
                <w:sz w:val="16"/>
                <w:szCs w:val="16"/>
                <w:lang w:val="fr-FR"/>
              </w:rPr>
              <w:t xml:space="preserve"> et 12 </w:t>
            </w:r>
            <w:r w:rsidR="003C340D">
              <w:rPr>
                <w:sz w:val="16"/>
                <w:szCs w:val="16"/>
                <w:lang w:val="fr-FR"/>
              </w:rPr>
              <w:t>vidangeurs</w:t>
            </w:r>
            <w:r>
              <w:rPr>
                <w:sz w:val="16"/>
                <w:szCs w:val="16"/>
                <w:lang w:val="fr-FR"/>
              </w:rPr>
              <w:t xml:space="preserve"> formés dans le cadre de l’ATPC.</w:t>
            </w:r>
          </w:p>
        </w:tc>
      </w:tr>
      <w:tr w:rsidR="006D04D8" w:rsidRPr="00055BFF" w:rsidTr="00055BFF">
        <w:tc>
          <w:tcPr>
            <w:tcW w:w="2941" w:type="dxa"/>
            <w:vMerge/>
          </w:tcPr>
          <w:p w:rsidR="006D04D8" w:rsidRPr="00055BFF" w:rsidRDefault="006D04D8" w:rsidP="00AB0274">
            <w:pPr>
              <w:rPr>
                <w:sz w:val="16"/>
                <w:szCs w:val="16"/>
                <w:lang w:val="fr-FR"/>
              </w:rPr>
            </w:pPr>
          </w:p>
        </w:tc>
        <w:tc>
          <w:tcPr>
            <w:tcW w:w="2696" w:type="dxa"/>
            <w:vAlign w:val="center"/>
          </w:tcPr>
          <w:p w:rsidR="006D04D8" w:rsidRPr="00055BFF" w:rsidRDefault="006D04D8" w:rsidP="00055BFF">
            <w:pPr>
              <w:rPr>
                <w:b/>
                <w:bCs/>
                <w:iCs/>
                <w:sz w:val="16"/>
                <w:szCs w:val="16"/>
                <w:lang w:val="fr-CA"/>
              </w:rPr>
            </w:pPr>
          </w:p>
        </w:tc>
        <w:tc>
          <w:tcPr>
            <w:tcW w:w="2976" w:type="dxa"/>
          </w:tcPr>
          <w:p w:rsidR="006D04D8" w:rsidRPr="00055BFF" w:rsidRDefault="006D04D8" w:rsidP="00AB0274">
            <w:pPr>
              <w:rPr>
                <w:sz w:val="16"/>
                <w:szCs w:val="16"/>
                <w:lang w:val="fr-FR"/>
              </w:rPr>
            </w:pPr>
          </w:p>
        </w:tc>
        <w:tc>
          <w:tcPr>
            <w:tcW w:w="1985" w:type="dxa"/>
          </w:tcPr>
          <w:p w:rsidR="006D04D8" w:rsidRPr="00055BFF" w:rsidRDefault="006D04D8" w:rsidP="00AB0274">
            <w:pPr>
              <w:rPr>
                <w:sz w:val="16"/>
                <w:szCs w:val="16"/>
                <w:lang w:val="fr-FR"/>
              </w:rPr>
            </w:pPr>
          </w:p>
        </w:tc>
      </w:tr>
      <w:tr w:rsidR="00996BDA" w:rsidRPr="00055BFF" w:rsidTr="00055BFF">
        <w:tc>
          <w:tcPr>
            <w:tcW w:w="2941" w:type="dxa"/>
            <w:vMerge/>
          </w:tcPr>
          <w:p w:rsidR="00996BDA" w:rsidRPr="00055BFF" w:rsidRDefault="00996BDA" w:rsidP="00AB0274">
            <w:pPr>
              <w:rPr>
                <w:sz w:val="16"/>
                <w:szCs w:val="16"/>
                <w:lang w:val="fr-FR"/>
              </w:rPr>
            </w:pPr>
          </w:p>
        </w:tc>
        <w:tc>
          <w:tcPr>
            <w:tcW w:w="2696" w:type="dxa"/>
          </w:tcPr>
          <w:p w:rsidR="00996BDA" w:rsidRPr="00055BFF" w:rsidRDefault="00996BDA" w:rsidP="00055BFF">
            <w:pPr>
              <w:pStyle w:val="Notedebasdepage"/>
              <w:rPr>
                <w:sz w:val="16"/>
                <w:szCs w:val="16"/>
                <w:lang w:val="fr-FR"/>
              </w:rPr>
            </w:pPr>
            <w:r w:rsidRPr="00055BFF">
              <w:rPr>
                <w:bCs/>
                <w:iCs/>
                <w:sz w:val="16"/>
                <w:szCs w:val="16"/>
                <w:lang w:val="fr-FR"/>
              </w:rPr>
              <w:t xml:space="preserve">Appuyer 6 centres  de santé pour l'élimination des déchets biomédicaux avec des techniques simples </w:t>
            </w:r>
          </w:p>
        </w:tc>
        <w:tc>
          <w:tcPr>
            <w:tcW w:w="2976" w:type="dxa"/>
            <w:vMerge w:val="restart"/>
          </w:tcPr>
          <w:p w:rsidR="00912C6D" w:rsidRDefault="00996BDA" w:rsidP="00996BDA">
            <w:pPr>
              <w:pStyle w:val="Corpsdetexte2"/>
              <w:rPr>
                <w:rFonts w:ascii="Times New Roman" w:hAnsi="Times New Roman" w:cs="Times New Roman"/>
                <w:sz w:val="16"/>
                <w:szCs w:val="16"/>
                <w:lang w:val="fr-FR" w:eastAsia="zh-CN"/>
              </w:rPr>
            </w:pPr>
            <w:r w:rsidRPr="00055BFF">
              <w:rPr>
                <w:rFonts w:ascii="Times New Roman" w:hAnsi="Times New Roman" w:cs="Times New Roman"/>
                <w:sz w:val="16"/>
                <w:szCs w:val="16"/>
                <w:lang w:val="fr-FR" w:eastAsia="zh-CN"/>
              </w:rPr>
              <w:t xml:space="preserve">L’implantation du Réseau de laboratoires piloté par l’Institut National de recherches en santé publique (INRSP) a été assurée dans les trois wilayas cibles, une cartographie de la qualité de l’eau de boisson a déjà touché 6 wilayas sur 13. Quatre projets CEH (Changement de comportements favorables à l’approvisionnement en eau potable, à l’hygiène et l’assainissement ont été mis en réalisé dans quatre établissements pilotes de quatre moughataas (plus 2100 élèves, 54 élus/enseignants/APE et 24 vendeurs à proximité des établissements formés. </w:t>
            </w:r>
          </w:p>
          <w:p w:rsidR="00996BDA" w:rsidRPr="00055BFF" w:rsidRDefault="00912C6D" w:rsidP="00996BDA">
            <w:pPr>
              <w:pStyle w:val="Corpsdetexte2"/>
              <w:rPr>
                <w:rFonts w:ascii="Times New Roman" w:hAnsi="Times New Roman" w:cs="Times New Roman"/>
                <w:sz w:val="16"/>
                <w:szCs w:val="16"/>
                <w:lang w:val="fr-FR" w:eastAsia="zh-CN"/>
              </w:rPr>
            </w:pPr>
            <w:r>
              <w:rPr>
                <w:rFonts w:ascii="Times New Roman" w:hAnsi="Times New Roman" w:cs="Times New Roman"/>
                <w:sz w:val="16"/>
                <w:szCs w:val="16"/>
                <w:lang w:val="fr-FR" w:eastAsia="zh-CN"/>
              </w:rPr>
              <w:t>L</w:t>
            </w:r>
            <w:r w:rsidR="00996BDA" w:rsidRPr="00055BFF">
              <w:rPr>
                <w:rFonts w:ascii="Times New Roman" w:hAnsi="Times New Roman" w:cs="Times New Roman"/>
                <w:sz w:val="16"/>
                <w:szCs w:val="16"/>
                <w:lang w:val="fr-FR" w:eastAsia="zh-CN"/>
              </w:rPr>
              <w:t xml:space="preserve">a construction de 06 incinérateurs type Montfort amélioré (t° max 1200 °c , volume fosse 3m3 , durée de remplissage 3 ans, surface protégée) et la formation adéquate de personnels de santé et paramédical dans 04 des 06 sites. </w:t>
            </w:r>
          </w:p>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96BDA" w:rsidRPr="00055BFF" w:rsidTr="00055BFF">
        <w:tc>
          <w:tcPr>
            <w:tcW w:w="2941" w:type="dxa"/>
            <w:vMerge/>
          </w:tcPr>
          <w:p w:rsidR="00996BDA" w:rsidRPr="00055BFF" w:rsidRDefault="00996BDA" w:rsidP="00AB0274">
            <w:pPr>
              <w:rPr>
                <w:sz w:val="16"/>
                <w:szCs w:val="16"/>
                <w:lang w:val="fr-FR"/>
              </w:rPr>
            </w:pPr>
          </w:p>
        </w:tc>
        <w:tc>
          <w:tcPr>
            <w:tcW w:w="2696" w:type="dxa"/>
          </w:tcPr>
          <w:p w:rsidR="00996BDA" w:rsidRPr="00055BFF" w:rsidRDefault="00996BDA" w:rsidP="00055BFF">
            <w:pPr>
              <w:pStyle w:val="Objetducommentaire"/>
              <w:rPr>
                <w:b w:val="0"/>
                <w:sz w:val="16"/>
                <w:szCs w:val="16"/>
                <w:lang w:val="fr-FR"/>
              </w:rPr>
            </w:pPr>
            <w:r w:rsidRPr="00055BFF">
              <w:rPr>
                <w:b w:val="0"/>
                <w:bCs w:val="0"/>
                <w:iCs/>
                <w:sz w:val="16"/>
                <w:szCs w:val="16"/>
                <w:lang w:val="fr-FR"/>
              </w:rPr>
              <w:t xml:space="preserve">Promouvoir </w:t>
            </w:r>
            <w:smartTag w:uri="urn:schemas-microsoft-com:office:smarttags" w:element="PersonName">
              <w:smartTagPr>
                <w:attr w:name="ProductID" w:val="la Sant￩"/>
              </w:smartTagPr>
              <w:r w:rsidRPr="00055BFF">
                <w:rPr>
                  <w:b w:val="0"/>
                  <w:bCs w:val="0"/>
                  <w:iCs/>
                  <w:sz w:val="16"/>
                  <w:szCs w:val="16"/>
                  <w:lang w:val="fr-FR"/>
                </w:rPr>
                <w:t>la Santé</w:t>
              </w:r>
            </w:smartTag>
            <w:r w:rsidRPr="00055BFF">
              <w:rPr>
                <w:b w:val="0"/>
                <w:bCs w:val="0"/>
                <w:iCs/>
                <w:sz w:val="16"/>
                <w:szCs w:val="16"/>
                <w:lang w:val="fr-FR"/>
              </w:rPr>
              <w:t xml:space="preserve"> environnementale dans le milieu scolaire à travers l'initiative CEH "Un environnement sain pour les enfants"</w:t>
            </w:r>
          </w:p>
        </w:tc>
        <w:tc>
          <w:tcPr>
            <w:tcW w:w="2976" w:type="dxa"/>
            <w:vMerge/>
          </w:tcPr>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96BDA" w:rsidRPr="00055BFF" w:rsidTr="00055BFF">
        <w:tc>
          <w:tcPr>
            <w:tcW w:w="2941" w:type="dxa"/>
            <w:vMerge/>
          </w:tcPr>
          <w:p w:rsidR="00996BDA" w:rsidRPr="00055BFF" w:rsidRDefault="00996BDA" w:rsidP="00AB0274">
            <w:pPr>
              <w:rPr>
                <w:sz w:val="16"/>
                <w:szCs w:val="16"/>
                <w:lang w:val="fr-FR"/>
              </w:rPr>
            </w:pPr>
          </w:p>
        </w:tc>
        <w:tc>
          <w:tcPr>
            <w:tcW w:w="2696" w:type="dxa"/>
          </w:tcPr>
          <w:p w:rsidR="00996BDA" w:rsidRPr="00055BFF" w:rsidRDefault="00996BDA" w:rsidP="00055BFF">
            <w:pPr>
              <w:pStyle w:val="Paragraphedeliste1"/>
              <w:ind w:left="0"/>
              <w:rPr>
                <w:sz w:val="16"/>
                <w:szCs w:val="16"/>
                <w:lang w:val="fr-FR"/>
              </w:rPr>
            </w:pPr>
            <w:r w:rsidRPr="00055BFF">
              <w:rPr>
                <w:bCs/>
                <w:iCs/>
                <w:sz w:val="16"/>
                <w:szCs w:val="16"/>
                <w:lang w:val="fr-FR"/>
              </w:rPr>
              <w:t>Faciliter l’acquisition de 6 kits  laboratoires mobiles pour 6 centres de santé  et former les agents des services techniques en  contrôle qualité eau/aliments</w:t>
            </w:r>
          </w:p>
        </w:tc>
        <w:tc>
          <w:tcPr>
            <w:tcW w:w="2976" w:type="dxa"/>
            <w:vMerge/>
          </w:tcPr>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12C6D" w:rsidRPr="00055BFF" w:rsidTr="00055BFF">
        <w:tc>
          <w:tcPr>
            <w:tcW w:w="2941" w:type="dxa"/>
            <w:vMerge w:val="restart"/>
          </w:tcPr>
          <w:p w:rsidR="00912C6D" w:rsidRPr="00055BFF" w:rsidRDefault="00912C6D" w:rsidP="00996BDA">
            <w:pPr>
              <w:rPr>
                <w:bCs/>
                <w:iCs/>
                <w:sz w:val="16"/>
                <w:szCs w:val="16"/>
                <w:lang w:val="fr-CA"/>
              </w:rPr>
            </w:pPr>
            <w:r w:rsidRPr="00055BFF">
              <w:rPr>
                <w:bCs/>
                <w:iCs/>
                <w:sz w:val="16"/>
                <w:szCs w:val="16"/>
                <w:lang w:val="fr-CA"/>
              </w:rPr>
              <w:t xml:space="preserve">Les capacités des communautés locales et des OSC sont améliorées </w:t>
            </w:r>
          </w:p>
          <w:p w:rsidR="00912C6D" w:rsidRPr="00055BFF" w:rsidRDefault="00912C6D" w:rsidP="00996BDA">
            <w:pPr>
              <w:rPr>
                <w:bCs/>
                <w:iCs/>
                <w:sz w:val="16"/>
                <w:szCs w:val="16"/>
                <w:lang w:val="fr-CA"/>
              </w:rPr>
            </w:pPr>
            <w:r w:rsidRPr="00055BFF">
              <w:rPr>
                <w:bCs/>
                <w:iCs/>
                <w:sz w:val="16"/>
                <w:szCs w:val="16"/>
                <w:lang w:val="fr-CA"/>
              </w:rPr>
              <w:t>à travers une gestion participative des ressources locales en eau et de l’environnement en vue d’augmenter les revenus des ménages.</w:t>
            </w:r>
          </w:p>
          <w:p w:rsidR="00912C6D" w:rsidRPr="00055BFF" w:rsidRDefault="00912C6D" w:rsidP="00AB0274">
            <w:pPr>
              <w:rPr>
                <w:sz w:val="16"/>
                <w:szCs w:val="16"/>
                <w:lang w:val="fr-CA"/>
              </w:rPr>
            </w:pPr>
          </w:p>
        </w:tc>
        <w:tc>
          <w:tcPr>
            <w:tcW w:w="2696" w:type="dxa"/>
            <w:vAlign w:val="center"/>
          </w:tcPr>
          <w:p w:rsidR="00912C6D" w:rsidRPr="00055BFF" w:rsidRDefault="00912C6D" w:rsidP="00055BFF">
            <w:pPr>
              <w:rPr>
                <w:bCs/>
                <w:iCs/>
                <w:sz w:val="16"/>
                <w:szCs w:val="16"/>
              </w:rPr>
            </w:pPr>
            <w:r w:rsidRPr="00055BFF">
              <w:rPr>
                <w:bCs/>
                <w:iCs/>
                <w:sz w:val="16"/>
                <w:szCs w:val="16"/>
              </w:rPr>
              <w:lastRenderedPageBreak/>
              <w:t>Aménager 4 dépressions naturelles  au Brakna</w:t>
            </w:r>
          </w:p>
          <w:p w:rsidR="00912C6D" w:rsidRPr="00055BFF" w:rsidRDefault="00912C6D" w:rsidP="00055BFF">
            <w:pPr>
              <w:rPr>
                <w:bCs/>
                <w:iCs/>
                <w:sz w:val="16"/>
                <w:szCs w:val="16"/>
                <w:lang w:val="fr-CA"/>
              </w:rPr>
            </w:pPr>
          </w:p>
        </w:tc>
        <w:tc>
          <w:tcPr>
            <w:tcW w:w="2976" w:type="dxa"/>
            <w:vMerge w:val="restart"/>
          </w:tcPr>
          <w:p w:rsidR="00912C6D" w:rsidRPr="00055BFF" w:rsidRDefault="00912C6D" w:rsidP="00996BDA">
            <w:pPr>
              <w:rPr>
                <w:noProof/>
                <w:sz w:val="16"/>
                <w:szCs w:val="16"/>
                <w:lang w:val="fr-CA"/>
              </w:rPr>
            </w:pPr>
            <w:r w:rsidRPr="00055BFF">
              <w:rPr>
                <w:noProof/>
                <w:sz w:val="16"/>
                <w:szCs w:val="16"/>
                <w:lang w:val="fr-FR"/>
              </w:rPr>
              <w:t xml:space="preserve">Signature d’un protocole d’accord avec El Ghad Essihi (ONG locale) pour l’amenagement d’une dépression naturelle à Lekhteit (Maghta Lahjar) ; </w:t>
            </w:r>
          </w:p>
          <w:p w:rsidR="00912C6D" w:rsidRPr="00055BFF" w:rsidRDefault="00912C6D" w:rsidP="00996BDA">
            <w:pPr>
              <w:rPr>
                <w:noProof/>
                <w:sz w:val="16"/>
                <w:szCs w:val="16"/>
                <w:lang w:val="fr-FR"/>
              </w:rPr>
            </w:pPr>
            <w:r w:rsidRPr="00055BFF">
              <w:rPr>
                <w:noProof/>
                <w:sz w:val="16"/>
                <w:szCs w:val="16"/>
                <w:lang w:val="fr-FR"/>
              </w:rPr>
              <w:t xml:space="preserve">Mise en place d’une AEP avec ONG EGIRE et aménagement d’une carrière à </w:t>
            </w:r>
            <w:r w:rsidRPr="00055BFF">
              <w:rPr>
                <w:noProof/>
                <w:sz w:val="16"/>
                <w:szCs w:val="16"/>
                <w:lang w:val="fr-FR"/>
              </w:rPr>
              <w:lastRenderedPageBreak/>
              <w:t>Seeno Kouna (commune de Haaré Mbar)</w:t>
            </w:r>
          </w:p>
          <w:p w:rsidR="00912C6D" w:rsidRPr="00055BFF" w:rsidRDefault="00912C6D" w:rsidP="00996BDA">
            <w:pPr>
              <w:rPr>
                <w:sz w:val="16"/>
                <w:szCs w:val="16"/>
                <w:lang w:val="fr-FR"/>
              </w:rPr>
            </w:pPr>
            <w:r w:rsidRPr="00055BFF">
              <w:rPr>
                <w:noProof/>
                <w:sz w:val="16"/>
                <w:szCs w:val="16"/>
                <w:lang w:val="fr-FR"/>
              </w:rPr>
              <w:t>Quant aux cultures hors sol, une expertise a été identifié à Rosso pour former 2 ONGs qui se chargeront de la vulgarisation de la technique.</w:t>
            </w:r>
          </w:p>
        </w:tc>
        <w:tc>
          <w:tcPr>
            <w:tcW w:w="1985" w:type="dxa"/>
            <w:vMerge w:val="restart"/>
          </w:tcPr>
          <w:p w:rsidR="00912C6D" w:rsidRPr="00055BFF" w:rsidRDefault="00912C6D" w:rsidP="00912C6D">
            <w:pPr>
              <w:rPr>
                <w:noProof/>
                <w:sz w:val="16"/>
                <w:szCs w:val="16"/>
                <w:lang w:val="fr-FR"/>
              </w:rPr>
            </w:pPr>
            <w:r w:rsidRPr="00055BFF">
              <w:rPr>
                <w:noProof/>
                <w:sz w:val="16"/>
                <w:szCs w:val="16"/>
                <w:lang w:val="fr-FR"/>
              </w:rPr>
              <w:lastRenderedPageBreak/>
              <w:t xml:space="preserve">La construction de mini adduction d’eau n’a pu se faire. Aussi, </w:t>
            </w:r>
            <w:r>
              <w:rPr>
                <w:noProof/>
                <w:sz w:val="16"/>
                <w:szCs w:val="16"/>
                <w:lang w:val="fr-FR"/>
              </w:rPr>
              <w:t xml:space="preserve">a t </w:t>
            </w:r>
            <w:r w:rsidRPr="00055BFF">
              <w:rPr>
                <w:noProof/>
                <w:sz w:val="16"/>
                <w:szCs w:val="16"/>
                <w:lang w:val="fr-FR"/>
              </w:rPr>
              <w:t>il été décidé de contruire une autre mini adduction enlieu et</w:t>
            </w:r>
            <w:r>
              <w:rPr>
                <w:noProof/>
                <w:sz w:val="16"/>
                <w:szCs w:val="16"/>
                <w:lang w:val="fr-FR"/>
              </w:rPr>
              <w:t xml:space="preserve"> place de la source </w:t>
            </w:r>
            <w:r>
              <w:rPr>
                <w:noProof/>
                <w:sz w:val="16"/>
                <w:szCs w:val="16"/>
                <w:lang w:val="fr-FR"/>
              </w:rPr>
              <w:lastRenderedPageBreak/>
              <w:t>naturelle</w:t>
            </w:r>
          </w:p>
          <w:p w:rsidR="00912C6D" w:rsidRPr="00055BFF" w:rsidRDefault="00912C6D" w:rsidP="00AB0274">
            <w:pPr>
              <w:rPr>
                <w:sz w:val="16"/>
                <w:szCs w:val="16"/>
                <w:lang w:val="fr-FR"/>
              </w:rPr>
            </w:pPr>
          </w:p>
        </w:tc>
      </w:tr>
      <w:tr w:rsidR="00912C6D" w:rsidRPr="00055BFF" w:rsidTr="00055BFF">
        <w:tc>
          <w:tcPr>
            <w:tcW w:w="2941" w:type="dxa"/>
            <w:vMerge/>
          </w:tcPr>
          <w:p w:rsidR="00912C6D" w:rsidRPr="00055BFF" w:rsidRDefault="00912C6D" w:rsidP="00AB0274">
            <w:pPr>
              <w:rPr>
                <w:sz w:val="16"/>
                <w:szCs w:val="16"/>
                <w:lang w:val="fr-FR"/>
              </w:rPr>
            </w:pPr>
          </w:p>
        </w:tc>
        <w:tc>
          <w:tcPr>
            <w:tcW w:w="2696" w:type="dxa"/>
            <w:vAlign w:val="center"/>
          </w:tcPr>
          <w:p w:rsidR="00912C6D" w:rsidRPr="00055BFF" w:rsidRDefault="00912C6D" w:rsidP="00055BFF">
            <w:pPr>
              <w:rPr>
                <w:bCs/>
                <w:iCs/>
                <w:sz w:val="16"/>
                <w:szCs w:val="16"/>
                <w:lang w:val="fr-CA"/>
              </w:rPr>
            </w:pPr>
            <w:r w:rsidRPr="00055BFF">
              <w:rPr>
                <w:bCs/>
                <w:iCs/>
                <w:sz w:val="16"/>
                <w:szCs w:val="16"/>
                <w:lang w:val="fr-CA"/>
              </w:rPr>
              <w:t>valoriser 1 carrières pour la retenue d’eau pour des fins pastorales et maraîchères au Brakna</w:t>
            </w:r>
          </w:p>
          <w:p w:rsidR="00912C6D" w:rsidRPr="00055BFF" w:rsidRDefault="00912C6D" w:rsidP="00055BFF">
            <w:pPr>
              <w:rPr>
                <w:bCs/>
                <w:iCs/>
                <w:sz w:val="16"/>
                <w:szCs w:val="16"/>
                <w:lang w:val="fr-CA"/>
              </w:rPr>
            </w:pPr>
          </w:p>
        </w:tc>
        <w:tc>
          <w:tcPr>
            <w:tcW w:w="2976" w:type="dxa"/>
            <w:vMerge/>
          </w:tcPr>
          <w:p w:rsidR="00912C6D" w:rsidRPr="00055BFF" w:rsidRDefault="00912C6D" w:rsidP="00AB0274">
            <w:pPr>
              <w:rPr>
                <w:sz w:val="16"/>
                <w:szCs w:val="16"/>
                <w:lang w:val="fr-FR"/>
              </w:rPr>
            </w:pPr>
          </w:p>
        </w:tc>
        <w:tc>
          <w:tcPr>
            <w:tcW w:w="1985" w:type="dxa"/>
            <w:vMerge/>
          </w:tcPr>
          <w:p w:rsidR="00912C6D" w:rsidRPr="00055BFF" w:rsidRDefault="00912C6D" w:rsidP="00AB0274">
            <w:pPr>
              <w:rPr>
                <w:sz w:val="16"/>
                <w:szCs w:val="16"/>
                <w:lang w:val="fr-FR"/>
              </w:rPr>
            </w:pPr>
          </w:p>
        </w:tc>
      </w:tr>
      <w:tr w:rsidR="00912C6D" w:rsidRPr="00055BFF" w:rsidTr="00055BFF">
        <w:tc>
          <w:tcPr>
            <w:tcW w:w="2941" w:type="dxa"/>
            <w:vMerge/>
          </w:tcPr>
          <w:p w:rsidR="00912C6D" w:rsidRPr="00055BFF" w:rsidRDefault="00912C6D" w:rsidP="00AB0274">
            <w:pPr>
              <w:rPr>
                <w:sz w:val="16"/>
                <w:szCs w:val="16"/>
                <w:lang w:val="fr-FR"/>
              </w:rPr>
            </w:pPr>
          </w:p>
        </w:tc>
        <w:tc>
          <w:tcPr>
            <w:tcW w:w="2696" w:type="dxa"/>
            <w:vAlign w:val="center"/>
          </w:tcPr>
          <w:p w:rsidR="00912C6D" w:rsidRPr="00055BFF" w:rsidRDefault="00912C6D" w:rsidP="00055BFF">
            <w:pPr>
              <w:rPr>
                <w:bCs/>
                <w:iCs/>
                <w:sz w:val="16"/>
                <w:szCs w:val="16"/>
                <w:lang w:val="fr-CA"/>
              </w:rPr>
            </w:pPr>
            <w:r w:rsidRPr="00055BFF">
              <w:rPr>
                <w:bCs/>
                <w:iCs/>
                <w:sz w:val="16"/>
                <w:szCs w:val="16"/>
                <w:lang w:val="fr-CA"/>
              </w:rPr>
              <w:t>Aménager 1 source naturelles en Assaba et 2 mini adductions d’eau</w:t>
            </w:r>
          </w:p>
        </w:tc>
        <w:tc>
          <w:tcPr>
            <w:tcW w:w="2976" w:type="dxa"/>
            <w:vMerge/>
          </w:tcPr>
          <w:p w:rsidR="00912C6D" w:rsidRPr="00055BFF" w:rsidRDefault="00912C6D" w:rsidP="00AB0274">
            <w:pPr>
              <w:rPr>
                <w:sz w:val="16"/>
                <w:szCs w:val="16"/>
                <w:lang w:val="fr-FR"/>
              </w:rPr>
            </w:pPr>
          </w:p>
        </w:tc>
        <w:tc>
          <w:tcPr>
            <w:tcW w:w="1985" w:type="dxa"/>
            <w:vMerge/>
          </w:tcPr>
          <w:p w:rsidR="00912C6D" w:rsidRPr="00055BFF" w:rsidRDefault="00912C6D" w:rsidP="00AB0274">
            <w:pPr>
              <w:rPr>
                <w:sz w:val="16"/>
                <w:szCs w:val="16"/>
                <w:lang w:val="fr-FR"/>
              </w:rPr>
            </w:pPr>
          </w:p>
        </w:tc>
      </w:tr>
      <w:tr w:rsidR="00912C6D" w:rsidRPr="00055BFF" w:rsidTr="00055BFF">
        <w:tc>
          <w:tcPr>
            <w:tcW w:w="2941" w:type="dxa"/>
            <w:vMerge/>
          </w:tcPr>
          <w:p w:rsidR="00912C6D" w:rsidRPr="00055BFF" w:rsidRDefault="00912C6D" w:rsidP="00AB0274">
            <w:pPr>
              <w:rPr>
                <w:sz w:val="16"/>
                <w:szCs w:val="16"/>
                <w:lang w:val="fr-FR"/>
              </w:rPr>
            </w:pPr>
          </w:p>
        </w:tc>
        <w:tc>
          <w:tcPr>
            <w:tcW w:w="2696" w:type="dxa"/>
            <w:vAlign w:val="center"/>
          </w:tcPr>
          <w:p w:rsidR="00912C6D" w:rsidRPr="00055BFF" w:rsidRDefault="00912C6D" w:rsidP="00055BFF">
            <w:pPr>
              <w:rPr>
                <w:bCs/>
                <w:iCs/>
                <w:sz w:val="16"/>
                <w:szCs w:val="16"/>
                <w:lang w:val="fr-CA"/>
              </w:rPr>
            </w:pPr>
            <w:r w:rsidRPr="00055BFF">
              <w:rPr>
                <w:bCs/>
                <w:iCs/>
                <w:sz w:val="16"/>
                <w:szCs w:val="16"/>
                <w:lang w:val="fr-CA"/>
              </w:rPr>
              <w:t>Vulgariser les cultures hors sol pour l’économie d’eau 1 site en Assaba</w:t>
            </w:r>
          </w:p>
        </w:tc>
        <w:tc>
          <w:tcPr>
            <w:tcW w:w="2976" w:type="dxa"/>
            <w:vMerge/>
          </w:tcPr>
          <w:p w:rsidR="00912C6D" w:rsidRPr="00055BFF" w:rsidRDefault="00912C6D" w:rsidP="00AB0274">
            <w:pPr>
              <w:rPr>
                <w:sz w:val="16"/>
                <w:szCs w:val="16"/>
                <w:lang w:val="fr-FR"/>
              </w:rPr>
            </w:pPr>
          </w:p>
        </w:tc>
        <w:tc>
          <w:tcPr>
            <w:tcW w:w="1985" w:type="dxa"/>
            <w:vMerge/>
          </w:tcPr>
          <w:p w:rsidR="00912C6D" w:rsidRPr="00055BFF" w:rsidRDefault="00912C6D" w:rsidP="00AB0274">
            <w:pPr>
              <w:rPr>
                <w:sz w:val="16"/>
                <w:szCs w:val="16"/>
                <w:lang w:val="fr-FR"/>
              </w:rPr>
            </w:pPr>
          </w:p>
        </w:tc>
      </w:tr>
      <w:tr w:rsidR="00996BDA" w:rsidRPr="00055BFF" w:rsidTr="00055BFF">
        <w:tc>
          <w:tcPr>
            <w:tcW w:w="2941" w:type="dxa"/>
          </w:tcPr>
          <w:p w:rsidR="00996BDA" w:rsidRPr="00055BFF" w:rsidRDefault="00996BDA" w:rsidP="00AB0274">
            <w:pPr>
              <w:rPr>
                <w:sz w:val="16"/>
                <w:szCs w:val="16"/>
                <w:lang w:val="fr-FR"/>
              </w:rPr>
            </w:pPr>
          </w:p>
        </w:tc>
        <w:tc>
          <w:tcPr>
            <w:tcW w:w="2696" w:type="dxa"/>
          </w:tcPr>
          <w:p w:rsidR="00996BDA" w:rsidRPr="00055BFF" w:rsidRDefault="00996BDA" w:rsidP="00055BFF">
            <w:pPr>
              <w:autoSpaceDE w:val="0"/>
              <w:autoSpaceDN w:val="0"/>
              <w:adjustRightInd w:val="0"/>
              <w:rPr>
                <w:sz w:val="16"/>
                <w:szCs w:val="16"/>
                <w:lang w:val="fr-CA"/>
              </w:rPr>
            </w:pPr>
          </w:p>
        </w:tc>
        <w:tc>
          <w:tcPr>
            <w:tcW w:w="2976" w:type="dxa"/>
          </w:tcPr>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96BDA" w:rsidRPr="00055BFF" w:rsidTr="00055BFF">
        <w:tc>
          <w:tcPr>
            <w:tcW w:w="10598" w:type="dxa"/>
            <w:gridSpan w:val="4"/>
          </w:tcPr>
          <w:p w:rsidR="00996BDA" w:rsidRPr="00055BFF" w:rsidRDefault="00996BDA" w:rsidP="00AB0274">
            <w:pPr>
              <w:rPr>
                <w:sz w:val="20"/>
                <w:szCs w:val="20"/>
                <w:lang w:val="fr-FR"/>
              </w:rPr>
            </w:pPr>
            <w:r w:rsidRPr="00055BFF">
              <w:rPr>
                <w:b/>
                <w:bCs/>
                <w:sz w:val="20"/>
                <w:szCs w:val="20"/>
                <w:lang w:val="fr-CA"/>
              </w:rPr>
              <w:t xml:space="preserve">EFFET 2 : Les capacités nationales sont </w:t>
            </w:r>
            <w:r w:rsidRPr="00055BFF">
              <w:rPr>
                <w:b/>
                <w:sz w:val="20"/>
                <w:szCs w:val="20"/>
                <w:lang w:val="fr-CA"/>
              </w:rPr>
              <w:t>renforcées pour assurer une meilleure prise en compte des défis environnementaux dans les processus de planification</w:t>
            </w:r>
          </w:p>
        </w:tc>
      </w:tr>
      <w:tr w:rsidR="00996BDA" w:rsidRPr="00055BFF" w:rsidTr="00055BFF">
        <w:tc>
          <w:tcPr>
            <w:tcW w:w="2941" w:type="dxa"/>
          </w:tcPr>
          <w:p w:rsidR="00996BDA" w:rsidRPr="00055BFF" w:rsidRDefault="00996BDA" w:rsidP="00055BFF">
            <w:pPr>
              <w:rPr>
                <w:bCs/>
                <w:iCs/>
                <w:sz w:val="16"/>
                <w:szCs w:val="16"/>
                <w:lang w:val="fr-CA"/>
              </w:rPr>
            </w:pPr>
            <w:r w:rsidRPr="00055BFF">
              <w:rPr>
                <w:bCs/>
                <w:iCs/>
                <w:sz w:val="16"/>
                <w:szCs w:val="16"/>
                <w:lang w:val="fr-CA"/>
              </w:rPr>
              <w:t>L’état des lieux au niveau des zones d’intervention  et les liens pauvreté – environnement sont mieux appréhendés</w:t>
            </w:r>
          </w:p>
        </w:tc>
        <w:tc>
          <w:tcPr>
            <w:tcW w:w="2696" w:type="dxa"/>
            <w:vAlign w:val="center"/>
          </w:tcPr>
          <w:p w:rsidR="00996BDA" w:rsidRPr="00055BFF" w:rsidRDefault="00996BDA" w:rsidP="00055BFF">
            <w:pPr>
              <w:rPr>
                <w:bCs/>
                <w:iCs/>
                <w:sz w:val="16"/>
                <w:szCs w:val="16"/>
                <w:lang w:val="fr-CA"/>
              </w:rPr>
            </w:pPr>
            <w:r w:rsidRPr="00055BFF">
              <w:rPr>
                <w:bCs/>
                <w:iCs/>
                <w:sz w:val="16"/>
                <w:szCs w:val="16"/>
                <w:lang w:val="fr-CA"/>
              </w:rPr>
              <w:t>Évaluation Intégrée des Écosystèmes /secteur santé</w:t>
            </w:r>
          </w:p>
          <w:p w:rsidR="00996BDA" w:rsidRPr="00055BFF" w:rsidRDefault="00996BDA" w:rsidP="00055BFF">
            <w:pPr>
              <w:rPr>
                <w:bCs/>
                <w:iCs/>
                <w:sz w:val="16"/>
                <w:szCs w:val="16"/>
                <w:lang w:val="fr-CA"/>
              </w:rPr>
            </w:pPr>
          </w:p>
        </w:tc>
        <w:tc>
          <w:tcPr>
            <w:tcW w:w="2976" w:type="dxa"/>
            <w:vMerge w:val="restart"/>
          </w:tcPr>
          <w:p w:rsidR="00996BDA" w:rsidRPr="00055BFF" w:rsidRDefault="00996BDA" w:rsidP="00996BDA">
            <w:pPr>
              <w:rPr>
                <w:noProof/>
                <w:sz w:val="16"/>
                <w:szCs w:val="16"/>
                <w:lang w:val="fr-FR"/>
              </w:rPr>
            </w:pPr>
            <w:r w:rsidRPr="00055BFF">
              <w:rPr>
                <w:noProof/>
                <w:sz w:val="16"/>
                <w:szCs w:val="16"/>
                <w:lang w:val="fr-FR"/>
              </w:rPr>
              <w:t xml:space="preserve">Dans le cadre du projet Articulation Pauvreté Environnement qui vise une intégration de l’environnement dans les politiques nationales, une évaluation intégrée des écosystèmes  dans le parc de Diawling, la mare de Kankossa et le lac de Maal a été réalisée de même qu’une évaluation environnementale stratégique dans le secteur de la santé. </w:t>
            </w:r>
          </w:p>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96BDA" w:rsidRPr="00055BFF" w:rsidTr="00055BFF">
        <w:tc>
          <w:tcPr>
            <w:tcW w:w="2941" w:type="dxa"/>
          </w:tcPr>
          <w:p w:rsidR="00996BDA" w:rsidRPr="00055BFF" w:rsidRDefault="00996BDA" w:rsidP="00055BFF">
            <w:pPr>
              <w:rPr>
                <w:sz w:val="16"/>
                <w:szCs w:val="16"/>
                <w:lang w:val="fr-CA"/>
              </w:rPr>
            </w:pPr>
            <w:r w:rsidRPr="00055BFF">
              <w:rPr>
                <w:sz w:val="16"/>
                <w:szCs w:val="16"/>
                <w:lang w:val="fr-CA"/>
              </w:rPr>
              <w:t>Les outils et mécanismes pour l’intégration de la dimension environnementale dans les processus de planification nationaux et décentralisés sont développés</w:t>
            </w:r>
          </w:p>
          <w:p w:rsidR="00996BDA" w:rsidRPr="00055BFF" w:rsidRDefault="00996BDA" w:rsidP="00055BFF">
            <w:pPr>
              <w:rPr>
                <w:bCs/>
                <w:iCs/>
                <w:sz w:val="16"/>
                <w:szCs w:val="16"/>
                <w:lang w:val="fr-CA"/>
              </w:rPr>
            </w:pPr>
          </w:p>
        </w:tc>
        <w:tc>
          <w:tcPr>
            <w:tcW w:w="2696" w:type="dxa"/>
          </w:tcPr>
          <w:p w:rsidR="00996BDA" w:rsidRPr="00055BFF" w:rsidRDefault="00996BDA" w:rsidP="00055BFF">
            <w:pPr>
              <w:rPr>
                <w:bCs/>
                <w:iCs/>
                <w:sz w:val="16"/>
                <w:szCs w:val="16"/>
                <w:lang w:val="fr-CA"/>
              </w:rPr>
            </w:pPr>
            <w:r w:rsidRPr="00055BFF">
              <w:rPr>
                <w:bCs/>
                <w:iCs/>
                <w:sz w:val="16"/>
                <w:szCs w:val="16"/>
                <w:lang w:val="fr-CA"/>
              </w:rPr>
              <w:t xml:space="preserve">Évaluation Stratégique Environnementales au niveau sectoriel combiné avec une analyse budgétaire </w:t>
            </w:r>
          </w:p>
          <w:p w:rsidR="00996BDA" w:rsidRPr="00055BFF" w:rsidRDefault="00996BDA" w:rsidP="00055BFF">
            <w:pPr>
              <w:rPr>
                <w:sz w:val="16"/>
                <w:szCs w:val="16"/>
                <w:lang w:val="fr-CA"/>
              </w:rPr>
            </w:pPr>
          </w:p>
        </w:tc>
        <w:tc>
          <w:tcPr>
            <w:tcW w:w="2976" w:type="dxa"/>
            <w:vMerge/>
          </w:tcPr>
          <w:p w:rsidR="00996BDA" w:rsidRPr="00055BFF" w:rsidRDefault="00996BDA" w:rsidP="00AB0274">
            <w:pPr>
              <w:rPr>
                <w:sz w:val="16"/>
                <w:szCs w:val="16"/>
                <w:lang w:val="fr-FR"/>
              </w:rPr>
            </w:pPr>
          </w:p>
        </w:tc>
        <w:tc>
          <w:tcPr>
            <w:tcW w:w="1985" w:type="dxa"/>
          </w:tcPr>
          <w:p w:rsidR="00996BDA" w:rsidRPr="00055BFF" w:rsidRDefault="00996BDA" w:rsidP="00AB0274">
            <w:pPr>
              <w:rPr>
                <w:sz w:val="16"/>
                <w:szCs w:val="16"/>
                <w:lang w:val="fr-FR"/>
              </w:rPr>
            </w:pPr>
          </w:p>
        </w:tc>
      </w:tr>
      <w:tr w:rsidR="00996BDA" w:rsidRPr="00055BFF" w:rsidTr="00055BFF">
        <w:tc>
          <w:tcPr>
            <w:tcW w:w="2941" w:type="dxa"/>
          </w:tcPr>
          <w:p w:rsidR="00996BDA" w:rsidRPr="00055BFF" w:rsidRDefault="00996BDA" w:rsidP="00055BFF">
            <w:pPr>
              <w:rPr>
                <w:sz w:val="16"/>
                <w:szCs w:val="16"/>
                <w:lang w:val="fr-CA"/>
              </w:rPr>
            </w:pPr>
            <w:r w:rsidRPr="00055BFF">
              <w:rPr>
                <w:sz w:val="16"/>
                <w:szCs w:val="16"/>
                <w:lang w:val="fr-CA"/>
              </w:rPr>
              <w:t>Les capacités nationales pour une meilleure gestion de la problématique pauvreté environnement sont renforcées</w:t>
            </w:r>
          </w:p>
          <w:p w:rsidR="00996BDA" w:rsidRPr="00055BFF" w:rsidRDefault="00996BDA" w:rsidP="00055BFF">
            <w:pPr>
              <w:rPr>
                <w:b/>
                <w:sz w:val="16"/>
                <w:szCs w:val="16"/>
                <w:lang w:val="fr-CA"/>
              </w:rPr>
            </w:pPr>
          </w:p>
        </w:tc>
        <w:tc>
          <w:tcPr>
            <w:tcW w:w="2696" w:type="dxa"/>
            <w:vAlign w:val="center"/>
          </w:tcPr>
          <w:p w:rsidR="00996BDA" w:rsidRPr="00055BFF" w:rsidRDefault="00996BDA" w:rsidP="00055BFF">
            <w:pPr>
              <w:rPr>
                <w:sz w:val="16"/>
                <w:szCs w:val="16"/>
                <w:lang w:val="fr-CA"/>
              </w:rPr>
            </w:pPr>
            <w:r w:rsidRPr="00055BFF">
              <w:rPr>
                <w:sz w:val="16"/>
                <w:szCs w:val="16"/>
                <w:lang w:val="fr-CA"/>
              </w:rPr>
              <w:t>Activités de sensibilisation en zone rurale (communication, radios rurales) sur la gestion durable des ressources naturelles</w:t>
            </w:r>
          </w:p>
          <w:p w:rsidR="00996BDA" w:rsidRPr="00055BFF" w:rsidRDefault="00996BDA" w:rsidP="00055BFF">
            <w:pPr>
              <w:rPr>
                <w:b/>
                <w:bCs/>
                <w:iCs/>
                <w:sz w:val="16"/>
                <w:szCs w:val="16"/>
                <w:lang w:val="fr-CA"/>
              </w:rPr>
            </w:pPr>
          </w:p>
        </w:tc>
        <w:tc>
          <w:tcPr>
            <w:tcW w:w="2976" w:type="dxa"/>
          </w:tcPr>
          <w:p w:rsidR="00996BDA" w:rsidRPr="00055BFF" w:rsidRDefault="00996BDA" w:rsidP="00912C6D">
            <w:pPr>
              <w:autoSpaceDE w:val="0"/>
              <w:autoSpaceDN w:val="0"/>
              <w:adjustRightInd w:val="0"/>
              <w:rPr>
                <w:sz w:val="16"/>
                <w:szCs w:val="16"/>
                <w:lang w:val="fr-FR"/>
              </w:rPr>
            </w:pPr>
          </w:p>
        </w:tc>
        <w:tc>
          <w:tcPr>
            <w:tcW w:w="1985" w:type="dxa"/>
          </w:tcPr>
          <w:p w:rsidR="00996BDA" w:rsidRPr="00055BFF" w:rsidRDefault="00912C6D" w:rsidP="00912C6D">
            <w:pPr>
              <w:autoSpaceDE w:val="0"/>
              <w:autoSpaceDN w:val="0"/>
              <w:adjustRightInd w:val="0"/>
              <w:rPr>
                <w:sz w:val="16"/>
                <w:szCs w:val="16"/>
                <w:lang w:val="fr-FR"/>
              </w:rPr>
            </w:pPr>
            <w:r w:rsidRPr="00055BFF">
              <w:rPr>
                <w:sz w:val="16"/>
                <w:szCs w:val="16"/>
                <w:lang w:val="fr-FR"/>
              </w:rPr>
              <w:t>Au regard du contexte politique les activités en rapport avec le renf</w:t>
            </w:r>
            <w:r>
              <w:rPr>
                <w:sz w:val="16"/>
                <w:szCs w:val="16"/>
                <w:lang w:val="fr-FR"/>
              </w:rPr>
              <w:t>orcement des capacités comme la</w:t>
            </w:r>
            <w:r w:rsidRPr="00055BFF">
              <w:rPr>
                <w:sz w:val="16"/>
                <w:szCs w:val="16"/>
                <w:lang w:val="fr-FR"/>
              </w:rPr>
              <w:t xml:space="preserve"> communication et de sensibilisation  environnementales n’ont pu se tenir. Elles ont été reportes sur l’année 2.</w:t>
            </w:r>
          </w:p>
        </w:tc>
      </w:tr>
    </w:tbl>
    <w:p w:rsidR="0017671A" w:rsidRDefault="0017671A" w:rsidP="00AB0274">
      <w:pPr>
        <w:rPr>
          <w:lang w:val="fr-FR"/>
        </w:rPr>
      </w:pPr>
    </w:p>
    <w:p w:rsidR="002A3031" w:rsidRDefault="002A3031" w:rsidP="00BA3272">
      <w:pPr>
        <w:pStyle w:val="Titre1"/>
        <w:numPr>
          <w:ilvl w:val="0"/>
          <w:numId w:val="29"/>
        </w:numPr>
        <w:tabs>
          <w:tab w:val="clear" w:pos="1080"/>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A</w:t>
      </w:r>
      <w:r w:rsidR="00D25B29">
        <w:rPr>
          <w:rFonts w:ascii="Times New Roman" w:hAnsi="Times New Roman" w:cs="Times New Roman"/>
          <w:sz w:val="24"/>
          <w:szCs w:val="24"/>
        </w:rPr>
        <w:t xml:space="preserve">bréviations et </w:t>
      </w:r>
      <w:r>
        <w:rPr>
          <w:rFonts w:ascii="Times New Roman" w:hAnsi="Times New Roman" w:cs="Times New Roman"/>
          <w:sz w:val="24"/>
          <w:szCs w:val="24"/>
        </w:rPr>
        <w:t>Acronym</w:t>
      </w:r>
      <w:r w:rsidR="00D25B29">
        <w:rPr>
          <w:rFonts w:ascii="Times New Roman" w:hAnsi="Times New Roman" w:cs="Times New Roman"/>
          <w:sz w:val="24"/>
          <w:szCs w:val="24"/>
        </w:rPr>
        <w:t>e</w:t>
      </w:r>
      <w:r>
        <w:rPr>
          <w:rFonts w:ascii="Times New Roman" w:hAnsi="Times New Roman" w:cs="Times New Roman"/>
          <w:sz w:val="24"/>
          <w:szCs w:val="24"/>
        </w:rPr>
        <w:t>s</w:t>
      </w:r>
    </w:p>
    <w:p w:rsidR="002A3031" w:rsidRPr="006E0EF7" w:rsidRDefault="002A3031" w:rsidP="002A3031"/>
    <w:p w:rsidR="006E0EF7" w:rsidRPr="006E0EF7" w:rsidRDefault="006E0EF7" w:rsidP="006E0EF7">
      <w:pPr>
        <w:rPr>
          <w:lang w:val="fr-FR"/>
        </w:rPr>
      </w:pPr>
      <w:r w:rsidRPr="006E0EF7">
        <w:rPr>
          <w:lang w:val="fr-FR"/>
        </w:rPr>
        <w:t>A</w:t>
      </w:r>
      <w:r w:rsidR="00EC24B5">
        <w:rPr>
          <w:lang w:val="fr-FR"/>
        </w:rPr>
        <w:t>PE</w:t>
      </w:r>
      <w:r w:rsidRPr="006E0EF7">
        <w:rPr>
          <w:lang w:val="fr-FR"/>
        </w:rPr>
        <w:tab/>
      </w:r>
      <w:r w:rsidRPr="006E0EF7">
        <w:rPr>
          <w:lang w:val="fr-FR"/>
        </w:rPr>
        <w:tab/>
        <w:t>A</w:t>
      </w:r>
      <w:r w:rsidR="00EC24B5">
        <w:rPr>
          <w:lang w:val="fr-FR"/>
        </w:rPr>
        <w:t xml:space="preserve">rticulation pauvreté-environnement </w:t>
      </w:r>
    </w:p>
    <w:p w:rsidR="006E0EF7" w:rsidRPr="006E0EF7" w:rsidRDefault="006E0EF7" w:rsidP="006E0EF7">
      <w:pPr>
        <w:rPr>
          <w:lang w:val="fr-FR"/>
        </w:rPr>
      </w:pPr>
      <w:r w:rsidRPr="006E0EF7">
        <w:rPr>
          <w:lang w:val="fr-FR"/>
        </w:rPr>
        <w:t>CSLP</w:t>
      </w:r>
      <w:r w:rsidRPr="006E0EF7">
        <w:rPr>
          <w:lang w:val="fr-FR"/>
        </w:rPr>
        <w:tab/>
      </w:r>
      <w:r w:rsidRPr="006E0EF7">
        <w:rPr>
          <w:lang w:val="fr-FR"/>
        </w:rPr>
        <w:tab/>
        <w:t>Cadre stratégique de lutte contre la pauvreté</w:t>
      </w:r>
    </w:p>
    <w:p w:rsidR="006E0EF7" w:rsidRPr="006E0EF7" w:rsidRDefault="006E0EF7" w:rsidP="006E0EF7">
      <w:pPr>
        <w:rPr>
          <w:lang w:val="fr-FR"/>
        </w:rPr>
      </w:pPr>
      <w:r w:rsidRPr="006E0EF7">
        <w:rPr>
          <w:lang w:val="fr-FR"/>
        </w:rPr>
        <w:t>FAO</w:t>
      </w:r>
      <w:r w:rsidRPr="006E0EF7">
        <w:rPr>
          <w:lang w:val="fr-FR"/>
        </w:rPr>
        <w:tab/>
      </w:r>
      <w:r w:rsidRPr="006E0EF7">
        <w:rPr>
          <w:lang w:val="fr-FR"/>
        </w:rPr>
        <w:tab/>
        <w:t>Fonds des Nations Unies pour l’alimentation et l’agriculture</w:t>
      </w:r>
    </w:p>
    <w:p w:rsidR="006E0EF7" w:rsidRPr="006E0EF7" w:rsidRDefault="006E0EF7" w:rsidP="006E0EF7">
      <w:pPr>
        <w:rPr>
          <w:lang w:val="fr-FR"/>
        </w:rPr>
      </w:pPr>
      <w:r w:rsidRPr="006E0EF7">
        <w:rPr>
          <w:lang w:val="fr-FR"/>
        </w:rPr>
        <w:t>FENU</w:t>
      </w:r>
      <w:r w:rsidRPr="006E0EF7">
        <w:rPr>
          <w:lang w:val="fr-FR"/>
        </w:rPr>
        <w:tab/>
      </w:r>
      <w:r w:rsidRPr="006E0EF7">
        <w:rPr>
          <w:lang w:val="fr-FR"/>
        </w:rPr>
        <w:tab/>
        <w:t>Fonds d’équipement des Nations Unies</w:t>
      </w:r>
    </w:p>
    <w:p w:rsidR="006E0EF7" w:rsidRDefault="006E0EF7" w:rsidP="006E0EF7">
      <w:pPr>
        <w:rPr>
          <w:lang w:val="fr-FR"/>
        </w:rPr>
      </w:pPr>
      <w:r w:rsidRPr="006E0EF7">
        <w:rPr>
          <w:lang w:val="fr-FR"/>
        </w:rPr>
        <w:t>FIDA</w:t>
      </w:r>
      <w:r w:rsidRPr="006E0EF7">
        <w:rPr>
          <w:lang w:val="fr-FR"/>
        </w:rPr>
        <w:tab/>
      </w:r>
      <w:r w:rsidRPr="006E0EF7">
        <w:rPr>
          <w:lang w:val="fr-FR"/>
        </w:rPr>
        <w:tab/>
        <w:t>Fonds international pour le développement agricole</w:t>
      </w:r>
    </w:p>
    <w:p w:rsidR="00EC24B5" w:rsidRPr="006E0EF7" w:rsidRDefault="00EC24B5" w:rsidP="006E0EF7">
      <w:pPr>
        <w:rPr>
          <w:lang w:val="fr-FR"/>
        </w:rPr>
      </w:pPr>
      <w:r>
        <w:rPr>
          <w:lang w:val="fr-FR"/>
        </w:rPr>
        <w:t>GEF</w:t>
      </w:r>
      <w:r>
        <w:rPr>
          <w:lang w:val="fr-FR"/>
        </w:rPr>
        <w:tab/>
      </w:r>
      <w:r>
        <w:rPr>
          <w:lang w:val="fr-FR"/>
        </w:rPr>
        <w:tab/>
        <w:t xml:space="preserve">Global Environment Facility </w:t>
      </w:r>
    </w:p>
    <w:p w:rsidR="006E0EF7" w:rsidRPr="006E0EF7" w:rsidRDefault="006E0EF7" w:rsidP="006E0EF7">
      <w:pPr>
        <w:rPr>
          <w:lang w:val="fr-FR"/>
        </w:rPr>
      </w:pPr>
      <w:r w:rsidRPr="006E0EF7">
        <w:rPr>
          <w:lang w:val="fr-FR"/>
        </w:rPr>
        <w:t>MDE</w:t>
      </w:r>
      <w:r w:rsidRPr="006E0EF7">
        <w:rPr>
          <w:lang w:val="fr-FR"/>
        </w:rPr>
        <w:tab/>
      </w:r>
      <w:r w:rsidRPr="006E0EF7">
        <w:rPr>
          <w:lang w:val="fr-FR"/>
        </w:rPr>
        <w:tab/>
        <w:t>Ministre délégué auprès du Premier Ministre, chargé de l’Environnement</w:t>
      </w:r>
    </w:p>
    <w:p w:rsidR="006E0EF7" w:rsidRPr="004D70EC" w:rsidRDefault="006E0EF7" w:rsidP="006E0EF7">
      <w:r w:rsidRPr="004D70EC">
        <w:t>MDG-F</w:t>
      </w:r>
      <w:r w:rsidRPr="004D70EC">
        <w:tab/>
        <w:t>Millennium Development Goals Achievement Fund (Espagne)</w:t>
      </w:r>
    </w:p>
    <w:p w:rsidR="00EC24B5" w:rsidRPr="006E0EF7" w:rsidRDefault="00EC24B5" w:rsidP="006E0EF7">
      <w:pPr>
        <w:rPr>
          <w:lang w:val="fr-FR"/>
        </w:rPr>
      </w:pPr>
      <w:r>
        <w:rPr>
          <w:lang w:val="fr-FR"/>
        </w:rPr>
        <w:t>MDTF</w:t>
      </w:r>
      <w:r>
        <w:rPr>
          <w:lang w:val="fr-FR"/>
        </w:rPr>
        <w:tab/>
      </w:r>
      <w:r>
        <w:rPr>
          <w:lang w:val="fr-FR"/>
        </w:rPr>
        <w:tab/>
        <w:t xml:space="preserve">Multi Donor Trust Fund </w:t>
      </w:r>
    </w:p>
    <w:p w:rsidR="006E0EF7" w:rsidRPr="006E0EF7" w:rsidRDefault="006E0EF7" w:rsidP="006E0EF7">
      <w:pPr>
        <w:rPr>
          <w:lang w:val="fr-FR"/>
        </w:rPr>
      </w:pPr>
      <w:r w:rsidRPr="006E0EF7">
        <w:rPr>
          <w:lang w:val="fr-FR"/>
        </w:rPr>
        <w:t>OMD</w:t>
      </w:r>
      <w:r w:rsidRPr="006E0EF7">
        <w:rPr>
          <w:lang w:val="fr-FR"/>
        </w:rPr>
        <w:tab/>
      </w:r>
      <w:r w:rsidRPr="006E0EF7">
        <w:rPr>
          <w:lang w:val="fr-FR"/>
        </w:rPr>
        <w:tab/>
        <w:t>Objectifs du millénaire pour le développement</w:t>
      </w:r>
    </w:p>
    <w:p w:rsidR="006E0EF7" w:rsidRPr="006E0EF7" w:rsidRDefault="006E0EF7" w:rsidP="006E0EF7">
      <w:pPr>
        <w:rPr>
          <w:lang w:val="fr-FR"/>
        </w:rPr>
      </w:pPr>
      <w:r w:rsidRPr="006E0EF7">
        <w:rPr>
          <w:lang w:val="fr-FR"/>
        </w:rPr>
        <w:t>OMS</w:t>
      </w:r>
      <w:r w:rsidRPr="006E0EF7">
        <w:rPr>
          <w:lang w:val="fr-FR"/>
        </w:rPr>
        <w:tab/>
      </w:r>
      <w:r w:rsidRPr="006E0EF7">
        <w:rPr>
          <w:lang w:val="fr-FR"/>
        </w:rPr>
        <w:tab/>
        <w:t>Organisation mondiale de la santé</w:t>
      </w:r>
    </w:p>
    <w:p w:rsidR="006E0EF7" w:rsidRPr="006E0EF7" w:rsidRDefault="006E0EF7" w:rsidP="006E0EF7">
      <w:pPr>
        <w:rPr>
          <w:lang w:val="fr-FR"/>
        </w:rPr>
      </w:pPr>
      <w:r w:rsidRPr="006E0EF7">
        <w:rPr>
          <w:lang w:val="fr-FR"/>
        </w:rPr>
        <w:t>ONG </w:t>
      </w:r>
      <w:r w:rsidRPr="006E0EF7">
        <w:rPr>
          <w:lang w:val="fr-FR"/>
        </w:rPr>
        <w:tab/>
      </w:r>
      <w:r w:rsidRPr="006E0EF7">
        <w:rPr>
          <w:lang w:val="fr-FR"/>
        </w:rPr>
        <w:tab/>
        <w:t>Organisation non Gouvernementale</w:t>
      </w:r>
    </w:p>
    <w:p w:rsidR="006E0EF7" w:rsidRPr="006E0EF7" w:rsidRDefault="006E0EF7" w:rsidP="006E0EF7">
      <w:pPr>
        <w:rPr>
          <w:lang w:val="fr-FR"/>
        </w:rPr>
      </w:pPr>
      <w:r w:rsidRPr="006E0EF7">
        <w:rPr>
          <w:lang w:val="fr-FR"/>
        </w:rPr>
        <w:t>PAM</w:t>
      </w:r>
      <w:r w:rsidRPr="006E0EF7">
        <w:rPr>
          <w:lang w:val="fr-FR"/>
        </w:rPr>
        <w:tab/>
      </w:r>
      <w:r w:rsidRPr="006E0EF7">
        <w:rPr>
          <w:lang w:val="fr-FR"/>
        </w:rPr>
        <w:tab/>
        <w:t>Programme alimentaire mondial</w:t>
      </w:r>
    </w:p>
    <w:p w:rsidR="006E0EF7" w:rsidRPr="006E0EF7" w:rsidRDefault="006E0EF7" w:rsidP="006E0EF7">
      <w:pPr>
        <w:rPr>
          <w:lang w:val="fr-FR"/>
        </w:rPr>
      </w:pPr>
      <w:r w:rsidRPr="006E0EF7">
        <w:rPr>
          <w:lang w:val="fr-FR"/>
        </w:rPr>
        <w:t>UNDAF</w:t>
      </w:r>
      <w:r w:rsidRPr="006E0EF7">
        <w:rPr>
          <w:lang w:val="fr-FR"/>
        </w:rPr>
        <w:tab/>
        <w:t>Plan cadre des Nations Unies pour l’Aide au Développement</w:t>
      </w:r>
    </w:p>
    <w:p w:rsidR="006E0EF7" w:rsidRPr="006E0EF7" w:rsidRDefault="006E0EF7" w:rsidP="006E0EF7">
      <w:pPr>
        <w:ind w:left="1440" w:hanging="1440"/>
        <w:rPr>
          <w:lang w:val="fr-FR"/>
        </w:rPr>
      </w:pPr>
      <w:r w:rsidRPr="006E0EF7">
        <w:rPr>
          <w:lang w:val="fr-FR"/>
        </w:rPr>
        <w:t>PANE</w:t>
      </w:r>
      <w:r w:rsidRPr="006E0EF7">
        <w:rPr>
          <w:lang w:val="fr-FR"/>
        </w:rPr>
        <w:tab/>
        <w:t>Plan d’Action National pour l’Environnement et le Développement Durable</w:t>
      </w:r>
    </w:p>
    <w:p w:rsidR="006E0EF7" w:rsidRPr="006E0EF7" w:rsidRDefault="006E0EF7" w:rsidP="006E0EF7">
      <w:pPr>
        <w:rPr>
          <w:lang w:val="fr-FR"/>
        </w:rPr>
      </w:pPr>
      <w:r w:rsidRPr="006E0EF7">
        <w:rPr>
          <w:lang w:val="fr-FR"/>
        </w:rPr>
        <w:t>PNUD</w:t>
      </w:r>
      <w:r w:rsidRPr="006E0EF7">
        <w:rPr>
          <w:lang w:val="fr-FR"/>
        </w:rPr>
        <w:tab/>
      </w:r>
      <w:r w:rsidRPr="006E0EF7">
        <w:rPr>
          <w:lang w:val="fr-FR"/>
        </w:rPr>
        <w:tab/>
        <w:t xml:space="preserve">Programme des Nations Unies pour le développement </w:t>
      </w:r>
    </w:p>
    <w:p w:rsidR="006E0EF7" w:rsidRDefault="006E0EF7" w:rsidP="006E0EF7">
      <w:pPr>
        <w:rPr>
          <w:lang w:val="fr-FR"/>
        </w:rPr>
      </w:pPr>
      <w:r w:rsidRPr="006E0EF7">
        <w:rPr>
          <w:lang w:val="fr-FR"/>
        </w:rPr>
        <w:t>SNU</w:t>
      </w:r>
      <w:r w:rsidRPr="006E0EF7">
        <w:rPr>
          <w:lang w:val="fr-FR"/>
        </w:rPr>
        <w:tab/>
      </w:r>
      <w:r w:rsidRPr="006E0EF7">
        <w:rPr>
          <w:lang w:val="fr-FR"/>
        </w:rPr>
        <w:tab/>
        <w:t>Système des Nations Unies</w:t>
      </w:r>
    </w:p>
    <w:p w:rsidR="00EC24B5" w:rsidRPr="006E0EF7" w:rsidRDefault="00EC24B5" w:rsidP="006E0EF7">
      <w:pPr>
        <w:rPr>
          <w:lang w:val="fr-FR"/>
        </w:rPr>
      </w:pPr>
      <w:r>
        <w:rPr>
          <w:lang w:val="fr-FR"/>
        </w:rPr>
        <w:t>UN-DESA</w:t>
      </w:r>
      <w:r>
        <w:rPr>
          <w:lang w:val="fr-FR"/>
        </w:rPr>
        <w:tab/>
        <w:t xml:space="preserve">Département des affaires économiques et sociales des Nations Unies </w:t>
      </w:r>
    </w:p>
    <w:p w:rsidR="006E0EF7" w:rsidRPr="004D70EC" w:rsidRDefault="006E0EF7" w:rsidP="006E0EF7">
      <w:pPr>
        <w:rPr>
          <w:lang w:val="fr-FR"/>
        </w:rPr>
      </w:pPr>
      <w:r w:rsidRPr="004D70EC">
        <w:rPr>
          <w:lang w:val="fr-FR"/>
        </w:rPr>
        <w:t>UNDG</w:t>
      </w:r>
      <w:r w:rsidRPr="004D70EC">
        <w:rPr>
          <w:lang w:val="fr-FR"/>
        </w:rPr>
        <w:tab/>
      </w:r>
      <w:r w:rsidRPr="004D70EC">
        <w:rPr>
          <w:lang w:val="fr-FR"/>
        </w:rPr>
        <w:tab/>
        <w:t>United Nations Development Group</w:t>
      </w:r>
    </w:p>
    <w:p w:rsidR="006E0EF7" w:rsidRPr="006E0EF7" w:rsidRDefault="006E0EF7" w:rsidP="006E0EF7">
      <w:pPr>
        <w:rPr>
          <w:lang w:val="fr-FR"/>
        </w:rPr>
      </w:pPr>
      <w:r w:rsidRPr="006E0EF7">
        <w:rPr>
          <w:lang w:val="fr-FR"/>
        </w:rPr>
        <w:t>UNESCO</w:t>
      </w:r>
      <w:r w:rsidRPr="006E0EF7">
        <w:rPr>
          <w:lang w:val="fr-FR"/>
        </w:rPr>
        <w:tab/>
        <w:t xml:space="preserve">Organisation des Nations Unies pour l’éducation, la science et la culture </w:t>
      </w:r>
    </w:p>
    <w:p w:rsidR="006E0EF7" w:rsidRPr="006E0EF7" w:rsidRDefault="006E0EF7" w:rsidP="006E0EF7">
      <w:pPr>
        <w:rPr>
          <w:lang w:val="fr-FR"/>
        </w:rPr>
      </w:pPr>
      <w:r w:rsidRPr="006E0EF7">
        <w:rPr>
          <w:lang w:val="fr-FR"/>
        </w:rPr>
        <w:t>UNFPA</w:t>
      </w:r>
      <w:r w:rsidRPr="006E0EF7">
        <w:rPr>
          <w:lang w:val="fr-FR"/>
        </w:rPr>
        <w:tab/>
        <w:t>Fonds des Nations Unies pour la population</w:t>
      </w:r>
    </w:p>
    <w:p w:rsidR="006E0EF7" w:rsidRPr="006E0EF7" w:rsidRDefault="006E0EF7" w:rsidP="006E0EF7">
      <w:pPr>
        <w:rPr>
          <w:lang w:val="fr-FR"/>
        </w:rPr>
      </w:pPr>
      <w:r w:rsidRPr="006E0EF7">
        <w:rPr>
          <w:lang w:val="fr-FR"/>
        </w:rPr>
        <w:t>UNHCR</w:t>
      </w:r>
      <w:r w:rsidRPr="006E0EF7">
        <w:rPr>
          <w:lang w:val="fr-FR"/>
        </w:rPr>
        <w:tab/>
        <w:t>Haut Commissariat des Nations Unies pour les réfugiés</w:t>
      </w:r>
    </w:p>
    <w:p w:rsidR="006E0EF7" w:rsidRPr="006E0EF7" w:rsidRDefault="006E0EF7" w:rsidP="006E0EF7">
      <w:pPr>
        <w:rPr>
          <w:lang w:val="fr-FR"/>
        </w:rPr>
      </w:pPr>
      <w:r w:rsidRPr="006E0EF7">
        <w:rPr>
          <w:lang w:val="fr-FR"/>
        </w:rPr>
        <w:t>UNICEF</w:t>
      </w:r>
      <w:r w:rsidRPr="006E0EF7">
        <w:rPr>
          <w:lang w:val="fr-FR"/>
        </w:rPr>
        <w:tab/>
        <w:t>Fonds des Nations Unies pour l’enfance</w:t>
      </w:r>
    </w:p>
    <w:p w:rsidR="006E0EF7" w:rsidRPr="006E0EF7" w:rsidRDefault="006E0EF7" w:rsidP="006E0EF7">
      <w:pPr>
        <w:rPr>
          <w:lang w:val="fr-FR"/>
        </w:rPr>
      </w:pPr>
      <w:r w:rsidRPr="006E0EF7">
        <w:rPr>
          <w:lang w:val="fr-FR"/>
        </w:rPr>
        <w:t>USD</w:t>
      </w:r>
      <w:r w:rsidRPr="006E0EF7">
        <w:rPr>
          <w:lang w:val="fr-FR"/>
        </w:rPr>
        <w:tab/>
      </w:r>
      <w:r w:rsidRPr="006E0EF7">
        <w:rPr>
          <w:lang w:val="fr-FR"/>
        </w:rPr>
        <w:tab/>
        <w:t>Dollar des Etats-Unis</w:t>
      </w:r>
    </w:p>
    <w:p w:rsidR="006E0EF7" w:rsidRDefault="006E0EF7" w:rsidP="006E0EF7">
      <w:pPr>
        <w:rPr>
          <w:lang w:val="fr-FR"/>
        </w:rPr>
      </w:pPr>
      <w:r w:rsidRPr="006E0EF7">
        <w:rPr>
          <w:lang w:val="fr-FR"/>
        </w:rPr>
        <w:t>VIH/Sida</w:t>
      </w:r>
      <w:r w:rsidRPr="006E0EF7">
        <w:rPr>
          <w:lang w:val="fr-FR"/>
        </w:rPr>
        <w:tab/>
        <w:t>Virus Immunodéficitaire Humain- Syndrome Immunodéficitaire Acquis</w:t>
      </w:r>
    </w:p>
    <w:p w:rsidR="003E0D46" w:rsidRDefault="003E0D46" w:rsidP="006E0EF7">
      <w:pPr>
        <w:rPr>
          <w:lang w:val="fr-FR"/>
        </w:rPr>
      </w:pPr>
    </w:p>
    <w:p w:rsidR="003E0D46" w:rsidRDefault="003E0D46" w:rsidP="006E0EF7">
      <w:pPr>
        <w:rPr>
          <w:lang w:val="fr-FR"/>
        </w:rPr>
      </w:pPr>
    </w:p>
    <w:p w:rsidR="003E0D46" w:rsidRPr="003E0D46" w:rsidRDefault="003E0D46" w:rsidP="006E0EF7">
      <w:pPr>
        <w:rPr>
          <w:b/>
          <w:lang w:val="fr-FR"/>
        </w:rPr>
      </w:pPr>
      <w:r w:rsidRPr="003E0D46">
        <w:rPr>
          <w:b/>
          <w:lang w:val="fr-FR"/>
        </w:rPr>
        <w:t xml:space="preserve">ANNEXES </w:t>
      </w:r>
    </w:p>
    <w:p w:rsidR="003E0D46" w:rsidRDefault="003E0D46" w:rsidP="003E0D46">
      <w:pPr>
        <w:rPr>
          <w:i/>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62"/>
        <w:gridCol w:w="5638"/>
      </w:tblGrid>
      <w:tr w:rsidR="003E0D46" w:rsidRPr="00AA5DB6" w:rsidTr="00D15E5B">
        <w:tc>
          <w:tcPr>
            <w:tcW w:w="5112" w:type="dxa"/>
          </w:tcPr>
          <w:p w:rsidR="003E0D46" w:rsidRPr="00AA5DB6" w:rsidRDefault="003E0D46" w:rsidP="00D15E5B">
            <w:pPr>
              <w:rPr>
                <w:i/>
                <w:lang w:val="fr-FR"/>
              </w:rPr>
            </w:pPr>
          </w:p>
          <w:p w:rsidR="003E0D46" w:rsidRPr="00AA5DB6" w:rsidRDefault="00E31D9C" w:rsidP="00D15E5B">
            <w:pPr>
              <w:rPr>
                <w:i/>
                <w:lang w:val="fr-FR"/>
              </w:rPr>
            </w:pPr>
            <w:r>
              <w:rPr>
                <w:noProof/>
                <w:lang w:val="fr-FR" w:eastAsia="fr-FR"/>
              </w:rPr>
              <w:drawing>
                <wp:inline distT="0" distB="0" distL="0" distR="0">
                  <wp:extent cx="2950210" cy="2208530"/>
                  <wp:effectExtent l="19050" t="0" r="2540" b="0"/>
                  <wp:docPr id="2" name="Image 2" descr="DSC0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7"/>
                          <pic:cNvPicPr>
                            <a:picLocks noChangeAspect="1" noChangeArrowheads="1"/>
                          </pic:cNvPicPr>
                        </pic:nvPicPr>
                        <pic:blipFill>
                          <a:blip r:embed="rId9" cstate="print"/>
                          <a:srcRect/>
                          <a:stretch>
                            <a:fillRect/>
                          </a:stretch>
                        </pic:blipFill>
                        <pic:spPr bwMode="auto">
                          <a:xfrm>
                            <a:off x="0" y="0"/>
                            <a:ext cx="2950210" cy="2208530"/>
                          </a:xfrm>
                          <a:prstGeom prst="rect">
                            <a:avLst/>
                          </a:prstGeom>
                          <a:noFill/>
                          <a:ln w="9525">
                            <a:noFill/>
                            <a:miter lim="800000"/>
                            <a:headEnd/>
                            <a:tailEnd/>
                          </a:ln>
                        </pic:spPr>
                      </pic:pic>
                    </a:graphicData>
                  </a:graphic>
                </wp:inline>
              </w:drawing>
            </w:r>
          </w:p>
          <w:p w:rsidR="003E0D46" w:rsidRPr="00AA5DB6" w:rsidRDefault="003E0D46" w:rsidP="00D15E5B">
            <w:pPr>
              <w:rPr>
                <w:i/>
                <w:lang w:val="fr-FR"/>
              </w:rPr>
            </w:pPr>
          </w:p>
        </w:tc>
        <w:tc>
          <w:tcPr>
            <w:tcW w:w="5112" w:type="dxa"/>
          </w:tcPr>
          <w:p w:rsidR="003E0D46" w:rsidRPr="00AA5DB6" w:rsidRDefault="00E31D9C" w:rsidP="00D15E5B">
            <w:pPr>
              <w:rPr>
                <w:i/>
                <w:lang w:val="fr-FR"/>
              </w:rPr>
            </w:pPr>
            <w:r>
              <w:rPr>
                <w:noProof/>
                <w:lang w:val="fr-FR" w:eastAsia="fr-FR"/>
              </w:rPr>
              <w:drawing>
                <wp:inline distT="0" distB="0" distL="0" distR="0">
                  <wp:extent cx="3605530" cy="2691130"/>
                  <wp:effectExtent l="19050" t="0" r="0" b="0"/>
                  <wp:docPr id="3" name="Image 3" descr="DSC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311"/>
                          <pic:cNvPicPr>
                            <a:picLocks noChangeAspect="1" noChangeArrowheads="1"/>
                          </pic:cNvPicPr>
                        </pic:nvPicPr>
                        <pic:blipFill>
                          <a:blip r:embed="rId10" cstate="print"/>
                          <a:srcRect/>
                          <a:stretch>
                            <a:fillRect/>
                          </a:stretch>
                        </pic:blipFill>
                        <pic:spPr bwMode="auto">
                          <a:xfrm>
                            <a:off x="0" y="0"/>
                            <a:ext cx="3605530" cy="2691130"/>
                          </a:xfrm>
                          <a:prstGeom prst="rect">
                            <a:avLst/>
                          </a:prstGeom>
                          <a:noFill/>
                          <a:ln w="9525">
                            <a:noFill/>
                            <a:miter lim="800000"/>
                            <a:headEnd/>
                            <a:tailEnd/>
                          </a:ln>
                        </pic:spPr>
                      </pic:pic>
                    </a:graphicData>
                  </a:graphic>
                </wp:inline>
              </w:drawing>
            </w:r>
          </w:p>
        </w:tc>
      </w:tr>
      <w:tr w:rsidR="003E0D46" w:rsidRPr="00AA5DB6" w:rsidTr="00D15E5B">
        <w:tc>
          <w:tcPr>
            <w:tcW w:w="5112" w:type="dxa"/>
          </w:tcPr>
          <w:p w:rsidR="003E0D46" w:rsidRPr="00AA5DB6" w:rsidRDefault="003E0D46" w:rsidP="00D15E5B">
            <w:pPr>
              <w:rPr>
                <w:i/>
                <w:sz w:val="20"/>
                <w:szCs w:val="20"/>
                <w:lang w:val="fr-FR"/>
              </w:rPr>
            </w:pPr>
            <w:r w:rsidRPr="00AA5DB6">
              <w:rPr>
                <w:i/>
                <w:sz w:val="20"/>
                <w:szCs w:val="20"/>
                <w:lang w:val="fr-FR"/>
              </w:rPr>
              <w:t xml:space="preserve">Pépinière régénération de gommier N’Daouda </w:t>
            </w:r>
          </w:p>
          <w:p w:rsidR="003E0D46" w:rsidRPr="00AA5DB6" w:rsidRDefault="003E0D46" w:rsidP="00D15E5B">
            <w:pPr>
              <w:rPr>
                <w:i/>
                <w:sz w:val="20"/>
                <w:szCs w:val="20"/>
                <w:lang w:val="fr-FR"/>
              </w:rPr>
            </w:pPr>
            <w:r w:rsidRPr="00AA5DB6">
              <w:rPr>
                <w:i/>
                <w:sz w:val="20"/>
                <w:szCs w:val="20"/>
                <w:lang w:val="fr-FR"/>
              </w:rPr>
              <w:t>Chatba Assaba, Kankossa commune de Sani</w:t>
            </w:r>
          </w:p>
          <w:p w:rsidR="003E0D46" w:rsidRPr="00AA5DB6" w:rsidRDefault="003E0D46" w:rsidP="00D15E5B">
            <w:pPr>
              <w:rPr>
                <w:i/>
                <w:lang w:val="fr-FR"/>
              </w:rPr>
            </w:pPr>
          </w:p>
        </w:tc>
        <w:tc>
          <w:tcPr>
            <w:tcW w:w="5112" w:type="dxa"/>
          </w:tcPr>
          <w:p w:rsidR="003E0D46" w:rsidRPr="00AA5DB6" w:rsidRDefault="003E0D46" w:rsidP="00D15E5B">
            <w:pPr>
              <w:rPr>
                <w:i/>
                <w:sz w:val="20"/>
                <w:szCs w:val="20"/>
                <w:lang w:val="fr-FR"/>
              </w:rPr>
            </w:pPr>
            <w:r w:rsidRPr="00AA5DB6">
              <w:rPr>
                <w:i/>
                <w:sz w:val="20"/>
                <w:szCs w:val="20"/>
                <w:lang w:val="fr-FR"/>
              </w:rPr>
              <w:t>Mission conjointe FAO/PAM/MDEDD site fixation des dunes N’Tizit Trarza R’Kiz commune deBoutalhaya</w:t>
            </w:r>
          </w:p>
        </w:tc>
      </w:tr>
    </w:tbl>
    <w:p w:rsidR="003E0D46" w:rsidRPr="00A9702F" w:rsidRDefault="003E0D46" w:rsidP="003E0D46">
      <w:pPr>
        <w:rPr>
          <w:i/>
          <w:lang w:val="fr-FR"/>
        </w:rPr>
      </w:pPr>
    </w:p>
    <w:tbl>
      <w:tblPr>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86"/>
        <w:gridCol w:w="5586"/>
      </w:tblGrid>
      <w:tr w:rsidR="003E0D46" w:rsidRPr="00AA5DB6" w:rsidTr="003E0D46">
        <w:tc>
          <w:tcPr>
            <w:tcW w:w="5255" w:type="dxa"/>
          </w:tcPr>
          <w:p w:rsidR="003E0D46" w:rsidRPr="00AA5DB6" w:rsidRDefault="003E0D46" w:rsidP="00D15E5B">
            <w:pPr>
              <w:rPr>
                <w:lang w:val="fr-FR"/>
              </w:rPr>
            </w:pPr>
          </w:p>
          <w:p w:rsidR="003E0D46" w:rsidRPr="00AA5DB6" w:rsidRDefault="00E31D9C" w:rsidP="00D15E5B">
            <w:pPr>
              <w:rPr>
                <w:lang w:val="fr-FR"/>
              </w:rPr>
            </w:pPr>
            <w:r>
              <w:rPr>
                <w:noProof/>
                <w:lang w:val="fr-FR" w:eastAsia="fr-FR"/>
              </w:rPr>
              <w:drawing>
                <wp:inline distT="0" distB="0" distL="0" distR="0">
                  <wp:extent cx="3200400" cy="2182495"/>
                  <wp:effectExtent l="19050" t="0" r="0" b="0"/>
                  <wp:docPr id="4" name="Image 4" descr="DSC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296"/>
                          <pic:cNvPicPr>
                            <a:picLocks noChangeAspect="1" noChangeArrowheads="1"/>
                          </pic:cNvPicPr>
                        </pic:nvPicPr>
                        <pic:blipFill>
                          <a:blip r:embed="rId11" cstate="print"/>
                          <a:srcRect/>
                          <a:stretch>
                            <a:fillRect/>
                          </a:stretch>
                        </pic:blipFill>
                        <pic:spPr bwMode="auto">
                          <a:xfrm>
                            <a:off x="0" y="0"/>
                            <a:ext cx="3200400" cy="2182495"/>
                          </a:xfrm>
                          <a:prstGeom prst="rect">
                            <a:avLst/>
                          </a:prstGeom>
                          <a:noFill/>
                          <a:ln w="9525">
                            <a:noFill/>
                            <a:miter lim="800000"/>
                            <a:headEnd/>
                            <a:tailEnd/>
                          </a:ln>
                        </pic:spPr>
                      </pic:pic>
                    </a:graphicData>
                  </a:graphic>
                </wp:inline>
              </w:drawing>
            </w:r>
          </w:p>
          <w:p w:rsidR="003E0D46" w:rsidRPr="00AA5DB6" w:rsidRDefault="003E0D46" w:rsidP="00D15E5B">
            <w:pPr>
              <w:rPr>
                <w:lang w:val="fr-FR"/>
              </w:rPr>
            </w:pPr>
          </w:p>
        </w:tc>
        <w:tc>
          <w:tcPr>
            <w:tcW w:w="5556" w:type="dxa"/>
          </w:tcPr>
          <w:p w:rsidR="003E0D46" w:rsidRPr="00AA5DB6" w:rsidRDefault="00E31D9C" w:rsidP="00D15E5B">
            <w:pPr>
              <w:rPr>
                <w:lang w:val="fr-FR"/>
              </w:rPr>
            </w:pPr>
            <w:r>
              <w:rPr>
                <w:noProof/>
                <w:lang w:val="fr-FR" w:eastAsia="fr-FR"/>
              </w:rPr>
              <w:drawing>
                <wp:inline distT="0" distB="0" distL="0" distR="0">
                  <wp:extent cx="3390265" cy="2398395"/>
                  <wp:effectExtent l="19050" t="0" r="635" b="0"/>
                  <wp:docPr id="5" name="Image 5" descr="DSC0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2190"/>
                          <pic:cNvPicPr>
                            <a:picLocks noChangeAspect="1" noChangeArrowheads="1"/>
                          </pic:cNvPicPr>
                        </pic:nvPicPr>
                        <pic:blipFill>
                          <a:blip r:embed="rId12" cstate="print"/>
                          <a:srcRect/>
                          <a:stretch>
                            <a:fillRect/>
                          </a:stretch>
                        </pic:blipFill>
                        <pic:spPr bwMode="auto">
                          <a:xfrm>
                            <a:off x="0" y="0"/>
                            <a:ext cx="3390265" cy="2398395"/>
                          </a:xfrm>
                          <a:prstGeom prst="rect">
                            <a:avLst/>
                          </a:prstGeom>
                          <a:noFill/>
                          <a:ln w="9525">
                            <a:noFill/>
                            <a:miter lim="800000"/>
                            <a:headEnd/>
                            <a:tailEnd/>
                          </a:ln>
                        </pic:spPr>
                      </pic:pic>
                    </a:graphicData>
                  </a:graphic>
                </wp:inline>
              </w:drawing>
            </w:r>
          </w:p>
        </w:tc>
      </w:tr>
      <w:tr w:rsidR="003E0D46" w:rsidRPr="00AA5DB6" w:rsidTr="003E0D46">
        <w:tc>
          <w:tcPr>
            <w:tcW w:w="5255" w:type="dxa"/>
          </w:tcPr>
          <w:p w:rsidR="003E0D46" w:rsidRPr="00AA5DB6" w:rsidRDefault="003E0D46" w:rsidP="00D15E5B">
            <w:pPr>
              <w:rPr>
                <w:i/>
                <w:sz w:val="20"/>
                <w:szCs w:val="20"/>
                <w:lang w:val="fr-FR"/>
              </w:rPr>
            </w:pPr>
            <w:r w:rsidRPr="00AA5DB6">
              <w:rPr>
                <w:i/>
                <w:sz w:val="20"/>
                <w:szCs w:val="20"/>
                <w:lang w:val="fr-FR"/>
              </w:rPr>
              <w:t xml:space="preserve">Périmètre maraîcher des femmes Hsey Bouhmed Trarza Mederdra commune El Khat </w:t>
            </w:r>
          </w:p>
        </w:tc>
        <w:tc>
          <w:tcPr>
            <w:tcW w:w="5556" w:type="dxa"/>
          </w:tcPr>
          <w:p w:rsidR="003E0D46" w:rsidRPr="00AA5DB6" w:rsidRDefault="003E0D46" w:rsidP="00D15E5B">
            <w:pPr>
              <w:rPr>
                <w:i/>
                <w:sz w:val="20"/>
                <w:szCs w:val="20"/>
                <w:lang w:val="fr-FR"/>
              </w:rPr>
            </w:pPr>
            <w:r w:rsidRPr="00AA5DB6">
              <w:rPr>
                <w:i/>
                <w:sz w:val="20"/>
                <w:szCs w:val="20"/>
                <w:lang w:val="fr-FR"/>
              </w:rPr>
              <w:t>Atelier régional de formation  des comités villageois, ONGs et service  technique MDEDD</w:t>
            </w:r>
          </w:p>
        </w:tc>
      </w:tr>
      <w:tr w:rsidR="003E0D46" w:rsidRPr="00AA5DB6" w:rsidTr="003E0D46">
        <w:tc>
          <w:tcPr>
            <w:tcW w:w="5255" w:type="dxa"/>
          </w:tcPr>
          <w:p w:rsidR="003E0D46" w:rsidRPr="00AA5DB6" w:rsidRDefault="003E0D46" w:rsidP="00D15E5B">
            <w:pPr>
              <w:rPr>
                <w:i/>
                <w:sz w:val="20"/>
                <w:szCs w:val="20"/>
                <w:lang w:val="fr-FR"/>
              </w:rPr>
            </w:pPr>
          </w:p>
        </w:tc>
        <w:tc>
          <w:tcPr>
            <w:tcW w:w="5556" w:type="dxa"/>
          </w:tcPr>
          <w:p w:rsidR="003E0D46" w:rsidRPr="00AA5DB6" w:rsidRDefault="003E0D46" w:rsidP="00D15E5B">
            <w:pPr>
              <w:rPr>
                <w:lang w:val="fr-FR"/>
              </w:rPr>
            </w:pPr>
          </w:p>
        </w:tc>
      </w:tr>
    </w:tbl>
    <w:p w:rsidR="003E0D46" w:rsidRDefault="003E0D46" w:rsidP="003E0D46">
      <w:pPr>
        <w:rPr>
          <w:lang w:val="fr-FR"/>
        </w:rPr>
      </w:pPr>
    </w:p>
    <w:p w:rsidR="003E0D46" w:rsidRPr="00A9702F" w:rsidRDefault="003E0D46" w:rsidP="003E0D46">
      <w:pPr>
        <w:rPr>
          <w:lang w:val="fr-FR"/>
        </w:rPr>
      </w:pPr>
    </w:p>
    <w:p w:rsidR="003E0D46" w:rsidRDefault="003E0D46" w:rsidP="006E0EF7">
      <w:pPr>
        <w:rPr>
          <w:lang w:val="fr-FR"/>
        </w:rPr>
      </w:pPr>
    </w:p>
    <w:p w:rsidR="003E0D46" w:rsidRPr="006E0EF7" w:rsidRDefault="003E0D46" w:rsidP="006E0EF7">
      <w:pPr>
        <w:rPr>
          <w:lang w:val="fr-FR"/>
        </w:rPr>
      </w:pPr>
    </w:p>
    <w:sectPr w:rsidR="003E0D46" w:rsidRPr="006E0EF7" w:rsidSect="003C1A52">
      <w:footerReference w:type="default" r:id="rId13"/>
      <w:footerReference w:type="first" r:id="rId14"/>
      <w:pgSz w:w="12240" w:h="15840" w:code="1"/>
      <w:pgMar w:top="1152" w:right="1350" w:bottom="1354" w:left="806"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78" w:rsidRDefault="00250178">
      <w:r>
        <w:separator/>
      </w:r>
    </w:p>
  </w:endnote>
  <w:endnote w:type="continuationSeparator" w:id="1">
    <w:p w:rsidR="00250178" w:rsidRDefault="00250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5" w:rsidRPr="005C6FD4" w:rsidRDefault="00AD1065">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sidRPr="005C6FD4">
      <w:rPr>
        <w:rFonts w:ascii="Arial" w:hAnsi="Arial" w:cs="Arial"/>
        <w:sz w:val="18"/>
        <w:szCs w:val="18"/>
      </w:rPr>
      <w:t xml:space="preserve">Page </w:t>
    </w:r>
    <w:r w:rsidR="005473D7" w:rsidRPr="005C6FD4">
      <w:rPr>
        <w:rFonts w:ascii="Arial" w:hAnsi="Arial" w:cs="Arial"/>
        <w:sz w:val="18"/>
        <w:szCs w:val="18"/>
      </w:rPr>
      <w:fldChar w:fldCharType="begin"/>
    </w:r>
    <w:r w:rsidRPr="005C6FD4">
      <w:rPr>
        <w:rFonts w:ascii="Arial" w:hAnsi="Arial" w:cs="Arial"/>
        <w:sz w:val="18"/>
        <w:szCs w:val="18"/>
      </w:rPr>
      <w:instrText xml:space="preserve"> PAGE   \* MERGEFORMAT </w:instrText>
    </w:r>
    <w:r w:rsidR="005473D7" w:rsidRPr="005C6FD4">
      <w:rPr>
        <w:rFonts w:ascii="Arial" w:hAnsi="Arial" w:cs="Arial"/>
        <w:sz w:val="18"/>
        <w:szCs w:val="18"/>
      </w:rPr>
      <w:fldChar w:fldCharType="separate"/>
    </w:r>
    <w:r w:rsidR="00E31D9C">
      <w:rPr>
        <w:rFonts w:ascii="Arial" w:hAnsi="Arial" w:cs="Arial"/>
        <w:noProof/>
        <w:sz w:val="18"/>
        <w:szCs w:val="18"/>
      </w:rPr>
      <w:t>1</w:t>
    </w:r>
    <w:r w:rsidR="005473D7" w:rsidRPr="005C6FD4">
      <w:rPr>
        <w:rFonts w:ascii="Arial" w:hAnsi="Arial" w:cs="Arial"/>
        <w:sz w:val="18"/>
        <w:szCs w:val="18"/>
      </w:rPr>
      <w:fldChar w:fldCharType="end"/>
    </w:r>
    <w:r w:rsidRPr="005C6FD4">
      <w:rPr>
        <w:rFonts w:ascii="Arial" w:hAnsi="Arial" w:cs="Arial"/>
        <w:sz w:val="18"/>
        <w:szCs w:val="18"/>
      </w:rPr>
      <w:t xml:space="preserve"> </w:t>
    </w:r>
    <w:r w:rsidR="00D25B29" w:rsidRPr="005C6FD4">
      <w:rPr>
        <w:rFonts w:ascii="Arial" w:hAnsi="Arial" w:cs="Arial"/>
        <w:sz w:val="18"/>
        <w:szCs w:val="18"/>
      </w:rPr>
      <w:t>de</w:t>
    </w:r>
    <w:r w:rsidRPr="005C6FD4">
      <w:rPr>
        <w:rFonts w:ascii="Arial" w:hAnsi="Arial" w:cs="Arial"/>
        <w:sz w:val="18"/>
        <w:szCs w:val="18"/>
      </w:rPr>
      <w:t xml:space="preserve"> </w:t>
    </w:r>
    <w:fldSimple w:instr=" NUMPAGES   \* MERGEFORMAT ">
      <w:r w:rsidR="00E31D9C" w:rsidRPr="00E31D9C">
        <w:rPr>
          <w:rFonts w:ascii="Arial" w:hAnsi="Arial" w:cs="Arial"/>
          <w:noProof/>
          <w:sz w:val="18"/>
          <w:szCs w:val="18"/>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65" w:rsidRDefault="00AD1065">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date">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sidR="005473D7">
      <w:rPr>
        <w:rFonts w:ascii="Arial" w:hAnsi="Arial" w:cs="Arial"/>
        <w:sz w:val="18"/>
        <w:szCs w:val="18"/>
      </w:rPr>
      <w:fldChar w:fldCharType="begin"/>
    </w:r>
    <w:r>
      <w:rPr>
        <w:rFonts w:ascii="Arial" w:hAnsi="Arial" w:cs="Arial"/>
        <w:sz w:val="18"/>
        <w:szCs w:val="18"/>
      </w:rPr>
      <w:instrText xml:space="preserve"> PAGE   \* MERGEFORMAT </w:instrText>
    </w:r>
    <w:r w:rsidR="005473D7">
      <w:rPr>
        <w:rFonts w:ascii="Arial" w:hAnsi="Arial" w:cs="Arial"/>
        <w:sz w:val="18"/>
        <w:szCs w:val="18"/>
      </w:rPr>
      <w:fldChar w:fldCharType="separate"/>
    </w:r>
    <w:r>
      <w:rPr>
        <w:rFonts w:ascii="Arial" w:hAnsi="Arial" w:cs="Arial"/>
        <w:noProof/>
        <w:sz w:val="18"/>
        <w:szCs w:val="18"/>
      </w:rPr>
      <w:t>5</w:t>
    </w:r>
    <w:r w:rsidR="005473D7">
      <w:rPr>
        <w:rFonts w:ascii="Arial" w:hAnsi="Arial" w:cs="Arial"/>
        <w:sz w:val="18"/>
        <w:szCs w:val="18"/>
      </w:rPr>
      <w:fldChar w:fldCharType="end"/>
    </w:r>
    <w:r>
      <w:rPr>
        <w:rFonts w:ascii="Arial" w:hAnsi="Arial" w:cs="Arial"/>
        <w:sz w:val="18"/>
        <w:szCs w:val="18"/>
      </w:rPr>
      <w:t xml:space="preserve"> of </w:t>
    </w:r>
    <w:fldSimple w:instr=" NUMPAGES   \* MERGEFORMAT ">
      <w:r w:rsidR="00541F2D" w:rsidRPr="00541F2D">
        <w:rPr>
          <w:rFonts w:ascii="Arial" w:hAnsi="Arial" w:cs="Arial"/>
          <w:noProof/>
          <w:sz w:val="18"/>
          <w:szCs w:val="18"/>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78" w:rsidRDefault="00250178">
      <w:r>
        <w:separator/>
      </w:r>
    </w:p>
  </w:footnote>
  <w:footnote w:type="continuationSeparator" w:id="1">
    <w:p w:rsidR="00250178" w:rsidRDefault="00250178">
      <w:r>
        <w:continuationSeparator/>
      </w:r>
    </w:p>
  </w:footnote>
  <w:footnote w:id="2">
    <w:p w:rsidR="00AD1065" w:rsidRDefault="00AD1065">
      <w:pPr>
        <w:pStyle w:val="Notedebasdepage"/>
      </w:pPr>
      <w:r>
        <w:rPr>
          <w:rStyle w:val="Appelnotedebasdep"/>
        </w:rPr>
        <w:footnoteRef/>
      </w:r>
      <w:r>
        <w:t xml:space="preserve"> E.g. for the UNDG </w:t>
      </w:r>
      <w:smartTag w:uri="urn:schemas-microsoft-com:office:smarttags" w:element="place">
        <w:smartTag w:uri="urn:schemas-microsoft-com:office:smarttags" w:element="country-region">
          <w:r>
            <w:t>Iraq</w:t>
          </w:r>
        </w:smartTag>
      </w:smartTag>
      <w:r>
        <w:t xml:space="preserve"> Trust Fund and the </w:t>
      </w:r>
      <w:smartTag w:uri="urn:schemas-microsoft-com:office:smarttags" w:element="stockticker">
        <w:r>
          <w:t>MDG</w:t>
        </w:r>
      </w:smartTag>
      <w:r>
        <w:t>-F.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4.75pt;height:4.75pt" o:bullet="t">
        <v:imagedata r:id="rId1" o:title="bullet"/>
      </v:shape>
    </w:pict>
  </w:numPicBullet>
  <w:numPicBullet w:numPicBulletId="1">
    <w:pict>
      <v:shape id="_x0000_i1523" type="#_x0000_t75" style="width:3in;height:3in" o:bullet="t"/>
    </w:pict>
  </w:numPicBullet>
  <w:numPicBullet w:numPicBulletId="2">
    <w:pict>
      <v:shape id="_x0000_i1524" type="#_x0000_t75" style="width:3in;height:3in" o:bullet="t"/>
    </w:pict>
  </w:numPicBullet>
  <w:numPicBullet w:numPicBulletId="3">
    <w:pict>
      <v:shape id="_x0000_i1525" type="#_x0000_t75" style="width:3in;height:3in" o:bullet="t"/>
    </w:pict>
  </w:numPicBullet>
  <w:numPicBullet w:numPicBulletId="4">
    <w:pict>
      <v:shape id="_x0000_i1526" type="#_x0000_t75" style="width:3in;height:3in" o:bullet="t"/>
    </w:pict>
  </w:numPicBullet>
  <w:numPicBullet w:numPicBulletId="5">
    <w:pict>
      <v:shape id="_x0000_i1527" type="#_x0000_t75" style="width:3in;height:3in" o:bullet="t"/>
    </w:pict>
  </w:numPicBullet>
  <w:numPicBullet w:numPicBulletId="6">
    <w:pict>
      <v:shape id="_x0000_i1528" type="#_x0000_t75" style="width:3in;height:3in" o:bullet="t"/>
    </w:pict>
  </w:numPicBullet>
  <w:numPicBullet w:numPicBulletId="7">
    <w:pict>
      <v:shape id="_x0000_i1529" type="#_x0000_t75" style="width:3in;height:3in" o:bullet="t"/>
    </w:pict>
  </w:numPicBullet>
  <w:numPicBullet w:numPicBulletId="8">
    <w:pict>
      <v:shape id="_x0000_i1530" type="#_x0000_t75" style="width:3in;height:3in" o:bullet="t"/>
    </w:pict>
  </w:numPicBullet>
  <w:numPicBullet w:numPicBulletId="9">
    <w:pict>
      <v:shape id="_x0000_i1531" type="#_x0000_t75" style="width:3in;height:3in" o:bullet="t"/>
    </w:pict>
  </w:numPicBullet>
  <w:numPicBullet w:numPicBulletId="10">
    <w:pict>
      <v:shape id="_x0000_i1532" type="#_x0000_t75" style="width:3in;height:3in" o:bullet="t"/>
    </w:pict>
  </w:numPicBullet>
  <w:numPicBullet w:numPicBulletId="11">
    <w:pict>
      <v:shape id="_x0000_i1533" type="#_x0000_t75" style="width:3in;height:3in" o:bullet="t"/>
    </w:pict>
  </w:numPicBullet>
  <w:numPicBullet w:numPicBulletId="12">
    <w:pict>
      <v:shape id="_x0000_i1534" type="#_x0000_t75" style="width:3in;height:3in" o:bullet="t"/>
    </w:pict>
  </w:numPicBullet>
  <w:numPicBullet w:numPicBulletId="13">
    <w:pict>
      <v:shape id="_x0000_i1535" type="#_x0000_t75" style="width:3in;height:3in" o:bullet="t"/>
    </w:pict>
  </w:numPicBullet>
  <w:numPicBullet w:numPicBulletId="14">
    <w:pict>
      <v:shape id="_x0000_i1536" type="#_x0000_t75" style="width:3in;height:3in" o:bullet="t"/>
    </w:pict>
  </w:numPicBullet>
  <w:numPicBullet w:numPicBulletId="15">
    <w:pict>
      <v:shape id="_x0000_i1537" type="#_x0000_t75" style="width:11.55pt;height:11.55pt" o:bullet="t">
        <v:imagedata r:id="rId2" o:title="mso5E29"/>
      </v:shape>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4C28C4"/>
    <w:multiLevelType w:val="hybridMultilevel"/>
    <w:tmpl w:val="5114EC36"/>
    <w:lvl w:ilvl="0" w:tplc="040C000D">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245619"/>
    <w:multiLevelType w:val="hybridMultilevel"/>
    <w:tmpl w:val="026087C0"/>
    <w:lvl w:ilvl="0" w:tplc="6EEA8C26">
      <w:start w:val="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B527A9"/>
    <w:multiLevelType w:val="hybridMultilevel"/>
    <w:tmpl w:val="7122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B97224"/>
    <w:multiLevelType w:val="hybridMultilevel"/>
    <w:tmpl w:val="277E6E16"/>
    <w:lvl w:ilvl="0" w:tplc="040C0007">
      <w:start w:val="1"/>
      <w:numFmt w:val="bullet"/>
      <w:lvlText w:val=""/>
      <w:lvlPicBulletId w:val="15"/>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957892"/>
    <w:multiLevelType w:val="multilevel"/>
    <w:tmpl w:val="BADAE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8"/>
  </w:num>
  <w:num w:numId="3">
    <w:abstractNumId w:val="15"/>
  </w:num>
  <w:num w:numId="4">
    <w:abstractNumId w:val="19"/>
  </w:num>
  <w:num w:numId="5">
    <w:abstractNumId w:val="30"/>
  </w:num>
  <w:num w:numId="6">
    <w:abstractNumId w:val="17"/>
  </w:num>
  <w:num w:numId="7">
    <w:abstractNumId w:val="6"/>
  </w:num>
  <w:num w:numId="8">
    <w:abstractNumId w:val="46"/>
  </w:num>
  <w:num w:numId="9">
    <w:abstractNumId w:val="31"/>
  </w:num>
  <w:num w:numId="10">
    <w:abstractNumId w:val="34"/>
  </w:num>
  <w:num w:numId="11">
    <w:abstractNumId w:val="21"/>
  </w:num>
  <w:num w:numId="12">
    <w:abstractNumId w:val="22"/>
  </w:num>
  <w:num w:numId="13">
    <w:abstractNumId w:val="42"/>
  </w:num>
  <w:num w:numId="14">
    <w:abstractNumId w:val="49"/>
  </w:num>
  <w:num w:numId="15">
    <w:abstractNumId w:val="32"/>
  </w:num>
  <w:num w:numId="16">
    <w:abstractNumId w:val="29"/>
  </w:num>
  <w:num w:numId="17">
    <w:abstractNumId w:val="10"/>
  </w:num>
  <w:num w:numId="18">
    <w:abstractNumId w:val="45"/>
  </w:num>
  <w:num w:numId="19">
    <w:abstractNumId w:val="18"/>
  </w:num>
  <w:num w:numId="20">
    <w:abstractNumId w:val="8"/>
  </w:num>
  <w:num w:numId="21">
    <w:abstractNumId w:val="28"/>
  </w:num>
  <w:num w:numId="22">
    <w:abstractNumId w:val="16"/>
  </w:num>
  <w:num w:numId="23">
    <w:abstractNumId w:val="2"/>
  </w:num>
  <w:num w:numId="24">
    <w:abstractNumId w:val="7"/>
  </w:num>
  <w:num w:numId="25">
    <w:abstractNumId w:val="4"/>
  </w:num>
  <w:num w:numId="26">
    <w:abstractNumId w:val="13"/>
  </w:num>
  <w:num w:numId="27">
    <w:abstractNumId w:val="20"/>
  </w:num>
  <w:num w:numId="28">
    <w:abstractNumId w:val="38"/>
  </w:num>
  <w:num w:numId="29">
    <w:abstractNumId w:val="9"/>
  </w:num>
  <w:num w:numId="30">
    <w:abstractNumId w:val="23"/>
  </w:num>
  <w:num w:numId="31">
    <w:abstractNumId w:val="11"/>
  </w:num>
  <w:num w:numId="32">
    <w:abstractNumId w:val="14"/>
  </w:num>
  <w:num w:numId="33">
    <w:abstractNumId w:val="0"/>
  </w:num>
  <w:num w:numId="34">
    <w:abstractNumId w:val="27"/>
  </w:num>
  <w:num w:numId="35">
    <w:abstractNumId w:val="44"/>
  </w:num>
  <w:num w:numId="36">
    <w:abstractNumId w:val="3"/>
  </w:num>
  <w:num w:numId="37">
    <w:abstractNumId w:val="24"/>
  </w:num>
  <w:num w:numId="38">
    <w:abstractNumId w:val="35"/>
  </w:num>
  <w:num w:numId="39">
    <w:abstractNumId w:val="25"/>
  </w:num>
  <w:num w:numId="40">
    <w:abstractNumId w:val="33"/>
  </w:num>
  <w:num w:numId="41">
    <w:abstractNumId w:val="39"/>
  </w:num>
  <w:num w:numId="42">
    <w:abstractNumId w:val="5"/>
  </w:num>
  <w:num w:numId="43">
    <w:abstractNumId w:val="36"/>
  </w:num>
  <w:num w:numId="44">
    <w:abstractNumId w:val="1"/>
  </w:num>
  <w:num w:numId="45">
    <w:abstractNumId w:val="40"/>
  </w:num>
  <w:num w:numId="46">
    <w:abstractNumId w:val="41"/>
  </w:num>
  <w:num w:numId="47">
    <w:abstractNumId w:val="37"/>
  </w:num>
  <w:num w:numId="48">
    <w:abstractNumId w:val="43"/>
  </w:num>
  <w:num w:numId="49">
    <w:abstractNumId w:val="47"/>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F2AC2"/>
    <w:rsid w:val="00002A1F"/>
    <w:rsid w:val="00003AEB"/>
    <w:rsid w:val="000078BC"/>
    <w:rsid w:val="000121B0"/>
    <w:rsid w:val="0001459F"/>
    <w:rsid w:val="00016418"/>
    <w:rsid w:val="00024F9B"/>
    <w:rsid w:val="00031DC9"/>
    <w:rsid w:val="00052FF4"/>
    <w:rsid w:val="00055BFF"/>
    <w:rsid w:val="00057643"/>
    <w:rsid w:val="00064352"/>
    <w:rsid w:val="00090D90"/>
    <w:rsid w:val="00092501"/>
    <w:rsid w:val="00094B2F"/>
    <w:rsid w:val="00096711"/>
    <w:rsid w:val="000968C1"/>
    <w:rsid w:val="000A126F"/>
    <w:rsid w:val="000A146E"/>
    <w:rsid w:val="000B599B"/>
    <w:rsid w:val="000C0119"/>
    <w:rsid w:val="000C03EE"/>
    <w:rsid w:val="000C0B78"/>
    <w:rsid w:val="000C2A11"/>
    <w:rsid w:val="000C3014"/>
    <w:rsid w:val="000C35B0"/>
    <w:rsid w:val="000C656D"/>
    <w:rsid w:val="000D3F91"/>
    <w:rsid w:val="000D6D9C"/>
    <w:rsid w:val="000E34E5"/>
    <w:rsid w:val="000F23F3"/>
    <w:rsid w:val="000F5BA1"/>
    <w:rsid w:val="00106A96"/>
    <w:rsid w:val="00107760"/>
    <w:rsid w:val="00114C7D"/>
    <w:rsid w:val="0011699C"/>
    <w:rsid w:val="00122622"/>
    <w:rsid w:val="0012303A"/>
    <w:rsid w:val="00124B56"/>
    <w:rsid w:val="00126292"/>
    <w:rsid w:val="00132552"/>
    <w:rsid w:val="0013530A"/>
    <w:rsid w:val="0013612C"/>
    <w:rsid w:val="00144ED5"/>
    <w:rsid w:val="00147D80"/>
    <w:rsid w:val="0015472D"/>
    <w:rsid w:val="0015763B"/>
    <w:rsid w:val="001602DF"/>
    <w:rsid w:val="00160579"/>
    <w:rsid w:val="001649DC"/>
    <w:rsid w:val="00165038"/>
    <w:rsid w:val="00170DD0"/>
    <w:rsid w:val="00171470"/>
    <w:rsid w:val="001737DA"/>
    <w:rsid w:val="0017671A"/>
    <w:rsid w:val="00183F83"/>
    <w:rsid w:val="001854AB"/>
    <w:rsid w:val="00193B41"/>
    <w:rsid w:val="001957DC"/>
    <w:rsid w:val="00197C6B"/>
    <w:rsid w:val="001A2C73"/>
    <w:rsid w:val="001A5801"/>
    <w:rsid w:val="001B2CFE"/>
    <w:rsid w:val="001C1E68"/>
    <w:rsid w:val="001C209F"/>
    <w:rsid w:val="001D242B"/>
    <w:rsid w:val="001D4CA5"/>
    <w:rsid w:val="001E101F"/>
    <w:rsid w:val="001E21A6"/>
    <w:rsid w:val="001E222D"/>
    <w:rsid w:val="001E2946"/>
    <w:rsid w:val="001F4683"/>
    <w:rsid w:val="001F4D9E"/>
    <w:rsid w:val="00206941"/>
    <w:rsid w:val="0021182F"/>
    <w:rsid w:val="00212FEB"/>
    <w:rsid w:val="00213E87"/>
    <w:rsid w:val="00215D1B"/>
    <w:rsid w:val="002179BB"/>
    <w:rsid w:val="00217BDD"/>
    <w:rsid w:val="00220D29"/>
    <w:rsid w:val="00233E28"/>
    <w:rsid w:val="0023529C"/>
    <w:rsid w:val="00243F99"/>
    <w:rsid w:val="00250178"/>
    <w:rsid w:val="00251130"/>
    <w:rsid w:val="00255B0E"/>
    <w:rsid w:val="0025606E"/>
    <w:rsid w:val="0027001F"/>
    <w:rsid w:val="00270043"/>
    <w:rsid w:val="002717AC"/>
    <w:rsid w:val="00274F02"/>
    <w:rsid w:val="00275A4A"/>
    <w:rsid w:val="002801C6"/>
    <w:rsid w:val="002805D4"/>
    <w:rsid w:val="00280FB9"/>
    <w:rsid w:val="00284411"/>
    <w:rsid w:val="002A02A4"/>
    <w:rsid w:val="002A3031"/>
    <w:rsid w:val="002A340B"/>
    <w:rsid w:val="002A5950"/>
    <w:rsid w:val="002A6952"/>
    <w:rsid w:val="002A7665"/>
    <w:rsid w:val="002B14C9"/>
    <w:rsid w:val="002B2B6B"/>
    <w:rsid w:val="002B518E"/>
    <w:rsid w:val="002C126A"/>
    <w:rsid w:val="002C4A03"/>
    <w:rsid w:val="002C690B"/>
    <w:rsid w:val="002E50CF"/>
    <w:rsid w:val="002E77D1"/>
    <w:rsid w:val="002F34E3"/>
    <w:rsid w:val="002F3EFE"/>
    <w:rsid w:val="002F5953"/>
    <w:rsid w:val="0030509D"/>
    <w:rsid w:val="00310C19"/>
    <w:rsid w:val="00312685"/>
    <w:rsid w:val="00314A5F"/>
    <w:rsid w:val="00320895"/>
    <w:rsid w:val="00330077"/>
    <w:rsid w:val="0033662C"/>
    <w:rsid w:val="003369D5"/>
    <w:rsid w:val="0034386B"/>
    <w:rsid w:val="00351A14"/>
    <w:rsid w:val="00356D08"/>
    <w:rsid w:val="00360431"/>
    <w:rsid w:val="00360501"/>
    <w:rsid w:val="00360945"/>
    <w:rsid w:val="003755CD"/>
    <w:rsid w:val="00375FFA"/>
    <w:rsid w:val="003815EF"/>
    <w:rsid w:val="00382573"/>
    <w:rsid w:val="003832C2"/>
    <w:rsid w:val="003879DF"/>
    <w:rsid w:val="00390F98"/>
    <w:rsid w:val="00396D76"/>
    <w:rsid w:val="003A1AF5"/>
    <w:rsid w:val="003A77A2"/>
    <w:rsid w:val="003B0303"/>
    <w:rsid w:val="003B454A"/>
    <w:rsid w:val="003C1A52"/>
    <w:rsid w:val="003C340D"/>
    <w:rsid w:val="003C3941"/>
    <w:rsid w:val="003C3FC0"/>
    <w:rsid w:val="003D210A"/>
    <w:rsid w:val="003D3325"/>
    <w:rsid w:val="003D4331"/>
    <w:rsid w:val="003E0D46"/>
    <w:rsid w:val="003E51E4"/>
    <w:rsid w:val="003E62C0"/>
    <w:rsid w:val="00405A55"/>
    <w:rsid w:val="0041185F"/>
    <w:rsid w:val="004160BF"/>
    <w:rsid w:val="00417B11"/>
    <w:rsid w:val="00422D8B"/>
    <w:rsid w:val="00427179"/>
    <w:rsid w:val="00432267"/>
    <w:rsid w:val="00432ABA"/>
    <w:rsid w:val="00435C09"/>
    <w:rsid w:val="00442C6B"/>
    <w:rsid w:val="00455DEA"/>
    <w:rsid w:val="004600E3"/>
    <w:rsid w:val="004658BE"/>
    <w:rsid w:val="00465B26"/>
    <w:rsid w:val="00466449"/>
    <w:rsid w:val="00466DEB"/>
    <w:rsid w:val="00466E3B"/>
    <w:rsid w:val="00471235"/>
    <w:rsid w:val="00482220"/>
    <w:rsid w:val="004863CF"/>
    <w:rsid w:val="00493697"/>
    <w:rsid w:val="004A0A50"/>
    <w:rsid w:val="004B5AAB"/>
    <w:rsid w:val="004C62BF"/>
    <w:rsid w:val="004C7191"/>
    <w:rsid w:val="004D52B0"/>
    <w:rsid w:val="004D70EC"/>
    <w:rsid w:val="004E4B51"/>
    <w:rsid w:val="004E7392"/>
    <w:rsid w:val="004F34B0"/>
    <w:rsid w:val="004F5F38"/>
    <w:rsid w:val="004F6B31"/>
    <w:rsid w:val="004F71AC"/>
    <w:rsid w:val="005014CA"/>
    <w:rsid w:val="00510055"/>
    <w:rsid w:val="00510D98"/>
    <w:rsid w:val="00521F30"/>
    <w:rsid w:val="0052663C"/>
    <w:rsid w:val="005268DC"/>
    <w:rsid w:val="0052760B"/>
    <w:rsid w:val="00537107"/>
    <w:rsid w:val="00537CAD"/>
    <w:rsid w:val="00540142"/>
    <w:rsid w:val="00540389"/>
    <w:rsid w:val="00541F2D"/>
    <w:rsid w:val="005473D7"/>
    <w:rsid w:val="00553FA1"/>
    <w:rsid w:val="00554EAB"/>
    <w:rsid w:val="00555A12"/>
    <w:rsid w:val="005578E7"/>
    <w:rsid w:val="00573BF0"/>
    <w:rsid w:val="00573DAD"/>
    <w:rsid w:val="00575320"/>
    <w:rsid w:val="00581F54"/>
    <w:rsid w:val="005A0F3F"/>
    <w:rsid w:val="005B1CBB"/>
    <w:rsid w:val="005B4B46"/>
    <w:rsid w:val="005B607F"/>
    <w:rsid w:val="005C0233"/>
    <w:rsid w:val="005C1731"/>
    <w:rsid w:val="005C6FD4"/>
    <w:rsid w:val="005C7ADD"/>
    <w:rsid w:val="005D27D4"/>
    <w:rsid w:val="005D5D53"/>
    <w:rsid w:val="005E4EDD"/>
    <w:rsid w:val="005F0467"/>
    <w:rsid w:val="006002EE"/>
    <w:rsid w:val="00601E0F"/>
    <w:rsid w:val="006020B1"/>
    <w:rsid w:val="006053F9"/>
    <w:rsid w:val="006116F5"/>
    <w:rsid w:val="006117B9"/>
    <w:rsid w:val="00615E8B"/>
    <w:rsid w:val="00617CFC"/>
    <w:rsid w:val="00621EDA"/>
    <w:rsid w:val="0064197D"/>
    <w:rsid w:val="006447B1"/>
    <w:rsid w:val="00645E3A"/>
    <w:rsid w:val="00650E20"/>
    <w:rsid w:val="0065590C"/>
    <w:rsid w:val="00655D27"/>
    <w:rsid w:val="00656759"/>
    <w:rsid w:val="006602F1"/>
    <w:rsid w:val="00673516"/>
    <w:rsid w:val="00675934"/>
    <w:rsid w:val="00685ABC"/>
    <w:rsid w:val="00693899"/>
    <w:rsid w:val="006A1378"/>
    <w:rsid w:val="006B42EB"/>
    <w:rsid w:val="006D04D8"/>
    <w:rsid w:val="006E0EF7"/>
    <w:rsid w:val="006E1983"/>
    <w:rsid w:val="006F0970"/>
    <w:rsid w:val="006F1D4C"/>
    <w:rsid w:val="006F4639"/>
    <w:rsid w:val="006F4E81"/>
    <w:rsid w:val="007041E5"/>
    <w:rsid w:val="0070460B"/>
    <w:rsid w:val="0070583F"/>
    <w:rsid w:val="0071507D"/>
    <w:rsid w:val="00717598"/>
    <w:rsid w:val="00717C7A"/>
    <w:rsid w:val="00730077"/>
    <w:rsid w:val="00733BB2"/>
    <w:rsid w:val="007416AC"/>
    <w:rsid w:val="00744618"/>
    <w:rsid w:val="00747763"/>
    <w:rsid w:val="007501B3"/>
    <w:rsid w:val="00760206"/>
    <w:rsid w:val="00764769"/>
    <w:rsid w:val="00766AF4"/>
    <w:rsid w:val="00766B02"/>
    <w:rsid w:val="00770DAA"/>
    <w:rsid w:val="00771F7F"/>
    <w:rsid w:val="007723A7"/>
    <w:rsid w:val="0077310A"/>
    <w:rsid w:val="00782335"/>
    <w:rsid w:val="007B641A"/>
    <w:rsid w:val="007D3764"/>
    <w:rsid w:val="007D76F9"/>
    <w:rsid w:val="007E464F"/>
    <w:rsid w:val="007F1E32"/>
    <w:rsid w:val="007F5010"/>
    <w:rsid w:val="0080284B"/>
    <w:rsid w:val="00811DC6"/>
    <w:rsid w:val="00814B1B"/>
    <w:rsid w:val="0082670A"/>
    <w:rsid w:val="00832740"/>
    <w:rsid w:val="0084010D"/>
    <w:rsid w:val="00843477"/>
    <w:rsid w:val="00847324"/>
    <w:rsid w:val="008552F1"/>
    <w:rsid w:val="00862256"/>
    <w:rsid w:val="008654FB"/>
    <w:rsid w:val="008678FD"/>
    <w:rsid w:val="008679D3"/>
    <w:rsid w:val="00872B6C"/>
    <w:rsid w:val="0087336E"/>
    <w:rsid w:val="008809EA"/>
    <w:rsid w:val="00881946"/>
    <w:rsid w:val="0088302C"/>
    <w:rsid w:val="008877E3"/>
    <w:rsid w:val="00892409"/>
    <w:rsid w:val="008A295D"/>
    <w:rsid w:val="008B4B51"/>
    <w:rsid w:val="008B609E"/>
    <w:rsid w:val="008C169A"/>
    <w:rsid w:val="008C1C25"/>
    <w:rsid w:val="008C224A"/>
    <w:rsid w:val="008C479C"/>
    <w:rsid w:val="008C493E"/>
    <w:rsid w:val="008C7B0B"/>
    <w:rsid w:val="008D4E5F"/>
    <w:rsid w:val="008D76B2"/>
    <w:rsid w:val="008E0959"/>
    <w:rsid w:val="008E5B7B"/>
    <w:rsid w:val="008E5BE7"/>
    <w:rsid w:val="008E650C"/>
    <w:rsid w:val="008F2AC2"/>
    <w:rsid w:val="008F2BCF"/>
    <w:rsid w:val="00903ED8"/>
    <w:rsid w:val="00906395"/>
    <w:rsid w:val="00910018"/>
    <w:rsid w:val="00912C6D"/>
    <w:rsid w:val="00916967"/>
    <w:rsid w:val="0092093C"/>
    <w:rsid w:val="00922E2A"/>
    <w:rsid w:val="00925EE6"/>
    <w:rsid w:val="009325CD"/>
    <w:rsid w:val="00942A18"/>
    <w:rsid w:val="00953BFD"/>
    <w:rsid w:val="00954AD0"/>
    <w:rsid w:val="00962458"/>
    <w:rsid w:val="00962E51"/>
    <w:rsid w:val="00963061"/>
    <w:rsid w:val="009645E4"/>
    <w:rsid w:val="009654E0"/>
    <w:rsid w:val="0096704B"/>
    <w:rsid w:val="00967129"/>
    <w:rsid w:val="00971F63"/>
    <w:rsid w:val="00974AD3"/>
    <w:rsid w:val="00976E29"/>
    <w:rsid w:val="00983256"/>
    <w:rsid w:val="00983A2F"/>
    <w:rsid w:val="009848E7"/>
    <w:rsid w:val="009854A5"/>
    <w:rsid w:val="00986BA5"/>
    <w:rsid w:val="00995566"/>
    <w:rsid w:val="00996BDA"/>
    <w:rsid w:val="009B3EC0"/>
    <w:rsid w:val="009B58F9"/>
    <w:rsid w:val="009C05C5"/>
    <w:rsid w:val="009C1C57"/>
    <w:rsid w:val="009C5C27"/>
    <w:rsid w:val="009C7423"/>
    <w:rsid w:val="009D0955"/>
    <w:rsid w:val="009D4FB1"/>
    <w:rsid w:val="009D5D55"/>
    <w:rsid w:val="009E1FDA"/>
    <w:rsid w:val="009F043F"/>
    <w:rsid w:val="009F3E07"/>
    <w:rsid w:val="009F5AF1"/>
    <w:rsid w:val="009F649C"/>
    <w:rsid w:val="00A013D7"/>
    <w:rsid w:val="00A026AF"/>
    <w:rsid w:val="00A03233"/>
    <w:rsid w:val="00A06DA5"/>
    <w:rsid w:val="00A17B13"/>
    <w:rsid w:val="00A23616"/>
    <w:rsid w:val="00A2458B"/>
    <w:rsid w:val="00A32FDA"/>
    <w:rsid w:val="00A33A02"/>
    <w:rsid w:val="00A359B9"/>
    <w:rsid w:val="00A46E8F"/>
    <w:rsid w:val="00A61216"/>
    <w:rsid w:val="00A7197E"/>
    <w:rsid w:val="00A734CD"/>
    <w:rsid w:val="00A7439A"/>
    <w:rsid w:val="00A81AC4"/>
    <w:rsid w:val="00A81EFE"/>
    <w:rsid w:val="00A82D0D"/>
    <w:rsid w:val="00A91552"/>
    <w:rsid w:val="00A91A74"/>
    <w:rsid w:val="00A93049"/>
    <w:rsid w:val="00AA6424"/>
    <w:rsid w:val="00AB0274"/>
    <w:rsid w:val="00AB0357"/>
    <w:rsid w:val="00AB4503"/>
    <w:rsid w:val="00AB46F4"/>
    <w:rsid w:val="00AC0B78"/>
    <w:rsid w:val="00AC1168"/>
    <w:rsid w:val="00AC2CF0"/>
    <w:rsid w:val="00AC5D88"/>
    <w:rsid w:val="00AC6753"/>
    <w:rsid w:val="00AC6E12"/>
    <w:rsid w:val="00AC78E8"/>
    <w:rsid w:val="00AD1065"/>
    <w:rsid w:val="00AD31B4"/>
    <w:rsid w:val="00AD3286"/>
    <w:rsid w:val="00AD4F41"/>
    <w:rsid w:val="00AD7BFD"/>
    <w:rsid w:val="00AE1F6B"/>
    <w:rsid w:val="00AE3237"/>
    <w:rsid w:val="00AE3459"/>
    <w:rsid w:val="00AE3B7D"/>
    <w:rsid w:val="00AE4A17"/>
    <w:rsid w:val="00AE5548"/>
    <w:rsid w:val="00AE74AF"/>
    <w:rsid w:val="00AF6095"/>
    <w:rsid w:val="00AF7B8F"/>
    <w:rsid w:val="00B21C60"/>
    <w:rsid w:val="00B24CE1"/>
    <w:rsid w:val="00B26E7E"/>
    <w:rsid w:val="00B30E23"/>
    <w:rsid w:val="00B36A4D"/>
    <w:rsid w:val="00B36B8A"/>
    <w:rsid w:val="00B447C7"/>
    <w:rsid w:val="00B50BD2"/>
    <w:rsid w:val="00B54645"/>
    <w:rsid w:val="00B54704"/>
    <w:rsid w:val="00B67EEC"/>
    <w:rsid w:val="00B72C73"/>
    <w:rsid w:val="00B734EC"/>
    <w:rsid w:val="00B73507"/>
    <w:rsid w:val="00B7777C"/>
    <w:rsid w:val="00B84453"/>
    <w:rsid w:val="00B84BA4"/>
    <w:rsid w:val="00B912E2"/>
    <w:rsid w:val="00B97D14"/>
    <w:rsid w:val="00B97FBF"/>
    <w:rsid w:val="00BA30DD"/>
    <w:rsid w:val="00BA3272"/>
    <w:rsid w:val="00BA3663"/>
    <w:rsid w:val="00BA5995"/>
    <w:rsid w:val="00BA5AE3"/>
    <w:rsid w:val="00BB0A3A"/>
    <w:rsid w:val="00BB17B3"/>
    <w:rsid w:val="00BB1EF4"/>
    <w:rsid w:val="00BB3442"/>
    <w:rsid w:val="00BB3696"/>
    <w:rsid w:val="00BB4F8C"/>
    <w:rsid w:val="00BB5A76"/>
    <w:rsid w:val="00BB7074"/>
    <w:rsid w:val="00BD0AC6"/>
    <w:rsid w:val="00BD17AE"/>
    <w:rsid w:val="00BE25ED"/>
    <w:rsid w:val="00BE31C8"/>
    <w:rsid w:val="00BE3B0B"/>
    <w:rsid w:val="00BE5B12"/>
    <w:rsid w:val="00BF1CC9"/>
    <w:rsid w:val="00C02CA8"/>
    <w:rsid w:val="00C04E8D"/>
    <w:rsid w:val="00C078BA"/>
    <w:rsid w:val="00C17F79"/>
    <w:rsid w:val="00C21861"/>
    <w:rsid w:val="00C23B8B"/>
    <w:rsid w:val="00C26EC4"/>
    <w:rsid w:val="00C307CF"/>
    <w:rsid w:val="00C37214"/>
    <w:rsid w:val="00C45C7D"/>
    <w:rsid w:val="00C462D4"/>
    <w:rsid w:val="00C54B7D"/>
    <w:rsid w:val="00C5695E"/>
    <w:rsid w:val="00C57AA9"/>
    <w:rsid w:val="00C701B5"/>
    <w:rsid w:val="00C80CE4"/>
    <w:rsid w:val="00C81746"/>
    <w:rsid w:val="00C823DA"/>
    <w:rsid w:val="00C82A2B"/>
    <w:rsid w:val="00C85B34"/>
    <w:rsid w:val="00C87E85"/>
    <w:rsid w:val="00C91B1F"/>
    <w:rsid w:val="00C926FE"/>
    <w:rsid w:val="00C94870"/>
    <w:rsid w:val="00C96F44"/>
    <w:rsid w:val="00CA01FE"/>
    <w:rsid w:val="00CA0DEC"/>
    <w:rsid w:val="00CA38BE"/>
    <w:rsid w:val="00CA38FE"/>
    <w:rsid w:val="00CB0B8E"/>
    <w:rsid w:val="00CB1A49"/>
    <w:rsid w:val="00CB50C6"/>
    <w:rsid w:val="00CB6F46"/>
    <w:rsid w:val="00CC6E5F"/>
    <w:rsid w:val="00CD4E4C"/>
    <w:rsid w:val="00CD522D"/>
    <w:rsid w:val="00CD7AF1"/>
    <w:rsid w:val="00CE49E6"/>
    <w:rsid w:val="00CE54A7"/>
    <w:rsid w:val="00CE618A"/>
    <w:rsid w:val="00CE6D6E"/>
    <w:rsid w:val="00CF40A2"/>
    <w:rsid w:val="00CF414A"/>
    <w:rsid w:val="00CF4774"/>
    <w:rsid w:val="00CF69D4"/>
    <w:rsid w:val="00D00906"/>
    <w:rsid w:val="00D00E18"/>
    <w:rsid w:val="00D02FD3"/>
    <w:rsid w:val="00D03AE3"/>
    <w:rsid w:val="00D111DE"/>
    <w:rsid w:val="00D139C9"/>
    <w:rsid w:val="00D15E5B"/>
    <w:rsid w:val="00D218C2"/>
    <w:rsid w:val="00D2236E"/>
    <w:rsid w:val="00D24A1F"/>
    <w:rsid w:val="00D25B29"/>
    <w:rsid w:val="00D35F2B"/>
    <w:rsid w:val="00D36941"/>
    <w:rsid w:val="00D4003B"/>
    <w:rsid w:val="00D444C1"/>
    <w:rsid w:val="00D44FB1"/>
    <w:rsid w:val="00D5127E"/>
    <w:rsid w:val="00D5359E"/>
    <w:rsid w:val="00D6369A"/>
    <w:rsid w:val="00D658DF"/>
    <w:rsid w:val="00D72415"/>
    <w:rsid w:val="00D72A60"/>
    <w:rsid w:val="00D7553F"/>
    <w:rsid w:val="00D86A12"/>
    <w:rsid w:val="00D90654"/>
    <w:rsid w:val="00D92A87"/>
    <w:rsid w:val="00D94E6E"/>
    <w:rsid w:val="00DB37B0"/>
    <w:rsid w:val="00DB64B1"/>
    <w:rsid w:val="00DC12DE"/>
    <w:rsid w:val="00DC2F33"/>
    <w:rsid w:val="00DD14BB"/>
    <w:rsid w:val="00DD308B"/>
    <w:rsid w:val="00DD3BAE"/>
    <w:rsid w:val="00DD6EE0"/>
    <w:rsid w:val="00DD736F"/>
    <w:rsid w:val="00DE47F4"/>
    <w:rsid w:val="00DE6E89"/>
    <w:rsid w:val="00DF1FC2"/>
    <w:rsid w:val="00DF44BC"/>
    <w:rsid w:val="00E10174"/>
    <w:rsid w:val="00E20C3E"/>
    <w:rsid w:val="00E23B42"/>
    <w:rsid w:val="00E31D9C"/>
    <w:rsid w:val="00E35E16"/>
    <w:rsid w:val="00E527F5"/>
    <w:rsid w:val="00E52F35"/>
    <w:rsid w:val="00E571C3"/>
    <w:rsid w:val="00E626BD"/>
    <w:rsid w:val="00E64927"/>
    <w:rsid w:val="00E7048D"/>
    <w:rsid w:val="00E72340"/>
    <w:rsid w:val="00E8097F"/>
    <w:rsid w:val="00E975CD"/>
    <w:rsid w:val="00EA3B64"/>
    <w:rsid w:val="00EA64F4"/>
    <w:rsid w:val="00EA795A"/>
    <w:rsid w:val="00EB1A36"/>
    <w:rsid w:val="00EB42D7"/>
    <w:rsid w:val="00EC24B5"/>
    <w:rsid w:val="00EC2E93"/>
    <w:rsid w:val="00EC7307"/>
    <w:rsid w:val="00ED068F"/>
    <w:rsid w:val="00ED7D51"/>
    <w:rsid w:val="00EE031C"/>
    <w:rsid w:val="00EE6C4E"/>
    <w:rsid w:val="00EF5825"/>
    <w:rsid w:val="00EF6E14"/>
    <w:rsid w:val="00EF7C96"/>
    <w:rsid w:val="00F000D7"/>
    <w:rsid w:val="00F01182"/>
    <w:rsid w:val="00F06ED4"/>
    <w:rsid w:val="00F1764E"/>
    <w:rsid w:val="00F207F5"/>
    <w:rsid w:val="00F22A76"/>
    <w:rsid w:val="00F25119"/>
    <w:rsid w:val="00F33E1A"/>
    <w:rsid w:val="00F41298"/>
    <w:rsid w:val="00F418E8"/>
    <w:rsid w:val="00F46998"/>
    <w:rsid w:val="00F51A19"/>
    <w:rsid w:val="00F61F6D"/>
    <w:rsid w:val="00F66FD0"/>
    <w:rsid w:val="00F70AB5"/>
    <w:rsid w:val="00F719EA"/>
    <w:rsid w:val="00F751A1"/>
    <w:rsid w:val="00F755E7"/>
    <w:rsid w:val="00F7637C"/>
    <w:rsid w:val="00F77B53"/>
    <w:rsid w:val="00F80140"/>
    <w:rsid w:val="00F80D48"/>
    <w:rsid w:val="00F81681"/>
    <w:rsid w:val="00F83C94"/>
    <w:rsid w:val="00F93AF2"/>
    <w:rsid w:val="00F971C2"/>
    <w:rsid w:val="00FB7ECA"/>
    <w:rsid w:val="00FC57AE"/>
    <w:rsid w:val="00FD032B"/>
    <w:rsid w:val="00FD4AB4"/>
    <w:rsid w:val="00FD506B"/>
    <w:rsid w:val="00FE0753"/>
    <w:rsid w:val="00FE3224"/>
    <w:rsid w:val="00FE5605"/>
    <w:rsid w:val="00FE7E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01"/>
    <w:rPr>
      <w:sz w:val="24"/>
      <w:szCs w:val="24"/>
      <w:lang w:val="en-US" w:eastAsia="en-US"/>
    </w:rPr>
  </w:style>
  <w:style w:type="paragraph" w:styleId="Titre1">
    <w:name w:val="heading 1"/>
    <w:basedOn w:val="Normal"/>
    <w:next w:val="Normal"/>
    <w:link w:val="Titre1Car"/>
    <w:qFormat/>
    <w:rsid w:val="001A5801"/>
    <w:pPr>
      <w:keepNext/>
      <w:ind w:left="4320"/>
      <w:jc w:val="both"/>
      <w:outlineLvl w:val="0"/>
    </w:pPr>
    <w:rPr>
      <w:rFonts w:ascii="Arial" w:hAnsi="Arial" w:cs="Arial"/>
      <w:b/>
      <w:bCs/>
      <w:sz w:val="20"/>
      <w:szCs w:val="20"/>
    </w:rPr>
  </w:style>
  <w:style w:type="paragraph" w:styleId="Titre2">
    <w:name w:val="heading 2"/>
    <w:basedOn w:val="Normal"/>
    <w:next w:val="Normal"/>
    <w:link w:val="Titre2Car"/>
    <w:qFormat/>
    <w:rsid w:val="00E72340"/>
    <w:pPr>
      <w:keepNext/>
      <w:outlineLvl w:val="1"/>
    </w:pPr>
    <w:rPr>
      <w:b/>
      <w:bCs/>
      <w:sz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1A5801"/>
    <w:rPr>
      <w:color w:val="0000FF"/>
      <w:u w:val="single"/>
    </w:rPr>
  </w:style>
  <w:style w:type="paragraph" w:styleId="Corpsdetexte">
    <w:name w:val="Body Text"/>
    <w:basedOn w:val="Normal"/>
    <w:rsid w:val="001A5801"/>
    <w:rPr>
      <w:rFonts w:ascii="Arial" w:hAnsi="Arial" w:cs="Arial"/>
      <w:sz w:val="20"/>
      <w:szCs w:val="20"/>
    </w:rPr>
  </w:style>
  <w:style w:type="paragraph" w:styleId="En-tte">
    <w:name w:val="header"/>
    <w:basedOn w:val="Normal"/>
    <w:rsid w:val="001A5801"/>
    <w:pPr>
      <w:tabs>
        <w:tab w:val="center" w:pos="4320"/>
        <w:tab w:val="right" w:pos="8640"/>
      </w:tabs>
    </w:pPr>
  </w:style>
  <w:style w:type="paragraph" w:styleId="Pieddepage">
    <w:name w:val="footer"/>
    <w:basedOn w:val="Normal"/>
    <w:link w:val="PieddepageCar"/>
    <w:rsid w:val="001A5801"/>
    <w:pPr>
      <w:tabs>
        <w:tab w:val="center" w:pos="4320"/>
        <w:tab w:val="right" w:pos="8640"/>
      </w:tabs>
    </w:pPr>
  </w:style>
  <w:style w:type="paragraph" w:styleId="Retraitcorpsdetexte">
    <w:name w:val="Body Text Indent"/>
    <w:basedOn w:val="Normal"/>
    <w:rsid w:val="001A5801"/>
    <w:pPr>
      <w:ind w:left="1440" w:hanging="1440"/>
    </w:pPr>
    <w:rPr>
      <w:rFonts w:ascii="Arial" w:hAnsi="Arial" w:cs="Arial"/>
      <w:b/>
      <w:bCs/>
      <w:sz w:val="20"/>
      <w:szCs w:val="20"/>
    </w:rPr>
  </w:style>
  <w:style w:type="paragraph" w:styleId="Corpsdetexte2">
    <w:name w:val="Body Text 2"/>
    <w:basedOn w:val="Normal"/>
    <w:rsid w:val="001A5801"/>
    <w:pPr>
      <w:jc w:val="both"/>
    </w:pPr>
    <w:rPr>
      <w:rFonts w:ascii="Arial" w:hAnsi="Arial" w:cs="Arial"/>
      <w:sz w:val="20"/>
      <w:szCs w:val="20"/>
    </w:rPr>
  </w:style>
  <w:style w:type="paragraph" w:styleId="Textedebulles">
    <w:name w:val="Balloon Text"/>
    <w:basedOn w:val="Normal"/>
    <w:semiHidden/>
    <w:rsid w:val="001A5801"/>
    <w:rPr>
      <w:rFonts w:ascii="Tahoma" w:hAnsi="Tahoma" w:cs="Tahoma"/>
      <w:sz w:val="16"/>
      <w:szCs w:val="16"/>
    </w:rPr>
  </w:style>
  <w:style w:type="paragraph" w:styleId="Explorateurdedocuments">
    <w:name w:val="Document Map"/>
    <w:basedOn w:val="Normal"/>
    <w:semiHidden/>
    <w:rsid w:val="001A5801"/>
    <w:pPr>
      <w:shd w:val="clear" w:color="auto" w:fill="000080"/>
    </w:pPr>
    <w:rPr>
      <w:rFonts w:ascii="Tahoma" w:hAnsi="Tahoma" w:cs="Tahoma"/>
      <w:sz w:val="20"/>
      <w:szCs w:val="20"/>
    </w:rPr>
  </w:style>
  <w:style w:type="paragraph" w:styleId="Textebrut">
    <w:name w:val="Plain Text"/>
    <w:basedOn w:val="Normal"/>
    <w:link w:val="TextebrutC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customStyle="1" w:styleId="Paragraphedeliste1">
    <w:name w:val="Paragraphe de liste1"/>
    <w:basedOn w:val="Normal"/>
    <w:uiPriority w:val="34"/>
    <w:qFormat/>
    <w:rsid w:val="00396D76"/>
    <w:pPr>
      <w:ind w:left="720"/>
      <w:contextualSpacing/>
    </w:pPr>
  </w:style>
  <w:style w:type="character" w:customStyle="1" w:styleId="TextebrutCar">
    <w:name w:val="Texte brut Car"/>
    <w:basedOn w:val="Policepardfaut"/>
    <w:link w:val="Textebrut"/>
    <w:uiPriority w:val="99"/>
    <w:rsid w:val="003879DF"/>
    <w:rPr>
      <w:sz w:val="24"/>
      <w:szCs w:val="24"/>
    </w:rPr>
  </w:style>
  <w:style w:type="character" w:styleId="Marquedecommentaire">
    <w:name w:val="annotation reference"/>
    <w:basedOn w:val="Policepardfaut"/>
    <w:rsid w:val="00B36B8A"/>
    <w:rPr>
      <w:sz w:val="16"/>
      <w:szCs w:val="16"/>
    </w:rPr>
  </w:style>
  <w:style w:type="paragraph" w:styleId="Commentaire">
    <w:name w:val="annotation text"/>
    <w:basedOn w:val="Normal"/>
    <w:link w:val="CommentaireCar"/>
    <w:rsid w:val="00B36B8A"/>
    <w:rPr>
      <w:sz w:val="20"/>
      <w:szCs w:val="20"/>
    </w:rPr>
  </w:style>
  <w:style w:type="character" w:customStyle="1" w:styleId="CommentaireCar">
    <w:name w:val="Commentaire Car"/>
    <w:basedOn w:val="Policepardfaut"/>
    <w:link w:val="Commentaire"/>
    <w:rsid w:val="00B36B8A"/>
  </w:style>
  <w:style w:type="paragraph" w:styleId="Objetducommentaire">
    <w:name w:val="annotation subject"/>
    <w:basedOn w:val="Commentaire"/>
    <w:next w:val="Commentaire"/>
    <w:link w:val="ObjetducommentaireCar"/>
    <w:uiPriority w:val="99"/>
    <w:rsid w:val="00B36B8A"/>
    <w:rPr>
      <w:b/>
      <w:bCs/>
    </w:rPr>
  </w:style>
  <w:style w:type="character" w:customStyle="1" w:styleId="ObjetducommentaireCar">
    <w:name w:val="Objet du commentaire Car"/>
    <w:basedOn w:val="CommentaireCar"/>
    <w:link w:val="Objetducommentaire"/>
    <w:uiPriority w:val="99"/>
    <w:rsid w:val="00B36B8A"/>
    <w:rPr>
      <w:b/>
      <w:bCs/>
    </w:rPr>
  </w:style>
  <w:style w:type="paragraph" w:styleId="Notedebasdepage">
    <w:name w:val="footnote text"/>
    <w:basedOn w:val="Normal"/>
    <w:link w:val="NotedebasdepageCar"/>
    <w:uiPriority w:val="99"/>
    <w:rsid w:val="00967129"/>
    <w:rPr>
      <w:sz w:val="20"/>
      <w:szCs w:val="20"/>
    </w:rPr>
  </w:style>
  <w:style w:type="character" w:customStyle="1" w:styleId="NotedebasdepageCar">
    <w:name w:val="Note de bas de page Car"/>
    <w:basedOn w:val="Policepardfaut"/>
    <w:link w:val="Notedebasdepage"/>
    <w:uiPriority w:val="99"/>
    <w:rsid w:val="00967129"/>
  </w:style>
  <w:style w:type="character" w:styleId="Appelnotedebasdep">
    <w:name w:val="footnote reference"/>
    <w:basedOn w:val="Policepardfaut"/>
    <w:uiPriority w:val="99"/>
    <w:rsid w:val="00967129"/>
    <w:rPr>
      <w:vertAlign w:val="superscript"/>
    </w:rPr>
  </w:style>
  <w:style w:type="character" w:styleId="lev">
    <w:name w:val="Strong"/>
    <w:basedOn w:val="Policepardfaut"/>
    <w:uiPriority w:val="22"/>
    <w:qFormat/>
    <w:rsid w:val="00092501"/>
    <w:rPr>
      <w:b/>
      <w:bCs/>
    </w:rPr>
  </w:style>
  <w:style w:type="table" w:styleId="Grilledutableau">
    <w:name w:val="Table Grid"/>
    <w:basedOn w:val="Tableau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En-ttedetabledesmatires1">
    <w:name w:val="En-tête de table des matières1"/>
    <w:basedOn w:val="Titre1"/>
    <w:next w:val="Normal"/>
    <w:uiPriority w:val="99"/>
    <w:qFormat/>
    <w:rsid w:val="00312685"/>
    <w:pPr>
      <w:keepLines/>
      <w:spacing w:before="480" w:line="276" w:lineRule="auto"/>
      <w:ind w:left="0"/>
      <w:jc w:val="left"/>
      <w:outlineLvl w:val="9"/>
    </w:pPr>
    <w:rPr>
      <w:rFonts w:ascii="Cambria" w:hAnsi="Cambria" w:cs="Times New Roman"/>
      <w:color w:val="365F91"/>
      <w:sz w:val="28"/>
      <w:szCs w:val="28"/>
    </w:rPr>
  </w:style>
  <w:style w:type="paragraph" w:styleId="TM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itre1Car">
    <w:name w:val="Titre 1 Car"/>
    <w:basedOn w:val="Policepardfaut"/>
    <w:link w:val="Titre1"/>
    <w:rsid w:val="00F755E7"/>
    <w:rPr>
      <w:rFonts w:ascii="Arial" w:hAnsi="Arial" w:cs="Arial"/>
      <w:b/>
      <w:bCs/>
    </w:rPr>
  </w:style>
  <w:style w:type="character" w:customStyle="1" w:styleId="Titre2Car">
    <w:name w:val="Titre 2 Car"/>
    <w:basedOn w:val="Policepardfaut"/>
    <w:link w:val="Titre2"/>
    <w:rsid w:val="00F755E7"/>
    <w:rPr>
      <w:b/>
      <w:bCs/>
      <w:sz w:val="26"/>
      <w:szCs w:val="24"/>
    </w:rPr>
  </w:style>
  <w:style w:type="paragraph" w:styleId="TM1">
    <w:name w:val="toc 1"/>
    <w:basedOn w:val="Normal"/>
    <w:next w:val="Normal"/>
    <w:autoRedefine/>
    <w:uiPriority w:val="39"/>
    <w:rsid w:val="00DE6E89"/>
  </w:style>
  <w:style w:type="paragraph" w:styleId="Notedefin">
    <w:name w:val="endnote text"/>
    <w:basedOn w:val="Normal"/>
    <w:link w:val="NotedefinCar"/>
    <w:uiPriority w:val="99"/>
    <w:semiHidden/>
    <w:unhideWhenUsed/>
    <w:rsid w:val="00090D90"/>
    <w:rPr>
      <w:sz w:val="20"/>
      <w:szCs w:val="20"/>
    </w:rPr>
  </w:style>
  <w:style w:type="character" w:customStyle="1" w:styleId="NotedefinCar">
    <w:name w:val="Note de fin Car"/>
    <w:basedOn w:val="Policepardfaut"/>
    <w:link w:val="Notedefin"/>
    <w:uiPriority w:val="99"/>
    <w:semiHidden/>
    <w:rsid w:val="00090D90"/>
  </w:style>
  <w:style w:type="character" w:styleId="Appeldenotedefin">
    <w:name w:val="endnote reference"/>
    <w:basedOn w:val="Policepardfaut"/>
    <w:uiPriority w:val="99"/>
    <w:semiHidden/>
    <w:unhideWhenUsed/>
    <w:rsid w:val="00090D90"/>
    <w:rPr>
      <w:vertAlign w:val="superscript"/>
    </w:rPr>
  </w:style>
  <w:style w:type="character" w:styleId="Lienhypertextesuivivisit">
    <w:name w:val="FollowedHyperlink"/>
    <w:basedOn w:val="Policepardfaut"/>
    <w:uiPriority w:val="99"/>
    <w:semiHidden/>
    <w:unhideWhenUsed/>
    <w:rsid w:val="00976E29"/>
    <w:rPr>
      <w:color w:val="800080"/>
      <w:u w:val="single"/>
    </w:rPr>
  </w:style>
</w:styles>
</file>

<file path=word/webSettings.xml><?xml version="1.0" encoding="utf-8"?>
<w:webSettings xmlns:r="http://schemas.openxmlformats.org/officeDocument/2006/relationships" xmlns:w="http://schemas.openxmlformats.org/wordprocessingml/2006/main">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20917895">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3933</Words>
  <Characters>21636</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UNDP</Company>
  <LinksUpToDate>false</LinksUpToDate>
  <CharactersWithSpaces>25518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Souleman Boukar</cp:lastModifiedBy>
  <cp:revision>2</cp:revision>
  <cp:lastPrinted>2010-03-27T17:45:00Z</cp:lastPrinted>
  <dcterms:created xsi:type="dcterms:W3CDTF">2010-03-31T13:45:00Z</dcterms:created>
  <dcterms:modified xsi:type="dcterms:W3CDTF">2010-03-31T13:45:00Z</dcterms:modified>
</cp:coreProperties>
</file>