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60" w:rsidRDefault="007E5D60" w:rsidP="007E5D60">
      <w:pPr>
        <w:pStyle w:val="ListParagraph"/>
        <w:numPr>
          <w:ilvl w:val="1"/>
          <w:numId w:val="2"/>
        </w:numPr>
        <w:rPr>
          <w:rFonts w:ascii="Times New Roman" w:hAnsi="Times New Roman"/>
          <w:b/>
          <w:sz w:val="18"/>
          <w:szCs w:val="18"/>
          <w:lang w:val="fr-FR"/>
        </w:rPr>
      </w:pPr>
      <w:r w:rsidRPr="000C1C6D">
        <w:rPr>
          <w:rFonts w:ascii="Times New Roman" w:hAnsi="Times New Roman"/>
          <w:b/>
          <w:sz w:val="18"/>
          <w:szCs w:val="18"/>
          <w:lang w:val="fr-FR"/>
        </w:rPr>
        <w:t xml:space="preserve">ETAT D’AVANCEMENT DU PROJET BDI/A-7    </w:t>
      </w:r>
    </w:p>
    <w:p w:rsidR="007E5D60" w:rsidRDefault="007E5D60" w:rsidP="007E5D60">
      <w:pPr>
        <w:pStyle w:val="ListParagraph"/>
        <w:ind w:left="0"/>
        <w:rPr>
          <w:rFonts w:ascii="Times New Roman" w:hAnsi="Times New Roman"/>
          <w:b/>
          <w:sz w:val="18"/>
          <w:szCs w:val="18"/>
          <w:lang w:val="fr-FR"/>
        </w:rPr>
      </w:pPr>
    </w:p>
    <w:tbl>
      <w:tblPr>
        <w:tblW w:w="10349"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402"/>
        <w:gridCol w:w="1945"/>
        <w:gridCol w:w="5002"/>
      </w:tblGrid>
      <w:tr w:rsidR="007E5D60" w:rsidRPr="007C7B1E" w:rsidTr="00841DF1">
        <w:trPr>
          <w:trHeight w:val="380"/>
        </w:trPr>
        <w:tc>
          <w:tcPr>
            <w:tcW w:w="5347" w:type="dxa"/>
            <w:gridSpan w:val="2"/>
            <w:vAlign w:val="center"/>
            <w:hideMark/>
          </w:tcPr>
          <w:p w:rsidR="007E5D60" w:rsidRPr="007C7B1E" w:rsidRDefault="007E5D60" w:rsidP="00841DF1">
            <w:pPr>
              <w:rPr>
                <w:rFonts w:ascii="Times New Roman" w:hAnsi="Times New Roman"/>
                <w:sz w:val="18"/>
                <w:szCs w:val="18"/>
                <w:lang w:val="fr-FR"/>
              </w:rPr>
            </w:pPr>
            <w:r w:rsidRPr="007C7B1E">
              <w:rPr>
                <w:rFonts w:ascii="Times New Roman" w:hAnsi="Times New Roman"/>
                <w:b/>
                <w:sz w:val="18"/>
                <w:szCs w:val="18"/>
                <w:lang w:val="fr-FR"/>
              </w:rPr>
              <w:t>Entités des NU chargées  de mise en œuvre :</w:t>
            </w:r>
            <w:r w:rsidRPr="007C7B1E">
              <w:rPr>
                <w:rFonts w:ascii="Times New Roman" w:hAnsi="Times New Roman"/>
                <w:sz w:val="18"/>
                <w:szCs w:val="18"/>
                <w:lang w:val="fr-FR"/>
              </w:rPr>
              <w:t xml:space="preserve"> </w:t>
            </w:r>
            <w:r w:rsidRPr="007C7B1E">
              <w:rPr>
                <w:rFonts w:ascii="Times New Roman" w:hAnsi="Times New Roman"/>
                <w:b/>
                <w:i/>
                <w:sz w:val="18"/>
                <w:szCs w:val="18"/>
                <w:lang w:val="fr-FR"/>
              </w:rPr>
              <w:t xml:space="preserve">PNUD </w:t>
            </w:r>
          </w:p>
        </w:tc>
        <w:tc>
          <w:tcPr>
            <w:tcW w:w="5002" w:type="dxa"/>
            <w:vAlign w:val="center"/>
            <w:hideMark/>
          </w:tcPr>
          <w:p w:rsidR="007E5D60" w:rsidRPr="007C7B1E" w:rsidRDefault="007E5D60" w:rsidP="00841DF1">
            <w:pPr>
              <w:rPr>
                <w:rFonts w:ascii="Times New Roman" w:hAnsi="Times New Roman"/>
                <w:sz w:val="18"/>
                <w:szCs w:val="18"/>
                <w:lang w:val="fr-FR"/>
              </w:rPr>
            </w:pPr>
            <w:r w:rsidRPr="007C7B1E">
              <w:rPr>
                <w:rFonts w:ascii="Times New Roman" w:hAnsi="Times New Roman"/>
                <w:b/>
                <w:sz w:val="18"/>
                <w:szCs w:val="18"/>
                <w:lang w:val="fr-FR"/>
              </w:rPr>
              <w:t xml:space="preserve">Domaine Prioritaire </w:t>
            </w:r>
            <w:r w:rsidRPr="007C7B1E">
              <w:rPr>
                <w:rFonts w:ascii="Times New Roman" w:hAnsi="Times New Roman"/>
                <w:sz w:val="18"/>
                <w:szCs w:val="18"/>
                <w:lang w:val="fr-FR"/>
              </w:rPr>
              <w:t xml:space="preserve">: Paix et  Gouvernance locale </w:t>
            </w:r>
          </w:p>
        </w:tc>
      </w:tr>
      <w:tr w:rsidR="007E5D60" w:rsidRPr="007C7B1E" w:rsidTr="00841DF1">
        <w:trPr>
          <w:trHeight w:val="340"/>
        </w:trPr>
        <w:tc>
          <w:tcPr>
            <w:tcW w:w="10349" w:type="dxa"/>
            <w:gridSpan w:val="3"/>
            <w:vAlign w:val="center"/>
            <w:hideMark/>
          </w:tcPr>
          <w:p w:rsidR="007E5D60" w:rsidRPr="007C7B1E" w:rsidRDefault="007E5D60" w:rsidP="00841DF1">
            <w:pPr>
              <w:rPr>
                <w:rFonts w:ascii="Times New Roman" w:hAnsi="Times New Roman"/>
                <w:sz w:val="18"/>
                <w:szCs w:val="18"/>
                <w:lang w:val="fr-FR"/>
              </w:rPr>
            </w:pPr>
            <w:r w:rsidRPr="007C7B1E">
              <w:rPr>
                <w:rFonts w:ascii="Times New Roman" w:hAnsi="Times New Roman"/>
                <w:b/>
                <w:sz w:val="18"/>
                <w:szCs w:val="18"/>
                <w:lang w:val="fr-FR"/>
              </w:rPr>
              <w:t>Ministère de tutelle :</w:t>
            </w:r>
            <w:r w:rsidRPr="007C7B1E">
              <w:rPr>
                <w:rFonts w:ascii="Times New Roman" w:hAnsi="Times New Roman"/>
                <w:sz w:val="18"/>
                <w:szCs w:val="18"/>
                <w:lang w:val="fr-FR"/>
              </w:rPr>
              <w:t xml:space="preserve"> </w:t>
            </w:r>
            <w:r w:rsidRPr="007C7B1E">
              <w:rPr>
                <w:rFonts w:ascii="Times New Roman" w:hAnsi="Times New Roman"/>
                <w:bCs/>
                <w:sz w:val="18"/>
                <w:szCs w:val="18"/>
                <w:lang w:val="fr-FR"/>
              </w:rPr>
              <w:t>Ministère de l’Intérieur et du Développement communal.</w:t>
            </w:r>
          </w:p>
        </w:tc>
      </w:tr>
      <w:tr w:rsidR="007E5D60" w:rsidRPr="007C7B1E" w:rsidTr="00841DF1">
        <w:trPr>
          <w:trHeight w:val="340"/>
        </w:trPr>
        <w:tc>
          <w:tcPr>
            <w:tcW w:w="3402" w:type="dxa"/>
            <w:shd w:val="clear" w:color="auto" w:fill="FFFF99"/>
            <w:hideMark/>
          </w:tcPr>
          <w:p w:rsidR="007E5D60" w:rsidRPr="007C7B1E" w:rsidRDefault="007E5D60" w:rsidP="00841DF1">
            <w:pPr>
              <w:rPr>
                <w:rFonts w:ascii="Times New Roman" w:hAnsi="Times New Roman"/>
                <w:sz w:val="18"/>
                <w:szCs w:val="18"/>
                <w:lang w:val="fr-FR"/>
              </w:rPr>
            </w:pPr>
            <w:r w:rsidRPr="007C7B1E">
              <w:rPr>
                <w:rFonts w:ascii="Times New Roman" w:hAnsi="Times New Roman"/>
                <w:b/>
                <w:sz w:val="18"/>
                <w:szCs w:val="18"/>
                <w:lang w:val="fr-FR"/>
              </w:rPr>
              <w:t xml:space="preserve">Titre du projet </w:t>
            </w:r>
          </w:p>
        </w:tc>
        <w:tc>
          <w:tcPr>
            <w:tcW w:w="6947" w:type="dxa"/>
            <w:gridSpan w:val="2"/>
            <w:shd w:val="clear" w:color="auto" w:fill="FFFF99"/>
            <w:hideMark/>
          </w:tcPr>
          <w:p w:rsidR="007E5D60" w:rsidRPr="007C7B1E" w:rsidRDefault="007E5D60" w:rsidP="00841DF1">
            <w:pPr>
              <w:rPr>
                <w:rFonts w:ascii="Times New Roman" w:hAnsi="Times New Roman"/>
                <w:b/>
                <w:sz w:val="18"/>
                <w:szCs w:val="18"/>
                <w:lang w:val="fr-FR"/>
              </w:rPr>
            </w:pPr>
            <w:r w:rsidRPr="007C7B1E">
              <w:rPr>
                <w:rFonts w:ascii="Times New Roman" w:hAnsi="Times New Roman"/>
                <w:b/>
                <w:sz w:val="18"/>
                <w:szCs w:val="18"/>
                <w:lang w:val="fr-FR"/>
              </w:rPr>
              <w:t>Appui à l’amélioration de la qualité des services publics locaux.</w:t>
            </w:r>
            <w:r w:rsidRPr="007C7B1E">
              <w:rPr>
                <w:rFonts w:ascii="Times New Roman" w:hAnsi="Times New Roman"/>
                <w:b/>
                <w:bCs/>
                <w:sz w:val="18"/>
                <w:szCs w:val="18"/>
                <w:lang w:val="fr-FR"/>
              </w:rPr>
              <w:t xml:space="preserve"> </w:t>
            </w:r>
          </w:p>
        </w:tc>
      </w:tr>
      <w:tr w:rsidR="007E5D60" w:rsidRPr="007C7B1E" w:rsidTr="00841DF1">
        <w:trPr>
          <w:trHeight w:val="335"/>
        </w:trPr>
        <w:tc>
          <w:tcPr>
            <w:tcW w:w="3402" w:type="dxa"/>
            <w:hideMark/>
          </w:tcPr>
          <w:p w:rsidR="007E5D60" w:rsidRPr="007C7B1E" w:rsidRDefault="007E5D60" w:rsidP="00841DF1">
            <w:pPr>
              <w:rPr>
                <w:rFonts w:ascii="Times New Roman" w:hAnsi="Times New Roman"/>
                <w:b/>
                <w:sz w:val="18"/>
                <w:szCs w:val="18"/>
                <w:lang w:val="fr-FR"/>
              </w:rPr>
            </w:pPr>
            <w:r w:rsidRPr="007C7B1E">
              <w:rPr>
                <w:rFonts w:ascii="Times New Roman" w:hAnsi="Times New Roman"/>
                <w:b/>
                <w:sz w:val="18"/>
                <w:szCs w:val="18"/>
                <w:lang w:val="fr-FR"/>
              </w:rPr>
              <w:t>Couverture géographique</w:t>
            </w:r>
          </w:p>
        </w:tc>
        <w:tc>
          <w:tcPr>
            <w:tcW w:w="6947" w:type="dxa"/>
            <w:gridSpan w:val="2"/>
            <w:hideMark/>
          </w:tcPr>
          <w:p w:rsidR="007E5D60" w:rsidRPr="007C7B1E" w:rsidRDefault="007E5D60" w:rsidP="00841DF1">
            <w:pPr>
              <w:rPr>
                <w:rFonts w:ascii="Times New Roman" w:hAnsi="Times New Roman"/>
                <w:sz w:val="18"/>
                <w:szCs w:val="18"/>
                <w:lang w:val="fr-FR"/>
              </w:rPr>
            </w:pPr>
            <w:r w:rsidRPr="007C7B1E">
              <w:rPr>
                <w:rFonts w:ascii="Times New Roman" w:hAnsi="Times New Roman"/>
                <w:sz w:val="18"/>
                <w:szCs w:val="18"/>
                <w:lang w:val="fr-FR"/>
              </w:rPr>
              <w:t xml:space="preserve">Tout le pays </w:t>
            </w:r>
          </w:p>
        </w:tc>
      </w:tr>
      <w:tr w:rsidR="007E5D60" w:rsidRPr="007C7B1E" w:rsidTr="00841DF1">
        <w:trPr>
          <w:trHeight w:val="335"/>
        </w:trPr>
        <w:tc>
          <w:tcPr>
            <w:tcW w:w="3402" w:type="dxa"/>
            <w:hideMark/>
          </w:tcPr>
          <w:p w:rsidR="007E5D60" w:rsidRPr="007C7B1E" w:rsidRDefault="007E5D60" w:rsidP="00841DF1">
            <w:pPr>
              <w:rPr>
                <w:rFonts w:ascii="Times New Roman" w:hAnsi="Times New Roman"/>
                <w:b/>
                <w:sz w:val="18"/>
                <w:szCs w:val="18"/>
                <w:lang w:val="fr-FR"/>
              </w:rPr>
            </w:pPr>
            <w:r w:rsidRPr="007C7B1E">
              <w:rPr>
                <w:rFonts w:ascii="Times New Roman" w:hAnsi="Times New Roman"/>
                <w:b/>
                <w:sz w:val="18"/>
                <w:szCs w:val="18"/>
                <w:lang w:val="fr-FR"/>
              </w:rPr>
              <w:t>Budget approuvé</w:t>
            </w:r>
          </w:p>
        </w:tc>
        <w:tc>
          <w:tcPr>
            <w:tcW w:w="6947" w:type="dxa"/>
            <w:gridSpan w:val="2"/>
            <w:hideMark/>
          </w:tcPr>
          <w:p w:rsidR="007E5D60" w:rsidRPr="007C7B1E" w:rsidRDefault="007E5D60" w:rsidP="00841DF1">
            <w:pPr>
              <w:rPr>
                <w:rFonts w:ascii="Times New Roman" w:hAnsi="Times New Roman"/>
                <w:sz w:val="18"/>
                <w:szCs w:val="18"/>
                <w:lang w:val="fr-FR"/>
              </w:rPr>
            </w:pPr>
            <w:r w:rsidRPr="007C7B1E">
              <w:rPr>
                <w:rFonts w:ascii="Times New Roman" w:hAnsi="Times New Roman"/>
                <w:sz w:val="18"/>
                <w:szCs w:val="18"/>
                <w:lang w:val="fr-FR"/>
              </w:rPr>
              <w:t>USD 3,000.000</w:t>
            </w:r>
          </w:p>
        </w:tc>
      </w:tr>
      <w:tr w:rsidR="007E5D60" w:rsidRPr="007C7B1E" w:rsidTr="00841DF1">
        <w:trPr>
          <w:trHeight w:val="167"/>
        </w:trPr>
        <w:tc>
          <w:tcPr>
            <w:tcW w:w="3402" w:type="dxa"/>
            <w:hideMark/>
          </w:tcPr>
          <w:p w:rsidR="007E5D60" w:rsidRPr="007C7B1E" w:rsidRDefault="007E5D60" w:rsidP="00841DF1">
            <w:pPr>
              <w:rPr>
                <w:rFonts w:ascii="Times New Roman" w:hAnsi="Times New Roman"/>
                <w:b/>
                <w:sz w:val="18"/>
                <w:szCs w:val="18"/>
                <w:lang w:val="fr-FR"/>
              </w:rPr>
            </w:pPr>
            <w:r w:rsidRPr="007C7B1E">
              <w:rPr>
                <w:rFonts w:ascii="Times New Roman" w:hAnsi="Times New Roman"/>
                <w:b/>
                <w:sz w:val="18"/>
                <w:szCs w:val="18"/>
                <w:lang w:val="fr-FR"/>
              </w:rPr>
              <w:t>Date d’approbation/NY</w:t>
            </w:r>
          </w:p>
        </w:tc>
        <w:tc>
          <w:tcPr>
            <w:tcW w:w="6947" w:type="dxa"/>
            <w:gridSpan w:val="2"/>
            <w:hideMark/>
          </w:tcPr>
          <w:p w:rsidR="007E5D60" w:rsidRPr="007C7B1E" w:rsidRDefault="007E5D60" w:rsidP="00841DF1">
            <w:pPr>
              <w:rPr>
                <w:rFonts w:ascii="Times New Roman" w:hAnsi="Times New Roman"/>
                <w:sz w:val="18"/>
                <w:szCs w:val="18"/>
                <w:lang w:val="fr-FR"/>
              </w:rPr>
            </w:pPr>
            <w:r w:rsidRPr="007C7B1E">
              <w:rPr>
                <w:rFonts w:ascii="Times New Roman" w:hAnsi="Times New Roman"/>
                <w:sz w:val="18"/>
                <w:szCs w:val="18"/>
                <w:lang w:val="fr-FR"/>
              </w:rPr>
              <w:t>28 avril 2008</w:t>
            </w:r>
          </w:p>
        </w:tc>
      </w:tr>
      <w:tr w:rsidR="007E5D60" w:rsidRPr="007C7B1E" w:rsidTr="00841DF1">
        <w:trPr>
          <w:trHeight w:val="340"/>
        </w:trPr>
        <w:tc>
          <w:tcPr>
            <w:tcW w:w="3402" w:type="dxa"/>
            <w:hideMark/>
          </w:tcPr>
          <w:p w:rsidR="007E5D60" w:rsidRPr="007C7B1E" w:rsidRDefault="007E5D60" w:rsidP="00841DF1">
            <w:pPr>
              <w:rPr>
                <w:rFonts w:ascii="Times New Roman" w:hAnsi="Times New Roman"/>
                <w:sz w:val="18"/>
                <w:szCs w:val="18"/>
                <w:lang w:val="fr-FR"/>
              </w:rPr>
            </w:pPr>
            <w:r w:rsidRPr="007C7B1E">
              <w:rPr>
                <w:rFonts w:ascii="Times New Roman" w:hAnsi="Times New Roman"/>
                <w:b/>
                <w:sz w:val="18"/>
                <w:szCs w:val="18"/>
                <w:lang w:val="fr-FR"/>
              </w:rPr>
              <w:t xml:space="preserve">Date de démarrage : </w:t>
            </w:r>
            <w:r w:rsidRPr="007C7B1E">
              <w:rPr>
                <w:rFonts w:ascii="Times New Roman" w:hAnsi="Times New Roman"/>
                <w:sz w:val="18"/>
                <w:szCs w:val="18"/>
                <w:lang w:val="fr-FR"/>
              </w:rPr>
              <w:t>17 Juillet 2008</w:t>
            </w:r>
          </w:p>
        </w:tc>
        <w:tc>
          <w:tcPr>
            <w:tcW w:w="6947" w:type="dxa"/>
            <w:gridSpan w:val="2"/>
            <w:hideMark/>
          </w:tcPr>
          <w:p w:rsidR="007E5D60" w:rsidRPr="007C7B1E" w:rsidRDefault="007E5D60" w:rsidP="00841DF1">
            <w:pPr>
              <w:rPr>
                <w:rFonts w:ascii="Times New Roman" w:hAnsi="Times New Roman"/>
                <w:sz w:val="18"/>
                <w:szCs w:val="18"/>
                <w:lang w:val="fr-FR"/>
              </w:rPr>
            </w:pPr>
            <w:r w:rsidRPr="007C7B1E">
              <w:rPr>
                <w:rFonts w:ascii="Times New Roman" w:hAnsi="Times New Roman"/>
                <w:b/>
                <w:sz w:val="18"/>
                <w:szCs w:val="18"/>
                <w:lang w:val="fr-FR"/>
              </w:rPr>
              <w:t xml:space="preserve">Date prévue pour la clôture : </w:t>
            </w:r>
            <w:r w:rsidRPr="007C7B1E">
              <w:rPr>
                <w:rFonts w:ascii="Times New Roman" w:hAnsi="Times New Roman"/>
                <w:sz w:val="18"/>
                <w:szCs w:val="18"/>
                <w:lang w:val="fr-FR"/>
              </w:rPr>
              <w:t>30.04.2010</w:t>
            </w:r>
          </w:p>
        </w:tc>
      </w:tr>
      <w:tr w:rsidR="007E5D60" w:rsidRPr="007C7B1E" w:rsidTr="00841DF1">
        <w:trPr>
          <w:trHeight w:val="327"/>
        </w:trPr>
        <w:tc>
          <w:tcPr>
            <w:tcW w:w="3402" w:type="dxa"/>
            <w:hideMark/>
          </w:tcPr>
          <w:p w:rsidR="007E5D60" w:rsidRPr="007C7B1E" w:rsidRDefault="007E5D60" w:rsidP="00841DF1">
            <w:pPr>
              <w:rPr>
                <w:rFonts w:ascii="Times New Roman" w:hAnsi="Times New Roman"/>
                <w:b/>
                <w:sz w:val="18"/>
                <w:szCs w:val="18"/>
                <w:lang w:val="fr-FR"/>
              </w:rPr>
            </w:pPr>
            <w:r w:rsidRPr="007C7B1E">
              <w:rPr>
                <w:rFonts w:ascii="Times New Roman" w:hAnsi="Times New Roman"/>
                <w:b/>
                <w:sz w:val="18"/>
                <w:szCs w:val="18"/>
                <w:lang w:val="fr-FR"/>
              </w:rPr>
              <w:t>Retard  par rapport à la date initialement prévue pour la clôture </w:t>
            </w:r>
            <w:r w:rsidRPr="007C7B1E">
              <w:rPr>
                <w:rFonts w:ascii="Times New Roman" w:hAnsi="Times New Roman"/>
                <w:sz w:val="18"/>
                <w:szCs w:val="18"/>
                <w:lang w:val="fr-FR"/>
              </w:rPr>
              <w:t>: 9,5 mois</w:t>
            </w:r>
          </w:p>
        </w:tc>
        <w:tc>
          <w:tcPr>
            <w:tcW w:w="6947" w:type="dxa"/>
            <w:gridSpan w:val="2"/>
            <w:hideMark/>
          </w:tcPr>
          <w:p w:rsidR="007E5D60" w:rsidRPr="007C7B1E" w:rsidRDefault="007E5D60" w:rsidP="00841DF1">
            <w:pPr>
              <w:jc w:val="both"/>
              <w:rPr>
                <w:rFonts w:ascii="Times New Roman" w:hAnsi="Times New Roman"/>
                <w:sz w:val="18"/>
                <w:szCs w:val="18"/>
                <w:lang w:val="fr-FR"/>
              </w:rPr>
            </w:pPr>
            <w:r w:rsidRPr="007C7B1E">
              <w:rPr>
                <w:rFonts w:ascii="Times New Roman" w:hAnsi="Times New Roman"/>
                <w:b/>
                <w:sz w:val="18"/>
                <w:szCs w:val="18"/>
                <w:lang w:val="fr-FR"/>
              </w:rPr>
              <w:t xml:space="preserve">Commentaire sur le retard : </w:t>
            </w:r>
            <w:r w:rsidRPr="007C7B1E">
              <w:rPr>
                <w:rFonts w:ascii="Times New Roman" w:hAnsi="Times New Roman"/>
                <w:sz w:val="18"/>
                <w:szCs w:val="18"/>
                <w:lang w:val="fr-FR"/>
              </w:rPr>
              <w:t>la mise en place tardive de l’unité de gestion, l’attribution tardive des marchés de construction ainsi que plusieurs relances d’appel d’offres pour le recrutement des agences et des consultants sont à l’origine de 9,5 mois de retard.</w:t>
            </w:r>
            <w:r w:rsidRPr="007C7B1E">
              <w:rPr>
                <w:rFonts w:ascii="Times New Roman" w:hAnsi="Times New Roman"/>
                <w:b/>
                <w:sz w:val="18"/>
                <w:szCs w:val="18"/>
                <w:lang w:val="fr-FR"/>
              </w:rPr>
              <w:t xml:space="preserve"> </w:t>
            </w:r>
          </w:p>
        </w:tc>
      </w:tr>
    </w:tbl>
    <w:p w:rsidR="007E5D60" w:rsidRDefault="007E5D60" w:rsidP="007E5D60">
      <w:pPr>
        <w:spacing w:after="0" w:line="240" w:lineRule="auto"/>
        <w:contextualSpacing/>
        <w:rPr>
          <w:rFonts w:ascii="Times New Roman" w:hAnsi="Times New Roman"/>
          <w:b/>
          <w:color w:val="000000"/>
          <w:sz w:val="18"/>
          <w:szCs w:val="18"/>
          <w:lang w:val="fr-FR"/>
        </w:rPr>
      </w:pPr>
    </w:p>
    <w:p w:rsidR="007E5D60" w:rsidRPr="000C1C6D" w:rsidRDefault="007E5D60" w:rsidP="007E5D60">
      <w:pPr>
        <w:rPr>
          <w:rFonts w:ascii="Times New Roman" w:hAnsi="Times New Roman"/>
          <w:b/>
          <w:color w:val="000000"/>
          <w:sz w:val="18"/>
          <w:szCs w:val="18"/>
          <w:lang w:val="fr-FR"/>
        </w:rPr>
      </w:pPr>
      <w:r w:rsidRPr="000C1C6D">
        <w:rPr>
          <w:rFonts w:ascii="Times New Roman" w:hAnsi="Times New Roman"/>
          <w:b/>
          <w:color w:val="000000"/>
          <w:sz w:val="18"/>
          <w:szCs w:val="18"/>
          <w:lang w:val="fr-FR"/>
        </w:rPr>
        <w:t>Réalisations quantitatives par rapport aux objectifs et aux résultats</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3402"/>
        <w:gridCol w:w="5103"/>
      </w:tblGrid>
      <w:tr w:rsidR="007E5D60" w:rsidRPr="000C1C6D" w:rsidTr="00841DF1">
        <w:tc>
          <w:tcPr>
            <w:tcW w:w="1844" w:type="dxa"/>
            <w:tcBorders>
              <w:top w:val="double" w:sz="6" w:space="0" w:color="auto"/>
              <w:left w:val="double" w:sz="6" w:space="0" w:color="auto"/>
              <w:bottom w:val="single" w:sz="4" w:space="0" w:color="auto"/>
              <w:right w:val="single" w:sz="4" w:space="0" w:color="auto"/>
            </w:tcBorders>
          </w:tcPr>
          <w:p w:rsidR="007E5D60" w:rsidRPr="000C1C6D" w:rsidRDefault="007E5D60" w:rsidP="00841DF1">
            <w:pPr>
              <w:jc w:val="center"/>
              <w:rPr>
                <w:rFonts w:ascii="Times New Roman" w:hAnsi="Times New Roman"/>
                <w:b/>
                <w:color w:val="000000"/>
                <w:sz w:val="18"/>
                <w:szCs w:val="18"/>
                <w:lang w:val="fr-FR"/>
              </w:rPr>
            </w:pPr>
            <w:r w:rsidRPr="000C1C6D">
              <w:rPr>
                <w:rFonts w:ascii="Times New Roman" w:hAnsi="Times New Roman"/>
                <w:b/>
                <w:color w:val="000000"/>
                <w:sz w:val="18"/>
                <w:szCs w:val="18"/>
                <w:lang w:val="fr-FR"/>
              </w:rPr>
              <w:t>Résultats attendus</w:t>
            </w:r>
          </w:p>
        </w:tc>
        <w:tc>
          <w:tcPr>
            <w:tcW w:w="3402" w:type="dxa"/>
            <w:tcBorders>
              <w:top w:val="double" w:sz="6" w:space="0" w:color="auto"/>
              <w:left w:val="single" w:sz="4" w:space="0" w:color="auto"/>
              <w:bottom w:val="single" w:sz="4" w:space="0" w:color="auto"/>
              <w:right w:val="single" w:sz="4" w:space="0" w:color="auto"/>
            </w:tcBorders>
          </w:tcPr>
          <w:p w:rsidR="007E5D60" w:rsidRPr="000C1C6D" w:rsidRDefault="007E5D60" w:rsidP="00841DF1">
            <w:pPr>
              <w:jc w:val="center"/>
              <w:rPr>
                <w:rFonts w:ascii="Times New Roman" w:hAnsi="Times New Roman"/>
                <w:b/>
                <w:color w:val="000000"/>
                <w:sz w:val="18"/>
                <w:szCs w:val="18"/>
                <w:lang w:val="fr-FR"/>
              </w:rPr>
            </w:pPr>
            <w:r w:rsidRPr="000C1C6D">
              <w:rPr>
                <w:rFonts w:ascii="Times New Roman" w:hAnsi="Times New Roman"/>
                <w:b/>
                <w:color w:val="000000"/>
                <w:sz w:val="18"/>
                <w:szCs w:val="18"/>
                <w:lang w:val="fr-FR"/>
              </w:rPr>
              <w:t>A</w:t>
            </w:r>
            <w:proofErr w:type="spellStart"/>
            <w:r w:rsidRPr="000C1C6D">
              <w:rPr>
                <w:rFonts w:ascii="Times New Roman" w:hAnsi="Times New Roman"/>
                <w:b/>
                <w:color w:val="000000"/>
                <w:sz w:val="18"/>
                <w:szCs w:val="18"/>
              </w:rPr>
              <w:t>ctivités</w:t>
            </w:r>
            <w:proofErr w:type="spellEnd"/>
            <w:r w:rsidRPr="000C1C6D">
              <w:rPr>
                <w:rFonts w:ascii="Times New Roman" w:hAnsi="Times New Roman"/>
                <w:b/>
                <w:color w:val="000000"/>
                <w:sz w:val="18"/>
                <w:szCs w:val="18"/>
              </w:rPr>
              <w:t xml:space="preserve"> </w:t>
            </w:r>
            <w:proofErr w:type="spellStart"/>
            <w:r w:rsidRPr="000C1C6D">
              <w:rPr>
                <w:rFonts w:ascii="Times New Roman" w:hAnsi="Times New Roman"/>
                <w:b/>
                <w:color w:val="000000"/>
                <w:sz w:val="18"/>
                <w:szCs w:val="18"/>
              </w:rPr>
              <w:t>prévues</w:t>
            </w:r>
            <w:proofErr w:type="spellEnd"/>
          </w:p>
        </w:tc>
        <w:tc>
          <w:tcPr>
            <w:tcW w:w="5103" w:type="dxa"/>
            <w:tcBorders>
              <w:top w:val="double" w:sz="6" w:space="0" w:color="auto"/>
              <w:left w:val="single" w:sz="4" w:space="0" w:color="auto"/>
              <w:bottom w:val="single" w:sz="4" w:space="0" w:color="auto"/>
              <w:right w:val="double" w:sz="6" w:space="0" w:color="auto"/>
            </w:tcBorders>
          </w:tcPr>
          <w:p w:rsidR="007E5D60" w:rsidRPr="000C1C6D" w:rsidRDefault="007E5D60" w:rsidP="00841DF1">
            <w:pPr>
              <w:jc w:val="center"/>
              <w:rPr>
                <w:rFonts w:ascii="Times New Roman" w:hAnsi="Times New Roman"/>
                <w:b/>
                <w:color w:val="000000"/>
                <w:sz w:val="18"/>
                <w:szCs w:val="18"/>
                <w:lang w:val="fr-FR"/>
              </w:rPr>
            </w:pPr>
            <w:r w:rsidRPr="000C1C6D">
              <w:rPr>
                <w:rFonts w:ascii="Times New Roman" w:hAnsi="Times New Roman"/>
                <w:b/>
                <w:color w:val="000000"/>
                <w:sz w:val="18"/>
                <w:szCs w:val="18"/>
                <w:lang w:val="fr-FR"/>
              </w:rPr>
              <w:t>Principales réalisations et leur impact.</w:t>
            </w:r>
          </w:p>
        </w:tc>
      </w:tr>
      <w:tr w:rsidR="007E5D60" w:rsidRPr="000C1C6D" w:rsidTr="00841DF1">
        <w:trPr>
          <w:trHeight w:val="888"/>
        </w:trPr>
        <w:tc>
          <w:tcPr>
            <w:tcW w:w="1844" w:type="dxa"/>
            <w:tcBorders>
              <w:top w:val="single" w:sz="4" w:space="0" w:color="auto"/>
              <w:left w:val="double" w:sz="6" w:space="0" w:color="auto"/>
              <w:bottom w:val="single" w:sz="4" w:space="0" w:color="auto"/>
              <w:right w:val="single" w:sz="4" w:space="0" w:color="auto"/>
            </w:tcBorders>
          </w:tcPr>
          <w:p w:rsidR="007E5D60" w:rsidRPr="000C1C6D" w:rsidRDefault="007E5D60" w:rsidP="00841DF1">
            <w:pPr>
              <w:jc w:val="both"/>
              <w:rPr>
                <w:rFonts w:ascii="Times New Roman" w:hAnsi="Times New Roman"/>
                <w:color w:val="000000"/>
                <w:sz w:val="18"/>
                <w:szCs w:val="18"/>
                <w:lang w:val="fr-FR"/>
              </w:rPr>
            </w:pPr>
            <w:r w:rsidRPr="000C1C6D">
              <w:rPr>
                <w:rFonts w:ascii="Times New Roman" w:hAnsi="Times New Roman"/>
                <w:b/>
                <w:color w:val="000000"/>
                <w:sz w:val="18"/>
                <w:szCs w:val="18"/>
                <w:u w:val="single"/>
                <w:lang w:val="fr-FR"/>
              </w:rPr>
              <w:t>Résultat 1</w:t>
            </w:r>
            <w:r w:rsidRPr="000C1C6D">
              <w:rPr>
                <w:rFonts w:ascii="Times New Roman" w:hAnsi="Times New Roman"/>
                <w:b/>
                <w:color w:val="000000"/>
                <w:sz w:val="18"/>
                <w:szCs w:val="18"/>
                <w:lang w:val="fr-FR"/>
              </w:rPr>
              <w:t>:</w:t>
            </w:r>
            <w:r w:rsidRPr="000C1C6D">
              <w:rPr>
                <w:rFonts w:ascii="Times New Roman" w:hAnsi="Times New Roman"/>
                <w:bCs/>
                <w:color w:val="000000"/>
                <w:sz w:val="18"/>
                <w:szCs w:val="18"/>
                <w:lang w:val="fr-FR"/>
              </w:rPr>
              <w:t>La clarification des rôles et responsabilités des acteurs de la décentralisation.</w:t>
            </w:r>
          </w:p>
        </w:tc>
        <w:tc>
          <w:tcPr>
            <w:tcW w:w="3402" w:type="dxa"/>
            <w:tcBorders>
              <w:top w:val="single" w:sz="4" w:space="0" w:color="auto"/>
              <w:left w:val="single" w:sz="4" w:space="0" w:color="auto"/>
              <w:bottom w:val="single" w:sz="4" w:space="0" w:color="auto"/>
              <w:right w:val="single" w:sz="4" w:space="0" w:color="auto"/>
            </w:tcBorders>
          </w:tcPr>
          <w:p w:rsidR="007E5D60" w:rsidRPr="00794EEA" w:rsidRDefault="007E5D60" w:rsidP="007E5D60">
            <w:pPr>
              <w:numPr>
                <w:ilvl w:val="0"/>
                <w:numId w:val="4"/>
              </w:numPr>
              <w:spacing w:after="0" w:line="240" w:lineRule="auto"/>
              <w:jc w:val="both"/>
              <w:rPr>
                <w:rFonts w:ascii="Times New Roman" w:hAnsi="Times New Roman"/>
                <w:color w:val="000000"/>
                <w:sz w:val="18"/>
                <w:szCs w:val="18"/>
                <w:lang w:val="fr-FR"/>
              </w:rPr>
            </w:pPr>
            <w:r w:rsidRPr="00794EEA">
              <w:rPr>
                <w:rFonts w:ascii="Times New Roman" w:hAnsi="Times New Roman"/>
                <w:color w:val="000000"/>
                <w:spacing w:val="-3"/>
                <w:sz w:val="18"/>
                <w:szCs w:val="18"/>
                <w:lang w:val="fr-FR"/>
              </w:rPr>
              <w:t xml:space="preserve">Organisation de l’atelier national de synthèse. </w:t>
            </w:r>
          </w:p>
          <w:p w:rsidR="007E5D60" w:rsidRPr="000C1C6D" w:rsidRDefault="007E5D60" w:rsidP="007E5D60">
            <w:pPr>
              <w:numPr>
                <w:ilvl w:val="0"/>
                <w:numId w:val="4"/>
              </w:numPr>
              <w:spacing w:after="0" w:line="240" w:lineRule="auto"/>
              <w:jc w:val="both"/>
              <w:rPr>
                <w:rFonts w:ascii="Times New Roman" w:hAnsi="Times New Roman"/>
                <w:color w:val="000000"/>
                <w:sz w:val="18"/>
                <w:szCs w:val="18"/>
                <w:lang w:val="fr-FR"/>
              </w:rPr>
            </w:pPr>
            <w:r w:rsidRPr="000C1C6D">
              <w:rPr>
                <w:rFonts w:ascii="Times New Roman" w:hAnsi="Times New Roman"/>
                <w:color w:val="000000"/>
                <w:spacing w:val="-3"/>
                <w:sz w:val="18"/>
                <w:szCs w:val="18"/>
                <w:lang w:val="fr-FR"/>
              </w:rPr>
              <w:t>Appui à l’</w:t>
            </w:r>
            <w:r>
              <w:rPr>
                <w:rFonts w:ascii="Times New Roman" w:hAnsi="Times New Roman"/>
                <w:color w:val="000000"/>
                <w:spacing w:val="-3"/>
                <w:sz w:val="18"/>
                <w:szCs w:val="18"/>
                <w:lang w:val="fr-FR"/>
              </w:rPr>
              <w:t>A</w:t>
            </w:r>
            <w:r w:rsidRPr="000C1C6D">
              <w:rPr>
                <w:rFonts w:ascii="Times New Roman" w:hAnsi="Times New Roman"/>
                <w:color w:val="000000"/>
                <w:spacing w:val="-3"/>
                <w:sz w:val="18"/>
                <w:szCs w:val="18"/>
                <w:lang w:val="fr-FR"/>
              </w:rPr>
              <w:t xml:space="preserve">ssociation des </w:t>
            </w:r>
            <w:r>
              <w:rPr>
                <w:rFonts w:ascii="Times New Roman" w:hAnsi="Times New Roman"/>
                <w:color w:val="000000"/>
                <w:spacing w:val="-3"/>
                <w:sz w:val="18"/>
                <w:szCs w:val="18"/>
                <w:lang w:val="fr-FR"/>
              </w:rPr>
              <w:t>E</w:t>
            </w:r>
            <w:r w:rsidRPr="000C1C6D">
              <w:rPr>
                <w:rFonts w:ascii="Times New Roman" w:hAnsi="Times New Roman"/>
                <w:color w:val="000000"/>
                <w:spacing w:val="-3"/>
                <w:sz w:val="18"/>
                <w:szCs w:val="18"/>
                <w:lang w:val="fr-FR"/>
              </w:rPr>
              <w:t xml:space="preserve">lues </w:t>
            </w:r>
            <w:r>
              <w:rPr>
                <w:rFonts w:ascii="Times New Roman" w:hAnsi="Times New Roman"/>
                <w:color w:val="000000"/>
                <w:spacing w:val="-3"/>
                <w:sz w:val="18"/>
                <w:szCs w:val="18"/>
                <w:lang w:val="fr-FR"/>
              </w:rPr>
              <w:t>L</w:t>
            </w:r>
            <w:r w:rsidRPr="000C1C6D">
              <w:rPr>
                <w:rFonts w:ascii="Times New Roman" w:hAnsi="Times New Roman"/>
                <w:color w:val="000000"/>
                <w:spacing w:val="-3"/>
                <w:sz w:val="18"/>
                <w:szCs w:val="18"/>
                <w:lang w:val="fr-FR"/>
              </w:rPr>
              <w:t>ocales.</w:t>
            </w:r>
          </w:p>
          <w:p w:rsidR="007E5D60" w:rsidRPr="000C1C6D" w:rsidRDefault="007E5D60" w:rsidP="00841DF1">
            <w:pPr>
              <w:spacing w:after="0" w:line="240" w:lineRule="auto"/>
              <w:ind w:left="360"/>
              <w:jc w:val="both"/>
              <w:rPr>
                <w:rFonts w:ascii="Times New Roman" w:hAnsi="Times New Roman"/>
                <w:color w:val="000000"/>
                <w:sz w:val="18"/>
                <w:szCs w:val="18"/>
                <w:lang w:val="fr-FR"/>
              </w:rPr>
            </w:pPr>
          </w:p>
        </w:tc>
        <w:tc>
          <w:tcPr>
            <w:tcW w:w="5103" w:type="dxa"/>
            <w:tcBorders>
              <w:top w:val="single" w:sz="4" w:space="0" w:color="auto"/>
              <w:left w:val="single" w:sz="4" w:space="0" w:color="auto"/>
              <w:bottom w:val="single" w:sz="4" w:space="0" w:color="auto"/>
              <w:right w:val="double" w:sz="6" w:space="0" w:color="auto"/>
            </w:tcBorders>
          </w:tcPr>
          <w:p w:rsidR="007E5D60" w:rsidRPr="000C1C6D" w:rsidRDefault="007E5D60" w:rsidP="007E5D60">
            <w:pPr>
              <w:numPr>
                <w:ilvl w:val="0"/>
                <w:numId w:val="4"/>
              </w:numPr>
              <w:spacing w:after="0" w:line="240" w:lineRule="auto"/>
              <w:jc w:val="both"/>
              <w:rPr>
                <w:rFonts w:ascii="Times New Roman" w:hAnsi="Times New Roman"/>
                <w:color w:val="000000"/>
                <w:sz w:val="18"/>
                <w:szCs w:val="18"/>
                <w:lang w:val="fr-FR"/>
              </w:rPr>
            </w:pPr>
            <w:r w:rsidRPr="000C1C6D">
              <w:rPr>
                <w:rFonts w:ascii="Times New Roman" w:hAnsi="Times New Roman"/>
                <w:color w:val="000000"/>
                <w:sz w:val="18"/>
                <w:szCs w:val="18"/>
                <w:lang w:val="fr-FR"/>
              </w:rPr>
              <w:t>Les rôles et responsabilités des acteurs de la décentralisation ont été mieux compris et validés à travers un atelier national qui a réuni 82 participants provenant de plusieurs horizons.</w:t>
            </w:r>
          </w:p>
          <w:p w:rsidR="007E5D60" w:rsidRPr="000C1C6D" w:rsidRDefault="007E5D60" w:rsidP="007E5D60">
            <w:pPr>
              <w:numPr>
                <w:ilvl w:val="0"/>
                <w:numId w:val="4"/>
              </w:numPr>
              <w:spacing w:after="0" w:line="240" w:lineRule="auto"/>
              <w:jc w:val="both"/>
              <w:rPr>
                <w:rFonts w:ascii="Times New Roman" w:hAnsi="Times New Roman"/>
                <w:color w:val="000000"/>
                <w:sz w:val="18"/>
                <w:szCs w:val="18"/>
                <w:lang w:val="fr-FR"/>
              </w:rPr>
            </w:pPr>
            <w:r w:rsidRPr="000C1C6D">
              <w:rPr>
                <w:rFonts w:ascii="Times New Roman" w:hAnsi="Times New Roman"/>
                <w:color w:val="000000"/>
                <w:sz w:val="18"/>
                <w:szCs w:val="18"/>
                <w:lang w:val="fr-FR"/>
              </w:rPr>
              <w:t xml:space="preserve">Les différents acteurs ont été sensibilisés sur les opportunités offertes par la décentralisation et la gouvernance locale ; </w:t>
            </w:r>
          </w:p>
          <w:p w:rsidR="007E5D60" w:rsidRPr="00794EEA" w:rsidRDefault="007E5D60" w:rsidP="007E5D60">
            <w:pPr>
              <w:numPr>
                <w:ilvl w:val="0"/>
                <w:numId w:val="4"/>
              </w:numPr>
              <w:spacing w:after="0" w:line="240" w:lineRule="auto"/>
              <w:jc w:val="both"/>
              <w:rPr>
                <w:rFonts w:ascii="Times New Roman" w:hAnsi="Times New Roman"/>
                <w:color w:val="000000"/>
                <w:sz w:val="18"/>
                <w:szCs w:val="18"/>
                <w:lang w:val="fr-FR"/>
              </w:rPr>
            </w:pPr>
            <w:r w:rsidRPr="00794EEA">
              <w:rPr>
                <w:rFonts w:ascii="Times New Roman" w:hAnsi="Times New Roman"/>
                <w:color w:val="000000"/>
                <w:sz w:val="18"/>
                <w:szCs w:val="18"/>
                <w:lang w:val="fr-FR"/>
              </w:rPr>
              <w:t>Une série de recommandations utiles ont été retenues.</w:t>
            </w:r>
          </w:p>
          <w:p w:rsidR="007E5D60" w:rsidRPr="000C1C6D" w:rsidRDefault="007E5D60" w:rsidP="007E5D60">
            <w:pPr>
              <w:numPr>
                <w:ilvl w:val="0"/>
                <w:numId w:val="4"/>
              </w:numPr>
              <w:spacing w:after="0" w:line="240" w:lineRule="auto"/>
              <w:jc w:val="both"/>
              <w:rPr>
                <w:rFonts w:ascii="Times New Roman" w:hAnsi="Times New Roman"/>
                <w:color w:val="000000"/>
                <w:sz w:val="18"/>
                <w:szCs w:val="18"/>
                <w:lang w:val="fr-FR"/>
              </w:rPr>
            </w:pPr>
            <w:r w:rsidRPr="00794EEA">
              <w:rPr>
                <w:rFonts w:ascii="Times New Roman" w:hAnsi="Times New Roman"/>
                <w:color w:val="000000"/>
                <w:sz w:val="18"/>
                <w:szCs w:val="18"/>
                <w:lang w:val="fr-FR"/>
              </w:rPr>
              <w:t xml:space="preserve">Remise officielle des outils de travail à l’Association </w:t>
            </w:r>
            <w:r>
              <w:rPr>
                <w:rFonts w:ascii="Times New Roman" w:hAnsi="Times New Roman"/>
                <w:color w:val="000000"/>
                <w:sz w:val="18"/>
                <w:szCs w:val="18"/>
                <w:lang w:val="fr-FR"/>
              </w:rPr>
              <w:t xml:space="preserve">des Elues Locales </w:t>
            </w:r>
            <w:r w:rsidRPr="00794EEA">
              <w:rPr>
                <w:rFonts w:ascii="Times New Roman" w:hAnsi="Times New Roman"/>
                <w:color w:val="000000"/>
                <w:sz w:val="18"/>
                <w:szCs w:val="18"/>
                <w:lang w:val="fr-FR"/>
              </w:rPr>
              <w:t xml:space="preserve">pour être opérationnelle. </w:t>
            </w:r>
          </w:p>
        </w:tc>
      </w:tr>
      <w:tr w:rsidR="007E5D60" w:rsidRPr="000C1C6D" w:rsidTr="00841DF1">
        <w:trPr>
          <w:trHeight w:val="416"/>
        </w:trPr>
        <w:tc>
          <w:tcPr>
            <w:tcW w:w="1844" w:type="dxa"/>
            <w:tcBorders>
              <w:top w:val="single" w:sz="4" w:space="0" w:color="auto"/>
              <w:left w:val="double" w:sz="6" w:space="0" w:color="auto"/>
              <w:bottom w:val="single" w:sz="4" w:space="0" w:color="auto"/>
              <w:right w:val="single" w:sz="4" w:space="0" w:color="auto"/>
            </w:tcBorders>
          </w:tcPr>
          <w:p w:rsidR="007E5D60" w:rsidRPr="000C1C6D" w:rsidRDefault="007E5D60" w:rsidP="00841DF1">
            <w:pPr>
              <w:jc w:val="both"/>
              <w:rPr>
                <w:rFonts w:ascii="Times New Roman" w:hAnsi="Times New Roman"/>
                <w:color w:val="000000"/>
                <w:sz w:val="18"/>
                <w:szCs w:val="18"/>
                <w:lang w:val="fr-FR"/>
              </w:rPr>
            </w:pPr>
            <w:r w:rsidRPr="000C1C6D">
              <w:rPr>
                <w:rFonts w:ascii="Times New Roman" w:hAnsi="Times New Roman"/>
                <w:b/>
                <w:color w:val="000000"/>
                <w:sz w:val="18"/>
                <w:szCs w:val="18"/>
                <w:u w:val="single"/>
                <w:lang w:val="fr-FR"/>
              </w:rPr>
              <w:t>Résultat 2</w:t>
            </w:r>
            <w:r w:rsidRPr="000C1C6D">
              <w:rPr>
                <w:rFonts w:ascii="Times New Roman" w:hAnsi="Times New Roman"/>
                <w:b/>
                <w:color w:val="000000"/>
                <w:sz w:val="18"/>
                <w:szCs w:val="18"/>
                <w:lang w:val="fr-FR"/>
              </w:rPr>
              <w:t xml:space="preserve"> : Le renforcement des capacités des services d’état civil</w:t>
            </w:r>
            <w:r w:rsidRPr="000C1C6D">
              <w:rPr>
                <w:rFonts w:ascii="Times New Roman" w:hAnsi="Times New Roman"/>
                <w:color w:val="000000"/>
                <w:sz w:val="18"/>
                <w:szCs w:val="18"/>
                <w:lang w:val="fr-FR"/>
              </w:rPr>
              <w:t>.</w:t>
            </w:r>
          </w:p>
        </w:tc>
        <w:tc>
          <w:tcPr>
            <w:tcW w:w="3402" w:type="dxa"/>
            <w:tcBorders>
              <w:top w:val="single" w:sz="4" w:space="0" w:color="auto"/>
              <w:left w:val="single" w:sz="4" w:space="0" w:color="auto"/>
              <w:bottom w:val="single" w:sz="4" w:space="0" w:color="auto"/>
              <w:right w:val="single" w:sz="4" w:space="0" w:color="auto"/>
            </w:tcBorders>
          </w:tcPr>
          <w:p w:rsidR="007E5D60" w:rsidRPr="000C1C6D" w:rsidRDefault="007E5D60" w:rsidP="007E5D60">
            <w:pPr>
              <w:numPr>
                <w:ilvl w:val="0"/>
                <w:numId w:val="1"/>
              </w:numPr>
              <w:spacing w:after="0" w:line="240" w:lineRule="auto"/>
              <w:jc w:val="both"/>
              <w:rPr>
                <w:rFonts w:ascii="Times New Roman" w:hAnsi="Times New Roman"/>
                <w:sz w:val="18"/>
                <w:szCs w:val="18"/>
                <w:lang w:val="fr-FR"/>
              </w:rPr>
            </w:pPr>
            <w:r w:rsidRPr="000C1C6D">
              <w:rPr>
                <w:rFonts w:ascii="Times New Roman" w:hAnsi="Times New Roman"/>
                <w:sz w:val="18"/>
                <w:szCs w:val="18"/>
                <w:lang w:val="fr-FR"/>
              </w:rPr>
              <w:t>Organiser des sessions de formation en traitement des données et textes à l’aide de Microsoft Excel et Word en faveur des contrôleurs, officiers adjoints et agents d’état civil qui vont recevoir un don du PNUD en matériel informatique.</w:t>
            </w:r>
          </w:p>
          <w:p w:rsidR="007E5D60" w:rsidRPr="000C1C6D" w:rsidRDefault="007E5D60" w:rsidP="007E5D60">
            <w:pPr>
              <w:numPr>
                <w:ilvl w:val="0"/>
                <w:numId w:val="5"/>
              </w:numPr>
              <w:spacing w:after="0" w:line="240" w:lineRule="auto"/>
              <w:jc w:val="both"/>
              <w:rPr>
                <w:rFonts w:ascii="Times New Roman" w:hAnsi="Times New Roman"/>
                <w:color w:val="000000"/>
                <w:sz w:val="18"/>
                <w:szCs w:val="18"/>
                <w:lang w:val="fr-FR"/>
              </w:rPr>
            </w:pPr>
            <w:r w:rsidRPr="000C1C6D">
              <w:rPr>
                <w:rFonts w:ascii="Times New Roman" w:hAnsi="Times New Roman"/>
                <w:sz w:val="18"/>
                <w:szCs w:val="18"/>
                <w:lang w:val="fr-FR"/>
              </w:rPr>
              <w:t>Procéder à la configuration et installation du matériel informatique qui fait objet du don du PNUD aux services d’état civil des communes et provinces</w:t>
            </w:r>
            <w:r w:rsidRPr="000C1C6D">
              <w:rPr>
                <w:rFonts w:ascii="Times New Roman" w:hAnsi="Times New Roman"/>
                <w:color w:val="000000"/>
                <w:sz w:val="18"/>
                <w:szCs w:val="18"/>
                <w:lang w:val="fr-FR"/>
              </w:rPr>
              <w:t>.</w:t>
            </w:r>
          </w:p>
        </w:tc>
        <w:tc>
          <w:tcPr>
            <w:tcW w:w="5103" w:type="dxa"/>
            <w:tcBorders>
              <w:top w:val="single" w:sz="4" w:space="0" w:color="auto"/>
              <w:left w:val="single" w:sz="4" w:space="0" w:color="auto"/>
              <w:bottom w:val="single" w:sz="4" w:space="0" w:color="auto"/>
              <w:right w:val="double" w:sz="6" w:space="0" w:color="auto"/>
            </w:tcBorders>
          </w:tcPr>
          <w:p w:rsidR="007E5D60" w:rsidRPr="000C1C6D" w:rsidRDefault="007E5D60" w:rsidP="007E5D60">
            <w:pPr>
              <w:pStyle w:val="ListParagraph"/>
              <w:numPr>
                <w:ilvl w:val="0"/>
                <w:numId w:val="3"/>
              </w:numPr>
              <w:spacing w:after="0" w:line="240" w:lineRule="auto"/>
              <w:jc w:val="both"/>
              <w:rPr>
                <w:rFonts w:ascii="Times New Roman" w:hAnsi="Times New Roman"/>
                <w:sz w:val="18"/>
                <w:szCs w:val="18"/>
                <w:lang w:val="fr-FR"/>
              </w:rPr>
            </w:pPr>
            <w:r>
              <w:rPr>
                <w:rFonts w:ascii="Times New Roman" w:hAnsi="Times New Roman"/>
                <w:sz w:val="18"/>
                <w:szCs w:val="18"/>
                <w:lang w:val="fr-FR"/>
              </w:rPr>
              <w:t xml:space="preserve">Capacités de </w:t>
            </w:r>
            <w:r w:rsidRPr="000C1C6D">
              <w:rPr>
                <w:rFonts w:ascii="Times New Roman" w:hAnsi="Times New Roman"/>
                <w:sz w:val="18"/>
                <w:szCs w:val="18"/>
                <w:lang w:val="fr-FR"/>
              </w:rPr>
              <w:t xml:space="preserve">77 contrôleurs et agents des services d’état civil </w:t>
            </w:r>
            <w:r>
              <w:rPr>
                <w:rFonts w:ascii="Times New Roman" w:hAnsi="Times New Roman"/>
                <w:sz w:val="18"/>
                <w:szCs w:val="18"/>
                <w:lang w:val="fr-FR"/>
              </w:rPr>
              <w:t xml:space="preserve">renforcées en utilisation des logiciels </w:t>
            </w:r>
            <w:r w:rsidRPr="000C1C6D">
              <w:rPr>
                <w:rFonts w:ascii="Times New Roman" w:hAnsi="Times New Roman"/>
                <w:sz w:val="18"/>
                <w:szCs w:val="18"/>
                <w:lang w:val="fr-FR"/>
              </w:rPr>
              <w:t>Word et Excel</w:t>
            </w:r>
            <w:r>
              <w:rPr>
                <w:rFonts w:ascii="Times New Roman" w:hAnsi="Times New Roman"/>
                <w:sz w:val="18"/>
                <w:szCs w:val="18"/>
                <w:lang w:val="fr-FR"/>
              </w:rPr>
              <w:t xml:space="preserve"> pour faciliter l’exploitation et l’</w:t>
            </w:r>
            <w:r w:rsidRPr="000C1C6D">
              <w:rPr>
                <w:rFonts w:ascii="Times New Roman" w:hAnsi="Times New Roman"/>
                <w:sz w:val="18"/>
                <w:szCs w:val="18"/>
                <w:lang w:val="fr-FR"/>
              </w:rPr>
              <w:t>archiv</w:t>
            </w:r>
            <w:r>
              <w:rPr>
                <w:rFonts w:ascii="Times New Roman" w:hAnsi="Times New Roman"/>
                <w:sz w:val="18"/>
                <w:szCs w:val="18"/>
                <w:lang w:val="fr-FR"/>
              </w:rPr>
              <w:t>age d</w:t>
            </w:r>
            <w:r w:rsidRPr="000C1C6D">
              <w:rPr>
                <w:rFonts w:ascii="Times New Roman" w:hAnsi="Times New Roman"/>
                <w:sz w:val="18"/>
                <w:szCs w:val="18"/>
                <w:lang w:val="fr-FR"/>
              </w:rPr>
              <w:t xml:space="preserve">es documents d’état civil et </w:t>
            </w:r>
            <w:r>
              <w:rPr>
                <w:rFonts w:ascii="Times New Roman" w:hAnsi="Times New Roman"/>
                <w:sz w:val="18"/>
                <w:szCs w:val="18"/>
                <w:lang w:val="fr-FR"/>
              </w:rPr>
              <w:t xml:space="preserve"> de </w:t>
            </w:r>
            <w:r w:rsidRPr="000C1C6D">
              <w:rPr>
                <w:rFonts w:ascii="Times New Roman" w:hAnsi="Times New Roman"/>
                <w:sz w:val="18"/>
                <w:szCs w:val="18"/>
                <w:lang w:val="fr-FR"/>
              </w:rPr>
              <w:t>traiter les données y relatifs dans les</w:t>
            </w:r>
            <w:r>
              <w:rPr>
                <w:rFonts w:ascii="Times New Roman" w:hAnsi="Times New Roman"/>
                <w:sz w:val="18"/>
                <w:szCs w:val="18"/>
                <w:lang w:val="fr-FR"/>
              </w:rPr>
              <w:t xml:space="preserve"> meilleurs </w:t>
            </w:r>
            <w:r w:rsidRPr="000C1C6D">
              <w:rPr>
                <w:rFonts w:ascii="Times New Roman" w:hAnsi="Times New Roman"/>
                <w:sz w:val="18"/>
                <w:szCs w:val="18"/>
                <w:lang w:val="fr-FR"/>
              </w:rPr>
              <w:t>délais.</w:t>
            </w:r>
          </w:p>
          <w:p w:rsidR="007E5D60" w:rsidRPr="000C1C6D" w:rsidRDefault="007E5D60" w:rsidP="007E5D60">
            <w:pPr>
              <w:numPr>
                <w:ilvl w:val="0"/>
                <w:numId w:val="5"/>
              </w:numPr>
              <w:spacing w:after="0" w:line="240" w:lineRule="auto"/>
              <w:jc w:val="both"/>
              <w:rPr>
                <w:rFonts w:ascii="Times New Roman" w:hAnsi="Times New Roman"/>
                <w:sz w:val="18"/>
                <w:szCs w:val="18"/>
                <w:lang w:val="fr-FR"/>
              </w:rPr>
            </w:pPr>
            <w:r w:rsidRPr="000C1C6D">
              <w:rPr>
                <w:rFonts w:ascii="Times New Roman" w:hAnsi="Times New Roman"/>
                <w:sz w:val="18"/>
                <w:szCs w:val="18"/>
                <w:lang w:val="fr-FR"/>
              </w:rPr>
              <w:t xml:space="preserve">Le recrutement de 2 informaticiens chargés de configurer les ordinateurs </w:t>
            </w:r>
            <w:r>
              <w:rPr>
                <w:rFonts w:ascii="Times New Roman" w:hAnsi="Times New Roman"/>
                <w:sz w:val="18"/>
                <w:szCs w:val="18"/>
                <w:lang w:val="fr-FR"/>
              </w:rPr>
              <w:t>(</w:t>
            </w:r>
            <w:r w:rsidRPr="000C1C6D">
              <w:rPr>
                <w:rFonts w:ascii="Times New Roman" w:hAnsi="Times New Roman"/>
                <w:sz w:val="18"/>
                <w:szCs w:val="18"/>
                <w:lang w:val="fr-FR"/>
              </w:rPr>
              <w:t>don du PNUD aux communes et provinces</w:t>
            </w:r>
            <w:r>
              <w:rPr>
                <w:rFonts w:ascii="Times New Roman" w:hAnsi="Times New Roman"/>
                <w:sz w:val="18"/>
                <w:szCs w:val="18"/>
                <w:lang w:val="fr-FR"/>
              </w:rPr>
              <w:t xml:space="preserve">) </w:t>
            </w:r>
            <w:r w:rsidRPr="000C1C6D">
              <w:rPr>
                <w:rFonts w:ascii="Times New Roman" w:hAnsi="Times New Roman"/>
                <w:sz w:val="18"/>
                <w:szCs w:val="18"/>
                <w:lang w:val="fr-FR"/>
              </w:rPr>
              <w:t xml:space="preserve"> est en cours. </w:t>
            </w:r>
          </w:p>
        </w:tc>
      </w:tr>
      <w:tr w:rsidR="007E5D60" w:rsidRPr="000C1C6D" w:rsidTr="00841DF1">
        <w:trPr>
          <w:trHeight w:val="1078"/>
        </w:trPr>
        <w:tc>
          <w:tcPr>
            <w:tcW w:w="1844" w:type="dxa"/>
            <w:tcBorders>
              <w:top w:val="single" w:sz="4" w:space="0" w:color="auto"/>
              <w:left w:val="double" w:sz="6" w:space="0" w:color="auto"/>
              <w:bottom w:val="single" w:sz="4" w:space="0" w:color="auto"/>
              <w:right w:val="single" w:sz="4" w:space="0" w:color="auto"/>
            </w:tcBorders>
          </w:tcPr>
          <w:p w:rsidR="007E5D60" w:rsidRPr="000C1C6D" w:rsidRDefault="007E5D60" w:rsidP="00841DF1">
            <w:pPr>
              <w:rPr>
                <w:rFonts w:ascii="Times New Roman" w:hAnsi="Times New Roman"/>
                <w:b/>
                <w:color w:val="000000"/>
                <w:sz w:val="18"/>
                <w:szCs w:val="18"/>
                <w:lang w:val="fr-FR"/>
              </w:rPr>
            </w:pPr>
            <w:r w:rsidRPr="000C1C6D">
              <w:rPr>
                <w:rFonts w:ascii="Times New Roman" w:hAnsi="Times New Roman"/>
                <w:b/>
                <w:color w:val="000000"/>
                <w:sz w:val="18"/>
                <w:szCs w:val="18"/>
                <w:u w:val="single"/>
                <w:lang w:val="fr-FR"/>
              </w:rPr>
              <w:t>Résultat 3</w:t>
            </w:r>
            <w:r w:rsidRPr="000C1C6D">
              <w:rPr>
                <w:rFonts w:ascii="Times New Roman" w:hAnsi="Times New Roman"/>
                <w:b/>
                <w:color w:val="000000"/>
                <w:sz w:val="18"/>
                <w:szCs w:val="18"/>
                <w:lang w:val="fr-FR"/>
              </w:rPr>
              <w:t> :</w:t>
            </w:r>
            <w:r w:rsidRPr="000C1C6D">
              <w:rPr>
                <w:rFonts w:ascii="Times New Roman" w:hAnsi="Times New Roman"/>
                <w:color w:val="000000"/>
                <w:sz w:val="18"/>
                <w:szCs w:val="18"/>
                <w:lang w:val="fr-FR"/>
              </w:rPr>
              <w:t xml:space="preserve"> Construction et réhabilitation des bureaux communaux.</w:t>
            </w:r>
          </w:p>
        </w:tc>
        <w:tc>
          <w:tcPr>
            <w:tcW w:w="3402" w:type="dxa"/>
            <w:tcBorders>
              <w:top w:val="single" w:sz="4" w:space="0" w:color="auto"/>
              <w:left w:val="single" w:sz="4" w:space="0" w:color="auto"/>
              <w:bottom w:val="single" w:sz="4" w:space="0" w:color="auto"/>
              <w:right w:val="single" w:sz="4" w:space="0" w:color="auto"/>
            </w:tcBorders>
          </w:tcPr>
          <w:p w:rsidR="007E5D60" w:rsidRPr="000C1C6D" w:rsidRDefault="007E5D60" w:rsidP="007E5D60">
            <w:pPr>
              <w:numPr>
                <w:ilvl w:val="0"/>
                <w:numId w:val="6"/>
              </w:numPr>
              <w:spacing w:after="0" w:line="240" w:lineRule="auto"/>
              <w:jc w:val="both"/>
              <w:rPr>
                <w:rFonts w:ascii="Times New Roman" w:hAnsi="Times New Roman"/>
                <w:sz w:val="18"/>
                <w:szCs w:val="18"/>
                <w:lang w:val="fr-FR"/>
              </w:rPr>
            </w:pPr>
            <w:r w:rsidRPr="000C1C6D">
              <w:rPr>
                <w:rFonts w:ascii="Times New Roman" w:hAnsi="Times New Roman"/>
                <w:sz w:val="18"/>
                <w:szCs w:val="18"/>
                <w:lang w:val="fr-FR"/>
              </w:rPr>
              <w:t>Assurer le suivi des activités en rapport avec les équipements en mobilier de bureaux communaux construits et réhabilités.</w:t>
            </w:r>
          </w:p>
          <w:p w:rsidR="007E5D60" w:rsidRPr="000C1C6D" w:rsidRDefault="007E5D60" w:rsidP="007E5D60">
            <w:pPr>
              <w:numPr>
                <w:ilvl w:val="0"/>
                <w:numId w:val="6"/>
              </w:numPr>
              <w:spacing w:after="0" w:line="240" w:lineRule="auto"/>
              <w:jc w:val="both"/>
              <w:rPr>
                <w:rFonts w:ascii="Times New Roman" w:hAnsi="Times New Roman"/>
                <w:sz w:val="18"/>
                <w:szCs w:val="18"/>
                <w:lang w:val="fr-FR"/>
              </w:rPr>
            </w:pPr>
            <w:r w:rsidRPr="000C1C6D">
              <w:rPr>
                <w:rFonts w:ascii="Times New Roman" w:hAnsi="Times New Roman"/>
                <w:sz w:val="18"/>
                <w:szCs w:val="18"/>
                <w:lang w:val="fr-FR"/>
              </w:rPr>
              <w:t xml:space="preserve"> Organiser la remise et reprise des bâtiments construits et réhabilités</w:t>
            </w:r>
          </w:p>
          <w:p w:rsidR="007E5D60" w:rsidRPr="000C1C6D" w:rsidRDefault="007E5D60" w:rsidP="007E5D60">
            <w:pPr>
              <w:numPr>
                <w:ilvl w:val="0"/>
                <w:numId w:val="6"/>
              </w:numPr>
              <w:spacing w:after="0" w:line="240" w:lineRule="auto"/>
              <w:jc w:val="both"/>
              <w:rPr>
                <w:rFonts w:ascii="Times New Roman" w:hAnsi="Times New Roman"/>
                <w:color w:val="000000"/>
                <w:sz w:val="18"/>
                <w:szCs w:val="18"/>
                <w:lang w:val="fr-FR"/>
              </w:rPr>
            </w:pPr>
            <w:r w:rsidRPr="000C1C6D">
              <w:rPr>
                <w:rFonts w:ascii="Times New Roman" w:hAnsi="Times New Roman"/>
                <w:sz w:val="18"/>
                <w:szCs w:val="18"/>
                <w:lang w:val="fr-FR"/>
              </w:rPr>
              <w:t>Organiser la réception officielle des travaux de construction et réhabilitation des bureaux communaux.</w:t>
            </w:r>
          </w:p>
          <w:p w:rsidR="007E5D60" w:rsidRPr="000C1C6D" w:rsidRDefault="007E5D60" w:rsidP="00841DF1">
            <w:pPr>
              <w:spacing w:after="0" w:line="240" w:lineRule="auto"/>
              <w:ind w:left="360"/>
              <w:jc w:val="both"/>
              <w:rPr>
                <w:rFonts w:ascii="Times New Roman" w:hAnsi="Times New Roman"/>
                <w:color w:val="000000"/>
                <w:sz w:val="18"/>
                <w:szCs w:val="18"/>
                <w:lang w:val="fr-FR"/>
              </w:rPr>
            </w:pPr>
          </w:p>
        </w:tc>
        <w:tc>
          <w:tcPr>
            <w:tcW w:w="5103" w:type="dxa"/>
            <w:tcBorders>
              <w:top w:val="single" w:sz="4" w:space="0" w:color="auto"/>
              <w:left w:val="single" w:sz="4" w:space="0" w:color="auto"/>
              <w:bottom w:val="single" w:sz="4" w:space="0" w:color="auto"/>
              <w:right w:val="double" w:sz="6" w:space="0" w:color="auto"/>
            </w:tcBorders>
          </w:tcPr>
          <w:p w:rsidR="007E5D60" w:rsidRPr="000C1C6D" w:rsidRDefault="007E5D60" w:rsidP="007E5D60">
            <w:pPr>
              <w:numPr>
                <w:ilvl w:val="0"/>
                <w:numId w:val="6"/>
              </w:numPr>
              <w:spacing w:after="0"/>
              <w:ind w:left="357" w:hanging="357"/>
              <w:jc w:val="both"/>
              <w:rPr>
                <w:rFonts w:ascii="Times New Roman" w:hAnsi="Times New Roman"/>
                <w:sz w:val="18"/>
                <w:szCs w:val="18"/>
                <w:lang w:val="fr-FR"/>
              </w:rPr>
            </w:pPr>
            <w:r w:rsidRPr="000C1C6D">
              <w:rPr>
                <w:rFonts w:ascii="Times New Roman" w:hAnsi="Times New Roman"/>
                <w:sz w:val="18"/>
                <w:szCs w:val="18"/>
                <w:lang w:val="fr-FR"/>
              </w:rPr>
              <w:t>Les commandes sont en cours d’exécution dans deux sociétés de production de meubles locaux à savoir ACOMEBO et GTS.</w:t>
            </w:r>
          </w:p>
          <w:p w:rsidR="007E5D60" w:rsidRDefault="007E5D60" w:rsidP="007E5D60">
            <w:pPr>
              <w:numPr>
                <w:ilvl w:val="0"/>
                <w:numId w:val="6"/>
              </w:numPr>
              <w:spacing w:after="0"/>
              <w:jc w:val="both"/>
              <w:rPr>
                <w:rFonts w:ascii="Times New Roman" w:hAnsi="Times New Roman"/>
                <w:sz w:val="18"/>
                <w:szCs w:val="18"/>
                <w:lang w:val="fr-FR"/>
              </w:rPr>
            </w:pPr>
            <w:r w:rsidRPr="000C1C6D">
              <w:rPr>
                <w:rFonts w:ascii="Times New Roman" w:hAnsi="Times New Roman"/>
                <w:sz w:val="18"/>
                <w:szCs w:val="18"/>
                <w:lang w:val="fr-FR"/>
              </w:rPr>
              <w:t xml:space="preserve">La réception </w:t>
            </w:r>
            <w:r>
              <w:rPr>
                <w:rFonts w:ascii="Times New Roman" w:hAnsi="Times New Roman"/>
                <w:sz w:val="18"/>
                <w:szCs w:val="18"/>
                <w:lang w:val="fr-FR"/>
              </w:rPr>
              <w:t>technique des travaux</w:t>
            </w:r>
            <w:r w:rsidRPr="000C1C6D">
              <w:rPr>
                <w:rFonts w:ascii="Times New Roman" w:hAnsi="Times New Roman"/>
                <w:sz w:val="18"/>
                <w:szCs w:val="18"/>
                <w:lang w:val="fr-FR"/>
              </w:rPr>
              <w:t xml:space="preserve"> de </w:t>
            </w:r>
            <w:r>
              <w:rPr>
                <w:rFonts w:ascii="Times New Roman" w:hAnsi="Times New Roman"/>
                <w:sz w:val="18"/>
                <w:szCs w:val="18"/>
                <w:lang w:val="fr-FR"/>
              </w:rPr>
              <w:t>19</w:t>
            </w:r>
            <w:r w:rsidRPr="000C1C6D">
              <w:rPr>
                <w:rFonts w:ascii="Times New Roman" w:hAnsi="Times New Roman"/>
                <w:sz w:val="18"/>
                <w:szCs w:val="18"/>
                <w:lang w:val="fr-FR"/>
              </w:rPr>
              <w:t xml:space="preserve"> chantiers de construction et réhabilitation des bureaux communaux est terminée</w:t>
            </w:r>
            <w:r>
              <w:rPr>
                <w:rFonts w:ascii="Times New Roman" w:hAnsi="Times New Roman"/>
                <w:sz w:val="18"/>
                <w:szCs w:val="18"/>
                <w:lang w:val="fr-FR"/>
              </w:rPr>
              <w:t>.</w:t>
            </w:r>
            <w:r w:rsidRPr="000C1C6D">
              <w:rPr>
                <w:rFonts w:ascii="Times New Roman" w:hAnsi="Times New Roman"/>
                <w:sz w:val="18"/>
                <w:szCs w:val="18"/>
                <w:lang w:val="fr-FR"/>
              </w:rPr>
              <w:t xml:space="preserve"> </w:t>
            </w:r>
            <w:r>
              <w:rPr>
                <w:rFonts w:ascii="Times New Roman" w:hAnsi="Times New Roman"/>
                <w:sz w:val="18"/>
                <w:szCs w:val="18"/>
                <w:lang w:val="fr-FR"/>
              </w:rPr>
              <w:t>Les 19</w:t>
            </w:r>
            <w:r w:rsidRPr="000C1C6D">
              <w:rPr>
                <w:rFonts w:ascii="Times New Roman" w:hAnsi="Times New Roman"/>
                <w:sz w:val="18"/>
                <w:szCs w:val="18"/>
                <w:lang w:val="fr-FR"/>
              </w:rPr>
              <w:t xml:space="preserve"> bureaux communaux sont déjà fonctionnels</w:t>
            </w:r>
            <w:r>
              <w:rPr>
                <w:rFonts w:ascii="Times New Roman" w:hAnsi="Times New Roman"/>
                <w:sz w:val="18"/>
                <w:szCs w:val="18"/>
                <w:lang w:val="fr-FR"/>
              </w:rPr>
              <w:t>.</w:t>
            </w:r>
          </w:p>
          <w:p w:rsidR="007E5D60" w:rsidRPr="000C1C6D" w:rsidRDefault="007E5D60" w:rsidP="00841DF1">
            <w:pPr>
              <w:spacing w:after="0"/>
              <w:ind w:left="360"/>
              <w:jc w:val="both"/>
              <w:rPr>
                <w:rFonts w:ascii="Times New Roman" w:hAnsi="Times New Roman"/>
                <w:sz w:val="18"/>
                <w:szCs w:val="18"/>
                <w:lang w:val="fr-FR"/>
              </w:rPr>
            </w:pPr>
          </w:p>
        </w:tc>
      </w:tr>
      <w:tr w:rsidR="007E5D60" w:rsidRPr="000C1C6D" w:rsidTr="00841DF1">
        <w:trPr>
          <w:trHeight w:val="243"/>
        </w:trPr>
        <w:tc>
          <w:tcPr>
            <w:tcW w:w="10349" w:type="dxa"/>
            <w:gridSpan w:val="3"/>
            <w:tcBorders>
              <w:top w:val="single" w:sz="4" w:space="0" w:color="auto"/>
              <w:left w:val="double" w:sz="6" w:space="0" w:color="auto"/>
              <w:bottom w:val="double" w:sz="6" w:space="0" w:color="auto"/>
              <w:right w:val="double" w:sz="6" w:space="0" w:color="auto"/>
            </w:tcBorders>
          </w:tcPr>
          <w:p w:rsidR="007E5D60" w:rsidRPr="00052DAB" w:rsidRDefault="007E5D60" w:rsidP="00841DF1">
            <w:pPr>
              <w:rPr>
                <w:rFonts w:ascii="Times New Roman" w:hAnsi="Times New Roman"/>
                <w:b/>
                <w:color w:val="000099"/>
                <w:sz w:val="18"/>
                <w:szCs w:val="18"/>
                <w:lang w:val="fr-FR"/>
              </w:rPr>
            </w:pPr>
            <w:r w:rsidRPr="00052DAB">
              <w:rPr>
                <w:rFonts w:ascii="Times New Roman" w:hAnsi="Times New Roman"/>
                <w:b/>
                <w:color w:val="000099"/>
                <w:sz w:val="18"/>
                <w:szCs w:val="18"/>
                <w:lang w:val="fr-FR"/>
              </w:rPr>
              <w:lastRenderedPageBreak/>
              <w:t xml:space="preserve">Taux d’exécution budgétaire : 90.77 %  </w:t>
            </w:r>
          </w:p>
        </w:tc>
      </w:tr>
    </w:tbl>
    <w:p w:rsidR="007E5D60" w:rsidRDefault="007E5D60" w:rsidP="007E5D60">
      <w:pPr>
        <w:pStyle w:val="ListParagraph"/>
        <w:ind w:left="0"/>
        <w:rPr>
          <w:rFonts w:ascii="Times New Roman" w:hAnsi="Times New Roman"/>
          <w:b/>
          <w:sz w:val="18"/>
          <w:szCs w:val="18"/>
          <w:lang w:val="fr-FR"/>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9"/>
      </w:tblGrid>
      <w:tr w:rsidR="007E5D60" w:rsidRPr="007C7B1E" w:rsidTr="00841DF1">
        <w:trPr>
          <w:trHeight w:val="243"/>
        </w:trPr>
        <w:tc>
          <w:tcPr>
            <w:tcW w:w="10349" w:type="dxa"/>
            <w:tcBorders>
              <w:top w:val="double" w:sz="6" w:space="0" w:color="auto"/>
              <w:left w:val="double" w:sz="4" w:space="0" w:color="auto"/>
              <w:bottom w:val="single" w:sz="4" w:space="0" w:color="auto"/>
              <w:right w:val="double" w:sz="4" w:space="0" w:color="auto"/>
            </w:tcBorders>
            <w:hideMark/>
          </w:tcPr>
          <w:p w:rsidR="007E5D60" w:rsidRPr="00704944" w:rsidRDefault="007E5D60" w:rsidP="00841DF1">
            <w:pPr>
              <w:rPr>
                <w:rFonts w:ascii="Times New Roman" w:hAnsi="Times New Roman"/>
                <w:b/>
                <w:bCs/>
                <w:sz w:val="18"/>
                <w:szCs w:val="18"/>
                <w:lang w:val="fr-FR"/>
              </w:rPr>
            </w:pPr>
            <w:r w:rsidRPr="00704944">
              <w:rPr>
                <w:rFonts w:ascii="Times New Roman" w:hAnsi="Times New Roman"/>
                <w:b/>
                <w:bCs/>
                <w:sz w:val="18"/>
                <w:szCs w:val="18"/>
                <w:lang w:val="fr-FR"/>
              </w:rPr>
              <w:t>Les contraintes majeures : </w:t>
            </w:r>
          </w:p>
          <w:p w:rsidR="007E5D60" w:rsidRPr="00704944" w:rsidRDefault="007E5D60" w:rsidP="00841DF1">
            <w:pPr>
              <w:rPr>
                <w:rFonts w:ascii="Times New Roman" w:hAnsi="Times New Roman"/>
                <w:sz w:val="18"/>
                <w:szCs w:val="18"/>
                <w:lang w:val="fr-FR"/>
              </w:rPr>
            </w:pPr>
            <w:r w:rsidRPr="00704944">
              <w:rPr>
                <w:rFonts w:ascii="Times New Roman" w:hAnsi="Times New Roman"/>
                <w:bCs/>
                <w:sz w:val="18"/>
                <w:szCs w:val="18"/>
                <w:lang w:val="fr-FR"/>
              </w:rPr>
              <w:t>Suite à plusieurs relances d’appel d’offre pour les équipements des bureaux communaux, la livraison va s’étendre d’avril à mai 2010 alors que la date prévue pour la clôture des activités du projet est le 30 avril 2010</w:t>
            </w:r>
            <w:r w:rsidRPr="00704944">
              <w:rPr>
                <w:rFonts w:ascii="Times New Roman" w:hAnsi="Times New Roman"/>
                <w:sz w:val="18"/>
                <w:szCs w:val="18"/>
                <w:lang w:val="fr-FR"/>
              </w:rPr>
              <w:t xml:space="preserve"> </w:t>
            </w:r>
          </w:p>
        </w:tc>
      </w:tr>
      <w:tr w:rsidR="007E5D60" w:rsidRPr="007C7B1E" w:rsidTr="00841DF1">
        <w:tc>
          <w:tcPr>
            <w:tcW w:w="10349" w:type="dxa"/>
            <w:tcBorders>
              <w:top w:val="single" w:sz="4" w:space="0" w:color="auto"/>
              <w:left w:val="double" w:sz="4" w:space="0" w:color="auto"/>
              <w:bottom w:val="single" w:sz="4" w:space="0" w:color="auto"/>
              <w:right w:val="double" w:sz="4" w:space="0" w:color="auto"/>
            </w:tcBorders>
            <w:vAlign w:val="center"/>
            <w:hideMark/>
          </w:tcPr>
          <w:p w:rsidR="007E5D60" w:rsidRPr="00704944" w:rsidRDefault="007E5D60" w:rsidP="00841DF1">
            <w:pPr>
              <w:rPr>
                <w:rFonts w:ascii="Times New Roman" w:hAnsi="Times New Roman"/>
                <w:b/>
                <w:sz w:val="18"/>
                <w:szCs w:val="18"/>
                <w:lang w:val="fr-FR"/>
              </w:rPr>
            </w:pPr>
            <w:r w:rsidRPr="00704944">
              <w:rPr>
                <w:rFonts w:ascii="Times New Roman" w:hAnsi="Times New Roman"/>
                <w:b/>
                <w:sz w:val="18"/>
                <w:szCs w:val="18"/>
                <w:lang w:val="fr-FR"/>
              </w:rPr>
              <w:t>Appréciation qualitative par rapport aux objectifs et aux résultats :</w:t>
            </w:r>
          </w:p>
          <w:p w:rsidR="007E5D60" w:rsidRPr="00704944" w:rsidRDefault="007E5D60" w:rsidP="00841DF1">
            <w:pPr>
              <w:pStyle w:val="ListParagraph"/>
              <w:spacing w:after="0" w:line="240" w:lineRule="auto"/>
              <w:ind w:left="0"/>
              <w:jc w:val="both"/>
              <w:rPr>
                <w:rFonts w:ascii="Times New Roman" w:hAnsi="Times New Roman"/>
                <w:sz w:val="18"/>
                <w:szCs w:val="18"/>
                <w:lang w:val="fr-FR"/>
              </w:rPr>
            </w:pPr>
            <w:r w:rsidRPr="00704944">
              <w:rPr>
                <w:rFonts w:ascii="Times New Roman" w:hAnsi="Times New Roman"/>
                <w:sz w:val="18"/>
                <w:szCs w:val="18"/>
                <w:lang w:val="fr-FR"/>
              </w:rPr>
              <w:t>L’usage des moyens informatiques dans les services d’état civil communaux marque un tournant majeur et historique au niveau de l’archivage et de la gestion des documents. La qualité des services rendus à la population sera améliorée et la planification des activités communales faisant recours aux données d’état civil sera aisée.</w:t>
            </w:r>
          </w:p>
          <w:p w:rsidR="007E5D60" w:rsidRPr="00704944" w:rsidRDefault="007E5D60" w:rsidP="00841DF1">
            <w:pPr>
              <w:pStyle w:val="ListParagraph"/>
              <w:spacing w:after="0" w:line="240" w:lineRule="auto"/>
              <w:ind w:left="0"/>
              <w:jc w:val="both"/>
              <w:rPr>
                <w:rFonts w:ascii="Times New Roman" w:hAnsi="Times New Roman"/>
                <w:sz w:val="18"/>
                <w:szCs w:val="18"/>
                <w:lang w:val="fr-FR"/>
              </w:rPr>
            </w:pPr>
          </w:p>
          <w:p w:rsidR="007E5D60" w:rsidRPr="00704944" w:rsidRDefault="007E5D60" w:rsidP="00841DF1">
            <w:pPr>
              <w:jc w:val="both"/>
              <w:rPr>
                <w:rFonts w:ascii="Times New Roman" w:hAnsi="Times New Roman"/>
                <w:sz w:val="18"/>
                <w:szCs w:val="18"/>
                <w:lang w:val="fr-FR"/>
              </w:rPr>
            </w:pPr>
            <w:r w:rsidRPr="00704944">
              <w:rPr>
                <w:rFonts w:ascii="Times New Roman" w:hAnsi="Times New Roman"/>
                <w:sz w:val="18"/>
                <w:szCs w:val="18"/>
                <w:lang w:val="fr-FR"/>
              </w:rPr>
              <w:t>Les résultats sont globalement satisfaisants par rapport aux objectifs du projet.</w:t>
            </w:r>
          </w:p>
        </w:tc>
      </w:tr>
      <w:tr w:rsidR="007E5D60" w:rsidRPr="007C7B1E" w:rsidTr="00841DF1">
        <w:tc>
          <w:tcPr>
            <w:tcW w:w="10349" w:type="dxa"/>
            <w:tcBorders>
              <w:top w:val="single" w:sz="4" w:space="0" w:color="auto"/>
              <w:left w:val="double" w:sz="4" w:space="0" w:color="auto"/>
              <w:bottom w:val="double" w:sz="4" w:space="0" w:color="auto"/>
              <w:right w:val="double" w:sz="4" w:space="0" w:color="auto"/>
            </w:tcBorders>
            <w:vAlign w:val="center"/>
          </w:tcPr>
          <w:p w:rsidR="007E5D60" w:rsidRPr="00704944" w:rsidRDefault="007E5D60" w:rsidP="00841DF1">
            <w:pPr>
              <w:jc w:val="both"/>
              <w:rPr>
                <w:rFonts w:ascii="Times New Roman" w:hAnsi="Times New Roman"/>
                <w:b/>
                <w:bCs/>
                <w:sz w:val="18"/>
                <w:szCs w:val="18"/>
                <w:lang w:val="fr-FR"/>
              </w:rPr>
            </w:pPr>
            <w:r w:rsidRPr="00704944">
              <w:rPr>
                <w:rFonts w:ascii="Times New Roman" w:hAnsi="Times New Roman"/>
                <w:b/>
                <w:bCs/>
                <w:sz w:val="18"/>
                <w:szCs w:val="18"/>
                <w:lang w:val="fr-FR"/>
              </w:rPr>
              <w:t>Prochaines étapes : </w:t>
            </w:r>
          </w:p>
          <w:p w:rsidR="007E5D60" w:rsidRPr="00704944" w:rsidRDefault="007E5D60" w:rsidP="00841DF1">
            <w:pPr>
              <w:jc w:val="both"/>
              <w:rPr>
                <w:rFonts w:ascii="Times New Roman" w:hAnsi="Times New Roman"/>
                <w:b/>
                <w:sz w:val="18"/>
                <w:szCs w:val="18"/>
                <w:lang w:val="fr-FR"/>
              </w:rPr>
            </w:pPr>
            <w:r w:rsidRPr="00704944">
              <w:rPr>
                <w:rFonts w:ascii="Times New Roman" w:hAnsi="Times New Roman"/>
                <w:sz w:val="18"/>
                <w:szCs w:val="18"/>
                <w:lang w:val="fr-FR"/>
              </w:rPr>
              <w:t>Préparation de la clôture des activités du Projet : livraison des équipements mobiliers, livraisons de documents de référence en cours d’impression.</w:t>
            </w:r>
          </w:p>
        </w:tc>
      </w:tr>
    </w:tbl>
    <w:p w:rsidR="000675A1" w:rsidRPr="007E5D60" w:rsidRDefault="007E5D60">
      <w:pPr>
        <w:rPr>
          <w:lang w:val="fr-FR"/>
        </w:rPr>
      </w:pPr>
    </w:p>
    <w:sectPr w:rsidR="000675A1" w:rsidRPr="007E5D60" w:rsidSect="00076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01B34"/>
    <w:multiLevelType w:val="hybridMultilevel"/>
    <w:tmpl w:val="76DC54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EEA140A"/>
    <w:multiLevelType w:val="multilevel"/>
    <w:tmpl w:val="D084F35E"/>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
    <w:nsid w:val="42B431AE"/>
    <w:multiLevelType w:val="hybridMultilevel"/>
    <w:tmpl w:val="28C0D2C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3967BC7"/>
    <w:multiLevelType w:val="hybridMultilevel"/>
    <w:tmpl w:val="95568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F1102E2"/>
    <w:multiLevelType w:val="hybridMultilevel"/>
    <w:tmpl w:val="A59010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D60"/>
    <w:rsid w:val="000761B3"/>
    <w:rsid w:val="000A2346"/>
    <w:rsid w:val="001529CA"/>
    <w:rsid w:val="00314561"/>
    <w:rsid w:val="0031723B"/>
    <w:rsid w:val="00680E00"/>
    <w:rsid w:val="007E5D60"/>
    <w:rsid w:val="008D3BAF"/>
    <w:rsid w:val="00982B6C"/>
    <w:rsid w:val="00A43328"/>
    <w:rsid w:val="00A972D0"/>
    <w:rsid w:val="00E205D9"/>
    <w:rsid w:val="00E575A6"/>
    <w:rsid w:val="00E65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60"/>
    <w:pPr>
      <w:spacing w:before="0" w:beforeAutospacing="0" w:after="200" w:afterAutospacing="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D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Cristina.Bertarelli</dc:creator>
  <cp:keywords/>
  <dc:description/>
  <cp:lastModifiedBy>Cristina.Bertarelli</cp:lastModifiedBy>
  <cp:revision>1</cp:revision>
  <dcterms:created xsi:type="dcterms:W3CDTF">2010-04-20T17:51:00Z</dcterms:created>
  <dcterms:modified xsi:type="dcterms:W3CDTF">2010-04-20T17:52:00Z</dcterms:modified>
</cp:coreProperties>
</file>