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4" w:rsidRDefault="00AB0274" w:rsidP="00AB0274">
      <w:pPr>
        <w:jc w:val="center"/>
        <w:rPr>
          <w:b/>
          <w:sz w:val="28"/>
          <w:szCs w:val="28"/>
          <w:u w:val="single"/>
        </w:rPr>
      </w:pPr>
      <w:r>
        <w:rPr>
          <w:b/>
          <w:sz w:val="28"/>
          <w:szCs w:val="28"/>
          <w:u w:val="single"/>
        </w:rPr>
        <w:t>Annex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5003"/>
      </w:tblGrid>
      <w:tr w:rsidR="00090D90" w:rsidRPr="00F7637C">
        <w:tc>
          <w:tcPr>
            <w:tcW w:w="5117" w:type="dxa"/>
          </w:tcPr>
          <w:p w:rsidR="00090D90" w:rsidRPr="00F7637C" w:rsidRDefault="00640CAE" w:rsidP="00F7637C">
            <w:pPr>
              <w:jc w:val="center"/>
              <w:rPr>
                <w:b/>
                <w:u w:val="single"/>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5003" w:type="dxa"/>
          </w:tcPr>
          <w:p w:rsidR="00090D90" w:rsidRPr="00F7637C" w:rsidRDefault="00090D90" w:rsidP="00F7637C">
            <w:pPr>
              <w:jc w:val="center"/>
              <w:rPr>
                <w:u w:val="single"/>
              </w:rPr>
            </w:pPr>
            <w:r w:rsidRPr="00F7637C">
              <w:rPr>
                <w:u w:val="single"/>
              </w:rPr>
              <w:t>Insert Fund specific logo, if applicable</w:t>
            </w:r>
          </w:p>
        </w:tc>
      </w:tr>
    </w:tbl>
    <w:p w:rsidR="00AB0274" w:rsidRPr="00E37C09" w:rsidRDefault="004658BE" w:rsidP="004658BE">
      <w:pPr>
        <w:jc w:val="center"/>
        <w:rPr>
          <w:b/>
        </w:rPr>
      </w:pPr>
      <w:r w:rsidRPr="004658BE">
        <w:rPr>
          <w:b/>
          <w:u w:val="single"/>
        </w:rPr>
        <w:t xml:space="preserve"> </w:t>
      </w:r>
    </w:p>
    <w:p w:rsidR="00AB0274" w:rsidRPr="00E37C09" w:rsidRDefault="00FC7908" w:rsidP="00AB0274">
      <w:pPr>
        <w:jc w:val="center"/>
        <w:rPr>
          <w:b/>
        </w:rPr>
      </w:pPr>
      <w:smartTag w:uri="urn:schemas-microsoft-com:office:smarttags" w:element="place">
        <w:smartTag w:uri="urn:schemas-microsoft-com:office:smarttags" w:element="PlaceName">
          <w:r>
            <w:rPr>
              <w:b/>
            </w:rPr>
            <w:t>Guinea</w:t>
          </w:r>
        </w:smartTag>
        <w:r>
          <w:rPr>
            <w:b/>
          </w:rPr>
          <w:t xml:space="preserve"> </w:t>
        </w:r>
        <w:smartTag w:uri="urn:schemas-microsoft-com:office:smarttags" w:element="PlaceName">
          <w:r>
            <w:rPr>
              <w:b/>
            </w:rPr>
            <w:t>Bissau</w:t>
          </w:r>
        </w:smartTag>
        <w:r>
          <w:rPr>
            <w:b/>
          </w:rPr>
          <w:t xml:space="preserve"> </w:t>
        </w:r>
        <w:smartTag w:uri="urn:schemas-microsoft-com:office:smarttags" w:element="PlaceName">
          <w:r>
            <w:rPr>
              <w:b/>
            </w:rPr>
            <w:t>Peace</w:t>
          </w:r>
        </w:smartTag>
        <w:r>
          <w:rPr>
            <w:b/>
          </w:rPr>
          <w:t xml:space="preserve"> </w:t>
        </w:r>
        <w:smartTag w:uri="urn:schemas-microsoft-com:office:smarttags" w:element="PlaceType">
          <w:r>
            <w:rPr>
              <w:b/>
            </w:rPr>
            <w:t>Building</w:t>
          </w:r>
        </w:smartTag>
      </w:smartTag>
      <w:r>
        <w:rPr>
          <w:b/>
        </w:rPr>
        <w:t xml:space="preserve"> Fund</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Pr="00AB0274" w:rsidRDefault="00AB0274" w:rsidP="00AB0274">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AB0274" w:rsidRPr="00234CC4" w:rsidRDefault="00AB0274" w:rsidP="00AB0274"/>
    <w:tbl>
      <w:tblPr>
        <w:tblW w:w="0" w:type="auto"/>
        <w:tblLook w:val="01E0"/>
      </w:tblPr>
      <w:tblGrid>
        <w:gridCol w:w="4850"/>
        <w:gridCol w:w="270"/>
        <w:gridCol w:w="5000"/>
      </w:tblGrid>
      <w:tr w:rsidR="00AB0274" w:rsidRPr="005F19C1">
        <w:tc>
          <w:tcPr>
            <w:tcW w:w="4878"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0" w:name="_Toc249364469"/>
            <w:r>
              <w:rPr>
                <w:i/>
                <w:sz w:val="24"/>
              </w:rPr>
              <w:t>Submitted by</w:t>
            </w:r>
            <w:r w:rsidRPr="005F19C1">
              <w:rPr>
                <w:i/>
                <w:sz w:val="24"/>
              </w:rPr>
              <w:t>:</w:t>
            </w:r>
            <w:bookmarkEnd w:id="0"/>
          </w:p>
          <w:p w:rsidR="00AB0274" w:rsidRDefault="00071324" w:rsidP="00986BA5">
            <w:r>
              <w:t>Tracey Hebert</w:t>
            </w:r>
            <w:r w:rsidR="00AB0274">
              <w:t xml:space="preserve">, </w:t>
            </w:r>
            <w:r>
              <w:t>Director</w:t>
            </w:r>
            <w:r w:rsidR="00AB0274">
              <w:t xml:space="preserve">, </w:t>
            </w:r>
            <w:smartTag w:uri="urn:schemas-microsoft-com:office:smarttags" w:element="country-region">
              <w:r>
                <w:t>Senegal</w:t>
              </w:r>
            </w:smartTag>
            <w:r>
              <w:t xml:space="preserve"> Operations Centre - UNOPS, </w:t>
            </w:r>
            <w:smartTag w:uri="urn:schemas-microsoft-com:office:smarttags" w:element="City">
              <w:smartTag w:uri="urn:schemas-microsoft-com:office:smarttags" w:element="place">
                <w:r>
                  <w:t>Dakar</w:t>
                </w:r>
              </w:smartTag>
            </w:smartTag>
          </w:p>
          <w:p w:rsidR="00AB0274" w:rsidRPr="00E37C09" w:rsidRDefault="00071324" w:rsidP="00986BA5">
            <w:r>
              <w:t>TraceyH@unops.org</w:t>
            </w:r>
            <w:r w:rsidR="00AB0274">
              <w:t xml:space="preserve"> </w:t>
            </w:r>
          </w:p>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1" w:name="_Toc249364470"/>
            <w:r w:rsidRPr="002A3031">
              <w:rPr>
                <w:i/>
                <w:sz w:val="24"/>
              </w:rPr>
              <w:t>Country and Thematic Area</w:t>
            </w:r>
            <w:bookmarkEnd w:id="1"/>
            <w:r w:rsidR="002A3031">
              <w:rPr>
                <w:rStyle w:val="FootnoteReference"/>
                <w:i/>
                <w:sz w:val="24"/>
              </w:rPr>
              <w:footnoteReference w:id="2"/>
            </w:r>
          </w:p>
          <w:p w:rsidR="00071324" w:rsidRPr="00071324" w:rsidRDefault="00071324" w:rsidP="00071324">
            <w:smartTag w:uri="urn:schemas-microsoft-com:office:smarttags" w:element="country-region">
              <w:smartTag w:uri="urn:schemas-microsoft-com:office:smarttags" w:element="place">
                <w:r>
                  <w:t>Guinea-Bissau</w:t>
                </w:r>
              </w:smartTag>
            </w:smartTag>
            <w:r>
              <w:t xml:space="preserve"> – Security and Justice Sector Reform</w:t>
            </w:r>
          </w:p>
          <w:p w:rsidR="002A3031" w:rsidRPr="002A3031" w:rsidRDefault="002A3031" w:rsidP="00FC7908">
            <w:pPr>
              <w:pStyle w:val="Heading2"/>
            </w:pPr>
          </w:p>
        </w:tc>
      </w:tr>
      <w:tr w:rsidR="00AB0274" w:rsidRPr="005F19C1">
        <w:trPr>
          <w:trHeight w:val="396"/>
        </w:trPr>
        <w:tc>
          <w:tcPr>
            <w:tcW w:w="4878"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r>
    </w:tbl>
    <w:p w:rsidR="00AB0274" w:rsidRPr="005F19C1" w:rsidRDefault="00AB0274" w:rsidP="00AB0274"/>
    <w:tbl>
      <w:tblPr>
        <w:tblW w:w="0" w:type="auto"/>
        <w:tblLook w:val="01E0"/>
      </w:tblPr>
      <w:tblGrid>
        <w:gridCol w:w="4844"/>
        <w:gridCol w:w="269"/>
        <w:gridCol w:w="5007"/>
      </w:tblGrid>
      <w:tr w:rsidR="00AB0274" w:rsidRPr="005F19C1">
        <w:tc>
          <w:tcPr>
            <w:tcW w:w="4878" w:type="dxa"/>
            <w:vMerge w:val="restart"/>
            <w:tcBorders>
              <w:top w:val="single" w:sz="4" w:space="0" w:color="auto"/>
              <w:left w:val="single" w:sz="4" w:space="0" w:color="auto"/>
              <w:right w:val="single" w:sz="4" w:space="0" w:color="auto"/>
            </w:tcBorders>
          </w:tcPr>
          <w:p w:rsidR="00AB0274" w:rsidRPr="005F19C1" w:rsidRDefault="00AB0274" w:rsidP="00986BA5">
            <w:pPr>
              <w:pStyle w:val="Heading2"/>
              <w:rPr>
                <w:i/>
                <w:sz w:val="24"/>
              </w:rPr>
            </w:pPr>
            <w:bookmarkStart w:id="2" w:name="_Toc249364474"/>
            <w:r>
              <w:rPr>
                <w:i/>
                <w:sz w:val="24"/>
              </w:rPr>
              <w:t>Programme</w:t>
            </w:r>
            <w:r w:rsidRPr="005F19C1">
              <w:rPr>
                <w:i/>
                <w:sz w:val="24"/>
              </w:rPr>
              <w:t xml:space="preserve"> No:</w:t>
            </w:r>
            <w:bookmarkEnd w:id="2"/>
            <w:r w:rsidR="00FC7908">
              <w:rPr>
                <w:i/>
                <w:sz w:val="24"/>
              </w:rPr>
              <w:t xml:space="preserve"> PBF/GNB/B-2</w:t>
            </w:r>
          </w:p>
          <w:p w:rsidR="00AB0274" w:rsidRPr="00212FEB" w:rsidRDefault="00AB0274" w:rsidP="00986BA5">
            <w:pPr>
              <w:rPr>
                <w:b/>
                <w:i/>
              </w:rPr>
            </w:pPr>
            <w:r w:rsidRPr="00212FEB">
              <w:rPr>
                <w:b/>
                <w:i/>
              </w:rPr>
              <w:t xml:space="preserve">MDTF Office Atlas No: </w:t>
            </w:r>
          </w:p>
          <w:p w:rsidR="00FC7908" w:rsidRDefault="00FC7908" w:rsidP="00986BA5">
            <w:pPr>
              <w:pStyle w:val="Heading2"/>
              <w:rPr>
                <w:i/>
                <w:sz w:val="24"/>
              </w:rPr>
            </w:pPr>
            <w:bookmarkStart w:id="3" w:name="_Toc249364475"/>
          </w:p>
          <w:p w:rsidR="00C87D84" w:rsidRDefault="00AB0274" w:rsidP="00986BA5">
            <w:pPr>
              <w:pStyle w:val="Heading2"/>
              <w:rPr>
                <w:i/>
                <w:sz w:val="24"/>
              </w:rPr>
            </w:pPr>
            <w:r>
              <w:rPr>
                <w:i/>
                <w:sz w:val="24"/>
              </w:rPr>
              <w:t>Programme</w:t>
            </w:r>
            <w:r w:rsidRPr="005F19C1">
              <w:rPr>
                <w:i/>
                <w:sz w:val="24"/>
              </w:rPr>
              <w:t xml:space="preserve"> Title:</w:t>
            </w:r>
            <w:bookmarkEnd w:id="3"/>
          </w:p>
          <w:p w:rsidR="00AB0274" w:rsidRDefault="00FC7908" w:rsidP="00986BA5">
            <w:pPr>
              <w:pStyle w:val="Heading2"/>
              <w:rPr>
                <w:i/>
                <w:sz w:val="24"/>
              </w:rPr>
            </w:pPr>
            <w:r>
              <w:rPr>
                <w:i/>
                <w:sz w:val="24"/>
              </w:rPr>
              <w:t>Rehabilitation of Military Barracks.</w:t>
            </w:r>
          </w:p>
          <w:p w:rsidR="00212FEB" w:rsidRPr="00212FEB" w:rsidRDefault="00212FEB" w:rsidP="00212FEB"/>
          <w:p w:rsidR="00AB0274" w:rsidRPr="005F19C1" w:rsidRDefault="00AB0274" w:rsidP="00986BA5"/>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Pr="006D15B6" w:rsidRDefault="00C85B34" w:rsidP="00212FEB">
            <w:pPr>
              <w:pStyle w:val="Heading2"/>
              <w:rPr>
                <w:i/>
              </w:rPr>
            </w:pPr>
            <w:bookmarkStart w:id="4" w:name="_Toc249364476"/>
            <w:r>
              <w:rPr>
                <w:i/>
                <w:sz w:val="24"/>
              </w:rPr>
              <w:t>Participating</w:t>
            </w:r>
            <w:r w:rsidR="00AB0274">
              <w:rPr>
                <w:i/>
                <w:sz w:val="24"/>
              </w:rPr>
              <w:t xml:space="preserve"> </w:t>
            </w:r>
            <w:r w:rsidR="00AB0274" w:rsidRPr="005F19C1">
              <w:rPr>
                <w:i/>
                <w:sz w:val="24"/>
              </w:rPr>
              <w:t>Organization</w:t>
            </w:r>
            <w:r w:rsidR="00AB0274">
              <w:rPr>
                <w:i/>
                <w:sz w:val="24"/>
              </w:rPr>
              <w:t>(s)</w:t>
            </w:r>
            <w:r w:rsidR="00AB0274" w:rsidRPr="005F19C1">
              <w:rPr>
                <w:i/>
                <w:sz w:val="24"/>
              </w:rPr>
              <w:t>:</w:t>
            </w:r>
            <w:bookmarkEnd w:id="4"/>
            <w:r w:rsidR="00AB0274" w:rsidRPr="005F19C1">
              <w:rPr>
                <w:i/>
                <w:sz w:val="24"/>
              </w:rPr>
              <w:tab/>
            </w:r>
          </w:p>
        </w:tc>
      </w:tr>
      <w:tr w:rsidR="00AB0274" w:rsidRPr="00234CC4">
        <w:trPr>
          <w:trHeight w:val="621"/>
        </w:trPr>
        <w:tc>
          <w:tcPr>
            <w:tcW w:w="4878"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i/>
                <w:sz w:val="24"/>
              </w:rPr>
            </w:pPr>
          </w:p>
        </w:tc>
      </w:tr>
    </w:tbl>
    <w:p w:rsidR="00AB0274" w:rsidRDefault="00AB0274" w:rsidP="00AB0274"/>
    <w:tbl>
      <w:tblPr>
        <w:tblW w:w="0" w:type="auto"/>
        <w:tblLook w:val="01E0"/>
      </w:tblPr>
      <w:tblGrid>
        <w:gridCol w:w="4850"/>
        <w:gridCol w:w="269"/>
        <w:gridCol w:w="5001"/>
      </w:tblGrid>
      <w:tr w:rsidR="00AB0274" w:rsidRPr="00F971C2">
        <w:trPr>
          <w:trHeight w:val="1385"/>
        </w:trPr>
        <w:tc>
          <w:tcPr>
            <w:tcW w:w="4850" w:type="dxa"/>
            <w:tcBorders>
              <w:top w:val="single" w:sz="4" w:space="0" w:color="auto"/>
              <w:left w:val="single" w:sz="4" w:space="0" w:color="auto"/>
              <w:right w:val="single" w:sz="4" w:space="0" w:color="auto"/>
            </w:tcBorders>
          </w:tcPr>
          <w:p w:rsidR="00AB0274" w:rsidRDefault="00AB0274" w:rsidP="00AB0274">
            <w:pPr>
              <w:pStyle w:val="Heading2"/>
              <w:rPr>
                <w:i/>
                <w:sz w:val="24"/>
              </w:rPr>
            </w:pPr>
            <w:bookmarkStart w:id="5" w:name="_Toc249364477"/>
            <w:r w:rsidRPr="005F19C1">
              <w:rPr>
                <w:i/>
                <w:sz w:val="24"/>
              </w:rPr>
              <w:t>Implementing Partners:</w:t>
            </w:r>
            <w:bookmarkEnd w:id="5"/>
            <w:r w:rsidRPr="00234CC4">
              <w:rPr>
                <w:i/>
                <w:sz w:val="24"/>
              </w:rPr>
              <w:t xml:space="preserve"> </w:t>
            </w:r>
          </w:p>
          <w:p w:rsidR="00FC7908" w:rsidRPr="00FC7908" w:rsidRDefault="00FC7908" w:rsidP="00FC7908"/>
          <w:p w:rsidR="001A2C73" w:rsidRPr="001A2C73" w:rsidRDefault="00FC7908" w:rsidP="00FC7908">
            <w:pPr>
              <w:pStyle w:val="BodyText"/>
              <w:jc w:val="both"/>
            </w:pPr>
            <w:bookmarkStart w:id="6" w:name="_Toc249364478"/>
            <w:r>
              <w:rPr>
                <w:b/>
                <w:bCs/>
                <w:i/>
                <w:sz w:val="24"/>
              </w:rPr>
              <w:t xml:space="preserve">Ministry of National Defense </w:t>
            </w:r>
            <w:bookmarkEnd w:id="6"/>
          </w:p>
        </w:tc>
        <w:tc>
          <w:tcPr>
            <w:tcW w:w="269" w:type="dxa"/>
            <w:tcBorders>
              <w:left w:val="single" w:sz="4" w:space="0" w:color="auto"/>
              <w:right w:val="single" w:sz="4" w:space="0" w:color="auto"/>
            </w:tcBorders>
          </w:tcPr>
          <w:p w:rsidR="00AB0274" w:rsidRPr="00234CC4" w:rsidRDefault="00AB0274" w:rsidP="00986BA5">
            <w:pPr>
              <w:pStyle w:val="Heading2"/>
              <w:rPr>
                <w:sz w:val="24"/>
              </w:rPr>
            </w:pPr>
          </w:p>
        </w:tc>
        <w:tc>
          <w:tcPr>
            <w:tcW w:w="5001" w:type="dxa"/>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7" w:name="_Toc249364479"/>
            <w:r>
              <w:rPr>
                <w:i/>
                <w:sz w:val="24"/>
              </w:rPr>
              <w:t>Programme</w:t>
            </w:r>
            <w:r w:rsidRPr="005F19C1">
              <w:rPr>
                <w:i/>
                <w:sz w:val="24"/>
              </w:rPr>
              <w:t xml:space="preserve"> Budget</w:t>
            </w:r>
            <w:r>
              <w:rPr>
                <w:i/>
                <w:sz w:val="24"/>
              </w:rPr>
              <w:t xml:space="preserve"> (from the Fund)</w:t>
            </w:r>
            <w:r w:rsidRPr="005F19C1">
              <w:rPr>
                <w:i/>
                <w:sz w:val="24"/>
              </w:rPr>
              <w:t>:</w:t>
            </w:r>
            <w:bookmarkEnd w:id="7"/>
          </w:p>
          <w:p w:rsidR="00AB0274" w:rsidRPr="00AB0274" w:rsidRDefault="00AB0274" w:rsidP="00986BA5">
            <w:pPr>
              <w:rPr>
                <w:i/>
              </w:rPr>
            </w:pPr>
            <w:r w:rsidRPr="00AB0274">
              <w:rPr>
                <w:i/>
              </w:rPr>
              <w:t>For Joint Programme provide breakdown by UN Organization</w:t>
            </w:r>
          </w:p>
          <w:p w:rsidR="00AB0274" w:rsidRPr="004B5AAB" w:rsidRDefault="00AB0274" w:rsidP="00986BA5">
            <w:pPr>
              <w:rPr>
                <w:lang w:val="fr-FR"/>
              </w:rPr>
            </w:pPr>
            <w:r w:rsidRPr="004B5AAB">
              <w:rPr>
                <w:lang w:val="fr-FR"/>
              </w:rPr>
              <w:t>UN Org A:</w:t>
            </w:r>
          </w:p>
          <w:p w:rsidR="00AB0274" w:rsidRPr="004B5AAB" w:rsidRDefault="00AB0274" w:rsidP="00986BA5">
            <w:pPr>
              <w:rPr>
                <w:lang w:val="fr-FR"/>
              </w:rPr>
            </w:pPr>
            <w:r w:rsidRPr="004B5AAB">
              <w:rPr>
                <w:lang w:val="fr-FR"/>
              </w:rPr>
              <w:t>UN Org B:</w:t>
            </w:r>
          </w:p>
        </w:tc>
      </w:tr>
      <w:tr w:rsidR="00AB0274" w:rsidRPr="001A2C73">
        <w:trPr>
          <w:trHeight w:val="450"/>
        </w:trPr>
        <w:tc>
          <w:tcPr>
            <w:tcW w:w="4850" w:type="dxa"/>
            <w:tcBorders>
              <w:left w:val="single" w:sz="4" w:space="0" w:color="auto"/>
              <w:bottom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269" w:type="dxa"/>
            <w:tcBorders>
              <w:left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AB0274" w:rsidRPr="001A2C73" w:rsidRDefault="00AB0274" w:rsidP="00986BA5">
            <w:pPr>
              <w:pStyle w:val="BodyText"/>
              <w:rPr>
                <w:rFonts w:ascii="Times New Roman" w:hAnsi="Times New Roman"/>
                <w:sz w:val="24"/>
              </w:rPr>
            </w:pPr>
            <w:r w:rsidRPr="001A2C73">
              <w:rPr>
                <w:rFonts w:ascii="Times New Roman" w:hAnsi="Times New Roman"/>
                <w:sz w:val="24"/>
              </w:rPr>
              <w:t>Etc.</w:t>
            </w:r>
          </w:p>
        </w:tc>
      </w:tr>
      <w:tr w:rsidR="00B84BA4" w:rsidRPr="00892409">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B84BA4" w:rsidRDefault="00B84BA4" w:rsidP="00B84BA4">
            <w:bookmarkStart w:id="8" w:name="_Toc249364481"/>
          </w:p>
          <w:p w:rsidR="00B84BA4" w:rsidRDefault="00B84BA4" w:rsidP="00F7637C">
            <w:pPr>
              <w:pStyle w:val="Heading2"/>
              <w:rPr>
                <w:i/>
                <w:sz w:val="24"/>
              </w:rPr>
            </w:pPr>
            <w:r>
              <w:rPr>
                <w:i/>
                <w:sz w:val="24"/>
              </w:rPr>
              <w:t>Programme</w:t>
            </w:r>
            <w:r w:rsidRPr="005F19C1">
              <w:rPr>
                <w:i/>
                <w:sz w:val="24"/>
              </w:rPr>
              <w:t xml:space="preserve"> Duration</w:t>
            </w:r>
            <w:r>
              <w:rPr>
                <w:i/>
                <w:sz w:val="24"/>
              </w:rPr>
              <w:t xml:space="preserve"> (in months)</w:t>
            </w:r>
            <w:r w:rsidRPr="005F19C1">
              <w:rPr>
                <w:i/>
                <w:sz w:val="24"/>
              </w:rPr>
              <w:t>:</w:t>
            </w:r>
            <w:bookmarkEnd w:id="8"/>
          </w:p>
          <w:p w:rsidR="00B84BA4" w:rsidRDefault="00B84BA4" w:rsidP="00F7637C">
            <w:pPr>
              <w:pStyle w:val="BodyText"/>
              <w:rPr>
                <w:rFonts w:ascii="Times New Roman" w:hAnsi="Times New Roman"/>
                <w:sz w:val="24"/>
                <w:u w:val="single"/>
              </w:rPr>
            </w:pPr>
            <w:r>
              <w:rPr>
                <w:rFonts w:ascii="Times New Roman" w:hAnsi="Times New Roman"/>
                <w:sz w:val="24"/>
                <w:u w:val="single"/>
              </w:rPr>
              <w:t>Start date</w:t>
            </w:r>
            <w:r>
              <w:rPr>
                <w:rStyle w:val="FootnoteReference"/>
                <w:rFonts w:ascii="Times New Roman" w:hAnsi="Times New Roman"/>
                <w:sz w:val="24"/>
                <w:u w:val="single"/>
              </w:rPr>
              <w:footnoteReference w:id="3"/>
            </w:r>
            <w:r>
              <w:rPr>
                <w:rFonts w:ascii="Times New Roman" w:hAnsi="Times New Roman"/>
                <w:sz w:val="24"/>
                <w:u w:val="single"/>
              </w:rPr>
              <w:t>:</w:t>
            </w:r>
            <w:r w:rsidR="00FC7908">
              <w:rPr>
                <w:rFonts w:ascii="Times New Roman" w:hAnsi="Times New Roman"/>
                <w:sz w:val="24"/>
                <w:u w:val="single"/>
              </w:rPr>
              <w:t xml:space="preserve"> </w:t>
            </w:r>
            <w:r w:rsidR="00FC7908" w:rsidRPr="00FC7908">
              <w:rPr>
                <w:rFonts w:ascii="Times New Roman" w:hAnsi="Times New Roman"/>
                <w:sz w:val="24"/>
              </w:rPr>
              <w:t>29 May 2008</w:t>
            </w:r>
          </w:p>
          <w:p w:rsidR="00B84BA4" w:rsidRPr="00FC7908" w:rsidRDefault="00B84BA4" w:rsidP="00F7637C">
            <w:pPr>
              <w:pStyle w:val="BodyText"/>
              <w:rPr>
                <w:rFonts w:ascii="Times New Roman" w:hAnsi="Times New Roman"/>
                <w:sz w:val="24"/>
              </w:rPr>
            </w:pPr>
            <w:r>
              <w:rPr>
                <w:rFonts w:ascii="Times New Roman" w:hAnsi="Times New Roman"/>
                <w:sz w:val="24"/>
                <w:u w:val="single"/>
              </w:rPr>
              <w:t>End date</w:t>
            </w:r>
            <w:r w:rsidRPr="006D15B6">
              <w:rPr>
                <w:rFonts w:ascii="Times New Roman" w:hAnsi="Times New Roman"/>
                <w:sz w:val="24"/>
                <w:u w:val="single"/>
              </w:rPr>
              <w:t>:</w:t>
            </w:r>
            <w:r w:rsidR="00FC7908">
              <w:rPr>
                <w:rFonts w:ascii="Times New Roman" w:hAnsi="Times New Roman"/>
                <w:sz w:val="24"/>
                <w:u w:val="single"/>
              </w:rPr>
              <w:t xml:space="preserve"> </w:t>
            </w:r>
            <w:r w:rsidR="00FC7908" w:rsidRPr="00FC7908">
              <w:rPr>
                <w:rFonts w:ascii="Times New Roman" w:hAnsi="Times New Roman"/>
                <w:sz w:val="24"/>
              </w:rPr>
              <w:t>November 20</w:t>
            </w:r>
            <w:r w:rsidR="001332A2">
              <w:rPr>
                <w:rFonts w:ascii="Times New Roman" w:hAnsi="Times New Roman"/>
                <w:sz w:val="24"/>
              </w:rPr>
              <w:t>10</w:t>
            </w:r>
          </w:p>
          <w:p w:rsidR="00B84BA4" w:rsidRDefault="00B84BA4" w:rsidP="00F7637C">
            <w:pPr>
              <w:pStyle w:val="BodyText"/>
              <w:numPr>
                <w:ilvl w:val="0"/>
                <w:numId w:val="33"/>
              </w:numPr>
              <w:ind w:left="252" w:hanging="252"/>
              <w:rPr>
                <w:rFonts w:ascii="Times New Roman" w:hAnsi="Times New Roman"/>
                <w:i/>
                <w:sz w:val="24"/>
              </w:rPr>
            </w:pPr>
            <w:r>
              <w:rPr>
                <w:rFonts w:ascii="Times New Roman" w:hAnsi="Times New Roman"/>
                <w:i/>
                <w:sz w:val="24"/>
              </w:rPr>
              <w:t xml:space="preserve">Original end date </w:t>
            </w:r>
            <w:r w:rsidR="001332A2">
              <w:rPr>
                <w:rFonts w:ascii="Times New Roman" w:hAnsi="Times New Roman"/>
                <w:i/>
                <w:sz w:val="24"/>
              </w:rPr>
              <w:t>: November 20</w:t>
            </w:r>
            <w:r w:rsidR="0069698A">
              <w:rPr>
                <w:rFonts w:ascii="Times New Roman" w:hAnsi="Times New Roman"/>
                <w:i/>
                <w:sz w:val="24"/>
              </w:rPr>
              <w:t>09</w:t>
            </w:r>
          </w:p>
          <w:p w:rsidR="00B84BA4" w:rsidRPr="00234CC4" w:rsidRDefault="00B84BA4" w:rsidP="00F7637C">
            <w:pPr>
              <w:pStyle w:val="BodyText"/>
              <w:numPr>
                <w:ilvl w:val="0"/>
                <w:numId w:val="33"/>
              </w:numPr>
              <w:ind w:left="252" w:hanging="252"/>
              <w:rPr>
                <w:rFonts w:ascii="Times New Roman" w:hAnsi="Times New Roman"/>
                <w:i/>
                <w:sz w:val="24"/>
              </w:rPr>
            </w:pPr>
            <w:r>
              <w:rPr>
                <w:rFonts w:ascii="Times New Roman" w:hAnsi="Times New Roman"/>
                <w:i/>
                <w:sz w:val="24"/>
              </w:rPr>
              <w:t>Revised end date, if applicable</w:t>
            </w:r>
          </w:p>
          <w:p w:rsidR="00B84BA4" w:rsidRPr="00090D90" w:rsidRDefault="00B84BA4" w:rsidP="00F7637C">
            <w:pPr>
              <w:pStyle w:val="BodyText"/>
              <w:numPr>
                <w:ilvl w:val="0"/>
                <w:numId w:val="33"/>
              </w:numPr>
              <w:ind w:left="252" w:hanging="252"/>
              <w:rPr>
                <w:rFonts w:ascii="Times New Roman" w:hAnsi="Times New Roman"/>
                <w:i/>
                <w:sz w:val="24"/>
              </w:rPr>
            </w:pPr>
            <w:r w:rsidRPr="00090D90">
              <w:rPr>
                <w:rFonts w:ascii="Times New Roman" w:hAnsi="Times New Roman"/>
                <w:i/>
                <w:sz w:val="24"/>
              </w:rPr>
              <w:t>Operational Closure Date</w:t>
            </w:r>
            <w:r w:rsidRPr="00090D90">
              <w:rPr>
                <w:rStyle w:val="FootnoteReference"/>
              </w:rPr>
              <w:footnoteReference w:id="4"/>
            </w:r>
            <w:r>
              <w:rPr>
                <w:rFonts w:ascii="Times New Roman" w:hAnsi="Times New Roman"/>
                <w:i/>
                <w:sz w:val="24"/>
              </w:rPr>
              <w:t>, if applicable</w:t>
            </w:r>
            <w:r w:rsidRPr="00090D90">
              <w:rPr>
                <w:rFonts w:ascii="Times New Roman" w:hAnsi="Times New Roman"/>
                <w:i/>
                <w:sz w:val="24"/>
              </w:rPr>
              <w:t>:</w:t>
            </w:r>
          </w:p>
          <w:p w:rsidR="00B84BA4" w:rsidRPr="006D15B6" w:rsidRDefault="00B84BA4" w:rsidP="00F7637C">
            <w:pPr>
              <w:pStyle w:val="BodyText"/>
              <w:rPr>
                <w:rFonts w:ascii="Times New Roman" w:hAnsi="Times New Roman"/>
                <w:sz w:val="24"/>
                <w:u w:val="single"/>
              </w:rPr>
            </w:pPr>
            <w:r w:rsidRPr="006D15B6">
              <w:rPr>
                <w:rFonts w:ascii="Times New Roman" w:hAnsi="Times New Roman"/>
                <w:sz w:val="24"/>
                <w:u w:val="single"/>
              </w:rPr>
              <w:t>Budget Revisions/Extensions:</w:t>
            </w:r>
          </w:p>
          <w:p w:rsidR="00B84BA4" w:rsidRPr="00892409" w:rsidRDefault="00B84BA4" w:rsidP="00F7637C">
            <w:pPr>
              <w:pStyle w:val="Heading2"/>
              <w:rPr>
                <w:b w:val="0"/>
                <w:sz w:val="24"/>
              </w:rPr>
            </w:pPr>
            <w:r w:rsidRPr="00892409">
              <w:rPr>
                <w:b w:val="0"/>
                <w:i/>
                <w:sz w:val="24"/>
              </w:rPr>
              <w:t>List budget revisions and extensions, with approval dates, if applicable</w:t>
            </w:r>
            <w:r w:rsidRPr="00892409">
              <w:rPr>
                <w:b w:val="0"/>
                <w:i/>
                <w:color w:val="0000FF"/>
                <w:sz w:val="24"/>
              </w:rPr>
              <w:t xml:space="preserve"> </w:t>
            </w:r>
          </w:p>
        </w:tc>
      </w:tr>
    </w:tbl>
    <w:p w:rsidR="007877BB" w:rsidRDefault="007877BB" w:rsidP="007877BB">
      <w:pPr>
        <w:pStyle w:val="Heading1"/>
        <w:tabs>
          <w:tab w:val="left" w:pos="360"/>
        </w:tabs>
        <w:ind w:left="0"/>
        <w:jc w:val="left"/>
      </w:pPr>
    </w:p>
    <w:p w:rsidR="00240033" w:rsidRPr="00B32E35" w:rsidRDefault="00240033" w:rsidP="00240033">
      <w:pPr>
        <w:pStyle w:val="Heading1"/>
        <w:numPr>
          <w:ilvl w:val="0"/>
          <w:numId w:val="29"/>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Purpose</w:t>
      </w:r>
    </w:p>
    <w:p w:rsidR="00240033" w:rsidRPr="00240033" w:rsidRDefault="00240033" w:rsidP="00240033"/>
    <w:p w:rsidR="000C787C" w:rsidRPr="00725B78" w:rsidRDefault="00240033" w:rsidP="00725B78">
      <w:pPr>
        <w:pStyle w:val="Heading1"/>
        <w:tabs>
          <w:tab w:val="left" w:pos="360"/>
        </w:tabs>
        <w:ind w:left="0"/>
        <w:jc w:val="left"/>
        <w:rPr>
          <w:rFonts w:ascii="Times New Roman" w:hAnsi="Times New Roman" w:cs="Times New Roman"/>
          <w:sz w:val="24"/>
          <w:szCs w:val="24"/>
        </w:rPr>
      </w:pPr>
      <w:r>
        <w:t xml:space="preserve"> </w:t>
      </w:r>
    </w:p>
    <w:p w:rsidR="00E83F65" w:rsidRDefault="00E83F65" w:rsidP="00E83F65">
      <w:smartTag w:uri="urn:schemas-microsoft-com:office:smarttags" w:element="place">
        <w:smartTag w:uri="urn:schemas-microsoft-com:office:smarttags" w:element="country-region">
          <w:r>
            <w:t>Guinea-Bissau</w:t>
          </w:r>
        </w:smartTag>
      </w:smartTag>
      <w:r>
        <w:t xml:space="preserve"> is going through a process of relative and fragile peace which needs to be reinforced and consolidated through concrete measures aimed at preventing attempts to compromise an already-difficult situation through the use of force for purposes of justifying an action or resolving a dispute. </w:t>
      </w:r>
    </w:p>
    <w:p w:rsidR="00E83F65" w:rsidRDefault="00E83F65" w:rsidP="00E83F65"/>
    <w:p w:rsidR="00E83F65" w:rsidRDefault="00E83F65" w:rsidP="00E83F65">
      <w:r>
        <w:t xml:space="preserve">There is an urgent need to consolidate peace in </w:t>
      </w:r>
      <w:smartTag w:uri="urn:schemas-microsoft-com:office:smarttags" w:element="place">
        <w:smartTag w:uri="urn:schemas-microsoft-com:office:smarttags" w:element="country-region">
          <w:r>
            <w:t>Guinea-Bissau</w:t>
          </w:r>
        </w:smartTag>
      </w:smartTag>
      <w:r>
        <w:t xml:space="preserve"> through the promotion of normal functioning of </w:t>
      </w:r>
      <w:r w:rsidR="00546C7B">
        <w:t xml:space="preserve"> s</w:t>
      </w:r>
      <w:r>
        <w:t>tate institutions and in accordance with democratic norms and constitutional measures.</w:t>
      </w:r>
    </w:p>
    <w:p w:rsidR="00E83F65" w:rsidRDefault="00E83F65" w:rsidP="00E83F65"/>
    <w:p w:rsidR="00E83F65" w:rsidRDefault="00E83F65" w:rsidP="00E83F65">
      <w:r>
        <w:t xml:space="preserve">The economic and financial situation in </w:t>
      </w:r>
      <w:smartTag w:uri="urn:schemas-microsoft-com:office:smarttags" w:element="country-region">
        <w:smartTag w:uri="urn:schemas-microsoft-com:office:smarttags" w:element="place">
          <w:r>
            <w:t>Guinea-Bissau</w:t>
          </w:r>
        </w:smartTag>
      </w:smartTag>
      <w:r>
        <w:t xml:space="preserve"> does not permit the country to resolve the crucial and pressing problems it faces. Consequently, </w:t>
      </w:r>
      <w:smartTag w:uri="urn:schemas-microsoft-com:office:smarttags" w:element="country-region">
        <w:smartTag w:uri="urn:schemas-microsoft-com:office:smarttags" w:element="place">
          <w:r>
            <w:t>Guinea-Bissau</w:t>
          </w:r>
        </w:smartTag>
      </w:smartTag>
      <w:r>
        <w:t xml:space="preserve"> can only confront this difficult situation through the support of the international community, particularly the United Nations system.</w:t>
      </w:r>
    </w:p>
    <w:p w:rsidR="00E83F65" w:rsidRDefault="000C787C" w:rsidP="00AB0274">
      <w:r>
        <w:t xml:space="preserve"> </w:t>
      </w:r>
    </w:p>
    <w:p w:rsidR="000C787C" w:rsidRDefault="000C787C" w:rsidP="00AB0274">
      <w:r>
        <w:t>In this connection, Guinea-Bissau Armed Forces personnel are faced with the difficult problem of living in precarious and inhuman conditions in the military barracks – the dormitories are dilapidated, with bathhouses in an advanced state of degradation</w:t>
      </w:r>
      <w:r w:rsidR="00546C7B">
        <w:t>. These facilities lack</w:t>
      </w:r>
      <w:r>
        <w:t xml:space="preserve"> </w:t>
      </w:r>
      <w:r w:rsidR="00FF6297">
        <w:t xml:space="preserve">water </w:t>
      </w:r>
      <w:r w:rsidR="00546C7B">
        <w:t xml:space="preserve">and </w:t>
      </w:r>
      <w:r>
        <w:t>electric</w:t>
      </w:r>
      <w:r w:rsidR="00FF6297">
        <w:t>al supply or alternative sources of electric</w:t>
      </w:r>
      <w:r>
        <w:t>ity</w:t>
      </w:r>
      <w:r w:rsidR="00546C7B">
        <w:t xml:space="preserve"> and are</w:t>
      </w:r>
      <w:r w:rsidR="00FF6297">
        <w:t xml:space="preserve"> without proper kitchens or dining halls</w:t>
      </w:r>
      <w:r w:rsidR="00546C7B">
        <w:t xml:space="preserve">. These </w:t>
      </w:r>
      <w:r w:rsidR="0031799F">
        <w:t>deficiencies have</w:t>
      </w:r>
      <w:r w:rsidR="00FF6297">
        <w:t xml:space="preserve"> transformed the military barracks into p</w:t>
      </w:r>
      <w:r w:rsidR="00546C7B">
        <w:t>laces where diseases can fester and where safety is at risk given the cru</w:t>
      </w:r>
      <w:r w:rsidR="00FF6297">
        <w:t>mbling walls and falling roofs.</w:t>
      </w:r>
    </w:p>
    <w:p w:rsidR="00FF6297" w:rsidRDefault="00FF6297" w:rsidP="00AB0274"/>
    <w:p w:rsidR="00546C7B" w:rsidRDefault="00FF6297" w:rsidP="00AB0274">
      <w:r>
        <w:t xml:space="preserve">As almost all the military barracks were built in the colonial period and not been maintained over the years, they are in an advanced state of </w:t>
      </w:r>
      <w:r w:rsidR="00546C7B">
        <w:t>dilapidation. The</w:t>
      </w:r>
      <w:r w:rsidR="001F03AA">
        <w:t xml:space="preserve"> military barracks project aims to </w:t>
      </w:r>
    </w:p>
    <w:p w:rsidR="00546C7B" w:rsidRDefault="00546C7B" w:rsidP="00AB0274"/>
    <w:p w:rsidR="00546C7B" w:rsidRDefault="00546C7B" w:rsidP="00AB0274">
      <w:r>
        <w:t>1) Rehabilitate</w:t>
      </w:r>
      <w:r w:rsidR="001F03AA">
        <w:t xml:space="preserve"> 33 military barracks in 11 localities,</w:t>
      </w:r>
      <w:r w:rsidR="001167DA">
        <w:t xml:space="preserve"> in order to</w:t>
      </w:r>
      <w:r w:rsidR="001F03AA">
        <w:t xml:space="preserve"> improve the living conditions of more than 4,000 military personnel, </w:t>
      </w:r>
      <w:r w:rsidR="001167DA">
        <w:t>a</w:t>
      </w:r>
      <w:r>
        <w:t>nd</w:t>
      </w:r>
    </w:p>
    <w:p w:rsidR="00546C7B" w:rsidRDefault="00546C7B" w:rsidP="00AB0274"/>
    <w:p w:rsidR="001167DA" w:rsidRDefault="00546C7B" w:rsidP="00AB0274">
      <w:r>
        <w:t>2) Create</w:t>
      </w:r>
      <w:r w:rsidR="001167DA">
        <w:t xml:space="preserve"> a </w:t>
      </w:r>
      <w:r>
        <w:t>safe environment</w:t>
      </w:r>
      <w:r w:rsidR="001167DA">
        <w:t xml:space="preserve"> in the</w:t>
      </w:r>
      <w:r>
        <w:t xml:space="preserve"> military</w:t>
      </w:r>
      <w:r w:rsidR="001167DA">
        <w:t xml:space="preserve"> barracks</w:t>
      </w:r>
      <w:r>
        <w:t>,</w:t>
      </w:r>
      <w:r w:rsidR="001167DA">
        <w:t xml:space="preserve"> thus reduc</w:t>
      </w:r>
      <w:r>
        <w:t>ing</w:t>
      </w:r>
      <w:r w:rsidR="001167DA">
        <w:t xml:space="preserve"> prospects for discontentment and revolt. </w:t>
      </w:r>
      <w:r>
        <w:t>One of the overall objectives of t</w:t>
      </w:r>
      <w:r w:rsidR="001167DA">
        <w:t xml:space="preserve">his project </w:t>
      </w:r>
      <w:r>
        <w:t>is to</w:t>
      </w:r>
      <w:r w:rsidR="001167DA">
        <w:t xml:space="preserve"> reinforce the process of peace stabilization.</w:t>
      </w:r>
    </w:p>
    <w:p w:rsidR="000E3698" w:rsidRDefault="000E3698" w:rsidP="00AB0274"/>
    <w:p w:rsidR="00356BB8" w:rsidRDefault="00E83F65" w:rsidP="00AB0274">
      <w:r>
        <w:t>Implementing this present short-term project for the rehabilitation of dormitories, service areas, water supply</w:t>
      </w:r>
      <w:r w:rsidR="0031799F">
        <w:t xml:space="preserve"> and</w:t>
      </w:r>
      <w:r>
        <w:t xml:space="preserve"> bathhouses could be seen as </w:t>
      </w:r>
      <w:r w:rsidR="0031799F">
        <w:t xml:space="preserve">the government </w:t>
      </w:r>
      <w:r w:rsidR="00DC1A28">
        <w:t>being proactive</w:t>
      </w:r>
      <w:r>
        <w:t xml:space="preserve"> and </w:t>
      </w:r>
      <w:r w:rsidR="0031799F">
        <w:t xml:space="preserve">the international community partnering </w:t>
      </w:r>
      <w:r w:rsidR="00356BB8">
        <w:t>to achieve the consolidation of sustainable peace and stability.</w:t>
      </w:r>
    </w:p>
    <w:p w:rsidR="00356BB8" w:rsidRDefault="00356BB8" w:rsidP="00AB0274"/>
    <w:p w:rsidR="001167DA" w:rsidRDefault="007777AC" w:rsidP="00AB0274">
      <w:r>
        <w:t xml:space="preserve">The project was designed to be executed in four sectors, corresponding to the 4 geographical areas involved, and implementation will start simultaneously in theses four areas. This approach will help facilitate follow up and monitoring, as well as ensure that the impact of the project is felt across the board. </w:t>
      </w:r>
    </w:p>
    <w:p w:rsidR="007777AC" w:rsidRDefault="007777AC" w:rsidP="007777AC">
      <w:pPr>
        <w:numPr>
          <w:ilvl w:val="0"/>
          <w:numId w:val="46"/>
        </w:numPr>
      </w:pPr>
      <w:r>
        <w:t>East sector : Bafata and Gabu</w:t>
      </w:r>
    </w:p>
    <w:p w:rsidR="007777AC" w:rsidRDefault="007777AC" w:rsidP="007777AC">
      <w:pPr>
        <w:numPr>
          <w:ilvl w:val="0"/>
          <w:numId w:val="46"/>
        </w:numPr>
      </w:pPr>
      <w:r>
        <w:t>South sector: Quebo and Buba</w:t>
      </w:r>
    </w:p>
    <w:p w:rsidR="007777AC" w:rsidRDefault="007777AC" w:rsidP="007777AC">
      <w:pPr>
        <w:numPr>
          <w:ilvl w:val="0"/>
          <w:numId w:val="46"/>
        </w:numPr>
      </w:pPr>
      <w:r>
        <w:t>North sector: Cantchungo and Buba</w:t>
      </w:r>
      <w:r w:rsidR="00240033">
        <w:t>.</w:t>
      </w:r>
    </w:p>
    <w:p w:rsidR="00240033" w:rsidRDefault="00240033" w:rsidP="00240033"/>
    <w:p w:rsidR="00240033" w:rsidRDefault="00240033" w:rsidP="00240033"/>
    <w:p w:rsidR="00240033" w:rsidRDefault="00240033" w:rsidP="00240033"/>
    <w:p w:rsidR="00240033" w:rsidRDefault="00240033" w:rsidP="00240033"/>
    <w:p w:rsidR="00736FBB" w:rsidRDefault="00736FBB" w:rsidP="00736FBB"/>
    <w:p w:rsidR="0015402D" w:rsidRPr="00B32E35" w:rsidRDefault="0015402D" w:rsidP="0015402D">
      <w:pPr>
        <w:pStyle w:val="Heading1"/>
        <w:numPr>
          <w:ilvl w:val="0"/>
          <w:numId w:val="29"/>
        </w:numPr>
        <w:tabs>
          <w:tab w:val="left" w:pos="360"/>
        </w:tabs>
        <w:ind w:left="360" w:hanging="360"/>
        <w:jc w:val="left"/>
        <w:rPr>
          <w:rFonts w:ascii="Times New Roman" w:hAnsi="Times New Roman" w:cs="Times New Roman"/>
          <w:sz w:val="24"/>
          <w:szCs w:val="24"/>
        </w:rPr>
      </w:pPr>
      <w:r w:rsidRPr="00B32E35">
        <w:rPr>
          <w:rFonts w:ascii="Times New Roman" w:hAnsi="Times New Roman" w:cs="Times New Roman"/>
          <w:sz w:val="24"/>
          <w:szCs w:val="24"/>
        </w:rPr>
        <w:t xml:space="preserve">Resources </w:t>
      </w:r>
    </w:p>
    <w:p w:rsidR="0015402D" w:rsidRPr="00234CC4" w:rsidRDefault="0015402D" w:rsidP="0015402D">
      <w:pPr>
        <w:pStyle w:val="BodyText"/>
        <w:ind w:left="360"/>
        <w:rPr>
          <w:rFonts w:ascii="Times New Roman" w:hAnsi="Times New Roman"/>
          <w:i/>
          <w:sz w:val="24"/>
        </w:rPr>
      </w:pPr>
      <w:r w:rsidRPr="006B734C">
        <w:rPr>
          <w:rFonts w:ascii="Times New Roman" w:hAnsi="Times New Roman"/>
          <w:b/>
          <w:i/>
          <w:sz w:val="24"/>
        </w:rPr>
        <w:t>Financial Resources</w:t>
      </w:r>
      <w:r w:rsidRPr="00234CC4">
        <w:rPr>
          <w:rFonts w:ascii="Times New Roman" w:hAnsi="Times New Roman"/>
          <w:i/>
          <w:sz w:val="24"/>
        </w:rPr>
        <w:t>:</w:t>
      </w:r>
    </w:p>
    <w:p w:rsidR="00725B78" w:rsidRDefault="00725B78" w:rsidP="00240033">
      <w:pPr>
        <w:pStyle w:val="BodyText"/>
        <w:ind w:left="360"/>
        <w:jc w:val="both"/>
        <w:rPr>
          <w:rFonts w:ascii="Times New Roman" w:hAnsi="Times New Roman"/>
          <w:sz w:val="24"/>
        </w:rPr>
      </w:pPr>
    </w:p>
    <w:p w:rsidR="00725B78" w:rsidRDefault="00725B78" w:rsidP="006B734C">
      <w:pPr>
        <w:pStyle w:val="BodyText"/>
        <w:jc w:val="both"/>
        <w:rPr>
          <w:rFonts w:ascii="Times New Roman" w:hAnsi="Times New Roman"/>
          <w:sz w:val="24"/>
        </w:rPr>
      </w:pPr>
      <w:r>
        <w:rPr>
          <w:rFonts w:ascii="Times New Roman" w:hAnsi="Times New Roman"/>
          <w:sz w:val="24"/>
        </w:rPr>
        <w:t>The total budget allocated to the project is USD 1,9</w:t>
      </w:r>
      <w:r w:rsidR="00EC3182">
        <w:rPr>
          <w:rFonts w:ascii="Times New Roman" w:hAnsi="Times New Roman"/>
          <w:sz w:val="24"/>
        </w:rPr>
        <w:t>0</w:t>
      </w:r>
      <w:r>
        <w:rPr>
          <w:rFonts w:ascii="Times New Roman" w:hAnsi="Times New Roman"/>
          <w:sz w:val="24"/>
        </w:rPr>
        <w:t>5,000 including a 7% indirect cost estimated at US $ 124,626.17.</w:t>
      </w:r>
    </w:p>
    <w:p w:rsidR="00CE10A3" w:rsidRDefault="00CE10A3" w:rsidP="0015402D">
      <w:pPr>
        <w:pStyle w:val="BodyText"/>
        <w:rPr>
          <w:rFonts w:ascii="Times New Roman" w:hAnsi="Times New Roman"/>
          <w:sz w:val="24"/>
        </w:rPr>
      </w:pPr>
    </w:p>
    <w:p w:rsidR="00CE10A3" w:rsidRPr="00234CC4" w:rsidRDefault="00CE10A3" w:rsidP="0015402D">
      <w:pPr>
        <w:pStyle w:val="BodyText"/>
        <w:rPr>
          <w:rFonts w:ascii="Times New Roman" w:hAnsi="Times New Roman"/>
          <w:sz w:val="24"/>
        </w:rPr>
      </w:pPr>
      <w:r>
        <w:rPr>
          <w:rFonts w:ascii="Times New Roman" w:hAnsi="Times New Roman"/>
          <w:sz w:val="24"/>
        </w:rPr>
        <w:t xml:space="preserve">According to the technical team and following the assessment </w:t>
      </w:r>
      <w:r w:rsidR="00EC3182">
        <w:rPr>
          <w:rFonts w:ascii="Times New Roman" w:hAnsi="Times New Roman"/>
          <w:sz w:val="24"/>
        </w:rPr>
        <w:t>made</w:t>
      </w:r>
      <w:r>
        <w:rPr>
          <w:rFonts w:ascii="Times New Roman" w:hAnsi="Times New Roman"/>
          <w:sz w:val="24"/>
        </w:rPr>
        <w:t>, the budget of US$ 1,905,000 allocated to the project is not sufficient to meet the real needs.</w:t>
      </w:r>
      <w:r w:rsidR="0015402D">
        <w:rPr>
          <w:rFonts w:ascii="Times New Roman" w:hAnsi="Times New Roman"/>
          <w:sz w:val="24"/>
        </w:rPr>
        <w:t xml:space="preserve"> </w:t>
      </w:r>
      <w:r>
        <w:rPr>
          <w:rFonts w:ascii="Times New Roman" w:hAnsi="Times New Roman"/>
          <w:sz w:val="24"/>
        </w:rPr>
        <w:t>Therefore, the national implementing partners suggested exclud</w:t>
      </w:r>
      <w:r w:rsidR="00017FC5">
        <w:rPr>
          <w:rFonts w:ascii="Times New Roman" w:hAnsi="Times New Roman"/>
          <w:sz w:val="24"/>
        </w:rPr>
        <w:t>ing</w:t>
      </w:r>
      <w:r>
        <w:rPr>
          <w:rFonts w:ascii="Times New Roman" w:hAnsi="Times New Roman"/>
          <w:sz w:val="24"/>
        </w:rPr>
        <w:t xml:space="preserve"> the dormitories and services areas and to rehabilitate only the sanitation areas, the kitchen areas and the dining halls.</w:t>
      </w:r>
      <w:r w:rsidR="00EC3182">
        <w:rPr>
          <w:rFonts w:ascii="Times New Roman" w:hAnsi="Times New Roman"/>
          <w:sz w:val="24"/>
        </w:rPr>
        <w:t xml:space="preserve"> The technical </w:t>
      </w:r>
      <w:r w:rsidR="003E5EE0">
        <w:rPr>
          <w:rFonts w:ascii="Times New Roman" w:hAnsi="Times New Roman"/>
          <w:sz w:val="24"/>
        </w:rPr>
        <w:t xml:space="preserve">team </w:t>
      </w:r>
      <w:r w:rsidR="00017FC5">
        <w:rPr>
          <w:rFonts w:ascii="Times New Roman" w:hAnsi="Times New Roman"/>
          <w:sz w:val="24"/>
        </w:rPr>
        <w:t xml:space="preserve">also </w:t>
      </w:r>
      <w:r>
        <w:rPr>
          <w:rFonts w:ascii="Times New Roman" w:hAnsi="Times New Roman"/>
          <w:sz w:val="24"/>
        </w:rPr>
        <w:t>recommended</w:t>
      </w:r>
      <w:r w:rsidR="003E5EE0">
        <w:rPr>
          <w:rFonts w:ascii="Times New Roman" w:hAnsi="Times New Roman"/>
          <w:sz w:val="24"/>
        </w:rPr>
        <w:t xml:space="preserve"> </w:t>
      </w:r>
      <w:r>
        <w:rPr>
          <w:rFonts w:ascii="Times New Roman" w:hAnsi="Times New Roman"/>
          <w:sz w:val="24"/>
        </w:rPr>
        <w:t>the selection of units/surfaces to be rehabilitated during the first phase.</w:t>
      </w:r>
    </w:p>
    <w:p w:rsidR="00736FBB" w:rsidRDefault="00736FBB" w:rsidP="00736FBB"/>
    <w:p w:rsidR="00226A7A" w:rsidRDefault="00226A7A" w:rsidP="00226A7A">
      <w:pPr>
        <w:pStyle w:val="BodyText"/>
        <w:ind w:left="360"/>
        <w:rPr>
          <w:rFonts w:ascii="Times New Roman" w:hAnsi="Times New Roman"/>
          <w:i/>
          <w:sz w:val="24"/>
        </w:rPr>
      </w:pPr>
      <w:r w:rsidRPr="006B734C">
        <w:rPr>
          <w:rFonts w:ascii="Times New Roman" w:hAnsi="Times New Roman"/>
          <w:b/>
          <w:i/>
          <w:sz w:val="24"/>
        </w:rPr>
        <w:t>Human Resources</w:t>
      </w:r>
      <w:r w:rsidRPr="00234CC4">
        <w:rPr>
          <w:rFonts w:ascii="Times New Roman" w:hAnsi="Times New Roman"/>
          <w:i/>
          <w:sz w:val="24"/>
        </w:rPr>
        <w:t>:</w:t>
      </w:r>
    </w:p>
    <w:p w:rsidR="006B734C" w:rsidRPr="00234CC4" w:rsidRDefault="006B734C" w:rsidP="00226A7A">
      <w:pPr>
        <w:pStyle w:val="BodyText"/>
        <w:ind w:left="360"/>
        <w:rPr>
          <w:rFonts w:ascii="Times New Roman" w:hAnsi="Times New Roman"/>
          <w:i/>
          <w:sz w:val="24"/>
        </w:rPr>
      </w:pPr>
    </w:p>
    <w:p w:rsidR="007C0631" w:rsidRDefault="006B734C" w:rsidP="00AB0274">
      <w:r>
        <w:t>Du</w:t>
      </w:r>
      <w:r w:rsidR="00AE3923">
        <w:t>ring the first quarter 2009, a</w:t>
      </w:r>
      <w:r w:rsidR="00226A7A">
        <w:t xml:space="preserve"> team of 0</w:t>
      </w:r>
      <w:r w:rsidR="004A0305">
        <w:t>4</w:t>
      </w:r>
      <w:r w:rsidR="00226A7A">
        <w:t xml:space="preserve"> staff were recruited </w:t>
      </w:r>
      <w:r w:rsidR="004A0305">
        <w:t>in the UNOPS Unit in Guinea Bissau:  01 civil engineer, 01 senior technician and 01 Liaison Officer</w:t>
      </w:r>
      <w:r w:rsidR="00AE3923">
        <w:t xml:space="preserve">. One </w:t>
      </w:r>
      <w:r w:rsidR="004A0305">
        <w:t>International Architect</w:t>
      </w:r>
      <w:r w:rsidR="00AE3923">
        <w:t xml:space="preserve"> was also recruited as</w:t>
      </w:r>
      <w:r w:rsidR="004A0305">
        <w:t xml:space="preserve"> Project Manager</w:t>
      </w:r>
      <w:r w:rsidR="007C0631">
        <w:t>.</w:t>
      </w:r>
    </w:p>
    <w:p w:rsidR="00240033" w:rsidRDefault="00240033" w:rsidP="00AB0274"/>
    <w:p w:rsidR="00240033" w:rsidRDefault="00240033" w:rsidP="00240033">
      <w:pPr>
        <w:pStyle w:val="BodyText"/>
        <w:rPr>
          <w:rFonts w:ascii="Times New Roman" w:hAnsi="Times New Roman"/>
          <w:sz w:val="24"/>
        </w:rPr>
      </w:pPr>
      <w:r>
        <w:rPr>
          <w:rFonts w:ascii="Times New Roman" w:hAnsi="Times New Roman"/>
          <w:sz w:val="24"/>
        </w:rPr>
        <w:t>UNOPS has set up an operational Unit to start field study and technical evaluation of water bore holes of the military barracks and units to be rehabilitated (</w:t>
      </w:r>
      <w:smartTag w:uri="urn:schemas-microsoft-com:office:smarttags" w:element="City">
        <w:smartTag w:uri="urn:schemas-microsoft-com:office:smarttags" w:element="place">
          <w:r>
            <w:rPr>
              <w:rFonts w:ascii="Times New Roman" w:hAnsi="Times New Roman"/>
              <w:sz w:val="24"/>
            </w:rPr>
            <w:t>Bissau</w:t>
          </w:r>
        </w:smartTag>
      </w:smartTag>
      <w:r>
        <w:rPr>
          <w:rFonts w:ascii="Times New Roman" w:hAnsi="Times New Roman"/>
          <w:sz w:val="24"/>
        </w:rPr>
        <w:t>, Quebo, Buba, Mansoa, Canchungo, Gabu and Bafata). The study was carried out in order to prepare the statement of works.</w:t>
      </w:r>
    </w:p>
    <w:p w:rsidR="00240033" w:rsidRDefault="00240033" w:rsidP="00AB0274"/>
    <w:p w:rsidR="003E5EE0" w:rsidRDefault="00240033" w:rsidP="003E5EE0">
      <w:pPr>
        <w:pStyle w:val="BodyText"/>
        <w:rPr>
          <w:rFonts w:ascii="Times New Roman" w:hAnsi="Times New Roman"/>
          <w:sz w:val="24"/>
        </w:rPr>
      </w:pPr>
      <w:r>
        <w:rPr>
          <w:rFonts w:ascii="Times New Roman" w:hAnsi="Times New Roman"/>
          <w:sz w:val="24"/>
        </w:rPr>
        <w:t xml:space="preserve">During the last quarter of 2009, </w:t>
      </w:r>
      <w:r w:rsidR="003E5EE0">
        <w:rPr>
          <w:rFonts w:ascii="Times New Roman" w:hAnsi="Times New Roman"/>
          <w:sz w:val="24"/>
        </w:rPr>
        <w:t>UNOPS technical team has been strengthened: 2 national architects and 1 administrative assistant have been contracted while the international architect in charge of the coordination of the project has concluded her contract end of December 2009.</w:t>
      </w:r>
    </w:p>
    <w:p w:rsidR="00C36442" w:rsidRDefault="00C36442" w:rsidP="003E5EE0">
      <w:pPr>
        <w:pStyle w:val="BodyText"/>
        <w:rPr>
          <w:rFonts w:ascii="Times New Roman" w:hAnsi="Times New Roman"/>
          <w:sz w:val="24"/>
        </w:rPr>
      </w:pPr>
    </w:p>
    <w:p w:rsidR="00C36442" w:rsidRDefault="00C36442" w:rsidP="003E5EE0">
      <w:pPr>
        <w:pStyle w:val="BodyText"/>
        <w:rPr>
          <w:rFonts w:ascii="Times New Roman" w:hAnsi="Times New Roman"/>
          <w:sz w:val="24"/>
        </w:rPr>
      </w:pPr>
      <w:r>
        <w:rPr>
          <w:rFonts w:ascii="Times New Roman" w:hAnsi="Times New Roman"/>
          <w:sz w:val="24"/>
        </w:rPr>
        <w:t>After a competitive process, the position of the international architect has been fulfilled by a national architect who is also appointed as project manager for the coordination of the project’s activities.</w:t>
      </w:r>
    </w:p>
    <w:p w:rsidR="00F032B9" w:rsidRDefault="00F032B9" w:rsidP="003E5EE0">
      <w:pPr>
        <w:pStyle w:val="BodyText"/>
        <w:rPr>
          <w:rFonts w:ascii="Times New Roman" w:hAnsi="Times New Roman"/>
          <w:sz w:val="24"/>
        </w:rPr>
      </w:pPr>
    </w:p>
    <w:p w:rsidR="007C0631" w:rsidRPr="00B32E35" w:rsidRDefault="007C0631" w:rsidP="007C0631">
      <w:pPr>
        <w:pStyle w:val="Heading1"/>
        <w:numPr>
          <w:ilvl w:val="0"/>
          <w:numId w:val="29"/>
        </w:numPr>
        <w:tabs>
          <w:tab w:val="left" w:pos="360"/>
        </w:tabs>
        <w:ind w:left="360" w:hanging="360"/>
        <w:jc w:val="left"/>
        <w:rPr>
          <w:rFonts w:ascii="Times New Roman" w:hAnsi="Times New Roman" w:cs="Times New Roman"/>
          <w:sz w:val="24"/>
          <w:szCs w:val="24"/>
        </w:rPr>
      </w:pPr>
      <w:r w:rsidRPr="00B32E35">
        <w:rPr>
          <w:rFonts w:ascii="Times New Roman" w:hAnsi="Times New Roman" w:cs="Times New Roman"/>
          <w:sz w:val="24"/>
          <w:szCs w:val="24"/>
        </w:rPr>
        <w:t>Implementation and Monitoring Arrangements</w:t>
      </w:r>
    </w:p>
    <w:p w:rsidR="007C0631" w:rsidRDefault="007C0631" w:rsidP="007C0631">
      <w:pPr>
        <w:pStyle w:val="BodyText"/>
        <w:rPr>
          <w:rFonts w:ascii="Times New Roman" w:hAnsi="Times New Roman"/>
          <w:b/>
          <w:sz w:val="24"/>
        </w:rPr>
      </w:pPr>
    </w:p>
    <w:p w:rsidR="00A850F3" w:rsidRDefault="007C0631" w:rsidP="007C0631">
      <w:pPr>
        <w:pStyle w:val="BodyText"/>
        <w:rPr>
          <w:rFonts w:ascii="Times New Roman" w:hAnsi="Times New Roman"/>
          <w:sz w:val="24"/>
        </w:rPr>
      </w:pPr>
      <w:r w:rsidRPr="007C0631">
        <w:rPr>
          <w:rFonts w:ascii="Times New Roman" w:hAnsi="Times New Roman"/>
          <w:sz w:val="24"/>
        </w:rPr>
        <w:t xml:space="preserve">At the </w:t>
      </w:r>
      <w:r w:rsidR="00017FC5">
        <w:rPr>
          <w:rFonts w:ascii="Times New Roman" w:hAnsi="Times New Roman"/>
          <w:sz w:val="24"/>
        </w:rPr>
        <w:t>onset</w:t>
      </w:r>
      <w:r w:rsidRPr="007C0631">
        <w:rPr>
          <w:rFonts w:ascii="Times New Roman" w:hAnsi="Times New Roman"/>
          <w:sz w:val="24"/>
        </w:rPr>
        <w:t xml:space="preserve"> of th</w:t>
      </w:r>
      <w:r>
        <w:rPr>
          <w:rFonts w:ascii="Times New Roman" w:hAnsi="Times New Roman"/>
          <w:sz w:val="24"/>
        </w:rPr>
        <w:t>e project</w:t>
      </w:r>
      <w:r w:rsidR="000E3698">
        <w:rPr>
          <w:rFonts w:ascii="Times New Roman" w:hAnsi="Times New Roman"/>
          <w:sz w:val="24"/>
        </w:rPr>
        <w:t>’s</w:t>
      </w:r>
      <w:r>
        <w:rPr>
          <w:rFonts w:ascii="Times New Roman" w:hAnsi="Times New Roman"/>
          <w:sz w:val="24"/>
        </w:rPr>
        <w:t xml:space="preserve"> activities</w:t>
      </w:r>
      <w:r w:rsidR="00771B50">
        <w:rPr>
          <w:rFonts w:ascii="Times New Roman" w:hAnsi="Times New Roman"/>
          <w:sz w:val="24"/>
        </w:rPr>
        <w:t xml:space="preserve">, the technical team started the field study and technical evaluation of water bore holes of the military barracks and units to be rehabilitated in order to prepare the statement of works. </w:t>
      </w:r>
    </w:p>
    <w:p w:rsidR="00A850F3" w:rsidRDefault="00A850F3" w:rsidP="007C0631">
      <w:pPr>
        <w:pStyle w:val="BodyText"/>
        <w:rPr>
          <w:rFonts w:ascii="Times New Roman" w:hAnsi="Times New Roman"/>
          <w:sz w:val="24"/>
        </w:rPr>
      </w:pPr>
    </w:p>
    <w:p w:rsidR="00A4678C" w:rsidRDefault="00A850F3" w:rsidP="007C0631">
      <w:pPr>
        <w:pStyle w:val="BodyText"/>
        <w:rPr>
          <w:rFonts w:ascii="Times New Roman" w:hAnsi="Times New Roman"/>
          <w:sz w:val="24"/>
        </w:rPr>
      </w:pPr>
      <w:r>
        <w:rPr>
          <w:rFonts w:ascii="Times New Roman" w:hAnsi="Times New Roman"/>
          <w:sz w:val="24"/>
        </w:rPr>
        <w:t xml:space="preserve">Since the budget of USD 1,900,000 allocated to </w:t>
      </w:r>
      <w:r w:rsidR="00EC3182">
        <w:rPr>
          <w:rFonts w:ascii="Times New Roman" w:hAnsi="Times New Roman"/>
          <w:sz w:val="24"/>
        </w:rPr>
        <w:t>this activity</w:t>
      </w:r>
      <w:r>
        <w:rPr>
          <w:rFonts w:ascii="Times New Roman" w:hAnsi="Times New Roman"/>
          <w:sz w:val="24"/>
        </w:rPr>
        <w:t xml:space="preserve"> is remarkably inferior to the actual needs, the national implementing partners suggested to exclude the dormitories and service areas and to only rehabilitate the sanitation areas, the kitchen and the dining </w:t>
      </w:r>
      <w:r w:rsidR="00EC3182">
        <w:rPr>
          <w:rFonts w:ascii="Times New Roman" w:hAnsi="Times New Roman"/>
          <w:sz w:val="24"/>
        </w:rPr>
        <w:t>halls. Based on this, t</w:t>
      </w:r>
      <w:r w:rsidR="00A4678C">
        <w:rPr>
          <w:rFonts w:ascii="Times New Roman" w:hAnsi="Times New Roman"/>
          <w:sz w:val="24"/>
        </w:rPr>
        <w:t>he Statement of works was drafted and submitted to the Ministry of National Defense for official approval in June 2009.</w:t>
      </w:r>
    </w:p>
    <w:p w:rsidR="00945BC9" w:rsidRDefault="00945BC9" w:rsidP="007C0631">
      <w:pPr>
        <w:pStyle w:val="BodyText"/>
        <w:rPr>
          <w:rFonts w:ascii="Times New Roman" w:hAnsi="Times New Roman"/>
          <w:sz w:val="24"/>
        </w:rPr>
      </w:pPr>
    </w:p>
    <w:p w:rsidR="00C33026" w:rsidRDefault="00945BC9" w:rsidP="00C33026">
      <w:pPr>
        <w:pStyle w:val="BodyText"/>
        <w:rPr>
          <w:rFonts w:ascii="Times New Roman" w:hAnsi="Times New Roman"/>
          <w:sz w:val="24"/>
        </w:rPr>
      </w:pPr>
      <w:r>
        <w:rPr>
          <w:rFonts w:ascii="Times New Roman" w:hAnsi="Times New Roman"/>
          <w:sz w:val="24"/>
        </w:rPr>
        <w:t xml:space="preserve">In August 2009, the </w:t>
      </w:r>
      <w:r w:rsidR="003E5EE0">
        <w:rPr>
          <w:rFonts w:ascii="Times New Roman" w:hAnsi="Times New Roman"/>
          <w:sz w:val="24"/>
        </w:rPr>
        <w:t>Management Committee</w:t>
      </w:r>
      <w:r>
        <w:rPr>
          <w:rFonts w:ascii="Times New Roman" w:hAnsi="Times New Roman"/>
          <w:sz w:val="24"/>
        </w:rPr>
        <w:t xml:space="preserve"> presented a reformulation</w:t>
      </w:r>
      <w:r w:rsidR="003E5EE0">
        <w:rPr>
          <w:rFonts w:ascii="Times New Roman" w:hAnsi="Times New Roman"/>
          <w:sz w:val="24"/>
        </w:rPr>
        <w:t xml:space="preserve"> of the project</w:t>
      </w:r>
      <w:r>
        <w:rPr>
          <w:rFonts w:ascii="Times New Roman" w:hAnsi="Times New Roman"/>
          <w:sz w:val="24"/>
        </w:rPr>
        <w:t xml:space="preserve"> </w:t>
      </w:r>
      <w:r w:rsidR="001F76E6">
        <w:rPr>
          <w:rFonts w:ascii="Times New Roman" w:hAnsi="Times New Roman"/>
          <w:sz w:val="24"/>
        </w:rPr>
        <w:t xml:space="preserve">which </w:t>
      </w:r>
      <w:r w:rsidR="00017FC5">
        <w:rPr>
          <w:rFonts w:ascii="Times New Roman" w:hAnsi="Times New Roman"/>
          <w:sz w:val="24"/>
        </w:rPr>
        <w:t xml:space="preserve">took into consideration </w:t>
      </w:r>
      <w:r w:rsidR="00D8475A">
        <w:rPr>
          <w:rFonts w:ascii="Times New Roman" w:hAnsi="Times New Roman"/>
          <w:sz w:val="24"/>
        </w:rPr>
        <w:t>the</w:t>
      </w:r>
      <w:r w:rsidR="00DE4FAB">
        <w:rPr>
          <w:rFonts w:ascii="Times New Roman" w:hAnsi="Times New Roman"/>
          <w:sz w:val="24"/>
        </w:rPr>
        <w:t xml:space="preserve"> to</w:t>
      </w:r>
      <w:r w:rsidR="00406032">
        <w:rPr>
          <w:rFonts w:ascii="Times New Roman" w:hAnsi="Times New Roman"/>
          <w:sz w:val="24"/>
        </w:rPr>
        <w:t xml:space="preserve">tal </w:t>
      </w:r>
      <w:r w:rsidR="00D8475A">
        <w:rPr>
          <w:rFonts w:ascii="Times New Roman" w:hAnsi="Times New Roman"/>
          <w:sz w:val="24"/>
        </w:rPr>
        <w:t>rehabilitation of</w:t>
      </w:r>
      <w:r w:rsidR="00406032">
        <w:rPr>
          <w:rFonts w:ascii="Times New Roman" w:hAnsi="Times New Roman"/>
          <w:sz w:val="24"/>
        </w:rPr>
        <w:t xml:space="preserve"> the unit</w:t>
      </w:r>
      <w:r w:rsidR="00DE4FAB">
        <w:rPr>
          <w:rFonts w:ascii="Times New Roman" w:hAnsi="Times New Roman"/>
          <w:sz w:val="24"/>
        </w:rPr>
        <w:t>s located in Gabu, Quebo and Amura</w:t>
      </w:r>
      <w:r w:rsidR="00406032">
        <w:rPr>
          <w:rFonts w:ascii="Times New Roman" w:hAnsi="Times New Roman"/>
          <w:sz w:val="24"/>
        </w:rPr>
        <w:t xml:space="preserve">, including </w:t>
      </w:r>
      <w:r>
        <w:rPr>
          <w:rFonts w:ascii="Times New Roman" w:hAnsi="Times New Roman"/>
          <w:sz w:val="24"/>
        </w:rPr>
        <w:t>a new chronogram of the activities</w:t>
      </w:r>
      <w:r w:rsidR="00406032">
        <w:rPr>
          <w:rFonts w:ascii="Times New Roman" w:hAnsi="Times New Roman"/>
          <w:sz w:val="24"/>
        </w:rPr>
        <w:t>.</w:t>
      </w:r>
      <w:r w:rsidR="00C33026">
        <w:rPr>
          <w:rFonts w:ascii="Times New Roman" w:hAnsi="Times New Roman"/>
          <w:sz w:val="24"/>
        </w:rPr>
        <w:t xml:space="preserve"> The reformulation affected the output number 1 of the project</w:t>
      </w:r>
      <w:r w:rsidR="00017FC5">
        <w:rPr>
          <w:rFonts w:ascii="Times New Roman" w:hAnsi="Times New Roman"/>
          <w:sz w:val="24"/>
        </w:rPr>
        <w:t xml:space="preserve"> document</w:t>
      </w:r>
      <w:r w:rsidR="00C33026">
        <w:rPr>
          <w:rFonts w:ascii="Times New Roman" w:hAnsi="Times New Roman"/>
          <w:sz w:val="24"/>
        </w:rPr>
        <w:t xml:space="preserve"> since it</w:t>
      </w:r>
      <w:r w:rsidR="00017FC5">
        <w:rPr>
          <w:rFonts w:ascii="Times New Roman" w:hAnsi="Times New Roman"/>
          <w:sz w:val="24"/>
        </w:rPr>
        <w:t xml:space="preserve"> was anticipated that the total number </w:t>
      </w:r>
      <w:r w:rsidR="00712115">
        <w:rPr>
          <w:rFonts w:ascii="Times New Roman" w:hAnsi="Times New Roman"/>
          <w:sz w:val="24"/>
        </w:rPr>
        <w:t>of rehabilitation</w:t>
      </w:r>
      <w:r w:rsidR="00C33026">
        <w:rPr>
          <w:rFonts w:ascii="Times New Roman" w:hAnsi="Times New Roman"/>
          <w:sz w:val="24"/>
        </w:rPr>
        <w:t xml:space="preserve"> </w:t>
      </w:r>
      <w:r w:rsidR="00017FC5">
        <w:rPr>
          <w:rFonts w:ascii="Times New Roman" w:hAnsi="Times New Roman"/>
          <w:sz w:val="24"/>
        </w:rPr>
        <w:t xml:space="preserve">would be </w:t>
      </w:r>
      <w:r w:rsidR="00C33026">
        <w:rPr>
          <w:rFonts w:ascii="Times New Roman" w:hAnsi="Times New Roman"/>
          <w:sz w:val="24"/>
        </w:rPr>
        <w:t xml:space="preserve">3 units instead of total/partial rehabilitation of 10 units </w:t>
      </w:r>
      <w:r w:rsidR="00017FC5">
        <w:rPr>
          <w:rFonts w:ascii="Times New Roman" w:hAnsi="Times New Roman"/>
          <w:sz w:val="24"/>
        </w:rPr>
        <w:t xml:space="preserve">as </w:t>
      </w:r>
      <w:r w:rsidR="00C33026">
        <w:rPr>
          <w:rFonts w:ascii="Times New Roman" w:hAnsi="Times New Roman"/>
          <w:sz w:val="24"/>
        </w:rPr>
        <w:t xml:space="preserve">initially </w:t>
      </w:r>
      <w:r w:rsidR="006B734C">
        <w:rPr>
          <w:rFonts w:ascii="Times New Roman" w:hAnsi="Times New Roman"/>
          <w:sz w:val="24"/>
        </w:rPr>
        <w:t>projected</w:t>
      </w:r>
      <w:r w:rsidR="00C33026">
        <w:rPr>
          <w:rFonts w:ascii="Times New Roman" w:hAnsi="Times New Roman"/>
          <w:sz w:val="24"/>
        </w:rPr>
        <w:t>.</w:t>
      </w:r>
    </w:p>
    <w:p w:rsidR="00F032B9" w:rsidRDefault="00F032B9" w:rsidP="00C33026">
      <w:pPr>
        <w:pStyle w:val="BodyText"/>
        <w:rPr>
          <w:rFonts w:ascii="Times New Roman" w:hAnsi="Times New Roman"/>
          <w:sz w:val="24"/>
        </w:rPr>
      </w:pPr>
    </w:p>
    <w:p w:rsidR="006B734C" w:rsidRDefault="006B734C" w:rsidP="007C0631">
      <w:pPr>
        <w:pStyle w:val="BodyText"/>
        <w:rPr>
          <w:rFonts w:ascii="Times New Roman" w:hAnsi="Times New Roman"/>
          <w:sz w:val="24"/>
        </w:rPr>
      </w:pPr>
    </w:p>
    <w:p w:rsidR="006B734C" w:rsidRDefault="006B734C" w:rsidP="007C0631">
      <w:pPr>
        <w:pStyle w:val="BodyText"/>
        <w:rPr>
          <w:rFonts w:ascii="Times New Roman" w:hAnsi="Times New Roman"/>
          <w:sz w:val="24"/>
        </w:rPr>
      </w:pPr>
    </w:p>
    <w:p w:rsidR="00945BC9" w:rsidRDefault="00712115" w:rsidP="00945BC9">
      <w:pPr>
        <w:pStyle w:val="BodyText"/>
        <w:rPr>
          <w:rFonts w:ascii="Times New Roman" w:hAnsi="Times New Roman"/>
          <w:sz w:val="24"/>
        </w:rPr>
      </w:pPr>
      <w:r>
        <w:rPr>
          <w:rFonts w:ascii="Times New Roman" w:hAnsi="Times New Roman"/>
          <w:sz w:val="24"/>
        </w:rPr>
        <w:t>I</w:t>
      </w:r>
      <w:r w:rsidR="00945BC9">
        <w:rPr>
          <w:rFonts w:ascii="Times New Roman" w:hAnsi="Times New Roman"/>
          <w:sz w:val="24"/>
        </w:rPr>
        <w:t>n December 2009, the project Management Committe</w:t>
      </w:r>
      <w:r w:rsidR="001F76E6">
        <w:rPr>
          <w:rFonts w:ascii="Times New Roman" w:hAnsi="Times New Roman"/>
          <w:sz w:val="24"/>
        </w:rPr>
        <w:t>e</w:t>
      </w:r>
      <w:r w:rsidR="00945BC9">
        <w:rPr>
          <w:rFonts w:ascii="Times New Roman" w:hAnsi="Times New Roman"/>
          <w:sz w:val="24"/>
        </w:rPr>
        <w:t xml:space="preserve"> was </w:t>
      </w:r>
      <w:r w:rsidR="001F76E6">
        <w:rPr>
          <w:rFonts w:ascii="Times New Roman" w:hAnsi="Times New Roman"/>
          <w:sz w:val="24"/>
        </w:rPr>
        <w:t>set up and its Terms of references</w:t>
      </w:r>
      <w:r w:rsidR="00945BC9">
        <w:rPr>
          <w:rFonts w:ascii="Times New Roman" w:hAnsi="Times New Roman"/>
          <w:sz w:val="24"/>
        </w:rPr>
        <w:t xml:space="preserve"> w</w:t>
      </w:r>
      <w:r w:rsidR="00406032">
        <w:rPr>
          <w:rFonts w:ascii="Times New Roman" w:hAnsi="Times New Roman"/>
          <w:sz w:val="24"/>
        </w:rPr>
        <w:t>ere</w:t>
      </w:r>
      <w:r w:rsidR="00945BC9">
        <w:rPr>
          <w:rFonts w:ascii="Times New Roman" w:hAnsi="Times New Roman"/>
          <w:sz w:val="24"/>
        </w:rPr>
        <w:t xml:space="preserve"> approved by National Steering Committee (NSC) during its 10</w:t>
      </w:r>
      <w:r w:rsidR="00945BC9" w:rsidRPr="00945BC9">
        <w:rPr>
          <w:rFonts w:ascii="Times New Roman" w:hAnsi="Times New Roman"/>
          <w:sz w:val="24"/>
          <w:vertAlign w:val="superscript"/>
        </w:rPr>
        <w:t>th</w:t>
      </w:r>
      <w:r w:rsidR="00945BC9">
        <w:rPr>
          <w:rFonts w:ascii="Times New Roman" w:hAnsi="Times New Roman"/>
          <w:sz w:val="24"/>
        </w:rPr>
        <w:t xml:space="preserve"> meeting held on December 10, 2009.</w:t>
      </w:r>
      <w:r w:rsidR="00C33026">
        <w:rPr>
          <w:rFonts w:ascii="Times New Roman" w:hAnsi="Times New Roman"/>
          <w:sz w:val="24"/>
        </w:rPr>
        <w:t xml:space="preserve"> The appointment of the management committee had been confirmed by a ministerial order to ensure the functioning of the</w:t>
      </w:r>
      <w:r w:rsidR="006B734C">
        <w:rPr>
          <w:rFonts w:ascii="Times New Roman" w:hAnsi="Times New Roman"/>
          <w:sz w:val="24"/>
        </w:rPr>
        <w:t xml:space="preserve"> </w:t>
      </w:r>
      <w:r>
        <w:rPr>
          <w:rFonts w:ascii="Times New Roman" w:hAnsi="Times New Roman"/>
          <w:sz w:val="24"/>
        </w:rPr>
        <w:t>body and</w:t>
      </w:r>
      <w:r w:rsidR="00C33026">
        <w:rPr>
          <w:rFonts w:ascii="Times New Roman" w:hAnsi="Times New Roman"/>
          <w:sz w:val="24"/>
        </w:rPr>
        <w:t xml:space="preserve"> avoid disruption of their activities</w:t>
      </w:r>
      <w:r w:rsidR="001E2CA9">
        <w:rPr>
          <w:rFonts w:ascii="Times New Roman" w:hAnsi="Times New Roman"/>
          <w:sz w:val="24"/>
        </w:rPr>
        <w:t>,</w:t>
      </w:r>
      <w:r w:rsidR="00C33026">
        <w:rPr>
          <w:rFonts w:ascii="Times New Roman" w:hAnsi="Times New Roman"/>
          <w:sz w:val="24"/>
        </w:rPr>
        <w:t xml:space="preserve"> in case of </w:t>
      </w:r>
      <w:r w:rsidR="006B734C">
        <w:rPr>
          <w:rFonts w:ascii="Times New Roman" w:hAnsi="Times New Roman"/>
          <w:sz w:val="24"/>
        </w:rPr>
        <w:t xml:space="preserve">any </w:t>
      </w:r>
      <w:r w:rsidR="00C33026">
        <w:rPr>
          <w:rFonts w:ascii="Times New Roman" w:hAnsi="Times New Roman"/>
          <w:sz w:val="24"/>
        </w:rPr>
        <w:t>reshuffling affect</w:t>
      </w:r>
      <w:r w:rsidR="000E3698">
        <w:rPr>
          <w:rFonts w:ascii="Times New Roman" w:hAnsi="Times New Roman"/>
          <w:sz w:val="24"/>
        </w:rPr>
        <w:t>ing</w:t>
      </w:r>
      <w:r w:rsidR="00C33026">
        <w:rPr>
          <w:rFonts w:ascii="Times New Roman" w:hAnsi="Times New Roman"/>
          <w:sz w:val="24"/>
        </w:rPr>
        <w:t xml:space="preserve"> the Ministry of National Defense. </w:t>
      </w:r>
    </w:p>
    <w:p w:rsidR="00945BC9" w:rsidRDefault="00945BC9" w:rsidP="00945BC9">
      <w:pPr>
        <w:pStyle w:val="BodyText"/>
        <w:rPr>
          <w:rFonts w:ascii="Times New Roman" w:hAnsi="Times New Roman"/>
          <w:sz w:val="24"/>
        </w:rPr>
      </w:pPr>
    </w:p>
    <w:p w:rsidR="00945BC9" w:rsidRDefault="00240033" w:rsidP="007C0631">
      <w:pPr>
        <w:pStyle w:val="BodyText"/>
        <w:rPr>
          <w:rFonts w:ascii="Times New Roman" w:hAnsi="Times New Roman"/>
          <w:sz w:val="24"/>
        </w:rPr>
      </w:pPr>
      <w:r>
        <w:rPr>
          <w:rFonts w:ascii="Times New Roman" w:hAnsi="Times New Roman"/>
          <w:sz w:val="24"/>
        </w:rPr>
        <w:t>The</w:t>
      </w:r>
      <w:r w:rsidR="00945BC9">
        <w:rPr>
          <w:rFonts w:ascii="Times New Roman" w:hAnsi="Times New Roman"/>
          <w:sz w:val="24"/>
        </w:rPr>
        <w:t xml:space="preserve"> project reformulation which foresees the total rehabilitation of the units located in Gabu, Quebo and Amura (provided that the remaining funds are sufficient) has been approved by the N</w:t>
      </w:r>
      <w:r w:rsidR="001E2CA9">
        <w:rPr>
          <w:rFonts w:ascii="Times New Roman" w:hAnsi="Times New Roman"/>
          <w:sz w:val="24"/>
        </w:rPr>
        <w:t xml:space="preserve">ational </w:t>
      </w:r>
      <w:r w:rsidR="00945BC9">
        <w:rPr>
          <w:rFonts w:ascii="Times New Roman" w:hAnsi="Times New Roman"/>
          <w:sz w:val="24"/>
        </w:rPr>
        <w:t>S</w:t>
      </w:r>
      <w:r w:rsidR="001E2CA9">
        <w:rPr>
          <w:rFonts w:ascii="Times New Roman" w:hAnsi="Times New Roman"/>
          <w:sz w:val="24"/>
        </w:rPr>
        <w:t xml:space="preserve">teering </w:t>
      </w:r>
      <w:r w:rsidR="00945BC9">
        <w:rPr>
          <w:rFonts w:ascii="Times New Roman" w:hAnsi="Times New Roman"/>
          <w:sz w:val="24"/>
        </w:rPr>
        <w:t>C</w:t>
      </w:r>
      <w:r w:rsidR="001E2CA9">
        <w:rPr>
          <w:rFonts w:ascii="Times New Roman" w:hAnsi="Times New Roman"/>
          <w:sz w:val="24"/>
        </w:rPr>
        <w:t>ommittee</w:t>
      </w:r>
      <w:r w:rsidR="00945BC9">
        <w:rPr>
          <w:rFonts w:ascii="Times New Roman" w:hAnsi="Times New Roman"/>
          <w:sz w:val="24"/>
        </w:rPr>
        <w:t xml:space="preserve"> and the related assessments are ongoing. </w:t>
      </w:r>
    </w:p>
    <w:p w:rsidR="00945BC9" w:rsidRDefault="00945BC9" w:rsidP="007C0631">
      <w:pPr>
        <w:pStyle w:val="BodyText"/>
        <w:rPr>
          <w:rFonts w:ascii="Times New Roman" w:hAnsi="Times New Roman"/>
          <w:sz w:val="24"/>
        </w:rPr>
      </w:pPr>
    </w:p>
    <w:p w:rsidR="007C0631" w:rsidRDefault="007C0631" w:rsidP="007C0631">
      <w:pPr>
        <w:pStyle w:val="Heading1"/>
        <w:numPr>
          <w:ilvl w:val="0"/>
          <w:numId w:val="29"/>
        </w:numPr>
        <w:tabs>
          <w:tab w:val="left" w:pos="360"/>
        </w:tabs>
        <w:ind w:left="360" w:hanging="360"/>
        <w:jc w:val="left"/>
        <w:rPr>
          <w:rFonts w:ascii="Times New Roman" w:hAnsi="Times New Roman" w:cs="Times New Roman"/>
          <w:sz w:val="24"/>
          <w:szCs w:val="24"/>
        </w:rPr>
      </w:pPr>
      <w:r w:rsidRPr="00B32E35">
        <w:rPr>
          <w:rFonts w:ascii="Times New Roman" w:hAnsi="Times New Roman" w:cs="Times New Roman"/>
          <w:sz w:val="24"/>
          <w:szCs w:val="24"/>
        </w:rPr>
        <w:t xml:space="preserve">Results </w:t>
      </w:r>
    </w:p>
    <w:p w:rsidR="001332A2" w:rsidRDefault="001332A2" w:rsidP="001332A2"/>
    <w:p w:rsidR="001332A2" w:rsidRDefault="001332A2" w:rsidP="001332A2">
      <w:pPr>
        <w:pStyle w:val="BodyText"/>
        <w:rPr>
          <w:rFonts w:ascii="Times New Roman" w:hAnsi="Times New Roman"/>
          <w:sz w:val="24"/>
        </w:rPr>
      </w:pPr>
      <w:r>
        <w:rPr>
          <w:rFonts w:ascii="Times New Roman" w:hAnsi="Times New Roman"/>
          <w:sz w:val="24"/>
        </w:rPr>
        <w:t>During the last quarter, UNOPS Regional Director carried out field mission to facilitate the starting up of the rehabilitation works. After several meetings with the national implementation partners, UNOPS made a proposal of Terms of Reference for the Management Committee constitution, UNOPS provided a copy of the financial report about the expenses made so far by the project to the Ministry of Defense and formally proposed to concentrate the remaining financial resources in the total rehabilitation for 2 or 3 units instead of using these resources for the partial rehabilitation of a higher number of units.</w:t>
      </w:r>
      <w:r w:rsidR="0097396A">
        <w:rPr>
          <w:rFonts w:ascii="Times New Roman" w:hAnsi="Times New Roman"/>
          <w:sz w:val="24"/>
        </w:rPr>
        <w:t xml:space="preserve"> Consequently, the output </w:t>
      </w:r>
      <w:r w:rsidR="000E3698">
        <w:rPr>
          <w:rFonts w:ascii="Times New Roman" w:hAnsi="Times New Roman"/>
          <w:sz w:val="24"/>
        </w:rPr>
        <w:t xml:space="preserve">1 </w:t>
      </w:r>
      <w:r w:rsidR="0097396A">
        <w:rPr>
          <w:rFonts w:ascii="Times New Roman" w:hAnsi="Times New Roman"/>
          <w:sz w:val="24"/>
        </w:rPr>
        <w:t xml:space="preserve">of the project </w:t>
      </w:r>
      <w:r w:rsidR="000E3698">
        <w:rPr>
          <w:rFonts w:ascii="Times New Roman" w:hAnsi="Times New Roman"/>
          <w:sz w:val="24"/>
        </w:rPr>
        <w:t>document has</w:t>
      </w:r>
      <w:r w:rsidR="0097396A">
        <w:rPr>
          <w:rFonts w:ascii="Times New Roman" w:hAnsi="Times New Roman"/>
          <w:sz w:val="24"/>
        </w:rPr>
        <w:t xml:space="preserve"> been revised.</w:t>
      </w:r>
    </w:p>
    <w:p w:rsidR="001332A2" w:rsidRDefault="001332A2" w:rsidP="001332A2">
      <w:pPr>
        <w:pStyle w:val="BodyText"/>
        <w:rPr>
          <w:rFonts w:ascii="Times New Roman" w:hAnsi="Times New Roman"/>
          <w:sz w:val="24"/>
        </w:rPr>
      </w:pPr>
    </w:p>
    <w:p w:rsidR="001332A2" w:rsidRDefault="001332A2" w:rsidP="001332A2">
      <w:pPr>
        <w:pStyle w:val="BodyText"/>
        <w:rPr>
          <w:rFonts w:ascii="Times New Roman" w:hAnsi="Times New Roman"/>
          <w:sz w:val="24"/>
        </w:rPr>
      </w:pPr>
      <w:r>
        <w:rPr>
          <w:rFonts w:ascii="Times New Roman" w:hAnsi="Times New Roman"/>
          <w:sz w:val="24"/>
        </w:rPr>
        <w:t>The Ministry of Defense accepted the proposal and communicated through on the 30</w:t>
      </w:r>
      <w:r w:rsidRPr="001332A2">
        <w:rPr>
          <w:rFonts w:ascii="Times New Roman" w:hAnsi="Times New Roman"/>
          <w:sz w:val="24"/>
          <w:vertAlign w:val="superscript"/>
        </w:rPr>
        <w:t>th</w:t>
      </w:r>
      <w:r>
        <w:rPr>
          <w:rFonts w:ascii="Times New Roman" w:hAnsi="Times New Roman"/>
          <w:sz w:val="24"/>
        </w:rPr>
        <w:t xml:space="preserve"> of November the list of the 3 units to be totally rehabilitated: Gabu, Quebo and Amura in Bissau</w:t>
      </w:r>
      <w:r w:rsidR="003E5EE0">
        <w:rPr>
          <w:rFonts w:ascii="Times New Roman" w:hAnsi="Times New Roman"/>
          <w:sz w:val="24"/>
        </w:rPr>
        <w:t xml:space="preserve"> provided that the funds available are sufficient</w:t>
      </w:r>
      <w:r>
        <w:rPr>
          <w:rFonts w:ascii="Times New Roman" w:hAnsi="Times New Roman"/>
          <w:sz w:val="24"/>
        </w:rPr>
        <w:t>.</w:t>
      </w:r>
      <w:r w:rsidR="0097396A">
        <w:rPr>
          <w:rFonts w:ascii="Times New Roman" w:hAnsi="Times New Roman"/>
          <w:sz w:val="24"/>
        </w:rPr>
        <w:t xml:space="preserve"> </w:t>
      </w:r>
    </w:p>
    <w:p w:rsidR="0097396A" w:rsidRDefault="0097396A" w:rsidP="001332A2">
      <w:pPr>
        <w:pStyle w:val="BodyText"/>
        <w:rPr>
          <w:rFonts w:ascii="Times New Roman" w:hAnsi="Times New Roman"/>
          <w:sz w:val="24"/>
        </w:rPr>
      </w:pPr>
    </w:p>
    <w:p w:rsidR="007C0631" w:rsidRPr="00B32E35" w:rsidRDefault="007C0631" w:rsidP="007C0631">
      <w:pPr>
        <w:pStyle w:val="Heading1"/>
        <w:numPr>
          <w:ilvl w:val="0"/>
          <w:numId w:val="29"/>
        </w:numPr>
        <w:tabs>
          <w:tab w:val="left" w:pos="360"/>
        </w:tabs>
        <w:ind w:left="360" w:hanging="360"/>
        <w:jc w:val="left"/>
        <w:rPr>
          <w:rFonts w:ascii="Times New Roman" w:hAnsi="Times New Roman" w:cs="Times New Roman"/>
          <w:sz w:val="24"/>
          <w:szCs w:val="24"/>
        </w:rPr>
      </w:pPr>
      <w:r w:rsidRPr="00B32E35">
        <w:rPr>
          <w:rFonts w:ascii="Times New Roman" w:hAnsi="Times New Roman" w:cs="Times New Roman"/>
          <w:sz w:val="24"/>
          <w:szCs w:val="24"/>
        </w:rPr>
        <w:t>Future Work Plan</w:t>
      </w:r>
    </w:p>
    <w:p w:rsidR="00374255" w:rsidRDefault="00374255" w:rsidP="00DC6DD7">
      <w:pPr>
        <w:pStyle w:val="BodyText"/>
        <w:tabs>
          <w:tab w:val="left" w:pos="360"/>
        </w:tabs>
        <w:ind w:left="360"/>
        <w:jc w:val="both"/>
        <w:rPr>
          <w:rFonts w:ascii="Times New Roman" w:hAnsi="Times New Roman"/>
          <w:bCs/>
          <w:sz w:val="24"/>
        </w:rPr>
      </w:pPr>
    </w:p>
    <w:p w:rsidR="001E2CA9" w:rsidRDefault="00DC6DD7" w:rsidP="00DC6DD7">
      <w:pPr>
        <w:pStyle w:val="BodyText"/>
        <w:tabs>
          <w:tab w:val="left" w:pos="360"/>
        </w:tabs>
        <w:ind w:left="360"/>
        <w:jc w:val="both"/>
        <w:rPr>
          <w:rFonts w:ascii="Times New Roman" w:hAnsi="Times New Roman"/>
          <w:bCs/>
          <w:sz w:val="24"/>
        </w:rPr>
      </w:pPr>
      <w:r>
        <w:rPr>
          <w:rFonts w:ascii="Times New Roman" w:hAnsi="Times New Roman"/>
          <w:bCs/>
          <w:sz w:val="24"/>
        </w:rPr>
        <w:t>After the completion of the assessment made in three barracks</w:t>
      </w:r>
      <w:r w:rsidR="001E2CA9">
        <w:rPr>
          <w:rFonts w:ascii="Times New Roman" w:hAnsi="Times New Roman"/>
          <w:bCs/>
          <w:sz w:val="24"/>
        </w:rPr>
        <w:t>,</w:t>
      </w:r>
      <w:r>
        <w:rPr>
          <w:rFonts w:ascii="Times New Roman" w:hAnsi="Times New Roman"/>
          <w:bCs/>
          <w:sz w:val="24"/>
        </w:rPr>
        <w:t xml:space="preserve"> the technical team of the project will provide a detailed budget in order to assess if the amount available within the project is sufficient for the total rehabilitation of the 3 units. The assessment of Gabu and Quebo will be finalized by end of January 2010 while the Amura fortress will be finalized in mid February</w:t>
      </w:r>
      <w:r w:rsidR="001E2CA9">
        <w:rPr>
          <w:rFonts w:ascii="Times New Roman" w:hAnsi="Times New Roman"/>
          <w:bCs/>
          <w:sz w:val="24"/>
        </w:rPr>
        <w:t xml:space="preserve"> 2010</w:t>
      </w:r>
      <w:r>
        <w:rPr>
          <w:rFonts w:ascii="Times New Roman" w:hAnsi="Times New Roman"/>
          <w:bCs/>
          <w:sz w:val="24"/>
        </w:rPr>
        <w:t>.</w:t>
      </w:r>
    </w:p>
    <w:p w:rsidR="00DC6DD7" w:rsidRDefault="00DC6DD7" w:rsidP="00DC6DD7">
      <w:pPr>
        <w:pStyle w:val="BodyText"/>
        <w:tabs>
          <w:tab w:val="left" w:pos="360"/>
        </w:tabs>
        <w:ind w:left="360"/>
        <w:jc w:val="both"/>
        <w:rPr>
          <w:rFonts w:ascii="Times New Roman" w:hAnsi="Times New Roman"/>
          <w:bCs/>
          <w:sz w:val="24"/>
        </w:rPr>
      </w:pPr>
      <w:r>
        <w:rPr>
          <w:rFonts w:ascii="Times New Roman" w:hAnsi="Times New Roman"/>
          <w:bCs/>
          <w:sz w:val="24"/>
        </w:rPr>
        <w:t xml:space="preserve"> </w:t>
      </w:r>
    </w:p>
    <w:p w:rsidR="00DC6DD7" w:rsidRDefault="00DC6DD7" w:rsidP="00DC6DD7">
      <w:pPr>
        <w:pStyle w:val="BodyText"/>
        <w:tabs>
          <w:tab w:val="left" w:pos="360"/>
        </w:tabs>
        <w:ind w:left="360"/>
        <w:jc w:val="both"/>
        <w:rPr>
          <w:rFonts w:ascii="Times New Roman" w:hAnsi="Times New Roman"/>
          <w:bCs/>
          <w:sz w:val="24"/>
        </w:rPr>
      </w:pPr>
      <w:r>
        <w:rPr>
          <w:rFonts w:ascii="Times New Roman" w:hAnsi="Times New Roman"/>
          <w:bCs/>
          <w:sz w:val="24"/>
        </w:rPr>
        <w:t xml:space="preserve">The bids related to the works in Gabu and Quebo will be launched on </w:t>
      </w:r>
      <w:r w:rsidR="000E3698">
        <w:rPr>
          <w:rFonts w:ascii="Times New Roman" w:hAnsi="Times New Roman"/>
          <w:bCs/>
          <w:sz w:val="24"/>
        </w:rPr>
        <w:t>March /</w:t>
      </w:r>
      <w:r>
        <w:rPr>
          <w:rFonts w:ascii="Times New Roman" w:hAnsi="Times New Roman"/>
          <w:bCs/>
          <w:sz w:val="24"/>
        </w:rPr>
        <w:t xml:space="preserve"> April 2010 and the evaluation of the offers will be officially concluded early May 2010. The rehabilitation works in Gabu and Quebo are expected to start by mid</w:t>
      </w:r>
      <w:r w:rsidR="001E2CA9">
        <w:rPr>
          <w:rFonts w:ascii="Times New Roman" w:hAnsi="Times New Roman"/>
          <w:bCs/>
          <w:sz w:val="24"/>
        </w:rPr>
        <w:t>-</w:t>
      </w:r>
      <w:r>
        <w:rPr>
          <w:rFonts w:ascii="Times New Roman" w:hAnsi="Times New Roman"/>
          <w:bCs/>
          <w:sz w:val="24"/>
        </w:rPr>
        <w:t>May 2010.</w:t>
      </w:r>
    </w:p>
    <w:p w:rsidR="00DC6DD7" w:rsidRDefault="00DC6DD7" w:rsidP="00DC6DD7">
      <w:pPr>
        <w:pStyle w:val="BodyText"/>
        <w:tabs>
          <w:tab w:val="left" w:pos="360"/>
        </w:tabs>
        <w:ind w:left="360"/>
        <w:jc w:val="both"/>
        <w:rPr>
          <w:rFonts w:ascii="Times New Roman" w:hAnsi="Times New Roman"/>
          <w:bCs/>
          <w:sz w:val="24"/>
        </w:rPr>
      </w:pPr>
    </w:p>
    <w:p w:rsidR="00DC6DD7" w:rsidRDefault="00DC6DD7" w:rsidP="00DC6DD7">
      <w:pPr>
        <w:pStyle w:val="BodyText"/>
        <w:tabs>
          <w:tab w:val="left" w:pos="360"/>
        </w:tabs>
        <w:ind w:left="360"/>
        <w:jc w:val="both"/>
        <w:rPr>
          <w:rFonts w:ascii="Times New Roman" w:hAnsi="Times New Roman"/>
          <w:bCs/>
          <w:sz w:val="24"/>
        </w:rPr>
      </w:pPr>
      <w:r>
        <w:rPr>
          <w:rFonts w:ascii="Times New Roman" w:hAnsi="Times New Roman"/>
          <w:bCs/>
          <w:sz w:val="24"/>
        </w:rPr>
        <w:t xml:space="preserve">In order to reduce the </w:t>
      </w:r>
      <w:r w:rsidR="00BE6B76">
        <w:rPr>
          <w:rFonts w:ascii="Times New Roman" w:hAnsi="Times New Roman"/>
          <w:bCs/>
          <w:sz w:val="24"/>
        </w:rPr>
        <w:t xml:space="preserve">rehabilitation works </w:t>
      </w:r>
      <w:r>
        <w:rPr>
          <w:rFonts w:ascii="Times New Roman" w:hAnsi="Times New Roman"/>
          <w:bCs/>
          <w:sz w:val="24"/>
        </w:rPr>
        <w:t>costs</w:t>
      </w:r>
      <w:r w:rsidR="00BE6B76">
        <w:rPr>
          <w:rFonts w:ascii="Times New Roman" w:hAnsi="Times New Roman"/>
          <w:bCs/>
          <w:sz w:val="24"/>
        </w:rPr>
        <w:t>, UNOPS will provide building materials, while the military will provide the manpower through its military engineering. UNOPS will provide the technical supervision of the works in Amura fortress.</w:t>
      </w:r>
    </w:p>
    <w:p w:rsidR="00263899" w:rsidRDefault="00263899" w:rsidP="00DC6DD7">
      <w:pPr>
        <w:pStyle w:val="BodyText"/>
        <w:tabs>
          <w:tab w:val="left" w:pos="360"/>
        </w:tabs>
        <w:ind w:left="360"/>
        <w:jc w:val="both"/>
        <w:rPr>
          <w:rFonts w:ascii="Times New Roman" w:hAnsi="Times New Roman"/>
          <w:bCs/>
          <w:sz w:val="24"/>
        </w:rPr>
      </w:pPr>
    </w:p>
    <w:p w:rsidR="00263899" w:rsidRDefault="00263899" w:rsidP="00DC6DD7">
      <w:pPr>
        <w:pStyle w:val="BodyText"/>
        <w:tabs>
          <w:tab w:val="left" w:pos="360"/>
        </w:tabs>
        <w:ind w:left="360"/>
        <w:jc w:val="both"/>
        <w:rPr>
          <w:rFonts w:ascii="Times New Roman" w:hAnsi="Times New Roman"/>
          <w:bCs/>
          <w:sz w:val="24"/>
        </w:rPr>
      </w:pPr>
      <w:r>
        <w:rPr>
          <w:rFonts w:ascii="Times New Roman" w:hAnsi="Times New Roman"/>
          <w:bCs/>
          <w:sz w:val="24"/>
        </w:rPr>
        <w:t xml:space="preserve">The rehabilitation works in the military barracks in Gabu and Quebo </w:t>
      </w:r>
      <w:r w:rsidR="001E2CA9">
        <w:rPr>
          <w:rFonts w:ascii="Times New Roman" w:hAnsi="Times New Roman"/>
          <w:bCs/>
          <w:sz w:val="24"/>
        </w:rPr>
        <w:t>are</w:t>
      </w:r>
      <w:r>
        <w:rPr>
          <w:rFonts w:ascii="Times New Roman" w:hAnsi="Times New Roman"/>
          <w:bCs/>
          <w:sz w:val="24"/>
        </w:rPr>
        <w:t xml:space="preserve"> </w:t>
      </w:r>
      <w:r w:rsidR="000F1643">
        <w:rPr>
          <w:rFonts w:ascii="Times New Roman" w:hAnsi="Times New Roman"/>
          <w:bCs/>
          <w:sz w:val="24"/>
        </w:rPr>
        <w:t xml:space="preserve">expected to start during May 2010 for 5 to 6 months </w:t>
      </w:r>
      <w:r w:rsidR="0065790E">
        <w:rPr>
          <w:rFonts w:ascii="Times New Roman" w:hAnsi="Times New Roman"/>
          <w:bCs/>
          <w:sz w:val="24"/>
        </w:rPr>
        <w:t>duration</w:t>
      </w:r>
      <w:r w:rsidR="000F1643">
        <w:rPr>
          <w:rFonts w:ascii="Times New Roman" w:hAnsi="Times New Roman"/>
          <w:bCs/>
          <w:sz w:val="24"/>
        </w:rPr>
        <w:t>.</w:t>
      </w:r>
    </w:p>
    <w:p w:rsidR="00BE6B76" w:rsidRDefault="00BE6B76" w:rsidP="00DC6DD7">
      <w:pPr>
        <w:pStyle w:val="BodyText"/>
        <w:tabs>
          <w:tab w:val="left" w:pos="360"/>
        </w:tabs>
        <w:ind w:left="360"/>
        <w:jc w:val="both"/>
        <w:rPr>
          <w:rFonts w:ascii="Times New Roman" w:hAnsi="Times New Roman"/>
          <w:bCs/>
          <w:sz w:val="24"/>
        </w:rPr>
      </w:pPr>
    </w:p>
    <w:p w:rsidR="00BE6B76" w:rsidRPr="00374255" w:rsidRDefault="00BE6B76" w:rsidP="00DC6DD7">
      <w:pPr>
        <w:pStyle w:val="BodyText"/>
        <w:tabs>
          <w:tab w:val="left" w:pos="360"/>
        </w:tabs>
        <w:ind w:left="360"/>
        <w:jc w:val="both"/>
        <w:rPr>
          <w:rFonts w:ascii="Times New Roman" w:hAnsi="Times New Roman"/>
          <w:bCs/>
          <w:sz w:val="24"/>
        </w:rPr>
      </w:pPr>
    </w:p>
    <w:p w:rsidR="00374255" w:rsidRDefault="00374255" w:rsidP="00C36442">
      <w:pPr>
        <w:pStyle w:val="BodyText"/>
        <w:tabs>
          <w:tab w:val="left" w:pos="360"/>
        </w:tabs>
        <w:jc w:val="both"/>
        <w:rPr>
          <w:rFonts w:ascii="Times New Roman" w:hAnsi="Times New Roman"/>
          <w:bCs/>
          <w:sz w:val="24"/>
        </w:rPr>
      </w:pPr>
    </w:p>
    <w:p w:rsidR="00C36442" w:rsidRDefault="00C36442" w:rsidP="00C36442">
      <w:pPr>
        <w:pStyle w:val="BodyText"/>
        <w:tabs>
          <w:tab w:val="left" w:pos="360"/>
        </w:tabs>
        <w:jc w:val="both"/>
        <w:rPr>
          <w:rFonts w:ascii="Times New Roman" w:hAnsi="Times New Roman"/>
          <w:bCs/>
          <w:sz w:val="24"/>
        </w:rPr>
      </w:pPr>
    </w:p>
    <w:p w:rsidR="00C36442" w:rsidRPr="00374255" w:rsidRDefault="00C36442" w:rsidP="00C36442">
      <w:pPr>
        <w:pStyle w:val="BodyText"/>
        <w:tabs>
          <w:tab w:val="left" w:pos="360"/>
        </w:tabs>
        <w:jc w:val="both"/>
        <w:rPr>
          <w:rFonts w:ascii="Times New Roman" w:hAnsi="Times New Roman"/>
          <w:bCs/>
          <w:sz w:val="24"/>
        </w:rPr>
      </w:pPr>
    </w:p>
    <w:p w:rsidR="001F03AA" w:rsidRDefault="001F03AA" w:rsidP="00AB0274"/>
    <w:p w:rsidR="00AB0274" w:rsidRDefault="00AB0274" w:rsidP="00AB0274"/>
    <w:p w:rsidR="00AB0274" w:rsidRDefault="00AB0274" w:rsidP="00AB0274"/>
    <w:sectPr w:rsidR="00AB0274" w:rsidSect="000C6F38">
      <w:footerReference w:type="default" r:id="rId8"/>
      <w:footerReference w:type="first" r:id="rId9"/>
      <w:pgSz w:w="12240" w:h="15840" w:code="1"/>
      <w:pgMar w:top="810" w:right="153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8E" w:rsidRDefault="0085538E">
      <w:r>
        <w:separator/>
      </w:r>
    </w:p>
  </w:endnote>
  <w:endnote w:type="continuationSeparator" w:id="0">
    <w:p w:rsidR="0085538E" w:rsidRDefault="00855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5473D7">
      <w:rPr>
        <w:rFonts w:ascii="Arial" w:hAnsi="Arial" w:cs="Arial"/>
        <w:sz w:val="18"/>
        <w:szCs w:val="18"/>
      </w:rPr>
      <w:fldChar w:fldCharType="begin"/>
    </w:r>
    <w:r>
      <w:rPr>
        <w:rFonts w:ascii="Arial" w:hAnsi="Arial" w:cs="Arial"/>
        <w:sz w:val="18"/>
        <w:szCs w:val="18"/>
      </w:rPr>
      <w:instrText xml:space="preserve"> PAGE   \* MERGEFORMAT </w:instrText>
    </w:r>
    <w:r w:rsidR="005473D7">
      <w:rPr>
        <w:rFonts w:ascii="Arial" w:hAnsi="Arial" w:cs="Arial"/>
        <w:sz w:val="18"/>
        <w:szCs w:val="18"/>
      </w:rPr>
      <w:fldChar w:fldCharType="separate"/>
    </w:r>
    <w:r w:rsidR="00640CAE">
      <w:rPr>
        <w:rFonts w:ascii="Arial" w:hAnsi="Arial" w:cs="Arial"/>
        <w:noProof/>
        <w:sz w:val="18"/>
        <w:szCs w:val="18"/>
      </w:rPr>
      <w:t>5</w:t>
    </w:r>
    <w:r w:rsidR="005473D7">
      <w:rPr>
        <w:rFonts w:ascii="Arial" w:hAnsi="Arial" w:cs="Arial"/>
        <w:sz w:val="18"/>
        <w:szCs w:val="18"/>
      </w:rPr>
      <w:fldChar w:fldCharType="end"/>
    </w:r>
    <w:r>
      <w:rPr>
        <w:rFonts w:ascii="Arial" w:hAnsi="Arial" w:cs="Arial"/>
        <w:sz w:val="18"/>
        <w:szCs w:val="18"/>
      </w:rPr>
      <w:t xml:space="preserve"> of </w:t>
    </w:r>
    <w:fldSimple w:instr=" NUMPAGES   \* MERGEFORMAT ">
      <w:r w:rsidR="00640CAE" w:rsidRPr="00640CAE">
        <w:rPr>
          <w:rFonts w:ascii="Arial" w:hAnsi="Arial" w:cs="Arial"/>
          <w:noProof/>
          <w:sz w:val="18"/>
          <w:szCs w:val="18"/>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5473D7">
      <w:rPr>
        <w:rFonts w:ascii="Arial" w:hAnsi="Arial" w:cs="Arial"/>
        <w:sz w:val="18"/>
        <w:szCs w:val="18"/>
      </w:rPr>
      <w:fldChar w:fldCharType="begin"/>
    </w:r>
    <w:r>
      <w:rPr>
        <w:rFonts w:ascii="Arial" w:hAnsi="Arial" w:cs="Arial"/>
        <w:sz w:val="18"/>
        <w:szCs w:val="18"/>
      </w:rPr>
      <w:instrText xml:space="preserve"> PAGE   \* MERGEFORMAT </w:instrText>
    </w:r>
    <w:r w:rsidR="005473D7">
      <w:rPr>
        <w:rFonts w:ascii="Arial" w:hAnsi="Arial" w:cs="Arial"/>
        <w:sz w:val="18"/>
        <w:szCs w:val="18"/>
      </w:rPr>
      <w:fldChar w:fldCharType="separate"/>
    </w:r>
    <w:r>
      <w:rPr>
        <w:rFonts w:ascii="Arial" w:hAnsi="Arial" w:cs="Arial"/>
        <w:noProof/>
        <w:sz w:val="18"/>
        <w:szCs w:val="18"/>
      </w:rPr>
      <w:t>5</w:t>
    </w:r>
    <w:r w:rsidR="005473D7">
      <w:rPr>
        <w:rFonts w:ascii="Arial" w:hAnsi="Arial" w:cs="Arial"/>
        <w:sz w:val="18"/>
        <w:szCs w:val="18"/>
      </w:rPr>
      <w:fldChar w:fldCharType="end"/>
    </w:r>
    <w:r>
      <w:rPr>
        <w:rFonts w:ascii="Arial" w:hAnsi="Arial" w:cs="Arial"/>
        <w:sz w:val="18"/>
        <w:szCs w:val="18"/>
      </w:rPr>
      <w:t xml:space="preserve"> of </w:t>
    </w:r>
    <w:fldSimple w:instr=" NUMPAGES   \* MERGEFORMAT ">
      <w:r w:rsidR="00C36442" w:rsidRPr="00C36442">
        <w:rPr>
          <w:rFonts w:ascii="Arial" w:hAnsi="Arial" w:cs="Arial"/>
          <w:noProof/>
          <w:sz w:val="18"/>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8E" w:rsidRDefault="0085538E">
      <w:r>
        <w:separator/>
      </w:r>
    </w:p>
  </w:footnote>
  <w:footnote w:type="continuationSeparator" w:id="0">
    <w:p w:rsidR="0085538E" w:rsidRDefault="0085538E">
      <w:r>
        <w:continuationSeparator/>
      </w:r>
    </w:p>
  </w:footnote>
  <w:footnote w:id="1">
    <w:p w:rsidR="00AD1065" w:rsidRPr="00F83DC8" w:rsidRDefault="00AD1065"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AD1065" w:rsidRDefault="00AD1065" w:rsidP="00DD14BB">
      <w:pPr>
        <w:pStyle w:val="FootnoteText"/>
        <w:jc w:val="both"/>
      </w:pPr>
      <w:r>
        <w:rPr>
          <w:rStyle w:val="FootnoteReference"/>
        </w:rPr>
        <w:footnoteRef/>
      </w:r>
      <w:r>
        <w:t xml:space="preserve"> E.g. Priority Area for the</w:t>
      </w:r>
      <w:r w:rsidRPr="002A3031">
        <w:t xml:space="preserve"> </w:t>
      </w:r>
      <w:r>
        <w:t xml:space="preserve">Peacebuilding Fund; Thematic Window for the </w:t>
      </w:r>
      <w:r w:rsidR="00D35F2B">
        <w:t>Millennium</w:t>
      </w:r>
      <w:r>
        <w:t xml:space="preserve"> Development Goals Fund (</w:t>
      </w:r>
      <w:smartTag w:uri="urn:schemas-microsoft-com:office:smarttags" w:element="stockticker">
        <w:r>
          <w:t>MDG</w:t>
        </w:r>
      </w:smartTag>
      <w:r>
        <w:t>-F); etc.</w:t>
      </w:r>
      <w:r w:rsidR="00E626BD">
        <w:t xml:space="preserve"> </w:t>
      </w:r>
    </w:p>
  </w:footnote>
  <w:footnote w:id="3">
    <w:p w:rsidR="00B84BA4" w:rsidRDefault="00B84BA4" w:rsidP="00892409">
      <w:pPr>
        <w:pStyle w:val="FootnoteText"/>
      </w:pPr>
      <w:r>
        <w:rPr>
          <w:rStyle w:val="FootnoteReference"/>
        </w:rPr>
        <w:footnoteRef/>
      </w:r>
      <w:r>
        <w:t xml:space="preserve"> The start date is the date of the first transfer of funds from the MDTF Office as Administrative Agent.</w:t>
      </w:r>
    </w:p>
    <w:p w:rsidR="006B734C" w:rsidRDefault="006B734C" w:rsidP="00892409">
      <w:pPr>
        <w:pStyle w:val="FootnoteText"/>
      </w:pPr>
    </w:p>
    <w:p w:rsidR="006B734C" w:rsidRDefault="006B734C" w:rsidP="00892409">
      <w:pPr>
        <w:pStyle w:val="FootnoteText"/>
      </w:pPr>
    </w:p>
    <w:p w:rsidR="00240033" w:rsidRDefault="00240033" w:rsidP="00892409">
      <w:pPr>
        <w:pStyle w:val="FootnoteText"/>
      </w:pPr>
    </w:p>
    <w:p w:rsidR="00240033" w:rsidRPr="000D6D9C" w:rsidRDefault="00240033" w:rsidP="00892409">
      <w:pPr>
        <w:pStyle w:val="FootnoteText"/>
        <w:rPr>
          <w:lang w:val="en-GB"/>
        </w:rPr>
      </w:pPr>
    </w:p>
  </w:footnote>
  <w:footnote w:id="4">
    <w:p w:rsidR="00B84BA4" w:rsidRDefault="00B84BA4" w:rsidP="003369D5">
      <w:pPr>
        <w:pStyle w:val="FootnoteText"/>
        <w:jc w:val="both"/>
      </w:pPr>
      <w:r>
        <w:rPr>
          <w:rStyle w:val="FootnoteReference"/>
        </w:rPr>
        <w:footnoteRef/>
      </w:r>
      <w:r>
        <w:t xml:space="preserve"> All activities for which a Participating Organization is responsible under an approved MDTF programme have been completed. Agencies to advise the MDTF Office. </w:t>
      </w:r>
    </w:p>
    <w:p w:rsidR="00F032B9" w:rsidRDefault="00F032B9" w:rsidP="003369D5">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1A53394"/>
    <w:multiLevelType w:val="hybridMultilevel"/>
    <w:tmpl w:val="4D5083FC"/>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EB5570"/>
    <w:multiLevelType w:val="hybridMultilevel"/>
    <w:tmpl w:val="012092BC"/>
    <w:lvl w:ilvl="0" w:tplc="A0624842">
      <w:start w:val="1"/>
      <w:numFmt w:val="upperRoman"/>
      <w:lvlText w:val="%1."/>
      <w:lvlJc w:val="left"/>
      <w:pPr>
        <w:tabs>
          <w:tab w:val="num" w:pos="720"/>
        </w:tabs>
        <w:ind w:left="72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046942"/>
    <w:multiLevelType w:val="hybridMultilevel"/>
    <w:tmpl w:val="ECA04BB4"/>
    <w:lvl w:ilvl="0" w:tplc="EA2E73E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1C96C5D"/>
    <w:multiLevelType w:val="hybridMultilevel"/>
    <w:tmpl w:val="13BEA530"/>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4">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3A43E4"/>
    <w:multiLevelType w:val="hybridMultilevel"/>
    <w:tmpl w:val="97948C28"/>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9">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4"/>
  </w:num>
  <w:num w:numId="3">
    <w:abstractNumId w:val="14"/>
  </w:num>
  <w:num w:numId="4">
    <w:abstractNumId w:val="18"/>
  </w:num>
  <w:num w:numId="5">
    <w:abstractNumId w:val="30"/>
  </w:num>
  <w:num w:numId="6">
    <w:abstractNumId w:val="16"/>
  </w:num>
  <w:num w:numId="7">
    <w:abstractNumId w:val="6"/>
  </w:num>
  <w:num w:numId="8">
    <w:abstractNumId w:val="43"/>
  </w:num>
  <w:num w:numId="9">
    <w:abstractNumId w:val="31"/>
  </w:num>
  <w:num w:numId="10">
    <w:abstractNumId w:val="34"/>
  </w:num>
  <w:num w:numId="11">
    <w:abstractNumId w:val="20"/>
  </w:num>
  <w:num w:numId="12">
    <w:abstractNumId w:val="21"/>
  </w:num>
  <w:num w:numId="13">
    <w:abstractNumId w:val="40"/>
  </w:num>
  <w:num w:numId="14">
    <w:abstractNumId w:val="45"/>
  </w:num>
  <w:num w:numId="15">
    <w:abstractNumId w:val="32"/>
  </w:num>
  <w:num w:numId="16">
    <w:abstractNumId w:val="29"/>
  </w:num>
  <w:num w:numId="17">
    <w:abstractNumId w:val="10"/>
  </w:num>
  <w:num w:numId="18">
    <w:abstractNumId w:val="42"/>
  </w:num>
  <w:num w:numId="19">
    <w:abstractNumId w:val="17"/>
  </w:num>
  <w:num w:numId="20">
    <w:abstractNumId w:val="8"/>
  </w:num>
  <w:num w:numId="21">
    <w:abstractNumId w:val="28"/>
  </w:num>
  <w:num w:numId="22">
    <w:abstractNumId w:val="15"/>
  </w:num>
  <w:num w:numId="23">
    <w:abstractNumId w:val="2"/>
  </w:num>
  <w:num w:numId="24">
    <w:abstractNumId w:val="7"/>
  </w:num>
  <w:num w:numId="25">
    <w:abstractNumId w:val="4"/>
  </w:num>
  <w:num w:numId="26">
    <w:abstractNumId w:val="12"/>
  </w:num>
  <w:num w:numId="27">
    <w:abstractNumId w:val="19"/>
  </w:num>
  <w:num w:numId="28">
    <w:abstractNumId w:val="37"/>
  </w:num>
  <w:num w:numId="29">
    <w:abstractNumId w:val="9"/>
  </w:num>
  <w:num w:numId="30">
    <w:abstractNumId w:val="22"/>
  </w:num>
  <w:num w:numId="31">
    <w:abstractNumId w:val="11"/>
  </w:num>
  <w:num w:numId="32">
    <w:abstractNumId w:val="13"/>
  </w:num>
  <w:num w:numId="33">
    <w:abstractNumId w:val="0"/>
  </w:num>
  <w:num w:numId="34">
    <w:abstractNumId w:val="27"/>
  </w:num>
  <w:num w:numId="35">
    <w:abstractNumId w:val="41"/>
  </w:num>
  <w:num w:numId="36">
    <w:abstractNumId w:val="3"/>
  </w:num>
  <w:num w:numId="37">
    <w:abstractNumId w:val="24"/>
  </w:num>
  <w:num w:numId="38">
    <w:abstractNumId w:val="35"/>
  </w:num>
  <w:num w:numId="39">
    <w:abstractNumId w:val="25"/>
  </w:num>
  <w:num w:numId="40">
    <w:abstractNumId w:val="33"/>
  </w:num>
  <w:num w:numId="41">
    <w:abstractNumId w:val="38"/>
  </w:num>
  <w:num w:numId="42">
    <w:abstractNumId w:val="5"/>
  </w:num>
  <w:num w:numId="43">
    <w:abstractNumId w:val="36"/>
  </w:num>
  <w:num w:numId="44">
    <w:abstractNumId w:val="1"/>
  </w:num>
  <w:num w:numId="45">
    <w:abstractNumId w:val="39"/>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121B0"/>
    <w:rsid w:val="00016418"/>
    <w:rsid w:val="00017FC5"/>
    <w:rsid w:val="00024F9B"/>
    <w:rsid w:val="00031DC9"/>
    <w:rsid w:val="0003352E"/>
    <w:rsid w:val="00052FF4"/>
    <w:rsid w:val="00064352"/>
    <w:rsid w:val="00071324"/>
    <w:rsid w:val="00090D90"/>
    <w:rsid w:val="00092501"/>
    <w:rsid w:val="00094B2F"/>
    <w:rsid w:val="00096711"/>
    <w:rsid w:val="000968C1"/>
    <w:rsid w:val="000A126F"/>
    <w:rsid w:val="000A146E"/>
    <w:rsid w:val="000B599B"/>
    <w:rsid w:val="000C0119"/>
    <w:rsid w:val="000C03EE"/>
    <w:rsid w:val="000C0B78"/>
    <w:rsid w:val="000C2A11"/>
    <w:rsid w:val="000C35B0"/>
    <w:rsid w:val="000C656D"/>
    <w:rsid w:val="000C6F38"/>
    <w:rsid w:val="000C787C"/>
    <w:rsid w:val="000D6D9C"/>
    <w:rsid w:val="000E3698"/>
    <w:rsid w:val="000F1643"/>
    <w:rsid w:val="000F23F3"/>
    <w:rsid w:val="000F2D9E"/>
    <w:rsid w:val="00106A96"/>
    <w:rsid w:val="00107760"/>
    <w:rsid w:val="00114C7D"/>
    <w:rsid w:val="001167DA"/>
    <w:rsid w:val="0011699C"/>
    <w:rsid w:val="00122622"/>
    <w:rsid w:val="0012303A"/>
    <w:rsid w:val="00124B56"/>
    <w:rsid w:val="00126292"/>
    <w:rsid w:val="00132552"/>
    <w:rsid w:val="001332A2"/>
    <w:rsid w:val="0013530A"/>
    <w:rsid w:val="0013612C"/>
    <w:rsid w:val="00144ED5"/>
    <w:rsid w:val="0015402D"/>
    <w:rsid w:val="0015472D"/>
    <w:rsid w:val="0015763B"/>
    <w:rsid w:val="001602DF"/>
    <w:rsid w:val="00160579"/>
    <w:rsid w:val="001649DC"/>
    <w:rsid w:val="00165038"/>
    <w:rsid w:val="00170DD0"/>
    <w:rsid w:val="00171470"/>
    <w:rsid w:val="001737DA"/>
    <w:rsid w:val="001854AB"/>
    <w:rsid w:val="00192743"/>
    <w:rsid w:val="00193B41"/>
    <w:rsid w:val="001957DC"/>
    <w:rsid w:val="00197C6B"/>
    <w:rsid w:val="001A2C73"/>
    <w:rsid w:val="001A5801"/>
    <w:rsid w:val="001C1E68"/>
    <w:rsid w:val="001C209F"/>
    <w:rsid w:val="001D242B"/>
    <w:rsid w:val="001D4CA5"/>
    <w:rsid w:val="001E101F"/>
    <w:rsid w:val="001E21A6"/>
    <w:rsid w:val="001E2946"/>
    <w:rsid w:val="001E2CA9"/>
    <w:rsid w:val="001F03AA"/>
    <w:rsid w:val="001F4683"/>
    <w:rsid w:val="001F4D9E"/>
    <w:rsid w:val="001F76E6"/>
    <w:rsid w:val="00206941"/>
    <w:rsid w:val="0021182F"/>
    <w:rsid w:val="00212FEB"/>
    <w:rsid w:val="00213E87"/>
    <w:rsid w:val="00215D1B"/>
    <w:rsid w:val="002179BB"/>
    <w:rsid w:val="00220D29"/>
    <w:rsid w:val="00226A7A"/>
    <w:rsid w:val="00233E28"/>
    <w:rsid w:val="0023529C"/>
    <w:rsid w:val="00240033"/>
    <w:rsid w:val="00243F99"/>
    <w:rsid w:val="00251130"/>
    <w:rsid w:val="00255B0E"/>
    <w:rsid w:val="0025606E"/>
    <w:rsid w:val="00263899"/>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13CC"/>
    <w:rsid w:val="002C4A03"/>
    <w:rsid w:val="002C690B"/>
    <w:rsid w:val="002E50CF"/>
    <w:rsid w:val="002E77D1"/>
    <w:rsid w:val="002F3EFE"/>
    <w:rsid w:val="002F5953"/>
    <w:rsid w:val="0030509D"/>
    <w:rsid w:val="00310C19"/>
    <w:rsid w:val="00312685"/>
    <w:rsid w:val="00314A5F"/>
    <w:rsid w:val="0031799F"/>
    <w:rsid w:val="00320895"/>
    <w:rsid w:val="00330077"/>
    <w:rsid w:val="0033662C"/>
    <w:rsid w:val="003369D5"/>
    <w:rsid w:val="0034386B"/>
    <w:rsid w:val="00351A14"/>
    <w:rsid w:val="00356BB8"/>
    <w:rsid w:val="00356D08"/>
    <w:rsid w:val="00360431"/>
    <w:rsid w:val="00360501"/>
    <w:rsid w:val="00360945"/>
    <w:rsid w:val="00374255"/>
    <w:rsid w:val="00375FFA"/>
    <w:rsid w:val="003815EF"/>
    <w:rsid w:val="00382573"/>
    <w:rsid w:val="003879DF"/>
    <w:rsid w:val="00390F98"/>
    <w:rsid w:val="00396D76"/>
    <w:rsid w:val="003A1AF5"/>
    <w:rsid w:val="003A77A2"/>
    <w:rsid w:val="003B0303"/>
    <w:rsid w:val="003B454A"/>
    <w:rsid w:val="003B4830"/>
    <w:rsid w:val="003C1A52"/>
    <w:rsid w:val="003C3941"/>
    <w:rsid w:val="003C3FC0"/>
    <w:rsid w:val="003D210A"/>
    <w:rsid w:val="003D3325"/>
    <w:rsid w:val="003D4331"/>
    <w:rsid w:val="003E51E4"/>
    <w:rsid w:val="003E5EE0"/>
    <w:rsid w:val="003E62C0"/>
    <w:rsid w:val="00405A55"/>
    <w:rsid w:val="00406032"/>
    <w:rsid w:val="0041185F"/>
    <w:rsid w:val="004160BF"/>
    <w:rsid w:val="00417B11"/>
    <w:rsid w:val="00422D8B"/>
    <w:rsid w:val="00427179"/>
    <w:rsid w:val="00432267"/>
    <w:rsid w:val="00435C09"/>
    <w:rsid w:val="00442C6B"/>
    <w:rsid w:val="00455DEA"/>
    <w:rsid w:val="004600E3"/>
    <w:rsid w:val="004631AB"/>
    <w:rsid w:val="004658BE"/>
    <w:rsid w:val="00465B26"/>
    <w:rsid w:val="00466449"/>
    <w:rsid w:val="00466DEB"/>
    <w:rsid w:val="00466E3B"/>
    <w:rsid w:val="00471235"/>
    <w:rsid w:val="00482220"/>
    <w:rsid w:val="004863CF"/>
    <w:rsid w:val="004939E0"/>
    <w:rsid w:val="004A0305"/>
    <w:rsid w:val="004A0A50"/>
    <w:rsid w:val="004B5AAB"/>
    <w:rsid w:val="004C62BF"/>
    <w:rsid w:val="004D52B0"/>
    <w:rsid w:val="004E4B51"/>
    <w:rsid w:val="004E7392"/>
    <w:rsid w:val="004F5F38"/>
    <w:rsid w:val="004F6B31"/>
    <w:rsid w:val="004F71AC"/>
    <w:rsid w:val="005014CA"/>
    <w:rsid w:val="00510055"/>
    <w:rsid w:val="00510D98"/>
    <w:rsid w:val="00521F30"/>
    <w:rsid w:val="0052663C"/>
    <w:rsid w:val="005268DC"/>
    <w:rsid w:val="0052760B"/>
    <w:rsid w:val="00537107"/>
    <w:rsid w:val="00537CAD"/>
    <w:rsid w:val="00540142"/>
    <w:rsid w:val="00540389"/>
    <w:rsid w:val="00546C7B"/>
    <w:rsid w:val="005473D7"/>
    <w:rsid w:val="00553F82"/>
    <w:rsid w:val="00555A12"/>
    <w:rsid w:val="005578E7"/>
    <w:rsid w:val="00573DAD"/>
    <w:rsid w:val="00581F54"/>
    <w:rsid w:val="005A0F3F"/>
    <w:rsid w:val="005B1CBB"/>
    <w:rsid w:val="005B4B46"/>
    <w:rsid w:val="005B607F"/>
    <w:rsid w:val="005B6B7C"/>
    <w:rsid w:val="005C0233"/>
    <w:rsid w:val="005C1731"/>
    <w:rsid w:val="005D27D4"/>
    <w:rsid w:val="005D5D53"/>
    <w:rsid w:val="005E4EDD"/>
    <w:rsid w:val="005F0467"/>
    <w:rsid w:val="006002EE"/>
    <w:rsid w:val="00601E0F"/>
    <w:rsid w:val="006020B1"/>
    <w:rsid w:val="006053F9"/>
    <w:rsid w:val="006117B9"/>
    <w:rsid w:val="00615E8B"/>
    <w:rsid w:val="00617CFC"/>
    <w:rsid w:val="00640CAE"/>
    <w:rsid w:val="006447B1"/>
    <w:rsid w:val="00645E3A"/>
    <w:rsid w:val="00650E20"/>
    <w:rsid w:val="0065590C"/>
    <w:rsid w:val="00655D27"/>
    <w:rsid w:val="00656759"/>
    <w:rsid w:val="0065790E"/>
    <w:rsid w:val="006602F1"/>
    <w:rsid w:val="00673516"/>
    <w:rsid w:val="00675934"/>
    <w:rsid w:val="00685ABC"/>
    <w:rsid w:val="00693899"/>
    <w:rsid w:val="0069698A"/>
    <w:rsid w:val="006A1378"/>
    <w:rsid w:val="006B42EB"/>
    <w:rsid w:val="006B734C"/>
    <w:rsid w:val="006F0970"/>
    <w:rsid w:val="006F1D4C"/>
    <w:rsid w:val="006F4639"/>
    <w:rsid w:val="006F4E81"/>
    <w:rsid w:val="007041E5"/>
    <w:rsid w:val="0070460B"/>
    <w:rsid w:val="0070583F"/>
    <w:rsid w:val="00712115"/>
    <w:rsid w:val="0071507D"/>
    <w:rsid w:val="00717598"/>
    <w:rsid w:val="00717C7A"/>
    <w:rsid w:val="00725B78"/>
    <w:rsid w:val="00730077"/>
    <w:rsid w:val="00733BB2"/>
    <w:rsid w:val="00736FBB"/>
    <w:rsid w:val="007416AC"/>
    <w:rsid w:val="00744618"/>
    <w:rsid w:val="00747763"/>
    <w:rsid w:val="007501B3"/>
    <w:rsid w:val="00760206"/>
    <w:rsid w:val="00764769"/>
    <w:rsid w:val="00766AF4"/>
    <w:rsid w:val="00766B02"/>
    <w:rsid w:val="00771B50"/>
    <w:rsid w:val="00771F7F"/>
    <w:rsid w:val="007723A7"/>
    <w:rsid w:val="0077310A"/>
    <w:rsid w:val="007777AC"/>
    <w:rsid w:val="00782335"/>
    <w:rsid w:val="007877BB"/>
    <w:rsid w:val="007B545C"/>
    <w:rsid w:val="007B641A"/>
    <w:rsid w:val="007C0631"/>
    <w:rsid w:val="007D76F9"/>
    <w:rsid w:val="007E464F"/>
    <w:rsid w:val="007F1E32"/>
    <w:rsid w:val="007F5010"/>
    <w:rsid w:val="0080284B"/>
    <w:rsid w:val="00811DC6"/>
    <w:rsid w:val="00814B1B"/>
    <w:rsid w:val="0082670A"/>
    <w:rsid w:val="00832740"/>
    <w:rsid w:val="008354F3"/>
    <w:rsid w:val="0084010D"/>
    <w:rsid w:val="00843477"/>
    <w:rsid w:val="00847324"/>
    <w:rsid w:val="008552F1"/>
    <w:rsid w:val="0085538E"/>
    <w:rsid w:val="00862256"/>
    <w:rsid w:val="008654FB"/>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2CA0"/>
    <w:rsid w:val="008D76B2"/>
    <w:rsid w:val="008E0959"/>
    <w:rsid w:val="008E5B7B"/>
    <w:rsid w:val="008E5BE7"/>
    <w:rsid w:val="008E650C"/>
    <w:rsid w:val="008F2AC2"/>
    <w:rsid w:val="008F2BCF"/>
    <w:rsid w:val="008F2CBC"/>
    <w:rsid w:val="00903ED8"/>
    <w:rsid w:val="00906395"/>
    <w:rsid w:val="00910018"/>
    <w:rsid w:val="00916967"/>
    <w:rsid w:val="0092093C"/>
    <w:rsid w:val="00924842"/>
    <w:rsid w:val="00925EE6"/>
    <w:rsid w:val="00942A18"/>
    <w:rsid w:val="00945BC9"/>
    <w:rsid w:val="00953BFD"/>
    <w:rsid w:val="00954AD0"/>
    <w:rsid w:val="00962458"/>
    <w:rsid w:val="00962E51"/>
    <w:rsid w:val="009654E0"/>
    <w:rsid w:val="0096704B"/>
    <w:rsid w:val="00967129"/>
    <w:rsid w:val="00971F63"/>
    <w:rsid w:val="0097396A"/>
    <w:rsid w:val="00976E29"/>
    <w:rsid w:val="00983256"/>
    <w:rsid w:val="009848E7"/>
    <w:rsid w:val="009854A5"/>
    <w:rsid w:val="00986BA5"/>
    <w:rsid w:val="00995566"/>
    <w:rsid w:val="009B3EC0"/>
    <w:rsid w:val="009C05C5"/>
    <w:rsid w:val="009C1C57"/>
    <w:rsid w:val="009C5C27"/>
    <w:rsid w:val="009C7423"/>
    <w:rsid w:val="009D0955"/>
    <w:rsid w:val="009D4FB1"/>
    <w:rsid w:val="009D5D55"/>
    <w:rsid w:val="009E1FDA"/>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78C"/>
    <w:rsid w:val="00A46E8F"/>
    <w:rsid w:val="00A61216"/>
    <w:rsid w:val="00A7197E"/>
    <w:rsid w:val="00A734CD"/>
    <w:rsid w:val="00A81AC4"/>
    <w:rsid w:val="00A81EFE"/>
    <w:rsid w:val="00A82D0D"/>
    <w:rsid w:val="00A850F3"/>
    <w:rsid w:val="00A873F8"/>
    <w:rsid w:val="00A91552"/>
    <w:rsid w:val="00A91A74"/>
    <w:rsid w:val="00A93049"/>
    <w:rsid w:val="00AA6424"/>
    <w:rsid w:val="00AB0274"/>
    <w:rsid w:val="00AB4503"/>
    <w:rsid w:val="00AC0B78"/>
    <w:rsid w:val="00AC2CF0"/>
    <w:rsid w:val="00AC5D88"/>
    <w:rsid w:val="00AC6753"/>
    <w:rsid w:val="00AC6E12"/>
    <w:rsid w:val="00AD1065"/>
    <w:rsid w:val="00AD3286"/>
    <w:rsid w:val="00AD4F41"/>
    <w:rsid w:val="00AD7BFD"/>
    <w:rsid w:val="00AE1F6B"/>
    <w:rsid w:val="00AE3237"/>
    <w:rsid w:val="00AE3459"/>
    <w:rsid w:val="00AE3923"/>
    <w:rsid w:val="00AE4A17"/>
    <w:rsid w:val="00AF1E45"/>
    <w:rsid w:val="00AF2F83"/>
    <w:rsid w:val="00AF6095"/>
    <w:rsid w:val="00AF7B8F"/>
    <w:rsid w:val="00B00CEB"/>
    <w:rsid w:val="00B21C60"/>
    <w:rsid w:val="00B24CE1"/>
    <w:rsid w:val="00B26E7E"/>
    <w:rsid w:val="00B30E23"/>
    <w:rsid w:val="00B36B8A"/>
    <w:rsid w:val="00B447C7"/>
    <w:rsid w:val="00B50BD2"/>
    <w:rsid w:val="00B54645"/>
    <w:rsid w:val="00B54704"/>
    <w:rsid w:val="00B67EEC"/>
    <w:rsid w:val="00B72C73"/>
    <w:rsid w:val="00B734EC"/>
    <w:rsid w:val="00B7777C"/>
    <w:rsid w:val="00B84453"/>
    <w:rsid w:val="00B84BA4"/>
    <w:rsid w:val="00B912E2"/>
    <w:rsid w:val="00B94706"/>
    <w:rsid w:val="00B97FBF"/>
    <w:rsid w:val="00BA3272"/>
    <w:rsid w:val="00BA3663"/>
    <w:rsid w:val="00BA5995"/>
    <w:rsid w:val="00BB0A3A"/>
    <w:rsid w:val="00BB17B3"/>
    <w:rsid w:val="00BB1EF4"/>
    <w:rsid w:val="00BB3696"/>
    <w:rsid w:val="00BB5A76"/>
    <w:rsid w:val="00BB7074"/>
    <w:rsid w:val="00BC4B78"/>
    <w:rsid w:val="00BD17AE"/>
    <w:rsid w:val="00BE25ED"/>
    <w:rsid w:val="00BE31C8"/>
    <w:rsid w:val="00BE3B0B"/>
    <w:rsid w:val="00BE5B12"/>
    <w:rsid w:val="00BE6B76"/>
    <w:rsid w:val="00BF1CC9"/>
    <w:rsid w:val="00C02CA8"/>
    <w:rsid w:val="00C04E8D"/>
    <w:rsid w:val="00C17F79"/>
    <w:rsid w:val="00C21861"/>
    <w:rsid w:val="00C23B8B"/>
    <w:rsid w:val="00C26EC4"/>
    <w:rsid w:val="00C33026"/>
    <w:rsid w:val="00C36442"/>
    <w:rsid w:val="00C37214"/>
    <w:rsid w:val="00C54B7D"/>
    <w:rsid w:val="00C5695E"/>
    <w:rsid w:val="00C57AA9"/>
    <w:rsid w:val="00C80CE4"/>
    <w:rsid w:val="00C81746"/>
    <w:rsid w:val="00C823DA"/>
    <w:rsid w:val="00C82A2B"/>
    <w:rsid w:val="00C85B34"/>
    <w:rsid w:val="00C87D84"/>
    <w:rsid w:val="00C87E85"/>
    <w:rsid w:val="00C91B1F"/>
    <w:rsid w:val="00C94870"/>
    <w:rsid w:val="00C96F44"/>
    <w:rsid w:val="00CA01FE"/>
    <w:rsid w:val="00CA0DEC"/>
    <w:rsid w:val="00CA38BE"/>
    <w:rsid w:val="00CA38FE"/>
    <w:rsid w:val="00CB71A2"/>
    <w:rsid w:val="00CC6E5F"/>
    <w:rsid w:val="00CD4E4C"/>
    <w:rsid w:val="00CD522D"/>
    <w:rsid w:val="00CD7AF1"/>
    <w:rsid w:val="00CE10A3"/>
    <w:rsid w:val="00CE49E6"/>
    <w:rsid w:val="00CE54A7"/>
    <w:rsid w:val="00CF40A2"/>
    <w:rsid w:val="00CF414A"/>
    <w:rsid w:val="00CF4774"/>
    <w:rsid w:val="00CF69D4"/>
    <w:rsid w:val="00D00906"/>
    <w:rsid w:val="00D00E18"/>
    <w:rsid w:val="00D02FD3"/>
    <w:rsid w:val="00D111DE"/>
    <w:rsid w:val="00D139C9"/>
    <w:rsid w:val="00D218C2"/>
    <w:rsid w:val="00D2236E"/>
    <w:rsid w:val="00D24A1F"/>
    <w:rsid w:val="00D35F2B"/>
    <w:rsid w:val="00D36941"/>
    <w:rsid w:val="00D4003B"/>
    <w:rsid w:val="00D444C1"/>
    <w:rsid w:val="00D5127E"/>
    <w:rsid w:val="00D6369A"/>
    <w:rsid w:val="00D658DF"/>
    <w:rsid w:val="00D72415"/>
    <w:rsid w:val="00D72A60"/>
    <w:rsid w:val="00D7553F"/>
    <w:rsid w:val="00D8475A"/>
    <w:rsid w:val="00D86A12"/>
    <w:rsid w:val="00D92A87"/>
    <w:rsid w:val="00D94E6E"/>
    <w:rsid w:val="00DB64B1"/>
    <w:rsid w:val="00DB67CE"/>
    <w:rsid w:val="00DC12DE"/>
    <w:rsid w:val="00DC1A28"/>
    <w:rsid w:val="00DC2F33"/>
    <w:rsid w:val="00DC6DD7"/>
    <w:rsid w:val="00DD14BB"/>
    <w:rsid w:val="00DD308B"/>
    <w:rsid w:val="00DD3BAE"/>
    <w:rsid w:val="00DD6EE0"/>
    <w:rsid w:val="00DD736F"/>
    <w:rsid w:val="00DE47F4"/>
    <w:rsid w:val="00DE4FAB"/>
    <w:rsid w:val="00DE6E89"/>
    <w:rsid w:val="00DF1FC2"/>
    <w:rsid w:val="00E10174"/>
    <w:rsid w:val="00E20C3E"/>
    <w:rsid w:val="00E35E16"/>
    <w:rsid w:val="00E527F5"/>
    <w:rsid w:val="00E571C3"/>
    <w:rsid w:val="00E626BD"/>
    <w:rsid w:val="00E64927"/>
    <w:rsid w:val="00E7048D"/>
    <w:rsid w:val="00E72340"/>
    <w:rsid w:val="00E8097F"/>
    <w:rsid w:val="00E83F65"/>
    <w:rsid w:val="00EA3B64"/>
    <w:rsid w:val="00EA795A"/>
    <w:rsid w:val="00EB1A36"/>
    <w:rsid w:val="00EB42D7"/>
    <w:rsid w:val="00EC2E93"/>
    <w:rsid w:val="00EC3182"/>
    <w:rsid w:val="00EC7307"/>
    <w:rsid w:val="00ED068F"/>
    <w:rsid w:val="00ED7D51"/>
    <w:rsid w:val="00EE031C"/>
    <w:rsid w:val="00EE6C4E"/>
    <w:rsid w:val="00EF5825"/>
    <w:rsid w:val="00EF6E14"/>
    <w:rsid w:val="00EF7C96"/>
    <w:rsid w:val="00F000D7"/>
    <w:rsid w:val="00F01182"/>
    <w:rsid w:val="00F032B9"/>
    <w:rsid w:val="00F06ED4"/>
    <w:rsid w:val="00F1764E"/>
    <w:rsid w:val="00F207F5"/>
    <w:rsid w:val="00F22A76"/>
    <w:rsid w:val="00F25119"/>
    <w:rsid w:val="00F33E1A"/>
    <w:rsid w:val="00F41298"/>
    <w:rsid w:val="00F418E8"/>
    <w:rsid w:val="00F46998"/>
    <w:rsid w:val="00F51A19"/>
    <w:rsid w:val="00F61F6D"/>
    <w:rsid w:val="00F66FD0"/>
    <w:rsid w:val="00F6784C"/>
    <w:rsid w:val="00F70AB5"/>
    <w:rsid w:val="00F719EA"/>
    <w:rsid w:val="00F751A1"/>
    <w:rsid w:val="00F755E7"/>
    <w:rsid w:val="00F7637C"/>
    <w:rsid w:val="00F77B53"/>
    <w:rsid w:val="00F80140"/>
    <w:rsid w:val="00F80D48"/>
    <w:rsid w:val="00F81681"/>
    <w:rsid w:val="00F93AF2"/>
    <w:rsid w:val="00F971C2"/>
    <w:rsid w:val="00FB7ECA"/>
    <w:rsid w:val="00FC7908"/>
    <w:rsid w:val="00FD032B"/>
    <w:rsid w:val="00FD506B"/>
    <w:rsid w:val="00FE0753"/>
    <w:rsid w:val="00FE3224"/>
    <w:rsid w:val="00FE7EC1"/>
    <w:rsid w:val="00FF6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basedOn w:val="DefaultParagraphFont"/>
    <w:link w:val="PlainText"/>
    <w:uiPriority w:val="99"/>
    <w:rsid w:val="003879DF"/>
    <w:rPr>
      <w:sz w:val="24"/>
      <w:szCs w:val="24"/>
    </w:rPr>
  </w:style>
  <w:style w:type="character" w:styleId="CommentReference">
    <w:name w:val="annotation reference"/>
    <w:basedOn w:val="DefaultParagraphFont"/>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basedOn w:val="CommentText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basedOn w:val="DefaultParagraphFont"/>
    <w:rsid w:val="00967129"/>
    <w:rPr>
      <w:vertAlign w:val="superscript"/>
    </w:rPr>
  </w:style>
  <w:style w:type="character" w:styleId="Strong">
    <w:name w:val="Strong"/>
    <w:basedOn w:val="DefaultParagraphFont"/>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basedOn w:val="DefaultParagraphFont"/>
    <w:link w:val="Heading1"/>
    <w:rsid w:val="00F755E7"/>
    <w:rPr>
      <w:rFonts w:ascii="Arial" w:hAnsi="Arial" w:cs="Arial"/>
      <w:b/>
      <w:bCs/>
    </w:rPr>
  </w:style>
  <w:style w:type="character" w:customStyle="1" w:styleId="Heading2Char">
    <w:name w:val="Heading 2 Char"/>
    <w:basedOn w:val="DefaultParagraphFont"/>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unhideWhenUsed/>
    <w:rsid w:val="00090D90"/>
    <w:rPr>
      <w:vertAlign w:val="superscript"/>
    </w:rPr>
  </w:style>
  <w:style w:type="character" w:styleId="FollowedHyperlink">
    <w:name w:val="FollowedHyperlink"/>
    <w:basedOn w:val="DefaultParagraphFont"/>
    <w:uiPriority w:val="99"/>
    <w:semiHidden/>
    <w:unhideWhenUsed/>
    <w:rsid w:val="00976E29"/>
    <w:rPr>
      <w:color w:val="800080"/>
      <w:u w:val="single"/>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Cristina.Bertarelli</cp:lastModifiedBy>
  <cp:revision>2</cp:revision>
  <cp:lastPrinted>2010-05-04T16:54:00Z</cp:lastPrinted>
  <dcterms:created xsi:type="dcterms:W3CDTF">2010-05-04T18:25:00Z</dcterms:created>
  <dcterms:modified xsi:type="dcterms:W3CDTF">2010-05-04T18:25:00Z</dcterms:modified>
</cp:coreProperties>
</file>