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4A58C9" w:rsidRDefault="004A58C9" w:rsidP="00F147E3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>
        <w:rPr>
          <w:rFonts w:asciiTheme="minorHAnsi" w:hAnsiTheme="minorHAnsi" w:cs="Arial"/>
          <w:b/>
          <w:sz w:val="32"/>
          <w:szCs w:val="32"/>
          <w:lang w:val="en-US"/>
        </w:rPr>
        <w:t>Nicaragua</w:t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9506E6" w:rsidTr="006602D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F147E3" w:rsidRPr="00DE2D26" w:rsidRDefault="001E4EA7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621551" w:rsidRPr="002755E8">
              <w:rPr>
                <w:rFonts w:asciiTheme="minorHAnsi" w:hAnsiTheme="minorHAnsi" w:cs="Arial"/>
                <w:noProof/>
                <w:lang w:val="en-US"/>
              </w:rPr>
              <w:t>Local and regional environmental management for the management of natural resources and provision of environmental services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7647A5" w:rsidTr="006602DD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7647A5" w:rsidRDefault="001E4EA7" w:rsidP="00AA7A3B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621551" w:rsidRPr="002755E8">
              <w:rPr>
                <w:rFonts w:asciiTheme="minorHAnsi" w:hAnsiTheme="minorHAnsi" w:cs="Arial"/>
                <w:noProof/>
              </w:rPr>
              <w:t>MDGF-1751-E-NIC Env Climate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621551" w:rsidRPr="002755E8">
              <w:rPr>
                <w:rFonts w:asciiTheme="minorHAnsi" w:hAnsiTheme="minorHAnsi" w:cs="Arial"/>
                <w:noProof/>
              </w:rPr>
              <w:t>67171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>)</w:t>
            </w:r>
          </w:p>
        </w:tc>
      </w:tr>
      <w:tr w:rsidR="00F147E3" w:rsidRPr="0095425F" w:rsidTr="006602D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1E4EA7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621551" w:rsidRPr="002755E8">
              <w:rPr>
                <w:rFonts w:asciiTheme="minorHAnsi" w:hAnsiTheme="minorHAnsi" w:cs="Arial"/>
                <w:noProof/>
                <w:lang w:val="en-US"/>
              </w:rPr>
              <w:t>Environment &amp; Climate Change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6602DD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1E4EA7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621551" w:rsidRPr="002755E8">
              <w:rPr>
                <w:rFonts w:asciiTheme="minorHAnsi" w:hAnsiTheme="minorHAnsi" w:cs="Arial"/>
                <w:noProof/>
                <w:lang w:val="da-DK"/>
              </w:rPr>
              <w:t>4.5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9506E6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9506E6" w:rsidTr="006602D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7C1D67" w:rsidRDefault="001E4EA7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C1D67">
              <w:rPr>
                <w:rFonts w:asciiTheme="minorHAnsi" w:hAnsiTheme="minorHAnsi" w:cs="Arial"/>
                <w:lang w:val="en-US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621551" w:rsidRPr="007C1D67">
              <w:rPr>
                <w:rFonts w:asciiTheme="minorHAnsi" w:hAnsiTheme="minorHAnsi" w:cs="Arial"/>
                <w:noProof/>
                <w:lang w:val="en-US"/>
              </w:rPr>
              <w:t>UNESCO, WFP, UNICEF, UNEP, UNDP, PAHO/WHO, UNIDO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6602DD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1E4EA7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621551" w:rsidRPr="002755E8">
              <w:rPr>
                <w:rFonts w:asciiTheme="minorHAnsi" w:hAnsiTheme="minorHAnsi" w:cs="Arial"/>
                <w:noProof/>
                <w:lang w:val="da-DK"/>
              </w:rPr>
              <w:t>18-Aug-2008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593F8A" w:rsidRPr="00F12124" w:rsidTr="006602DD">
        <w:tc>
          <w:tcPr>
            <w:tcW w:w="3528" w:type="dxa"/>
          </w:tcPr>
          <w:p w:rsidR="00593F8A" w:rsidRPr="00F12124" w:rsidRDefault="00593F8A" w:rsidP="00FC7E4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Second Tranche transferred on:</w:t>
            </w:r>
          </w:p>
        </w:tc>
        <w:tc>
          <w:tcPr>
            <w:tcW w:w="6390" w:type="dxa"/>
          </w:tcPr>
          <w:p w:rsidR="00593F8A" w:rsidRPr="00F12124" w:rsidRDefault="001E4EA7" w:rsidP="00593F8A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593F8A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593F8A">
              <w:rPr>
                <w:rFonts w:asciiTheme="minorHAnsi" w:hAnsiTheme="minorHAnsi" w:cs="Arial"/>
                <w:noProof/>
                <w:lang w:val="da-DK"/>
              </w:rPr>
              <w:t>14-Jan</w:t>
            </w:r>
            <w:r w:rsidR="00593F8A" w:rsidRPr="002755E8">
              <w:rPr>
                <w:rFonts w:asciiTheme="minorHAnsi" w:hAnsiTheme="minorHAnsi" w:cs="Arial"/>
                <w:noProof/>
                <w:lang w:val="da-DK"/>
              </w:rPr>
              <w:t>-20</w:t>
            </w:r>
            <w:r w:rsidR="00593F8A">
              <w:rPr>
                <w:rFonts w:asciiTheme="minorHAnsi" w:hAnsiTheme="minorHAnsi" w:cs="Arial"/>
                <w:noProof/>
                <w:lang w:val="da-DK"/>
              </w:rPr>
              <w:t>10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Default="00F147E3" w:rsidP="00DF5C3D">
      <w:pPr>
        <w:jc w:val="center"/>
        <w:rPr>
          <w:rFonts w:asciiTheme="minorHAnsi" w:hAnsiTheme="minorHAnsi" w:cs="Arial"/>
          <w:b/>
          <w:lang w:val="da-DK"/>
        </w:rPr>
      </w:pPr>
    </w:p>
    <w:p w:rsidR="006602DD" w:rsidRPr="004011D3" w:rsidRDefault="006602DD" w:rsidP="00DF5C3D">
      <w:pPr>
        <w:jc w:val="center"/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6602DD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6602DD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593F8A" w:rsidRPr="009506E6" w:rsidTr="006602DD">
        <w:tc>
          <w:tcPr>
            <w:tcW w:w="9576" w:type="dxa"/>
            <w:vAlign w:val="bottom"/>
          </w:tcPr>
          <w:p w:rsidR="00B61077" w:rsidRPr="00B61077" w:rsidRDefault="00593F8A" w:rsidP="009506E6">
            <w:pPr>
              <w:jc w:val="both"/>
              <w:rPr>
                <w:lang w:val="en-US"/>
              </w:rPr>
            </w:pPr>
            <w:r w:rsidRPr="00B61077">
              <w:rPr>
                <w:lang w:val="en-US"/>
              </w:rPr>
              <w:t xml:space="preserve">60% of the population of 15 communities receiving </w:t>
            </w:r>
            <w:r w:rsidR="00DF5C3D" w:rsidRPr="00B61077">
              <w:rPr>
                <w:lang w:val="en-US"/>
              </w:rPr>
              <w:t xml:space="preserve">energy from renewable sources. </w:t>
            </w:r>
            <w:r w:rsidRPr="00B61077">
              <w:rPr>
                <w:lang w:val="en-US"/>
              </w:rPr>
              <w:t xml:space="preserve">65 </w:t>
            </w:r>
            <w:proofErr w:type="spellStart"/>
            <w:r w:rsidRPr="00B61077">
              <w:rPr>
                <w:lang w:val="en-US"/>
              </w:rPr>
              <w:t>mz</w:t>
            </w:r>
            <w:proofErr w:type="spellEnd"/>
            <w:r w:rsidRPr="00B61077">
              <w:rPr>
                <w:lang w:val="en-US"/>
              </w:rPr>
              <w:t xml:space="preserve">. </w:t>
            </w:r>
            <w:proofErr w:type="gramStart"/>
            <w:r w:rsidRPr="00B61077">
              <w:rPr>
                <w:lang w:val="en-US"/>
              </w:rPr>
              <w:t>of</w:t>
            </w:r>
            <w:proofErr w:type="gramEnd"/>
            <w:r w:rsidRPr="00B61077">
              <w:rPr>
                <w:lang w:val="en-US"/>
              </w:rPr>
              <w:t xml:space="preserve"> agroforestry/cocoa mixed production benefitting 107 families. Training on cocoa production given to local producers and to agricultural extension workers. New warehousing facility for cocoa in </w:t>
            </w:r>
            <w:proofErr w:type="spellStart"/>
            <w:r w:rsidRPr="00B61077">
              <w:rPr>
                <w:lang w:val="en-US"/>
              </w:rPr>
              <w:t>Kukalaya</w:t>
            </w:r>
            <w:proofErr w:type="spellEnd"/>
            <w:r w:rsidRPr="00B61077">
              <w:rPr>
                <w:lang w:val="en-US"/>
              </w:rPr>
              <w:t xml:space="preserve"> now operational. 35 new hectares of land set aside for cocoa tree nurseries.  </w:t>
            </w:r>
          </w:p>
          <w:p w:rsidR="00593F8A" w:rsidRPr="00B61077" w:rsidRDefault="00B61077" w:rsidP="009506E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15 Local Water and Sanitation Committees have been organized and strengthened and4071 people have been benefitted with water and sanitation infrastructure (1875 men and 2196 women). </w:t>
            </w:r>
          </w:p>
        </w:tc>
      </w:tr>
      <w:tr w:rsidR="00593F8A" w:rsidRPr="009506E6" w:rsidTr="006602DD">
        <w:tc>
          <w:tcPr>
            <w:tcW w:w="9576" w:type="dxa"/>
          </w:tcPr>
          <w:p w:rsidR="00593F8A" w:rsidRPr="0095425F" w:rsidRDefault="00593F8A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593F8A" w:rsidRPr="0095425F" w:rsidTr="006602DD">
        <w:tc>
          <w:tcPr>
            <w:tcW w:w="9576" w:type="dxa"/>
          </w:tcPr>
          <w:p w:rsidR="00593F8A" w:rsidRPr="0095425F" w:rsidRDefault="00593F8A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593F8A" w:rsidRPr="0095425F" w:rsidRDefault="00593F8A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593F8A" w:rsidRPr="009506E6" w:rsidTr="006602DD">
        <w:tc>
          <w:tcPr>
            <w:tcW w:w="9576" w:type="dxa"/>
            <w:vAlign w:val="bottom"/>
          </w:tcPr>
          <w:p w:rsidR="00593F8A" w:rsidRPr="00B61077" w:rsidRDefault="00593F8A" w:rsidP="00DF5C3D">
            <w:pPr>
              <w:rPr>
                <w:lang w:val="en-US"/>
              </w:rPr>
            </w:pPr>
            <w:r w:rsidRPr="00B61077">
              <w:rPr>
                <w:lang w:val="en-US"/>
              </w:rPr>
              <w:t>JP design (requires frequent adjustments). External to the JP (social strife causing strikes, road closures etc.)</w:t>
            </w:r>
            <w:r w:rsidR="00DF5C3D" w:rsidRPr="00B61077">
              <w:rPr>
                <w:lang w:val="en-US"/>
              </w:rPr>
              <w:t>.</w:t>
            </w:r>
          </w:p>
        </w:tc>
      </w:tr>
      <w:tr w:rsidR="00593F8A" w:rsidRPr="009506E6" w:rsidTr="006602DD">
        <w:tc>
          <w:tcPr>
            <w:tcW w:w="9576" w:type="dxa"/>
          </w:tcPr>
          <w:p w:rsidR="00593F8A" w:rsidRPr="0095425F" w:rsidRDefault="00593F8A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593F8A" w:rsidRPr="009506E6" w:rsidTr="006602DD">
        <w:tc>
          <w:tcPr>
            <w:tcW w:w="9576" w:type="dxa"/>
          </w:tcPr>
          <w:p w:rsidR="00593F8A" w:rsidRPr="0095425F" w:rsidRDefault="00593F8A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1E4EA7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1E4EA7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2755E8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1E4EA7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593F8A" w:rsidRPr="009506E6" w:rsidTr="006602DD">
        <w:tc>
          <w:tcPr>
            <w:tcW w:w="9576" w:type="dxa"/>
          </w:tcPr>
          <w:p w:rsidR="00593F8A" w:rsidRPr="0095425F" w:rsidRDefault="00593F8A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 w:rsidR="001E4EA7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COM_STRATEGY </w:instrText>
            </w:r>
            <w:r w:rsidR="001E4EA7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2755E8">
              <w:rPr>
                <w:rFonts w:asciiTheme="minorHAnsi" w:hAnsiTheme="minorHAnsi" w:cs="Arial"/>
                <w:noProof/>
                <w:lang w:val="en-US"/>
              </w:rPr>
              <w:t>No</w:t>
            </w:r>
            <w:r w:rsidR="001E4EA7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1D191C" w:rsidRDefault="001D191C" w:rsidP="00791D5B">
      <w:pPr>
        <w:rPr>
          <w:rFonts w:asciiTheme="minorHAnsi" w:hAnsiTheme="minorHAnsi" w:cs="Arial"/>
          <w:lang w:val="en-US"/>
        </w:rPr>
      </w:pPr>
    </w:p>
    <w:p w:rsidR="000E1DE3" w:rsidRDefault="000E1DE3" w:rsidP="00791D5B">
      <w:pPr>
        <w:rPr>
          <w:rFonts w:asciiTheme="minorHAnsi" w:hAnsiTheme="minorHAnsi" w:cs="Arial"/>
          <w:lang w:val="en-US"/>
        </w:rPr>
      </w:pPr>
    </w:p>
    <w:p w:rsidR="00824BDF" w:rsidRDefault="00824BDF" w:rsidP="00791D5B">
      <w:pPr>
        <w:rPr>
          <w:rFonts w:asciiTheme="minorHAnsi" w:hAnsiTheme="minorHAnsi" w:cs="Arial"/>
          <w:lang w:val="en-US"/>
        </w:rPr>
      </w:pPr>
    </w:p>
    <w:p w:rsidR="00824BDF" w:rsidRDefault="00824BDF" w:rsidP="00791D5B">
      <w:pPr>
        <w:rPr>
          <w:rFonts w:asciiTheme="minorHAnsi" w:hAnsiTheme="minorHAnsi" w:cs="Arial"/>
          <w:lang w:val="en-US"/>
        </w:rPr>
      </w:pPr>
    </w:p>
    <w:p w:rsidR="007C1D67" w:rsidRDefault="007C1D67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F147E3" w:rsidRPr="0095425F" w:rsidRDefault="00F147E3" w:rsidP="003564B2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>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593F8A">
        <w:rPr>
          <w:rFonts w:asciiTheme="minorHAnsi" w:hAnsiTheme="minorHAnsi" w:cs="Arial"/>
          <w:lang w:val="en-US"/>
        </w:rPr>
        <w:t>10</w:t>
      </w:r>
    </w:p>
    <w:p w:rsidR="00DB242F" w:rsidRDefault="00DB242F" w:rsidP="00F147E3">
      <w:pPr>
        <w:jc w:val="center"/>
        <w:rPr>
          <w:rFonts w:asciiTheme="minorHAnsi" w:hAnsiTheme="minorHAnsi" w:cs="Arial"/>
          <w:lang w:val="en-US"/>
        </w:rPr>
      </w:pPr>
    </w:p>
    <w:p w:rsidR="00791D5B" w:rsidRDefault="000D1134" w:rsidP="00F147E3">
      <w:pPr>
        <w:jc w:val="center"/>
        <w:rPr>
          <w:rFonts w:asciiTheme="minorHAnsi" w:hAnsiTheme="minorHAnsi" w:cs="Arial"/>
          <w:lang w:val="en-US"/>
        </w:rPr>
      </w:pPr>
      <w:r w:rsidRPr="000D1134">
        <w:rPr>
          <w:noProof/>
          <w:lang w:val="en-US" w:eastAsia="en-US"/>
        </w:rPr>
        <w:drawing>
          <wp:inline distT="0" distB="0" distL="0" distR="0">
            <wp:extent cx="5943600" cy="66508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5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1128" w:rsidRDefault="00451128" w:rsidP="000E1DE3">
      <w:pPr>
        <w:ind w:left="-900" w:right="-270"/>
        <w:jc w:val="center"/>
        <w:rPr>
          <w:rFonts w:asciiTheme="minorHAnsi" w:hAnsiTheme="minorHAnsi" w:cs="Arial"/>
          <w:lang w:val="en-US"/>
        </w:rPr>
      </w:pPr>
    </w:p>
    <w:p w:rsidR="003E53E6" w:rsidRDefault="003E53E6" w:rsidP="00F101CA">
      <w:pPr>
        <w:rPr>
          <w:rFonts w:asciiTheme="minorHAnsi" w:hAnsiTheme="minorHAnsi" w:cs="Arial"/>
          <w:b/>
          <w:lang w:val="en-US"/>
        </w:rPr>
      </w:pPr>
    </w:p>
    <w:p w:rsidR="00C759A9" w:rsidRDefault="00C759A9" w:rsidP="00F25E26">
      <w:pPr>
        <w:jc w:val="center"/>
        <w:rPr>
          <w:rFonts w:asciiTheme="minorHAnsi" w:hAnsiTheme="minorHAnsi" w:cs="Arial"/>
          <w:b/>
          <w:lang w:val="en-US"/>
        </w:rPr>
      </w:pPr>
    </w:p>
    <w:p w:rsidR="00C759A9" w:rsidRDefault="00C759A9" w:rsidP="00F25E26">
      <w:pPr>
        <w:jc w:val="center"/>
        <w:rPr>
          <w:rFonts w:asciiTheme="minorHAnsi" w:hAnsiTheme="minorHAnsi" w:cs="Arial"/>
          <w:b/>
          <w:lang w:val="en-US"/>
        </w:rPr>
      </w:pPr>
    </w:p>
    <w:p w:rsidR="001D191C" w:rsidRDefault="001D191C" w:rsidP="00F25E26">
      <w:pPr>
        <w:jc w:val="center"/>
        <w:rPr>
          <w:rFonts w:asciiTheme="minorHAnsi" w:hAnsiTheme="minorHAnsi" w:cs="Arial"/>
          <w:b/>
          <w:lang w:val="en-US"/>
        </w:rPr>
      </w:pPr>
    </w:p>
    <w:p w:rsidR="001D191C" w:rsidRDefault="001D191C" w:rsidP="00F25E26">
      <w:pPr>
        <w:jc w:val="center"/>
        <w:rPr>
          <w:rFonts w:asciiTheme="minorHAnsi" w:hAnsiTheme="minorHAnsi" w:cs="Arial"/>
          <w:b/>
          <w:lang w:val="en-US"/>
        </w:rPr>
      </w:pPr>
    </w:p>
    <w:sectPr w:rsidR="001D191C" w:rsidSect="001D191C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20" w:rsidRDefault="00E45D20" w:rsidP="00F147E3">
      <w:r>
        <w:separator/>
      </w:r>
    </w:p>
  </w:endnote>
  <w:endnote w:type="continuationSeparator" w:id="1">
    <w:p w:rsidR="00E45D20" w:rsidRDefault="00E45D20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20" w:rsidRDefault="00E45D20" w:rsidP="00F147E3">
      <w:r>
        <w:separator/>
      </w:r>
    </w:p>
  </w:footnote>
  <w:footnote w:type="continuationSeparator" w:id="1">
    <w:p w:rsidR="00E45D20" w:rsidRDefault="00E45D20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20" w:rsidRDefault="00E45D20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E45D20" w:rsidRPr="00F147E3" w:rsidRDefault="00E45D20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593F8A"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E45D20" w:rsidRPr="00F147E3" w:rsidRDefault="00E45D2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31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277F7"/>
    <w:rsid w:val="00034342"/>
    <w:rsid w:val="00054857"/>
    <w:rsid w:val="0009617E"/>
    <w:rsid w:val="000A33F0"/>
    <w:rsid w:val="000D1134"/>
    <w:rsid w:val="000E0785"/>
    <w:rsid w:val="000E1DE3"/>
    <w:rsid w:val="000F3A77"/>
    <w:rsid w:val="00112151"/>
    <w:rsid w:val="00143186"/>
    <w:rsid w:val="0016327D"/>
    <w:rsid w:val="001D191C"/>
    <w:rsid w:val="001E4EA7"/>
    <w:rsid w:val="001F677D"/>
    <w:rsid w:val="00240992"/>
    <w:rsid w:val="002B59E7"/>
    <w:rsid w:val="002C2EC7"/>
    <w:rsid w:val="002D24BB"/>
    <w:rsid w:val="00302A0B"/>
    <w:rsid w:val="003564B2"/>
    <w:rsid w:val="00363AC9"/>
    <w:rsid w:val="0036542F"/>
    <w:rsid w:val="00382A93"/>
    <w:rsid w:val="003B39A3"/>
    <w:rsid w:val="003E233C"/>
    <w:rsid w:val="003E53E6"/>
    <w:rsid w:val="004011D3"/>
    <w:rsid w:val="004108C8"/>
    <w:rsid w:val="004139A4"/>
    <w:rsid w:val="004219E0"/>
    <w:rsid w:val="00451128"/>
    <w:rsid w:val="0048330C"/>
    <w:rsid w:val="00483A38"/>
    <w:rsid w:val="00494D51"/>
    <w:rsid w:val="004A58C9"/>
    <w:rsid w:val="00504924"/>
    <w:rsid w:val="00540079"/>
    <w:rsid w:val="005640E5"/>
    <w:rsid w:val="00565D95"/>
    <w:rsid w:val="00571D8A"/>
    <w:rsid w:val="005730EF"/>
    <w:rsid w:val="00584FF7"/>
    <w:rsid w:val="00593F8A"/>
    <w:rsid w:val="005973B6"/>
    <w:rsid w:val="00597D63"/>
    <w:rsid w:val="005B591E"/>
    <w:rsid w:val="005D0337"/>
    <w:rsid w:val="005D2D80"/>
    <w:rsid w:val="00614453"/>
    <w:rsid w:val="00621551"/>
    <w:rsid w:val="006602DD"/>
    <w:rsid w:val="006A715E"/>
    <w:rsid w:val="006B0EA3"/>
    <w:rsid w:val="006C0F30"/>
    <w:rsid w:val="006E4615"/>
    <w:rsid w:val="006E7FD7"/>
    <w:rsid w:val="006F1B8D"/>
    <w:rsid w:val="00714BF2"/>
    <w:rsid w:val="007442F4"/>
    <w:rsid w:val="0074642F"/>
    <w:rsid w:val="00761C49"/>
    <w:rsid w:val="007647A5"/>
    <w:rsid w:val="00791D5B"/>
    <w:rsid w:val="007A120D"/>
    <w:rsid w:val="007B2751"/>
    <w:rsid w:val="007B2FA8"/>
    <w:rsid w:val="007C1D67"/>
    <w:rsid w:val="007C5456"/>
    <w:rsid w:val="007F2D8E"/>
    <w:rsid w:val="007F5190"/>
    <w:rsid w:val="00815141"/>
    <w:rsid w:val="00824BDF"/>
    <w:rsid w:val="008472A6"/>
    <w:rsid w:val="008575EA"/>
    <w:rsid w:val="008B10E1"/>
    <w:rsid w:val="008B4D5F"/>
    <w:rsid w:val="008D114D"/>
    <w:rsid w:val="008F05E5"/>
    <w:rsid w:val="00944CD9"/>
    <w:rsid w:val="009506E6"/>
    <w:rsid w:val="0095425F"/>
    <w:rsid w:val="00993168"/>
    <w:rsid w:val="009D5085"/>
    <w:rsid w:val="009D6220"/>
    <w:rsid w:val="00A14829"/>
    <w:rsid w:val="00A31793"/>
    <w:rsid w:val="00A52DB9"/>
    <w:rsid w:val="00A56749"/>
    <w:rsid w:val="00A57FCF"/>
    <w:rsid w:val="00A6046F"/>
    <w:rsid w:val="00A64828"/>
    <w:rsid w:val="00A9307A"/>
    <w:rsid w:val="00AA43A4"/>
    <w:rsid w:val="00AA7A3B"/>
    <w:rsid w:val="00AA7E38"/>
    <w:rsid w:val="00AB160A"/>
    <w:rsid w:val="00AD5522"/>
    <w:rsid w:val="00AE4F7D"/>
    <w:rsid w:val="00AE77EE"/>
    <w:rsid w:val="00B06560"/>
    <w:rsid w:val="00B07AEC"/>
    <w:rsid w:val="00B31180"/>
    <w:rsid w:val="00B61077"/>
    <w:rsid w:val="00B74F03"/>
    <w:rsid w:val="00B859E2"/>
    <w:rsid w:val="00BD3358"/>
    <w:rsid w:val="00BE22DC"/>
    <w:rsid w:val="00BF729B"/>
    <w:rsid w:val="00C12E3C"/>
    <w:rsid w:val="00C25604"/>
    <w:rsid w:val="00C631F1"/>
    <w:rsid w:val="00C662DD"/>
    <w:rsid w:val="00C759A9"/>
    <w:rsid w:val="00D01ADA"/>
    <w:rsid w:val="00D10593"/>
    <w:rsid w:val="00D10C68"/>
    <w:rsid w:val="00D16657"/>
    <w:rsid w:val="00D178BE"/>
    <w:rsid w:val="00D2252A"/>
    <w:rsid w:val="00D227C8"/>
    <w:rsid w:val="00D22F32"/>
    <w:rsid w:val="00D721EE"/>
    <w:rsid w:val="00DB242F"/>
    <w:rsid w:val="00DB6FE5"/>
    <w:rsid w:val="00DD4FE8"/>
    <w:rsid w:val="00DE080D"/>
    <w:rsid w:val="00DE2D26"/>
    <w:rsid w:val="00DE4F4B"/>
    <w:rsid w:val="00DF3869"/>
    <w:rsid w:val="00DF5C3D"/>
    <w:rsid w:val="00E260DD"/>
    <w:rsid w:val="00E34F58"/>
    <w:rsid w:val="00E3763B"/>
    <w:rsid w:val="00E45D20"/>
    <w:rsid w:val="00E4675B"/>
    <w:rsid w:val="00E57BF7"/>
    <w:rsid w:val="00EE17F3"/>
    <w:rsid w:val="00F101CA"/>
    <w:rsid w:val="00F12124"/>
    <w:rsid w:val="00F147E3"/>
    <w:rsid w:val="00F25E26"/>
    <w:rsid w:val="00F60570"/>
    <w:rsid w:val="00F66E6B"/>
    <w:rsid w:val="00F917CA"/>
    <w:rsid w:val="00FA67CE"/>
    <w:rsid w:val="00FB0066"/>
    <w:rsid w:val="00FB1030"/>
    <w:rsid w:val="00FC288D"/>
    <w:rsid w:val="00FC31C4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FDD3-2EAE-49F1-8165-B591A6CE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4</cp:revision>
  <cp:lastPrinted>2010-05-17T16:22:00Z</cp:lastPrinted>
  <dcterms:created xsi:type="dcterms:W3CDTF">2011-05-26T16:28:00Z</dcterms:created>
  <dcterms:modified xsi:type="dcterms:W3CDTF">2011-06-01T00:12:00Z</dcterms:modified>
</cp:coreProperties>
</file>