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C" w:rsidRPr="00C931DD" w:rsidRDefault="00C931DD" w:rsidP="009B4773">
      <w:pPr>
        <w:jc w:val="center"/>
        <w:rPr>
          <w:b/>
          <w:sz w:val="22"/>
          <w:szCs w:val="22"/>
          <w:u w:val="single"/>
        </w:rPr>
      </w:pPr>
      <w:r>
        <w:rPr>
          <w:noProof/>
          <w:spacing w:val="-3"/>
          <w:sz w:val="22"/>
          <w:szCs w:val="22"/>
        </w:rPr>
        <w:drawing>
          <wp:inline distT="0" distB="0" distL="0" distR="0">
            <wp:extent cx="1028700" cy="800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090D90" w:rsidRPr="00C931DD" w:rsidRDefault="00090D90" w:rsidP="009B4773">
      <w:pPr>
        <w:jc w:val="center"/>
        <w:rPr>
          <w:b/>
          <w:sz w:val="22"/>
          <w:szCs w:val="22"/>
          <w:u w:val="single"/>
        </w:rPr>
      </w:pPr>
    </w:p>
    <w:p w:rsidR="00AB0274" w:rsidRPr="00C931DD" w:rsidRDefault="004658BE" w:rsidP="009B4773">
      <w:pPr>
        <w:jc w:val="center"/>
        <w:rPr>
          <w:b/>
          <w:sz w:val="22"/>
          <w:szCs w:val="22"/>
        </w:rPr>
      </w:pPr>
      <w:r w:rsidRPr="00C931DD">
        <w:rPr>
          <w:b/>
          <w:sz w:val="22"/>
          <w:szCs w:val="22"/>
          <w:u w:val="single"/>
        </w:rPr>
        <w:t xml:space="preserve"> </w:t>
      </w:r>
    </w:p>
    <w:p w:rsidR="00AB0274" w:rsidRPr="00C931DD" w:rsidRDefault="00AB0274" w:rsidP="0070440C">
      <w:pPr>
        <w:jc w:val="center"/>
        <w:rPr>
          <w:b/>
          <w:sz w:val="22"/>
          <w:szCs w:val="22"/>
        </w:rPr>
      </w:pPr>
      <w:r w:rsidRPr="00C931DD">
        <w:rPr>
          <w:b/>
          <w:sz w:val="22"/>
          <w:szCs w:val="22"/>
        </w:rPr>
        <w:t>[</w:t>
      </w:r>
      <w:r w:rsidR="00C931DD">
        <w:rPr>
          <w:b/>
          <w:sz w:val="22"/>
          <w:szCs w:val="22"/>
        </w:rPr>
        <w:t>UN BHUTAN COUNTRY FUND</w:t>
      </w:r>
      <w:r w:rsidRPr="00C931DD">
        <w:rPr>
          <w:b/>
          <w:sz w:val="22"/>
          <w:szCs w:val="22"/>
        </w:rPr>
        <w:t>]</w:t>
      </w:r>
    </w:p>
    <w:p w:rsidR="00AB0274" w:rsidRPr="00C931DD" w:rsidRDefault="00AB0274" w:rsidP="0070440C">
      <w:pPr>
        <w:rPr>
          <w:sz w:val="22"/>
          <w:szCs w:val="22"/>
        </w:rPr>
      </w:pPr>
    </w:p>
    <w:p w:rsidR="00AB0274" w:rsidRPr="00C931DD" w:rsidRDefault="00AB0274" w:rsidP="0070440C">
      <w:pPr>
        <w:jc w:val="center"/>
        <w:rPr>
          <w:b/>
          <w:bCs/>
          <w:caps/>
          <w:sz w:val="22"/>
          <w:szCs w:val="22"/>
        </w:rPr>
      </w:pPr>
      <w:r w:rsidRPr="00C931DD">
        <w:rPr>
          <w:b/>
          <w:bCs/>
          <w:caps/>
          <w:sz w:val="22"/>
          <w:szCs w:val="22"/>
        </w:rPr>
        <w:t>ANNUAL programme</w:t>
      </w:r>
      <w:r w:rsidRPr="00C931DD">
        <w:rPr>
          <w:rStyle w:val="FootnoteReference"/>
          <w:b/>
          <w:bCs/>
          <w:caps/>
          <w:sz w:val="22"/>
          <w:szCs w:val="22"/>
        </w:rPr>
        <w:footnoteReference w:id="1"/>
      </w:r>
      <w:r w:rsidRPr="00C931DD">
        <w:rPr>
          <w:b/>
          <w:bCs/>
          <w:caps/>
          <w:sz w:val="22"/>
          <w:szCs w:val="22"/>
        </w:rPr>
        <w:t xml:space="preserve"> NARRATIVE progress report </w:t>
      </w:r>
    </w:p>
    <w:p w:rsidR="00AB0274" w:rsidRPr="00C931DD" w:rsidRDefault="00AB0274" w:rsidP="0070440C">
      <w:pPr>
        <w:jc w:val="center"/>
        <w:rPr>
          <w:b/>
          <w:bCs/>
          <w:caps/>
          <w:sz w:val="22"/>
          <w:szCs w:val="22"/>
        </w:rPr>
      </w:pPr>
    </w:p>
    <w:p w:rsidR="00AB0274" w:rsidRPr="00C931DD" w:rsidRDefault="00AB0274" w:rsidP="0070440C">
      <w:pPr>
        <w:jc w:val="center"/>
        <w:rPr>
          <w:b/>
          <w:bCs/>
          <w:caps/>
          <w:sz w:val="22"/>
          <w:szCs w:val="22"/>
        </w:rPr>
      </w:pPr>
      <w:r w:rsidRPr="00C931DD">
        <w:rPr>
          <w:b/>
          <w:bCs/>
          <w:caps/>
          <w:sz w:val="22"/>
          <w:szCs w:val="22"/>
        </w:rPr>
        <w:t>REPORTING PERI</w:t>
      </w:r>
      <w:r w:rsidR="00FD5475" w:rsidRPr="00C931DD">
        <w:rPr>
          <w:b/>
          <w:bCs/>
          <w:caps/>
          <w:sz w:val="22"/>
          <w:szCs w:val="22"/>
        </w:rPr>
        <w:t>OD: 1 january – 31 December 2010</w:t>
      </w:r>
    </w:p>
    <w:p w:rsidR="00452ED1" w:rsidRPr="00C931DD" w:rsidRDefault="00452ED1" w:rsidP="009B4773">
      <w:pPr>
        <w:jc w:val="center"/>
        <w:rPr>
          <w:b/>
          <w:bCs/>
          <w:caps/>
          <w:sz w:val="22"/>
          <w:szCs w:val="22"/>
        </w:rPr>
      </w:pPr>
    </w:p>
    <w:tbl>
      <w:tblPr>
        <w:tblW w:w="10260" w:type="dxa"/>
        <w:tblInd w:w="-72" w:type="dxa"/>
        <w:tblLayout w:type="fixed"/>
        <w:tblLook w:val="01E0"/>
      </w:tblPr>
      <w:tblGrid>
        <w:gridCol w:w="5040"/>
        <w:gridCol w:w="360"/>
        <w:gridCol w:w="4860"/>
      </w:tblGrid>
      <w:tr w:rsidR="000134CC" w:rsidRPr="00C931DD"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70440C" w:rsidRDefault="000134CC" w:rsidP="009B4773">
            <w:pPr>
              <w:pStyle w:val="H1"/>
              <w:jc w:val="center"/>
              <w:rPr>
                <w:rFonts w:cs="Times New Roman"/>
                <w:sz w:val="20"/>
                <w:szCs w:val="20"/>
              </w:rPr>
            </w:pPr>
            <w:r w:rsidRPr="0070440C">
              <w:rPr>
                <w:rFonts w:cs="Times New Roman"/>
                <w:sz w:val="20"/>
                <w:szCs w:val="20"/>
              </w:rPr>
              <w:t>Programme Title &amp; Number</w:t>
            </w:r>
          </w:p>
        </w:tc>
        <w:tc>
          <w:tcPr>
            <w:tcW w:w="360" w:type="dxa"/>
            <w:vMerge w:val="restart"/>
            <w:tcBorders>
              <w:left w:val="single" w:sz="4" w:space="0" w:color="auto"/>
              <w:right w:val="single" w:sz="4" w:space="0" w:color="auto"/>
            </w:tcBorders>
            <w:vAlign w:val="center"/>
          </w:tcPr>
          <w:p w:rsidR="000134CC" w:rsidRPr="00C931DD" w:rsidRDefault="000134CC" w:rsidP="009B4773">
            <w:pPr>
              <w:jc w:val="center"/>
              <w:rPr>
                <w:sz w:val="22"/>
                <w:szCs w:val="22"/>
              </w:rP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70440C" w:rsidRDefault="000134CC" w:rsidP="009B4773">
            <w:pPr>
              <w:pStyle w:val="H1"/>
              <w:jc w:val="center"/>
              <w:rPr>
                <w:rFonts w:cs="Times New Roman"/>
                <w:sz w:val="20"/>
                <w:szCs w:val="20"/>
              </w:rPr>
            </w:pPr>
            <w:r w:rsidRPr="0070440C">
              <w:rPr>
                <w:rFonts w:cs="Times New Roman"/>
                <w:sz w:val="20"/>
                <w:szCs w:val="20"/>
              </w:rPr>
              <w:t>Country, Locality(s), Thematic Area(s)</w:t>
            </w:r>
            <w:r w:rsidR="00CA33AC" w:rsidRPr="0070440C">
              <w:rPr>
                <w:rStyle w:val="FootnoteReference"/>
                <w:rFonts w:cs="Times New Roman"/>
                <w:sz w:val="20"/>
                <w:szCs w:val="20"/>
              </w:rPr>
              <w:footnoteReference w:id="2"/>
            </w:r>
          </w:p>
        </w:tc>
      </w:tr>
      <w:tr w:rsidR="000134CC" w:rsidRPr="00C931DD" w:rsidTr="000134CC">
        <w:trPr>
          <w:trHeight w:val="495"/>
        </w:trPr>
        <w:tc>
          <w:tcPr>
            <w:tcW w:w="5040" w:type="dxa"/>
            <w:tcBorders>
              <w:left w:val="single" w:sz="4" w:space="0" w:color="auto"/>
              <w:bottom w:val="single" w:sz="4" w:space="0" w:color="auto"/>
              <w:right w:val="single" w:sz="4" w:space="0" w:color="auto"/>
            </w:tcBorders>
          </w:tcPr>
          <w:p w:rsidR="00BE733D" w:rsidRPr="0070440C" w:rsidRDefault="00BE733D" w:rsidP="009B4773">
            <w:pPr>
              <w:pStyle w:val="Heading2"/>
              <w:numPr>
                <w:ilvl w:val="0"/>
                <w:numId w:val="11"/>
              </w:numPr>
              <w:ind w:left="0"/>
              <w:jc w:val="both"/>
              <w:rPr>
                <w:b w:val="0"/>
                <w:i/>
                <w:sz w:val="20"/>
                <w:szCs w:val="20"/>
              </w:rPr>
            </w:pPr>
            <w:bookmarkStart w:id="0" w:name="_Toc249364474"/>
            <w:r w:rsidRPr="0070440C">
              <w:rPr>
                <w:b w:val="0"/>
                <w:sz w:val="20"/>
                <w:szCs w:val="20"/>
              </w:rPr>
              <w:t xml:space="preserve">Programme </w:t>
            </w:r>
            <w:r w:rsidR="00C931DD" w:rsidRPr="0070440C">
              <w:rPr>
                <w:b w:val="0"/>
                <w:sz w:val="20"/>
                <w:szCs w:val="20"/>
              </w:rPr>
              <w:t>Title:</w:t>
            </w:r>
            <w:bookmarkEnd w:id="0"/>
            <w:r w:rsidR="00C931DD" w:rsidRPr="0070440C">
              <w:rPr>
                <w:b w:val="0"/>
                <w:sz w:val="20"/>
                <w:szCs w:val="20"/>
              </w:rPr>
              <w:t xml:space="preserve"> Support to UNDAF Outcome 4: </w:t>
            </w:r>
            <w:r w:rsidR="00C931DD" w:rsidRPr="0070440C">
              <w:rPr>
                <w:sz w:val="20"/>
                <w:szCs w:val="20"/>
              </w:rPr>
              <w:t>B</w:t>
            </w:r>
            <w:r w:rsidR="00C931DD" w:rsidRPr="0070440C">
              <w:rPr>
                <w:i/>
                <w:sz w:val="20"/>
                <w:szCs w:val="20"/>
              </w:rPr>
              <w:t>y 2012, institutional capacity and people’s participation strengthened to ensure good governance</w:t>
            </w:r>
            <w:r w:rsidR="00C931DD" w:rsidRPr="0070440C">
              <w:rPr>
                <w:b w:val="0"/>
                <w:i/>
                <w:sz w:val="20"/>
                <w:szCs w:val="20"/>
              </w:rPr>
              <w:t xml:space="preserve"> </w:t>
            </w:r>
          </w:p>
          <w:p w:rsidR="00BE733D" w:rsidRPr="0070440C" w:rsidRDefault="00C931DD" w:rsidP="009B4773">
            <w:pPr>
              <w:pStyle w:val="Heading2"/>
              <w:numPr>
                <w:ilvl w:val="0"/>
                <w:numId w:val="11"/>
              </w:numPr>
              <w:ind w:left="0"/>
              <w:jc w:val="both"/>
              <w:rPr>
                <w:b w:val="0"/>
                <w:sz w:val="20"/>
                <w:szCs w:val="20"/>
              </w:rPr>
            </w:pPr>
            <w:r w:rsidRPr="0070440C">
              <w:rPr>
                <w:b w:val="0"/>
                <w:sz w:val="20"/>
                <w:szCs w:val="20"/>
              </w:rPr>
              <w:t>Programme Number (</w:t>
            </w:r>
            <w:r w:rsidRPr="0070440C">
              <w:rPr>
                <w:b w:val="0"/>
                <w:i/>
                <w:sz w:val="20"/>
                <w:szCs w:val="20"/>
              </w:rPr>
              <w:t>if applicable)</w:t>
            </w:r>
            <w:r w:rsidR="00BE733D" w:rsidRPr="0070440C">
              <w:rPr>
                <w:b w:val="0"/>
                <w:sz w:val="20"/>
                <w:szCs w:val="20"/>
              </w:rPr>
              <w:t xml:space="preserve">: </w:t>
            </w:r>
          </w:p>
          <w:p w:rsidR="00BE733D" w:rsidRPr="0070440C" w:rsidRDefault="00BE733D" w:rsidP="009B4773">
            <w:pPr>
              <w:jc w:val="both"/>
              <w:rPr>
                <w:sz w:val="20"/>
                <w:szCs w:val="20"/>
              </w:rPr>
            </w:pPr>
            <w:r w:rsidRPr="0070440C">
              <w:rPr>
                <w:sz w:val="20"/>
                <w:szCs w:val="20"/>
              </w:rPr>
              <w:t xml:space="preserve">MDTF Office Atlas No: </w:t>
            </w:r>
            <w:r w:rsidR="00C931DD" w:rsidRPr="0070440C">
              <w:rPr>
                <w:sz w:val="20"/>
                <w:szCs w:val="20"/>
              </w:rPr>
              <w:t>00073277</w:t>
            </w:r>
          </w:p>
          <w:p w:rsidR="000134CC" w:rsidRPr="0070440C" w:rsidRDefault="000134CC" w:rsidP="009B4773">
            <w:pPr>
              <w:jc w:val="both"/>
              <w:rPr>
                <w:sz w:val="20"/>
                <w:szCs w:val="20"/>
              </w:rPr>
            </w:pPr>
            <w:r w:rsidRPr="0070440C">
              <w:rPr>
                <w:sz w:val="20"/>
                <w:szCs w:val="20"/>
              </w:rPr>
              <w:t xml:space="preserve"> </w:t>
            </w:r>
          </w:p>
        </w:tc>
        <w:tc>
          <w:tcPr>
            <w:tcW w:w="360" w:type="dxa"/>
            <w:vMerge/>
            <w:tcBorders>
              <w:left w:val="single" w:sz="4" w:space="0" w:color="auto"/>
              <w:right w:val="single" w:sz="4" w:space="0" w:color="auto"/>
            </w:tcBorders>
          </w:tcPr>
          <w:p w:rsidR="000134CC" w:rsidRPr="00C931DD" w:rsidRDefault="000134CC" w:rsidP="009B4773">
            <w:pPr>
              <w:pStyle w:val="BodyText"/>
              <w:rPr>
                <w:rFonts w:ascii="Times New Roman" w:hAnsi="Times New Roman" w:cs="Times New Roman"/>
                <w:sz w:val="22"/>
                <w:szCs w:val="22"/>
              </w:rPr>
            </w:pPr>
          </w:p>
        </w:tc>
        <w:tc>
          <w:tcPr>
            <w:tcW w:w="4860" w:type="dxa"/>
            <w:tcBorders>
              <w:left w:val="single" w:sz="4" w:space="0" w:color="auto"/>
              <w:bottom w:val="single" w:sz="4" w:space="0" w:color="auto"/>
              <w:right w:val="single" w:sz="4" w:space="0" w:color="auto"/>
            </w:tcBorders>
          </w:tcPr>
          <w:p w:rsidR="000134CC" w:rsidRPr="0070440C" w:rsidRDefault="00C931DD" w:rsidP="00C931DD">
            <w:pPr>
              <w:pStyle w:val="BodyText"/>
              <w:rPr>
                <w:rFonts w:ascii="Times New Roman" w:hAnsi="Times New Roman" w:cs="Times New Roman"/>
              </w:rPr>
            </w:pPr>
            <w:r w:rsidRPr="0070440C">
              <w:rPr>
                <w:rFonts w:ascii="Times New Roman" w:hAnsi="Times New Roman" w:cs="Times New Roman"/>
                <w:bCs/>
                <w:iCs/>
                <w:snapToGrid w:val="0"/>
              </w:rPr>
              <w:t>Bhutan, nationwide, Governance</w:t>
            </w:r>
          </w:p>
        </w:tc>
      </w:tr>
    </w:tbl>
    <w:p w:rsidR="000134CC" w:rsidRPr="00C931DD" w:rsidRDefault="000134CC" w:rsidP="009B4773">
      <w:pPr>
        <w:jc w:val="center"/>
        <w:rPr>
          <w:b/>
          <w:bCs/>
          <w:caps/>
          <w:sz w:val="22"/>
          <w:szCs w:val="22"/>
        </w:rPr>
      </w:pPr>
    </w:p>
    <w:tbl>
      <w:tblPr>
        <w:tblW w:w="10260" w:type="dxa"/>
        <w:tblInd w:w="-72" w:type="dxa"/>
        <w:tblLayout w:type="fixed"/>
        <w:tblLook w:val="01E0"/>
      </w:tblPr>
      <w:tblGrid>
        <w:gridCol w:w="5040"/>
        <w:gridCol w:w="360"/>
        <w:gridCol w:w="4860"/>
      </w:tblGrid>
      <w:tr w:rsidR="000134CC" w:rsidRPr="00C931DD"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70440C" w:rsidRDefault="000134CC" w:rsidP="009B4773">
            <w:pPr>
              <w:pStyle w:val="H1"/>
              <w:jc w:val="center"/>
              <w:rPr>
                <w:rFonts w:cs="Times New Roman"/>
                <w:sz w:val="20"/>
                <w:szCs w:val="20"/>
              </w:rPr>
            </w:pPr>
            <w:r w:rsidRPr="0070440C">
              <w:rPr>
                <w:rFonts w:cs="Times New Roman"/>
                <w:sz w:val="20"/>
                <w:szCs w:val="20"/>
              </w:rPr>
              <w:t>Participating Organization(s)</w:t>
            </w:r>
          </w:p>
        </w:tc>
        <w:tc>
          <w:tcPr>
            <w:tcW w:w="360" w:type="dxa"/>
            <w:vMerge w:val="restart"/>
            <w:tcBorders>
              <w:left w:val="single" w:sz="4" w:space="0" w:color="auto"/>
              <w:right w:val="single" w:sz="4" w:space="0" w:color="auto"/>
            </w:tcBorders>
            <w:vAlign w:val="center"/>
          </w:tcPr>
          <w:p w:rsidR="000134CC" w:rsidRPr="00C931DD" w:rsidRDefault="000134CC" w:rsidP="009B4773">
            <w:pPr>
              <w:jc w:val="center"/>
              <w:rPr>
                <w:sz w:val="22"/>
                <w:szCs w:val="22"/>
              </w:rP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70440C" w:rsidRDefault="000134CC" w:rsidP="009B4773">
            <w:pPr>
              <w:pStyle w:val="H1"/>
              <w:jc w:val="center"/>
              <w:rPr>
                <w:rFonts w:cs="Times New Roman"/>
                <w:sz w:val="20"/>
                <w:szCs w:val="20"/>
              </w:rPr>
            </w:pPr>
            <w:r w:rsidRPr="0070440C">
              <w:rPr>
                <w:rFonts w:cs="Times New Roman"/>
                <w:sz w:val="20"/>
                <w:szCs w:val="20"/>
              </w:rPr>
              <w:t>Implementing Partners</w:t>
            </w:r>
          </w:p>
        </w:tc>
      </w:tr>
      <w:tr w:rsidR="000134CC" w:rsidRPr="00C931DD" w:rsidTr="000134CC">
        <w:trPr>
          <w:trHeight w:val="495"/>
        </w:trPr>
        <w:tc>
          <w:tcPr>
            <w:tcW w:w="5040" w:type="dxa"/>
            <w:tcBorders>
              <w:left w:val="single" w:sz="4" w:space="0" w:color="auto"/>
              <w:bottom w:val="single" w:sz="4" w:space="0" w:color="auto"/>
              <w:right w:val="single" w:sz="4" w:space="0" w:color="auto"/>
            </w:tcBorders>
          </w:tcPr>
          <w:p w:rsidR="000134CC" w:rsidRPr="0070440C" w:rsidRDefault="00C931DD" w:rsidP="009B4773">
            <w:pPr>
              <w:pStyle w:val="BodyText"/>
              <w:rPr>
                <w:rFonts w:ascii="Times New Roman" w:hAnsi="Times New Roman" w:cs="Times New Roman"/>
              </w:rPr>
            </w:pPr>
            <w:r w:rsidRPr="0070440C">
              <w:rPr>
                <w:rFonts w:ascii="Times New Roman" w:hAnsi="Times New Roman" w:cs="Times New Roman"/>
              </w:rPr>
              <w:t>UNDP, UNCDF</w:t>
            </w:r>
          </w:p>
          <w:p w:rsidR="000134CC" w:rsidRPr="0070440C" w:rsidRDefault="000134CC" w:rsidP="009B4773">
            <w:pPr>
              <w:pStyle w:val="BodyText"/>
              <w:rPr>
                <w:rFonts w:ascii="Times New Roman" w:hAnsi="Times New Roman" w:cs="Times New Roman"/>
              </w:rPr>
            </w:pPr>
          </w:p>
          <w:p w:rsidR="000134CC" w:rsidRPr="0070440C" w:rsidRDefault="000134CC" w:rsidP="009B4773">
            <w:pPr>
              <w:pStyle w:val="BodyText"/>
              <w:rPr>
                <w:rFonts w:ascii="Times New Roman" w:hAnsi="Times New Roman" w:cs="Times New Roman"/>
              </w:rPr>
            </w:pPr>
          </w:p>
        </w:tc>
        <w:tc>
          <w:tcPr>
            <w:tcW w:w="360" w:type="dxa"/>
            <w:vMerge/>
            <w:tcBorders>
              <w:left w:val="single" w:sz="4" w:space="0" w:color="auto"/>
              <w:right w:val="single" w:sz="4" w:space="0" w:color="auto"/>
            </w:tcBorders>
          </w:tcPr>
          <w:p w:rsidR="000134CC" w:rsidRPr="00C931DD" w:rsidRDefault="000134CC" w:rsidP="009B4773">
            <w:pPr>
              <w:pStyle w:val="BodyText"/>
              <w:rPr>
                <w:rFonts w:ascii="Times New Roman" w:hAnsi="Times New Roman" w:cs="Times New Roman"/>
                <w:sz w:val="22"/>
                <w:szCs w:val="22"/>
              </w:rPr>
            </w:pPr>
          </w:p>
        </w:tc>
        <w:tc>
          <w:tcPr>
            <w:tcW w:w="4860" w:type="dxa"/>
            <w:tcBorders>
              <w:left w:val="single" w:sz="4" w:space="0" w:color="auto"/>
              <w:bottom w:val="single" w:sz="4" w:space="0" w:color="auto"/>
              <w:right w:val="single" w:sz="4" w:space="0" w:color="auto"/>
            </w:tcBorders>
          </w:tcPr>
          <w:p w:rsidR="000134CC" w:rsidRPr="0070440C" w:rsidRDefault="0070440C" w:rsidP="009B4773">
            <w:pPr>
              <w:pStyle w:val="BodyText"/>
              <w:numPr>
                <w:ilvl w:val="0"/>
                <w:numId w:val="7"/>
              </w:numPr>
              <w:spacing w:before="60" w:after="60"/>
              <w:ind w:left="0"/>
              <w:jc w:val="both"/>
              <w:rPr>
                <w:rFonts w:ascii="Times New Roman" w:hAnsi="Times New Roman" w:cs="Times New Roman"/>
                <w:bCs/>
                <w:iCs/>
                <w:snapToGrid w:val="0"/>
                <w:color w:val="000000"/>
              </w:rPr>
            </w:pPr>
            <w:r w:rsidRPr="0070440C">
              <w:rPr>
                <w:rFonts w:ascii="Times New Roman" w:hAnsi="Times New Roman" w:cs="Times New Roman"/>
                <w:bCs/>
                <w:iCs/>
                <w:snapToGrid w:val="0"/>
                <w:color w:val="000000"/>
              </w:rPr>
              <w:t>Election Commission of Bhutan, Ministry of Information and Communications, National Commission for Women and Children, Gross National Happiness Commission</w:t>
            </w:r>
          </w:p>
        </w:tc>
      </w:tr>
    </w:tbl>
    <w:p w:rsidR="000134CC" w:rsidRPr="00C931DD" w:rsidRDefault="000134CC" w:rsidP="009B4773">
      <w:pPr>
        <w:jc w:val="center"/>
        <w:rPr>
          <w:b/>
          <w:bCs/>
          <w:caps/>
          <w:sz w:val="22"/>
          <w:szCs w:val="22"/>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0134CC" w:rsidRPr="00C931DD" w:rsidTr="000134CC">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70440C" w:rsidRDefault="000134CC" w:rsidP="009B4773">
            <w:pPr>
              <w:pStyle w:val="H1"/>
              <w:jc w:val="center"/>
              <w:rPr>
                <w:rFonts w:cs="Times New Roman"/>
                <w:sz w:val="20"/>
                <w:szCs w:val="20"/>
              </w:rPr>
            </w:pPr>
            <w:r w:rsidRPr="0070440C">
              <w:rPr>
                <w:rFonts w:cs="Times New Roman"/>
                <w:sz w:val="20"/>
                <w:szCs w:val="20"/>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0134CC" w:rsidRPr="00C931DD" w:rsidRDefault="000134CC" w:rsidP="009B4773">
            <w:pPr>
              <w:pStyle w:val="H1"/>
              <w:jc w:val="center"/>
              <w:rPr>
                <w:rFonts w:cs="Times New Roman"/>
                <w:sz w:val="22"/>
                <w:szCs w:val="22"/>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0134CC" w:rsidRPr="0070440C" w:rsidRDefault="000134CC" w:rsidP="009B4773">
            <w:pPr>
              <w:pStyle w:val="H1"/>
              <w:jc w:val="center"/>
              <w:rPr>
                <w:rFonts w:cs="Times New Roman"/>
                <w:sz w:val="20"/>
                <w:szCs w:val="20"/>
              </w:rPr>
            </w:pPr>
            <w:r w:rsidRPr="0070440C">
              <w:rPr>
                <w:rFonts w:cs="Times New Roman"/>
                <w:sz w:val="20"/>
                <w:szCs w:val="20"/>
              </w:rPr>
              <w:t>Programme Duration (months)</w:t>
            </w:r>
          </w:p>
        </w:tc>
      </w:tr>
      <w:tr w:rsidR="000134CC" w:rsidRPr="00C931DD" w:rsidTr="000134CC">
        <w:trPr>
          <w:trHeight w:val="215"/>
        </w:trPr>
        <w:tc>
          <w:tcPr>
            <w:tcW w:w="2970" w:type="dxa"/>
            <w:tcBorders>
              <w:top w:val="nil"/>
              <w:left w:val="single" w:sz="4" w:space="0" w:color="auto"/>
              <w:bottom w:val="nil"/>
              <w:right w:val="nil"/>
            </w:tcBorders>
            <w:shd w:val="clear" w:color="auto" w:fill="auto"/>
            <w:vAlign w:val="center"/>
          </w:tcPr>
          <w:p w:rsidR="000134CC" w:rsidRPr="0070440C" w:rsidRDefault="000134CC" w:rsidP="009B4773">
            <w:pPr>
              <w:pStyle w:val="H2"/>
              <w:spacing w:before="120"/>
              <w:rPr>
                <w:rFonts w:cs="Times New Roman"/>
                <w:b w:val="0"/>
                <w:sz w:val="20"/>
                <w:szCs w:val="20"/>
              </w:rPr>
            </w:pPr>
            <w:r w:rsidRPr="0070440C">
              <w:rPr>
                <w:rFonts w:cs="Times New Roman"/>
                <w:b w:val="0"/>
                <w:sz w:val="20"/>
                <w:szCs w:val="20"/>
              </w:rPr>
              <w:t xml:space="preserve">MDTF Fund Contribution:  </w:t>
            </w:r>
          </w:p>
          <w:p w:rsidR="000134CC" w:rsidRPr="0070440C" w:rsidRDefault="0070440C" w:rsidP="009B4773">
            <w:pPr>
              <w:pStyle w:val="H2"/>
              <w:numPr>
                <w:ilvl w:val="0"/>
                <w:numId w:val="9"/>
              </w:numPr>
              <w:spacing w:after="120"/>
              <w:ind w:left="0" w:hanging="180"/>
              <w:rPr>
                <w:rFonts w:cs="Times New Roman"/>
                <w:i/>
                <w:sz w:val="20"/>
                <w:szCs w:val="20"/>
              </w:rPr>
            </w:pPr>
            <w:r w:rsidRPr="0070440C">
              <w:rPr>
                <w:rFonts w:cs="Times New Roman"/>
                <w:b w:val="0"/>
                <w:i/>
                <w:sz w:val="20"/>
                <w:szCs w:val="20"/>
              </w:rPr>
              <w:t>B</w:t>
            </w:r>
            <w:r w:rsidR="000134CC" w:rsidRPr="0070440C">
              <w:rPr>
                <w:rFonts w:cs="Times New Roman"/>
                <w:b w:val="0"/>
                <w:i/>
                <w:sz w:val="20"/>
                <w:szCs w:val="20"/>
              </w:rPr>
              <w:t>y Agency (if applicable)</w:t>
            </w:r>
            <w:r w:rsidRPr="0070440C">
              <w:rPr>
                <w:rFonts w:cs="Times New Roman"/>
                <w:b w:val="0"/>
                <w:i/>
                <w:sz w:val="20"/>
                <w:szCs w:val="20"/>
              </w:rPr>
              <w:t>: UNDP: $ 284,199; UNCDF: $ 20,000</w:t>
            </w:r>
          </w:p>
        </w:tc>
        <w:tc>
          <w:tcPr>
            <w:tcW w:w="2070" w:type="dxa"/>
            <w:tcBorders>
              <w:top w:val="nil"/>
              <w:left w:val="nil"/>
              <w:bottom w:val="nil"/>
              <w:right w:val="single" w:sz="4" w:space="0" w:color="auto"/>
            </w:tcBorders>
            <w:shd w:val="clear" w:color="auto" w:fill="auto"/>
          </w:tcPr>
          <w:p w:rsidR="000134CC" w:rsidRPr="0070440C" w:rsidRDefault="000134CC" w:rsidP="009B4773">
            <w:pPr>
              <w:pStyle w:val="BodyText"/>
              <w:spacing w:before="120" w:after="120"/>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C931DD" w:rsidRDefault="000134CC" w:rsidP="009B4773">
            <w:pPr>
              <w:pStyle w:val="BodyText"/>
              <w:spacing w:before="120" w:after="120"/>
              <w:rPr>
                <w:rFonts w:ascii="Times New Roman" w:hAnsi="Times New Roman" w:cs="Times New Roman"/>
                <w:sz w:val="22"/>
                <w:szCs w:val="22"/>
              </w:rPr>
            </w:pPr>
          </w:p>
        </w:tc>
        <w:tc>
          <w:tcPr>
            <w:tcW w:w="2071" w:type="dxa"/>
            <w:tcBorders>
              <w:top w:val="nil"/>
              <w:left w:val="single" w:sz="4" w:space="0" w:color="auto"/>
              <w:bottom w:val="nil"/>
              <w:right w:val="nil"/>
            </w:tcBorders>
            <w:shd w:val="clear" w:color="auto" w:fill="auto"/>
            <w:vAlign w:val="center"/>
          </w:tcPr>
          <w:p w:rsidR="000134CC" w:rsidRPr="0070440C" w:rsidRDefault="000134CC" w:rsidP="009B4773">
            <w:pPr>
              <w:pStyle w:val="BodyText"/>
              <w:rPr>
                <w:rFonts w:ascii="Times New Roman" w:hAnsi="Times New Roman" w:cs="Times New Roman"/>
              </w:rPr>
            </w:pPr>
            <w:r w:rsidRPr="0070440C">
              <w:rPr>
                <w:rFonts w:ascii="Times New Roman" w:hAnsi="Times New Roman" w:cs="Times New Roman"/>
              </w:rPr>
              <w:t>Overall Duration</w:t>
            </w:r>
          </w:p>
        </w:tc>
        <w:tc>
          <w:tcPr>
            <w:tcW w:w="2800" w:type="dxa"/>
            <w:tcBorders>
              <w:top w:val="nil"/>
              <w:left w:val="nil"/>
              <w:bottom w:val="nil"/>
              <w:right w:val="single" w:sz="4" w:space="0" w:color="auto"/>
            </w:tcBorders>
            <w:shd w:val="clear" w:color="auto" w:fill="auto"/>
          </w:tcPr>
          <w:p w:rsidR="000134CC" w:rsidRPr="0070440C" w:rsidRDefault="000134CC" w:rsidP="009B4773">
            <w:pPr>
              <w:pStyle w:val="BodyText"/>
              <w:widowControl w:val="0"/>
              <w:spacing w:before="120" w:after="120"/>
              <w:rPr>
                <w:rFonts w:ascii="Times New Roman" w:hAnsi="Times New Roman" w:cs="Times New Roman"/>
              </w:rPr>
            </w:pPr>
          </w:p>
        </w:tc>
      </w:tr>
      <w:tr w:rsidR="000134CC" w:rsidRPr="00C931DD" w:rsidTr="000134CC">
        <w:trPr>
          <w:trHeight w:val="350"/>
        </w:trPr>
        <w:tc>
          <w:tcPr>
            <w:tcW w:w="2970" w:type="dxa"/>
            <w:tcBorders>
              <w:top w:val="nil"/>
              <w:left w:val="single" w:sz="4" w:space="0" w:color="auto"/>
              <w:bottom w:val="nil"/>
              <w:right w:val="nil"/>
            </w:tcBorders>
            <w:shd w:val="clear" w:color="auto" w:fill="auto"/>
            <w:vAlign w:val="center"/>
          </w:tcPr>
          <w:p w:rsidR="000134CC" w:rsidRPr="0070440C" w:rsidRDefault="000134CC" w:rsidP="009B4773">
            <w:pPr>
              <w:pStyle w:val="H2"/>
              <w:spacing w:before="120"/>
              <w:rPr>
                <w:rFonts w:cs="Times New Roman"/>
                <w:b w:val="0"/>
                <w:sz w:val="20"/>
                <w:szCs w:val="20"/>
              </w:rPr>
            </w:pPr>
            <w:r w:rsidRPr="0070440C">
              <w:rPr>
                <w:rFonts w:cs="Times New Roman"/>
                <w:b w:val="0"/>
                <w:sz w:val="20"/>
                <w:szCs w:val="20"/>
              </w:rPr>
              <w:t>Agency Contribution</w:t>
            </w:r>
          </w:p>
          <w:p w:rsidR="000134CC" w:rsidRPr="0070440C" w:rsidRDefault="000134CC" w:rsidP="009B4773">
            <w:pPr>
              <w:pStyle w:val="H2"/>
              <w:numPr>
                <w:ilvl w:val="0"/>
                <w:numId w:val="8"/>
              </w:numPr>
              <w:spacing w:after="120"/>
              <w:ind w:left="0" w:hanging="162"/>
              <w:rPr>
                <w:rFonts w:cs="Times New Roman"/>
                <w:sz w:val="20"/>
                <w:szCs w:val="20"/>
              </w:rPr>
            </w:pPr>
            <w:r w:rsidRPr="0070440C">
              <w:rPr>
                <w:rFonts w:cs="Times New Roman"/>
                <w:b w:val="0"/>
                <w:sz w:val="20"/>
                <w:szCs w:val="20"/>
              </w:rPr>
              <w:t>by Agency (if applicable)</w:t>
            </w:r>
          </w:p>
        </w:tc>
        <w:tc>
          <w:tcPr>
            <w:tcW w:w="2070" w:type="dxa"/>
            <w:tcBorders>
              <w:top w:val="nil"/>
              <w:left w:val="nil"/>
              <w:bottom w:val="nil"/>
              <w:right w:val="single" w:sz="4" w:space="0" w:color="auto"/>
            </w:tcBorders>
            <w:shd w:val="clear" w:color="auto" w:fill="auto"/>
          </w:tcPr>
          <w:p w:rsidR="000134CC" w:rsidRPr="0070440C" w:rsidRDefault="000134CC" w:rsidP="009B4773">
            <w:pPr>
              <w:pStyle w:val="BodyText"/>
              <w:spacing w:before="120" w:after="120"/>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C931DD" w:rsidRDefault="000134CC" w:rsidP="009B4773">
            <w:pPr>
              <w:pStyle w:val="BodyText"/>
              <w:spacing w:before="120" w:after="120"/>
              <w:rPr>
                <w:rFonts w:ascii="Times New Roman" w:hAnsi="Times New Roman" w:cs="Times New Roman"/>
                <w:sz w:val="22"/>
                <w:szCs w:val="22"/>
              </w:rPr>
            </w:pPr>
          </w:p>
        </w:tc>
        <w:tc>
          <w:tcPr>
            <w:tcW w:w="2071" w:type="dxa"/>
            <w:tcBorders>
              <w:top w:val="nil"/>
              <w:left w:val="single" w:sz="4" w:space="0" w:color="auto"/>
              <w:bottom w:val="nil"/>
              <w:right w:val="nil"/>
            </w:tcBorders>
            <w:shd w:val="clear" w:color="auto" w:fill="auto"/>
            <w:vAlign w:val="center"/>
          </w:tcPr>
          <w:p w:rsidR="000134CC" w:rsidRPr="0070440C" w:rsidRDefault="000134CC" w:rsidP="009B4773">
            <w:pPr>
              <w:pStyle w:val="BodyText"/>
              <w:rPr>
                <w:rFonts w:ascii="Times New Roman" w:hAnsi="Times New Roman" w:cs="Times New Roman"/>
              </w:rPr>
            </w:pPr>
            <w:r w:rsidRPr="0070440C">
              <w:rPr>
                <w:rFonts w:ascii="Times New Roman" w:hAnsi="Times New Roman" w:cs="Times New Roman"/>
              </w:rPr>
              <w:t>Start Date</w:t>
            </w:r>
            <w:r w:rsidRPr="0070440C">
              <w:rPr>
                <w:rStyle w:val="FootnoteReference"/>
                <w:rFonts w:ascii="Times New Roman" w:hAnsi="Times New Roman" w:cs="Times New Roman"/>
              </w:rPr>
              <w:footnoteReference w:id="3"/>
            </w:r>
            <w:r w:rsidR="0070440C" w:rsidRPr="0070440C">
              <w:rPr>
                <w:rFonts w:ascii="Times New Roman" w:hAnsi="Times New Roman" w:cs="Times New Roman"/>
              </w:rPr>
              <w:t xml:space="preserve"> </w:t>
            </w:r>
          </w:p>
        </w:tc>
        <w:tc>
          <w:tcPr>
            <w:tcW w:w="2800" w:type="dxa"/>
            <w:tcBorders>
              <w:top w:val="nil"/>
              <w:left w:val="nil"/>
              <w:bottom w:val="nil"/>
              <w:right w:val="single" w:sz="4" w:space="0" w:color="auto"/>
            </w:tcBorders>
            <w:shd w:val="clear" w:color="auto" w:fill="auto"/>
          </w:tcPr>
          <w:p w:rsidR="000134CC" w:rsidRPr="0070440C" w:rsidRDefault="0070440C" w:rsidP="009B4773">
            <w:pPr>
              <w:pStyle w:val="BodyText"/>
              <w:spacing w:before="120" w:after="120"/>
              <w:rPr>
                <w:rFonts w:ascii="Times New Roman" w:hAnsi="Times New Roman" w:cs="Times New Roman"/>
              </w:rPr>
            </w:pPr>
            <w:r w:rsidRPr="0070440C">
              <w:rPr>
                <w:rFonts w:ascii="Times New Roman" w:hAnsi="Times New Roman" w:cs="Times New Roman"/>
              </w:rPr>
              <w:t>16</w:t>
            </w:r>
            <w:r w:rsidRPr="0070440C">
              <w:rPr>
                <w:rFonts w:ascii="Times New Roman" w:hAnsi="Times New Roman" w:cs="Times New Roman"/>
                <w:vertAlign w:val="superscript"/>
              </w:rPr>
              <w:t>th</w:t>
            </w:r>
            <w:r w:rsidRPr="0070440C">
              <w:rPr>
                <w:rFonts w:ascii="Times New Roman" w:hAnsi="Times New Roman" w:cs="Times New Roman"/>
              </w:rPr>
              <w:t xml:space="preserve"> December 2009</w:t>
            </w:r>
          </w:p>
        </w:tc>
      </w:tr>
      <w:tr w:rsidR="000134CC" w:rsidRPr="00C931DD" w:rsidTr="000134CC">
        <w:trPr>
          <w:trHeight w:val="350"/>
        </w:trPr>
        <w:tc>
          <w:tcPr>
            <w:tcW w:w="2970" w:type="dxa"/>
            <w:tcBorders>
              <w:top w:val="nil"/>
              <w:left w:val="single" w:sz="4" w:space="0" w:color="auto"/>
              <w:bottom w:val="nil"/>
              <w:right w:val="nil"/>
            </w:tcBorders>
            <w:shd w:val="clear" w:color="auto" w:fill="D9D9D9"/>
            <w:vAlign w:val="center"/>
          </w:tcPr>
          <w:p w:rsidR="000134CC" w:rsidRPr="0070440C" w:rsidRDefault="000134CC" w:rsidP="009B4773">
            <w:pPr>
              <w:pStyle w:val="H2"/>
              <w:rPr>
                <w:rFonts w:cs="Times New Roman"/>
                <w:b w:val="0"/>
                <w:sz w:val="20"/>
                <w:szCs w:val="20"/>
              </w:rPr>
            </w:pPr>
            <w:r w:rsidRPr="0070440C">
              <w:rPr>
                <w:rFonts w:cs="Times New Roman"/>
                <w:b w:val="0"/>
                <w:sz w:val="20"/>
                <w:szCs w:val="20"/>
              </w:rPr>
              <w:t>Government Contribution</w:t>
            </w:r>
          </w:p>
          <w:p w:rsidR="000134CC" w:rsidRPr="0070440C" w:rsidRDefault="000134CC" w:rsidP="009B4773">
            <w:pPr>
              <w:pStyle w:val="H2"/>
              <w:rPr>
                <w:rFonts w:cs="Times New Roman"/>
                <w:sz w:val="20"/>
                <w:szCs w:val="20"/>
              </w:rPr>
            </w:pPr>
            <w:r w:rsidRPr="0070440C">
              <w:rPr>
                <w:rFonts w:cs="Times New Roman"/>
                <w:b w:val="0"/>
                <w:sz w:val="20"/>
                <w:szCs w:val="20"/>
              </w:rPr>
              <w:t>(if applicable)</w:t>
            </w:r>
          </w:p>
        </w:tc>
        <w:tc>
          <w:tcPr>
            <w:tcW w:w="2070" w:type="dxa"/>
            <w:tcBorders>
              <w:top w:val="nil"/>
              <w:left w:val="nil"/>
              <w:bottom w:val="nil"/>
              <w:right w:val="single" w:sz="4" w:space="0" w:color="auto"/>
            </w:tcBorders>
            <w:shd w:val="clear" w:color="auto" w:fill="D9D9D9"/>
          </w:tcPr>
          <w:p w:rsidR="000134CC" w:rsidRPr="0070440C" w:rsidRDefault="000134CC" w:rsidP="009B4773">
            <w:pPr>
              <w:pStyle w:val="BodyText"/>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C931DD" w:rsidRDefault="000134CC" w:rsidP="009B4773">
            <w:pPr>
              <w:pStyle w:val="BodyText"/>
              <w:rPr>
                <w:rFonts w:ascii="Times New Roman" w:hAnsi="Times New Roman" w:cs="Times New Roman"/>
                <w:sz w:val="22"/>
                <w:szCs w:val="22"/>
              </w:rPr>
            </w:pPr>
          </w:p>
        </w:tc>
        <w:tc>
          <w:tcPr>
            <w:tcW w:w="2071" w:type="dxa"/>
            <w:tcBorders>
              <w:top w:val="nil"/>
              <w:left w:val="single" w:sz="4" w:space="0" w:color="auto"/>
              <w:bottom w:val="nil"/>
              <w:right w:val="nil"/>
            </w:tcBorders>
            <w:shd w:val="clear" w:color="auto" w:fill="auto"/>
            <w:vAlign w:val="center"/>
          </w:tcPr>
          <w:p w:rsidR="000134CC" w:rsidRPr="0070440C" w:rsidRDefault="003C4D74" w:rsidP="009B4773">
            <w:pPr>
              <w:pStyle w:val="BodyText"/>
              <w:rPr>
                <w:rFonts w:ascii="Times New Roman" w:hAnsi="Times New Roman" w:cs="Times New Roman"/>
              </w:rPr>
            </w:pPr>
            <w:r w:rsidRPr="0070440C">
              <w:rPr>
                <w:rFonts w:ascii="Times New Roman" w:hAnsi="Times New Roman" w:cs="Times New Roman"/>
              </w:rPr>
              <w:t xml:space="preserve">End Date or </w:t>
            </w:r>
            <w:r w:rsidR="000134CC" w:rsidRPr="0070440C">
              <w:rPr>
                <w:rFonts w:ascii="Times New Roman" w:hAnsi="Times New Roman" w:cs="Times New Roman"/>
              </w:rPr>
              <w:t xml:space="preserve">Revised End Date, </w:t>
            </w:r>
          </w:p>
          <w:p w:rsidR="000134CC" w:rsidRPr="0070440C" w:rsidRDefault="000134CC" w:rsidP="009B4773">
            <w:pPr>
              <w:pStyle w:val="BodyText"/>
              <w:rPr>
                <w:rFonts w:ascii="Times New Roman" w:hAnsi="Times New Roman" w:cs="Times New Roman"/>
              </w:rPr>
            </w:pPr>
            <w:r w:rsidRPr="0070440C">
              <w:rPr>
                <w:rFonts w:ascii="Times New Roman" w:hAnsi="Times New Roman" w:cs="Times New Roman"/>
                <w:bCs/>
                <w:iCs/>
                <w:snapToGrid w:val="0"/>
              </w:rPr>
              <w:t>(if applicable)</w:t>
            </w:r>
          </w:p>
        </w:tc>
        <w:tc>
          <w:tcPr>
            <w:tcW w:w="2800" w:type="dxa"/>
            <w:tcBorders>
              <w:top w:val="nil"/>
              <w:left w:val="nil"/>
              <w:bottom w:val="nil"/>
              <w:right w:val="single" w:sz="4" w:space="0" w:color="auto"/>
            </w:tcBorders>
            <w:shd w:val="clear" w:color="auto" w:fill="auto"/>
          </w:tcPr>
          <w:p w:rsidR="000134CC" w:rsidRPr="0070440C" w:rsidRDefault="0070440C" w:rsidP="00F10F79">
            <w:pPr>
              <w:pStyle w:val="BodyText"/>
              <w:rPr>
                <w:rFonts w:ascii="Times New Roman" w:hAnsi="Times New Roman" w:cs="Times New Roman"/>
              </w:rPr>
            </w:pPr>
            <w:r w:rsidRPr="0070440C">
              <w:rPr>
                <w:rFonts w:ascii="Times New Roman" w:hAnsi="Times New Roman" w:cs="Times New Roman"/>
              </w:rPr>
              <w:t>31</w:t>
            </w:r>
            <w:r w:rsidRPr="0070440C">
              <w:rPr>
                <w:rFonts w:ascii="Times New Roman" w:hAnsi="Times New Roman" w:cs="Times New Roman"/>
                <w:vertAlign w:val="superscript"/>
              </w:rPr>
              <w:t>st</w:t>
            </w:r>
            <w:r w:rsidRPr="0070440C">
              <w:rPr>
                <w:rFonts w:ascii="Times New Roman" w:hAnsi="Times New Roman" w:cs="Times New Roman"/>
              </w:rPr>
              <w:t xml:space="preserve"> December 201</w:t>
            </w:r>
            <w:r w:rsidR="00F10F79">
              <w:rPr>
                <w:rFonts w:ascii="Times New Roman" w:hAnsi="Times New Roman" w:cs="Times New Roman"/>
              </w:rPr>
              <w:t>3</w:t>
            </w:r>
          </w:p>
        </w:tc>
      </w:tr>
      <w:tr w:rsidR="000134CC" w:rsidRPr="00C931DD" w:rsidTr="000134CC">
        <w:trPr>
          <w:trHeight w:val="350"/>
        </w:trPr>
        <w:tc>
          <w:tcPr>
            <w:tcW w:w="2970" w:type="dxa"/>
            <w:tcBorders>
              <w:top w:val="nil"/>
              <w:left w:val="single" w:sz="4" w:space="0" w:color="auto"/>
              <w:bottom w:val="nil"/>
              <w:right w:val="nil"/>
            </w:tcBorders>
            <w:shd w:val="clear" w:color="auto" w:fill="D9D9D9"/>
            <w:vAlign w:val="center"/>
          </w:tcPr>
          <w:p w:rsidR="000134CC" w:rsidRPr="0070440C" w:rsidRDefault="000134CC" w:rsidP="009B4773">
            <w:pPr>
              <w:pStyle w:val="H2"/>
              <w:rPr>
                <w:rFonts w:cs="Times New Roman"/>
                <w:b w:val="0"/>
                <w:sz w:val="20"/>
                <w:szCs w:val="20"/>
              </w:rPr>
            </w:pPr>
            <w:r w:rsidRPr="0070440C">
              <w:rPr>
                <w:rFonts w:cs="Times New Roman"/>
                <w:b w:val="0"/>
                <w:sz w:val="20"/>
                <w:szCs w:val="20"/>
              </w:rPr>
              <w:t>Other Contribution (donor)</w:t>
            </w:r>
          </w:p>
          <w:p w:rsidR="000134CC" w:rsidRPr="0070440C" w:rsidRDefault="000134CC" w:rsidP="009B4773">
            <w:pPr>
              <w:pStyle w:val="H2"/>
              <w:rPr>
                <w:rFonts w:cs="Times New Roman"/>
                <w:sz w:val="20"/>
                <w:szCs w:val="20"/>
              </w:rPr>
            </w:pPr>
            <w:r w:rsidRPr="0070440C">
              <w:rPr>
                <w:rFonts w:cs="Times New Roman"/>
                <w:b w:val="0"/>
                <w:sz w:val="20"/>
                <w:szCs w:val="20"/>
              </w:rPr>
              <w:t>(if applicable)</w:t>
            </w:r>
          </w:p>
        </w:tc>
        <w:tc>
          <w:tcPr>
            <w:tcW w:w="2070" w:type="dxa"/>
            <w:tcBorders>
              <w:top w:val="nil"/>
              <w:left w:val="nil"/>
              <w:bottom w:val="nil"/>
              <w:right w:val="single" w:sz="4" w:space="0" w:color="auto"/>
            </w:tcBorders>
            <w:shd w:val="clear" w:color="auto" w:fill="D9D9D9"/>
          </w:tcPr>
          <w:p w:rsidR="000134CC" w:rsidRPr="0070440C" w:rsidRDefault="000134CC" w:rsidP="009B4773">
            <w:pPr>
              <w:pStyle w:val="BodyText"/>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C931DD" w:rsidRDefault="000134CC" w:rsidP="009B4773">
            <w:pPr>
              <w:pStyle w:val="BodyText"/>
              <w:rPr>
                <w:rFonts w:ascii="Times New Roman" w:hAnsi="Times New Roman" w:cs="Times New Roman"/>
                <w:sz w:val="22"/>
                <w:szCs w:val="22"/>
              </w:rPr>
            </w:pPr>
          </w:p>
        </w:tc>
        <w:tc>
          <w:tcPr>
            <w:tcW w:w="2071" w:type="dxa"/>
            <w:tcBorders>
              <w:top w:val="nil"/>
              <w:left w:val="single" w:sz="4" w:space="0" w:color="auto"/>
              <w:bottom w:val="nil"/>
              <w:right w:val="nil"/>
            </w:tcBorders>
            <w:shd w:val="clear" w:color="auto" w:fill="auto"/>
            <w:vAlign w:val="center"/>
          </w:tcPr>
          <w:p w:rsidR="000134CC" w:rsidRPr="0070440C" w:rsidRDefault="000134CC" w:rsidP="009B4773">
            <w:pPr>
              <w:pStyle w:val="BodyText"/>
              <w:rPr>
                <w:rFonts w:ascii="Times New Roman" w:hAnsi="Times New Roman" w:cs="Times New Roman"/>
              </w:rPr>
            </w:pPr>
            <w:r w:rsidRPr="0070440C">
              <w:rPr>
                <w:rFonts w:ascii="Times New Roman" w:hAnsi="Times New Roman" w:cs="Times New Roman"/>
              </w:rPr>
              <w:t>Operational Closure Date</w:t>
            </w:r>
            <w:r w:rsidRPr="0070440C">
              <w:rPr>
                <w:rStyle w:val="FootnoteReference"/>
                <w:rFonts w:ascii="Times New Roman" w:hAnsi="Times New Roman" w:cs="Times New Roman"/>
              </w:rPr>
              <w:footnoteReference w:id="4"/>
            </w:r>
          </w:p>
        </w:tc>
        <w:tc>
          <w:tcPr>
            <w:tcW w:w="2800" w:type="dxa"/>
            <w:tcBorders>
              <w:top w:val="nil"/>
              <w:left w:val="nil"/>
              <w:bottom w:val="nil"/>
              <w:right w:val="single" w:sz="4" w:space="0" w:color="auto"/>
            </w:tcBorders>
            <w:shd w:val="clear" w:color="auto" w:fill="auto"/>
          </w:tcPr>
          <w:p w:rsidR="000134CC" w:rsidRPr="0070440C" w:rsidRDefault="000134CC" w:rsidP="009B4773">
            <w:pPr>
              <w:pStyle w:val="BodyText"/>
              <w:rPr>
                <w:rFonts w:ascii="Times New Roman" w:hAnsi="Times New Roman" w:cs="Times New Roman"/>
              </w:rPr>
            </w:pPr>
          </w:p>
        </w:tc>
      </w:tr>
      <w:tr w:rsidR="000134CC" w:rsidRPr="00C931DD" w:rsidTr="000134CC">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70440C" w:rsidRDefault="000134CC" w:rsidP="009B4773">
            <w:pPr>
              <w:pStyle w:val="H2"/>
              <w:rPr>
                <w:rFonts w:cs="Times New Roman"/>
                <w:sz w:val="20"/>
                <w:szCs w:val="20"/>
              </w:rPr>
            </w:pPr>
            <w:r w:rsidRPr="0070440C">
              <w:rPr>
                <w:rFonts w:cs="Times New Roman"/>
                <w:sz w:val="20"/>
                <w:szCs w:val="20"/>
              </w:rPr>
              <w:t>TOTAL:</w:t>
            </w:r>
            <w:r w:rsidR="0070440C" w:rsidRPr="0070440C">
              <w:rPr>
                <w:rFonts w:cs="Times New Roman"/>
                <w:sz w:val="20"/>
                <w:szCs w:val="20"/>
              </w:rPr>
              <w:t xml:space="preserve"> $ 304,199</w:t>
            </w:r>
          </w:p>
        </w:tc>
        <w:tc>
          <w:tcPr>
            <w:tcW w:w="2070" w:type="dxa"/>
            <w:tcBorders>
              <w:top w:val="nil"/>
              <w:left w:val="nil"/>
              <w:bottom w:val="single" w:sz="4" w:space="0" w:color="auto"/>
              <w:right w:val="single" w:sz="4" w:space="0" w:color="auto"/>
            </w:tcBorders>
            <w:shd w:val="clear" w:color="auto" w:fill="auto"/>
          </w:tcPr>
          <w:p w:rsidR="000134CC" w:rsidRPr="0070440C" w:rsidRDefault="000134CC" w:rsidP="009B4773">
            <w:pPr>
              <w:pStyle w:val="BodyText"/>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C931DD" w:rsidRDefault="000134CC" w:rsidP="009B4773">
            <w:pPr>
              <w:pStyle w:val="BodyText"/>
              <w:rPr>
                <w:rFonts w:ascii="Times New Roman" w:hAnsi="Times New Roman" w:cs="Times New Roman"/>
                <w:sz w:val="22"/>
                <w:szCs w:val="22"/>
              </w:rPr>
            </w:pPr>
          </w:p>
        </w:tc>
        <w:tc>
          <w:tcPr>
            <w:tcW w:w="2071" w:type="dxa"/>
            <w:tcBorders>
              <w:top w:val="nil"/>
              <w:left w:val="single" w:sz="4" w:space="0" w:color="auto"/>
              <w:bottom w:val="single" w:sz="4" w:space="0" w:color="auto"/>
              <w:right w:val="nil"/>
            </w:tcBorders>
            <w:shd w:val="clear" w:color="auto" w:fill="auto"/>
            <w:vAlign w:val="center"/>
          </w:tcPr>
          <w:p w:rsidR="000134CC" w:rsidRPr="0070440C" w:rsidRDefault="000134CC" w:rsidP="009B4773">
            <w:pPr>
              <w:pStyle w:val="BodyText"/>
              <w:rPr>
                <w:rFonts w:ascii="Times New Roman" w:hAnsi="Times New Roman" w:cs="Times New Roman"/>
                <w:color w:val="000000"/>
              </w:rPr>
            </w:pPr>
            <w:r w:rsidRPr="0070440C">
              <w:rPr>
                <w:rFonts w:ascii="Times New Roman" w:hAnsi="Times New Roman" w:cs="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0134CC" w:rsidRPr="0070440C" w:rsidRDefault="000134CC" w:rsidP="009B4773">
            <w:pPr>
              <w:pStyle w:val="BodyText"/>
              <w:rPr>
                <w:rFonts w:ascii="Times New Roman" w:hAnsi="Times New Roman" w:cs="Times New Roman"/>
              </w:rPr>
            </w:pPr>
          </w:p>
        </w:tc>
      </w:tr>
    </w:tbl>
    <w:p w:rsidR="000134CC" w:rsidRPr="00C931DD" w:rsidRDefault="000134CC" w:rsidP="009B4773">
      <w:pPr>
        <w:jc w:val="center"/>
        <w:rPr>
          <w:b/>
          <w:bCs/>
          <w:caps/>
          <w:sz w:val="22"/>
          <w:szCs w:val="22"/>
        </w:rPr>
      </w:pPr>
    </w:p>
    <w:tbl>
      <w:tblPr>
        <w:tblW w:w="10260" w:type="dxa"/>
        <w:tblInd w:w="-72" w:type="dxa"/>
        <w:tblLayout w:type="fixed"/>
        <w:tblLook w:val="01E0"/>
      </w:tblPr>
      <w:tblGrid>
        <w:gridCol w:w="5130"/>
        <w:gridCol w:w="270"/>
        <w:gridCol w:w="4860"/>
      </w:tblGrid>
      <w:tr w:rsidR="000134CC" w:rsidRPr="00C931DD"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70440C" w:rsidRDefault="000134CC" w:rsidP="009B4773">
            <w:pPr>
              <w:pStyle w:val="H1"/>
              <w:jc w:val="center"/>
              <w:rPr>
                <w:rFonts w:cs="Times New Roman"/>
                <w:sz w:val="20"/>
                <w:szCs w:val="20"/>
              </w:rPr>
            </w:pPr>
            <w:r w:rsidRPr="0070440C">
              <w:rPr>
                <w:rFonts w:cs="Times New Roman"/>
                <w:sz w:val="20"/>
                <w:szCs w:val="20"/>
              </w:rPr>
              <w:t>Programme</w:t>
            </w:r>
            <w:r w:rsidR="00EE0977" w:rsidRPr="0070440C">
              <w:rPr>
                <w:rFonts w:cs="Times New Roman"/>
                <w:sz w:val="20"/>
                <w:szCs w:val="20"/>
              </w:rPr>
              <w:t xml:space="preserve"> Assessments/Mid-Term</w:t>
            </w:r>
            <w:r w:rsidRPr="0070440C">
              <w:rPr>
                <w:rFonts w:cs="Times New Roman"/>
                <w:sz w:val="20"/>
                <w:szCs w:val="20"/>
              </w:rPr>
              <w:t xml:space="preserve"> Evaluation</w:t>
            </w:r>
          </w:p>
        </w:tc>
        <w:tc>
          <w:tcPr>
            <w:tcW w:w="270" w:type="dxa"/>
            <w:vMerge w:val="restart"/>
            <w:tcBorders>
              <w:left w:val="single" w:sz="4" w:space="0" w:color="auto"/>
              <w:right w:val="single" w:sz="4" w:space="0" w:color="auto"/>
            </w:tcBorders>
          </w:tcPr>
          <w:p w:rsidR="000134CC" w:rsidRPr="00C931DD" w:rsidRDefault="000134CC" w:rsidP="009B4773">
            <w:pPr>
              <w:rPr>
                <w:sz w:val="22"/>
                <w:szCs w:val="22"/>
              </w:rPr>
            </w:pPr>
          </w:p>
        </w:tc>
        <w:tc>
          <w:tcPr>
            <w:tcW w:w="4860" w:type="dxa"/>
            <w:tcBorders>
              <w:top w:val="single" w:sz="4" w:space="0" w:color="auto"/>
              <w:left w:val="single" w:sz="4" w:space="0" w:color="auto"/>
              <w:right w:val="single" w:sz="4" w:space="0" w:color="auto"/>
            </w:tcBorders>
            <w:shd w:val="clear" w:color="auto" w:fill="F3F3F3"/>
          </w:tcPr>
          <w:p w:rsidR="000134CC" w:rsidRPr="0070440C" w:rsidRDefault="000134CC" w:rsidP="009B4773">
            <w:pPr>
              <w:pStyle w:val="H1"/>
              <w:jc w:val="center"/>
              <w:rPr>
                <w:rFonts w:cs="Times New Roman"/>
                <w:sz w:val="20"/>
                <w:szCs w:val="20"/>
              </w:rPr>
            </w:pPr>
            <w:r w:rsidRPr="0070440C">
              <w:rPr>
                <w:rFonts w:cs="Times New Roman"/>
                <w:bCs w:val="0"/>
                <w:sz w:val="20"/>
                <w:szCs w:val="20"/>
              </w:rPr>
              <w:t>Submitted By</w:t>
            </w:r>
          </w:p>
        </w:tc>
      </w:tr>
      <w:tr w:rsidR="000134CC" w:rsidRPr="00C931DD" w:rsidTr="00EE0977">
        <w:trPr>
          <w:trHeight w:val="495"/>
        </w:trPr>
        <w:tc>
          <w:tcPr>
            <w:tcW w:w="5130" w:type="dxa"/>
            <w:tcBorders>
              <w:left w:val="single" w:sz="4" w:space="0" w:color="auto"/>
              <w:bottom w:val="single" w:sz="4" w:space="0" w:color="auto"/>
              <w:right w:val="single" w:sz="4" w:space="0" w:color="auto"/>
            </w:tcBorders>
          </w:tcPr>
          <w:p w:rsidR="00F316CE" w:rsidRPr="0070440C" w:rsidRDefault="00EE0977" w:rsidP="009B4773">
            <w:pPr>
              <w:pStyle w:val="BodyText"/>
              <w:rPr>
                <w:rFonts w:ascii="Times New Roman" w:hAnsi="Times New Roman" w:cs="Times New Roman"/>
                <w:bCs/>
                <w:iCs/>
                <w:snapToGrid w:val="0"/>
                <w:lang w:val="en-GB"/>
              </w:rPr>
            </w:pPr>
            <w:r w:rsidRPr="0070440C">
              <w:rPr>
                <w:rFonts w:ascii="Times New Roman" w:hAnsi="Times New Roman" w:cs="Times New Roman"/>
              </w:rPr>
              <w:t>Assessment</w:t>
            </w:r>
            <w:r w:rsidR="000134CC" w:rsidRPr="0070440C">
              <w:rPr>
                <w:rFonts w:ascii="Times New Roman" w:hAnsi="Times New Roman" w:cs="Times New Roman"/>
              </w:rPr>
              <w:t xml:space="preserve"> Completed  </w:t>
            </w:r>
            <w:r w:rsidR="00066978" w:rsidRPr="0070440C">
              <w:rPr>
                <w:rFonts w:ascii="Times New Roman" w:hAnsi="Times New Roman" w:cs="Times New Roman"/>
              </w:rPr>
              <w:t xml:space="preserve">- </w:t>
            </w:r>
            <w:r w:rsidR="0053545E" w:rsidRPr="0070440C">
              <w:rPr>
                <w:rFonts w:ascii="Times New Roman" w:hAnsi="Times New Roman" w:cs="Times New Roman"/>
              </w:rPr>
              <w:t xml:space="preserve">if applicable </w:t>
            </w:r>
            <w:r w:rsidR="00066978" w:rsidRPr="0070440C">
              <w:rPr>
                <w:rFonts w:ascii="Times New Roman" w:hAnsi="Times New Roman" w:cs="Times New Roman"/>
                <w:bCs/>
                <w:iCs/>
                <w:snapToGrid w:val="0"/>
                <w:lang w:val="en-GB"/>
              </w:rPr>
              <w:t>please attach</w:t>
            </w:r>
          </w:p>
          <w:p w:rsidR="004D1571" w:rsidRPr="0070440C" w:rsidRDefault="001734C8" w:rsidP="009B4773">
            <w:pPr>
              <w:pStyle w:val="BodyText"/>
              <w:rPr>
                <w:rFonts w:ascii="Times New Roman" w:hAnsi="Times New Roman" w:cs="Times New Roman"/>
              </w:rPr>
            </w:pPr>
            <w:r>
              <w:rPr>
                <w:rFonts w:ascii="Times New Roman" w:hAnsi="Times New Roman" w:cs="Times New Roman"/>
                <w:noProof/>
              </w:rPr>
              <w:pict>
                <v:rect id="_x0000_s1029" style="position:absolute;margin-left:-.7pt;margin-top:1.35pt;width:7.15pt;height:7.15pt;z-index:251658752"/>
              </w:pict>
            </w:r>
            <w:r w:rsidR="000134CC" w:rsidRPr="0070440C">
              <w:rPr>
                <w:rFonts w:ascii="Times New Roman" w:hAnsi="Times New Roman" w:cs="Times New Roman"/>
              </w:rPr>
              <w:t xml:space="preserve">     Yes      </w:t>
            </w:r>
            <w:r w:rsidR="0070440C" w:rsidRPr="0070440C">
              <w:rPr>
                <w:rFonts w:ascii="Times New Roman" w:hAnsi="Times New Roman" w:cs="Times New Roman"/>
              </w:rPr>
              <w:t>X</w:t>
            </w:r>
            <w:r w:rsidR="000134CC" w:rsidRPr="0070440C">
              <w:rPr>
                <w:rFonts w:ascii="Times New Roman" w:hAnsi="Times New Roman" w:cs="Times New Roman"/>
              </w:rPr>
              <w:t xml:space="preserve"> No    Date: __________________</w:t>
            </w:r>
          </w:p>
          <w:p w:rsidR="000134CC" w:rsidRPr="0070440C" w:rsidRDefault="00066978" w:rsidP="009B4773">
            <w:pPr>
              <w:pStyle w:val="BodyText"/>
              <w:rPr>
                <w:rFonts w:ascii="Times New Roman" w:hAnsi="Times New Roman" w:cs="Times New Roman"/>
              </w:rPr>
            </w:pPr>
            <w:r w:rsidRPr="0070440C">
              <w:rPr>
                <w:rFonts w:ascii="Times New Roman" w:hAnsi="Times New Roman" w:cs="Times New Roman"/>
              </w:rPr>
              <w:t>Mid-</w:t>
            </w:r>
            <w:r w:rsidR="000134CC" w:rsidRPr="0070440C">
              <w:rPr>
                <w:rFonts w:ascii="Times New Roman" w:hAnsi="Times New Roman" w:cs="Times New Roman"/>
              </w:rPr>
              <w:t xml:space="preserve">Evaluation Report </w:t>
            </w:r>
            <w:r w:rsidRPr="0070440C">
              <w:rPr>
                <w:rFonts w:ascii="Times New Roman" w:hAnsi="Times New Roman" w:cs="Times New Roman"/>
                <w:bCs/>
                <w:iCs/>
                <w:snapToGrid w:val="0"/>
                <w:lang w:val="en-GB"/>
              </w:rPr>
              <w:t xml:space="preserve">– </w:t>
            </w:r>
            <w:r w:rsidR="0053545E" w:rsidRPr="0070440C">
              <w:rPr>
                <w:rFonts w:ascii="Times New Roman" w:hAnsi="Times New Roman" w:cs="Times New Roman"/>
                <w:bCs/>
                <w:iCs/>
                <w:snapToGrid w:val="0"/>
                <w:lang w:val="en-GB"/>
              </w:rPr>
              <w:t xml:space="preserve">if applicable </w:t>
            </w:r>
            <w:r w:rsidRPr="0070440C">
              <w:rPr>
                <w:rFonts w:ascii="Times New Roman" w:hAnsi="Times New Roman" w:cs="Times New Roman"/>
                <w:bCs/>
                <w:iCs/>
                <w:snapToGrid w:val="0"/>
                <w:lang w:val="en-GB"/>
              </w:rPr>
              <w:t>please a</w:t>
            </w:r>
            <w:r w:rsidR="000134CC" w:rsidRPr="0070440C">
              <w:rPr>
                <w:rFonts w:ascii="Times New Roman" w:hAnsi="Times New Roman" w:cs="Times New Roman"/>
                <w:bCs/>
                <w:iCs/>
                <w:snapToGrid w:val="0"/>
                <w:lang w:val="en-GB"/>
              </w:rPr>
              <w:t>ttach</w:t>
            </w:r>
            <w:r w:rsidR="000134CC" w:rsidRPr="0070440C">
              <w:rPr>
                <w:rFonts w:ascii="Times New Roman" w:hAnsi="Times New Roman" w:cs="Times New Roman"/>
                <w:b/>
              </w:rPr>
              <w:t xml:space="preserve">          </w:t>
            </w:r>
          </w:p>
          <w:p w:rsidR="000134CC" w:rsidRPr="0070440C" w:rsidRDefault="001734C8" w:rsidP="009B4773">
            <w:pPr>
              <w:pStyle w:val="BodyText"/>
              <w:rPr>
                <w:rFonts w:ascii="Times New Roman" w:hAnsi="Times New Roman" w:cs="Times New Roman"/>
              </w:rPr>
            </w:pPr>
            <w:r>
              <w:rPr>
                <w:rFonts w:ascii="Times New Roman" w:hAnsi="Times New Roman" w:cs="Times New Roman"/>
                <w:noProof/>
              </w:rPr>
              <w:pict>
                <v:rect id="_x0000_s1027" style="position:absolute;margin-left:-.7pt;margin-top:1.65pt;width:7.15pt;height:7.15pt;z-index:251656704"/>
              </w:pict>
            </w:r>
            <w:r w:rsidR="0070440C" w:rsidRPr="0070440C">
              <w:rPr>
                <w:rFonts w:ascii="Times New Roman" w:hAnsi="Times New Roman" w:cs="Times New Roman"/>
              </w:rPr>
              <w:t xml:space="preserve">       Yes      X</w:t>
            </w:r>
            <w:r w:rsidR="000134CC" w:rsidRPr="0070440C">
              <w:rPr>
                <w:rFonts w:ascii="Times New Roman" w:hAnsi="Times New Roman" w:cs="Times New Roman"/>
              </w:rPr>
              <w:t xml:space="preserve"> No</w:t>
            </w:r>
            <w:r w:rsidR="00066978" w:rsidRPr="0070440C">
              <w:rPr>
                <w:rFonts w:ascii="Times New Roman" w:hAnsi="Times New Roman" w:cs="Times New Roman"/>
              </w:rPr>
              <w:t xml:space="preserve">    Date: __________________</w:t>
            </w:r>
          </w:p>
        </w:tc>
        <w:tc>
          <w:tcPr>
            <w:tcW w:w="270" w:type="dxa"/>
            <w:vMerge/>
            <w:tcBorders>
              <w:left w:val="single" w:sz="4" w:space="0" w:color="auto"/>
              <w:right w:val="single" w:sz="4" w:space="0" w:color="auto"/>
            </w:tcBorders>
          </w:tcPr>
          <w:p w:rsidR="000134CC" w:rsidRPr="00C931DD" w:rsidRDefault="000134CC" w:rsidP="009B4773">
            <w:pPr>
              <w:pStyle w:val="BodyText"/>
              <w:rPr>
                <w:rFonts w:ascii="Times New Roman" w:hAnsi="Times New Roman" w:cs="Times New Roman"/>
                <w:sz w:val="22"/>
                <w:szCs w:val="22"/>
              </w:rPr>
            </w:pPr>
          </w:p>
        </w:tc>
        <w:tc>
          <w:tcPr>
            <w:tcW w:w="4860" w:type="dxa"/>
            <w:tcBorders>
              <w:left w:val="single" w:sz="4" w:space="0" w:color="auto"/>
              <w:bottom w:val="single" w:sz="4" w:space="0" w:color="auto"/>
              <w:right w:val="single" w:sz="4" w:space="0" w:color="auto"/>
            </w:tcBorders>
          </w:tcPr>
          <w:p w:rsidR="000134CC" w:rsidRPr="0070440C" w:rsidRDefault="000134CC" w:rsidP="009B4773">
            <w:pPr>
              <w:numPr>
                <w:ilvl w:val="0"/>
                <w:numId w:val="10"/>
              </w:numPr>
              <w:ind w:left="0"/>
              <w:rPr>
                <w:sz w:val="20"/>
                <w:szCs w:val="20"/>
                <w:lang w:val="en-GB"/>
              </w:rPr>
            </w:pPr>
            <w:r w:rsidRPr="0070440C">
              <w:rPr>
                <w:sz w:val="20"/>
                <w:szCs w:val="20"/>
                <w:lang w:val="en-GB"/>
              </w:rPr>
              <w:t>Name:</w:t>
            </w:r>
            <w:r w:rsidR="00FE68A0">
              <w:rPr>
                <w:sz w:val="20"/>
                <w:szCs w:val="20"/>
                <w:lang w:val="en-GB"/>
              </w:rPr>
              <w:t xml:space="preserve"> Pem Chuki Wangdi</w:t>
            </w:r>
          </w:p>
          <w:p w:rsidR="000134CC" w:rsidRPr="0070440C" w:rsidRDefault="000134CC" w:rsidP="009B4773">
            <w:pPr>
              <w:numPr>
                <w:ilvl w:val="0"/>
                <w:numId w:val="10"/>
              </w:numPr>
              <w:ind w:left="0"/>
              <w:rPr>
                <w:sz w:val="20"/>
                <w:szCs w:val="20"/>
                <w:lang w:val="en-GB"/>
              </w:rPr>
            </w:pPr>
            <w:r w:rsidRPr="0070440C">
              <w:rPr>
                <w:sz w:val="20"/>
                <w:szCs w:val="20"/>
                <w:lang w:val="en-GB"/>
              </w:rPr>
              <w:t>Title:</w:t>
            </w:r>
            <w:r w:rsidR="00FE68A0">
              <w:rPr>
                <w:sz w:val="20"/>
                <w:szCs w:val="20"/>
                <w:lang w:val="en-GB"/>
              </w:rPr>
              <w:t xml:space="preserve"> Head, Management Support Unit</w:t>
            </w:r>
          </w:p>
          <w:p w:rsidR="000134CC" w:rsidRPr="0070440C" w:rsidRDefault="000134CC" w:rsidP="009B4773">
            <w:pPr>
              <w:numPr>
                <w:ilvl w:val="0"/>
                <w:numId w:val="10"/>
              </w:numPr>
              <w:ind w:left="0"/>
              <w:rPr>
                <w:sz w:val="20"/>
                <w:szCs w:val="20"/>
                <w:lang w:val="en-GB"/>
              </w:rPr>
            </w:pPr>
            <w:r w:rsidRPr="0070440C">
              <w:rPr>
                <w:sz w:val="20"/>
                <w:szCs w:val="20"/>
                <w:lang w:val="en-GB"/>
              </w:rPr>
              <w:t>Participating Organization (Lead):</w:t>
            </w:r>
            <w:r w:rsidR="00FE68A0">
              <w:rPr>
                <w:sz w:val="20"/>
                <w:szCs w:val="20"/>
                <w:lang w:val="en-GB"/>
              </w:rPr>
              <w:t xml:space="preserve"> UNDP</w:t>
            </w:r>
          </w:p>
          <w:p w:rsidR="000134CC" w:rsidRPr="0070440C" w:rsidRDefault="00AC4360" w:rsidP="009B4773">
            <w:pPr>
              <w:pStyle w:val="BodyText"/>
              <w:numPr>
                <w:ilvl w:val="0"/>
                <w:numId w:val="10"/>
              </w:numPr>
              <w:spacing w:after="120"/>
              <w:ind w:left="0"/>
              <w:jc w:val="both"/>
              <w:rPr>
                <w:rFonts w:ascii="Times New Roman" w:hAnsi="Times New Roman" w:cs="Times New Roman"/>
                <w:b/>
                <w:bCs/>
                <w:snapToGrid w:val="0"/>
                <w:kern w:val="32"/>
              </w:rPr>
            </w:pPr>
            <w:r w:rsidRPr="0070440C">
              <w:rPr>
                <w:rFonts w:ascii="Times New Roman" w:hAnsi="Times New Roman" w:cs="Times New Roman"/>
              </w:rPr>
              <w:t>Email address</w:t>
            </w:r>
            <w:r w:rsidR="000134CC" w:rsidRPr="0070440C">
              <w:rPr>
                <w:rFonts w:ascii="Times New Roman" w:hAnsi="Times New Roman" w:cs="Times New Roman"/>
              </w:rPr>
              <w:t>:</w:t>
            </w:r>
            <w:r w:rsidR="00FE68A0">
              <w:rPr>
                <w:rFonts w:ascii="Times New Roman" w:hAnsi="Times New Roman" w:cs="Times New Roman"/>
              </w:rPr>
              <w:t xml:space="preserve"> pem.wangdi@undp.org</w:t>
            </w:r>
          </w:p>
        </w:tc>
      </w:tr>
    </w:tbl>
    <w:p w:rsidR="00AB0274" w:rsidRPr="00941CB3" w:rsidRDefault="00AB0274" w:rsidP="009B4773">
      <w:pPr>
        <w:rPr>
          <w:b/>
          <w:bCs/>
          <w:caps/>
          <w:sz w:val="22"/>
          <w:szCs w:val="22"/>
        </w:rPr>
      </w:pPr>
    </w:p>
    <w:p w:rsidR="00AB0274" w:rsidRPr="0070440C" w:rsidRDefault="00AB0274" w:rsidP="009B4773">
      <w:pPr>
        <w:pStyle w:val="Heading1"/>
        <w:numPr>
          <w:ilvl w:val="0"/>
          <w:numId w:val="1"/>
        </w:numPr>
        <w:tabs>
          <w:tab w:val="clear" w:pos="1080"/>
          <w:tab w:val="left" w:pos="360"/>
        </w:tabs>
        <w:ind w:left="0" w:hanging="360"/>
        <w:jc w:val="left"/>
        <w:rPr>
          <w:rFonts w:ascii="Times New Roman" w:hAnsi="Times New Roman"/>
          <w:sz w:val="24"/>
          <w:szCs w:val="24"/>
        </w:rPr>
      </w:pPr>
      <w:bookmarkStart w:id="1" w:name="_Toc249364483"/>
      <w:r w:rsidRPr="0070440C">
        <w:rPr>
          <w:rFonts w:ascii="Times New Roman" w:hAnsi="Times New Roman"/>
          <w:sz w:val="24"/>
          <w:szCs w:val="24"/>
        </w:rPr>
        <w:t>Purpose</w:t>
      </w:r>
      <w:bookmarkEnd w:id="1"/>
    </w:p>
    <w:p w:rsidR="00BE733D" w:rsidRPr="0070440C" w:rsidRDefault="00BE733D" w:rsidP="009B4773">
      <w:pPr>
        <w:pStyle w:val="BodyText"/>
        <w:jc w:val="both"/>
        <w:rPr>
          <w:rFonts w:ascii="Times New Roman" w:hAnsi="Times New Roman" w:cs="Times New Roman"/>
          <w:sz w:val="24"/>
          <w:szCs w:val="24"/>
        </w:rPr>
      </w:pPr>
    </w:p>
    <w:p w:rsidR="00702E13" w:rsidRPr="0070440C" w:rsidRDefault="00BE733D" w:rsidP="009B4773">
      <w:pPr>
        <w:pStyle w:val="BodyText"/>
        <w:jc w:val="both"/>
        <w:rPr>
          <w:rFonts w:ascii="Times New Roman" w:hAnsi="Times New Roman" w:cs="Times New Roman"/>
          <w:sz w:val="24"/>
          <w:szCs w:val="24"/>
        </w:rPr>
      </w:pPr>
      <w:r w:rsidRPr="0070440C">
        <w:rPr>
          <w:rFonts w:ascii="Times New Roman" w:hAnsi="Times New Roman" w:cs="Times New Roman"/>
          <w:sz w:val="24"/>
          <w:szCs w:val="24"/>
        </w:rPr>
        <w:t xml:space="preserve">The support from the </w:t>
      </w:r>
      <w:r w:rsidR="0070440C" w:rsidRPr="0070440C">
        <w:rPr>
          <w:rFonts w:ascii="Times New Roman" w:hAnsi="Times New Roman" w:cs="Times New Roman"/>
          <w:sz w:val="24"/>
          <w:szCs w:val="24"/>
        </w:rPr>
        <w:t>UN Bhutan Country Fund</w:t>
      </w:r>
      <w:r w:rsidR="00F10F79">
        <w:rPr>
          <w:rFonts w:ascii="Times New Roman" w:hAnsi="Times New Roman" w:cs="Times New Roman"/>
          <w:sz w:val="24"/>
          <w:szCs w:val="24"/>
        </w:rPr>
        <w:t xml:space="preserve"> (UNBCF)</w:t>
      </w:r>
      <w:r w:rsidRPr="0070440C">
        <w:rPr>
          <w:rFonts w:ascii="Times New Roman" w:hAnsi="Times New Roman" w:cs="Times New Roman"/>
          <w:sz w:val="24"/>
          <w:szCs w:val="24"/>
        </w:rPr>
        <w:t xml:space="preserve"> was to complement the ongoing programmes under the good governance outcome intervention within the areas of gender, local elections, e-governance and decentralizatio</w:t>
      </w:r>
      <w:r w:rsidR="0070440C" w:rsidRPr="0070440C">
        <w:rPr>
          <w:rFonts w:ascii="Times New Roman" w:hAnsi="Times New Roman" w:cs="Times New Roman"/>
          <w:sz w:val="24"/>
          <w:szCs w:val="24"/>
        </w:rPr>
        <w:t xml:space="preserve">n and local governance outputs. </w:t>
      </w:r>
      <w:r w:rsidRPr="0070440C">
        <w:rPr>
          <w:rFonts w:ascii="Times New Roman" w:hAnsi="Times New Roman" w:cs="Times New Roman"/>
          <w:sz w:val="24"/>
          <w:szCs w:val="24"/>
        </w:rPr>
        <w:t xml:space="preserve">The support </w:t>
      </w:r>
      <w:r w:rsidR="00702E13" w:rsidRPr="0070440C">
        <w:rPr>
          <w:rFonts w:ascii="Times New Roman" w:hAnsi="Times New Roman" w:cs="Times New Roman"/>
          <w:sz w:val="24"/>
          <w:szCs w:val="24"/>
        </w:rPr>
        <w:t>contributed to the</w:t>
      </w:r>
      <w:r w:rsidR="0070440C" w:rsidRPr="0070440C">
        <w:rPr>
          <w:rFonts w:ascii="Times New Roman" w:hAnsi="Times New Roman" w:cs="Times New Roman"/>
          <w:sz w:val="24"/>
          <w:szCs w:val="24"/>
        </w:rPr>
        <w:t xml:space="preserve"> UNDAF CT Outcome 4: </w:t>
      </w:r>
      <w:r w:rsidR="00702E13" w:rsidRPr="0070440C">
        <w:rPr>
          <w:rFonts w:ascii="Times New Roman" w:hAnsi="Times New Roman" w:cs="Times New Roman"/>
          <w:i/>
          <w:sz w:val="24"/>
          <w:szCs w:val="24"/>
        </w:rPr>
        <w:t xml:space="preserve">By 2012, institutional capacity and people’s participation strengthened to ensure good governance. </w:t>
      </w:r>
    </w:p>
    <w:p w:rsidR="00702E13" w:rsidRPr="0070440C" w:rsidRDefault="00702E13" w:rsidP="009B4773">
      <w:pPr>
        <w:pStyle w:val="BodyText"/>
        <w:jc w:val="both"/>
        <w:rPr>
          <w:rFonts w:ascii="Times New Roman" w:hAnsi="Times New Roman" w:cs="Times New Roman"/>
          <w:b/>
          <w:sz w:val="24"/>
          <w:szCs w:val="24"/>
        </w:rPr>
      </w:pPr>
    </w:p>
    <w:p w:rsidR="00702E13" w:rsidRPr="0070440C" w:rsidRDefault="00702E13" w:rsidP="009B4773">
      <w:pPr>
        <w:pStyle w:val="BodyText"/>
        <w:jc w:val="both"/>
        <w:rPr>
          <w:rFonts w:ascii="Times New Roman" w:hAnsi="Times New Roman" w:cs="Times New Roman"/>
          <w:sz w:val="24"/>
          <w:szCs w:val="24"/>
        </w:rPr>
      </w:pPr>
      <w:r w:rsidRPr="0070440C">
        <w:rPr>
          <w:rFonts w:ascii="Times New Roman" w:hAnsi="Times New Roman" w:cs="Times New Roman"/>
          <w:sz w:val="24"/>
          <w:szCs w:val="24"/>
        </w:rPr>
        <w:t xml:space="preserve">Within this over all framework, the </w:t>
      </w:r>
      <w:r w:rsidR="00356B70" w:rsidRPr="0070440C">
        <w:rPr>
          <w:rFonts w:ascii="Times New Roman" w:hAnsi="Times New Roman" w:cs="Times New Roman"/>
          <w:sz w:val="24"/>
          <w:szCs w:val="24"/>
        </w:rPr>
        <w:t>support was</w:t>
      </w:r>
      <w:r w:rsidRPr="0070440C">
        <w:rPr>
          <w:rFonts w:ascii="Times New Roman" w:hAnsi="Times New Roman" w:cs="Times New Roman"/>
          <w:sz w:val="24"/>
          <w:szCs w:val="24"/>
        </w:rPr>
        <w:t xml:space="preserve"> provided to</w:t>
      </w:r>
      <w:r w:rsidR="00356B70" w:rsidRPr="0070440C">
        <w:rPr>
          <w:rFonts w:ascii="Times New Roman" w:hAnsi="Times New Roman" w:cs="Times New Roman"/>
          <w:sz w:val="24"/>
          <w:szCs w:val="24"/>
        </w:rPr>
        <w:t>;</w:t>
      </w:r>
    </w:p>
    <w:p w:rsidR="006000A4" w:rsidRPr="0070440C" w:rsidRDefault="006000A4" w:rsidP="009B4773">
      <w:pPr>
        <w:pStyle w:val="ListParagraph"/>
        <w:ind w:left="0"/>
        <w:jc w:val="both"/>
        <w:rPr>
          <w:b/>
        </w:rPr>
      </w:pPr>
    </w:p>
    <w:p w:rsidR="00F2608B" w:rsidRPr="00F10F79" w:rsidRDefault="00F2608B" w:rsidP="0070440C">
      <w:pPr>
        <w:pStyle w:val="ListParagraph"/>
        <w:numPr>
          <w:ilvl w:val="0"/>
          <w:numId w:val="8"/>
        </w:numPr>
        <w:jc w:val="both"/>
        <w:rPr>
          <w:i/>
        </w:rPr>
      </w:pPr>
      <w:r w:rsidRPr="00F10F79">
        <w:rPr>
          <w:b/>
          <w:i/>
        </w:rPr>
        <w:t xml:space="preserve">CT Output 4.1 </w:t>
      </w:r>
      <w:r w:rsidRPr="00F10F79">
        <w:rPr>
          <w:i/>
        </w:rPr>
        <w:t>Transparency, efficiency, effectiveness, participation and accountability strengthened at all levels.</w:t>
      </w:r>
      <w:r w:rsidRPr="00F10F79">
        <w:rPr>
          <w:b/>
          <w:i/>
        </w:rPr>
        <w:t xml:space="preserve"> CT Output 4.1.1</w:t>
      </w:r>
      <w:r w:rsidRPr="00F10F79">
        <w:rPr>
          <w:i/>
        </w:rPr>
        <w:t xml:space="preserve"> Increased access to services and information through promotion and implementation of e-governance and e-literacy.</w:t>
      </w:r>
    </w:p>
    <w:p w:rsidR="0003468C" w:rsidRPr="00F10F79" w:rsidRDefault="0003468C" w:rsidP="0070440C">
      <w:pPr>
        <w:pStyle w:val="ListParagraph"/>
        <w:numPr>
          <w:ilvl w:val="0"/>
          <w:numId w:val="8"/>
        </w:numPr>
        <w:jc w:val="both"/>
        <w:rPr>
          <w:b/>
          <w:i/>
        </w:rPr>
      </w:pPr>
      <w:r w:rsidRPr="00F10F79">
        <w:rPr>
          <w:b/>
          <w:i/>
        </w:rPr>
        <w:t xml:space="preserve">CT Output 4.2 </w:t>
      </w:r>
      <w:r w:rsidRPr="00F10F79">
        <w:rPr>
          <w:i/>
        </w:rPr>
        <w:t>Strengthened national capacity and systems to formulate, review and implement national legislations in line with ratified international conventions.</w:t>
      </w:r>
      <w:r w:rsidR="00356B70" w:rsidRPr="00F10F79">
        <w:rPr>
          <w:i/>
        </w:rPr>
        <w:t xml:space="preserve"> </w:t>
      </w:r>
      <w:r w:rsidRPr="00F10F79">
        <w:rPr>
          <w:b/>
          <w:i/>
        </w:rPr>
        <w:t>CT Output 4.</w:t>
      </w:r>
      <w:r w:rsidR="00C307F8" w:rsidRPr="00F10F79">
        <w:rPr>
          <w:b/>
          <w:i/>
        </w:rPr>
        <w:t>2.3</w:t>
      </w:r>
      <w:r w:rsidR="00C307F8" w:rsidRPr="00F10F79">
        <w:rPr>
          <w:i/>
        </w:rPr>
        <w:t xml:space="preserve"> Strengthened capacity of relevant institutions to enhance knowledge and information on ratified conventions among partners and the public</w:t>
      </w:r>
    </w:p>
    <w:p w:rsidR="00356B70" w:rsidRPr="00F10F79" w:rsidRDefault="006000A4" w:rsidP="0070440C">
      <w:pPr>
        <w:pStyle w:val="ListParagraph"/>
        <w:numPr>
          <w:ilvl w:val="0"/>
          <w:numId w:val="8"/>
        </w:numPr>
        <w:jc w:val="both"/>
        <w:rPr>
          <w:i/>
        </w:rPr>
      </w:pPr>
      <w:r w:rsidRPr="00F10F79">
        <w:rPr>
          <w:b/>
          <w:i/>
        </w:rPr>
        <w:t>CT output 4.3.2</w:t>
      </w:r>
      <w:r w:rsidRPr="00F10F79">
        <w:rPr>
          <w:i/>
        </w:rPr>
        <w:t xml:space="preserve"> Enhanced capacity of key </w:t>
      </w:r>
      <w:r w:rsidR="0070440C" w:rsidRPr="00F10F79">
        <w:rPr>
          <w:i/>
        </w:rPr>
        <w:t>organizations</w:t>
      </w:r>
      <w:r w:rsidRPr="00F10F79">
        <w:rPr>
          <w:i/>
        </w:rPr>
        <w:t xml:space="preserve"> in conducting free &amp; fair elections at national &amp; local levels. </w:t>
      </w:r>
      <w:r w:rsidRPr="00F10F79">
        <w:rPr>
          <w:b/>
          <w:i/>
        </w:rPr>
        <w:t>CT output 4.3.3</w:t>
      </w:r>
      <w:r w:rsidRPr="00F10F79">
        <w:rPr>
          <w:i/>
        </w:rPr>
        <w:t xml:space="preserve"> Enhanced public awareness on gender inclusive democratic governance, rights and duties through civic education.</w:t>
      </w:r>
    </w:p>
    <w:p w:rsidR="00BE733D" w:rsidRPr="00F10F79" w:rsidRDefault="00702E13" w:rsidP="0070440C">
      <w:pPr>
        <w:pStyle w:val="ListParagraph"/>
        <w:numPr>
          <w:ilvl w:val="0"/>
          <w:numId w:val="8"/>
        </w:numPr>
        <w:jc w:val="both"/>
        <w:rPr>
          <w:i/>
        </w:rPr>
      </w:pPr>
      <w:r w:rsidRPr="00F10F79">
        <w:rPr>
          <w:b/>
          <w:i/>
        </w:rPr>
        <w:t>CT 4.4 Local governance systems and capacity strengthened with increased participation of women.</w:t>
      </w:r>
      <w:r w:rsidRPr="00F10F79">
        <w:rPr>
          <w:i/>
        </w:rPr>
        <w:t xml:space="preserve"> </w:t>
      </w:r>
      <w:r w:rsidRPr="00F10F79">
        <w:rPr>
          <w:b/>
          <w:i/>
        </w:rPr>
        <w:t xml:space="preserve">CT 4.4.1 </w:t>
      </w:r>
      <w:r w:rsidRPr="00F10F79">
        <w:rPr>
          <w:i/>
        </w:rPr>
        <w:t xml:space="preserve">Strengthened capacity of local governments to plan, implement and monitor their development progress in pursuit of poverty reduction and MDGs. </w:t>
      </w:r>
      <w:r w:rsidRPr="00F10F79">
        <w:rPr>
          <w:b/>
          <w:i/>
        </w:rPr>
        <w:t>CT 4.4.2.</w:t>
      </w:r>
      <w:r w:rsidRPr="00F10F79">
        <w:rPr>
          <w:i/>
        </w:rPr>
        <w:t xml:space="preserve"> Increased and effective participation of women in particular, and communities in general, in decision making and in development activities</w:t>
      </w:r>
      <w:r w:rsidR="00356B70" w:rsidRPr="00F10F79">
        <w:rPr>
          <w:i/>
        </w:rPr>
        <w:t xml:space="preserve">. </w:t>
      </w:r>
      <w:r w:rsidRPr="00F10F79">
        <w:rPr>
          <w:i/>
        </w:rPr>
        <w:t xml:space="preserve"> </w:t>
      </w:r>
      <w:r w:rsidRPr="00F10F79">
        <w:rPr>
          <w:b/>
          <w:i/>
        </w:rPr>
        <w:t>CT 4.4.3.</w:t>
      </w:r>
      <w:r w:rsidRPr="00F10F79">
        <w:rPr>
          <w:i/>
        </w:rPr>
        <w:t xml:space="preserve"> Local capacity for development &amp; sound financial management enhanced through annual grants and integrated approach at gewog level.</w:t>
      </w:r>
    </w:p>
    <w:p w:rsidR="00DE6E89" w:rsidRPr="0070440C" w:rsidRDefault="00DE6E89" w:rsidP="009B4773">
      <w:pPr>
        <w:pStyle w:val="BodyText"/>
        <w:jc w:val="both"/>
        <w:rPr>
          <w:rFonts w:ascii="Times New Roman" w:hAnsi="Times New Roman" w:cs="Times New Roman"/>
          <w:sz w:val="24"/>
          <w:szCs w:val="24"/>
        </w:rPr>
      </w:pPr>
    </w:p>
    <w:p w:rsidR="00AB0274" w:rsidRPr="0070440C" w:rsidRDefault="00AB0274" w:rsidP="009B4773">
      <w:pPr>
        <w:pStyle w:val="Heading1"/>
        <w:numPr>
          <w:ilvl w:val="0"/>
          <w:numId w:val="1"/>
        </w:numPr>
        <w:tabs>
          <w:tab w:val="clear" w:pos="1080"/>
          <w:tab w:val="left" w:pos="360"/>
        </w:tabs>
        <w:ind w:left="0" w:hanging="360"/>
        <w:jc w:val="left"/>
        <w:rPr>
          <w:rFonts w:ascii="Times New Roman" w:hAnsi="Times New Roman"/>
          <w:sz w:val="24"/>
          <w:szCs w:val="24"/>
        </w:rPr>
      </w:pPr>
      <w:bookmarkStart w:id="2" w:name="_Toc249364484"/>
      <w:r w:rsidRPr="0070440C">
        <w:rPr>
          <w:rFonts w:ascii="Times New Roman" w:hAnsi="Times New Roman"/>
          <w:sz w:val="24"/>
          <w:szCs w:val="24"/>
        </w:rPr>
        <w:t>Resources</w:t>
      </w:r>
      <w:bookmarkEnd w:id="2"/>
      <w:r w:rsidRPr="0070440C">
        <w:rPr>
          <w:rFonts w:ascii="Times New Roman" w:hAnsi="Times New Roman"/>
          <w:sz w:val="24"/>
          <w:szCs w:val="24"/>
        </w:rPr>
        <w:t xml:space="preserve"> </w:t>
      </w:r>
    </w:p>
    <w:p w:rsidR="00FE68A0" w:rsidRDefault="00FE68A0" w:rsidP="00FE68A0">
      <w:pPr>
        <w:pStyle w:val="BodyText"/>
        <w:ind w:left="360"/>
        <w:rPr>
          <w:rFonts w:ascii="Times New Roman" w:hAnsi="Times New Roman" w:cs="Times New Roman"/>
          <w:i/>
          <w:sz w:val="24"/>
          <w:szCs w:val="24"/>
        </w:rPr>
      </w:pPr>
      <w:r>
        <w:rPr>
          <w:rFonts w:ascii="Times New Roman" w:hAnsi="Times New Roman" w:cs="Times New Roman"/>
          <w:i/>
          <w:sz w:val="24"/>
          <w:szCs w:val="24"/>
        </w:rPr>
        <w:t xml:space="preserve">Budget Revisions: </w:t>
      </w:r>
    </w:p>
    <w:p w:rsidR="00FE68A0" w:rsidRDefault="00FE68A0" w:rsidP="00FE68A0">
      <w:pPr>
        <w:pStyle w:val="BodyText"/>
        <w:ind w:left="360"/>
        <w:rPr>
          <w:rFonts w:ascii="Times New Roman" w:hAnsi="Times New Roman" w:cs="Times New Roman"/>
          <w:i/>
          <w:sz w:val="24"/>
          <w:szCs w:val="24"/>
        </w:rPr>
      </w:pPr>
    </w:p>
    <w:p w:rsidR="00FE68A0" w:rsidRDefault="00FE68A0" w:rsidP="00FE68A0">
      <w:pPr>
        <w:pStyle w:val="BodyText"/>
        <w:rPr>
          <w:rFonts w:ascii="Times New Roman" w:hAnsi="Times New Roman" w:cs="Times New Roman"/>
          <w:sz w:val="24"/>
          <w:szCs w:val="24"/>
        </w:rPr>
      </w:pPr>
      <w:r>
        <w:rPr>
          <w:rFonts w:ascii="Times New Roman" w:hAnsi="Times New Roman" w:cs="Times New Roman"/>
          <w:sz w:val="24"/>
          <w:szCs w:val="24"/>
        </w:rPr>
        <w:t>The UN Bhutan Country Fund Steering Committee on 29</w:t>
      </w:r>
      <w:r w:rsidRPr="00780B5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2010 endorsed the following requests for re-allocation of funds and no-cost extensions from UNDP and UNFPA:</w:t>
      </w:r>
    </w:p>
    <w:p w:rsidR="00FE68A0" w:rsidRDefault="00FE68A0" w:rsidP="00FE68A0">
      <w:pPr>
        <w:pStyle w:val="BodyText"/>
        <w:ind w:left="360"/>
        <w:rPr>
          <w:rFonts w:ascii="Times New Roman" w:hAnsi="Times New Roman" w:cs="Times New Roman"/>
          <w:sz w:val="24"/>
          <w:szCs w:val="24"/>
        </w:rPr>
      </w:pPr>
    </w:p>
    <w:p w:rsidR="00FE68A0" w:rsidRDefault="00FE68A0" w:rsidP="00FE68A0">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Request from UNDP for reprogramming of unspent funds amounting to $24,745.04 under UNDAF Outcome# 4: Governance to cover over expenditures incurred by UNDP under UNDAF Outcome# 5: Environment ($ 3,742.35) and UNDAF Outcome# 1: Poverty ($ 21,002.69)</w:t>
      </w:r>
    </w:p>
    <w:p w:rsidR="00FE68A0" w:rsidRDefault="00FE68A0" w:rsidP="00FE68A0">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Request from UNFPA for re-allocation of unspent funds amounting to $ 20,000 under UNDAF Outcome# 4: Governance to UNDAF Outcome# 2: Health.</w:t>
      </w:r>
    </w:p>
    <w:p w:rsidR="00FE68A0" w:rsidRPr="00780B58" w:rsidRDefault="00FE68A0" w:rsidP="00FE68A0">
      <w:pPr>
        <w:pStyle w:val="BodyText"/>
        <w:ind w:left="720"/>
        <w:rPr>
          <w:rFonts w:ascii="Times New Roman" w:hAnsi="Times New Roman" w:cs="Times New Roman"/>
          <w:sz w:val="24"/>
          <w:szCs w:val="24"/>
        </w:rPr>
      </w:pPr>
    </w:p>
    <w:p w:rsidR="00FE68A0" w:rsidRPr="005D4494" w:rsidRDefault="00FE68A0" w:rsidP="00FE68A0">
      <w:pPr>
        <w:pStyle w:val="BodyText"/>
        <w:ind w:left="360"/>
        <w:rPr>
          <w:rFonts w:ascii="Times New Roman" w:hAnsi="Times New Roman" w:cs="Times New Roman"/>
          <w:sz w:val="24"/>
          <w:szCs w:val="24"/>
          <w:highlight w:val="yellow"/>
        </w:rPr>
      </w:pPr>
      <w:r>
        <w:rPr>
          <w:rFonts w:ascii="Times New Roman" w:hAnsi="Times New Roman" w:cs="Times New Roman"/>
          <w:i/>
          <w:sz w:val="24"/>
          <w:szCs w:val="24"/>
        </w:rPr>
        <w:t>Good Practices and Constraints</w:t>
      </w:r>
    </w:p>
    <w:p w:rsidR="00FE68A0" w:rsidRDefault="00FE68A0" w:rsidP="00FE68A0">
      <w:pPr>
        <w:pStyle w:val="BodyText"/>
        <w:jc w:val="both"/>
        <w:rPr>
          <w:rFonts w:ascii="Times New Roman" w:hAnsi="Times New Roman" w:cs="Times New Roman"/>
          <w:sz w:val="24"/>
          <w:szCs w:val="24"/>
        </w:rPr>
      </w:pPr>
    </w:p>
    <w:p w:rsidR="00FE68A0" w:rsidRDefault="00FE68A0" w:rsidP="00FE68A0">
      <w:pPr>
        <w:pStyle w:val="BodyText"/>
        <w:jc w:val="both"/>
        <w:rPr>
          <w:rFonts w:ascii="Times New Roman" w:hAnsi="Times New Roman" w:cs="Times New Roman"/>
          <w:sz w:val="24"/>
          <w:szCs w:val="24"/>
          <w:lang w:val="en-GB"/>
        </w:rPr>
      </w:pPr>
      <w:r w:rsidRPr="0041713B">
        <w:rPr>
          <w:rFonts w:ascii="Times New Roman" w:hAnsi="Times New Roman" w:cs="Times New Roman"/>
          <w:sz w:val="24"/>
          <w:szCs w:val="24"/>
        </w:rPr>
        <w:t>In line with the</w:t>
      </w:r>
      <w:r w:rsidRPr="0041713B">
        <w:rPr>
          <w:rFonts w:ascii="Times New Roman" w:hAnsi="Times New Roman" w:cs="Times New Roman"/>
          <w:sz w:val="24"/>
          <w:szCs w:val="24"/>
          <w:lang w:val="en-GB"/>
        </w:rPr>
        <w:t xml:space="preserve"> UN General Assembly Resolution 56/201 on the triennial policy review of operational activities for development of the United Nations system, UNDP, UNICEF, UNFPA and WFP (UNDG ExCom Agencies) adopted</w:t>
      </w:r>
      <w:r w:rsidRPr="0041713B">
        <w:rPr>
          <w:rFonts w:ascii="Times New Roman" w:hAnsi="Times New Roman" w:cs="Times New Roman"/>
          <w:sz w:val="24"/>
          <w:szCs w:val="24"/>
          <w:lang w:val="en-GB" w:eastAsia="nl-NL"/>
        </w:rPr>
        <w:t xml:space="preserve"> a common operational framework</w:t>
      </w:r>
      <w:r>
        <w:rPr>
          <w:rFonts w:ascii="Times New Roman" w:hAnsi="Times New Roman" w:cs="Times New Roman"/>
          <w:sz w:val="24"/>
          <w:szCs w:val="24"/>
          <w:lang w:val="en-GB" w:eastAsia="nl-NL"/>
        </w:rPr>
        <w:t xml:space="preserve"> (known as the Harmonized Approach to Cash Transfers (HACT) Framework)</w:t>
      </w:r>
      <w:r w:rsidRPr="0041713B">
        <w:rPr>
          <w:rFonts w:ascii="Times New Roman" w:hAnsi="Times New Roman" w:cs="Times New Roman"/>
          <w:sz w:val="24"/>
          <w:szCs w:val="24"/>
          <w:lang w:val="en-GB" w:eastAsia="nl-NL"/>
        </w:rPr>
        <w:t xml:space="preserve"> for transferring cash to government and non-government Implementing Partner</w:t>
      </w:r>
      <w:r w:rsidRPr="0041713B">
        <w:rPr>
          <w:rFonts w:ascii="Times New Roman" w:hAnsi="Times New Roman" w:cs="Times New Roman"/>
          <w:color w:val="000000"/>
          <w:sz w:val="24"/>
          <w:szCs w:val="24"/>
          <w:lang w:val="en-GB" w:eastAsia="en-GB"/>
        </w:rPr>
        <w:t>s</w:t>
      </w:r>
      <w:r w:rsidRPr="0041713B">
        <w:rPr>
          <w:rFonts w:ascii="Times New Roman" w:hAnsi="Times New Roman" w:cs="Times New Roman"/>
          <w:sz w:val="24"/>
          <w:szCs w:val="24"/>
          <w:lang w:val="en-GB"/>
        </w:rPr>
        <w:t xml:space="preserve">. Its implementation </w:t>
      </w:r>
      <w:r>
        <w:rPr>
          <w:rFonts w:ascii="Times New Roman" w:hAnsi="Times New Roman" w:cs="Times New Roman"/>
          <w:sz w:val="24"/>
          <w:szCs w:val="24"/>
          <w:lang w:val="en-GB"/>
        </w:rPr>
        <w:t>is expected to</w:t>
      </w:r>
      <w:r w:rsidRPr="0041713B">
        <w:rPr>
          <w:rFonts w:ascii="Times New Roman" w:hAnsi="Times New Roman" w:cs="Times New Roman"/>
          <w:sz w:val="24"/>
          <w:szCs w:val="24"/>
          <w:lang w:val="en-GB"/>
        </w:rPr>
        <w:t xml:space="preserve"> significantly reduce transaction costs and lessen the burden that the multiplicity of UN procedures and rules creates for its partners. </w:t>
      </w:r>
      <w:r>
        <w:rPr>
          <w:rFonts w:ascii="Times New Roman" w:hAnsi="Times New Roman" w:cs="Times New Roman"/>
          <w:sz w:val="24"/>
          <w:szCs w:val="24"/>
          <w:lang w:val="en-GB"/>
        </w:rPr>
        <w:t xml:space="preserve">As a HACT compliant country since 2008, the UN System (namely UNDP, UNICEF, UNFPA and WFP) in collaboration with the Royal Government of Bhutan (RGoB) have taken the necessary steps to ensure the effective implementation of the Framework in the country. </w:t>
      </w:r>
    </w:p>
    <w:p w:rsidR="00FE68A0" w:rsidRDefault="00FE68A0" w:rsidP="00FE68A0">
      <w:pPr>
        <w:pStyle w:val="BodyText"/>
        <w:jc w:val="both"/>
        <w:rPr>
          <w:rFonts w:ascii="Times New Roman" w:hAnsi="Times New Roman" w:cs="Times New Roman"/>
          <w:sz w:val="24"/>
          <w:szCs w:val="24"/>
          <w:lang w:val="en-GB"/>
        </w:rPr>
      </w:pPr>
    </w:p>
    <w:p w:rsidR="00FE68A0" w:rsidRDefault="00FE68A0" w:rsidP="00FE68A0">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goal of reducing transaction costs on part of the Government and to address the issues related to the fund request and release to and from the UN agencies to the Implementing Partners, the UN agencies with the Ministry of Finance and the Gross National Happiness Commission developed a guidance note on the Financial Procedures for UN Assisted Projects directed towards streamlining and shortening the fund request and release process between the UN agencies and the Implementing partners. In addition, in a move towards using existing government reporting procedures, the UN agencies have adopted the Standard Progress Report template used by the government as the standard reporting format for the UN.  Furthermore, in a strategic move to address problems related to the non-matching of financial years between the UN and the Government, the UN agencies adopted the 18 month rolling work plan, covering the months of January through June of the following year. This allows the Implementing Partners to incorporate UN supported activities into their respective sector work plans which follows the Government’s fiscal year. </w:t>
      </w:r>
    </w:p>
    <w:p w:rsidR="00FE68A0" w:rsidRDefault="00FE68A0" w:rsidP="00FE68A0">
      <w:pPr>
        <w:pStyle w:val="BodyText"/>
        <w:jc w:val="both"/>
        <w:rPr>
          <w:rFonts w:ascii="Times New Roman" w:hAnsi="Times New Roman" w:cs="Times New Roman"/>
          <w:sz w:val="24"/>
          <w:szCs w:val="24"/>
          <w:lang w:val="en-GB"/>
        </w:rPr>
      </w:pPr>
    </w:p>
    <w:p w:rsidR="00FE68A0" w:rsidRDefault="00FE68A0" w:rsidP="00FE68A0">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Yearly trainings are organized for both implementing partners and UN agencies to refresh and redress problems faced in financial transactions.</w:t>
      </w:r>
    </w:p>
    <w:p w:rsidR="00FE68A0" w:rsidRPr="005D4494" w:rsidRDefault="00FE68A0" w:rsidP="00FE68A0">
      <w:pPr>
        <w:pStyle w:val="BodyText"/>
        <w:rPr>
          <w:rFonts w:ascii="Times New Roman" w:hAnsi="Times New Roman" w:cs="Times New Roman"/>
          <w:b/>
          <w:sz w:val="24"/>
          <w:szCs w:val="24"/>
          <w:highlight w:val="yellow"/>
        </w:rPr>
      </w:pPr>
    </w:p>
    <w:p w:rsidR="00FE68A0" w:rsidRPr="005D4494" w:rsidRDefault="00FE68A0" w:rsidP="00FE68A0">
      <w:pPr>
        <w:pStyle w:val="Heading1"/>
        <w:numPr>
          <w:ilvl w:val="0"/>
          <w:numId w:val="1"/>
        </w:numPr>
        <w:tabs>
          <w:tab w:val="clear" w:pos="1080"/>
          <w:tab w:val="left" w:pos="360"/>
          <w:tab w:val="num" w:pos="990"/>
        </w:tabs>
        <w:ind w:left="360" w:hanging="360"/>
        <w:jc w:val="left"/>
        <w:rPr>
          <w:rFonts w:ascii="Times New Roman" w:hAnsi="Times New Roman"/>
          <w:sz w:val="24"/>
          <w:szCs w:val="24"/>
        </w:rPr>
      </w:pPr>
      <w:r w:rsidRPr="005D4494">
        <w:rPr>
          <w:rFonts w:ascii="Times New Roman" w:hAnsi="Times New Roman"/>
          <w:sz w:val="24"/>
          <w:szCs w:val="24"/>
        </w:rPr>
        <w:t>Implementation and Monitoring Arrangements</w:t>
      </w:r>
    </w:p>
    <w:p w:rsidR="00FE68A0" w:rsidRPr="005D4494" w:rsidRDefault="00FE68A0" w:rsidP="00FE68A0">
      <w:pPr>
        <w:pStyle w:val="BodyText"/>
        <w:ind w:left="720"/>
        <w:jc w:val="both"/>
        <w:rPr>
          <w:rFonts w:ascii="Times New Roman" w:hAnsi="Times New Roman" w:cs="Times New Roman"/>
          <w:bCs/>
          <w:sz w:val="24"/>
          <w:szCs w:val="24"/>
          <w:highlight w:val="yellow"/>
        </w:rPr>
      </w:pPr>
    </w:p>
    <w:p w:rsidR="00FE68A0" w:rsidRDefault="00FE68A0" w:rsidP="00FE68A0">
      <w:pPr>
        <w:pStyle w:val="BodyText"/>
        <w:ind w:left="90"/>
        <w:jc w:val="both"/>
        <w:rPr>
          <w:rFonts w:ascii="Times New Roman" w:hAnsi="Times New Roman" w:cs="Times New Roman"/>
          <w:bCs/>
          <w:sz w:val="24"/>
          <w:szCs w:val="24"/>
        </w:rPr>
      </w:pPr>
      <w:r>
        <w:rPr>
          <w:rFonts w:ascii="Times New Roman" w:hAnsi="Times New Roman" w:cs="Times New Roman"/>
          <w:bCs/>
          <w:sz w:val="24"/>
          <w:szCs w:val="24"/>
        </w:rPr>
        <w:t xml:space="preserve">The UN in Bhutan operates in a National Implementation (NIM) environment. </w:t>
      </w:r>
      <w:r w:rsidRPr="005D4494">
        <w:rPr>
          <w:rFonts w:ascii="Times New Roman" w:hAnsi="Times New Roman" w:cs="Times New Roman"/>
          <w:bCs/>
          <w:sz w:val="24"/>
          <w:szCs w:val="24"/>
        </w:rPr>
        <w:t xml:space="preserve">The Government implements the projects and accordingly handles almost all procurement related activities within their respective programmes. </w:t>
      </w:r>
      <w:r>
        <w:rPr>
          <w:rFonts w:ascii="Times New Roman" w:hAnsi="Times New Roman" w:cs="Times New Roman"/>
          <w:bCs/>
          <w:sz w:val="24"/>
          <w:szCs w:val="24"/>
        </w:rPr>
        <w:t>The UN agencies (namely UNDP, UNICEF, UNFPA and WFP)</w:t>
      </w:r>
      <w:r w:rsidRPr="005D4494">
        <w:rPr>
          <w:rFonts w:ascii="Times New Roman" w:hAnsi="Times New Roman" w:cs="Times New Roman"/>
          <w:bCs/>
          <w:sz w:val="24"/>
          <w:szCs w:val="24"/>
        </w:rPr>
        <w:t xml:space="preserve"> conducts periodic monitoring through </w:t>
      </w:r>
      <w:r>
        <w:rPr>
          <w:rFonts w:ascii="Times New Roman" w:hAnsi="Times New Roman" w:cs="Times New Roman"/>
          <w:bCs/>
          <w:sz w:val="24"/>
          <w:szCs w:val="24"/>
        </w:rPr>
        <w:t>assurance activities required under the HACT Framework such as field visits and</w:t>
      </w:r>
      <w:r w:rsidRPr="005D4494">
        <w:rPr>
          <w:rFonts w:ascii="Times New Roman" w:hAnsi="Times New Roman" w:cs="Times New Roman"/>
          <w:bCs/>
          <w:sz w:val="24"/>
          <w:szCs w:val="24"/>
        </w:rPr>
        <w:t xml:space="preserve"> onsite reviews </w:t>
      </w:r>
      <w:r>
        <w:rPr>
          <w:rFonts w:ascii="Times New Roman" w:hAnsi="Times New Roman" w:cs="Times New Roman"/>
          <w:bCs/>
          <w:sz w:val="24"/>
          <w:szCs w:val="24"/>
        </w:rPr>
        <w:t xml:space="preserve">conducted by UN staff, </w:t>
      </w:r>
      <w:r w:rsidRPr="005D4494">
        <w:rPr>
          <w:rFonts w:ascii="Times New Roman" w:hAnsi="Times New Roman" w:cs="Times New Roman"/>
          <w:bCs/>
          <w:sz w:val="24"/>
          <w:szCs w:val="24"/>
        </w:rPr>
        <w:t>and schedule</w:t>
      </w:r>
      <w:r>
        <w:rPr>
          <w:rFonts w:ascii="Times New Roman" w:hAnsi="Times New Roman" w:cs="Times New Roman"/>
          <w:bCs/>
          <w:sz w:val="24"/>
          <w:szCs w:val="24"/>
        </w:rPr>
        <w:t>d/HACT</w:t>
      </w:r>
      <w:r w:rsidRPr="005D4494">
        <w:rPr>
          <w:rFonts w:ascii="Times New Roman" w:hAnsi="Times New Roman" w:cs="Times New Roman"/>
          <w:bCs/>
          <w:sz w:val="24"/>
          <w:szCs w:val="24"/>
        </w:rPr>
        <w:t xml:space="preserve"> audits by the Royal Audit Authority</w:t>
      </w:r>
      <w:r>
        <w:rPr>
          <w:rFonts w:ascii="Times New Roman" w:hAnsi="Times New Roman" w:cs="Times New Roman"/>
          <w:bCs/>
          <w:sz w:val="24"/>
          <w:szCs w:val="24"/>
        </w:rPr>
        <w:t>, Bhutan’s Supreme Audit Institution</w:t>
      </w:r>
      <w:r w:rsidRPr="005D4494">
        <w:rPr>
          <w:rFonts w:ascii="Times New Roman" w:hAnsi="Times New Roman" w:cs="Times New Roman"/>
          <w:bCs/>
          <w:sz w:val="24"/>
          <w:szCs w:val="24"/>
        </w:rPr>
        <w:t xml:space="preserve">. The financial report is reported through the FACE (Funding Authorization &amp; Certification of Expenditure) form and the progress is reported through Standard progress reports quarterly. </w:t>
      </w:r>
      <w:r>
        <w:rPr>
          <w:rFonts w:ascii="Times New Roman" w:hAnsi="Times New Roman" w:cs="Times New Roman"/>
          <w:bCs/>
          <w:sz w:val="24"/>
          <w:szCs w:val="24"/>
        </w:rPr>
        <w:t>Joint m</w:t>
      </w:r>
      <w:r w:rsidRPr="005D4494">
        <w:rPr>
          <w:rFonts w:ascii="Times New Roman" w:hAnsi="Times New Roman" w:cs="Times New Roman"/>
          <w:bCs/>
          <w:sz w:val="24"/>
          <w:szCs w:val="24"/>
        </w:rPr>
        <w:t>id-year and annual reviews are also conducted as part of monitoring and evaluation of progress and performance. These reporting formats are aligned to the Government’s planning and monitoring system. In addition joint field visits</w:t>
      </w:r>
      <w:r>
        <w:rPr>
          <w:rFonts w:ascii="Times New Roman" w:hAnsi="Times New Roman" w:cs="Times New Roman"/>
          <w:bCs/>
          <w:sz w:val="24"/>
          <w:szCs w:val="24"/>
        </w:rPr>
        <w:t>, where applicable,</w:t>
      </w:r>
      <w:r w:rsidRPr="005D4494">
        <w:rPr>
          <w:rFonts w:ascii="Times New Roman" w:hAnsi="Times New Roman" w:cs="Times New Roman"/>
          <w:bCs/>
          <w:sz w:val="24"/>
          <w:szCs w:val="24"/>
        </w:rPr>
        <w:t xml:space="preserve"> are conducted to the project sites.</w:t>
      </w:r>
    </w:p>
    <w:p w:rsidR="00FF6847" w:rsidRPr="0070440C" w:rsidRDefault="00FF6847" w:rsidP="009B4773">
      <w:pPr>
        <w:pStyle w:val="BodyText"/>
        <w:jc w:val="both"/>
        <w:rPr>
          <w:rFonts w:ascii="Times New Roman" w:hAnsi="Times New Roman" w:cs="Times New Roman"/>
          <w:sz w:val="24"/>
          <w:szCs w:val="24"/>
        </w:rPr>
      </w:pPr>
    </w:p>
    <w:p w:rsidR="005C3944" w:rsidRPr="0070440C" w:rsidRDefault="005C3944" w:rsidP="009B4773">
      <w:pPr>
        <w:pStyle w:val="BodyText"/>
        <w:jc w:val="both"/>
        <w:rPr>
          <w:rFonts w:ascii="Times New Roman" w:hAnsi="Times New Roman" w:cs="Times New Roman"/>
          <w:sz w:val="24"/>
          <w:szCs w:val="24"/>
          <w:highlight w:val="yellow"/>
        </w:rPr>
      </w:pPr>
    </w:p>
    <w:p w:rsidR="00AB0274" w:rsidRPr="0070440C" w:rsidRDefault="00D84E82" w:rsidP="009B4773">
      <w:pPr>
        <w:pStyle w:val="BodyText"/>
        <w:rPr>
          <w:rFonts w:ascii="Times New Roman" w:hAnsi="Times New Roman" w:cs="Times New Roman"/>
          <w:sz w:val="24"/>
          <w:szCs w:val="24"/>
        </w:rPr>
      </w:pPr>
      <w:r w:rsidRPr="00D84E82">
        <w:rPr>
          <w:rFonts w:ascii="Times New Roman" w:hAnsi="Times New Roman" w:cs="Times New Roman"/>
          <w:b/>
          <w:sz w:val="24"/>
          <w:szCs w:val="24"/>
        </w:rPr>
        <w:t>NOTE</w:t>
      </w:r>
      <w:r>
        <w:rPr>
          <w:rFonts w:ascii="Times New Roman" w:hAnsi="Times New Roman" w:cs="Times New Roman"/>
          <w:sz w:val="24"/>
          <w:szCs w:val="24"/>
        </w:rPr>
        <w:t xml:space="preserve">: </w:t>
      </w:r>
      <w:r w:rsidR="00FF6847" w:rsidRPr="0070440C">
        <w:rPr>
          <w:rFonts w:ascii="Times New Roman" w:hAnsi="Times New Roman" w:cs="Times New Roman"/>
          <w:sz w:val="24"/>
          <w:szCs w:val="24"/>
        </w:rPr>
        <w:t>The support provided to the CT 4.4 outcome and its outputs</w:t>
      </w:r>
      <w:r w:rsidR="005C3944" w:rsidRPr="0070440C">
        <w:rPr>
          <w:rFonts w:ascii="Times New Roman" w:hAnsi="Times New Roman" w:cs="Times New Roman"/>
          <w:sz w:val="24"/>
          <w:szCs w:val="24"/>
        </w:rPr>
        <w:t xml:space="preserve"> for support to local governance and public </w:t>
      </w:r>
      <w:r w:rsidR="00F10F79" w:rsidRPr="0070440C">
        <w:rPr>
          <w:rFonts w:ascii="Times New Roman" w:hAnsi="Times New Roman" w:cs="Times New Roman"/>
          <w:sz w:val="24"/>
          <w:szCs w:val="24"/>
        </w:rPr>
        <w:t>financial</w:t>
      </w:r>
      <w:r w:rsidR="005C3944" w:rsidRPr="0070440C">
        <w:rPr>
          <w:rFonts w:ascii="Times New Roman" w:hAnsi="Times New Roman" w:cs="Times New Roman"/>
          <w:sz w:val="24"/>
          <w:szCs w:val="24"/>
        </w:rPr>
        <w:t xml:space="preserve"> management</w:t>
      </w:r>
      <w:r w:rsidR="00FF6847" w:rsidRPr="0070440C">
        <w:rPr>
          <w:rFonts w:ascii="Times New Roman" w:hAnsi="Times New Roman" w:cs="Times New Roman"/>
          <w:sz w:val="24"/>
          <w:szCs w:val="24"/>
        </w:rPr>
        <w:t xml:space="preserve"> includes development partners outside the UN agencies because it is part of the joint sector support programme to local governance and decentralization.</w:t>
      </w:r>
    </w:p>
    <w:p w:rsidR="00FF6847" w:rsidRPr="0070440C" w:rsidRDefault="00FF6847" w:rsidP="009B4773">
      <w:pPr>
        <w:pStyle w:val="BodyText"/>
        <w:rPr>
          <w:rFonts w:ascii="Times New Roman" w:hAnsi="Times New Roman" w:cs="Times New Roman"/>
          <w:sz w:val="24"/>
          <w:szCs w:val="24"/>
        </w:rPr>
      </w:pPr>
    </w:p>
    <w:p w:rsidR="00F10F79" w:rsidRDefault="00F10F79" w:rsidP="009B4773">
      <w:pPr>
        <w:pStyle w:val="BodyText"/>
        <w:jc w:val="both"/>
        <w:rPr>
          <w:rFonts w:ascii="Times New Roman" w:hAnsi="Times New Roman" w:cs="Times New Roman"/>
          <w:bCs/>
          <w:i/>
          <w:sz w:val="24"/>
          <w:szCs w:val="24"/>
        </w:rPr>
      </w:pPr>
      <w:r>
        <w:rPr>
          <w:rFonts w:ascii="Times New Roman" w:hAnsi="Times New Roman" w:cs="Times New Roman"/>
          <w:bCs/>
          <w:i/>
          <w:sz w:val="24"/>
          <w:szCs w:val="24"/>
        </w:rPr>
        <w:t>Evaluations/Assessments</w:t>
      </w:r>
    </w:p>
    <w:p w:rsidR="007B0297" w:rsidRPr="0070440C" w:rsidRDefault="005F5DAE" w:rsidP="009B4773">
      <w:pPr>
        <w:pStyle w:val="BodyText"/>
        <w:jc w:val="both"/>
        <w:rPr>
          <w:rFonts w:ascii="Times New Roman" w:hAnsi="Times New Roman" w:cs="Times New Roman"/>
          <w:bCs/>
          <w:sz w:val="24"/>
          <w:szCs w:val="24"/>
        </w:rPr>
      </w:pPr>
      <w:r w:rsidRPr="0070440C">
        <w:rPr>
          <w:rFonts w:ascii="Times New Roman" w:hAnsi="Times New Roman" w:cs="Times New Roman"/>
          <w:bCs/>
          <w:sz w:val="24"/>
          <w:szCs w:val="24"/>
        </w:rPr>
        <w:t xml:space="preserve">The </w:t>
      </w:r>
      <w:r w:rsidR="007B0297" w:rsidRPr="0070440C">
        <w:rPr>
          <w:rFonts w:ascii="Times New Roman" w:hAnsi="Times New Roman" w:cs="Times New Roman"/>
          <w:bCs/>
          <w:sz w:val="24"/>
          <w:szCs w:val="24"/>
        </w:rPr>
        <w:t xml:space="preserve">E-Governance project was partially funded through the </w:t>
      </w:r>
      <w:r w:rsidR="001430FE" w:rsidRPr="0070440C">
        <w:rPr>
          <w:rFonts w:ascii="Times New Roman" w:hAnsi="Times New Roman" w:cs="Times New Roman"/>
          <w:bCs/>
          <w:sz w:val="24"/>
          <w:szCs w:val="24"/>
        </w:rPr>
        <w:t xml:space="preserve">UN Trust Fund for </w:t>
      </w:r>
      <w:r w:rsidR="007B0297" w:rsidRPr="0070440C">
        <w:rPr>
          <w:rFonts w:ascii="Times New Roman" w:hAnsi="Times New Roman" w:cs="Times New Roman"/>
          <w:bCs/>
          <w:sz w:val="24"/>
          <w:szCs w:val="24"/>
        </w:rPr>
        <w:t>Human Security</w:t>
      </w:r>
      <w:r w:rsidR="001430FE" w:rsidRPr="0070440C">
        <w:rPr>
          <w:rFonts w:ascii="Times New Roman" w:hAnsi="Times New Roman" w:cs="Times New Roman"/>
          <w:bCs/>
          <w:sz w:val="24"/>
          <w:szCs w:val="24"/>
        </w:rPr>
        <w:t xml:space="preserve"> (HSF)</w:t>
      </w:r>
      <w:r w:rsidR="007B0297" w:rsidRPr="0070440C">
        <w:rPr>
          <w:rFonts w:ascii="Times New Roman" w:hAnsi="Times New Roman" w:cs="Times New Roman"/>
          <w:bCs/>
          <w:sz w:val="24"/>
          <w:szCs w:val="24"/>
        </w:rPr>
        <w:t xml:space="preserve">. In 2010, an </w:t>
      </w:r>
      <w:r w:rsidR="0057779E" w:rsidRPr="0070440C">
        <w:rPr>
          <w:rFonts w:ascii="Times New Roman" w:hAnsi="Times New Roman" w:cs="Times New Roman"/>
          <w:bCs/>
          <w:sz w:val="24"/>
          <w:szCs w:val="24"/>
        </w:rPr>
        <w:t>E</w:t>
      </w:r>
      <w:r w:rsidR="007B0297" w:rsidRPr="0070440C">
        <w:rPr>
          <w:rFonts w:ascii="Times New Roman" w:hAnsi="Times New Roman" w:cs="Times New Roman"/>
          <w:bCs/>
          <w:sz w:val="24"/>
          <w:szCs w:val="24"/>
        </w:rPr>
        <w:t xml:space="preserve">nd of </w:t>
      </w:r>
      <w:r w:rsidR="0057779E" w:rsidRPr="0070440C">
        <w:rPr>
          <w:rFonts w:ascii="Times New Roman" w:hAnsi="Times New Roman" w:cs="Times New Roman"/>
          <w:bCs/>
          <w:sz w:val="24"/>
          <w:szCs w:val="24"/>
        </w:rPr>
        <w:t>P</w:t>
      </w:r>
      <w:r w:rsidR="007B0297" w:rsidRPr="0070440C">
        <w:rPr>
          <w:rFonts w:ascii="Times New Roman" w:hAnsi="Times New Roman" w:cs="Times New Roman"/>
          <w:bCs/>
          <w:sz w:val="24"/>
          <w:szCs w:val="24"/>
        </w:rPr>
        <w:t xml:space="preserve">roject </w:t>
      </w:r>
      <w:r w:rsidR="0057779E" w:rsidRPr="0070440C">
        <w:rPr>
          <w:rFonts w:ascii="Times New Roman" w:hAnsi="Times New Roman" w:cs="Times New Roman"/>
          <w:bCs/>
          <w:sz w:val="24"/>
          <w:szCs w:val="24"/>
        </w:rPr>
        <w:t>E</w:t>
      </w:r>
      <w:r w:rsidR="007B0297" w:rsidRPr="0070440C">
        <w:rPr>
          <w:rFonts w:ascii="Times New Roman" w:hAnsi="Times New Roman" w:cs="Times New Roman"/>
          <w:bCs/>
          <w:sz w:val="24"/>
          <w:szCs w:val="24"/>
        </w:rPr>
        <w:t>valuation was conducted by the UN</w:t>
      </w:r>
      <w:r w:rsidR="001430FE" w:rsidRPr="0070440C">
        <w:rPr>
          <w:rFonts w:ascii="Times New Roman" w:hAnsi="Times New Roman" w:cs="Times New Roman"/>
          <w:bCs/>
          <w:sz w:val="24"/>
          <w:szCs w:val="24"/>
        </w:rPr>
        <w:t>DP as</w:t>
      </w:r>
      <w:r w:rsidR="00A9194A">
        <w:rPr>
          <w:rFonts w:ascii="Times New Roman" w:hAnsi="Times New Roman" w:cs="Times New Roman"/>
          <w:bCs/>
          <w:sz w:val="24"/>
          <w:szCs w:val="24"/>
        </w:rPr>
        <w:t xml:space="preserve"> the</w:t>
      </w:r>
      <w:r w:rsidR="001430FE" w:rsidRPr="0070440C">
        <w:rPr>
          <w:rFonts w:ascii="Times New Roman" w:hAnsi="Times New Roman" w:cs="Times New Roman"/>
          <w:bCs/>
          <w:sz w:val="24"/>
          <w:szCs w:val="24"/>
        </w:rPr>
        <w:t xml:space="preserve"> coordinating agency </w:t>
      </w:r>
      <w:r w:rsidR="00A9194A">
        <w:rPr>
          <w:rFonts w:ascii="Times New Roman" w:hAnsi="Times New Roman" w:cs="Times New Roman"/>
          <w:bCs/>
          <w:sz w:val="24"/>
          <w:szCs w:val="24"/>
        </w:rPr>
        <w:t>for</w:t>
      </w:r>
      <w:r w:rsidR="001430FE" w:rsidRPr="0070440C">
        <w:rPr>
          <w:rFonts w:ascii="Times New Roman" w:hAnsi="Times New Roman" w:cs="Times New Roman"/>
          <w:bCs/>
          <w:sz w:val="24"/>
          <w:szCs w:val="24"/>
        </w:rPr>
        <w:t xml:space="preserve"> the project</w:t>
      </w:r>
      <w:r w:rsidRPr="0070440C">
        <w:rPr>
          <w:rFonts w:ascii="Times New Roman" w:hAnsi="Times New Roman" w:cs="Times New Roman"/>
          <w:bCs/>
          <w:sz w:val="24"/>
          <w:szCs w:val="24"/>
        </w:rPr>
        <w:t>. The evaluation was</w:t>
      </w:r>
      <w:r w:rsidR="007B0297" w:rsidRPr="0070440C">
        <w:rPr>
          <w:rFonts w:ascii="Times New Roman" w:hAnsi="Times New Roman" w:cs="Times New Roman"/>
          <w:bCs/>
          <w:sz w:val="24"/>
          <w:szCs w:val="24"/>
        </w:rPr>
        <w:t xml:space="preserve"> required under the HSF</w:t>
      </w:r>
      <w:r w:rsidR="009B4773" w:rsidRPr="0070440C">
        <w:rPr>
          <w:rFonts w:ascii="Times New Roman" w:hAnsi="Times New Roman" w:cs="Times New Roman"/>
          <w:bCs/>
          <w:sz w:val="24"/>
          <w:szCs w:val="24"/>
        </w:rPr>
        <w:t xml:space="preserve"> project</w:t>
      </w:r>
      <w:r w:rsidR="001430FE" w:rsidRPr="0070440C">
        <w:rPr>
          <w:rFonts w:ascii="Times New Roman" w:hAnsi="Times New Roman" w:cs="Times New Roman"/>
          <w:bCs/>
          <w:sz w:val="24"/>
          <w:szCs w:val="24"/>
        </w:rPr>
        <w:t xml:space="preserve"> </w:t>
      </w:r>
      <w:r w:rsidR="009B4773" w:rsidRPr="0070440C">
        <w:rPr>
          <w:rFonts w:ascii="Times New Roman" w:hAnsi="Times New Roman" w:cs="Times New Roman"/>
          <w:bCs/>
          <w:sz w:val="24"/>
          <w:szCs w:val="24"/>
        </w:rPr>
        <w:t>agreement</w:t>
      </w:r>
      <w:r w:rsidR="007B0297" w:rsidRPr="0070440C">
        <w:rPr>
          <w:rFonts w:ascii="Times New Roman" w:hAnsi="Times New Roman" w:cs="Times New Roman"/>
          <w:bCs/>
          <w:sz w:val="24"/>
          <w:szCs w:val="24"/>
        </w:rPr>
        <w:t xml:space="preserve">. </w:t>
      </w:r>
    </w:p>
    <w:p w:rsidR="007B0297" w:rsidRPr="0070440C" w:rsidRDefault="007B0297" w:rsidP="009B4773">
      <w:pPr>
        <w:pStyle w:val="BodyText"/>
        <w:jc w:val="both"/>
        <w:rPr>
          <w:rFonts w:ascii="Times New Roman" w:hAnsi="Times New Roman" w:cs="Times New Roman"/>
          <w:bCs/>
          <w:sz w:val="24"/>
          <w:szCs w:val="24"/>
        </w:rPr>
      </w:pPr>
    </w:p>
    <w:p w:rsidR="00090FA5" w:rsidRPr="0070440C" w:rsidRDefault="00574659" w:rsidP="009B4773">
      <w:pPr>
        <w:pStyle w:val="BodyText"/>
        <w:jc w:val="both"/>
        <w:rPr>
          <w:rFonts w:ascii="Times New Roman" w:hAnsi="Times New Roman" w:cs="Times New Roman"/>
          <w:bCs/>
          <w:sz w:val="24"/>
          <w:szCs w:val="24"/>
        </w:rPr>
      </w:pPr>
      <w:r w:rsidRPr="0070440C">
        <w:rPr>
          <w:rFonts w:ascii="Times New Roman" w:hAnsi="Times New Roman" w:cs="Times New Roman"/>
          <w:bCs/>
          <w:sz w:val="24"/>
          <w:szCs w:val="24"/>
        </w:rPr>
        <w:t xml:space="preserve">During the period of 2009 a joint annual technical review was conducted with other development partners for the LGSP. In 2010, a Decentralization Outcome Evaluation was done by the UN </w:t>
      </w:r>
      <w:r w:rsidR="00090FA5" w:rsidRPr="0070440C">
        <w:rPr>
          <w:rFonts w:ascii="Times New Roman" w:hAnsi="Times New Roman" w:cs="Times New Roman"/>
          <w:bCs/>
          <w:sz w:val="24"/>
          <w:szCs w:val="24"/>
        </w:rPr>
        <w:t>agencies as required under the</w:t>
      </w:r>
      <w:r w:rsidRPr="0070440C">
        <w:rPr>
          <w:rFonts w:ascii="Times New Roman" w:hAnsi="Times New Roman" w:cs="Times New Roman"/>
          <w:bCs/>
          <w:sz w:val="24"/>
          <w:szCs w:val="24"/>
        </w:rPr>
        <w:t xml:space="preserve"> UNDAF </w:t>
      </w:r>
      <w:r w:rsidR="00090FA5" w:rsidRPr="0070440C">
        <w:rPr>
          <w:rFonts w:ascii="Times New Roman" w:hAnsi="Times New Roman" w:cs="Times New Roman"/>
          <w:bCs/>
          <w:sz w:val="24"/>
          <w:szCs w:val="24"/>
        </w:rPr>
        <w:t xml:space="preserve">review </w:t>
      </w:r>
      <w:r w:rsidRPr="0070440C">
        <w:rPr>
          <w:rFonts w:ascii="Times New Roman" w:hAnsi="Times New Roman" w:cs="Times New Roman"/>
          <w:bCs/>
          <w:sz w:val="24"/>
          <w:szCs w:val="24"/>
        </w:rPr>
        <w:t>and this was done in coordination and consultation with the annual technical review of the LGSP</w:t>
      </w:r>
      <w:r w:rsidR="00090FA5" w:rsidRPr="0070440C">
        <w:rPr>
          <w:rFonts w:ascii="Times New Roman" w:hAnsi="Times New Roman" w:cs="Times New Roman"/>
          <w:bCs/>
          <w:sz w:val="24"/>
          <w:szCs w:val="24"/>
        </w:rPr>
        <w:t xml:space="preserve">. </w:t>
      </w:r>
    </w:p>
    <w:p w:rsidR="00090FA5" w:rsidRPr="0070440C" w:rsidRDefault="00090FA5" w:rsidP="009B4773">
      <w:pPr>
        <w:pStyle w:val="BodyText"/>
        <w:jc w:val="both"/>
        <w:rPr>
          <w:rFonts w:ascii="Times New Roman" w:hAnsi="Times New Roman" w:cs="Times New Roman"/>
          <w:bCs/>
          <w:sz w:val="24"/>
          <w:szCs w:val="24"/>
        </w:rPr>
      </w:pPr>
    </w:p>
    <w:p w:rsidR="00AB0274" w:rsidRPr="0070440C" w:rsidRDefault="00AB0274" w:rsidP="009B4773">
      <w:pPr>
        <w:pStyle w:val="BodyText"/>
        <w:rPr>
          <w:rFonts w:ascii="Times New Roman" w:hAnsi="Times New Roman" w:cs="Times New Roman"/>
          <w:b/>
          <w:sz w:val="24"/>
          <w:szCs w:val="24"/>
        </w:rPr>
      </w:pPr>
    </w:p>
    <w:p w:rsidR="00AB0274" w:rsidRPr="0070440C" w:rsidRDefault="00AB0274" w:rsidP="009B4773">
      <w:pPr>
        <w:pStyle w:val="Heading1"/>
        <w:numPr>
          <w:ilvl w:val="0"/>
          <w:numId w:val="1"/>
        </w:numPr>
        <w:tabs>
          <w:tab w:val="clear" w:pos="1080"/>
          <w:tab w:val="left" w:pos="360"/>
        </w:tabs>
        <w:ind w:left="0" w:hanging="360"/>
        <w:jc w:val="left"/>
        <w:rPr>
          <w:rFonts w:ascii="Times New Roman" w:hAnsi="Times New Roman"/>
          <w:sz w:val="24"/>
          <w:szCs w:val="24"/>
        </w:rPr>
      </w:pPr>
      <w:bookmarkStart w:id="3" w:name="_Toc249364486"/>
      <w:r w:rsidRPr="0070440C">
        <w:rPr>
          <w:rFonts w:ascii="Times New Roman" w:hAnsi="Times New Roman"/>
          <w:sz w:val="24"/>
          <w:szCs w:val="24"/>
        </w:rPr>
        <w:t>Results</w:t>
      </w:r>
      <w:bookmarkEnd w:id="3"/>
      <w:r w:rsidRPr="0070440C">
        <w:rPr>
          <w:rFonts w:ascii="Times New Roman" w:hAnsi="Times New Roman"/>
          <w:sz w:val="24"/>
          <w:szCs w:val="24"/>
        </w:rPr>
        <w:t xml:space="preserve"> </w:t>
      </w:r>
    </w:p>
    <w:p w:rsidR="005C3944" w:rsidRPr="0070440C" w:rsidRDefault="005C3944" w:rsidP="009B4773"/>
    <w:p w:rsidR="005C3944" w:rsidRPr="0070440C" w:rsidRDefault="005C3944" w:rsidP="009B4773">
      <w:pPr>
        <w:pStyle w:val="ListParagraph"/>
        <w:ind w:left="0"/>
        <w:jc w:val="both"/>
        <w:rPr>
          <w:b/>
        </w:rPr>
      </w:pPr>
      <w:r w:rsidRPr="0070440C">
        <w:t xml:space="preserve">The UN Bhutan Country Fund has contributed to </w:t>
      </w:r>
      <w:r w:rsidR="00A9194A" w:rsidRPr="0070440C">
        <w:t>select</w:t>
      </w:r>
      <w:r w:rsidRPr="0070440C">
        <w:t xml:space="preserve"> Outputs but covers all the four CT Outcomes under </w:t>
      </w:r>
      <w:r w:rsidRPr="0070440C">
        <w:rPr>
          <w:b/>
        </w:rPr>
        <w:t>UNDAF Outcome</w:t>
      </w:r>
      <w:r w:rsidR="009B4773" w:rsidRPr="0070440C">
        <w:rPr>
          <w:b/>
        </w:rPr>
        <w:t xml:space="preserve"> 4</w:t>
      </w:r>
      <w:r w:rsidRPr="0070440C">
        <w:rPr>
          <w:b/>
        </w:rPr>
        <w:t xml:space="preserve">: </w:t>
      </w:r>
      <w:r w:rsidRPr="00F10F79">
        <w:rPr>
          <w:b/>
          <w:i/>
        </w:rPr>
        <w:t xml:space="preserve">By 2012, institutional capacity and people’s participation strengthened to ensure good governance. </w:t>
      </w:r>
    </w:p>
    <w:p w:rsidR="009B4773" w:rsidRPr="0070440C" w:rsidRDefault="009B4773" w:rsidP="009B4773">
      <w:pPr>
        <w:pStyle w:val="ListParagraph"/>
        <w:ind w:left="0"/>
        <w:jc w:val="both"/>
      </w:pPr>
    </w:p>
    <w:p w:rsidR="009B4773" w:rsidRPr="00F10F79" w:rsidRDefault="00F10F79" w:rsidP="009B4773">
      <w:pPr>
        <w:jc w:val="both"/>
        <w:rPr>
          <w:i/>
        </w:rPr>
      </w:pPr>
      <w:r>
        <w:lastRenderedPageBreak/>
        <w:t>The</w:t>
      </w:r>
      <w:r w:rsidR="009B4773" w:rsidRPr="0070440C">
        <w:t xml:space="preserve"> support</w:t>
      </w:r>
      <w:r w:rsidR="009B4773" w:rsidRPr="0070440C">
        <w:rPr>
          <w:b/>
        </w:rPr>
        <w:t xml:space="preserve"> </w:t>
      </w:r>
      <w:r w:rsidR="009B4773" w:rsidRPr="0070440C">
        <w:t>to National Commission for Women and Children</w:t>
      </w:r>
      <w:r w:rsidR="00F56C01">
        <w:t xml:space="preserve"> (NCWC)</w:t>
      </w:r>
      <w:r w:rsidR="009B4773" w:rsidRPr="0070440C">
        <w:t xml:space="preserve"> has contributed to</w:t>
      </w:r>
      <w:r w:rsidR="009B4773" w:rsidRPr="0070440C">
        <w:rPr>
          <w:b/>
        </w:rPr>
        <w:t xml:space="preserve"> </w:t>
      </w:r>
      <w:r w:rsidR="009B4773" w:rsidRPr="00F10F79">
        <w:rPr>
          <w:b/>
          <w:i/>
        </w:rPr>
        <w:t xml:space="preserve">CT Output 4.2 </w:t>
      </w:r>
      <w:r w:rsidR="009B4773" w:rsidRPr="00F10F79">
        <w:rPr>
          <w:i/>
        </w:rPr>
        <w:t>Strengthened national capacity and systems to formulate, review and implement national legislations in line with ratified international conventions.</w:t>
      </w:r>
      <w:r w:rsidR="009B4773" w:rsidRPr="00F10F79">
        <w:rPr>
          <w:b/>
          <w:i/>
        </w:rPr>
        <w:t xml:space="preserve"> CT Output 4.2.3 d) </w:t>
      </w:r>
      <w:r w:rsidR="009B4773" w:rsidRPr="00F10F79">
        <w:rPr>
          <w:i/>
        </w:rPr>
        <w:t>Government, parliamentarians, communities, and families have increased awareness on CRC and CEDAW and particularly on abuse, exploitation and violence against children and women</w:t>
      </w:r>
    </w:p>
    <w:p w:rsidR="00B904C7" w:rsidRPr="0070440C" w:rsidRDefault="00B904C7" w:rsidP="009B4773">
      <w:pPr>
        <w:pStyle w:val="ListParagraph"/>
        <w:ind w:left="0"/>
        <w:jc w:val="both"/>
        <w:rPr>
          <w:b/>
        </w:rPr>
      </w:pPr>
    </w:p>
    <w:p w:rsidR="00596CF6" w:rsidRPr="00F10F79" w:rsidRDefault="00596CF6" w:rsidP="009B4773">
      <w:pPr>
        <w:pStyle w:val="ListParagraph"/>
        <w:ind w:left="0"/>
        <w:jc w:val="both"/>
        <w:rPr>
          <w:i/>
        </w:rPr>
      </w:pPr>
      <w:r w:rsidRPr="0070440C">
        <w:t xml:space="preserve">The support to the localization of E-Governance and CICs has contributed to </w:t>
      </w:r>
      <w:r w:rsidRPr="00F10F79">
        <w:rPr>
          <w:b/>
          <w:i/>
        </w:rPr>
        <w:t>CT Output 4.1 Transparency, efficiency, effectiveness, participation and accountability strengthened at all levels. CT Output 4.1.1</w:t>
      </w:r>
      <w:r w:rsidRPr="00F10F79">
        <w:rPr>
          <w:i/>
        </w:rPr>
        <w:t xml:space="preserve"> Increased access to services and information through promotion and implementation of e-governance and e-literacy.</w:t>
      </w:r>
    </w:p>
    <w:p w:rsidR="00DC0AA7" w:rsidRPr="0070440C" w:rsidRDefault="00DC0AA7" w:rsidP="009B4773">
      <w:pPr>
        <w:pStyle w:val="ListParagraph"/>
        <w:ind w:left="0"/>
        <w:jc w:val="both"/>
        <w:rPr>
          <w:b/>
        </w:rPr>
      </w:pPr>
    </w:p>
    <w:p w:rsidR="007C6C68" w:rsidRPr="00F10F79" w:rsidRDefault="00B904C7" w:rsidP="009B4773">
      <w:pPr>
        <w:pStyle w:val="ListParagraph"/>
        <w:ind w:left="0"/>
        <w:jc w:val="both"/>
        <w:rPr>
          <w:i/>
        </w:rPr>
      </w:pPr>
      <w:r w:rsidRPr="0070440C">
        <w:t>The</w:t>
      </w:r>
      <w:r w:rsidRPr="0070440C">
        <w:rPr>
          <w:b/>
        </w:rPr>
        <w:t xml:space="preserve"> </w:t>
      </w:r>
      <w:r w:rsidRPr="0070440C">
        <w:t>support to the local elections and gender</w:t>
      </w:r>
      <w:r w:rsidR="00DE01AD" w:rsidRPr="0070440C">
        <w:t xml:space="preserve"> sensitization has contributed to the</w:t>
      </w:r>
      <w:r w:rsidR="00DE01AD" w:rsidRPr="0070440C">
        <w:rPr>
          <w:b/>
        </w:rPr>
        <w:t xml:space="preserve"> </w:t>
      </w:r>
      <w:r w:rsidR="00DE01AD" w:rsidRPr="00F10F79">
        <w:rPr>
          <w:b/>
          <w:i/>
        </w:rPr>
        <w:t>CT output 4.3.2</w:t>
      </w:r>
      <w:r w:rsidR="00DE01AD" w:rsidRPr="00F10F79">
        <w:rPr>
          <w:i/>
        </w:rPr>
        <w:t xml:space="preserve"> Enhanced capacity of key </w:t>
      </w:r>
      <w:r w:rsidR="009B4773" w:rsidRPr="00F10F79">
        <w:rPr>
          <w:i/>
        </w:rPr>
        <w:t>organizations</w:t>
      </w:r>
      <w:r w:rsidR="00DE01AD" w:rsidRPr="00F10F79">
        <w:rPr>
          <w:i/>
        </w:rPr>
        <w:t xml:space="preserve"> in conducting free &amp; fair elections at national &amp; local levels. </w:t>
      </w:r>
      <w:r w:rsidR="00DE01AD" w:rsidRPr="00F10F79">
        <w:rPr>
          <w:b/>
          <w:i/>
        </w:rPr>
        <w:t xml:space="preserve">CT output </w:t>
      </w:r>
      <w:r w:rsidR="007C6C68" w:rsidRPr="00F10F79">
        <w:rPr>
          <w:b/>
          <w:i/>
        </w:rPr>
        <w:t>4.3.3</w:t>
      </w:r>
      <w:r w:rsidR="007C6C68" w:rsidRPr="00F10F79">
        <w:rPr>
          <w:i/>
        </w:rPr>
        <w:t xml:space="preserve"> Enhanced</w:t>
      </w:r>
      <w:r w:rsidR="00DE01AD" w:rsidRPr="00F10F79">
        <w:rPr>
          <w:i/>
        </w:rPr>
        <w:t xml:space="preserve"> public awareness on gender inclusive democratic governance, rights and duties through civic education.</w:t>
      </w:r>
      <w:bookmarkStart w:id="4" w:name="_Toc249364487"/>
    </w:p>
    <w:p w:rsidR="007C6C68" w:rsidRPr="0070440C" w:rsidRDefault="007C6C68" w:rsidP="009B4773">
      <w:pPr>
        <w:pStyle w:val="ListParagraph"/>
        <w:ind w:left="0"/>
        <w:jc w:val="both"/>
      </w:pPr>
    </w:p>
    <w:p w:rsidR="007C6C68" w:rsidRPr="00F10F79" w:rsidRDefault="007C6C68" w:rsidP="009B4773">
      <w:pPr>
        <w:pStyle w:val="BodyText"/>
        <w:jc w:val="both"/>
        <w:rPr>
          <w:rFonts w:ascii="Times New Roman" w:hAnsi="Times New Roman" w:cs="Times New Roman"/>
          <w:i/>
          <w:sz w:val="24"/>
          <w:szCs w:val="24"/>
        </w:rPr>
      </w:pPr>
      <w:r w:rsidRPr="0070440C">
        <w:rPr>
          <w:rFonts w:ascii="Times New Roman" w:hAnsi="Times New Roman" w:cs="Times New Roman"/>
          <w:sz w:val="24"/>
          <w:szCs w:val="24"/>
        </w:rPr>
        <w:t xml:space="preserve">The technical assistance provided to develop the national local government capacity development strategy  has contributed to the </w:t>
      </w:r>
      <w:r w:rsidRPr="00F10F79">
        <w:rPr>
          <w:rFonts w:ascii="Times New Roman" w:hAnsi="Times New Roman" w:cs="Times New Roman"/>
          <w:b/>
          <w:i/>
          <w:sz w:val="24"/>
          <w:szCs w:val="24"/>
        </w:rPr>
        <w:t>CT Outcome 4.4 Local governance systems and capacity strengthened with increased participation of women.</w:t>
      </w:r>
      <w:r w:rsidRPr="0070440C">
        <w:rPr>
          <w:rFonts w:ascii="Times New Roman" w:hAnsi="Times New Roman" w:cs="Times New Roman"/>
          <w:sz w:val="24"/>
          <w:szCs w:val="24"/>
        </w:rPr>
        <w:t xml:space="preserve"> Therefore strengthening the support to the </w:t>
      </w:r>
      <w:r w:rsidRPr="00F10F79">
        <w:rPr>
          <w:rFonts w:ascii="Times New Roman" w:hAnsi="Times New Roman" w:cs="Times New Roman"/>
          <w:b/>
          <w:i/>
          <w:sz w:val="24"/>
          <w:szCs w:val="24"/>
        </w:rPr>
        <w:t>CT output</w:t>
      </w:r>
      <w:r w:rsidRPr="00F10F79">
        <w:rPr>
          <w:rFonts w:ascii="Times New Roman" w:hAnsi="Times New Roman" w:cs="Times New Roman"/>
          <w:i/>
          <w:sz w:val="24"/>
          <w:szCs w:val="24"/>
        </w:rPr>
        <w:t xml:space="preserve"> </w:t>
      </w:r>
      <w:r w:rsidRPr="00F10F79">
        <w:rPr>
          <w:rFonts w:ascii="Times New Roman" w:hAnsi="Times New Roman" w:cs="Times New Roman"/>
          <w:b/>
          <w:i/>
          <w:sz w:val="24"/>
          <w:szCs w:val="24"/>
        </w:rPr>
        <w:t xml:space="preserve">4.4.1 </w:t>
      </w:r>
      <w:r w:rsidRPr="00F10F79">
        <w:rPr>
          <w:rFonts w:ascii="Times New Roman" w:hAnsi="Times New Roman" w:cs="Times New Roman"/>
          <w:i/>
          <w:sz w:val="24"/>
          <w:szCs w:val="24"/>
        </w:rPr>
        <w:t xml:space="preserve">Strengthened capacity of local governments to plan, implement and monitor their development progress in pursuit of poverty reduction and MDGs. CT output </w:t>
      </w:r>
      <w:r w:rsidRPr="00F10F79">
        <w:rPr>
          <w:rFonts w:ascii="Times New Roman" w:hAnsi="Times New Roman" w:cs="Times New Roman"/>
          <w:b/>
          <w:i/>
          <w:sz w:val="24"/>
          <w:szCs w:val="24"/>
        </w:rPr>
        <w:t>4.4.2.</w:t>
      </w:r>
      <w:r w:rsidRPr="00F10F79">
        <w:rPr>
          <w:rFonts w:ascii="Times New Roman" w:hAnsi="Times New Roman" w:cs="Times New Roman"/>
          <w:i/>
          <w:sz w:val="24"/>
          <w:szCs w:val="24"/>
        </w:rPr>
        <w:t xml:space="preserve"> Increased and effective participation of women in particular, and communities in general, in decision making and in development activities and CT output </w:t>
      </w:r>
      <w:r w:rsidRPr="00F10F79">
        <w:rPr>
          <w:rFonts w:ascii="Times New Roman" w:hAnsi="Times New Roman" w:cs="Times New Roman"/>
          <w:b/>
          <w:i/>
          <w:sz w:val="24"/>
          <w:szCs w:val="24"/>
        </w:rPr>
        <w:t>4.4.3.</w:t>
      </w:r>
      <w:r w:rsidRPr="00F10F79">
        <w:rPr>
          <w:rFonts w:ascii="Times New Roman" w:hAnsi="Times New Roman" w:cs="Times New Roman"/>
          <w:i/>
          <w:sz w:val="24"/>
          <w:szCs w:val="24"/>
        </w:rPr>
        <w:t xml:space="preserve"> Local capacity for development &amp; sound financial management enhanced through annual grants and integrated approach at gewog level.</w:t>
      </w:r>
    </w:p>
    <w:p w:rsidR="007C6C68" w:rsidRPr="0070440C" w:rsidRDefault="007C6C68" w:rsidP="009B4773">
      <w:pPr>
        <w:pStyle w:val="ListParagraph"/>
        <w:ind w:left="0"/>
        <w:jc w:val="both"/>
      </w:pPr>
    </w:p>
    <w:p w:rsidR="007C6C68" w:rsidRPr="0070440C" w:rsidRDefault="007C6C68" w:rsidP="009B4773">
      <w:pPr>
        <w:pStyle w:val="ListParagraph"/>
        <w:ind w:left="0"/>
        <w:jc w:val="both"/>
      </w:pPr>
      <w:r w:rsidRPr="0070440C">
        <w:t xml:space="preserve">The specific </w:t>
      </w:r>
      <w:r w:rsidR="00F10F79" w:rsidRPr="0070440C">
        <w:t>achievements</w:t>
      </w:r>
      <w:r w:rsidR="00F10F79">
        <w:t xml:space="preserve"> under UNDP include:</w:t>
      </w:r>
    </w:p>
    <w:p w:rsidR="007C6C68" w:rsidRPr="0070440C" w:rsidRDefault="007C6C68" w:rsidP="009B4773">
      <w:pPr>
        <w:pStyle w:val="ListParagraph"/>
        <w:ind w:left="0"/>
        <w:jc w:val="both"/>
      </w:pPr>
    </w:p>
    <w:p w:rsidR="009B4773" w:rsidRPr="0070440C" w:rsidRDefault="00F56C01" w:rsidP="009B4773">
      <w:pPr>
        <w:numPr>
          <w:ilvl w:val="0"/>
          <w:numId w:val="13"/>
        </w:numPr>
        <w:ind w:left="0"/>
        <w:jc w:val="both"/>
      </w:pPr>
      <w:r>
        <w:t>Through the NCWC, t</w:t>
      </w:r>
      <w:r w:rsidR="009B4773" w:rsidRPr="0070440C">
        <w:t>he Forensic Medicine Unit at the Jigme Dorji Wangchuck National Referral Hospital</w:t>
      </w:r>
      <w:r>
        <w:t xml:space="preserve"> </w:t>
      </w:r>
      <w:r w:rsidR="00F10F79">
        <w:t>(JDWNRH)</w:t>
      </w:r>
      <w:r w:rsidR="009B4773" w:rsidRPr="0070440C">
        <w:t xml:space="preserve"> in Thimphu had reported increasing number of domestic violence over the last six years.  The number of reported cases for 2005 to 2010 was 81, 112, 237, 334, 389 and 310 respectively. The unit had been severely constrained by lack of human resource and infrastructure. </w:t>
      </w:r>
      <w:r>
        <w:t>With the support made possible by the UNBCF,</w:t>
      </w:r>
      <w:r w:rsidR="009B4773" w:rsidRPr="0070440C">
        <w:t xml:space="preserve"> capacity building as well as equipments was provided for the one stop crisis centre at JDWNRH. In total 36 health workers comprising of doctors, clinical officers and nurses were trained. The activities under this support included:</w:t>
      </w:r>
    </w:p>
    <w:p w:rsidR="009B4773" w:rsidRPr="0070440C" w:rsidRDefault="009B4773" w:rsidP="009B4773">
      <w:pPr>
        <w:jc w:val="both"/>
      </w:pPr>
    </w:p>
    <w:p w:rsidR="009B4773" w:rsidRPr="0070440C" w:rsidRDefault="009B4773" w:rsidP="009B4773">
      <w:pPr>
        <w:numPr>
          <w:ilvl w:val="0"/>
          <w:numId w:val="17"/>
        </w:numPr>
        <w:jc w:val="both"/>
      </w:pPr>
      <w:r w:rsidRPr="0070440C">
        <w:t>Training for the health workers of the Forensic Medicine unit and JDWNRH on domestic violence and sexual assault management</w:t>
      </w:r>
    </w:p>
    <w:p w:rsidR="009B4773" w:rsidRPr="0070440C" w:rsidRDefault="009B4773" w:rsidP="009B4773">
      <w:pPr>
        <w:numPr>
          <w:ilvl w:val="0"/>
          <w:numId w:val="19"/>
        </w:numPr>
        <w:jc w:val="both"/>
      </w:pPr>
      <w:r w:rsidRPr="0070440C">
        <w:t>Sensitization on the medico-legal and ethical responsibilities when dealing with victims of violence and the need and the procedure for systematic documentation and referrals</w:t>
      </w:r>
    </w:p>
    <w:p w:rsidR="009B4773" w:rsidRPr="0070440C" w:rsidRDefault="009B4773" w:rsidP="009B4773">
      <w:pPr>
        <w:numPr>
          <w:ilvl w:val="0"/>
          <w:numId w:val="20"/>
        </w:numPr>
        <w:jc w:val="both"/>
      </w:pPr>
      <w:r w:rsidRPr="0070440C">
        <w:t>Equipments were provided for the one stop crisis centre</w:t>
      </w:r>
    </w:p>
    <w:p w:rsidR="009B4773" w:rsidRPr="0070440C" w:rsidRDefault="009B4773" w:rsidP="009B4773">
      <w:pPr>
        <w:jc w:val="both"/>
      </w:pPr>
    </w:p>
    <w:p w:rsidR="009B4773" w:rsidRPr="0070440C" w:rsidRDefault="009B4773" w:rsidP="009B4773">
      <w:pPr>
        <w:jc w:val="both"/>
      </w:pPr>
      <w:r w:rsidRPr="0070440C">
        <w:t>This training</w:t>
      </w:r>
      <w:r w:rsidR="00F56C01">
        <w:t xml:space="preserve"> has increased the participants’</w:t>
      </w:r>
      <w:r w:rsidRPr="0070440C">
        <w:t xml:space="preserve"> knowledge about the characteristics of violence against women including domestic violence and sexual assaults; </w:t>
      </w:r>
      <w:r w:rsidR="00F56C01">
        <w:t xml:space="preserve">and </w:t>
      </w:r>
      <w:r w:rsidRPr="0070440C">
        <w:t>the concept of</w:t>
      </w:r>
      <w:r w:rsidR="00F56C01">
        <w:t xml:space="preserve"> a</w:t>
      </w:r>
      <w:r w:rsidRPr="0070440C">
        <w:t xml:space="preserve"> multi-disciplinary approach to helping victim</w:t>
      </w:r>
      <w:r w:rsidR="00F56C01">
        <w:t>s</w:t>
      </w:r>
      <w:r w:rsidRPr="0070440C">
        <w:t xml:space="preserve"> of violence. They are more sensitive about the victims needs and oriented with ethical and medico legal responsibilities and can also provide victim friendly health services.</w:t>
      </w:r>
    </w:p>
    <w:p w:rsidR="009B4773" w:rsidRPr="0070440C" w:rsidRDefault="009B4773" w:rsidP="009B4773"/>
    <w:p w:rsidR="0057779E" w:rsidRPr="0070440C" w:rsidRDefault="00596CF6" w:rsidP="009B4773">
      <w:pPr>
        <w:pStyle w:val="BodyA"/>
        <w:numPr>
          <w:ilvl w:val="0"/>
          <w:numId w:val="13"/>
        </w:numPr>
        <w:ind w:left="0"/>
        <w:jc w:val="both"/>
        <w:rPr>
          <w:rFonts w:ascii="Times New Roman" w:hAnsi="Times New Roman"/>
          <w:color w:val="auto"/>
          <w:szCs w:val="24"/>
        </w:rPr>
      </w:pPr>
      <w:r w:rsidRPr="0070440C">
        <w:rPr>
          <w:rFonts w:ascii="Times New Roman" w:hAnsi="Times New Roman"/>
          <w:color w:val="auto"/>
          <w:szCs w:val="24"/>
        </w:rPr>
        <w:t>To ensure that Community Information Centers (CIC) can continuously provide affordable services to rural communities, they need to self-sustain in the future. A UNV specialist</w:t>
      </w:r>
      <w:r w:rsidR="00F56C01">
        <w:rPr>
          <w:rFonts w:ascii="Times New Roman" w:hAnsi="Times New Roman"/>
          <w:color w:val="auto"/>
          <w:szCs w:val="24"/>
        </w:rPr>
        <w:t xml:space="preserve"> </w:t>
      </w:r>
      <w:r w:rsidRPr="0070440C">
        <w:rPr>
          <w:rFonts w:ascii="Times New Roman" w:hAnsi="Times New Roman"/>
          <w:color w:val="auto"/>
          <w:szCs w:val="24"/>
        </w:rPr>
        <w:t>was hired to</w:t>
      </w:r>
      <w:r w:rsidR="00695BD4">
        <w:rPr>
          <w:rFonts w:ascii="Times New Roman" w:hAnsi="Times New Roman"/>
          <w:color w:val="auto"/>
          <w:szCs w:val="24"/>
        </w:rPr>
        <w:t xml:space="preserve"> assist the Ministry of Information and Communications to</w:t>
      </w:r>
      <w:r w:rsidRPr="0070440C">
        <w:rPr>
          <w:rFonts w:ascii="Times New Roman" w:hAnsi="Times New Roman"/>
          <w:color w:val="auto"/>
          <w:szCs w:val="24"/>
        </w:rPr>
        <w:t xml:space="preserve"> dev</w:t>
      </w:r>
      <w:r w:rsidR="00F56C01">
        <w:rPr>
          <w:rFonts w:ascii="Times New Roman" w:hAnsi="Times New Roman"/>
          <w:color w:val="auto"/>
          <w:szCs w:val="24"/>
        </w:rPr>
        <w:t>elop a sustainability framework-</w:t>
      </w:r>
      <w:r w:rsidRPr="0070440C">
        <w:rPr>
          <w:rFonts w:ascii="Times New Roman" w:hAnsi="Times New Roman"/>
          <w:color w:val="auto"/>
          <w:szCs w:val="24"/>
        </w:rPr>
        <w:t xml:space="preserve"> a business model for the CICs.  </w:t>
      </w:r>
      <w:r w:rsidR="00F56C01">
        <w:rPr>
          <w:rFonts w:ascii="Times New Roman" w:hAnsi="Times New Roman"/>
          <w:color w:val="auto"/>
          <w:szCs w:val="24"/>
        </w:rPr>
        <w:t xml:space="preserve">In addition, </w:t>
      </w:r>
      <w:r w:rsidRPr="0070440C">
        <w:rPr>
          <w:rFonts w:ascii="Times New Roman" w:hAnsi="Times New Roman"/>
          <w:color w:val="auto"/>
          <w:szCs w:val="24"/>
        </w:rPr>
        <w:t>operators of six CICs (in Mongar and Zhemgang</w:t>
      </w:r>
      <w:r w:rsidR="00F56C01">
        <w:rPr>
          <w:rFonts w:ascii="Times New Roman" w:hAnsi="Times New Roman"/>
          <w:color w:val="auto"/>
          <w:szCs w:val="24"/>
        </w:rPr>
        <w:t xml:space="preserve"> districts</w:t>
      </w:r>
      <w:r w:rsidRPr="0070440C">
        <w:rPr>
          <w:rFonts w:ascii="Times New Roman" w:hAnsi="Times New Roman"/>
          <w:color w:val="auto"/>
          <w:szCs w:val="24"/>
        </w:rPr>
        <w:t xml:space="preserve">) were trained by the UNV specialist on </w:t>
      </w:r>
      <w:r w:rsidRPr="0070440C">
        <w:rPr>
          <w:rFonts w:ascii="Times New Roman" w:hAnsi="Times New Roman"/>
          <w:color w:val="auto"/>
          <w:szCs w:val="24"/>
        </w:rPr>
        <w:lastRenderedPageBreak/>
        <w:t>the usage of the business model</w:t>
      </w:r>
      <w:r w:rsidR="00744E9F" w:rsidRPr="0070440C">
        <w:rPr>
          <w:rFonts w:ascii="Times New Roman" w:hAnsi="Times New Roman"/>
          <w:color w:val="auto"/>
          <w:szCs w:val="24"/>
        </w:rPr>
        <w:t xml:space="preserve"> and the delivery of services</w:t>
      </w:r>
      <w:r w:rsidRPr="0070440C">
        <w:rPr>
          <w:rFonts w:ascii="Times New Roman" w:hAnsi="Times New Roman"/>
          <w:color w:val="auto"/>
          <w:szCs w:val="24"/>
        </w:rPr>
        <w:t xml:space="preserve">. </w:t>
      </w:r>
      <w:r w:rsidR="0057779E" w:rsidRPr="0070440C">
        <w:rPr>
          <w:rFonts w:ascii="Times New Roman" w:hAnsi="Times New Roman"/>
          <w:color w:val="auto"/>
          <w:szCs w:val="24"/>
        </w:rPr>
        <w:t>The activities conduc</w:t>
      </w:r>
      <w:r w:rsidR="00F56C01">
        <w:rPr>
          <w:rFonts w:ascii="Times New Roman" w:hAnsi="Times New Roman"/>
          <w:color w:val="auto"/>
          <w:szCs w:val="24"/>
        </w:rPr>
        <w:t>t</w:t>
      </w:r>
      <w:r w:rsidR="0057779E" w:rsidRPr="0070440C">
        <w:rPr>
          <w:rFonts w:ascii="Times New Roman" w:hAnsi="Times New Roman"/>
          <w:color w:val="auto"/>
          <w:szCs w:val="24"/>
        </w:rPr>
        <w:t>ed under this support included:</w:t>
      </w:r>
    </w:p>
    <w:p w:rsidR="00596CF6" w:rsidRPr="0070440C" w:rsidRDefault="00596CF6" w:rsidP="009B4773">
      <w:pPr>
        <w:pStyle w:val="ListParagraph"/>
        <w:ind w:left="0"/>
      </w:pPr>
    </w:p>
    <w:p w:rsidR="00596CF6" w:rsidRPr="0070440C" w:rsidRDefault="00596CF6" w:rsidP="009B4773">
      <w:pPr>
        <w:pStyle w:val="BodyText"/>
        <w:numPr>
          <w:ilvl w:val="0"/>
          <w:numId w:val="21"/>
        </w:numPr>
        <w:jc w:val="both"/>
        <w:rPr>
          <w:rFonts w:ascii="Times New Roman" w:hAnsi="Times New Roman" w:cs="Times New Roman"/>
          <w:sz w:val="24"/>
          <w:szCs w:val="24"/>
        </w:rPr>
      </w:pPr>
      <w:r w:rsidRPr="0070440C">
        <w:rPr>
          <w:rFonts w:ascii="Times New Roman" w:hAnsi="Times New Roman" w:cs="Times New Roman"/>
          <w:sz w:val="24"/>
          <w:szCs w:val="24"/>
        </w:rPr>
        <w:t>A business model and operations manual for CIC operators was developed by the UNV specialist and adopted by DIT</w:t>
      </w:r>
    </w:p>
    <w:p w:rsidR="00596CF6" w:rsidRPr="0070440C" w:rsidRDefault="00596CF6" w:rsidP="009B4773">
      <w:pPr>
        <w:pStyle w:val="BodyText"/>
        <w:numPr>
          <w:ilvl w:val="0"/>
          <w:numId w:val="21"/>
        </w:numPr>
        <w:jc w:val="both"/>
        <w:rPr>
          <w:rFonts w:ascii="Times New Roman" w:hAnsi="Times New Roman" w:cs="Times New Roman"/>
          <w:sz w:val="24"/>
          <w:szCs w:val="24"/>
        </w:rPr>
      </w:pPr>
      <w:r w:rsidRPr="0070440C">
        <w:rPr>
          <w:rFonts w:ascii="Times New Roman" w:hAnsi="Times New Roman" w:cs="Times New Roman"/>
          <w:sz w:val="24"/>
          <w:szCs w:val="24"/>
        </w:rPr>
        <w:t>Six CIC operators from Mongar and Zhemgang were trained on the usage of the manual and business model</w:t>
      </w:r>
      <w:r w:rsidR="0057779E" w:rsidRPr="0070440C">
        <w:rPr>
          <w:rFonts w:ascii="Times New Roman" w:hAnsi="Times New Roman" w:cs="Times New Roman"/>
          <w:sz w:val="24"/>
          <w:szCs w:val="24"/>
        </w:rPr>
        <w:t xml:space="preserve"> and delivery of services to the rural communities</w:t>
      </w:r>
      <w:r w:rsidRPr="0070440C">
        <w:rPr>
          <w:rFonts w:ascii="Times New Roman" w:hAnsi="Times New Roman" w:cs="Times New Roman"/>
          <w:sz w:val="24"/>
          <w:szCs w:val="24"/>
        </w:rPr>
        <w:t>.</w:t>
      </w:r>
    </w:p>
    <w:p w:rsidR="0057779E" w:rsidRPr="0070440C" w:rsidRDefault="0057779E" w:rsidP="009B4773">
      <w:pPr>
        <w:pStyle w:val="BodyText"/>
        <w:jc w:val="both"/>
        <w:rPr>
          <w:rFonts w:ascii="Times New Roman" w:hAnsi="Times New Roman" w:cs="Times New Roman"/>
          <w:sz w:val="24"/>
          <w:szCs w:val="24"/>
        </w:rPr>
      </w:pPr>
    </w:p>
    <w:p w:rsidR="0057779E" w:rsidRPr="0070440C" w:rsidRDefault="0057779E" w:rsidP="009B4773">
      <w:pPr>
        <w:pStyle w:val="BodyA"/>
        <w:jc w:val="both"/>
        <w:rPr>
          <w:rFonts w:ascii="Times New Roman" w:hAnsi="Times New Roman"/>
          <w:color w:val="auto"/>
          <w:szCs w:val="24"/>
        </w:rPr>
      </w:pPr>
      <w:r w:rsidRPr="0070440C">
        <w:rPr>
          <w:rFonts w:ascii="Times New Roman" w:hAnsi="Times New Roman"/>
          <w:color w:val="auto"/>
          <w:szCs w:val="24"/>
          <w:lang w:val="en-GB"/>
        </w:rPr>
        <w:t xml:space="preserve">Surveys of 10 beneficiaries of the CICs were conducted; 5 farmers each at </w:t>
      </w:r>
      <w:r w:rsidRPr="0070440C">
        <w:rPr>
          <w:rFonts w:ascii="Times New Roman" w:hAnsi="Times New Roman"/>
          <w:color w:val="auto"/>
          <w:szCs w:val="24"/>
        </w:rPr>
        <w:t>Challi and Yadi, in Mongar District. Users of the CICs noted that the lack of Xerox and fax facilities and access to information locally was having an impact on their livelihoods as time and money was lost traveling one day to Mongar simply to copy and fax one-page documents, often important government forms. The CICs have certainly responded to this need, as all 10 beneficiaries welcomed the improved access with one respondent using the money and time saved frequently traveling to Mongar to invest in agricultural production (Source: HSF End of Project Evaluation).</w:t>
      </w:r>
    </w:p>
    <w:p w:rsidR="007C6C68" w:rsidRPr="0070440C" w:rsidRDefault="007C6C68" w:rsidP="009B4773">
      <w:pPr>
        <w:pStyle w:val="ListParagraph"/>
        <w:ind w:left="0"/>
      </w:pPr>
    </w:p>
    <w:p w:rsidR="007C6C68" w:rsidRPr="0070440C" w:rsidRDefault="007C6C68" w:rsidP="009B4773">
      <w:pPr>
        <w:pStyle w:val="ListParagraph"/>
        <w:numPr>
          <w:ilvl w:val="0"/>
          <w:numId w:val="13"/>
        </w:numPr>
        <w:ind w:left="0"/>
        <w:jc w:val="both"/>
      </w:pPr>
      <w:r w:rsidRPr="0070440C">
        <w:t xml:space="preserve">The results of the support to the Election Commission of Bhutan to support increased awareness and sensitization on gender has resulted in more targeted campaigns </w:t>
      </w:r>
      <w:r w:rsidR="00195748" w:rsidRPr="0070440C">
        <w:t xml:space="preserve">in their local elections advocacy </w:t>
      </w:r>
      <w:r w:rsidRPr="0070440C">
        <w:t xml:space="preserve">posters targeting </w:t>
      </w:r>
      <w:r w:rsidR="00195748" w:rsidRPr="0070440C">
        <w:t xml:space="preserve">women as candidates. There </w:t>
      </w:r>
      <w:r w:rsidR="00D84E82" w:rsidRPr="0070440C">
        <w:t>are</w:t>
      </w:r>
      <w:r w:rsidR="00195748" w:rsidRPr="0070440C">
        <w:t xml:space="preserve"> concerted efforts made in their briefings and information sharing with the public while educating them on the rules and regulations on</w:t>
      </w:r>
      <w:r w:rsidR="00D84E82">
        <w:t xml:space="preserve"> the upcoming local elections</w:t>
      </w:r>
      <w:r w:rsidR="00195748" w:rsidRPr="0070440C">
        <w:t>. The activities conduced under this support included;</w:t>
      </w:r>
    </w:p>
    <w:p w:rsidR="007C6C68" w:rsidRPr="0070440C" w:rsidRDefault="007C6C68" w:rsidP="009B4773">
      <w:pPr>
        <w:pStyle w:val="ListParagraph"/>
        <w:ind w:left="0"/>
      </w:pPr>
    </w:p>
    <w:p w:rsidR="007C6C68" w:rsidRPr="0070440C" w:rsidRDefault="007C6C68" w:rsidP="009B4773">
      <w:pPr>
        <w:pStyle w:val="BodyText"/>
        <w:numPr>
          <w:ilvl w:val="0"/>
          <w:numId w:val="14"/>
        </w:numPr>
        <w:ind w:left="810"/>
        <w:jc w:val="both"/>
        <w:rPr>
          <w:rFonts w:ascii="Times New Roman" w:hAnsi="Times New Roman" w:cs="Times New Roman"/>
          <w:sz w:val="24"/>
          <w:szCs w:val="24"/>
        </w:rPr>
      </w:pPr>
      <w:r w:rsidRPr="0070440C">
        <w:rPr>
          <w:rFonts w:ascii="Times New Roman" w:hAnsi="Times New Roman" w:cs="Times New Roman"/>
          <w:bCs/>
          <w:sz w:val="24"/>
          <w:szCs w:val="24"/>
        </w:rPr>
        <w:t xml:space="preserve">Six election officials were trained in election management and inclusive electoral processes to enhance </w:t>
      </w:r>
      <w:r w:rsidR="00D84E82" w:rsidRPr="0070440C">
        <w:rPr>
          <w:rFonts w:ascii="Times New Roman" w:hAnsi="Times New Roman" w:cs="Times New Roman"/>
          <w:bCs/>
          <w:sz w:val="24"/>
          <w:szCs w:val="24"/>
        </w:rPr>
        <w:t>women’s</w:t>
      </w:r>
      <w:r w:rsidRPr="0070440C">
        <w:rPr>
          <w:rFonts w:ascii="Times New Roman" w:hAnsi="Times New Roman" w:cs="Times New Roman"/>
          <w:bCs/>
          <w:sz w:val="24"/>
          <w:szCs w:val="24"/>
        </w:rPr>
        <w:t xml:space="preserve"> participation in elections </w:t>
      </w:r>
    </w:p>
    <w:p w:rsidR="007C6C68" w:rsidRPr="0070440C" w:rsidRDefault="007C6C68" w:rsidP="009B4773">
      <w:pPr>
        <w:pStyle w:val="BodyText"/>
        <w:numPr>
          <w:ilvl w:val="0"/>
          <w:numId w:val="14"/>
        </w:numPr>
        <w:ind w:left="810"/>
        <w:jc w:val="both"/>
        <w:rPr>
          <w:rFonts w:ascii="Times New Roman" w:hAnsi="Times New Roman" w:cs="Times New Roman"/>
          <w:sz w:val="24"/>
          <w:szCs w:val="24"/>
        </w:rPr>
      </w:pPr>
      <w:r w:rsidRPr="0070440C">
        <w:rPr>
          <w:rFonts w:ascii="Times New Roman" w:hAnsi="Times New Roman" w:cs="Times New Roman"/>
          <w:bCs/>
          <w:sz w:val="24"/>
          <w:szCs w:val="24"/>
        </w:rPr>
        <w:t xml:space="preserve">Support was provided to develop an asset and inventory management system. </w:t>
      </w:r>
      <w:r w:rsidR="00D84E82" w:rsidRPr="0070440C">
        <w:rPr>
          <w:rFonts w:ascii="Times New Roman" w:hAnsi="Times New Roman" w:cs="Times New Roman"/>
          <w:bCs/>
          <w:sz w:val="24"/>
          <w:szCs w:val="24"/>
        </w:rPr>
        <w:t>Two</w:t>
      </w:r>
      <w:r w:rsidRPr="0070440C">
        <w:rPr>
          <w:rFonts w:ascii="Times New Roman" w:hAnsi="Times New Roman" w:cs="Times New Roman"/>
          <w:bCs/>
          <w:sz w:val="24"/>
          <w:szCs w:val="24"/>
        </w:rPr>
        <w:t xml:space="preserve"> week long end-user training was conducted for 30 off</w:t>
      </w:r>
      <w:r w:rsidR="00D84E82">
        <w:rPr>
          <w:rFonts w:ascii="Times New Roman" w:hAnsi="Times New Roman" w:cs="Times New Roman"/>
          <w:bCs/>
          <w:sz w:val="24"/>
          <w:szCs w:val="24"/>
        </w:rPr>
        <w:t>icials from the ECB to ensure that a</w:t>
      </w:r>
      <w:r w:rsidRPr="0070440C">
        <w:rPr>
          <w:rFonts w:ascii="Times New Roman" w:hAnsi="Times New Roman" w:cs="Times New Roman"/>
          <w:bCs/>
          <w:sz w:val="24"/>
          <w:szCs w:val="24"/>
        </w:rPr>
        <w:t xml:space="preserve"> functional, effective and transparent mechanism was established.</w:t>
      </w:r>
    </w:p>
    <w:p w:rsidR="007C6C68" w:rsidRPr="0070440C" w:rsidRDefault="007C6C68" w:rsidP="009B4773">
      <w:pPr>
        <w:pStyle w:val="BodyText"/>
        <w:numPr>
          <w:ilvl w:val="0"/>
          <w:numId w:val="14"/>
        </w:numPr>
        <w:ind w:left="810"/>
        <w:jc w:val="both"/>
        <w:rPr>
          <w:rFonts w:ascii="Times New Roman" w:hAnsi="Times New Roman" w:cs="Times New Roman"/>
          <w:sz w:val="24"/>
          <w:szCs w:val="24"/>
        </w:rPr>
      </w:pPr>
      <w:r w:rsidRPr="0070440C">
        <w:rPr>
          <w:rFonts w:ascii="Times New Roman" w:hAnsi="Times New Roman" w:cs="Times New Roman"/>
          <w:sz w:val="24"/>
          <w:szCs w:val="24"/>
        </w:rPr>
        <w:t>A week long Training of Trainers was conducted using the BRIDGE module for gender sensitized voter education programmes to be conducted in four municipalities.</w:t>
      </w:r>
    </w:p>
    <w:p w:rsidR="009B4773" w:rsidRPr="0070440C" w:rsidRDefault="007C6C68" w:rsidP="009B4773">
      <w:pPr>
        <w:pStyle w:val="BodyText"/>
        <w:numPr>
          <w:ilvl w:val="0"/>
          <w:numId w:val="14"/>
        </w:numPr>
        <w:ind w:left="810"/>
        <w:jc w:val="both"/>
        <w:rPr>
          <w:rFonts w:ascii="Times New Roman" w:hAnsi="Times New Roman" w:cs="Times New Roman"/>
          <w:sz w:val="24"/>
          <w:szCs w:val="24"/>
        </w:rPr>
      </w:pPr>
      <w:r w:rsidRPr="0070440C">
        <w:rPr>
          <w:rFonts w:ascii="Times New Roman" w:hAnsi="Times New Roman" w:cs="Times New Roman"/>
          <w:sz w:val="24"/>
          <w:szCs w:val="24"/>
        </w:rPr>
        <w:t>16 election officials participated in an Election mission to India  to learn and observe gender inclusive local election</w:t>
      </w:r>
      <w:r w:rsidR="00195748" w:rsidRPr="0070440C">
        <w:rPr>
          <w:rFonts w:ascii="Times New Roman" w:hAnsi="Times New Roman" w:cs="Times New Roman"/>
          <w:sz w:val="24"/>
          <w:szCs w:val="24"/>
        </w:rPr>
        <w:t>s</w:t>
      </w:r>
    </w:p>
    <w:p w:rsidR="00F10F79" w:rsidRDefault="00F10F79" w:rsidP="00F10F79">
      <w:pPr>
        <w:jc w:val="both"/>
      </w:pPr>
    </w:p>
    <w:p w:rsidR="00F10F79" w:rsidRPr="0070440C" w:rsidRDefault="00F10F79" w:rsidP="00F10F79">
      <w:pPr>
        <w:jc w:val="both"/>
      </w:pPr>
      <w:r w:rsidRPr="0070440C">
        <w:t>The specific achievements</w:t>
      </w:r>
      <w:r>
        <w:t xml:space="preserve"> under UNCDF include:</w:t>
      </w:r>
    </w:p>
    <w:p w:rsidR="009B4773" w:rsidRPr="0070440C" w:rsidRDefault="009B4773" w:rsidP="00F10F79">
      <w:pPr>
        <w:pStyle w:val="BodyText"/>
        <w:ind w:left="450"/>
        <w:jc w:val="both"/>
        <w:rPr>
          <w:rFonts w:ascii="Times New Roman" w:hAnsi="Times New Roman" w:cs="Times New Roman"/>
          <w:sz w:val="24"/>
          <w:szCs w:val="24"/>
        </w:rPr>
      </w:pPr>
    </w:p>
    <w:p w:rsidR="00195748" w:rsidRPr="0070440C" w:rsidRDefault="00195748" w:rsidP="00F10F79">
      <w:pPr>
        <w:pStyle w:val="BodyText"/>
        <w:numPr>
          <w:ilvl w:val="0"/>
          <w:numId w:val="22"/>
        </w:numPr>
        <w:ind w:left="90" w:hanging="450"/>
        <w:jc w:val="both"/>
        <w:rPr>
          <w:rFonts w:ascii="Times New Roman" w:hAnsi="Times New Roman" w:cs="Times New Roman"/>
          <w:sz w:val="24"/>
          <w:szCs w:val="24"/>
        </w:rPr>
      </w:pPr>
      <w:r w:rsidRPr="0070440C">
        <w:rPr>
          <w:rFonts w:ascii="Times New Roman" w:hAnsi="Times New Roman" w:cs="Times New Roman"/>
          <w:sz w:val="24"/>
          <w:szCs w:val="24"/>
        </w:rPr>
        <w:t>The support to the Local Governance Support Programme</w:t>
      </w:r>
      <w:r w:rsidR="00D84E82">
        <w:rPr>
          <w:rFonts w:ascii="Times New Roman" w:hAnsi="Times New Roman" w:cs="Times New Roman"/>
          <w:sz w:val="24"/>
          <w:szCs w:val="24"/>
        </w:rPr>
        <w:t xml:space="preserve"> (LGSP)</w:t>
      </w:r>
      <w:r w:rsidRPr="0070440C">
        <w:rPr>
          <w:rFonts w:ascii="Times New Roman" w:hAnsi="Times New Roman" w:cs="Times New Roman"/>
          <w:sz w:val="24"/>
          <w:szCs w:val="24"/>
        </w:rPr>
        <w:t xml:space="preserve"> under the </w:t>
      </w:r>
      <w:r w:rsidR="00D84E82" w:rsidRPr="0070440C">
        <w:rPr>
          <w:rFonts w:ascii="Times New Roman" w:hAnsi="Times New Roman" w:cs="Times New Roman"/>
          <w:sz w:val="24"/>
          <w:szCs w:val="24"/>
        </w:rPr>
        <w:t>decentralization</w:t>
      </w:r>
      <w:r w:rsidRPr="0070440C">
        <w:rPr>
          <w:rFonts w:ascii="Times New Roman" w:hAnsi="Times New Roman" w:cs="Times New Roman"/>
          <w:sz w:val="24"/>
          <w:szCs w:val="24"/>
        </w:rPr>
        <w:t xml:space="preserve"> and local governance intervention was </w:t>
      </w:r>
      <w:r w:rsidR="00D84E82" w:rsidRPr="0070440C">
        <w:rPr>
          <w:rFonts w:ascii="Times New Roman" w:hAnsi="Times New Roman" w:cs="Times New Roman"/>
          <w:sz w:val="24"/>
          <w:szCs w:val="24"/>
        </w:rPr>
        <w:t>utilized</w:t>
      </w:r>
      <w:r w:rsidRPr="0070440C">
        <w:rPr>
          <w:rFonts w:ascii="Times New Roman" w:hAnsi="Times New Roman" w:cs="Times New Roman"/>
          <w:sz w:val="24"/>
          <w:szCs w:val="24"/>
        </w:rPr>
        <w:t xml:space="preserve"> to provide techn</w:t>
      </w:r>
      <w:r w:rsidR="00D84E82">
        <w:rPr>
          <w:rFonts w:ascii="Times New Roman" w:hAnsi="Times New Roman" w:cs="Times New Roman"/>
          <w:sz w:val="24"/>
          <w:szCs w:val="24"/>
        </w:rPr>
        <w:t>ical assistance to develop the C</w:t>
      </w:r>
      <w:r w:rsidRPr="0070440C">
        <w:rPr>
          <w:rFonts w:ascii="Times New Roman" w:hAnsi="Times New Roman" w:cs="Times New Roman"/>
          <w:sz w:val="24"/>
          <w:szCs w:val="24"/>
        </w:rPr>
        <w:t>apacity</w:t>
      </w:r>
      <w:r w:rsidR="00D84E82">
        <w:rPr>
          <w:rFonts w:ascii="Times New Roman" w:hAnsi="Times New Roman" w:cs="Times New Roman"/>
          <w:sz w:val="24"/>
          <w:szCs w:val="24"/>
        </w:rPr>
        <w:t xml:space="preserve"> D</w:t>
      </w:r>
      <w:r w:rsidRPr="0070440C">
        <w:rPr>
          <w:rFonts w:ascii="Times New Roman" w:hAnsi="Times New Roman" w:cs="Times New Roman"/>
          <w:sz w:val="24"/>
          <w:szCs w:val="24"/>
        </w:rPr>
        <w:t xml:space="preserve">evelopment </w:t>
      </w:r>
      <w:r w:rsidR="00D84E82">
        <w:rPr>
          <w:rFonts w:ascii="Times New Roman" w:hAnsi="Times New Roman" w:cs="Times New Roman"/>
          <w:sz w:val="24"/>
          <w:szCs w:val="24"/>
        </w:rPr>
        <w:t>S</w:t>
      </w:r>
      <w:r w:rsidRPr="0070440C">
        <w:rPr>
          <w:rFonts w:ascii="Times New Roman" w:hAnsi="Times New Roman" w:cs="Times New Roman"/>
          <w:sz w:val="24"/>
          <w:szCs w:val="24"/>
        </w:rPr>
        <w:t>trategy. The capacity development for the local governments until now is supported through training and curriculum services to local governments on a need basis identified by the central agencies for planning, implementation and m and e skills. The achievements are-</w:t>
      </w:r>
    </w:p>
    <w:p w:rsidR="00195748" w:rsidRPr="0070440C" w:rsidRDefault="00195748" w:rsidP="009B4773">
      <w:pPr>
        <w:pStyle w:val="BodyText"/>
        <w:ind w:left="810"/>
        <w:jc w:val="both"/>
        <w:rPr>
          <w:rFonts w:ascii="Times New Roman" w:hAnsi="Times New Roman" w:cs="Times New Roman"/>
          <w:sz w:val="24"/>
          <w:szCs w:val="24"/>
        </w:rPr>
      </w:pPr>
    </w:p>
    <w:p w:rsidR="00195748" w:rsidRPr="0070440C" w:rsidRDefault="00195748" w:rsidP="009B4773">
      <w:pPr>
        <w:pStyle w:val="ListParagraph"/>
        <w:widowControl w:val="0"/>
        <w:numPr>
          <w:ilvl w:val="0"/>
          <w:numId w:val="12"/>
        </w:numPr>
        <w:ind w:left="810"/>
        <w:jc w:val="both"/>
      </w:pPr>
      <w:r w:rsidRPr="0070440C">
        <w:t>The current LGSP support enabled the Department of Local G</w:t>
      </w:r>
      <w:r w:rsidR="00D84E82">
        <w:t>overnments (DLG) supported by the GNH Commission</w:t>
      </w:r>
      <w:r w:rsidRPr="0070440C">
        <w:t xml:space="preserve"> to assess and formulate an action plan for a Capacity Development Strategy and Vision. </w:t>
      </w:r>
    </w:p>
    <w:p w:rsidR="00195748" w:rsidRPr="0070440C" w:rsidRDefault="00195748" w:rsidP="009B4773">
      <w:pPr>
        <w:pStyle w:val="ListParagraph"/>
        <w:widowControl w:val="0"/>
        <w:numPr>
          <w:ilvl w:val="0"/>
          <w:numId w:val="12"/>
        </w:numPr>
        <w:ind w:left="810"/>
        <w:jc w:val="both"/>
      </w:pPr>
      <w:r w:rsidRPr="0070440C">
        <w:t>The Strategy will enable agencies and local governments to coordinate, train and identify the capacity needs for local governments to improve planning, budgeting and implementation of activities</w:t>
      </w:r>
    </w:p>
    <w:p w:rsidR="00195748" w:rsidRPr="0070440C" w:rsidRDefault="00195748" w:rsidP="009B4773">
      <w:pPr>
        <w:pStyle w:val="ListParagraph"/>
        <w:widowControl w:val="0"/>
        <w:numPr>
          <w:ilvl w:val="0"/>
          <w:numId w:val="12"/>
        </w:numPr>
        <w:ind w:left="810"/>
        <w:jc w:val="both"/>
      </w:pPr>
      <w:r w:rsidRPr="0070440C">
        <w:t>The action plan developed under the Strategy will be implemented under the LGSP with other subsequent funds and activities till the programme ends in 2013</w:t>
      </w:r>
    </w:p>
    <w:p w:rsidR="00195748" w:rsidRPr="0070440C" w:rsidRDefault="00195748" w:rsidP="009B4773">
      <w:pPr>
        <w:pStyle w:val="BodyText"/>
        <w:numPr>
          <w:ilvl w:val="0"/>
          <w:numId w:val="12"/>
        </w:numPr>
        <w:ind w:left="810"/>
        <w:jc w:val="both"/>
        <w:rPr>
          <w:rFonts w:ascii="Times New Roman" w:hAnsi="Times New Roman" w:cs="Times New Roman"/>
          <w:sz w:val="24"/>
          <w:szCs w:val="24"/>
        </w:rPr>
      </w:pPr>
      <w:r w:rsidRPr="0070440C">
        <w:rPr>
          <w:rFonts w:ascii="Times New Roman" w:hAnsi="Times New Roman" w:cs="Times New Roman"/>
          <w:sz w:val="24"/>
          <w:szCs w:val="24"/>
        </w:rPr>
        <w:t>The strategy also looks at a more demand driven approach to capacity rather then the current supply driven approach and needs</w:t>
      </w:r>
    </w:p>
    <w:p w:rsidR="00195748" w:rsidRPr="0070440C" w:rsidRDefault="00195748" w:rsidP="009B4773">
      <w:pPr>
        <w:pStyle w:val="ListParagraph"/>
        <w:ind w:left="0"/>
        <w:jc w:val="both"/>
      </w:pPr>
    </w:p>
    <w:p w:rsidR="007C6C68" w:rsidRPr="0070440C" w:rsidRDefault="007C6C68" w:rsidP="009B4773">
      <w:pPr>
        <w:pStyle w:val="ListParagraph"/>
        <w:ind w:left="0"/>
        <w:jc w:val="both"/>
      </w:pPr>
    </w:p>
    <w:p w:rsidR="007C6C68" w:rsidRPr="0070440C" w:rsidRDefault="007C6C68" w:rsidP="009B4773">
      <w:pPr>
        <w:pStyle w:val="ListParagraph"/>
        <w:ind w:left="0"/>
        <w:jc w:val="both"/>
      </w:pPr>
    </w:p>
    <w:p w:rsidR="00AB0274" w:rsidRPr="00FE68A0" w:rsidRDefault="00AB0274" w:rsidP="009B4773">
      <w:pPr>
        <w:pStyle w:val="ListParagraph"/>
        <w:ind w:left="0"/>
        <w:jc w:val="both"/>
        <w:rPr>
          <w:b/>
        </w:rPr>
      </w:pPr>
      <w:r w:rsidRPr="00FE68A0">
        <w:rPr>
          <w:b/>
        </w:rPr>
        <w:t>Future Work Plan (if applicable)</w:t>
      </w:r>
      <w:bookmarkEnd w:id="4"/>
    </w:p>
    <w:p w:rsidR="0046692E" w:rsidRPr="0070440C" w:rsidRDefault="0046692E" w:rsidP="009B4773">
      <w:pPr>
        <w:pStyle w:val="BodyText"/>
        <w:tabs>
          <w:tab w:val="left" w:pos="360"/>
        </w:tabs>
        <w:jc w:val="both"/>
        <w:rPr>
          <w:rFonts w:ascii="Times New Roman" w:hAnsi="Times New Roman" w:cs="Times New Roman"/>
          <w:bCs/>
          <w:sz w:val="24"/>
          <w:szCs w:val="24"/>
        </w:rPr>
      </w:pPr>
    </w:p>
    <w:p w:rsidR="000509DF" w:rsidRPr="0070440C" w:rsidRDefault="0046692E" w:rsidP="009B4773">
      <w:pPr>
        <w:pStyle w:val="BodyText"/>
        <w:tabs>
          <w:tab w:val="left" w:pos="360"/>
        </w:tabs>
        <w:jc w:val="both"/>
        <w:rPr>
          <w:rFonts w:ascii="Times New Roman" w:hAnsi="Times New Roman" w:cs="Times New Roman"/>
          <w:bCs/>
          <w:sz w:val="24"/>
          <w:szCs w:val="24"/>
        </w:rPr>
      </w:pPr>
      <w:r w:rsidRPr="0070440C">
        <w:rPr>
          <w:rFonts w:ascii="Times New Roman" w:hAnsi="Times New Roman" w:cs="Times New Roman"/>
          <w:bCs/>
          <w:sz w:val="24"/>
          <w:szCs w:val="24"/>
        </w:rPr>
        <w:t xml:space="preserve">Under the local governance and decentralizations LGSP which is a multi year support from 2008-2013, the annual work plan for 2011 indicates that about </w:t>
      </w:r>
      <w:r w:rsidR="000509DF" w:rsidRPr="0070440C">
        <w:rPr>
          <w:rFonts w:ascii="Times New Roman" w:hAnsi="Times New Roman" w:cs="Times New Roman"/>
          <w:bCs/>
          <w:sz w:val="24"/>
          <w:szCs w:val="24"/>
        </w:rPr>
        <w:t>US $ 371,000 will be allocated from UN resources of the total US$ 1,342,264</w:t>
      </w:r>
      <w:r w:rsidRPr="0070440C">
        <w:rPr>
          <w:rFonts w:ascii="Times New Roman" w:hAnsi="Times New Roman" w:cs="Times New Roman"/>
          <w:bCs/>
          <w:sz w:val="24"/>
          <w:szCs w:val="24"/>
        </w:rPr>
        <w:t xml:space="preserve"> </w:t>
      </w:r>
      <w:r w:rsidR="000509DF" w:rsidRPr="0070440C">
        <w:rPr>
          <w:rFonts w:ascii="Times New Roman" w:hAnsi="Times New Roman" w:cs="Times New Roman"/>
          <w:bCs/>
          <w:sz w:val="24"/>
          <w:szCs w:val="24"/>
        </w:rPr>
        <w:t>committed in the LGSP work plan.</w:t>
      </w:r>
    </w:p>
    <w:p w:rsidR="000509DF" w:rsidRPr="0070440C" w:rsidRDefault="000509DF" w:rsidP="009B4773">
      <w:pPr>
        <w:pStyle w:val="BodyText"/>
        <w:tabs>
          <w:tab w:val="left" w:pos="360"/>
        </w:tabs>
        <w:jc w:val="both"/>
        <w:rPr>
          <w:rFonts w:ascii="Times New Roman" w:hAnsi="Times New Roman" w:cs="Times New Roman"/>
          <w:bCs/>
          <w:sz w:val="24"/>
          <w:szCs w:val="24"/>
        </w:rPr>
        <w:sectPr w:rsidR="000509DF" w:rsidRPr="0070440C" w:rsidSect="00941CB3">
          <w:footerReference w:type="default" r:id="rId9"/>
          <w:footerReference w:type="first" r:id="rId10"/>
          <w:pgSz w:w="12240" w:h="15840" w:code="1"/>
          <w:pgMar w:top="810" w:right="990" w:bottom="900" w:left="806" w:header="720" w:footer="418" w:gutter="0"/>
          <w:cols w:space="720"/>
          <w:docGrid w:linePitch="360"/>
        </w:sectPr>
      </w:pPr>
    </w:p>
    <w:p w:rsidR="00C416C0" w:rsidRPr="0070440C" w:rsidRDefault="00C416C0" w:rsidP="009B4773">
      <w:pPr>
        <w:pStyle w:val="BodyText"/>
        <w:tabs>
          <w:tab w:val="left" w:pos="360"/>
        </w:tabs>
        <w:jc w:val="both"/>
        <w:rPr>
          <w:rFonts w:ascii="Times New Roman" w:hAnsi="Times New Roman" w:cs="Times New Roman"/>
          <w:bCs/>
          <w:sz w:val="24"/>
          <w:szCs w:val="24"/>
        </w:rPr>
      </w:pPr>
    </w:p>
    <w:p w:rsidR="00D10850" w:rsidRPr="0070440C" w:rsidRDefault="001734C8" w:rsidP="009B4773">
      <w:pPr>
        <w:pStyle w:val="BodyText"/>
        <w:tabs>
          <w:tab w:val="left" w:pos="360"/>
        </w:tabs>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65pt;margin-top:13.05pt;width:486pt;height:22.95pt;z-index:251659776" fillcolor="#f2f2f2" strokecolor="#d8d8d8">
            <v:textbox style="mso-next-textbox:#_x0000_s1030">
              <w:txbxContent>
                <w:p w:rsidR="00D84E82" w:rsidRPr="001613F4" w:rsidRDefault="00D84E82" w:rsidP="00AC7FD3">
                  <w:pPr>
                    <w:ind w:left="360"/>
                    <w:rPr>
                      <w:b/>
                    </w:rPr>
                  </w:pPr>
                  <w:r>
                    <w:rPr>
                      <w:b/>
                    </w:rPr>
                    <w:t>VIII. INDICATOR BASED PERFORMANCE ASSESSMENT</w:t>
                  </w:r>
                </w:p>
              </w:txbxContent>
            </v:textbox>
          </v:shape>
        </w:pict>
      </w:r>
    </w:p>
    <w:p w:rsidR="00CA38FE" w:rsidRPr="0070440C" w:rsidRDefault="00CA38FE" w:rsidP="009B4773">
      <w:pPr>
        <w:pStyle w:val="BodyText"/>
        <w:tabs>
          <w:tab w:val="left" w:pos="360"/>
        </w:tabs>
        <w:jc w:val="both"/>
        <w:rPr>
          <w:rFonts w:ascii="Times New Roman" w:hAnsi="Times New Roman" w:cs="Times New Roman"/>
          <w:sz w:val="24"/>
          <w:szCs w:val="24"/>
        </w:rPr>
      </w:pPr>
    </w:p>
    <w:p w:rsidR="00AC7FD3" w:rsidRPr="0070440C" w:rsidRDefault="00AC7FD3" w:rsidP="009B4773">
      <w:pPr>
        <w:pStyle w:val="BodyText"/>
        <w:tabs>
          <w:tab w:val="left" w:pos="360"/>
        </w:tabs>
        <w:jc w:val="both"/>
        <w:rPr>
          <w:rFonts w:ascii="Times New Roman" w:hAnsi="Times New Roman" w:cs="Times New Roman"/>
          <w:sz w:val="24"/>
          <w:szCs w:val="24"/>
        </w:rPr>
      </w:pPr>
    </w:p>
    <w:p w:rsidR="00AC7FD3" w:rsidRPr="0070440C" w:rsidRDefault="00AC7FD3" w:rsidP="009B4773">
      <w:pPr>
        <w:pStyle w:val="BodyText"/>
        <w:tabs>
          <w:tab w:val="left" w:pos="360"/>
        </w:tabs>
        <w:jc w:val="both"/>
        <w:rPr>
          <w:rFonts w:ascii="Times New Roman" w:hAnsi="Times New Roman" w:cs="Times New Roman"/>
          <w:sz w:val="24"/>
          <w:szCs w:val="24"/>
        </w:rPr>
      </w:pPr>
    </w:p>
    <w:p w:rsidR="00AC7FD3" w:rsidRPr="0070440C" w:rsidRDefault="00AC7FD3" w:rsidP="009B4773">
      <w:pPr>
        <w:pStyle w:val="BodyText"/>
        <w:jc w:val="both"/>
        <w:rPr>
          <w:rFonts w:ascii="Times New Roman" w:hAnsi="Times New Roman" w:cs="Times New Roman"/>
          <w:sz w:val="24"/>
          <w:szCs w:val="24"/>
        </w:rPr>
      </w:pPr>
    </w:p>
    <w:sectPr w:rsidR="00AC7FD3" w:rsidRPr="0070440C" w:rsidSect="0036774E">
      <w:pgSz w:w="15840" w:h="12240" w:orient="landscape" w:code="1"/>
      <w:pgMar w:top="806" w:right="810" w:bottom="810" w:left="1354"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EA" w:rsidRDefault="00207DEA">
      <w:r>
        <w:separator/>
      </w:r>
    </w:p>
  </w:endnote>
  <w:endnote w:type="continuationSeparator" w:id="0">
    <w:p w:rsidR="00207DEA" w:rsidRDefault="00207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82" w:rsidRDefault="00D84E8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1734C8">
      <w:rPr>
        <w:rFonts w:ascii="Arial" w:hAnsi="Arial" w:cs="Arial"/>
        <w:sz w:val="18"/>
        <w:szCs w:val="18"/>
      </w:rPr>
      <w:fldChar w:fldCharType="begin"/>
    </w:r>
    <w:r>
      <w:rPr>
        <w:rFonts w:ascii="Arial" w:hAnsi="Arial" w:cs="Arial"/>
        <w:sz w:val="18"/>
        <w:szCs w:val="18"/>
      </w:rPr>
      <w:instrText xml:space="preserve"> PAGE   \* MERGEFORMAT </w:instrText>
    </w:r>
    <w:r w:rsidR="001734C8">
      <w:rPr>
        <w:rFonts w:ascii="Arial" w:hAnsi="Arial" w:cs="Arial"/>
        <w:sz w:val="18"/>
        <w:szCs w:val="18"/>
      </w:rPr>
      <w:fldChar w:fldCharType="separate"/>
    </w:r>
    <w:r w:rsidR="00FE68A0">
      <w:rPr>
        <w:rFonts w:ascii="Arial" w:hAnsi="Arial" w:cs="Arial"/>
        <w:noProof/>
        <w:sz w:val="18"/>
        <w:szCs w:val="18"/>
      </w:rPr>
      <w:t>7</w:t>
    </w:r>
    <w:r w:rsidR="001734C8">
      <w:rPr>
        <w:rFonts w:ascii="Arial" w:hAnsi="Arial" w:cs="Arial"/>
        <w:sz w:val="18"/>
        <w:szCs w:val="18"/>
      </w:rPr>
      <w:fldChar w:fldCharType="end"/>
    </w:r>
    <w:r>
      <w:rPr>
        <w:rFonts w:ascii="Arial" w:hAnsi="Arial" w:cs="Arial"/>
        <w:sz w:val="18"/>
        <w:szCs w:val="18"/>
      </w:rPr>
      <w:t xml:space="preserve"> of </w:t>
    </w:r>
    <w:fldSimple w:instr=" NUMPAGES   \* MERGEFORMAT ">
      <w:r w:rsidR="00FE68A0" w:rsidRPr="00FE68A0">
        <w:rPr>
          <w:rFonts w:ascii="Arial" w:hAnsi="Arial" w:cs="Arial"/>
          <w:noProof/>
          <w:sz w:val="18"/>
          <w:szCs w:val="18"/>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82" w:rsidRDefault="00D84E8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1734C8">
      <w:rPr>
        <w:rFonts w:ascii="Arial" w:hAnsi="Arial" w:cs="Arial"/>
        <w:sz w:val="18"/>
        <w:szCs w:val="18"/>
      </w:rPr>
      <w:fldChar w:fldCharType="begin"/>
    </w:r>
    <w:r>
      <w:rPr>
        <w:rFonts w:ascii="Arial" w:hAnsi="Arial" w:cs="Arial"/>
        <w:sz w:val="18"/>
        <w:szCs w:val="18"/>
      </w:rPr>
      <w:instrText xml:space="preserve"> PAGE   \* MERGEFORMAT </w:instrText>
    </w:r>
    <w:r w:rsidR="001734C8">
      <w:rPr>
        <w:rFonts w:ascii="Arial" w:hAnsi="Arial" w:cs="Arial"/>
        <w:sz w:val="18"/>
        <w:szCs w:val="18"/>
      </w:rPr>
      <w:fldChar w:fldCharType="separate"/>
    </w:r>
    <w:r>
      <w:rPr>
        <w:rFonts w:ascii="Arial" w:hAnsi="Arial" w:cs="Arial"/>
        <w:noProof/>
        <w:sz w:val="18"/>
        <w:szCs w:val="18"/>
      </w:rPr>
      <w:t>5</w:t>
    </w:r>
    <w:r w:rsidR="001734C8">
      <w:rPr>
        <w:rFonts w:ascii="Arial" w:hAnsi="Arial" w:cs="Arial"/>
        <w:sz w:val="18"/>
        <w:szCs w:val="18"/>
      </w:rPr>
      <w:fldChar w:fldCharType="end"/>
    </w:r>
    <w:r>
      <w:rPr>
        <w:rFonts w:ascii="Arial" w:hAnsi="Arial" w:cs="Arial"/>
        <w:sz w:val="18"/>
        <w:szCs w:val="18"/>
      </w:rPr>
      <w:t xml:space="preserve"> of </w:t>
    </w:r>
    <w:fldSimple w:instr=" NUMPAGES   \* MERGEFORMAT ">
      <w:r w:rsidRPr="007830D6">
        <w:rPr>
          <w:rFonts w:ascii="Arial" w:hAnsi="Arial" w:cs="Arial"/>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EA" w:rsidRDefault="00207DEA">
      <w:r>
        <w:separator/>
      </w:r>
    </w:p>
  </w:footnote>
  <w:footnote w:type="continuationSeparator" w:id="0">
    <w:p w:rsidR="00207DEA" w:rsidRDefault="00207DEA">
      <w:r>
        <w:continuationSeparator/>
      </w:r>
    </w:p>
  </w:footnote>
  <w:footnote w:id="1">
    <w:p w:rsidR="00D84E82" w:rsidRPr="00F83DC8" w:rsidRDefault="00D84E82"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D84E82" w:rsidRDefault="00D84E82">
      <w:pPr>
        <w:pStyle w:val="FootnoteText"/>
      </w:pPr>
      <w:r>
        <w:rPr>
          <w:rStyle w:val="FootnoteReference"/>
        </w:rPr>
        <w:footnoteRef/>
      </w:r>
      <w:r>
        <w:t xml:space="preserve"> Priority Area for the Peacebuilding Fund; Sector for the UNDG ITF.</w:t>
      </w:r>
    </w:p>
  </w:footnote>
  <w:footnote w:id="3">
    <w:p w:rsidR="00D84E82" w:rsidRDefault="00D84E82"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D84E82" w:rsidRDefault="00D84E82" w:rsidP="000134CC">
      <w:pPr>
        <w:pStyle w:val="FootnoteText"/>
      </w:pPr>
      <w:r>
        <w:rPr>
          <w:rStyle w:val="FootnoteReference"/>
        </w:rPr>
        <w:footnoteRef/>
      </w:r>
      <w:r>
        <w:t xml:space="preserve"> All activities for which a Participating Organization is responsible under an approved MDTF programme have been completed. Agencies to advise the MDTF Office.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34050"/>
    <w:multiLevelType w:val="hybridMultilevel"/>
    <w:tmpl w:val="06B48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2A626DA"/>
    <w:multiLevelType w:val="hybridMultilevel"/>
    <w:tmpl w:val="488C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436C9"/>
    <w:multiLevelType w:val="hybridMultilevel"/>
    <w:tmpl w:val="E9D2D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96AC1"/>
    <w:multiLevelType w:val="hybridMultilevel"/>
    <w:tmpl w:val="470A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96DDC"/>
    <w:multiLevelType w:val="hybridMultilevel"/>
    <w:tmpl w:val="880CB950"/>
    <w:lvl w:ilvl="0" w:tplc="A40252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672249F"/>
    <w:multiLevelType w:val="hybridMultilevel"/>
    <w:tmpl w:val="64BCF5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2E0803"/>
    <w:multiLevelType w:val="hybridMultilevel"/>
    <w:tmpl w:val="31421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A4632"/>
    <w:multiLevelType w:val="hybridMultilevel"/>
    <w:tmpl w:val="EE50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5711F"/>
    <w:multiLevelType w:val="hybridMultilevel"/>
    <w:tmpl w:val="0CB83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52052"/>
    <w:multiLevelType w:val="hybridMultilevel"/>
    <w:tmpl w:val="42925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74FCB"/>
    <w:multiLevelType w:val="hybridMultilevel"/>
    <w:tmpl w:val="D66A3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E727F"/>
    <w:multiLevelType w:val="hybridMultilevel"/>
    <w:tmpl w:val="CA909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4"/>
  </w:num>
  <w:num w:numId="5">
    <w:abstractNumId w:val="17"/>
  </w:num>
  <w:num w:numId="6">
    <w:abstractNumId w:val="15"/>
  </w:num>
  <w:num w:numId="7">
    <w:abstractNumId w:val="20"/>
  </w:num>
  <w:num w:numId="8">
    <w:abstractNumId w:val="5"/>
  </w:num>
  <w:num w:numId="9">
    <w:abstractNumId w:val="10"/>
  </w:num>
  <w:num w:numId="10">
    <w:abstractNumId w:val="21"/>
  </w:num>
  <w:num w:numId="11">
    <w:abstractNumId w:val="9"/>
  </w:num>
  <w:num w:numId="12">
    <w:abstractNumId w:val="7"/>
  </w:num>
  <w:num w:numId="13">
    <w:abstractNumId w:val="6"/>
  </w:num>
  <w:num w:numId="14">
    <w:abstractNumId w:val="18"/>
  </w:num>
  <w:num w:numId="15">
    <w:abstractNumId w:val="13"/>
  </w:num>
  <w:num w:numId="16">
    <w:abstractNumId w:val="11"/>
  </w:num>
  <w:num w:numId="17">
    <w:abstractNumId w:val="4"/>
  </w:num>
  <w:num w:numId="18">
    <w:abstractNumId w:val="19"/>
  </w:num>
  <w:num w:numId="19">
    <w:abstractNumId w:val="1"/>
  </w:num>
  <w:num w:numId="20">
    <w:abstractNumId w:val="16"/>
  </w:num>
  <w:num w:numId="21">
    <w:abstractNumId w:val="8"/>
  </w:num>
  <w:num w:numId="22">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07ECE"/>
    <w:rsid w:val="000121B0"/>
    <w:rsid w:val="000134CC"/>
    <w:rsid w:val="00016418"/>
    <w:rsid w:val="00020135"/>
    <w:rsid w:val="00024F9B"/>
    <w:rsid w:val="000308D4"/>
    <w:rsid w:val="00031DC9"/>
    <w:rsid w:val="0003468C"/>
    <w:rsid w:val="00043245"/>
    <w:rsid w:val="000509DF"/>
    <w:rsid w:val="00052FF4"/>
    <w:rsid w:val="00064352"/>
    <w:rsid w:val="00066978"/>
    <w:rsid w:val="00090D90"/>
    <w:rsid w:val="00090FA5"/>
    <w:rsid w:val="00092501"/>
    <w:rsid w:val="00094B2F"/>
    <w:rsid w:val="00096711"/>
    <w:rsid w:val="000968C1"/>
    <w:rsid w:val="000A126F"/>
    <w:rsid w:val="000A146E"/>
    <w:rsid w:val="000A471A"/>
    <w:rsid w:val="000A5536"/>
    <w:rsid w:val="000B599B"/>
    <w:rsid w:val="000B7D96"/>
    <w:rsid w:val="000C0119"/>
    <w:rsid w:val="000C03EE"/>
    <w:rsid w:val="000C0B78"/>
    <w:rsid w:val="000C2A11"/>
    <w:rsid w:val="000C35B0"/>
    <w:rsid w:val="000C656D"/>
    <w:rsid w:val="000D6D9C"/>
    <w:rsid w:val="000F23F3"/>
    <w:rsid w:val="00106A96"/>
    <w:rsid w:val="00107760"/>
    <w:rsid w:val="00107D3A"/>
    <w:rsid w:val="00114C7D"/>
    <w:rsid w:val="0011699C"/>
    <w:rsid w:val="00122622"/>
    <w:rsid w:val="0012303A"/>
    <w:rsid w:val="00123EC0"/>
    <w:rsid w:val="00124B56"/>
    <w:rsid w:val="00126292"/>
    <w:rsid w:val="00131574"/>
    <w:rsid w:val="00132552"/>
    <w:rsid w:val="0013530A"/>
    <w:rsid w:val="0013612C"/>
    <w:rsid w:val="00136A69"/>
    <w:rsid w:val="001430FE"/>
    <w:rsid w:val="00144ED5"/>
    <w:rsid w:val="0014549D"/>
    <w:rsid w:val="00145891"/>
    <w:rsid w:val="0015472D"/>
    <w:rsid w:val="001554B7"/>
    <w:rsid w:val="0015763B"/>
    <w:rsid w:val="001602DF"/>
    <w:rsid w:val="00160579"/>
    <w:rsid w:val="001649DC"/>
    <w:rsid w:val="00165038"/>
    <w:rsid w:val="001701C1"/>
    <w:rsid w:val="00170DD0"/>
    <w:rsid w:val="00171470"/>
    <w:rsid w:val="001734C8"/>
    <w:rsid w:val="001737DA"/>
    <w:rsid w:val="001854AB"/>
    <w:rsid w:val="00193B41"/>
    <w:rsid w:val="00195748"/>
    <w:rsid w:val="001957DC"/>
    <w:rsid w:val="00197C6B"/>
    <w:rsid w:val="001A2C73"/>
    <w:rsid w:val="001A5801"/>
    <w:rsid w:val="001C1E68"/>
    <w:rsid w:val="001C209F"/>
    <w:rsid w:val="001D242B"/>
    <w:rsid w:val="001D4CA5"/>
    <w:rsid w:val="001D757B"/>
    <w:rsid w:val="001E101F"/>
    <w:rsid w:val="001E21A6"/>
    <w:rsid w:val="001E2946"/>
    <w:rsid w:val="001F4683"/>
    <w:rsid w:val="001F4D9E"/>
    <w:rsid w:val="00205F81"/>
    <w:rsid w:val="00206941"/>
    <w:rsid w:val="00207DEA"/>
    <w:rsid w:val="0021182F"/>
    <w:rsid w:val="00212FEB"/>
    <w:rsid w:val="00213E87"/>
    <w:rsid w:val="00215D1B"/>
    <w:rsid w:val="002179BB"/>
    <w:rsid w:val="00220D29"/>
    <w:rsid w:val="00232527"/>
    <w:rsid w:val="00233E28"/>
    <w:rsid w:val="0023529C"/>
    <w:rsid w:val="00241E8E"/>
    <w:rsid w:val="00243F99"/>
    <w:rsid w:val="00251130"/>
    <w:rsid w:val="00255B0E"/>
    <w:rsid w:val="0025606E"/>
    <w:rsid w:val="002637DC"/>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E06CA"/>
    <w:rsid w:val="002E50CF"/>
    <w:rsid w:val="002E77D1"/>
    <w:rsid w:val="002F1156"/>
    <w:rsid w:val="002F3EFE"/>
    <w:rsid w:val="002F5953"/>
    <w:rsid w:val="0030509D"/>
    <w:rsid w:val="00310168"/>
    <w:rsid w:val="00310C19"/>
    <w:rsid w:val="00312685"/>
    <w:rsid w:val="00314A5F"/>
    <w:rsid w:val="00320895"/>
    <w:rsid w:val="00322814"/>
    <w:rsid w:val="00330077"/>
    <w:rsid w:val="0033662C"/>
    <w:rsid w:val="003369D5"/>
    <w:rsid w:val="0034386B"/>
    <w:rsid w:val="00346FFE"/>
    <w:rsid w:val="0034795F"/>
    <w:rsid w:val="00351A14"/>
    <w:rsid w:val="00356B70"/>
    <w:rsid w:val="00356D08"/>
    <w:rsid w:val="00360431"/>
    <w:rsid w:val="00360501"/>
    <w:rsid w:val="00360945"/>
    <w:rsid w:val="0036774E"/>
    <w:rsid w:val="00375FFA"/>
    <w:rsid w:val="003815EF"/>
    <w:rsid w:val="00382573"/>
    <w:rsid w:val="003879DF"/>
    <w:rsid w:val="00390F98"/>
    <w:rsid w:val="00396D76"/>
    <w:rsid w:val="003A1AF5"/>
    <w:rsid w:val="003A77A2"/>
    <w:rsid w:val="003B0303"/>
    <w:rsid w:val="003B454A"/>
    <w:rsid w:val="003B6300"/>
    <w:rsid w:val="003C1A52"/>
    <w:rsid w:val="003C3941"/>
    <w:rsid w:val="003C3FC0"/>
    <w:rsid w:val="003C4D74"/>
    <w:rsid w:val="003D13A8"/>
    <w:rsid w:val="003D210A"/>
    <w:rsid w:val="003D3325"/>
    <w:rsid w:val="003D4331"/>
    <w:rsid w:val="003E51E4"/>
    <w:rsid w:val="003E62C0"/>
    <w:rsid w:val="00405A55"/>
    <w:rsid w:val="0041185F"/>
    <w:rsid w:val="004160BF"/>
    <w:rsid w:val="00417B11"/>
    <w:rsid w:val="00422D8B"/>
    <w:rsid w:val="00427179"/>
    <w:rsid w:val="00432267"/>
    <w:rsid w:val="00435C09"/>
    <w:rsid w:val="00442C6B"/>
    <w:rsid w:val="00452ED1"/>
    <w:rsid w:val="00455DEA"/>
    <w:rsid w:val="004600E3"/>
    <w:rsid w:val="004658BE"/>
    <w:rsid w:val="00465B26"/>
    <w:rsid w:val="00466449"/>
    <w:rsid w:val="0046692E"/>
    <w:rsid w:val="00466DEB"/>
    <w:rsid w:val="00466E3B"/>
    <w:rsid w:val="00470009"/>
    <w:rsid w:val="00471235"/>
    <w:rsid w:val="0047346F"/>
    <w:rsid w:val="0047708F"/>
    <w:rsid w:val="00480C5E"/>
    <w:rsid w:val="00482220"/>
    <w:rsid w:val="004863CF"/>
    <w:rsid w:val="004A0A50"/>
    <w:rsid w:val="004B5AAB"/>
    <w:rsid w:val="004C62BF"/>
    <w:rsid w:val="004D1571"/>
    <w:rsid w:val="004D52B0"/>
    <w:rsid w:val="004E4B51"/>
    <w:rsid w:val="004E7392"/>
    <w:rsid w:val="004F18E5"/>
    <w:rsid w:val="004F5F38"/>
    <w:rsid w:val="004F6B31"/>
    <w:rsid w:val="004F71AC"/>
    <w:rsid w:val="005014CA"/>
    <w:rsid w:val="00510055"/>
    <w:rsid w:val="00510D98"/>
    <w:rsid w:val="00521F30"/>
    <w:rsid w:val="0052663C"/>
    <w:rsid w:val="005268DC"/>
    <w:rsid w:val="0052760B"/>
    <w:rsid w:val="0053545E"/>
    <w:rsid w:val="00537107"/>
    <w:rsid w:val="00537CAD"/>
    <w:rsid w:val="00540142"/>
    <w:rsid w:val="00540389"/>
    <w:rsid w:val="005466C7"/>
    <w:rsid w:val="005473D7"/>
    <w:rsid w:val="00555A12"/>
    <w:rsid w:val="005578E7"/>
    <w:rsid w:val="00573DAD"/>
    <w:rsid w:val="00574659"/>
    <w:rsid w:val="0057779E"/>
    <w:rsid w:val="00581F54"/>
    <w:rsid w:val="0059646F"/>
    <w:rsid w:val="00596CF6"/>
    <w:rsid w:val="005A0F3F"/>
    <w:rsid w:val="005B1CBB"/>
    <w:rsid w:val="005B4B46"/>
    <w:rsid w:val="005B607F"/>
    <w:rsid w:val="005C0233"/>
    <w:rsid w:val="005C1731"/>
    <w:rsid w:val="005C3944"/>
    <w:rsid w:val="005D27D4"/>
    <w:rsid w:val="005D5D53"/>
    <w:rsid w:val="005D746B"/>
    <w:rsid w:val="005E4EDD"/>
    <w:rsid w:val="005F0467"/>
    <w:rsid w:val="005F5DAE"/>
    <w:rsid w:val="006000A4"/>
    <w:rsid w:val="006002EE"/>
    <w:rsid w:val="00601E0F"/>
    <w:rsid w:val="006020B1"/>
    <w:rsid w:val="006053F9"/>
    <w:rsid w:val="006117B9"/>
    <w:rsid w:val="00615E8B"/>
    <w:rsid w:val="00617CFC"/>
    <w:rsid w:val="00641437"/>
    <w:rsid w:val="006447B1"/>
    <w:rsid w:val="00645E3A"/>
    <w:rsid w:val="00650E20"/>
    <w:rsid w:val="0065590C"/>
    <w:rsid w:val="00655D27"/>
    <w:rsid w:val="00656759"/>
    <w:rsid w:val="006602F1"/>
    <w:rsid w:val="00673516"/>
    <w:rsid w:val="00675934"/>
    <w:rsid w:val="0068493E"/>
    <w:rsid w:val="00685ABC"/>
    <w:rsid w:val="00693899"/>
    <w:rsid w:val="00695BD4"/>
    <w:rsid w:val="006A1378"/>
    <w:rsid w:val="006B42EB"/>
    <w:rsid w:val="006D3D21"/>
    <w:rsid w:val="006F0970"/>
    <w:rsid w:val="006F1D4C"/>
    <w:rsid w:val="006F4639"/>
    <w:rsid w:val="006F4E81"/>
    <w:rsid w:val="006F7271"/>
    <w:rsid w:val="00702E13"/>
    <w:rsid w:val="007041E5"/>
    <w:rsid w:val="0070440C"/>
    <w:rsid w:val="0070460B"/>
    <w:rsid w:val="00705225"/>
    <w:rsid w:val="0070583F"/>
    <w:rsid w:val="0071507D"/>
    <w:rsid w:val="00717598"/>
    <w:rsid w:val="00717C7A"/>
    <w:rsid w:val="00730077"/>
    <w:rsid w:val="00733BB2"/>
    <w:rsid w:val="007416AC"/>
    <w:rsid w:val="00744618"/>
    <w:rsid w:val="00744E9F"/>
    <w:rsid w:val="00747763"/>
    <w:rsid w:val="007501B3"/>
    <w:rsid w:val="00760206"/>
    <w:rsid w:val="007626D9"/>
    <w:rsid w:val="00763119"/>
    <w:rsid w:val="00764769"/>
    <w:rsid w:val="00766AF4"/>
    <w:rsid w:val="00766B02"/>
    <w:rsid w:val="00771F7F"/>
    <w:rsid w:val="007723A7"/>
    <w:rsid w:val="0077310A"/>
    <w:rsid w:val="007819C0"/>
    <w:rsid w:val="00782335"/>
    <w:rsid w:val="007830D6"/>
    <w:rsid w:val="007B0297"/>
    <w:rsid w:val="007B641A"/>
    <w:rsid w:val="007C6C68"/>
    <w:rsid w:val="007D76F9"/>
    <w:rsid w:val="007E464F"/>
    <w:rsid w:val="007E4FE2"/>
    <w:rsid w:val="007F1E32"/>
    <w:rsid w:val="007F5010"/>
    <w:rsid w:val="007F57B6"/>
    <w:rsid w:val="0080284B"/>
    <w:rsid w:val="00811DC6"/>
    <w:rsid w:val="00813AC1"/>
    <w:rsid w:val="00814B1B"/>
    <w:rsid w:val="00823734"/>
    <w:rsid w:val="0082670A"/>
    <w:rsid w:val="00832740"/>
    <w:rsid w:val="0084010D"/>
    <w:rsid w:val="00843477"/>
    <w:rsid w:val="00847324"/>
    <w:rsid w:val="008552F1"/>
    <w:rsid w:val="00862256"/>
    <w:rsid w:val="008654FB"/>
    <w:rsid w:val="008678FD"/>
    <w:rsid w:val="008679D3"/>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2093C"/>
    <w:rsid w:val="00925EE6"/>
    <w:rsid w:val="009261CF"/>
    <w:rsid w:val="009363D1"/>
    <w:rsid w:val="00937093"/>
    <w:rsid w:val="00941CB3"/>
    <w:rsid w:val="00942A18"/>
    <w:rsid w:val="00953BFD"/>
    <w:rsid w:val="00954AD0"/>
    <w:rsid w:val="00962458"/>
    <w:rsid w:val="00962E51"/>
    <w:rsid w:val="009654E0"/>
    <w:rsid w:val="0096704B"/>
    <w:rsid w:val="00967129"/>
    <w:rsid w:val="00971F63"/>
    <w:rsid w:val="00976E29"/>
    <w:rsid w:val="00983256"/>
    <w:rsid w:val="009848E7"/>
    <w:rsid w:val="009854A5"/>
    <w:rsid w:val="00986BA5"/>
    <w:rsid w:val="0099438D"/>
    <w:rsid w:val="00995566"/>
    <w:rsid w:val="009A4A68"/>
    <w:rsid w:val="009B286A"/>
    <w:rsid w:val="009B3EC0"/>
    <w:rsid w:val="009B4773"/>
    <w:rsid w:val="009C05C5"/>
    <w:rsid w:val="009C1C57"/>
    <w:rsid w:val="009C5C27"/>
    <w:rsid w:val="009C7423"/>
    <w:rsid w:val="009D0955"/>
    <w:rsid w:val="009D28B0"/>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36CE1"/>
    <w:rsid w:val="00A43C71"/>
    <w:rsid w:val="00A46E8F"/>
    <w:rsid w:val="00A61216"/>
    <w:rsid w:val="00A7197E"/>
    <w:rsid w:val="00A734CD"/>
    <w:rsid w:val="00A81AC4"/>
    <w:rsid w:val="00A81EFE"/>
    <w:rsid w:val="00A82D0D"/>
    <w:rsid w:val="00A9121A"/>
    <w:rsid w:val="00A91552"/>
    <w:rsid w:val="00A9194A"/>
    <w:rsid w:val="00A91A74"/>
    <w:rsid w:val="00A93049"/>
    <w:rsid w:val="00A96288"/>
    <w:rsid w:val="00AA4D9C"/>
    <w:rsid w:val="00AA6424"/>
    <w:rsid w:val="00AB0274"/>
    <w:rsid w:val="00AB36A9"/>
    <w:rsid w:val="00AB4503"/>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6095"/>
    <w:rsid w:val="00AF7B8F"/>
    <w:rsid w:val="00B11C4C"/>
    <w:rsid w:val="00B21C60"/>
    <w:rsid w:val="00B24CE1"/>
    <w:rsid w:val="00B26E7E"/>
    <w:rsid w:val="00B30E23"/>
    <w:rsid w:val="00B36B8A"/>
    <w:rsid w:val="00B447C7"/>
    <w:rsid w:val="00B45311"/>
    <w:rsid w:val="00B50BD2"/>
    <w:rsid w:val="00B54645"/>
    <w:rsid w:val="00B54704"/>
    <w:rsid w:val="00B60AA1"/>
    <w:rsid w:val="00B67EEC"/>
    <w:rsid w:val="00B72C73"/>
    <w:rsid w:val="00B734EC"/>
    <w:rsid w:val="00B7777C"/>
    <w:rsid w:val="00B84453"/>
    <w:rsid w:val="00B84BA4"/>
    <w:rsid w:val="00B904C7"/>
    <w:rsid w:val="00B912E2"/>
    <w:rsid w:val="00B97FBF"/>
    <w:rsid w:val="00BA3272"/>
    <w:rsid w:val="00BA3663"/>
    <w:rsid w:val="00BA5995"/>
    <w:rsid w:val="00BB0A3A"/>
    <w:rsid w:val="00BB17B3"/>
    <w:rsid w:val="00BB1EF4"/>
    <w:rsid w:val="00BB294F"/>
    <w:rsid w:val="00BB3696"/>
    <w:rsid w:val="00BB5A76"/>
    <w:rsid w:val="00BB7074"/>
    <w:rsid w:val="00BD17AE"/>
    <w:rsid w:val="00BD26F9"/>
    <w:rsid w:val="00BE25ED"/>
    <w:rsid w:val="00BE31C8"/>
    <w:rsid w:val="00BE3B0B"/>
    <w:rsid w:val="00BE5B12"/>
    <w:rsid w:val="00BE733D"/>
    <w:rsid w:val="00BF1CC9"/>
    <w:rsid w:val="00BF6E7E"/>
    <w:rsid w:val="00C02CA8"/>
    <w:rsid w:val="00C04E8D"/>
    <w:rsid w:val="00C1198F"/>
    <w:rsid w:val="00C17F79"/>
    <w:rsid w:val="00C2162B"/>
    <w:rsid w:val="00C21861"/>
    <w:rsid w:val="00C23B8B"/>
    <w:rsid w:val="00C26EC4"/>
    <w:rsid w:val="00C307F8"/>
    <w:rsid w:val="00C37214"/>
    <w:rsid w:val="00C416C0"/>
    <w:rsid w:val="00C54B7D"/>
    <w:rsid w:val="00C5695E"/>
    <w:rsid w:val="00C57AA9"/>
    <w:rsid w:val="00C57C0B"/>
    <w:rsid w:val="00C60354"/>
    <w:rsid w:val="00C80CE4"/>
    <w:rsid w:val="00C81746"/>
    <w:rsid w:val="00C823DA"/>
    <w:rsid w:val="00C82A2B"/>
    <w:rsid w:val="00C85B34"/>
    <w:rsid w:val="00C87E85"/>
    <w:rsid w:val="00C91B1F"/>
    <w:rsid w:val="00C931DD"/>
    <w:rsid w:val="00C94870"/>
    <w:rsid w:val="00C96F44"/>
    <w:rsid w:val="00CA01FE"/>
    <w:rsid w:val="00CA0DEC"/>
    <w:rsid w:val="00CA33AC"/>
    <w:rsid w:val="00CA38BE"/>
    <w:rsid w:val="00CA38FE"/>
    <w:rsid w:val="00CC6E5F"/>
    <w:rsid w:val="00CD4E4C"/>
    <w:rsid w:val="00CD522D"/>
    <w:rsid w:val="00CD7AF1"/>
    <w:rsid w:val="00CE49E6"/>
    <w:rsid w:val="00CE54A7"/>
    <w:rsid w:val="00CF40A2"/>
    <w:rsid w:val="00CF414A"/>
    <w:rsid w:val="00CF4774"/>
    <w:rsid w:val="00CF69D4"/>
    <w:rsid w:val="00D00906"/>
    <w:rsid w:val="00D00E18"/>
    <w:rsid w:val="00D02FD3"/>
    <w:rsid w:val="00D10850"/>
    <w:rsid w:val="00D111DE"/>
    <w:rsid w:val="00D13041"/>
    <w:rsid w:val="00D139C9"/>
    <w:rsid w:val="00D14F94"/>
    <w:rsid w:val="00D218C2"/>
    <w:rsid w:val="00D2236E"/>
    <w:rsid w:val="00D24A1F"/>
    <w:rsid w:val="00D35F2B"/>
    <w:rsid w:val="00D36941"/>
    <w:rsid w:val="00D4003B"/>
    <w:rsid w:val="00D444C1"/>
    <w:rsid w:val="00D5127E"/>
    <w:rsid w:val="00D57728"/>
    <w:rsid w:val="00D6369A"/>
    <w:rsid w:val="00D658DF"/>
    <w:rsid w:val="00D72415"/>
    <w:rsid w:val="00D72A60"/>
    <w:rsid w:val="00D7553F"/>
    <w:rsid w:val="00D7575C"/>
    <w:rsid w:val="00D84E82"/>
    <w:rsid w:val="00D86A12"/>
    <w:rsid w:val="00D92A87"/>
    <w:rsid w:val="00D94E6E"/>
    <w:rsid w:val="00DB514C"/>
    <w:rsid w:val="00DB6417"/>
    <w:rsid w:val="00DB64B1"/>
    <w:rsid w:val="00DB72BD"/>
    <w:rsid w:val="00DC0AA7"/>
    <w:rsid w:val="00DC12DE"/>
    <w:rsid w:val="00DC2F33"/>
    <w:rsid w:val="00DD14BB"/>
    <w:rsid w:val="00DD308B"/>
    <w:rsid w:val="00DD3BAE"/>
    <w:rsid w:val="00DD6EE0"/>
    <w:rsid w:val="00DD736F"/>
    <w:rsid w:val="00DE01AD"/>
    <w:rsid w:val="00DE47F4"/>
    <w:rsid w:val="00DE6E89"/>
    <w:rsid w:val="00DF1FC2"/>
    <w:rsid w:val="00E10174"/>
    <w:rsid w:val="00E20C3E"/>
    <w:rsid w:val="00E224B3"/>
    <w:rsid w:val="00E348AC"/>
    <w:rsid w:val="00E35E16"/>
    <w:rsid w:val="00E364B9"/>
    <w:rsid w:val="00E527F5"/>
    <w:rsid w:val="00E571C3"/>
    <w:rsid w:val="00E626BD"/>
    <w:rsid w:val="00E64927"/>
    <w:rsid w:val="00E7048D"/>
    <w:rsid w:val="00E72340"/>
    <w:rsid w:val="00E8097F"/>
    <w:rsid w:val="00EA2CBE"/>
    <w:rsid w:val="00EA3B64"/>
    <w:rsid w:val="00EA795A"/>
    <w:rsid w:val="00EB1A36"/>
    <w:rsid w:val="00EB42D7"/>
    <w:rsid w:val="00EC2E93"/>
    <w:rsid w:val="00EC7307"/>
    <w:rsid w:val="00ED068F"/>
    <w:rsid w:val="00ED7D51"/>
    <w:rsid w:val="00EE031C"/>
    <w:rsid w:val="00EE0977"/>
    <w:rsid w:val="00EE22C2"/>
    <w:rsid w:val="00EE3FEF"/>
    <w:rsid w:val="00EE6C4E"/>
    <w:rsid w:val="00EF024F"/>
    <w:rsid w:val="00EF5825"/>
    <w:rsid w:val="00EF6E14"/>
    <w:rsid w:val="00EF7C96"/>
    <w:rsid w:val="00F000D7"/>
    <w:rsid w:val="00F01182"/>
    <w:rsid w:val="00F06ED4"/>
    <w:rsid w:val="00F10F79"/>
    <w:rsid w:val="00F1764E"/>
    <w:rsid w:val="00F207F5"/>
    <w:rsid w:val="00F22A76"/>
    <w:rsid w:val="00F25119"/>
    <w:rsid w:val="00F2608B"/>
    <w:rsid w:val="00F316CE"/>
    <w:rsid w:val="00F33E1A"/>
    <w:rsid w:val="00F41298"/>
    <w:rsid w:val="00F418E8"/>
    <w:rsid w:val="00F46303"/>
    <w:rsid w:val="00F46998"/>
    <w:rsid w:val="00F51A19"/>
    <w:rsid w:val="00F56C01"/>
    <w:rsid w:val="00F61F6D"/>
    <w:rsid w:val="00F65954"/>
    <w:rsid w:val="00F66FD0"/>
    <w:rsid w:val="00F70AB5"/>
    <w:rsid w:val="00F719EA"/>
    <w:rsid w:val="00F751A1"/>
    <w:rsid w:val="00F755E7"/>
    <w:rsid w:val="00F7637C"/>
    <w:rsid w:val="00F77B53"/>
    <w:rsid w:val="00F80140"/>
    <w:rsid w:val="00F80D48"/>
    <w:rsid w:val="00F81681"/>
    <w:rsid w:val="00F93AF2"/>
    <w:rsid w:val="00F971C2"/>
    <w:rsid w:val="00F97DA0"/>
    <w:rsid w:val="00FA2EBE"/>
    <w:rsid w:val="00FB0402"/>
    <w:rsid w:val="00FB7ECA"/>
    <w:rsid w:val="00FC36F8"/>
    <w:rsid w:val="00FD032B"/>
    <w:rsid w:val="00FD506B"/>
    <w:rsid w:val="00FD5475"/>
    <w:rsid w:val="00FE0753"/>
    <w:rsid w:val="00FE3224"/>
    <w:rsid w:val="00FE68A0"/>
    <w:rsid w:val="00FE7EC1"/>
    <w:rsid w:val="00FF4A98"/>
    <w:rsid w:val="00FF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BE733D"/>
    <w:rPr>
      <w:rFonts w:ascii="Arial" w:hAnsi="Arial" w:cs="Arial"/>
    </w:rPr>
  </w:style>
  <w:style w:type="paragraph" w:customStyle="1" w:styleId="BodyA">
    <w:name w:val="Body A"/>
    <w:autoRedefine/>
    <w:rsid w:val="00596CF6"/>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7548-D281-4577-8832-13BD5FE3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15614</CharactersWithSpaces>
  <SharedDoc>false</SharedDoc>
  <HLinks>
    <vt:vector size="6" baseType="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pem.wangdi</cp:lastModifiedBy>
  <cp:revision>7</cp:revision>
  <cp:lastPrinted>2011-03-02T09:20:00Z</cp:lastPrinted>
  <dcterms:created xsi:type="dcterms:W3CDTF">2011-03-23T04:29:00Z</dcterms:created>
  <dcterms:modified xsi:type="dcterms:W3CDTF">2011-03-30T11:18:00Z</dcterms:modified>
</cp:coreProperties>
</file>