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F6" w:rsidRPr="00051970" w:rsidRDefault="00C37188" w:rsidP="00E56BF6">
      <w:pPr>
        <w:numPr>
          <w:ilvl w:val="12"/>
          <w:numId w:val="0"/>
        </w:numPr>
        <w:tabs>
          <w:tab w:val="left" w:pos="-720"/>
        </w:tabs>
        <w:suppressAutoHyphens/>
        <w:jc w:val="center"/>
        <w:rPr>
          <w:rFonts w:ascii="Bookman Old Style" w:hAnsi="Bookman Old Style"/>
          <w:b/>
          <w:bCs/>
          <w:spacing w:val="-3"/>
        </w:rPr>
      </w:pPr>
      <w:r>
        <w:rPr>
          <w:rFonts w:ascii="Bookman Old Style" w:hAnsi="Bookman Old Style"/>
          <w:noProof/>
          <w:snapToGrid/>
          <w:spacing w:val="-3"/>
          <w:sz w:val="20"/>
          <w:lang w:val="en-US"/>
        </w:rPr>
        <w:drawing>
          <wp:inline distT="0" distB="0" distL="0" distR="0">
            <wp:extent cx="1121410" cy="7937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8" t="3618" r="10838" b="16402"/>
                    <a:stretch>
                      <a:fillRect/>
                    </a:stretch>
                  </pic:blipFill>
                  <pic:spPr bwMode="auto">
                    <a:xfrm>
                      <a:off x="0" y="0"/>
                      <a:ext cx="1121410" cy="793750"/>
                    </a:xfrm>
                    <a:prstGeom prst="rect">
                      <a:avLst/>
                    </a:prstGeom>
                    <a:solidFill>
                      <a:srgbClr val="3366FF"/>
                    </a:solidFill>
                    <a:ln w="9525">
                      <a:noFill/>
                      <a:miter lim="800000"/>
                      <a:headEnd/>
                      <a:tailEnd/>
                    </a:ln>
                  </pic:spPr>
                </pic:pic>
              </a:graphicData>
            </a:graphic>
          </wp:inline>
        </w:drawing>
      </w:r>
      <w:r w:rsidR="00E56BF6" w:rsidRPr="00051970">
        <w:rPr>
          <w:rFonts w:ascii="Bookman Old Style" w:hAnsi="Bookman Old Style"/>
          <w:spacing w:val="-3"/>
          <w:sz w:val="20"/>
        </w:rPr>
        <w:t xml:space="preserve">                            </w:t>
      </w:r>
    </w:p>
    <w:p w:rsidR="00E56BF6" w:rsidRPr="00051970" w:rsidRDefault="00540B37"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Bookman Old Style" w:hAnsi="Bookman Old Style"/>
          <w:b/>
          <w:spacing w:val="-3"/>
          <w:sz w:val="28"/>
          <w:lang w:val="en-US"/>
        </w:rPr>
      </w:pPr>
      <w:r w:rsidRPr="00051970">
        <w:rPr>
          <w:rFonts w:ascii="Bookman Old Style" w:hAnsi="Bookman Old Style"/>
          <w:b/>
          <w:bCs/>
          <w:sz w:val="28"/>
          <w:szCs w:val="28"/>
        </w:rPr>
        <w:t>[</w:t>
      </w:r>
      <w:r w:rsidR="00051970" w:rsidRPr="00051970">
        <w:rPr>
          <w:rFonts w:ascii="Bookman Old Style" w:hAnsi="Bookman Old Style"/>
          <w:b/>
          <w:bCs/>
          <w:sz w:val="28"/>
          <w:szCs w:val="28"/>
        </w:rPr>
        <w:t>UN BHUTAN COUNTRY FUND</w:t>
      </w:r>
      <w:r w:rsidRPr="00051970">
        <w:rPr>
          <w:rFonts w:ascii="Bookman Old Style" w:hAnsi="Bookman Old Style"/>
          <w:b/>
          <w:bCs/>
          <w:sz w:val="28"/>
          <w:szCs w:val="28"/>
        </w:rPr>
        <w:t>]</w:t>
      </w:r>
    </w:p>
    <w:p w:rsidR="00E56BF6" w:rsidRPr="00051970" w:rsidRDefault="00E56BF6"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Bookman Old Style" w:hAnsi="Bookman Old Style"/>
          <w:b/>
          <w:spacing w:val="-3"/>
          <w:sz w:val="20"/>
          <w:lang w:val="en-US"/>
        </w:rPr>
      </w:pPr>
    </w:p>
    <w:p w:rsidR="00E56BF6" w:rsidRPr="00051970" w:rsidRDefault="00A3771A"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Bookman Old Style" w:hAnsi="Bookman Old Style"/>
          <w:b/>
          <w:spacing w:val="-3"/>
          <w:sz w:val="28"/>
          <w:szCs w:val="24"/>
          <w:u w:val="single"/>
        </w:rPr>
      </w:pPr>
      <w:r w:rsidRPr="00051970">
        <w:rPr>
          <w:rFonts w:ascii="Bookman Old Style" w:hAnsi="Bookman Old Style"/>
          <w:b/>
          <w:spacing w:val="-3"/>
          <w:sz w:val="28"/>
          <w:szCs w:val="24"/>
          <w:u w:val="single"/>
        </w:rPr>
        <w:t>BI-ANNUAL</w:t>
      </w:r>
      <w:r w:rsidR="00E56BF6" w:rsidRPr="00051970">
        <w:rPr>
          <w:rFonts w:ascii="Bookman Old Style" w:hAnsi="Bookman Old Style"/>
          <w:b/>
          <w:spacing w:val="-3"/>
          <w:sz w:val="28"/>
          <w:szCs w:val="24"/>
          <w:u w:val="single"/>
        </w:rPr>
        <w:t xml:space="preserve"> PROJECT</w:t>
      </w:r>
      <w:r w:rsidR="00540B37" w:rsidRPr="00051970">
        <w:rPr>
          <w:rFonts w:ascii="Bookman Old Style" w:hAnsi="Bookman Old Style"/>
          <w:b/>
          <w:spacing w:val="-3"/>
          <w:sz w:val="28"/>
          <w:szCs w:val="24"/>
          <w:u w:val="single"/>
        </w:rPr>
        <w:t>/PROGRAMME</w:t>
      </w:r>
      <w:r w:rsidR="00E56BF6" w:rsidRPr="00051970">
        <w:rPr>
          <w:rFonts w:ascii="Bookman Old Style" w:hAnsi="Bookman Old Style"/>
          <w:b/>
          <w:spacing w:val="-3"/>
          <w:sz w:val="28"/>
          <w:szCs w:val="24"/>
          <w:u w:val="single"/>
        </w:rPr>
        <w:t xml:space="preserve"> UPDATE</w:t>
      </w:r>
    </w:p>
    <w:p w:rsidR="00540B37" w:rsidRPr="00051970" w:rsidRDefault="00E56BF6"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Bookman Old Style" w:hAnsi="Bookman Old Style"/>
          <w:b/>
          <w:spacing w:val="-3"/>
          <w:szCs w:val="24"/>
        </w:rPr>
      </w:pPr>
      <w:r w:rsidRPr="00051970">
        <w:rPr>
          <w:rFonts w:ascii="Bookman Old Style" w:hAnsi="Bookman Old Style"/>
          <w:b/>
          <w:spacing w:val="-3"/>
          <w:szCs w:val="24"/>
        </w:rPr>
        <w:t xml:space="preserve"> </w:t>
      </w:r>
    </w:p>
    <w:p w:rsidR="00E56BF6" w:rsidRPr="00051970" w:rsidRDefault="00E56BF6"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Bookman Old Style" w:hAnsi="Bookman Old Style"/>
          <w:b/>
          <w:spacing w:val="-3"/>
          <w:szCs w:val="24"/>
        </w:rPr>
      </w:pPr>
      <w:r w:rsidRPr="00051970">
        <w:rPr>
          <w:rFonts w:ascii="Bookman Old Style" w:hAnsi="Bookman Old Style"/>
          <w:b/>
          <w:spacing w:val="-3"/>
          <w:szCs w:val="24"/>
        </w:rPr>
        <w:t>AS OF [</w:t>
      </w:r>
      <w:r w:rsidR="00FC5749">
        <w:rPr>
          <w:rFonts w:ascii="Bookman Old Style" w:hAnsi="Bookman Old Style"/>
          <w:b/>
          <w:spacing w:val="-3"/>
          <w:szCs w:val="24"/>
        </w:rPr>
        <w:t>31</w:t>
      </w:r>
      <w:r w:rsidR="00FC5749" w:rsidRPr="00FC5749">
        <w:rPr>
          <w:rFonts w:ascii="Bookman Old Style" w:hAnsi="Bookman Old Style"/>
          <w:b/>
          <w:spacing w:val="-3"/>
          <w:szCs w:val="24"/>
          <w:vertAlign w:val="superscript"/>
        </w:rPr>
        <w:t>st</w:t>
      </w:r>
      <w:r w:rsidR="00FC5749">
        <w:rPr>
          <w:rFonts w:ascii="Bookman Old Style" w:hAnsi="Bookman Old Style"/>
          <w:b/>
          <w:spacing w:val="-3"/>
          <w:szCs w:val="24"/>
        </w:rPr>
        <w:t xml:space="preserve"> December 2010</w:t>
      </w:r>
      <w:r w:rsidRPr="00051970">
        <w:rPr>
          <w:rFonts w:ascii="Bookman Old Style" w:hAnsi="Bookman Old Style"/>
          <w:b/>
          <w:spacing w:val="-3"/>
          <w:szCs w:val="24"/>
        </w:rPr>
        <w:t>]</w:t>
      </w:r>
    </w:p>
    <w:p w:rsidR="00E56BF6" w:rsidRPr="00051970" w:rsidRDefault="00E56BF6" w:rsidP="004A1D9B">
      <w:pPr>
        <w:jc w:val="center"/>
        <w:outlineLvl w:val="0"/>
        <w:rPr>
          <w:rFonts w:ascii="Bookman Old Style" w:hAnsi="Bookman Old Style"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60"/>
        <w:gridCol w:w="2520"/>
        <w:gridCol w:w="2700"/>
      </w:tblGrid>
      <w:tr w:rsidR="004A1D9B" w:rsidRPr="00051970" w:rsidTr="00E56BF6">
        <w:trPr>
          <w:trHeight w:val="604"/>
        </w:trPr>
        <w:tc>
          <w:tcPr>
            <w:tcW w:w="2448" w:type="dxa"/>
            <w:tcBorders>
              <w:bottom w:val="single" w:sz="4" w:space="0" w:color="auto"/>
            </w:tcBorders>
            <w:shd w:val="clear" w:color="auto" w:fill="E6E6E6"/>
            <w:vAlign w:val="center"/>
          </w:tcPr>
          <w:p w:rsidR="004A1D9B" w:rsidRPr="00051970" w:rsidRDefault="00540B37" w:rsidP="00540B37">
            <w:pPr>
              <w:rPr>
                <w:rFonts w:ascii="Bookman Old Style" w:hAnsi="Bookman Old Style" w:cs="Arial"/>
                <w:sz w:val="20"/>
              </w:rPr>
            </w:pPr>
            <w:r w:rsidRPr="00051970">
              <w:rPr>
                <w:rFonts w:ascii="Bookman Old Style" w:hAnsi="Bookman Old Style" w:cs="Arial"/>
                <w:b/>
                <w:sz w:val="20"/>
              </w:rPr>
              <w:t>Participating</w:t>
            </w:r>
            <w:r w:rsidR="004A1D9B" w:rsidRPr="00051970">
              <w:rPr>
                <w:rFonts w:ascii="Bookman Old Style" w:hAnsi="Bookman Old Style" w:cs="Arial"/>
                <w:b/>
                <w:sz w:val="20"/>
              </w:rPr>
              <w:t xml:space="preserve"> UN Org</w:t>
            </w:r>
            <w:r w:rsidRPr="00051970">
              <w:rPr>
                <w:rFonts w:ascii="Bookman Old Style" w:hAnsi="Bookman Old Style" w:cs="Arial"/>
                <w:b/>
                <w:sz w:val="20"/>
              </w:rPr>
              <w:t>anization(s)</w:t>
            </w:r>
          </w:p>
        </w:tc>
        <w:tc>
          <w:tcPr>
            <w:tcW w:w="7380" w:type="dxa"/>
            <w:gridSpan w:val="3"/>
            <w:vAlign w:val="center"/>
          </w:tcPr>
          <w:p w:rsidR="004A1D9B" w:rsidRPr="00051970" w:rsidRDefault="00A3771A" w:rsidP="00FC5749">
            <w:pPr>
              <w:rPr>
                <w:rFonts w:ascii="Bookman Old Style" w:hAnsi="Bookman Old Style" w:cs="Arial"/>
                <w:sz w:val="20"/>
              </w:rPr>
            </w:pPr>
            <w:r w:rsidRPr="00051970">
              <w:rPr>
                <w:rFonts w:ascii="Bookman Old Style" w:hAnsi="Bookman Old Style" w:cs="Arial"/>
                <w:sz w:val="20"/>
              </w:rPr>
              <w:t xml:space="preserve">UNDP; </w:t>
            </w:r>
            <w:r w:rsidR="00A323F4">
              <w:rPr>
                <w:rFonts w:ascii="Bookman Old Style" w:hAnsi="Bookman Old Style" w:cs="Arial"/>
                <w:sz w:val="20"/>
              </w:rPr>
              <w:t>UNCDF</w:t>
            </w:r>
          </w:p>
        </w:tc>
      </w:tr>
      <w:tr w:rsidR="004A1D9B" w:rsidRPr="00051970" w:rsidTr="00E56BF6">
        <w:trPr>
          <w:trHeight w:val="604"/>
        </w:trPr>
        <w:tc>
          <w:tcPr>
            <w:tcW w:w="2448" w:type="dxa"/>
            <w:shd w:val="clear" w:color="auto" w:fill="E6E6E6"/>
            <w:vAlign w:val="center"/>
          </w:tcPr>
          <w:p w:rsidR="004A1D9B" w:rsidRPr="00051970" w:rsidRDefault="00540B37" w:rsidP="00540B37">
            <w:pPr>
              <w:rPr>
                <w:rFonts w:ascii="Bookman Old Style" w:hAnsi="Bookman Old Style" w:cs="Arial"/>
                <w:sz w:val="20"/>
              </w:rPr>
            </w:pPr>
            <w:r w:rsidRPr="00051970">
              <w:rPr>
                <w:rFonts w:ascii="Bookman Old Style" w:hAnsi="Bookman Old Style" w:cs="Arial"/>
                <w:b/>
                <w:sz w:val="20"/>
              </w:rPr>
              <w:t>MDTF Programme</w:t>
            </w:r>
            <w:r w:rsidR="004A1D9B" w:rsidRPr="00051970">
              <w:rPr>
                <w:rFonts w:ascii="Bookman Old Style" w:hAnsi="Bookman Old Style" w:cs="Arial"/>
                <w:b/>
                <w:sz w:val="20"/>
              </w:rPr>
              <w:t xml:space="preserve"> Number</w:t>
            </w:r>
          </w:p>
        </w:tc>
        <w:tc>
          <w:tcPr>
            <w:tcW w:w="7380" w:type="dxa"/>
            <w:gridSpan w:val="3"/>
            <w:shd w:val="clear" w:color="auto" w:fill="auto"/>
            <w:vAlign w:val="center"/>
          </w:tcPr>
          <w:p w:rsidR="004A1D9B" w:rsidRPr="00C37188" w:rsidRDefault="00A3771A" w:rsidP="00A323F4">
            <w:pPr>
              <w:rPr>
                <w:rFonts w:ascii="Bookman Old Style" w:hAnsi="Bookman Old Style" w:cs="Arial"/>
                <w:sz w:val="20"/>
              </w:rPr>
            </w:pPr>
            <w:r w:rsidRPr="00C37188">
              <w:rPr>
                <w:rFonts w:ascii="Bookman Old Style" w:hAnsi="Bookman Old Style"/>
                <w:color w:val="000000"/>
                <w:sz w:val="20"/>
              </w:rPr>
              <w:t>000732</w:t>
            </w:r>
            <w:r w:rsidR="00A323F4">
              <w:rPr>
                <w:rFonts w:ascii="Bookman Old Style" w:hAnsi="Bookman Old Style"/>
                <w:color w:val="000000"/>
                <w:sz w:val="20"/>
              </w:rPr>
              <w:t>77</w:t>
            </w:r>
          </w:p>
        </w:tc>
      </w:tr>
      <w:tr w:rsidR="004A1D9B" w:rsidRPr="00051970" w:rsidTr="00E56BF6">
        <w:trPr>
          <w:trHeight w:val="604"/>
        </w:trPr>
        <w:tc>
          <w:tcPr>
            <w:tcW w:w="2448" w:type="dxa"/>
            <w:tcBorders>
              <w:bottom w:val="single" w:sz="4" w:space="0" w:color="auto"/>
            </w:tcBorders>
            <w:shd w:val="clear" w:color="auto" w:fill="E6E6E6"/>
            <w:vAlign w:val="center"/>
          </w:tcPr>
          <w:p w:rsidR="004A1D9B" w:rsidRPr="00051970" w:rsidRDefault="00540B37" w:rsidP="002F22A7">
            <w:pPr>
              <w:rPr>
                <w:rFonts w:ascii="Bookman Old Style" w:hAnsi="Bookman Old Style" w:cs="Arial"/>
                <w:b/>
                <w:sz w:val="20"/>
              </w:rPr>
            </w:pPr>
            <w:r w:rsidRPr="00051970">
              <w:rPr>
                <w:rFonts w:ascii="Bookman Old Style" w:hAnsi="Bookman Old Style" w:cs="Arial"/>
                <w:b/>
                <w:sz w:val="20"/>
              </w:rPr>
              <w:t>Programme Title</w:t>
            </w:r>
          </w:p>
        </w:tc>
        <w:tc>
          <w:tcPr>
            <w:tcW w:w="7380" w:type="dxa"/>
            <w:gridSpan w:val="3"/>
            <w:shd w:val="clear" w:color="auto" w:fill="auto"/>
            <w:vAlign w:val="center"/>
          </w:tcPr>
          <w:p w:rsidR="004A1D9B" w:rsidRPr="00C37188" w:rsidRDefault="00A323F4" w:rsidP="002F22A7">
            <w:pPr>
              <w:rPr>
                <w:rFonts w:ascii="Bookman Old Style" w:hAnsi="Bookman Old Style" w:cs="Arial"/>
                <w:b/>
                <w:sz w:val="20"/>
              </w:rPr>
            </w:pPr>
            <w:r>
              <w:rPr>
                <w:rFonts w:ascii="Bookman Old Style" w:hAnsi="Bookman Old Style" w:cs="Arial"/>
                <w:b/>
                <w:sz w:val="20"/>
              </w:rPr>
              <w:t>Governance</w:t>
            </w:r>
          </w:p>
        </w:tc>
      </w:tr>
      <w:tr w:rsidR="00540B37" w:rsidRPr="00051970" w:rsidTr="00E56BF6">
        <w:trPr>
          <w:trHeight w:val="604"/>
        </w:trPr>
        <w:tc>
          <w:tcPr>
            <w:tcW w:w="2448" w:type="dxa"/>
            <w:tcBorders>
              <w:bottom w:val="single" w:sz="4" w:space="0" w:color="auto"/>
            </w:tcBorders>
            <w:shd w:val="clear" w:color="auto" w:fill="E6E6E6"/>
            <w:vAlign w:val="center"/>
          </w:tcPr>
          <w:p w:rsidR="00540B37" w:rsidRPr="00051970" w:rsidRDefault="00540B37" w:rsidP="002F22A7">
            <w:pPr>
              <w:rPr>
                <w:rFonts w:ascii="Bookman Old Style" w:hAnsi="Bookman Old Style" w:cs="Arial"/>
                <w:b/>
                <w:sz w:val="20"/>
              </w:rPr>
            </w:pPr>
            <w:r w:rsidRPr="00051970">
              <w:rPr>
                <w:rFonts w:ascii="Bookman Old Style" w:hAnsi="Bookman Old Style" w:cs="Arial"/>
                <w:b/>
                <w:sz w:val="20"/>
              </w:rPr>
              <w:t xml:space="preserve">Approved Budget </w:t>
            </w:r>
          </w:p>
          <w:p w:rsidR="00540B37" w:rsidRPr="00051970" w:rsidRDefault="00540B37" w:rsidP="002F22A7">
            <w:pPr>
              <w:rPr>
                <w:rFonts w:ascii="Bookman Old Style" w:hAnsi="Bookman Old Style" w:cs="Arial"/>
                <w:b/>
                <w:sz w:val="20"/>
              </w:rPr>
            </w:pPr>
            <w:r w:rsidRPr="00051970">
              <w:rPr>
                <w:rFonts w:ascii="Bookman Old Style" w:hAnsi="Bookman Old Style" w:cs="Arial"/>
                <w:b/>
                <w:sz w:val="16"/>
              </w:rPr>
              <w:t>(by PO, if applicable)</w:t>
            </w:r>
          </w:p>
        </w:tc>
        <w:tc>
          <w:tcPr>
            <w:tcW w:w="7380" w:type="dxa"/>
            <w:gridSpan w:val="3"/>
            <w:shd w:val="clear" w:color="auto" w:fill="auto"/>
            <w:vAlign w:val="center"/>
          </w:tcPr>
          <w:p w:rsidR="00540B37" w:rsidRPr="00C37188" w:rsidRDefault="00FC5749" w:rsidP="00051970">
            <w:pPr>
              <w:rPr>
                <w:rFonts w:ascii="Bookman Old Style" w:hAnsi="Bookman Old Style" w:cs="Arial"/>
                <w:b/>
                <w:sz w:val="20"/>
              </w:rPr>
            </w:pPr>
            <w:r>
              <w:rPr>
                <w:rFonts w:ascii="Bookman Old Style" w:hAnsi="Bookman Old Style" w:cs="Arial"/>
                <w:b/>
                <w:sz w:val="20"/>
              </w:rPr>
              <w:t>UNDP: 284,199</w:t>
            </w:r>
          </w:p>
          <w:p w:rsidR="00A323F4" w:rsidRPr="00C37188" w:rsidRDefault="00A323F4" w:rsidP="00A323F4">
            <w:pPr>
              <w:rPr>
                <w:rFonts w:ascii="Bookman Old Style" w:hAnsi="Bookman Old Style" w:cs="Arial"/>
                <w:b/>
                <w:sz w:val="20"/>
              </w:rPr>
            </w:pPr>
            <w:r>
              <w:rPr>
                <w:rFonts w:ascii="Bookman Old Style" w:hAnsi="Bookman Old Style" w:cs="Arial"/>
                <w:b/>
                <w:sz w:val="20"/>
              </w:rPr>
              <w:t>UNCDF</w:t>
            </w:r>
            <w:r w:rsidR="00051970" w:rsidRPr="00C37188">
              <w:rPr>
                <w:rFonts w:ascii="Bookman Old Style" w:hAnsi="Bookman Old Style" w:cs="Arial"/>
                <w:b/>
                <w:sz w:val="20"/>
              </w:rPr>
              <w:t xml:space="preserve">: </w:t>
            </w:r>
            <w:r>
              <w:rPr>
                <w:rFonts w:ascii="Bookman Old Style" w:hAnsi="Bookman Old Style" w:cs="Arial"/>
                <w:b/>
                <w:sz w:val="20"/>
              </w:rPr>
              <w:t>20,000</w:t>
            </w:r>
          </w:p>
        </w:tc>
      </w:tr>
      <w:tr w:rsidR="004A1D9B" w:rsidRPr="00051970" w:rsidTr="00540B37">
        <w:trPr>
          <w:trHeight w:val="604"/>
        </w:trPr>
        <w:tc>
          <w:tcPr>
            <w:tcW w:w="2448" w:type="dxa"/>
            <w:shd w:val="clear" w:color="auto" w:fill="E6E6E6"/>
            <w:vAlign w:val="center"/>
          </w:tcPr>
          <w:p w:rsidR="00540B37" w:rsidRPr="00051970" w:rsidRDefault="00540B37" w:rsidP="002F22A7">
            <w:pPr>
              <w:rPr>
                <w:rFonts w:ascii="Bookman Old Style" w:hAnsi="Bookman Old Style" w:cs="Arial"/>
                <w:b/>
                <w:sz w:val="20"/>
              </w:rPr>
            </w:pPr>
            <w:r w:rsidRPr="00051970">
              <w:rPr>
                <w:rFonts w:ascii="Bookman Old Style" w:hAnsi="Bookman Old Style" w:cs="Arial"/>
                <w:b/>
                <w:sz w:val="20"/>
              </w:rPr>
              <w:t xml:space="preserve">Expenditure </w:t>
            </w:r>
          </w:p>
          <w:p w:rsidR="004A1D9B" w:rsidRPr="00051970" w:rsidRDefault="00540B37" w:rsidP="002F22A7">
            <w:pPr>
              <w:rPr>
                <w:rFonts w:ascii="Bookman Old Style" w:hAnsi="Bookman Old Style" w:cs="Arial"/>
                <w:b/>
                <w:sz w:val="20"/>
              </w:rPr>
            </w:pPr>
            <w:r w:rsidRPr="00051970">
              <w:rPr>
                <w:rFonts w:ascii="Bookman Old Style" w:hAnsi="Bookman Old Style" w:cs="Arial"/>
                <w:b/>
                <w:sz w:val="16"/>
              </w:rPr>
              <w:t>(by PO, if applicable)</w:t>
            </w:r>
          </w:p>
        </w:tc>
        <w:tc>
          <w:tcPr>
            <w:tcW w:w="2160" w:type="dxa"/>
            <w:vAlign w:val="center"/>
          </w:tcPr>
          <w:p w:rsidR="004A1D9B" w:rsidRPr="00051970" w:rsidRDefault="00A3771A" w:rsidP="002F22A7">
            <w:pPr>
              <w:rPr>
                <w:rFonts w:ascii="Bookman Old Style" w:hAnsi="Bookman Old Style" w:cs="Arial"/>
                <w:color w:val="000000"/>
                <w:sz w:val="20"/>
              </w:rPr>
            </w:pPr>
            <w:r w:rsidRPr="00051970">
              <w:rPr>
                <w:rFonts w:ascii="Bookman Old Style" w:hAnsi="Bookman Old Style" w:cs="Arial"/>
                <w:color w:val="000000"/>
                <w:sz w:val="20"/>
              </w:rPr>
              <w:t xml:space="preserve">UNDP: </w:t>
            </w:r>
            <w:r w:rsidR="00FC5749">
              <w:rPr>
                <w:rFonts w:ascii="Bookman Old Style" w:hAnsi="Bookman Old Style" w:cs="Arial"/>
                <w:color w:val="000000"/>
                <w:sz w:val="20"/>
              </w:rPr>
              <w:t>272,073</w:t>
            </w:r>
          </w:p>
          <w:p w:rsidR="00A3771A" w:rsidRDefault="00A323F4" w:rsidP="00A323F4">
            <w:pPr>
              <w:rPr>
                <w:rFonts w:ascii="Bookman Old Style" w:hAnsi="Bookman Old Style" w:cs="Arial"/>
                <w:color w:val="000000"/>
                <w:sz w:val="20"/>
              </w:rPr>
            </w:pPr>
            <w:r>
              <w:rPr>
                <w:rFonts w:ascii="Bookman Old Style" w:hAnsi="Bookman Old Style" w:cs="Arial"/>
                <w:color w:val="000000"/>
                <w:sz w:val="20"/>
              </w:rPr>
              <w:t>UNCDF</w:t>
            </w:r>
            <w:r w:rsidR="00A3771A" w:rsidRPr="00051970">
              <w:rPr>
                <w:rFonts w:ascii="Bookman Old Style" w:hAnsi="Bookman Old Style" w:cs="Arial"/>
                <w:color w:val="000000"/>
                <w:sz w:val="20"/>
              </w:rPr>
              <w:t xml:space="preserve">: </w:t>
            </w:r>
            <w:r>
              <w:rPr>
                <w:rFonts w:ascii="Bookman Old Style" w:hAnsi="Bookman Old Style" w:cs="Arial"/>
                <w:color w:val="000000"/>
                <w:sz w:val="20"/>
              </w:rPr>
              <w:t>19,993.00</w:t>
            </w:r>
          </w:p>
          <w:p w:rsidR="00A323F4" w:rsidRPr="00051970" w:rsidRDefault="00A323F4" w:rsidP="00A323F4">
            <w:pPr>
              <w:rPr>
                <w:rFonts w:ascii="Bookman Old Style" w:hAnsi="Bookman Old Style" w:cs="Arial"/>
                <w:color w:val="000000"/>
                <w:sz w:val="20"/>
              </w:rPr>
            </w:pPr>
          </w:p>
        </w:tc>
        <w:tc>
          <w:tcPr>
            <w:tcW w:w="2520" w:type="dxa"/>
            <w:shd w:val="clear" w:color="auto" w:fill="E6E6E6"/>
            <w:vAlign w:val="center"/>
          </w:tcPr>
          <w:p w:rsidR="00540B37" w:rsidRPr="00051970" w:rsidRDefault="004A1D9B" w:rsidP="002F22A7">
            <w:pPr>
              <w:rPr>
                <w:rFonts w:ascii="Bookman Old Style" w:hAnsi="Bookman Old Style" w:cs="Arial"/>
                <w:b/>
                <w:sz w:val="20"/>
              </w:rPr>
            </w:pPr>
            <w:r w:rsidRPr="00051970">
              <w:rPr>
                <w:rFonts w:ascii="Bookman Old Style" w:hAnsi="Bookman Old Style" w:cs="Arial"/>
                <w:b/>
                <w:sz w:val="20"/>
              </w:rPr>
              <w:t>% of Approved</w:t>
            </w:r>
            <w:r w:rsidR="00540B37" w:rsidRPr="00051970">
              <w:rPr>
                <w:rFonts w:ascii="Bookman Old Style" w:hAnsi="Bookman Old Style" w:cs="Arial"/>
                <w:b/>
                <w:sz w:val="20"/>
              </w:rPr>
              <w:t xml:space="preserve"> Budget</w:t>
            </w:r>
          </w:p>
          <w:p w:rsidR="004A1D9B" w:rsidRPr="00051970" w:rsidRDefault="00540B37" w:rsidP="00540B37">
            <w:pPr>
              <w:rPr>
                <w:rFonts w:ascii="Bookman Old Style" w:hAnsi="Bookman Old Style" w:cs="Arial"/>
                <w:b/>
                <w:sz w:val="20"/>
              </w:rPr>
            </w:pPr>
            <w:r w:rsidRPr="00051970">
              <w:rPr>
                <w:rFonts w:ascii="Bookman Old Style" w:hAnsi="Bookman Old Style" w:cs="Arial"/>
                <w:b/>
                <w:sz w:val="16"/>
              </w:rPr>
              <w:t>(by PO, if applicable)</w:t>
            </w:r>
          </w:p>
        </w:tc>
        <w:tc>
          <w:tcPr>
            <w:tcW w:w="2700" w:type="dxa"/>
            <w:vAlign w:val="center"/>
          </w:tcPr>
          <w:p w:rsidR="004A1D9B" w:rsidRPr="00051970" w:rsidRDefault="00051970" w:rsidP="002F22A7">
            <w:pPr>
              <w:rPr>
                <w:rFonts w:ascii="Bookman Old Style" w:hAnsi="Bookman Old Style" w:cs="Arial"/>
                <w:sz w:val="20"/>
              </w:rPr>
            </w:pPr>
            <w:r w:rsidRPr="00051970">
              <w:rPr>
                <w:rFonts w:ascii="Bookman Old Style" w:hAnsi="Bookman Old Style" w:cs="Arial"/>
                <w:sz w:val="20"/>
              </w:rPr>
              <w:t xml:space="preserve">UNDP: </w:t>
            </w:r>
            <w:r w:rsidR="00FC5749">
              <w:rPr>
                <w:rFonts w:ascii="Bookman Old Style" w:hAnsi="Bookman Old Style" w:cs="Arial"/>
                <w:sz w:val="20"/>
              </w:rPr>
              <w:t>96</w:t>
            </w:r>
            <w:r w:rsidRPr="00051970">
              <w:rPr>
                <w:rFonts w:ascii="Bookman Old Style" w:hAnsi="Bookman Old Style" w:cs="Arial"/>
                <w:sz w:val="20"/>
              </w:rPr>
              <w:t>%</w:t>
            </w:r>
          </w:p>
          <w:p w:rsidR="00051970" w:rsidRDefault="00A323F4" w:rsidP="002F22A7">
            <w:pPr>
              <w:rPr>
                <w:rFonts w:ascii="Bookman Old Style" w:hAnsi="Bookman Old Style" w:cs="Arial"/>
                <w:sz w:val="20"/>
              </w:rPr>
            </w:pPr>
            <w:r>
              <w:rPr>
                <w:rFonts w:ascii="Bookman Old Style" w:hAnsi="Bookman Old Style" w:cs="Arial"/>
                <w:sz w:val="20"/>
              </w:rPr>
              <w:t>UNCDF</w:t>
            </w:r>
            <w:r w:rsidR="00051970" w:rsidRPr="00051970">
              <w:rPr>
                <w:rFonts w:ascii="Bookman Old Style" w:hAnsi="Bookman Old Style" w:cs="Arial"/>
                <w:sz w:val="20"/>
              </w:rPr>
              <w:t>: 100%</w:t>
            </w:r>
          </w:p>
          <w:p w:rsidR="00A323F4" w:rsidRPr="00051970" w:rsidRDefault="00A323F4" w:rsidP="002F22A7">
            <w:pPr>
              <w:rPr>
                <w:rFonts w:ascii="Bookman Old Style" w:hAnsi="Bookman Old Style" w:cs="Arial"/>
                <w:sz w:val="20"/>
              </w:rPr>
            </w:pPr>
          </w:p>
        </w:tc>
      </w:tr>
      <w:tr w:rsidR="004A1D9B" w:rsidRPr="00051970" w:rsidTr="00540B37">
        <w:trPr>
          <w:trHeight w:val="604"/>
        </w:trPr>
        <w:tc>
          <w:tcPr>
            <w:tcW w:w="2448" w:type="dxa"/>
            <w:shd w:val="clear" w:color="auto" w:fill="E6E6E6"/>
            <w:vAlign w:val="center"/>
          </w:tcPr>
          <w:p w:rsidR="004A1D9B" w:rsidRPr="00051970" w:rsidRDefault="004A1D9B" w:rsidP="002F22A7">
            <w:pPr>
              <w:rPr>
                <w:rFonts w:ascii="Bookman Old Style" w:hAnsi="Bookman Old Style" w:cs="Arial"/>
                <w:b/>
                <w:sz w:val="20"/>
              </w:rPr>
            </w:pPr>
            <w:r w:rsidRPr="00051970">
              <w:rPr>
                <w:rFonts w:ascii="Bookman Old Style" w:hAnsi="Bookman Old Style" w:cs="Arial"/>
                <w:b/>
                <w:sz w:val="20"/>
              </w:rPr>
              <w:t xml:space="preserve">Forecast Final Date: </w:t>
            </w:r>
          </w:p>
        </w:tc>
        <w:tc>
          <w:tcPr>
            <w:tcW w:w="2160" w:type="dxa"/>
            <w:vAlign w:val="center"/>
          </w:tcPr>
          <w:p w:rsidR="004A1D9B" w:rsidRPr="00051970" w:rsidRDefault="00FC5749" w:rsidP="002F22A7">
            <w:pPr>
              <w:rPr>
                <w:rFonts w:ascii="Bookman Old Style" w:hAnsi="Bookman Old Style" w:cs="Arial"/>
                <w:color w:val="000000"/>
                <w:sz w:val="20"/>
              </w:rPr>
            </w:pPr>
            <w:r>
              <w:rPr>
                <w:rFonts w:ascii="Bookman Old Style" w:hAnsi="Bookman Old Style" w:cs="Arial"/>
                <w:color w:val="000000"/>
                <w:sz w:val="20"/>
              </w:rPr>
              <w:t>31</w:t>
            </w:r>
            <w:r w:rsidRPr="00FC5749">
              <w:rPr>
                <w:rFonts w:ascii="Bookman Old Style" w:hAnsi="Bookman Old Style" w:cs="Arial"/>
                <w:color w:val="000000"/>
                <w:sz w:val="20"/>
                <w:vertAlign w:val="superscript"/>
              </w:rPr>
              <w:t>st</w:t>
            </w:r>
            <w:r>
              <w:rPr>
                <w:rFonts w:ascii="Bookman Old Style" w:hAnsi="Bookman Old Style" w:cs="Arial"/>
                <w:color w:val="000000"/>
                <w:sz w:val="20"/>
              </w:rPr>
              <w:t xml:space="preserve"> December 2010</w:t>
            </w:r>
          </w:p>
        </w:tc>
        <w:tc>
          <w:tcPr>
            <w:tcW w:w="2520" w:type="dxa"/>
            <w:shd w:val="clear" w:color="auto" w:fill="E6E6E6"/>
            <w:vAlign w:val="center"/>
          </w:tcPr>
          <w:p w:rsidR="00540B37" w:rsidRPr="00051970" w:rsidRDefault="004A1D9B" w:rsidP="00540B37">
            <w:pPr>
              <w:rPr>
                <w:rFonts w:ascii="Bookman Old Style" w:hAnsi="Bookman Old Style" w:cs="Arial"/>
                <w:b/>
                <w:sz w:val="20"/>
              </w:rPr>
            </w:pPr>
            <w:r w:rsidRPr="00051970">
              <w:rPr>
                <w:rFonts w:ascii="Bookman Old Style" w:hAnsi="Bookman Old Style" w:cs="Arial"/>
                <w:b/>
                <w:sz w:val="20"/>
              </w:rPr>
              <w:t>Delay</w:t>
            </w:r>
          </w:p>
          <w:p w:rsidR="004A1D9B" w:rsidRPr="00051970" w:rsidRDefault="00540B37" w:rsidP="00540B37">
            <w:pPr>
              <w:rPr>
                <w:rFonts w:ascii="Bookman Old Style" w:hAnsi="Bookman Old Style" w:cs="Arial"/>
                <w:b/>
                <w:sz w:val="20"/>
              </w:rPr>
            </w:pPr>
            <w:r w:rsidRPr="00051970">
              <w:rPr>
                <w:rFonts w:ascii="Bookman Old Style" w:hAnsi="Bookman Old Style" w:cs="Arial"/>
                <w:b/>
                <w:sz w:val="16"/>
              </w:rPr>
              <w:t>(if applicable)</w:t>
            </w:r>
          </w:p>
        </w:tc>
        <w:tc>
          <w:tcPr>
            <w:tcW w:w="2700" w:type="dxa"/>
            <w:vAlign w:val="center"/>
          </w:tcPr>
          <w:p w:rsidR="004A1D9B" w:rsidRPr="00051970" w:rsidRDefault="004A1D9B" w:rsidP="002F22A7">
            <w:pPr>
              <w:rPr>
                <w:rFonts w:ascii="Bookman Old Style" w:hAnsi="Bookman Old Style" w:cs="Arial"/>
                <w:sz w:val="20"/>
              </w:rPr>
            </w:pPr>
          </w:p>
        </w:tc>
      </w:tr>
    </w:tbl>
    <w:p w:rsidR="004A1D9B" w:rsidRPr="00051970" w:rsidRDefault="004A1D9B" w:rsidP="004A1D9B">
      <w:pPr>
        <w:rPr>
          <w:rFonts w:ascii="Bookman Old Style" w:hAnsi="Bookman Old Style" w:cs="Arial"/>
          <w:sz w:val="20"/>
        </w:rPr>
      </w:pPr>
    </w:p>
    <w:p w:rsidR="004A1D9B" w:rsidRPr="00051970" w:rsidRDefault="004A1D9B" w:rsidP="004A1D9B">
      <w:pPr>
        <w:rPr>
          <w:rFonts w:ascii="Bookman Old Style" w:hAnsi="Bookman Old Style"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4A1D9B" w:rsidRPr="00051970" w:rsidTr="00683B25">
        <w:trPr>
          <w:trHeight w:val="463"/>
        </w:trPr>
        <w:tc>
          <w:tcPr>
            <w:tcW w:w="9828" w:type="dxa"/>
            <w:shd w:val="clear" w:color="auto" w:fill="E6E6E6"/>
            <w:vAlign w:val="center"/>
          </w:tcPr>
          <w:p w:rsidR="004A1D9B" w:rsidRPr="00051970" w:rsidRDefault="004A1D9B" w:rsidP="00503A1E">
            <w:pPr>
              <w:rPr>
                <w:rFonts w:ascii="Bookman Old Style" w:hAnsi="Bookman Old Style" w:cs="Arial"/>
                <w:color w:val="000000"/>
                <w:sz w:val="20"/>
              </w:rPr>
            </w:pPr>
            <w:r w:rsidRPr="00051970">
              <w:rPr>
                <w:rFonts w:ascii="Bookman Old Style" w:hAnsi="Bookman Old Style" w:cs="Arial"/>
                <w:b/>
                <w:sz w:val="20"/>
              </w:rPr>
              <w:t>Qualitative achievements:</w:t>
            </w:r>
          </w:p>
        </w:tc>
      </w:tr>
      <w:tr w:rsidR="004A1D9B" w:rsidRPr="00051970" w:rsidTr="00FC5749">
        <w:trPr>
          <w:trHeight w:val="800"/>
        </w:trPr>
        <w:tc>
          <w:tcPr>
            <w:tcW w:w="9828" w:type="dxa"/>
          </w:tcPr>
          <w:p w:rsidR="008F52D6" w:rsidRPr="00211167" w:rsidRDefault="008F52D6" w:rsidP="008F52D6">
            <w:pPr>
              <w:pStyle w:val="ListParagraph"/>
              <w:numPr>
                <w:ilvl w:val="0"/>
                <w:numId w:val="19"/>
              </w:numPr>
              <w:jc w:val="both"/>
              <w:rPr>
                <w:rFonts w:ascii="Bookman Old Style" w:hAnsi="Bookman Old Style" w:cs="Arial"/>
                <w:color w:val="000000"/>
                <w:sz w:val="20"/>
              </w:rPr>
            </w:pPr>
            <w:r w:rsidRPr="00211167">
              <w:rPr>
                <w:rFonts w:ascii="Bookman Old Style" w:hAnsi="Bookman Old Style" w:cs="Arial"/>
                <w:color w:val="000000"/>
                <w:sz w:val="20"/>
              </w:rPr>
              <w:t xml:space="preserve">Training of the health workers of the Forensic Unit and the Jigme Dorji </w:t>
            </w:r>
            <w:proofErr w:type="spellStart"/>
            <w:r w:rsidRPr="00211167">
              <w:rPr>
                <w:rFonts w:ascii="Bookman Old Style" w:hAnsi="Bookman Old Style" w:cs="Arial"/>
                <w:color w:val="000000"/>
                <w:sz w:val="20"/>
              </w:rPr>
              <w:t>Wangchuck</w:t>
            </w:r>
            <w:proofErr w:type="spellEnd"/>
            <w:r w:rsidRPr="00211167">
              <w:rPr>
                <w:rFonts w:ascii="Bookman Old Style" w:hAnsi="Bookman Old Style" w:cs="Arial"/>
                <w:color w:val="000000"/>
                <w:sz w:val="20"/>
              </w:rPr>
              <w:t xml:space="preserve"> National Referral Hospital on domestic violence and sexual assault management sensitized the health workers on the dimensions of the VAW including sexual violence and enhanced their capacity in dealing with victims of violence in health care settings through professional approach including systematic documentation and referrals. The Forensic Unit was further strengthened through the procurement of equipments for the one-stop crisis </w:t>
            </w:r>
            <w:proofErr w:type="spellStart"/>
            <w:r w:rsidRPr="00211167">
              <w:rPr>
                <w:rFonts w:ascii="Bookman Old Style" w:hAnsi="Bookman Old Style" w:cs="Arial"/>
                <w:color w:val="000000"/>
                <w:sz w:val="20"/>
              </w:rPr>
              <w:t>center</w:t>
            </w:r>
            <w:proofErr w:type="spellEnd"/>
            <w:r w:rsidRPr="00211167">
              <w:rPr>
                <w:rFonts w:ascii="Bookman Old Style" w:hAnsi="Bookman Old Style" w:cs="Arial"/>
                <w:color w:val="000000"/>
                <w:sz w:val="20"/>
              </w:rPr>
              <w:t>.</w:t>
            </w:r>
          </w:p>
          <w:p w:rsidR="008F52D6" w:rsidRDefault="008F52D6" w:rsidP="008F52D6">
            <w:pPr>
              <w:jc w:val="both"/>
              <w:rPr>
                <w:rFonts w:ascii="Bookman Old Style" w:hAnsi="Bookman Old Style" w:cs="Arial"/>
                <w:color w:val="000000"/>
                <w:sz w:val="20"/>
              </w:rPr>
            </w:pPr>
          </w:p>
          <w:p w:rsidR="008F52D6" w:rsidRDefault="008F52D6" w:rsidP="008F52D6">
            <w:pPr>
              <w:pStyle w:val="ListParagraph"/>
              <w:numPr>
                <w:ilvl w:val="0"/>
                <w:numId w:val="19"/>
              </w:numPr>
              <w:jc w:val="both"/>
              <w:rPr>
                <w:rFonts w:ascii="Bookman Old Style" w:hAnsi="Bookman Old Style" w:cs="Arial"/>
                <w:color w:val="000000"/>
                <w:sz w:val="20"/>
              </w:rPr>
            </w:pPr>
            <w:r w:rsidRPr="00211167">
              <w:rPr>
                <w:rFonts w:ascii="Bookman Old Style" w:hAnsi="Bookman Old Style" w:cs="Arial"/>
                <w:color w:val="000000"/>
                <w:sz w:val="20"/>
              </w:rPr>
              <w:t xml:space="preserve">To support the </w:t>
            </w:r>
            <w:proofErr w:type="spellStart"/>
            <w:r w:rsidRPr="00211167">
              <w:rPr>
                <w:rFonts w:ascii="Bookman Old Style" w:hAnsi="Bookman Old Style" w:cs="Arial"/>
                <w:color w:val="000000"/>
                <w:sz w:val="20"/>
              </w:rPr>
              <w:t>operationalization</w:t>
            </w:r>
            <w:proofErr w:type="spellEnd"/>
            <w:r w:rsidRPr="00211167">
              <w:rPr>
                <w:rFonts w:ascii="Bookman Old Style" w:hAnsi="Bookman Old Style" w:cs="Arial"/>
                <w:color w:val="000000"/>
                <w:sz w:val="20"/>
              </w:rPr>
              <w:t xml:space="preserve"> of the Community Information Centres established in rural areas, an Operational manual and a business model was developed for the operators of 6 targeted CICs. The manuals will support the operators in adopting public-private partnerships, which is expected to make their CICs better sustainable.</w:t>
            </w:r>
          </w:p>
          <w:p w:rsidR="008F52D6" w:rsidRPr="00211167" w:rsidRDefault="008F52D6" w:rsidP="008F52D6">
            <w:pPr>
              <w:pStyle w:val="ListParagraph"/>
              <w:jc w:val="both"/>
              <w:rPr>
                <w:rFonts w:ascii="Bookman Old Style" w:hAnsi="Bookman Old Style" w:cs="Arial"/>
                <w:color w:val="000000"/>
                <w:sz w:val="20"/>
              </w:rPr>
            </w:pPr>
          </w:p>
          <w:p w:rsidR="008F52D6" w:rsidRDefault="008F52D6" w:rsidP="008F52D6">
            <w:pPr>
              <w:pStyle w:val="ListParagraph"/>
              <w:numPr>
                <w:ilvl w:val="0"/>
                <w:numId w:val="19"/>
              </w:numPr>
              <w:jc w:val="both"/>
              <w:rPr>
                <w:rFonts w:ascii="Bookman Old Style" w:hAnsi="Bookman Old Style" w:cs="Arial"/>
                <w:color w:val="000000"/>
                <w:sz w:val="20"/>
              </w:rPr>
            </w:pPr>
            <w:r>
              <w:rPr>
                <w:rFonts w:ascii="Bookman Old Style" w:hAnsi="Bookman Old Style" w:cs="Arial"/>
                <w:color w:val="000000"/>
                <w:sz w:val="20"/>
              </w:rPr>
              <w:t>Technical assistance provided to the Department of Local Governments enabled it to assess and formulate an action plan for a Capacity Development Strategy and Vision. The Strategy will enable agencies and local governments to coordinate, train and identify the capacity needs of local governments to improve planning, budgeting and implementation of activities.  The strategy looks at a more demand driven approach to capacity rather than the current supply driven approach and needs.</w:t>
            </w:r>
          </w:p>
          <w:p w:rsidR="003A478A" w:rsidRPr="003A478A" w:rsidRDefault="003A478A" w:rsidP="003A478A">
            <w:pPr>
              <w:jc w:val="both"/>
              <w:rPr>
                <w:rFonts w:ascii="Bookman Old Style" w:hAnsi="Bookman Old Style" w:cs="Arial"/>
                <w:color w:val="000000"/>
                <w:sz w:val="20"/>
              </w:rPr>
            </w:pPr>
          </w:p>
          <w:p w:rsidR="003A478A" w:rsidRPr="00211167" w:rsidRDefault="003A478A" w:rsidP="00FC5749">
            <w:pPr>
              <w:pStyle w:val="ListParagraph"/>
              <w:numPr>
                <w:ilvl w:val="0"/>
                <w:numId w:val="19"/>
              </w:numPr>
              <w:jc w:val="both"/>
              <w:rPr>
                <w:rFonts w:ascii="Bookman Old Style" w:hAnsi="Bookman Old Style" w:cs="Arial"/>
                <w:color w:val="000000"/>
                <w:sz w:val="20"/>
              </w:rPr>
            </w:pPr>
            <w:r>
              <w:rPr>
                <w:rFonts w:ascii="Bookman Old Style" w:hAnsi="Bookman Old Style" w:cs="Arial"/>
                <w:color w:val="000000"/>
                <w:sz w:val="20"/>
              </w:rPr>
              <w:t>Capacities of six e</w:t>
            </w:r>
            <w:r w:rsidRPr="003A478A">
              <w:rPr>
                <w:rFonts w:ascii="Bookman Old Style" w:hAnsi="Bookman Old Style" w:cs="Arial"/>
                <w:color w:val="000000"/>
                <w:sz w:val="20"/>
              </w:rPr>
              <w:t xml:space="preserve">lectoral </w:t>
            </w:r>
            <w:r>
              <w:rPr>
                <w:rFonts w:ascii="Bookman Old Style" w:hAnsi="Bookman Old Style" w:cs="Arial"/>
                <w:color w:val="000000"/>
                <w:sz w:val="20"/>
              </w:rPr>
              <w:t>officers</w:t>
            </w:r>
            <w:r w:rsidRPr="003A478A">
              <w:rPr>
                <w:rFonts w:ascii="Bookman Old Style" w:hAnsi="Bookman Old Style" w:cs="Arial"/>
                <w:color w:val="000000"/>
                <w:sz w:val="20"/>
              </w:rPr>
              <w:t xml:space="preserve"> </w:t>
            </w:r>
            <w:r>
              <w:rPr>
                <w:rFonts w:ascii="Bookman Old Style" w:hAnsi="Bookman Old Style" w:cs="Arial"/>
                <w:color w:val="000000"/>
                <w:sz w:val="20"/>
              </w:rPr>
              <w:t>from</w:t>
            </w:r>
            <w:r w:rsidRPr="003A478A">
              <w:rPr>
                <w:rFonts w:ascii="Bookman Old Style" w:hAnsi="Bookman Old Style" w:cs="Arial"/>
                <w:color w:val="000000"/>
                <w:sz w:val="20"/>
              </w:rPr>
              <w:t xml:space="preserve"> national and local levels</w:t>
            </w:r>
            <w:r>
              <w:rPr>
                <w:rFonts w:ascii="Bookman Old Style" w:hAnsi="Bookman Old Style" w:cs="Arial"/>
                <w:color w:val="000000"/>
                <w:sz w:val="20"/>
              </w:rPr>
              <w:t xml:space="preserve"> were strengthened </w:t>
            </w:r>
            <w:r w:rsidRPr="003A478A">
              <w:rPr>
                <w:rFonts w:ascii="Bookman Old Style" w:hAnsi="Bookman Old Style" w:cs="Arial"/>
                <w:color w:val="000000"/>
                <w:sz w:val="20"/>
              </w:rPr>
              <w:t xml:space="preserve">in the conduct of elections and </w:t>
            </w:r>
            <w:r>
              <w:rPr>
                <w:rFonts w:ascii="Bookman Old Style" w:hAnsi="Bookman Old Style" w:cs="Arial"/>
                <w:color w:val="000000"/>
                <w:sz w:val="20"/>
              </w:rPr>
              <w:t xml:space="preserve">their </w:t>
            </w:r>
            <w:r w:rsidRPr="003A478A">
              <w:rPr>
                <w:rFonts w:ascii="Bookman Old Style" w:hAnsi="Bookman Old Style" w:cs="Arial"/>
                <w:color w:val="000000"/>
                <w:sz w:val="20"/>
              </w:rPr>
              <w:t xml:space="preserve">understanding of </w:t>
            </w:r>
            <w:r>
              <w:rPr>
                <w:rFonts w:ascii="Bookman Old Style" w:hAnsi="Bookman Old Style" w:cs="Arial"/>
                <w:color w:val="000000"/>
                <w:sz w:val="20"/>
              </w:rPr>
              <w:t xml:space="preserve">the </w:t>
            </w:r>
            <w:r w:rsidRPr="003A478A">
              <w:rPr>
                <w:rFonts w:ascii="Bookman Old Style" w:hAnsi="Bookman Old Style" w:cs="Arial"/>
                <w:color w:val="000000"/>
                <w:sz w:val="20"/>
              </w:rPr>
              <w:t>electoral system and processes</w:t>
            </w:r>
            <w:r w:rsidR="001504C6">
              <w:rPr>
                <w:rFonts w:ascii="Bookman Old Style" w:hAnsi="Bookman Old Style" w:cs="Arial"/>
                <w:color w:val="000000"/>
                <w:sz w:val="20"/>
              </w:rPr>
              <w:t xml:space="preserve"> through an exposure visit in the region</w:t>
            </w:r>
            <w:r>
              <w:rPr>
                <w:rFonts w:ascii="Bookman Old Style" w:hAnsi="Bookman Old Style" w:cs="Arial"/>
                <w:color w:val="000000"/>
                <w:sz w:val="20"/>
              </w:rPr>
              <w:t>. An ‘</w:t>
            </w:r>
            <w:r w:rsidRPr="003A478A">
              <w:rPr>
                <w:rFonts w:ascii="Bookman Old Style" w:hAnsi="Bookman Old Style" w:cs="Arial"/>
                <w:color w:val="000000"/>
                <w:sz w:val="20"/>
              </w:rPr>
              <w:t>Asset and Inventory Management System</w:t>
            </w:r>
            <w:r>
              <w:rPr>
                <w:rFonts w:ascii="Bookman Old Style" w:hAnsi="Bookman Old Style" w:cs="Arial"/>
                <w:color w:val="000000"/>
                <w:sz w:val="20"/>
              </w:rPr>
              <w:t xml:space="preserve">’ </w:t>
            </w:r>
            <w:r w:rsidR="00E56514" w:rsidRPr="003A478A">
              <w:rPr>
                <w:rFonts w:ascii="Bookman Old Style" w:hAnsi="Bookman Old Style" w:cs="Arial"/>
                <w:color w:val="000000"/>
                <w:sz w:val="20"/>
              </w:rPr>
              <w:t xml:space="preserve">to enhance voter registration and identification in elections, inventory and personnel management </w:t>
            </w:r>
            <w:r>
              <w:rPr>
                <w:rFonts w:ascii="Bookman Old Style" w:hAnsi="Bookman Old Style" w:cs="Arial"/>
                <w:color w:val="000000"/>
                <w:sz w:val="20"/>
              </w:rPr>
              <w:t xml:space="preserve">was developed and </w:t>
            </w:r>
            <w:r w:rsidR="00E56514">
              <w:rPr>
                <w:rFonts w:ascii="Bookman Old Style" w:hAnsi="Bookman Old Style" w:cs="Arial"/>
                <w:color w:val="000000"/>
                <w:sz w:val="20"/>
              </w:rPr>
              <w:t>capacities of 30</w:t>
            </w:r>
            <w:r>
              <w:rPr>
                <w:rFonts w:ascii="Bookman Old Style" w:hAnsi="Bookman Old Style" w:cs="Arial"/>
                <w:color w:val="000000"/>
                <w:sz w:val="20"/>
              </w:rPr>
              <w:t xml:space="preserve"> officials strengthened as </w:t>
            </w:r>
            <w:r w:rsidRPr="003A478A">
              <w:rPr>
                <w:rFonts w:ascii="Bookman Old Style" w:hAnsi="Bookman Old Style" w:cs="Arial"/>
                <w:color w:val="000000"/>
                <w:sz w:val="20"/>
              </w:rPr>
              <w:t>end-user</w:t>
            </w:r>
            <w:r>
              <w:rPr>
                <w:rFonts w:ascii="Bookman Old Style" w:hAnsi="Bookman Old Style" w:cs="Arial"/>
                <w:color w:val="000000"/>
                <w:sz w:val="20"/>
              </w:rPr>
              <w:t>s</w:t>
            </w:r>
            <w:r w:rsidR="00E56514">
              <w:rPr>
                <w:rFonts w:ascii="Bookman Old Style" w:hAnsi="Bookman Old Style" w:cs="Arial"/>
                <w:color w:val="000000"/>
                <w:sz w:val="20"/>
              </w:rPr>
              <w:t xml:space="preserve"> to implement this system effectively</w:t>
            </w:r>
            <w:r w:rsidR="0001542B">
              <w:rPr>
                <w:rFonts w:ascii="Bookman Old Style" w:hAnsi="Bookman Old Style" w:cs="Arial"/>
                <w:color w:val="000000"/>
                <w:sz w:val="20"/>
              </w:rPr>
              <w:t xml:space="preserve">. A </w:t>
            </w:r>
            <w:r w:rsidR="001504C6">
              <w:rPr>
                <w:rFonts w:ascii="Bookman Old Style" w:hAnsi="Bookman Old Style" w:cs="Arial"/>
                <w:color w:val="000000"/>
                <w:sz w:val="20"/>
              </w:rPr>
              <w:t>t</w:t>
            </w:r>
            <w:r w:rsidR="0001542B">
              <w:rPr>
                <w:rFonts w:ascii="Bookman Old Style" w:hAnsi="Bookman Old Style" w:cs="Arial"/>
                <w:color w:val="000000"/>
                <w:sz w:val="20"/>
              </w:rPr>
              <w:t>r</w:t>
            </w:r>
            <w:r w:rsidR="001504C6">
              <w:rPr>
                <w:rFonts w:ascii="Bookman Old Style" w:hAnsi="Bookman Old Style" w:cs="Arial"/>
                <w:color w:val="000000"/>
                <w:sz w:val="20"/>
              </w:rPr>
              <w:t xml:space="preserve">aining of trainers program </w:t>
            </w:r>
            <w:r w:rsidR="0001542B">
              <w:rPr>
                <w:rFonts w:ascii="Bookman Old Style" w:hAnsi="Bookman Old Style" w:cs="Arial"/>
                <w:color w:val="000000"/>
                <w:sz w:val="20"/>
              </w:rPr>
              <w:t xml:space="preserve">developed capacities of 14 officials to become effective in undertaking gender sensitized voter education for the </w:t>
            </w:r>
            <w:r w:rsidR="001504C6">
              <w:rPr>
                <w:rFonts w:ascii="Bookman Old Style" w:hAnsi="Bookman Old Style" w:cs="Arial"/>
                <w:color w:val="000000"/>
                <w:sz w:val="20"/>
              </w:rPr>
              <w:lastRenderedPageBreak/>
              <w:t xml:space="preserve">upcoming </w:t>
            </w:r>
            <w:r w:rsidR="0001542B">
              <w:rPr>
                <w:rFonts w:ascii="Bookman Old Style" w:hAnsi="Bookman Old Style" w:cs="Arial"/>
                <w:color w:val="000000"/>
                <w:sz w:val="20"/>
              </w:rPr>
              <w:t>local government election</w:t>
            </w:r>
            <w:r w:rsidR="001504C6">
              <w:rPr>
                <w:rFonts w:ascii="Bookman Old Style" w:hAnsi="Bookman Old Style" w:cs="Arial"/>
                <w:color w:val="000000"/>
                <w:sz w:val="20"/>
              </w:rPr>
              <w:t>s to enhance</w:t>
            </w:r>
            <w:r w:rsidR="001504C6" w:rsidRPr="003A478A">
              <w:rPr>
                <w:rFonts w:ascii="Bookman Old Style" w:hAnsi="Bookman Old Style" w:cs="Arial"/>
                <w:color w:val="000000"/>
                <w:sz w:val="20"/>
              </w:rPr>
              <w:t xml:space="preserve"> women's participation</w:t>
            </w:r>
            <w:r w:rsidR="001504C6">
              <w:rPr>
                <w:rFonts w:ascii="Bookman Old Style" w:hAnsi="Bookman Old Style" w:cs="Arial"/>
                <w:color w:val="000000"/>
                <w:sz w:val="20"/>
              </w:rPr>
              <w:t>.  To strengthen awareness and understanding of local elections and gender discrimination 14 officials participated as observers in the elections in India.</w:t>
            </w:r>
          </w:p>
        </w:tc>
      </w:tr>
    </w:tbl>
    <w:p w:rsidR="004A1D9B" w:rsidRPr="00051970" w:rsidRDefault="004A1D9B" w:rsidP="004A1D9B">
      <w:pPr>
        <w:rPr>
          <w:rFonts w:ascii="Bookman Old Style" w:hAnsi="Bookman Old Style" w:cs="Arial"/>
          <w:color w:val="000000"/>
          <w:sz w:val="20"/>
        </w:rPr>
      </w:pPr>
    </w:p>
    <w:sectPr w:rsidR="004A1D9B" w:rsidRPr="00051970" w:rsidSect="003342AD">
      <w:footerReference w:type="even" r:id="rId8"/>
      <w:footerReference w:type="default" r:id="rId9"/>
      <w:pgSz w:w="11906" w:h="16838"/>
      <w:pgMar w:top="1080" w:right="113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F3" w:rsidRDefault="003426F3">
      <w:r>
        <w:separator/>
      </w:r>
    </w:p>
  </w:endnote>
  <w:endnote w:type="continuationSeparator" w:id="0">
    <w:p w:rsidR="003426F3" w:rsidRDefault="00342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1E" w:rsidRDefault="007943FE" w:rsidP="00971C84">
    <w:pPr>
      <w:pStyle w:val="Footer"/>
      <w:framePr w:wrap="around" w:vAnchor="text" w:hAnchor="margin" w:xAlign="center" w:y="1"/>
      <w:rPr>
        <w:rStyle w:val="PageNumber"/>
      </w:rPr>
    </w:pPr>
    <w:r>
      <w:rPr>
        <w:rStyle w:val="PageNumber"/>
      </w:rPr>
      <w:fldChar w:fldCharType="begin"/>
    </w:r>
    <w:r w:rsidR="00503A1E">
      <w:rPr>
        <w:rStyle w:val="PageNumber"/>
      </w:rPr>
      <w:instrText xml:space="preserve">PAGE  </w:instrText>
    </w:r>
    <w:r>
      <w:rPr>
        <w:rStyle w:val="PageNumber"/>
      </w:rPr>
      <w:fldChar w:fldCharType="separate"/>
    </w:r>
    <w:r w:rsidR="00503A1E">
      <w:rPr>
        <w:rStyle w:val="PageNumber"/>
        <w:noProof/>
      </w:rPr>
      <w:t>2</w:t>
    </w:r>
    <w:r>
      <w:rPr>
        <w:rStyle w:val="PageNumber"/>
      </w:rPr>
      <w:fldChar w:fldCharType="end"/>
    </w:r>
  </w:p>
  <w:p w:rsidR="00503A1E" w:rsidRDefault="00503A1E" w:rsidP="008059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1E" w:rsidRDefault="00503A1E" w:rsidP="008059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F3" w:rsidRDefault="003426F3">
      <w:r>
        <w:separator/>
      </w:r>
    </w:p>
  </w:footnote>
  <w:footnote w:type="continuationSeparator" w:id="0">
    <w:p w:rsidR="003426F3" w:rsidRDefault="00342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5E8FD2"/>
    <w:lvl w:ilvl="0">
      <w:numFmt w:val="decimal"/>
      <w:lvlText w:val="*"/>
      <w:lvlJc w:val="left"/>
    </w:lvl>
  </w:abstractNum>
  <w:abstractNum w:abstractNumId="1">
    <w:nsid w:val="048F1B8C"/>
    <w:multiLevelType w:val="hybridMultilevel"/>
    <w:tmpl w:val="E6B0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0D85CC5"/>
    <w:multiLevelType w:val="hybridMultilevel"/>
    <w:tmpl w:val="84FAFF9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49A0916"/>
    <w:multiLevelType w:val="hybridMultilevel"/>
    <w:tmpl w:val="6E7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85030"/>
    <w:multiLevelType w:val="hybridMultilevel"/>
    <w:tmpl w:val="F2124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00D1C51"/>
    <w:multiLevelType w:val="hybridMultilevel"/>
    <w:tmpl w:val="0E6ED8B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32ED7274"/>
    <w:multiLevelType w:val="hybridMultilevel"/>
    <w:tmpl w:val="46C8D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1332C"/>
    <w:multiLevelType w:val="hybridMultilevel"/>
    <w:tmpl w:val="C1E27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CF764C"/>
    <w:multiLevelType w:val="hybridMultilevel"/>
    <w:tmpl w:val="4684C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377AC0"/>
    <w:multiLevelType w:val="hybridMultilevel"/>
    <w:tmpl w:val="B390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F1B98"/>
    <w:multiLevelType w:val="hybridMultilevel"/>
    <w:tmpl w:val="A0C07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BF336E3"/>
    <w:multiLevelType w:val="hybridMultilevel"/>
    <w:tmpl w:val="BBB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662D8"/>
    <w:multiLevelType w:val="hybridMultilevel"/>
    <w:tmpl w:val="0F6624FE"/>
    <w:lvl w:ilvl="0" w:tplc="F976C708">
      <w:start w:val="1"/>
      <w:numFmt w:val="lowerRoman"/>
      <w:lvlText w:val="(%1)"/>
      <w:lvlJc w:val="left"/>
      <w:pPr>
        <w:tabs>
          <w:tab w:val="num" w:pos="1080"/>
        </w:tabs>
        <w:ind w:left="108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6272060F"/>
    <w:multiLevelType w:val="hybridMultilevel"/>
    <w:tmpl w:val="5170C26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6E921782"/>
    <w:multiLevelType w:val="hybridMultilevel"/>
    <w:tmpl w:val="BAFE18E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2"/>
  </w:num>
  <w:num w:numId="3">
    <w:abstractNumId w:val="8"/>
  </w:num>
  <w:num w:numId="4">
    <w:abstractNumId w:val="16"/>
  </w:num>
  <w:num w:numId="5">
    <w:abstractNumId w:val="6"/>
  </w:num>
  <w:num w:numId="6">
    <w:abstractNumId w:val="13"/>
  </w:num>
  <w:num w:numId="7">
    <w:abstractNumId w:val="14"/>
  </w:num>
  <w:num w:numId="8">
    <w:abstractNumId w:val="2"/>
  </w:num>
  <w:num w:numId="9">
    <w:abstractNumId w:val="17"/>
  </w:num>
  <w:num w:numId="10">
    <w:abstractNumId w:val="7"/>
  </w:num>
  <w:num w:numId="11">
    <w:abstractNumId w:val="3"/>
  </w:num>
  <w:num w:numId="12">
    <w:abstractNumId w:val="18"/>
  </w:num>
  <w:num w:numId="13">
    <w:abstractNumId w:val="10"/>
  </w:num>
  <w:num w:numId="14">
    <w:abstractNumId w:val="5"/>
  </w:num>
  <w:num w:numId="15">
    <w:abstractNumId w:val="9"/>
  </w:num>
  <w:num w:numId="16">
    <w:abstractNumId w:val="4"/>
  </w:num>
  <w:num w:numId="17">
    <w:abstractNumId w:val="1"/>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C32D8"/>
    <w:rsid w:val="0001542B"/>
    <w:rsid w:val="00051970"/>
    <w:rsid w:val="00077096"/>
    <w:rsid w:val="000B126A"/>
    <w:rsid w:val="000D1571"/>
    <w:rsid w:val="00123976"/>
    <w:rsid w:val="00140D57"/>
    <w:rsid w:val="001504C6"/>
    <w:rsid w:val="00170A90"/>
    <w:rsid w:val="001E07FB"/>
    <w:rsid w:val="00211167"/>
    <w:rsid w:val="002A3457"/>
    <w:rsid w:val="002B356D"/>
    <w:rsid w:val="002C6DF8"/>
    <w:rsid w:val="002D2D38"/>
    <w:rsid w:val="002F22A7"/>
    <w:rsid w:val="002F5642"/>
    <w:rsid w:val="003342AD"/>
    <w:rsid w:val="003426F3"/>
    <w:rsid w:val="00356041"/>
    <w:rsid w:val="003A478A"/>
    <w:rsid w:val="003D588F"/>
    <w:rsid w:val="004032AC"/>
    <w:rsid w:val="00441220"/>
    <w:rsid w:val="0048658C"/>
    <w:rsid w:val="00497F9D"/>
    <w:rsid w:val="004A1D9B"/>
    <w:rsid w:val="004C33DD"/>
    <w:rsid w:val="00503A1E"/>
    <w:rsid w:val="00540B37"/>
    <w:rsid w:val="005627CA"/>
    <w:rsid w:val="00573AC8"/>
    <w:rsid w:val="00593787"/>
    <w:rsid w:val="005A497D"/>
    <w:rsid w:val="005B7176"/>
    <w:rsid w:val="00602DB6"/>
    <w:rsid w:val="0066511E"/>
    <w:rsid w:val="006724F3"/>
    <w:rsid w:val="00683B25"/>
    <w:rsid w:val="00707DCB"/>
    <w:rsid w:val="00711454"/>
    <w:rsid w:val="007740F6"/>
    <w:rsid w:val="007943FE"/>
    <w:rsid w:val="007C5271"/>
    <w:rsid w:val="007D1C34"/>
    <w:rsid w:val="007F0817"/>
    <w:rsid w:val="007F4CF6"/>
    <w:rsid w:val="00805982"/>
    <w:rsid w:val="00814871"/>
    <w:rsid w:val="00870C72"/>
    <w:rsid w:val="00893FB9"/>
    <w:rsid w:val="008F52D6"/>
    <w:rsid w:val="00925C92"/>
    <w:rsid w:val="00971C84"/>
    <w:rsid w:val="0097704B"/>
    <w:rsid w:val="00980DF2"/>
    <w:rsid w:val="0099328C"/>
    <w:rsid w:val="009B757E"/>
    <w:rsid w:val="009E4458"/>
    <w:rsid w:val="00A323F4"/>
    <w:rsid w:val="00A32AD9"/>
    <w:rsid w:val="00A3771A"/>
    <w:rsid w:val="00A470EC"/>
    <w:rsid w:val="00AA4E5E"/>
    <w:rsid w:val="00AE152C"/>
    <w:rsid w:val="00B076F7"/>
    <w:rsid w:val="00B52C6F"/>
    <w:rsid w:val="00B93790"/>
    <w:rsid w:val="00BE329F"/>
    <w:rsid w:val="00BE667D"/>
    <w:rsid w:val="00BF094D"/>
    <w:rsid w:val="00C11429"/>
    <w:rsid w:val="00C37188"/>
    <w:rsid w:val="00C56C05"/>
    <w:rsid w:val="00C77128"/>
    <w:rsid w:val="00C9721E"/>
    <w:rsid w:val="00CD0F46"/>
    <w:rsid w:val="00CD1598"/>
    <w:rsid w:val="00D0288D"/>
    <w:rsid w:val="00D2326F"/>
    <w:rsid w:val="00D338CD"/>
    <w:rsid w:val="00D565A5"/>
    <w:rsid w:val="00D57000"/>
    <w:rsid w:val="00E05CE2"/>
    <w:rsid w:val="00E24B51"/>
    <w:rsid w:val="00E27684"/>
    <w:rsid w:val="00E308D8"/>
    <w:rsid w:val="00E44FC9"/>
    <w:rsid w:val="00E56514"/>
    <w:rsid w:val="00E56BF6"/>
    <w:rsid w:val="00E752C6"/>
    <w:rsid w:val="00EA0ABC"/>
    <w:rsid w:val="00EA2890"/>
    <w:rsid w:val="00EB5BEC"/>
    <w:rsid w:val="00F02343"/>
    <w:rsid w:val="00F4181B"/>
    <w:rsid w:val="00F55714"/>
    <w:rsid w:val="00F76CB2"/>
    <w:rsid w:val="00FA59B3"/>
    <w:rsid w:val="00FC32D8"/>
    <w:rsid w:val="00FC5749"/>
    <w:rsid w:val="00FD023F"/>
    <w:rsid w:val="00FE0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2D8"/>
    <w:pPr>
      <w:widowControl w:val="0"/>
    </w:pPr>
    <w:rPr>
      <w:snapToGrid w:val="0"/>
      <w:sz w:val="24"/>
      <w:lang w:val="en-GB"/>
    </w:rPr>
  </w:style>
  <w:style w:type="paragraph" w:styleId="Heading3">
    <w:name w:val="heading 3"/>
    <w:basedOn w:val="Normal"/>
    <w:next w:val="Normal"/>
    <w:link w:val="Heading3Char"/>
    <w:qFormat/>
    <w:rsid w:val="00805982"/>
    <w:pPr>
      <w:keepNext/>
      <w:tabs>
        <w:tab w:val="left" w:pos="0"/>
        <w:tab w:val="left" w:pos="720"/>
        <w:tab w:val="left" w:pos="1080"/>
        <w:tab w:val="left" w:pos="1440"/>
        <w:tab w:val="left" w:pos="1800"/>
      </w:tabs>
      <w:autoSpaceDE w:val="0"/>
      <w:autoSpaceDN w:val="0"/>
      <w:adjustRightInd w:val="0"/>
      <w:outlineLvl w:val="2"/>
    </w:pPr>
    <w:rPr>
      <w:b/>
      <w:bCs/>
      <w:snapToGrid/>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2D8"/>
    <w:pPr>
      <w:tabs>
        <w:tab w:val="center" w:pos="4320"/>
        <w:tab w:val="right" w:pos="8640"/>
      </w:tabs>
    </w:pPr>
  </w:style>
  <w:style w:type="paragraph" w:styleId="FootnoteText">
    <w:name w:val="footnote text"/>
    <w:basedOn w:val="Normal"/>
    <w:semiHidden/>
    <w:rsid w:val="00FC32D8"/>
    <w:rPr>
      <w:sz w:val="20"/>
    </w:rPr>
  </w:style>
  <w:style w:type="paragraph" w:styleId="BalloonText">
    <w:name w:val="Balloon Text"/>
    <w:basedOn w:val="Normal"/>
    <w:semiHidden/>
    <w:rsid w:val="00FC32D8"/>
    <w:rPr>
      <w:rFonts w:ascii="Tahoma" w:hAnsi="Tahoma" w:cs="Tahoma"/>
      <w:sz w:val="16"/>
      <w:szCs w:val="16"/>
    </w:rPr>
  </w:style>
  <w:style w:type="paragraph" w:styleId="Footer">
    <w:name w:val="footer"/>
    <w:basedOn w:val="Normal"/>
    <w:rsid w:val="00805982"/>
    <w:pPr>
      <w:tabs>
        <w:tab w:val="center" w:pos="4320"/>
        <w:tab w:val="right" w:pos="8640"/>
      </w:tabs>
    </w:pPr>
  </w:style>
  <w:style w:type="character" w:styleId="PageNumber">
    <w:name w:val="page number"/>
    <w:basedOn w:val="DefaultParagraphFont"/>
    <w:rsid w:val="00805982"/>
  </w:style>
  <w:style w:type="paragraph" w:styleId="BodyText">
    <w:name w:val="Body Text"/>
    <w:basedOn w:val="Normal"/>
    <w:rsid w:val="00805982"/>
    <w:pPr>
      <w:jc w:val="both"/>
    </w:pPr>
  </w:style>
  <w:style w:type="paragraph" w:styleId="BodyText2">
    <w:name w:val="Body Text 2"/>
    <w:basedOn w:val="Normal"/>
    <w:rsid w:val="00805982"/>
    <w:pPr>
      <w:autoSpaceDE w:val="0"/>
      <w:autoSpaceDN w:val="0"/>
      <w:adjustRightInd w:val="0"/>
    </w:pPr>
    <w:rPr>
      <w:rFonts w:ascii="Helv" w:hAnsi="Helv"/>
      <w:snapToGrid/>
      <w:sz w:val="22"/>
    </w:rPr>
  </w:style>
  <w:style w:type="paragraph" w:styleId="BodyText3">
    <w:name w:val="Body Text 3"/>
    <w:basedOn w:val="Normal"/>
    <w:rsid w:val="00805982"/>
    <w:pPr>
      <w:tabs>
        <w:tab w:val="left" w:pos="0"/>
        <w:tab w:val="left" w:pos="720"/>
        <w:tab w:val="left" w:pos="1440"/>
        <w:tab w:val="left" w:pos="1800"/>
      </w:tabs>
      <w:jc w:val="both"/>
    </w:pPr>
    <w:rPr>
      <w:b/>
      <w:bCs/>
      <w:sz w:val="22"/>
      <w:u w:val="single"/>
    </w:rPr>
  </w:style>
  <w:style w:type="character" w:styleId="Hyperlink">
    <w:name w:val="Hyperlink"/>
    <w:basedOn w:val="DefaultParagraphFont"/>
    <w:rsid w:val="00EA0ABC"/>
    <w:rPr>
      <w:color w:val="0000FF"/>
      <w:u w:val="single"/>
    </w:rPr>
  </w:style>
  <w:style w:type="table" w:styleId="TableGrid">
    <w:name w:val="Table Grid"/>
    <w:basedOn w:val="TableNormal"/>
    <w:rsid w:val="004A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77096"/>
    <w:rPr>
      <w:b/>
      <w:bCs/>
      <w:sz w:val="22"/>
      <w:szCs w:val="24"/>
      <w:u w:val="single"/>
      <w:lang w:val="en-GB"/>
    </w:rPr>
  </w:style>
  <w:style w:type="character" w:styleId="Strong">
    <w:name w:val="Strong"/>
    <w:basedOn w:val="DefaultParagraphFont"/>
    <w:uiPriority w:val="22"/>
    <w:qFormat/>
    <w:rsid w:val="00E56BF6"/>
    <w:rPr>
      <w:b/>
      <w:bCs/>
    </w:rPr>
  </w:style>
  <w:style w:type="paragraph" w:styleId="ListParagraph">
    <w:name w:val="List Paragraph"/>
    <w:basedOn w:val="Normal"/>
    <w:uiPriority w:val="34"/>
    <w:qFormat/>
    <w:rsid w:val="00211167"/>
    <w:pPr>
      <w:ind w:left="720"/>
      <w:contextualSpacing/>
    </w:pPr>
  </w:style>
</w:styles>
</file>

<file path=word/webSettings.xml><?xml version="1.0" encoding="utf-8"?>
<w:webSettings xmlns:r="http://schemas.openxmlformats.org/officeDocument/2006/relationships" xmlns:w="http://schemas.openxmlformats.org/wordprocessingml/2006/main">
  <w:divs>
    <w:div w:id="489297074">
      <w:bodyDiv w:val="1"/>
      <w:marLeft w:val="0"/>
      <w:marRight w:val="0"/>
      <w:marTop w:val="0"/>
      <w:marBottom w:val="0"/>
      <w:divBdr>
        <w:top w:val="none" w:sz="0" w:space="0" w:color="auto"/>
        <w:left w:val="none" w:sz="0" w:space="0" w:color="auto"/>
        <w:bottom w:val="none" w:sz="0" w:space="0" w:color="auto"/>
        <w:right w:val="none" w:sz="0" w:space="0" w:color="auto"/>
      </w:divBdr>
    </w:div>
    <w:div w:id="10848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pem.wangdi</cp:lastModifiedBy>
  <cp:revision>4</cp:revision>
  <cp:lastPrinted>2007-05-29T09:49:00Z</cp:lastPrinted>
  <dcterms:created xsi:type="dcterms:W3CDTF">2011-02-07T08:39:00Z</dcterms:created>
  <dcterms:modified xsi:type="dcterms:W3CDTF">2011-02-07T10:31:00Z</dcterms:modified>
</cp:coreProperties>
</file>