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8203DD" w:rsidRDefault="00780CFC" w:rsidP="00F147E3">
      <w:pPr>
        <w:jc w:val="center"/>
        <w:rPr>
          <w:rFonts w:asciiTheme="minorHAnsi" w:hAnsiTheme="minorHAnsi" w:cs="Arial"/>
          <w:b/>
          <w:lang w:val="en-US"/>
        </w:rPr>
      </w:pPr>
      <w:r w:rsidRPr="008203DD">
        <w:rPr>
          <w:rFonts w:asciiTheme="minorHAnsi" w:hAnsiTheme="minorHAnsi" w:cs="Arial"/>
          <w:b/>
          <w:sz w:val="32"/>
          <w:lang w:val="en-US"/>
        </w:rPr>
        <w:fldChar w:fldCharType="begin"/>
      </w:r>
      <w:r w:rsidR="008203DD" w:rsidRPr="008203DD">
        <w:rPr>
          <w:rFonts w:asciiTheme="minorHAnsi" w:hAnsiTheme="minorHAnsi" w:cs="Arial"/>
          <w:b/>
          <w:sz w:val="32"/>
          <w:lang w:val="en-US"/>
        </w:rPr>
        <w:instrText xml:space="preserve"> MERGEFIELD Country </w:instrText>
      </w:r>
      <w:r w:rsidRPr="008203DD">
        <w:rPr>
          <w:rFonts w:asciiTheme="minorHAnsi" w:hAnsiTheme="minorHAnsi" w:cs="Arial"/>
          <w:b/>
          <w:sz w:val="32"/>
          <w:lang w:val="en-US"/>
        </w:rPr>
        <w:fldChar w:fldCharType="separate"/>
      </w:r>
      <w:r w:rsidR="008203DD" w:rsidRPr="008203DD">
        <w:rPr>
          <w:rFonts w:asciiTheme="minorHAnsi" w:hAnsiTheme="minorHAnsi" w:cs="Arial"/>
          <w:b/>
          <w:noProof/>
          <w:sz w:val="32"/>
          <w:lang w:val="en-US"/>
        </w:rPr>
        <w:t>Costa Rica</w:t>
      </w:r>
      <w:r w:rsidRPr="008203DD">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6319BA"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p>
        </w:tc>
        <w:tc>
          <w:tcPr>
            <w:tcW w:w="6390" w:type="dxa"/>
          </w:tcPr>
          <w:p w:rsidR="00F147E3" w:rsidRPr="00DE2D26" w:rsidRDefault="00780CFC"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C048FD" w:rsidRPr="00B043C5">
              <w:rPr>
                <w:rFonts w:asciiTheme="minorHAnsi" w:hAnsiTheme="minorHAnsi" w:cs="Arial"/>
                <w:noProof/>
                <w:lang w:val="en-US"/>
              </w:rPr>
              <w:t>Joint Programme on Youth, Employment and Migration: A One-Stop Shop for Youth Employment</w:t>
            </w:r>
            <w:r w:rsidRPr="0095425F">
              <w:rPr>
                <w:rFonts w:asciiTheme="minorHAnsi" w:hAnsiTheme="minorHAnsi" w:cs="Arial"/>
                <w:lang w:val="en-US"/>
              </w:rPr>
              <w:fldChar w:fldCharType="end"/>
            </w:r>
          </w:p>
        </w:tc>
      </w:tr>
      <w:tr w:rsidR="00A52DB9" w:rsidRPr="006319BA"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3B3C33" w:rsidRDefault="00780CFC"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3B3C33">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C048FD" w:rsidRPr="003B3C33">
              <w:rPr>
                <w:rFonts w:asciiTheme="minorHAnsi" w:hAnsiTheme="minorHAnsi" w:cs="Arial"/>
                <w:noProof/>
                <w:lang w:val="en-US"/>
              </w:rPr>
              <w:t>MDGF-1938-H-CRI Youth, Employm</w:t>
            </w:r>
            <w:r w:rsidRPr="0095425F">
              <w:rPr>
                <w:rFonts w:asciiTheme="minorHAnsi" w:hAnsiTheme="minorHAnsi" w:cs="Arial"/>
                <w:lang w:val="en-US"/>
              </w:rPr>
              <w:fldChar w:fldCharType="end"/>
            </w:r>
            <w:proofErr w:type="spellStart"/>
            <w:r w:rsidR="007B6EAA">
              <w:rPr>
                <w:rFonts w:asciiTheme="minorHAnsi" w:hAnsiTheme="minorHAnsi" w:cs="Arial"/>
                <w:lang w:val="en-US"/>
              </w:rPr>
              <w:t>ent</w:t>
            </w:r>
            <w:proofErr w:type="spellEnd"/>
            <w:r w:rsidR="00DB6FE5" w:rsidRPr="003B3C33">
              <w:rPr>
                <w:rFonts w:asciiTheme="minorHAnsi" w:hAnsiTheme="minorHAnsi" w:cs="Arial"/>
                <w:lang w:val="en-US"/>
              </w:rPr>
              <w:t xml:space="preserve"> (</w:t>
            </w:r>
            <w:r w:rsidRPr="0095425F">
              <w:rPr>
                <w:rFonts w:asciiTheme="minorHAnsi" w:hAnsiTheme="minorHAnsi" w:cs="Arial"/>
                <w:lang w:val="en-US"/>
              </w:rPr>
              <w:fldChar w:fldCharType="begin"/>
            </w:r>
            <w:r w:rsidR="00DB6FE5" w:rsidRPr="003B3C33">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C048FD" w:rsidRPr="003B3C33">
              <w:rPr>
                <w:rFonts w:asciiTheme="minorHAnsi" w:hAnsiTheme="minorHAnsi" w:cs="Arial"/>
                <w:noProof/>
                <w:lang w:val="en-US"/>
              </w:rPr>
              <w:t>67213</w:t>
            </w:r>
            <w:r w:rsidRPr="0095425F">
              <w:rPr>
                <w:rFonts w:asciiTheme="minorHAnsi" w:hAnsiTheme="minorHAnsi" w:cs="Arial"/>
                <w:lang w:val="en-US"/>
              </w:rPr>
              <w:fldChar w:fldCharType="end"/>
            </w:r>
            <w:r w:rsidR="00DB6FE5" w:rsidRPr="003B3C33">
              <w:rPr>
                <w:rFonts w:asciiTheme="minorHAnsi" w:hAnsiTheme="minorHAnsi" w:cs="Arial"/>
                <w:lang w:val="en-US"/>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780CFC"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C048FD" w:rsidRPr="00B043C5">
              <w:rPr>
                <w:rFonts w:asciiTheme="minorHAnsi" w:hAnsiTheme="minorHAnsi" w:cs="Arial"/>
                <w:noProof/>
                <w:lang w:val="en-US"/>
              </w:rPr>
              <w:t>Youth, Employment &amp; Migration</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780CFC" w:rsidP="003B3C33">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C048FD" w:rsidRPr="00B043C5">
              <w:rPr>
                <w:rFonts w:asciiTheme="minorHAnsi" w:hAnsiTheme="minorHAnsi" w:cs="Arial"/>
                <w:noProof/>
                <w:lang w:val="da-DK"/>
              </w:rPr>
              <w:t>4.7</w:t>
            </w:r>
            <w:r>
              <w:rPr>
                <w:rFonts w:asciiTheme="minorHAnsi" w:hAnsiTheme="minorHAnsi" w:cs="Arial"/>
                <w:lang w:val="en-US"/>
              </w:rPr>
              <w:fldChar w:fldCharType="end"/>
            </w:r>
            <w:r w:rsidR="006319BA">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8203DD" w:rsidRDefault="00780CFC" w:rsidP="00F147E3">
            <w:pPr>
              <w:spacing w:line="360" w:lineRule="auto"/>
              <w:rPr>
                <w:rFonts w:asciiTheme="minorHAnsi" w:hAnsiTheme="minorHAnsi" w:cs="Arial"/>
              </w:rPr>
            </w:pPr>
            <w:r w:rsidRPr="0095425F">
              <w:rPr>
                <w:rFonts w:asciiTheme="minorHAnsi" w:hAnsiTheme="minorHAnsi" w:cs="Arial"/>
                <w:lang w:val="en-US"/>
              </w:rPr>
              <w:fldChar w:fldCharType="begin"/>
            </w:r>
            <w:r w:rsidR="00DB6FE5" w:rsidRPr="008203DD">
              <w:rPr>
                <w:rFonts w:asciiTheme="minorHAnsi" w:hAnsiTheme="minorHAnsi" w:cs="Arial"/>
              </w:rPr>
              <w:instrText xml:space="preserve"> MERGEFIELD agencies </w:instrText>
            </w:r>
            <w:r w:rsidRPr="0095425F">
              <w:rPr>
                <w:rFonts w:asciiTheme="minorHAnsi" w:hAnsiTheme="minorHAnsi" w:cs="Arial"/>
                <w:lang w:val="en-US"/>
              </w:rPr>
              <w:fldChar w:fldCharType="separate"/>
            </w:r>
            <w:r w:rsidR="00C048FD" w:rsidRPr="008203DD">
              <w:rPr>
                <w:rFonts w:asciiTheme="minorHAnsi" w:hAnsiTheme="minorHAnsi" w:cs="Arial"/>
                <w:noProof/>
              </w:rPr>
              <w:t>FAO, ILO, IOM, UNDP, UNESCO, UNFPA, UNICEF</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780CFC"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048FD" w:rsidRPr="00B043C5">
              <w:rPr>
                <w:rFonts w:asciiTheme="minorHAnsi" w:hAnsiTheme="minorHAnsi" w:cs="Arial"/>
                <w:noProof/>
                <w:lang w:val="da-DK"/>
              </w:rPr>
              <w:t>11-May-2009</w:t>
            </w:r>
            <w:r>
              <w:rPr>
                <w:rFonts w:asciiTheme="minorHAnsi" w:hAnsiTheme="minorHAnsi" w:cs="Arial"/>
                <w:lang w:val="da-DK"/>
              </w:rPr>
              <w:fldChar w:fldCharType="end"/>
            </w:r>
          </w:p>
        </w:tc>
      </w:tr>
      <w:tr w:rsidR="00AC63B2" w:rsidRPr="00F12124" w:rsidTr="00FC288D">
        <w:tc>
          <w:tcPr>
            <w:tcW w:w="3528" w:type="dxa"/>
          </w:tcPr>
          <w:p w:rsidR="00AC63B2" w:rsidRDefault="00AC63B2" w:rsidP="00F147E3">
            <w:pPr>
              <w:spacing w:line="360" w:lineRule="auto"/>
              <w:rPr>
                <w:rFonts w:asciiTheme="minorHAnsi" w:hAnsiTheme="minorHAnsi" w:cs="Arial"/>
                <w:b/>
                <w:lang w:val="en-US"/>
              </w:rPr>
            </w:pPr>
            <w:r>
              <w:rPr>
                <w:rFonts w:asciiTheme="minorHAnsi" w:hAnsiTheme="minorHAnsi" w:cs="Arial"/>
                <w:b/>
                <w:lang w:val="en-US"/>
              </w:rPr>
              <w:t>Second Tranche transferred on:</w:t>
            </w:r>
          </w:p>
        </w:tc>
        <w:tc>
          <w:tcPr>
            <w:tcW w:w="6390" w:type="dxa"/>
          </w:tcPr>
          <w:p w:rsidR="00AC63B2" w:rsidRDefault="00AC63B2" w:rsidP="00F147E3">
            <w:pPr>
              <w:spacing w:line="360" w:lineRule="auto"/>
              <w:rPr>
                <w:rFonts w:asciiTheme="minorHAnsi" w:hAnsiTheme="minorHAnsi" w:cs="Arial"/>
                <w:lang w:val="da-DK"/>
              </w:rPr>
            </w:pPr>
            <w:r>
              <w:rPr>
                <w:rFonts w:asciiTheme="minorHAnsi" w:hAnsiTheme="minorHAnsi" w:cs="Arial"/>
                <w:lang w:val="da-DK"/>
              </w:rPr>
              <w:t>16-Sep-2010</w:t>
            </w:r>
          </w:p>
        </w:tc>
      </w:tr>
    </w:tbl>
    <w:p w:rsidR="00F147E3" w:rsidRPr="004011D3" w:rsidRDefault="00F147E3" w:rsidP="00F147E3">
      <w:pPr>
        <w:rPr>
          <w:rFonts w:asciiTheme="minorHAnsi" w:hAnsiTheme="minorHAnsi" w:cs="Arial"/>
          <w:b/>
          <w:lang w:val="da-DK"/>
        </w:rPr>
      </w:pPr>
    </w:p>
    <w:p w:rsidR="00F147E3" w:rsidRPr="004011D3" w:rsidRDefault="00F147E3"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7F2D8E">
        <w:tc>
          <w:tcPr>
            <w:tcW w:w="9576"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7F2D8E">
        <w:tc>
          <w:tcPr>
            <w:tcW w:w="9576" w:type="dxa"/>
          </w:tcPr>
          <w:p w:rsidR="007F2D8E" w:rsidRPr="0095425F" w:rsidRDefault="006B0EA3" w:rsidP="00F147E3">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tc>
      </w:tr>
      <w:tr w:rsidR="00AC63B2" w:rsidRPr="006319BA" w:rsidTr="00F3367E">
        <w:tc>
          <w:tcPr>
            <w:tcW w:w="9576" w:type="dxa"/>
            <w:vAlign w:val="bottom"/>
          </w:tcPr>
          <w:p w:rsidR="00AC63B2" w:rsidRDefault="00CB5E2B" w:rsidP="006319BA">
            <w:pPr>
              <w:jc w:val="both"/>
              <w:rPr>
                <w:lang w:val="en-US"/>
              </w:rPr>
            </w:pPr>
            <w:r w:rsidRPr="00CB5E2B">
              <w:rPr>
                <w:lang w:val="en-US"/>
              </w:rPr>
              <w:t xml:space="preserve">Among highlighted results are the inclusion of a strategic action to promote youth employment in the National Development Plan, which provides the basis for generate the Youth Employment National Plan, through the joint management of the leader institution and </w:t>
            </w:r>
            <w:r w:rsidR="00F3367E" w:rsidRPr="00F3367E">
              <w:rPr>
                <w:lang w:val="en-US"/>
              </w:rPr>
              <w:t>agency and</w:t>
            </w:r>
            <w:r w:rsidR="00D108E8">
              <w:rPr>
                <w:lang w:val="en-US"/>
              </w:rPr>
              <w:t xml:space="preserve"> </w:t>
            </w:r>
            <w:r w:rsidR="00F3367E">
              <w:rPr>
                <w:lang w:val="en-US"/>
              </w:rPr>
              <w:t xml:space="preserve">conducted by </w:t>
            </w:r>
            <w:r w:rsidRPr="00CB5E2B">
              <w:rPr>
                <w:lang w:val="en-US"/>
              </w:rPr>
              <w:t xml:space="preserve">the leading institution in employment topic.At the local level, strengthened the capacity of local governments to manage the promotion of employability, employment and entrepreneurship for young people, through the creation of three </w:t>
            </w:r>
            <w:r w:rsidR="00F3367E">
              <w:rPr>
                <w:lang w:val="en-US"/>
              </w:rPr>
              <w:t>“one stop-shops”</w:t>
            </w:r>
            <w:r w:rsidRPr="00CB5E2B">
              <w:rPr>
                <w:lang w:val="en-US"/>
              </w:rPr>
              <w:t xml:space="preserve">, a comprehensive care model and the </w:t>
            </w:r>
            <w:r w:rsidR="00F3367E">
              <w:rPr>
                <w:lang w:val="en-US"/>
              </w:rPr>
              <w:t xml:space="preserve">local </w:t>
            </w:r>
            <w:r w:rsidRPr="00CB5E2B">
              <w:rPr>
                <w:lang w:val="en-US"/>
              </w:rPr>
              <w:t>and national organization to provide services: two local committees, six platforms of services and working groups in care, migration, education, entrepreneurship, employment and employability</w:t>
            </w:r>
            <w:r w:rsidR="006319BA">
              <w:rPr>
                <w:lang w:val="en-US"/>
              </w:rPr>
              <w:t>.</w:t>
            </w:r>
          </w:p>
          <w:p w:rsidR="006319BA" w:rsidRDefault="006319BA" w:rsidP="006319BA">
            <w:pPr>
              <w:jc w:val="both"/>
              <w:rPr>
                <w:lang w:val="en-US"/>
              </w:rPr>
            </w:pPr>
          </w:p>
          <w:p w:rsidR="006319BA" w:rsidRPr="006319BA" w:rsidRDefault="006319BA" w:rsidP="006319BA">
            <w:pPr>
              <w:jc w:val="both"/>
              <w:rPr>
                <w:b/>
                <w:lang w:val="en-US"/>
              </w:rPr>
            </w:pPr>
            <w:r w:rsidRPr="006319BA">
              <w:rPr>
                <w:rFonts w:eastAsiaTheme="minorHAnsi"/>
                <w:sz w:val="22"/>
                <w:szCs w:val="21"/>
                <w:lang w:val="en-US" w:eastAsia="en-US"/>
              </w:rPr>
              <w:t xml:space="preserve">Regarding beneficiaries: studies were prepared for both municipalities about characterization of the young population, employment survey, supply of care, pertinent of technical educational opportunities, youth employment trends from 2004 to 2009, and others. </w:t>
            </w:r>
          </w:p>
          <w:p w:rsidR="006319BA" w:rsidRPr="00F3367E" w:rsidRDefault="006319BA" w:rsidP="006319BA">
            <w:pPr>
              <w:jc w:val="both"/>
              <w:rPr>
                <w:lang w:val="en-US"/>
              </w:rPr>
            </w:pPr>
          </w:p>
        </w:tc>
      </w:tr>
      <w:tr w:rsidR="00AC63B2" w:rsidRPr="0095425F" w:rsidTr="007F2D8E">
        <w:tc>
          <w:tcPr>
            <w:tcW w:w="9576" w:type="dxa"/>
          </w:tcPr>
          <w:p w:rsidR="006319BA" w:rsidRDefault="006319BA" w:rsidP="007F2D8E">
            <w:pPr>
              <w:rPr>
                <w:rFonts w:asciiTheme="minorHAnsi" w:hAnsiTheme="minorHAnsi" w:cs="Arial"/>
                <w:b/>
                <w:lang w:val="en-US"/>
              </w:rPr>
            </w:pPr>
          </w:p>
          <w:p w:rsidR="00AC63B2" w:rsidRPr="0095425F" w:rsidRDefault="00AC63B2"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AC63B2" w:rsidRPr="0095425F" w:rsidRDefault="00AC63B2" w:rsidP="00F147E3">
            <w:pPr>
              <w:rPr>
                <w:rFonts w:asciiTheme="minorHAnsi" w:hAnsiTheme="minorHAnsi" w:cs="Arial"/>
                <w:lang w:val="en-US"/>
              </w:rPr>
            </w:pPr>
          </w:p>
        </w:tc>
      </w:tr>
      <w:tr w:rsidR="00AC63B2" w:rsidRPr="006319BA" w:rsidTr="00F3367E">
        <w:tc>
          <w:tcPr>
            <w:tcW w:w="9576" w:type="dxa"/>
            <w:vAlign w:val="bottom"/>
          </w:tcPr>
          <w:p w:rsidR="00AC63B2" w:rsidRPr="00F3367E" w:rsidRDefault="00CB5E2B" w:rsidP="00F3367E">
            <w:pPr>
              <w:rPr>
                <w:lang w:val="en-US"/>
              </w:rPr>
            </w:pPr>
            <w:r w:rsidRPr="00CB5E2B">
              <w:rPr>
                <w:lang w:val="en-US"/>
              </w:rPr>
              <w:t xml:space="preserve">UN Agency coordination (each tends to act on its own). Coordination within government (limited participation in decision making).  </w:t>
            </w:r>
          </w:p>
        </w:tc>
      </w:tr>
      <w:tr w:rsidR="00AC63B2" w:rsidRPr="006319BA" w:rsidTr="007F2D8E">
        <w:tc>
          <w:tcPr>
            <w:tcW w:w="9576" w:type="dxa"/>
          </w:tcPr>
          <w:p w:rsidR="00AC63B2" w:rsidRPr="0095425F" w:rsidRDefault="00AC63B2" w:rsidP="007F2D8E">
            <w:pPr>
              <w:rPr>
                <w:rFonts w:asciiTheme="minorHAnsi" w:hAnsiTheme="minorHAnsi" w:cs="Arial"/>
                <w:b/>
                <w:lang w:val="en-US"/>
              </w:rPr>
            </w:pPr>
          </w:p>
        </w:tc>
      </w:tr>
      <w:tr w:rsidR="00AC63B2" w:rsidRPr="006319BA" w:rsidTr="007F2D8E">
        <w:tc>
          <w:tcPr>
            <w:tcW w:w="9576" w:type="dxa"/>
          </w:tcPr>
          <w:p w:rsidR="00AC63B2" w:rsidRPr="0095425F" w:rsidRDefault="00AC63B2"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780CFC"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780CFC" w:rsidRPr="0095425F">
              <w:rPr>
                <w:rFonts w:asciiTheme="minorHAnsi" w:hAnsiTheme="minorHAnsi" w:cs="Arial"/>
                <w:lang w:val="en-US"/>
              </w:rPr>
              <w:fldChar w:fldCharType="separate"/>
            </w:r>
            <w:r w:rsidRPr="00B043C5">
              <w:rPr>
                <w:rFonts w:asciiTheme="minorHAnsi" w:hAnsiTheme="minorHAnsi" w:cs="Arial"/>
                <w:noProof/>
                <w:lang w:val="en-US"/>
              </w:rPr>
              <w:t>Yes</w:t>
            </w:r>
            <w:r w:rsidR="00780CFC" w:rsidRPr="0095425F">
              <w:rPr>
                <w:rFonts w:asciiTheme="minorHAnsi" w:hAnsiTheme="minorHAnsi" w:cs="Arial"/>
                <w:lang w:val="en-US"/>
              </w:rPr>
              <w:fldChar w:fldCharType="end"/>
            </w:r>
          </w:p>
        </w:tc>
      </w:tr>
      <w:tr w:rsidR="00AC63B2" w:rsidRPr="006319BA" w:rsidTr="007F2D8E">
        <w:tc>
          <w:tcPr>
            <w:tcW w:w="9576" w:type="dxa"/>
          </w:tcPr>
          <w:p w:rsidR="00AC63B2" w:rsidRPr="0095425F" w:rsidRDefault="00AC63B2"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780CFC"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780CFC" w:rsidRPr="0095425F">
              <w:rPr>
                <w:rFonts w:asciiTheme="minorHAnsi" w:hAnsiTheme="minorHAnsi" w:cs="Arial"/>
                <w:lang w:val="en-US"/>
              </w:rPr>
              <w:fldChar w:fldCharType="separate"/>
            </w:r>
            <w:r w:rsidRPr="00B043C5">
              <w:rPr>
                <w:rFonts w:asciiTheme="minorHAnsi" w:hAnsiTheme="minorHAnsi" w:cs="Arial"/>
                <w:noProof/>
                <w:lang w:val="en-US"/>
              </w:rPr>
              <w:t>Yes</w:t>
            </w:r>
            <w:r w:rsidR="00780CFC" w:rsidRPr="0095425F">
              <w:rPr>
                <w:rFonts w:asciiTheme="minorHAnsi" w:hAnsiTheme="minorHAnsi" w:cs="Arial"/>
                <w:lang w:val="en-US"/>
              </w:rPr>
              <w:fldChar w:fldCharType="end"/>
            </w:r>
          </w:p>
        </w:tc>
      </w:tr>
    </w:tbl>
    <w:p w:rsidR="00F147E3" w:rsidRPr="0095425F" w:rsidRDefault="00F147E3" w:rsidP="00F147E3">
      <w:pPr>
        <w:rPr>
          <w:rFonts w:asciiTheme="minorHAnsi" w:hAnsiTheme="minorHAnsi" w:cs="Arial"/>
          <w:lang w:val="en-US"/>
        </w:rPr>
      </w:pPr>
    </w:p>
    <w:p w:rsidR="008E6DE8" w:rsidRDefault="008E6DE8" w:rsidP="00D16657">
      <w:pPr>
        <w:jc w:val="center"/>
        <w:rPr>
          <w:rFonts w:asciiTheme="minorHAnsi" w:hAnsiTheme="minorHAnsi" w:cs="Arial"/>
          <w:lang w:val="en-US"/>
        </w:rPr>
      </w:pPr>
    </w:p>
    <w:p w:rsidR="008203DD" w:rsidRDefault="008203DD">
      <w:pPr>
        <w:rPr>
          <w:rFonts w:asciiTheme="minorHAnsi" w:hAnsiTheme="minorHAnsi" w:cs="Arial"/>
          <w:lang w:val="en-US"/>
        </w:rPr>
      </w:pPr>
      <w:r>
        <w:rPr>
          <w:rFonts w:asciiTheme="minorHAnsi" w:hAnsiTheme="minorHAnsi" w:cs="Arial"/>
          <w:lang w:val="en-US"/>
        </w:rPr>
        <w:br w:type="page"/>
      </w: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&amp; FIGURES</w:t>
      </w:r>
    </w:p>
    <w:p w:rsidR="00F147E3" w:rsidRDefault="00AC63B2" w:rsidP="00F147E3">
      <w:pPr>
        <w:jc w:val="center"/>
        <w:rPr>
          <w:rFonts w:asciiTheme="minorHAnsi" w:hAnsiTheme="minorHAnsi" w:cs="Arial"/>
          <w:lang w:val="en-US"/>
        </w:rPr>
      </w:pPr>
      <w:r>
        <w:rPr>
          <w:rFonts w:asciiTheme="minorHAnsi" w:hAnsiTheme="minorHAnsi" w:cs="Arial"/>
          <w:lang w:val="en-US"/>
        </w:rPr>
        <w:t>As of 31 December 2010</w:t>
      </w:r>
    </w:p>
    <w:p w:rsidR="00D60980" w:rsidRDefault="00D60980" w:rsidP="00F147E3">
      <w:pPr>
        <w:jc w:val="center"/>
        <w:rPr>
          <w:rFonts w:asciiTheme="minorHAnsi" w:hAnsiTheme="minorHAnsi" w:cs="Arial"/>
          <w:lang w:val="en-US"/>
        </w:rPr>
      </w:pPr>
    </w:p>
    <w:p w:rsidR="00AC47A5" w:rsidRDefault="00D60980" w:rsidP="00F147E3">
      <w:pPr>
        <w:jc w:val="center"/>
        <w:rPr>
          <w:rFonts w:asciiTheme="minorHAnsi" w:hAnsiTheme="minorHAnsi" w:cs="Arial"/>
          <w:lang w:val="en-US"/>
        </w:rPr>
      </w:pPr>
      <w:r w:rsidRPr="00D60980">
        <w:rPr>
          <w:noProof/>
          <w:lang w:val="en-US" w:eastAsia="en-US"/>
        </w:rPr>
        <w:drawing>
          <wp:inline distT="0" distB="0" distL="0" distR="0">
            <wp:extent cx="5943600" cy="66616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661654"/>
                    </a:xfrm>
                    <a:prstGeom prst="rect">
                      <a:avLst/>
                    </a:prstGeom>
                    <a:noFill/>
                    <a:ln w="9525">
                      <a:noFill/>
                      <a:miter lim="800000"/>
                      <a:headEnd/>
                      <a:tailEnd/>
                    </a:ln>
                  </pic:spPr>
                </pic:pic>
              </a:graphicData>
            </a:graphic>
          </wp:inline>
        </w:drawing>
      </w:r>
    </w:p>
    <w:p w:rsidR="00AC47A5" w:rsidRDefault="00AC47A5" w:rsidP="00917D93">
      <w:pPr>
        <w:ind w:left="-540"/>
        <w:jc w:val="center"/>
        <w:rPr>
          <w:rFonts w:asciiTheme="minorHAnsi" w:hAnsiTheme="minorHAnsi" w:cs="Arial"/>
          <w:lang w:val="en-US"/>
        </w:rPr>
      </w:pPr>
    </w:p>
    <w:p w:rsidR="00AC47A5" w:rsidRPr="0095425F" w:rsidRDefault="00AC47A5" w:rsidP="00ED2AC3">
      <w:pPr>
        <w:ind w:left="-360"/>
        <w:jc w:val="center"/>
        <w:rPr>
          <w:rFonts w:asciiTheme="minorHAnsi" w:hAnsiTheme="minorHAnsi" w:cs="Arial"/>
          <w:lang w:val="en-US"/>
        </w:rPr>
      </w:pPr>
    </w:p>
    <w:p w:rsidR="000924B7" w:rsidRDefault="000924B7" w:rsidP="008E6DE8">
      <w:pPr>
        <w:jc w:val="center"/>
        <w:rPr>
          <w:rFonts w:asciiTheme="minorHAnsi" w:hAnsiTheme="minorHAnsi" w:cs="Arial"/>
          <w:b/>
          <w:lang w:val="en-US"/>
        </w:rPr>
      </w:pPr>
    </w:p>
    <w:p w:rsidR="008A611D" w:rsidRDefault="008A611D" w:rsidP="00AC47A5">
      <w:pPr>
        <w:ind w:left="-360"/>
        <w:jc w:val="center"/>
        <w:rPr>
          <w:rFonts w:asciiTheme="minorHAnsi" w:hAnsiTheme="minorHAnsi" w:cs="Arial"/>
          <w:b/>
          <w:lang w:val="en-US"/>
        </w:rPr>
      </w:pPr>
    </w:p>
    <w:p w:rsidR="00721A5C" w:rsidRPr="004100F8" w:rsidRDefault="00721A5C" w:rsidP="004100F8">
      <w:pPr>
        <w:tabs>
          <w:tab w:val="left" w:pos="3968"/>
        </w:tabs>
        <w:jc w:val="center"/>
        <w:rPr>
          <w:rFonts w:asciiTheme="minorHAnsi" w:hAnsiTheme="minorHAnsi" w:cs="Arial"/>
          <w:lang w:val="en-US"/>
        </w:rPr>
      </w:pPr>
    </w:p>
    <w:sectPr w:rsidR="00721A5C" w:rsidRPr="004100F8"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67E" w:rsidRDefault="00F3367E" w:rsidP="00F147E3">
      <w:r>
        <w:separator/>
      </w:r>
    </w:p>
  </w:endnote>
  <w:endnote w:type="continuationSeparator" w:id="1">
    <w:p w:rsidR="00F3367E" w:rsidRDefault="00F3367E"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67E" w:rsidRDefault="00F3367E" w:rsidP="00F147E3">
      <w:r>
        <w:separator/>
      </w:r>
    </w:p>
  </w:footnote>
  <w:footnote w:type="continuationSeparator" w:id="1">
    <w:p w:rsidR="00F3367E" w:rsidRDefault="00F3367E"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7E" w:rsidRDefault="00F3367E">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F3367E" w:rsidRPr="00F147E3" w:rsidRDefault="00F3367E"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F3367E" w:rsidRPr="00F147E3" w:rsidRDefault="00F3367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73"/>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hyphenationZone w:val="425"/>
  <w:characterSpacingControl w:val="doNotCompress"/>
  <w:footnotePr>
    <w:footnote w:id="0"/>
    <w:footnote w:id="1"/>
  </w:footnotePr>
  <w:endnotePr>
    <w:endnote w:id="0"/>
    <w:endnote w:id="1"/>
  </w:endnotePr>
  <w:compat/>
  <w:rsids>
    <w:rsidRoot w:val="00F147E3"/>
    <w:rsid w:val="00011CCA"/>
    <w:rsid w:val="000150C0"/>
    <w:rsid w:val="000158B0"/>
    <w:rsid w:val="00016C17"/>
    <w:rsid w:val="0003009E"/>
    <w:rsid w:val="000659A4"/>
    <w:rsid w:val="000924B7"/>
    <w:rsid w:val="000A3F7C"/>
    <w:rsid w:val="000E0785"/>
    <w:rsid w:val="000F39C8"/>
    <w:rsid w:val="000F3A77"/>
    <w:rsid w:val="00112151"/>
    <w:rsid w:val="001305BA"/>
    <w:rsid w:val="00130DB9"/>
    <w:rsid w:val="00143186"/>
    <w:rsid w:val="0015650B"/>
    <w:rsid w:val="0016327D"/>
    <w:rsid w:val="001971DC"/>
    <w:rsid w:val="001A1486"/>
    <w:rsid w:val="001B04DF"/>
    <w:rsid w:val="001E3D90"/>
    <w:rsid w:val="00240793"/>
    <w:rsid w:val="00245097"/>
    <w:rsid w:val="00257652"/>
    <w:rsid w:val="002B59E7"/>
    <w:rsid w:val="002B6BD3"/>
    <w:rsid w:val="002C2EC7"/>
    <w:rsid w:val="002F6E66"/>
    <w:rsid w:val="00363AC9"/>
    <w:rsid w:val="0036542F"/>
    <w:rsid w:val="003A6F7B"/>
    <w:rsid w:val="003B1446"/>
    <w:rsid w:val="003B39A3"/>
    <w:rsid w:val="003B3C33"/>
    <w:rsid w:val="003E233C"/>
    <w:rsid w:val="004011D3"/>
    <w:rsid w:val="004100F8"/>
    <w:rsid w:val="004108C8"/>
    <w:rsid w:val="004139A4"/>
    <w:rsid w:val="00454289"/>
    <w:rsid w:val="005240CC"/>
    <w:rsid w:val="00540079"/>
    <w:rsid w:val="005520D4"/>
    <w:rsid w:val="005730EF"/>
    <w:rsid w:val="00574CB0"/>
    <w:rsid w:val="005D2D80"/>
    <w:rsid w:val="005E5085"/>
    <w:rsid w:val="00614453"/>
    <w:rsid w:val="006319BA"/>
    <w:rsid w:val="00676B3C"/>
    <w:rsid w:val="006A715E"/>
    <w:rsid w:val="006B0EA3"/>
    <w:rsid w:val="006C0F30"/>
    <w:rsid w:val="006E7FD7"/>
    <w:rsid w:val="006F1B8D"/>
    <w:rsid w:val="00721A5C"/>
    <w:rsid w:val="007442F4"/>
    <w:rsid w:val="0074642F"/>
    <w:rsid w:val="007647A5"/>
    <w:rsid w:val="00772EDA"/>
    <w:rsid w:val="00780CFC"/>
    <w:rsid w:val="007913ED"/>
    <w:rsid w:val="007B2751"/>
    <w:rsid w:val="007B2FA8"/>
    <w:rsid w:val="007B6EAA"/>
    <w:rsid w:val="007F2D8E"/>
    <w:rsid w:val="00800C3D"/>
    <w:rsid w:val="008203DD"/>
    <w:rsid w:val="0083243F"/>
    <w:rsid w:val="00843582"/>
    <w:rsid w:val="008472A6"/>
    <w:rsid w:val="00885C19"/>
    <w:rsid w:val="008872C9"/>
    <w:rsid w:val="008A611D"/>
    <w:rsid w:val="008E6DE8"/>
    <w:rsid w:val="008F215A"/>
    <w:rsid w:val="00917D93"/>
    <w:rsid w:val="00944CD9"/>
    <w:rsid w:val="009539BA"/>
    <w:rsid w:val="0095425F"/>
    <w:rsid w:val="00976219"/>
    <w:rsid w:val="009B2836"/>
    <w:rsid w:val="009C5B2D"/>
    <w:rsid w:val="009F4EB0"/>
    <w:rsid w:val="00A0572D"/>
    <w:rsid w:val="00A14829"/>
    <w:rsid w:val="00A1593E"/>
    <w:rsid w:val="00A31793"/>
    <w:rsid w:val="00A32174"/>
    <w:rsid w:val="00A52DB9"/>
    <w:rsid w:val="00A56749"/>
    <w:rsid w:val="00A64828"/>
    <w:rsid w:val="00A9307A"/>
    <w:rsid w:val="00A9537A"/>
    <w:rsid w:val="00AA43A4"/>
    <w:rsid w:val="00AA7A3B"/>
    <w:rsid w:val="00AB160A"/>
    <w:rsid w:val="00AC45AB"/>
    <w:rsid w:val="00AC47A5"/>
    <w:rsid w:val="00AC63B2"/>
    <w:rsid w:val="00AD5522"/>
    <w:rsid w:val="00AD6ED8"/>
    <w:rsid w:val="00AE77EE"/>
    <w:rsid w:val="00B06560"/>
    <w:rsid w:val="00B07AEC"/>
    <w:rsid w:val="00B31180"/>
    <w:rsid w:val="00B35899"/>
    <w:rsid w:val="00B44E1B"/>
    <w:rsid w:val="00B74EC2"/>
    <w:rsid w:val="00B879B8"/>
    <w:rsid w:val="00BA0A73"/>
    <w:rsid w:val="00BD3358"/>
    <w:rsid w:val="00BE22DC"/>
    <w:rsid w:val="00BF729B"/>
    <w:rsid w:val="00C048FD"/>
    <w:rsid w:val="00C26B23"/>
    <w:rsid w:val="00C631F1"/>
    <w:rsid w:val="00C662DD"/>
    <w:rsid w:val="00C80FE3"/>
    <w:rsid w:val="00CB0AF4"/>
    <w:rsid w:val="00CB5E2B"/>
    <w:rsid w:val="00CC4020"/>
    <w:rsid w:val="00D01ADA"/>
    <w:rsid w:val="00D05CFB"/>
    <w:rsid w:val="00D108E8"/>
    <w:rsid w:val="00D10C68"/>
    <w:rsid w:val="00D16657"/>
    <w:rsid w:val="00D178BE"/>
    <w:rsid w:val="00D2252A"/>
    <w:rsid w:val="00D60980"/>
    <w:rsid w:val="00D721EE"/>
    <w:rsid w:val="00DB5E09"/>
    <w:rsid w:val="00DB6FE5"/>
    <w:rsid w:val="00DE080D"/>
    <w:rsid w:val="00DE2D26"/>
    <w:rsid w:val="00DE4F4B"/>
    <w:rsid w:val="00E123BA"/>
    <w:rsid w:val="00E136F2"/>
    <w:rsid w:val="00E260DD"/>
    <w:rsid w:val="00E34F58"/>
    <w:rsid w:val="00E57BF7"/>
    <w:rsid w:val="00E64860"/>
    <w:rsid w:val="00E72DB7"/>
    <w:rsid w:val="00E73D64"/>
    <w:rsid w:val="00EA7103"/>
    <w:rsid w:val="00ED2AC3"/>
    <w:rsid w:val="00F12124"/>
    <w:rsid w:val="00F147E3"/>
    <w:rsid w:val="00F3367E"/>
    <w:rsid w:val="00F60570"/>
    <w:rsid w:val="00F66524"/>
    <w:rsid w:val="00F7392F"/>
    <w:rsid w:val="00F917CA"/>
    <w:rsid w:val="00FA7145"/>
    <w:rsid w:val="00FB0066"/>
    <w:rsid w:val="00FC288D"/>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3367E"/>
    <w:rPr>
      <w:rFonts w:ascii="Calibri" w:eastAsiaTheme="minorHAnsi" w:hAnsi="Calibri" w:cs="Consolas"/>
      <w:sz w:val="22"/>
      <w:szCs w:val="21"/>
      <w:lang w:val="es-CR" w:eastAsia="en-US"/>
    </w:rPr>
  </w:style>
  <w:style w:type="character" w:customStyle="1" w:styleId="PlainTextChar">
    <w:name w:val="Plain Text Char"/>
    <w:basedOn w:val="DefaultParagraphFont"/>
    <w:link w:val="PlainText"/>
    <w:uiPriority w:val="99"/>
    <w:rsid w:val="00F3367E"/>
    <w:rPr>
      <w:rFonts w:eastAsiaTheme="minorHAnsi" w:cs="Consolas"/>
      <w:sz w:val="22"/>
      <w:szCs w:val="21"/>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40582">
      <w:bodyDiv w:val="1"/>
      <w:marLeft w:val="0"/>
      <w:marRight w:val="0"/>
      <w:marTop w:val="0"/>
      <w:marBottom w:val="0"/>
      <w:divBdr>
        <w:top w:val="none" w:sz="0" w:space="0" w:color="auto"/>
        <w:left w:val="none" w:sz="0" w:space="0" w:color="auto"/>
        <w:bottom w:val="none" w:sz="0" w:space="0" w:color="auto"/>
        <w:right w:val="none" w:sz="0" w:space="0" w:color="auto"/>
      </w:divBdr>
    </w:div>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461315011">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27512138">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697120756">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1559697">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89878861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073746524">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141263535">
      <w:bodyDiv w:val="1"/>
      <w:marLeft w:val="0"/>
      <w:marRight w:val="0"/>
      <w:marTop w:val="0"/>
      <w:marBottom w:val="0"/>
      <w:divBdr>
        <w:top w:val="none" w:sz="0" w:space="0" w:color="auto"/>
        <w:left w:val="none" w:sz="0" w:space="0" w:color="auto"/>
        <w:bottom w:val="none" w:sz="0" w:space="0" w:color="auto"/>
        <w:right w:val="none" w:sz="0" w:space="0" w:color="auto"/>
      </w:divBdr>
    </w:div>
    <w:div w:id="1177304382">
      <w:bodyDiv w:val="1"/>
      <w:marLeft w:val="0"/>
      <w:marRight w:val="0"/>
      <w:marTop w:val="0"/>
      <w:marBottom w:val="0"/>
      <w:divBdr>
        <w:top w:val="none" w:sz="0" w:space="0" w:color="auto"/>
        <w:left w:val="none" w:sz="0" w:space="0" w:color="auto"/>
        <w:bottom w:val="none" w:sz="0" w:space="0" w:color="auto"/>
        <w:right w:val="none" w:sz="0" w:space="0" w:color="auto"/>
      </w:divBdr>
    </w:div>
    <w:div w:id="1190606837">
      <w:bodyDiv w:val="1"/>
      <w:marLeft w:val="0"/>
      <w:marRight w:val="0"/>
      <w:marTop w:val="0"/>
      <w:marBottom w:val="0"/>
      <w:divBdr>
        <w:top w:val="none" w:sz="0" w:space="0" w:color="auto"/>
        <w:left w:val="none" w:sz="0" w:space="0" w:color="auto"/>
        <w:bottom w:val="none" w:sz="0" w:space="0" w:color="auto"/>
        <w:right w:val="none" w:sz="0" w:space="0" w:color="auto"/>
      </w:divBdr>
    </w:div>
    <w:div w:id="1305281899">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637107595">
      <w:bodyDiv w:val="1"/>
      <w:marLeft w:val="0"/>
      <w:marRight w:val="0"/>
      <w:marTop w:val="0"/>
      <w:marBottom w:val="0"/>
      <w:divBdr>
        <w:top w:val="none" w:sz="0" w:space="0" w:color="auto"/>
        <w:left w:val="none" w:sz="0" w:space="0" w:color="auto"/>
        <w:bottom w:val="none" w:sz="0" w:space="0" w:color="auto"/>
        <w:right w:val="none" w:sz="0" w:space="0" w:color="auto"/>
      </w:divBdr>
    </w:div>
    <w:div w:id="1730766361">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1906911902">
      <w:bodyDiv w:val="1"/>
      <w:marLeft w:val="0"/>
      <w:marRight w:val="0"/>
      <w:marTop w:val="0"/>
      <w:marBottom w:val="0"/>
      <w:divBdr>
        <w:top w:val="none" w:sz="0" w:space="0" w:color="auto"/>
        <w:left w:val="none" w:sz="0" w:space="0" w:color="auto"/>
        <w:bottom w:val="none" w:sz="0" w:space="0" w:color="auto"/>
        <w:right w:val="none" w:sz="0" w:space="0" w:color="auto"/>
      </w:divBdr>
    </w:div>
    <w:div w:id="1935554400">
      <w:bodyDiv w:val="1"/>
      <w:marLeft w:val="0"/>
      <w:marRight w:val="0"/>
      <w:marTop w:val="0"/>
      <w:marBottom w:val="0"/>
      <w:divBdr>
        <w:top w:val="none" w:sz="0" w:space="0" w:color="auto"/>
        <w:left w:val="none" w:sz="0" w:space="0" w:color="auto"/>
        <w:bottom w:val="none" w:sz="0" w:space="0" w:color="auto"/>
        <w:right w:val="none" w:sz="0" w:space="0" w:color="auto"/>
      </w:divBdr>
    </w:div>
    <w:div w:id="1943952158">
      <w:bodyDiv w:val="1"/>
      <w:marLeft w:val="0"/>
      <w:marRight w:val="0"/>
      <w:marTop w:val="0"/>
      <w:marBottom w:val="0"/>
      <w:divBdr>
        <w:top w:val="none" w:sz="0" w:space="0" w:color="auto"/>
        <w:left w:val="none" w:sz="0" w:space="0" w:color="auto"/>
        <w:bottom w:val="none" w:sz="0" w:space="0" w:color="auto"/>
        <w:right w:val="none" w:sz="0" w:space="0" w:color="auto"/>
      </w:divBdr>
    </w:div>
    <w:div w:id="2024017244">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 w:id="21303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202\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FF94-A2FA-4A71-8C87-BCD3C846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1797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4</cp:revision>
  <cp:lastPrinted>2010-05-17T16:22:00Z</cp:lastPrinted>
  <dcterms:created xsi:type="dcterms:W3CDTF">2011-05-25T19:51:00Z</dcterms:created>
  <dcterms:modified xsi:type="dcterms:W3CDTF">2011-05-31T21:08:00Z</dcterms:modified>
</cp:coreProperties>
</file>