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9E21B6" w:rsidRDefault="0021789F" w:rsidP="00F147E3">
      <w:pPr>
        <w:jc w:val="center"/>
        <w:rPr>
          <w:rFonts w:asciiTheme="minorHAnsi" w:hAnsiTheme="minorHAnsi" w:cs="Arial"/>
          <w:b/>
          <w:lang w:val="en-US"/>
        </w:rPr>
      </w:pPr>
      <w:r w:rsidRPr="009E21B6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9E21B6" w:rsidRPr="009E21B6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9E21B6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9E21B6" w:rsidRPr="009E21B6">
        <w:rPr>
          <w:rFonts w:asciiTheme="minorHAnsi" w:hAnsiTheme="minorHAnsi" w:cs="Arial"/>
          <w:b/>
          <w:noProof/>
          <w:sz w:val="32"/>
          <w:lang w:val="en-US"/>
        </w:rPr>
        <w:t>Cuba</w:t>
      </w:r>
      <w:r w:rsidRPr="009E21B6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E6272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E62723" w:rsidTr="00FC288D">
        <w:tc>
          <w:tcPr>
            <w:tcW w:w="3528" w:type="dxa"/>
          </w:tcPr>
          <w:p w:rsidR="00F147E3" w:rsidRPr="0095425F" w:rsidRDefault="00D20EAC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21789F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20EAC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20EAC" w:rsidRPr="00D11F11">
              <w:rPr>
                <w:rFonts w:asciiTheme="minorHAnsi" w:hAnsiTheme="minorHAnsi" w:cs="Arial"/>
                <w:noProof/>
                <w:lang w:val="en-US"/>
              </w:rPr>
              <w:t>Support for the fight against anemia in vulnerable groups in Cuba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D20EAC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21789F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20EAC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20EAC" w:rsidRPr="00D11F11">
              <w:rPr>
                <w:rFonts w:asciiTheme="minorHAnsi" w:hAnsiTheme="minorHAnsi" w:cs="Arial"/>
                <w:noProof/>
              </w:rPr>
              <w:t>MDGF-2037-I-CUB Children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20EAC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20EAC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20EAC" w:rsidRPr="00D11F11">
              <w:rPr>
                <w:rFonts w:asciiTheme="minorHAnsi" w:hAnsiTheme="minorHAnsi" w:cs="Arial"/>
                <w:noProof/>
              </w:rPr>
              <w:t>67254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20EAC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D20EAC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21789F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20EAC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20EAC" w:rsidRPr="00D11F11">
              <w:rPr>
                <w:rFonts w:asciiTheme="minorHAnsi" w:hAnsiTheme="minorHAnsi" w:cs="Arial"/>
                <w:noProof/>
                <w:lang w:val="en-US"/>
              </w:rPr>
              <w:t>Children, Food Security &amp; Nutrition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D20EAC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F147E3" w:rsidRPr="00F60570" w:rsidRDefault="0021789F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D20EAC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20EAC" w:rsidRPr="00D11F11">
              <w:rPr>
                <w:rFonts w:asciiTheme="minorHAnsi" w:hAnsiTheme="minorHAnsi" w:cs="Arial"/>
                <w:noProof/>
                <w:lang w:val="da-DK"/>
              </w:rPr>
              <w:t>8.5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D20EAC">
              <w:rPr>
                <w:rFonts w:asciiTheme="minorHAnsi" w:hAnsiTheme="minorHAnsi" w:cs="Arial"/>
                <w:lang w:val="en-US"/>
              </w:rPr>
              <w:t xml:space="preserve"> </w:t>
            </w:r>
            <w:r w:rsidR="00D20EAC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E62723" w:rsidTr="00FC288D">
        <w:tc>
          <w:tcPr>
            <w:tcW w:w="3528" w:type="dxa"/>
          </w:tcPr>
          <w:p w:rsidR="00F147E3" w:rsidRPr="0095425F" w:rsidRDefault="00D20EAC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9E21B6" w:rsidRDefault="0021789F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20EAC" w:rsidRPr="009E21B6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20EAC" w:rsidRPr="009E21B6">
              <w:rPr>
                <w:rFonts w:asciiTheme="minorHAnsi" w:hAnsiTheme="minorHAnsi" w:cs="Arial"/>
                <w:noProof/>
                <w:lang w:val="en-US"/>
              </w:rPr>
              <w:t>FAO, PAHO/WHO, UNDP, UNICEF, WFP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D20EAC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F12124" w:rsidRPr="00F12124" w:rsidRDefault="0021789F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20EAC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D20EAC" w:rsidRPr="00D11F11">
              <w:rPr>
                <w:rFonts w:asciiTheme="minorHAnsi" w:hAnsiTheme="minorHAnsi" w:cs="Arial"/>
                <w:noProof/>
                <w:lang w:val="da-DK"/>
              </w:rPr>
              <w:t>28-Oct-2009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E6272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E6272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6E5BCE">
        <w:tc>
          <w:tcPr>
            <w:tcW w:w="9576" w:type="dxa"/>
          </w:tcPr>
          <w:p w:rsidR="007F2D8E" w:rsidRPr="0095425F" w:rsidRDefault="00D20EAC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ACTIVITIES Reported:</w:t>
            </w:r>
          </w:p>
          <w:p w:rsidR="007F2D8E" w:rsidRPr="0095425F" w:rsidRDefault="00E62723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6E5BCE">
        <w:tc>
          <w:tcPr>
            <w:tcW w:w="9576" w:type="dxa"/>
          </w:tcPr>
          <w:p w:rsidR="007F2D8E" w:rsidRPr="0095425F" w:rsidRDefault="00D20EAC" w:rsidP="00F147E3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Main Substantive Activities:</w:t>
            </w:r>
          </w:p>
        </w:tc>
      </w:tr>
      <w:tr w:rsidR="004F4A2B" w:rsidRPr="0095425F" w:rsidTr="006E5BCE">
        <w:tc>
          <w:tcPr>
            <w:tcW w:w="9576" w:type="dxa"/>
          </w:tcPr>
          <w:p w:rsidR="004F4A2B" w:rsidRPr="0095425F" w:rsidRDefault="004F4A2B" w:rsidP="00F147E3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4F4A2B" w:rsidRPr="0095425F" w:rsidTr="00A44A2C">
        <w:tc>
          <w:tcPr>
            <w:tcW w:w="9576" w:type="dxa"/>
            <w:vAlign w:val="bottom"/>
          </w:tcPr>
          <w:p w:rsidR="004F4A2B" w:rsidRPr="00A23C7E" w:rsidRDefault="004F4A2B" w:rsidP="00E62723">
            <w:pPr>
              <w:jc w:val="both"/>
            </w:pPr>
            <w:r w:rsidRPr="00E62723">
              <w:rPr>
                <w:lang w:val="en-US"/>
              </w:rPr>
              <w:t>Diagnostic of participating entities, units and ind</w:t>
            </w:r>
            <w:r w:rsidR="003F2C63" w:rsidRPr="00E62723">
              <w:rPr>
                <w:lang w:val="en-US"/>
              </w:rPr>
              <w:t xml:space="preserve">irect beneficiaries completed. </w:t>
            </w:r>
            <w:r w:rsidRPr="00E62723">
              <w:rPr>
                <w:lang w:val="en-US"/>
              </w:rPr>
              <w:t xml:space="preserve">24 municipalities trained on issues related to the distribution and sales of iron rich food. 16 medical facilities in Santiago de Cuba trained in counseling on iron rich foods </w:t>
            </w:r>
            <w:r w:rsidR="003F2C63" w:rsidRPr="00E62723">
              <w:rPr>
                <w:lang w:val="en-US"/>
              </w:rPr>
              <w:t xml:space="preserve">consumption to pregnant women. </w:t>
            </w:r>
            <w:r w:rsidRPr="00E62723">
              <w:rPr>
                <w:lang w:val="en-US"/>
              </w:rPr>
              <w:t>3,520 staff of the health, education, trade and agriculture sectors as well as from local governments and communities trained in anemia prevention, breast</w:t>
            </w:r>
            <w:r w:rsidR="003F2C63" w:rsidRPr="00E62723">
              <w:rPr>
                <w:lang w:val="en-US"/>
              </w:rPr>
              <w:t xml:space="preserve"> feeding and healthy nutrition.</w:t>
            </w:r>
            <w:r w:rsidRPr="00E62723">
              <w:rPr>
                <w:lang w:val="en-US"/>
              </w:rPr>
              <w:t xml:space="preserve"> </w:t>
            </w:r>
            <w:r w:rsidRPr="00A23C7E">
              <w:t xml:space="preserve">22,000 </w:t>
            </w:r>
            <w:proofErr w:type="spellStart"/>
            <w:r w:rsidRPr="00A23C7E">
              <w:t>nutritional</w:t>
            </w:r>
            <w:proofErr w:type="spellEnd"/>
            <w:r w:rsidRPr="00A23C7E">
              <w:t xml:space="preserve"> guides </w:t>
            </w:r>
            <w:proofErr w:type="spellStart"/>
            <w:r w:rsidRPr="00A23C7E">
              <w:t>printed</w:t>
            </w:r>
            <w:proofErr w:type="spellEnd"/>
            <w:r w:rsidRPr="00A23C7E">
              <w:t xml:space="preserve"> and </w:t>
            </w:r>
            <w:proofErr w:type="spellStart"/>
            <w:r w:rsidRPr="00A23C7E">
              <w:t>distributed</w:t>
            </w:r>
            <w:proofErr w:type="spellEnd"/>
            <w:r w:rsidRPr="00A23C7E">
              <w:t xml:space="preserve">.   </w:t>
            </w:r>
          </w:p>
        </w:tc>
      </w:tr>
      <w:tr w:rsidR="004F4A2B" w:rsidRPr="0095425F" w:rsidTr="006E5BCE">
        <w:tc>
          <w:tcPr>
            <w:tcW w:w="9576" w:type="dxa"/>
          </w:tcPr>
          <w:p w:rsidR="004F4A2B" w:rsidRPr="0095425F" w:rsidRDefault="004F4A2B" w:rsidP="00F147E3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4F4A2B" w:rsidRPr="0095425F" w:rsidTr="004F4A2B">
        <w:trPr>
          <w:trHeight w:val="351"/>
        </w:trPr>
        <w:tc>
          <w:tcPr>
            <w:tcW w:w="9576" w:type="dxa"/>
          </w:tcPr>
          <w:p w:rsidR="004F4A2B" w:rsidRPr="00FA4289" w:rsidRDefault="004F4A2B" w:rsidP="00F147E3">
            <w:pPr>
              <w:rPr>
                <w:rFonts w:asciiTheme="minorHAnsi" w:hAnsiTheme="minorHAnsi" w:cs="Arial"/>
                <w:caps/>
                <w:strike/>
                <w:color w:val="FF0000"/>
                <w:lang w:val="en-US"/>
              </w:rPr>
            </w:pPr>
            <w:r w:rsidRPr="009E21B6">
              <w:rPr>
                <w:rFonts w:asciiTheme="minorHAnsi" w:hAnsiTheme="minorHAnsi" w:cs="Arial"/>
                <w:b/>
                <w:lang w:val="en-US"/>
              </w:rPr>
              <w:t>Problems and lessons learned:</w:t>
            </w:r>
          </w:p>
        </w:tc>
      </w:tr>
      <w:tr w:rsidR="004F4A2B" w:rsidRPr="006E5BCE" w:rsidTr="00E70AC8">
        <w:tc>
          <w:tcPr>
            <w:tcW w:w="9576" w:type="dxa"/>
            <w:vAlign w:val="bottom"/>
          </w:tcPr>
          <w:p w:rsidR="004F4A2B" w:rsidRPr="00A23C7E" w:rsidRDefault="004F4A2B" w:rsidP="00606E3B"/>
        </w:tc>
      </w:tr>
      <w:tr w:rsidR="004F4A2B" w:rsidRPr="006E5BCE" w:rsidTr="00E70AC8">
        <w:tc>
          <w:tcPr>
            <w:tcW w:w="9576" w:type="dxa"/>
            <w:vAlign w:val="bottom"/>
          </w:tcPr>
          <w:p w:rsidR="004F4A2B" w:rsidRPr="00A23C7E" w:rsidRDefault="004F4A2B" w:rsidP="00606E3B">
            <w:proofErr w:type="spellStart"/>
            <w:r w:rsidRPr="00A23C7E">
              <w:t>Managerial</w:t>
            </w:r>
            <w:proofErr w:type="spellEnd"/>
            <w:r w:rsidRPr="00A23C7E">
              <w:t xml:space="preserve"> (</w:t>
            </w:r>
            <w:proofErr w:type="spellStart"/>
            <w:r w:rsidRPr="00A23C7E">
              <w:t>delays</w:t>
            </w:r>
            <w:proofErr w:type="spellEnd"/>
            <w:r w:rsidRPr="00A23C7E">
              <w:t xml:space="preserve"> in </w:t>
            </w:r>
            <w:proofErr w:type="spellStart"/>
            <w:r w:rsidRPr="00A23C7E">
              <w:t>execution</w:t>
            </w:r>
            <w:proofErr w:type="spellEnd"/>
            <w:r w:rsidRPr="00A23C7E">
              <w:t>)</w:t>
            </w:r>
            <w:r w:rsidR="003F2C63">
              <w:t>.</w:t>
            </w:r>
          </w:p>
        </w:tc>
      </w:tr>
      <w:tr w:rsidR="004F4A2B" w:rsidRPr="006E5BCE" w:rsidTr="006E5BCE">
        <w:tc>
          <w:tcPr>
            <w:tcW w:w="9576" w:type="dxa"/>
          </w:tcPr>
          <w:p w:rsidR="004F4A2B" w:rsidRPr="00176768" w:rsidRDefault="004F4A2B" w:rsidP="0095425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4F4A2B" w:rsidRPr="00E62723" w:rsidTr="006E5BCE">
        <w:tc>
          <w:tcPr>
            <w:tcW w:w="9576" w:type="dxa"/>
          </w:tcPr>
          <w:p w:rsidR="004F4A2B" w:rsidRPr="0095425F" w:rsidRDefault="004F4A2B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21789F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21789F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D11F11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21789F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4F4A2B" w:rsidRPr="00E62723" w:rsidTr="006E5BCE">
        <w:tc>
          <w:tcPr>
            <w:tcW w:w="9576" w:type="dxa"/>
          </w:tcPr>
          <w:p w:rsidR="004F4A2B" w:rsidRPr="0095425F" w:rsidRDefault="004F4A2B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21789F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21789F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D11F11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21789F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E6272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E6272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D20EAC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D20EAC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 &amp; FIGURES</w:t>
      </w:r>
    </w:p>
    <w:p w:rsidR="00F147E3" w:rsidRDefault="00D20EAC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4F4A2B">
        <w:rPr>
          <w:rFonts w:asciiTheme="minorHAnsi" w:hAnsiTheme="minorHAnsi" w:cs="Arial"/>
          <w:lang w:val="en-US"/>
        </w:rPr>
        <w:t>10</w:t>
      </w:r>
    </w:p>
    <w:p w:rsidR="00637E2C" w:rsidRPr="0095425F" w:rsidRDefault="00637E2C" w:rsidP="00F147E3">
      <w:pPr>
        <w:jc w:val="center"/>
        <w:rPr>
          <w:rFonts w:asciiTheme="minorHAnsi" w:hAnsiTheme="minorHAnsi" w:cs="Arial"/>
          <w:lang w:val="en-US"/>
        </w:rPr>
      </w:pPr>
    </w:p>
    <w:p w:rsidR="00D16657" w:rsidRPr="003B39A3" w:rsidRDefault="00637E2C" w:rsidP="00F147E3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637E2C">
        <w:rPr>
          <w:noProof/>
          <w:szCs w:val="18"/>
          <w:lang w:val="en-US" w:eastAsia="en-US"/>
        </w:rPr>
        <w:drawing>
          <wp:inline distT="0" distB="0" distL="0" distR="0">
            <wp:extent cx="5943600" cy="65274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1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0"/>
      </w:tblGrid>
      <w:tr w:rsidR="00D16657" w:rsidRPr="0095425F" w:rsidTr="00D16657">
        <w:tc>
          <w:tcPr>
            <w:tcW w:w="10710" w:type="dxa"/>
          </w:tcPr>
          <w:p w:rsidR="00D16657" w:rsidRPr="0095425F" w:rsidRDefault="00E62723" w:rsidP="00F147E3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16657" w:rsidRPr="0095425F" w:rsidTr="00D16657">
        <w:tc>
          <w:tcPr>
            <w:tcW w:w="10710" w:type="dxa"/>
          </w:tcPr>
          <w:p w:rsidR="003B39A3" w:rsidRPr="0095425F" w:rsidRDefault="00E62723" w:rsidP="00F147E3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16657" w:rsidRPr="0095425F" w:rsidTr="00D16657">
        <w:tc>
          <w:tcPr>
            <w:tcW w:w="10710" w:type="dxa"/>
          </w:tcPr>
          <w:p w:rsidR="003B39A3" w:rsidRPr="0095425F" w:rsidRDefault="00E62723" w:rsidP="006E7FD7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F147E3" w:rsidRDefault="00E62723" w:rsidP="00F147E3">
      <w:pPr>
        <w:jc w:val="center"/>
        <w:rPr>
          <w:rFonts w:asciiTheme="minorHAnsi" w:hAnsiTheme="minorHAnsi" w:cs="Arial"/>
          <w:b/>
          <w:lang w:val="en-US"/>
        </w:rPr>
      </w:pPr>
    </w:p>
    <w:p w:rsidR="007D1C34" w:rsidRDefault="00E62723" w:rsidP="00F147E3">
      <w:pPr>
        <w:jc w:val="center"/>
        <w:rPr>
          <w:rFonts w:asciiTheme="minorHAnsi" w:hAnsiTheme="minorHAnsi" w:cs="Arial"/>
          <w:b/>
          <w:lang w:val="en-US"/>
        </w:rPr>
      </w:pPr>
    </w:p>
    <w:sectPr w:rsidR="007D1C34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6A" w:rsidRPr="003024B7" w:rsidRDefault="00DD7D6A" w:rsidP="008B6B0B">
      <w:pPr>
        <w:rPr>
          <w:rFonts w:ascii="Courier New" w:eastAsia="Calibri" w:hAnsi="Courier New"/>
          <w:szCs w:val="22"/>
        </w:rPr>
      </w:pPr>
      <w:r>
        <w:separator/>
      </w:r>
    </w:p>
  </w:endnote>
  <w:endnote w:type="continuationSeparator" w:id="1">
    <w:p w:rsidR="00DD7D6A" w:rsidRPr="003024B7" w:rsidRDefault="00DD7D6A" w:rsidP="008B6B0B">
      <w:pPr>
        <w:rPr>
          <w:rFonts w:ascii="Courier New" w:eastAsia="Calibri" w:hAnsi="Courier New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6A" w:rsidRPr="003024B7" w:rsidRDefault="00DD7D6A" w:rsidP="008B6B0B">
      <w:pPr>
        <w:rPr>
          <w:rFonts w:ascii="Courier New" w:eastAsia="Calibri" w:hAnsi="Courier New"/>
          <w:szCs w:val="22"/>
        </w:rPr>
      </w:pPr>
      <w:r>
        <w:separator/>
      </w:r>
    </w:p>
  </w:footnote>
  <w:footnote w:type="continuationSeparator" w:id="1">
    <w:p w:rsidR="00DD7D6A" w:rsidRPr="003024B7" w:rsidRDefault="00DD7D6A" w:rsidP="008B6B0B">
      <w:pPr>
        <w:rPr>
          <w:rFonts w:ascii="Courier New" w:eastAsia="Calibri" w:hAnsi="Courier New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4B" w:rsidRDefault="00D20EAC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83614B" w:rsidRPr="00F147E3" w:rsidRDefault="00D20EA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4F4A2B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83614B" w:rsidRPr="00F147E3" w:rsidRDefault="00E6272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B0B"/>
    <w:rsid w:val="00054378"/>
    <w:rsid w:val="000C4112"/>
    <w:rsid w:val="00176768"/>
    <w:rsid w:val="0021789F"/>
    <w:rsid w:val="00297F28"/>
    <w:rsid w:val="00384137"/>
    <w:rsid w:val="003F2C63"/>
    <w:rsid w:val="00421B12"/>
    <w:rsid w:val="004226DA"/>
    <w:rsid w:val="00450190"/>
    <w:rsid w:val="004E0E29"/>
    <w:rsid w:val="004F4A2B"/>
    <w:rsid w:val="00607EB9"/>
    <w:rsid w:val="00637E2C"/>
    <w:rsid w:val="00680D79"/>
    <w:rsid w:val="006B78B5"/>
    <w:rsid w:val="006E20A2"/>
    <w:rsid w:val="006E5BCE"/>
    <w:rsid w:val="008B6B0B"/>
    <w:rsid w:val="00905E4C"/>
    <w:rsid w:val="009E21B6"/>
    <w:rsid w:val="00A31739"/>
    <w:rsid w:val="00CF3E82"/>
    <w:rsid w:val="00D20EAC"/>
    <w:rsid w:val="00D247E7"/>
    <w:rsid w:val="00DB5B25"/>
    <w:rsid w:val="00DD7D6A"/>
    <w:rsid w:val="00E5495F"/>
    <w:rsid w:val="00E62723"/>
    <w:rsid w:val="00FA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4F0F-B329-4117-8263-28002AF5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3</cp:revision>
  <cp:lastPrinted>2010-05-17T16:22:00Z</cp:lastPrinted>
  <dcterms:created xsi:type="dcterms:W3CDTF">2011-05-25T20:01:00Z</dcterms:created>
  <dcterms:modified xsi:type="dcterms:W3CDTF">2011-05-31T21:09:00Z</dcterms:modified>
</cp:coreProperties>
</file>