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5155E8" w:rsidRDefault="003327A2" w:rsidP="00F147E3">
      <w:pPr>
        <w:jc w:val="center"/>
        <w:rPr>
          <w:rFonts w:asciiTheme="minorHAnsi" w:hAnsiTheme="minorHAnsi" w:cs="Arial"/>
          <w:b/>
          <w:lang w:val="en-US"/>
        </w:rPr>
      </w:pPr>
      <w:r w:rsidRPr="005155E8">
        <w:rPr>
          <w:rFonts w:asciiTheme="minorHAnsi" w:hAnsiTheme="minorHAnsi" w:cs="Arial"/>
          <w:b/>
          <w:sz w:val="32"/>
          <w:lang w:val="en-US"/>
        </w:rPr>
        <w:fldChar w:fldCharType="begin"/>
      </w:r>
      <w:r w:rsidR="005155E8" w:rsidRPr="005155E8">
        <w:rPr>
          <w:rFonts w:asciiTheme="minorHAnsi" w:hAnsiTheme="minorHAnsi" w:cs="Arial"/>
          <w:b/>
          <w:sz w:val="32"/>
          <w:lang w:val="en-US"/>
        </w:rPr>
        <w:instrText xml:space="preserve"> MERGEFIELD Country </w:instrText>
      </w:r>
      <w:r w:rsidRPr="005155E8">
        <w:rPr>
          <w:rFonts w:asciiTheme="minorHAnsi" w:hAnsiTheme="minorHAnsi" w:cs="Arial"/>
          <w:b/>
          <w:sz w:val="32"/>
          <w:lang w:val="en-US"/>
        </w:rPr>
        <w:fldChar w:fldCharType="separate"/>
      </w:r>
      <w:r w:rsidR="005155E8" w:rsidRPr="005155E8">
        <w:rPr>
          <w:rFonts w:asciiTheme="minorHAnsi" w:hAnsiTheme="minorHAnsi" w:cs="Arial"/>
          <w:b/>
          <w:noProof/>
          <w:sz w:val="32"/>
          <w:lang w:val="en-US"/>
        </w:rPr>
        <w:t>El Salvador</w:t>
      </w:r>
      <w:r w:rsidRPr="005155E8">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5340C7"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p>
        </w:tc>
        <w:tc>
          <w:tcPr>
            <w:tcW w:w="6390" w:type="dxa"/>
          </w:tcPr>
          <w:p w:rsidR="00F147E3" w:rsidRPr="00DE2D26" w:rsidRDefault="003327A2"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7F4E1A" w:rsidRPr="00D11F11">
              <w:rPr>
                <w:rFonts w:asciiTheme="minorHAnsi" w:hAnsiTheme="minorHAnsi" w:cs="Arial"/>
                <w:noProof/>
                <w:lang w:val="en-US"/>
              </w:rPr>
              <w:t>Urban and Productive Integrated Sustainable Settlements in El Salvador</w:t>
            </w:r>
            <w:r w:rsidRPr="0095425F">
              <w:rPr>
                <w:rFonts w:asciiTheme="minorHAnsi" w:hAnsiTheme="minorHAnsi" w:cs="Arial"/>
                <w:lang w:val="en-US"/>
              </w:rPr>
              <w:fldChar w:fldCharType="end"/>
            </w:r>
          </w:p>
        </w:tc>
      </w:tr>
      <w:tr w:rsidR="00A52DB9" w:rsidRPr="005340C7"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5844F3" w:rsidRDefault="003327A2"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5844F3">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7F4E1A" w:rsidRPr="005844F3">
              <w:rPr>
                <w:rFonts w:asciiTheme="minorHAnsi" w:hAnsiTheme="minorHAnsi" w:cs="Arial"/>
                <w:noProof/>
                <w:lang w:val="en-US"/>
              </w:rPr>
              <w:t>MDGF-2066-D-SLV Private Sector</w:t>
            </w:r>
            <w:r w:rsidRPr="0095425F">
              <w:rPr>
                <w:rFonts w:asciiTheme="minorHAnsi" w:hAnsiTheme="minorHAnsi" w:cs="Arial"/>
                <w:lang w:val="en-US"/>
              </w:rPr>
              <w:fldChar w:fldCharType="end"/>
            </w:r>
            <w:r w:rsidR="00DB6FE5" w:rsidRPr="005844F3">
              <w:rPr>
                <w:rFonts w:asciiTheme="minorHAnsi" w:hAnsiTheme="minorHAnsi" w:cs="Arial"/>
                <w:lang w:val="en-US"/>
              </w:rPr>
              <w:t xml:space="preserve"> (</w:t>
            </w:r>
            <w:r w:rsidRPr="0095425F">
              <w:rPr>
                <w:rFonts w:asciiTheme="minorHAnsi" w:hAnsiTheme="minorHAnsi" w:cs="Arial"/>
                <w:lang w:val="en-US"/>
              </w:rPr>
              <w:fldChar w:fldCharType="begin"/>
            </w:r>
            <w:r w:rsidR="00DB6FE5" w:rsidRPr="005844F3">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7F4E1A" w:rsidRPr="005844F3">
              <w:rPr>
                <w:rFonts w:asciiTheme="minorHAnsi" w:hAnsiTheme="minorHAnsi" w:cs="Arial"/>
                <w:noProof/>
                <w:lang w:val="en-US"/>
              </w:rPr>
              <w:t>67262</w:t>
            </w:r>
            <w:r w:rsidRPr="0095425F">
              <w:rPr>
                <w:rFonts w:asciiTheme="minorHAnsi" w:hAnsiTheme="minorHAnsi" w:cs="Arial"/>
                <w:lang w:val="en-US"/>
              </w:rPr>
              <w:fldChar w:fldCharType="end"/>
            </w:r>
            <w:r w:rsidR="00DB6FE5" w:rsidRPr="005844F3">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3327A2"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7F4E1A" w:rsidRPr="00D11F11">
              <w:rPr>
                <w:rFonts w:asciiTheme="minorHAnsi" w:hAnsiTheme="minorHAnsi" w:cs="Arial"/>
                <w:noProof/>
                <w:lang w:val="en-US"/>
              </w:rPr>
              <w:t>Development &amp; Private Sector</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3327A2" w:rsidP="005844F3">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7F4E1A" w:rsidRPr="00D11F11">
              <w:rPr>
                <w:rFonts w:asciiTheme="minorHAnsi" w:hAnsiTheme="minorHAnsi" w:cs="Arial"/>
                <w:noProof/>
                <w:lang w:val="da-DK"/>
              </w:rPr>
              <w:t>5.2</w:t>
            </w:r>
            <w:r>
              <w:rPr>
                <w:rFonts w:asciiTheme="minorHAnsi" w:hAnsiTheme="minorHAnsi" w:cs="Arial"/>
                <w:lang w:val="en-US"/>
              </w:rPr>
              <w:fldChar w:fldCharType="end"/>
            </w:r>
            <w:r w:rsidR="005340C7">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3327A2"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7F4E1A" w:rsidRPr="00D11F11">
              <w:rPr>
                <w:rFonts w:asciiTheme="minorHAnsi" w:hAnsiTheme="minorHAnsi" w:cs="Arial"/>
                <w:noProof/>
                <w:lang w:val="da-DK"/>
              </w:rPr>
              <w:t>UNDP, UNIDO, UNHABITAT</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3327A2"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7F4E1A" w:rsidRPr="00D11F11">
              <w:rPr>
                <w:rFonts w:asciiTheme="minorHAnsi" w:hAnsiTheme="minorHAnsi" w:cs="Arial"/>
                <w:noProof/>
                <w:lang w:val="da-DK"/>
              </w:rPr>
              <w:t>10-Dec-2009</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7F2D8E" w:rsidRPr="0095425F" w:rsidTr="00001152">
        <w:tc>
          <w:tcPr>
            <w:tcW w:w="9918"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C05684" w:rsidRPr="0095425F" w:rsidTr="00001152">
        <w:tc>
          <w:tcPr>
            <w:tcW w:w="9918" w:type="dxa"/>
          </w:tcPr>
          <w:p w:rsidR="00C05684" w:rsidRPr="0095425F" w:rsidRDefault="00C05684" w:rsidP="007F2D8E">
            <w:pPr>
              <w:rPr>
                <w:rFonts w:asciiTheme="minorHAnsi" w:hAnsiTheme="minorHAnsi" w:cs="Arial"/>
                <w:b/>
                <w:caps/>
                <w:lang w:val="en-US"/>
              </w:rPr>
            </w:pPr>
            <w:r w:rsidRPr="00C05684">
              <w:rPr>
                <w:rFonts w:asciiTheme="minorHAnsi" w:hAnsiTheme="minorHAnsi" w:cs="Arial"/>
                <w:b/>
                <w:lang w:val="en-US"/>
              </w:rPr>
              <w:t>Main Organizational activities:</w:t>
            </w:r>
          </w:p>
        </w:tc>
      </w:tr>
      <w:tr w:rsidR="00C05684" w:rsidRPr="0095425F" w:rsidTr="00001152">
        <w:tc>
          <w:tcPr>
            <w:tcW w:w="9918" w:type="dxa"/>
          </w:tcPr>
          <w:p w:rsidR="00C05684" w:rsidRPr="0095425F" w:rsidRDefault="00C05684" w:rsidP="007F2D8E">
            <w:pPr>
              <w:rPr>
                <w:rFonts w:asciiTheme="minorHAnsi" w:hAnsiTheme="minorHAnsi" w:cs="Arial"/>
                <w:b/>
                <w:caps/>
                <w:lang w:val="en-US"/>
              </w:rPr>
            </w:pPr>
          </w:p>
        </w:tc>
      </w:tr>
      <w:tr w:rsidR="007F2D8E" w:rsidRPr="005340C7" w:rsidTr="00001152">
        <w:tc>
          <w:tcPr>
            <w:tcW w:w="9918" w:type="dxa"/>
          </w:tcPr>
          <w:p w:rsidR="005E34C2" w:rsidRPr="005340C7" w:rsidRDefault="00CA41A4" w:rsidP="005340C7">
            <w:pPr>
              <w:jc w:val="both"/>
              <w:rPr>
                <w:lang w:val="en-US"/>
              </w:rPr>
            </w:pPr>
            <w:r w:rsidRPr="005340C7">
              <w:rPr>
                <w:color w:val="000000"/>
                <w:lang w:val="en-US" w:eastAsia="es-SV"/>
              </w:rPr>
              <w:t xml:space="preserve">The </w:t>
            </w:r>
            <w:r w:rsidR="005340C7" w:rsidRPr="005340C7">
              <w:rPr>
                <w:color w:val="000000"/>
                <w:lang w:val="en-US" w:eastAsia="es-SV"/>
              </w:rPr>
              <w:t xml:space="preserve">following </w:t>
            </w:r>
            <w:r w:rsidRPr="005340C7">
              <w:rPr>
                <w:color w:val="000000"/>
                <w:lang w:val="en-US" w:eastAsia="es-SV"/>
              </w:rPr>
              <w:t>operating structure</w:t>
            </w:r>
            <w:r w:rsidR="005340C7" w:rsidRPr="005340C7">
              <w:rPr>
                <w:color w:val="000000"/>
                <w:lang w:val="en-US" w:eastAsia="es-SV"/>
              </w:rPr>
              <w:t xml:space="preserve">s </w:t>
            </w:r>
            <w:r w:rsidRPr="005340C7">
              <w:rPr>
                <w:color w:val="000000"/>
                <w:lang w:val="en-US" w:eastAsia="es-SV"/>
              </w:rPr>
              <w:t xml:space="preserve">became operational: </w:t>
            </w:r>
            <w:r w:rsidRPr="005340C7">
              <w:rPr>
                <w:lang w:val="en-US"/>
              </w:rPr>
              <w:t>Management Committee, Technical Committee, Program Coordination, Coordinating Agencies, administrative staff for the program, setting up the office within the national government counterpart (Department of Housing and Urban Development), the targeted municipalities and communities were defined. For agility in recruitment a Roster of Experts for the Program was formed, and all procedures were established so that 50% of the budget is signed by the national counterpart. The program has had a high process of appropriation by the public, private and social institutions.</w:t>
            </w:r>
          </w:p>
          <w:p w:rsidR="00FB0066" w:rsidRPr="005340C7" w:rsidRDefault="00FB0066" w:rsidP="005340C7">
            <w:pPr>
              <w:jc w:val="both"/>
              <w:rPr>
                <w:lang w:val="en-US"/>
              </w:rPr>
            </w:pPr>
          </w:p>
        </w:tc>
      </w:tr>
      <w:tr w:rsidR="007F2D8E" w:rsidRPr="0095425F" w:rsidTr="00001152">
        <w:tc>
          <w:tcPr>
            <w:tcW w:w="9918"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7F2D8E" w:rsidRPr="005340C7" w:rsidTr="00001152">
        <w:tc>
          <w:tcPr>
            <w:tcW w:w="9918" w:type="dxa"/>
          </w:tcPr>
          <w:p w:rsidR="005E34C2" w:rsidRPr="005340C7" w:rsidRDefault="00CA41A4" w:rsidP="005E34C2">
            <w:pPr>
              <w:rPr>
                <w:lang w:val="en-US"/>
              </w:rPr>
            </w:pPr>
            <w:r w:rsidRPr="005340C7">
              <w:rPr>
                <w:noProof/>
                <w:lang w:val="en-US"/>
              </w:rPr>
              <w:t>The Programme was aligned to public policies and national and local programs, base lines were determined, activities with communities initiated, the strategy for productive and sustainable urban settlements was defined, reaching a performance close to 80% of the resources . The interagency work has been a strength.</w:t>
            </w:r>
          </w:p>
          <w:p w:rsidR="00FB0066" w:rsidRPr="005340C7" w:rsidRDefault="00FB0066" w:rsidP="005E34C2">
            <w:pPr>
              <w:rPr>
                <w:noProof/>
                <w:lang w:val="en-US"/>
              </w:rPr>
            </w:pPr>
          </w:p>
        </w:tc>
      </w:tr>
      <w:tr w:rsidR="007F2D8E" w:rsidRPr="0095425F" w:rsidTr="00001152">
        <w:tc>
          <w:tcPr>
            <w:tcW w:w="9918" w:type="dxa"/>
          </w:tcPr>
          <w:p w:rsidR="007F2D8E" w:rsidRPr="0095425F" w:rsidRDefault="007F2D8E"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7F2D8E" w:rsidRPr="0095425F" w:rsidRDefault="007F2D8E" w:rsidP="00F147E3">
            <w:pPr>
              <w:rPr>
                <w:rFonts w:asciiTheme="minorHAnsi" w:hAnsiTheme="minorHAnsi" w:cs="Arial"/>
                <w:lang w:val="en-US"/>
              </w:rPr>
            </w:pPr>
          </w:p>
        </w:tc>
      </w:tr>
      <w:tr w:rsidR="007F2D8E" w:rsidRPr="005340C7" w:rsidTr="00001152">
        <w:tc>
          <w:tcPr>
            <w:tcW w:w="9918" w:type="dxa"/>
          </w:tcPr>
          <w:p w:rsidR="005E34C2" w:rsidRPr="005340C7" w:rsidRDefault="00CA41A4" w:rsidP="005E34C2">
            <w:pPr>
              <w:rPr>
                <w:lang w:val="en-US"/>
              </w:rPr>
            </w:pPr>
            <w:r w:rsidRPr="005340C7">
              <w:rPr>
                <w:lang w:val="en-US"/>
              </w:rPr>
              <w:t>The program team was established in the third quarter of the year, which is why the implementation began later than expected. Some of the partners changed for a portion of the resources as part of the program’s alignment to financial policies of the National Central Bank. The result of this decision has been a success for the national incidence in the housing finance system.</w:t>
            </w:r>
          </w:p>
          <w:p w:rsidR="00B06560" w:rsidRPr="005340C7" w:rsidRDefault="00B06560" w:rsidP="00AA7A3B">
            <w:pPr>
              <w:rPr>
                <w:caps/>
                <w:lang w:val="en-US"/>
              </w:rPr>
            </w:pPr>
          </w:p>
        </w:tc>
      </w:tr>
      <w:tr w:rsidR="00FF7EE7" w:rsidRPr="005340C7" w:rsidTr="00001152">
        <w:tc>
          <w:tcPr>
            <w:tcW w:w="9918" w:type="dxa"/>
          </w:tcPr>
          <w:p w:rsidR="00FF7EE7" w:rsidRPr="005E34C2" w:rsidRDefault="006B0EA3" w:rsidP="00DB6FE5">
            <w:pPr>
              <w:rPr>
                <w:rFonts w:asciiTheme="minorHAnsi" w:hAnsiTheme="minorHAnsi" w:cs="Arial"/>
                <w:lang w:val="en-US"/>
              </w:rPr>
            </w:pPr>
            <w:r w:rsidRPr="0095425F">
              <w:rPr>
                <w:rFonts w:asciiTheme="minorHAnsi" w:hAnsiTheme="minorHAnsi" w:cs="Arial"/>
                <w:b/>
                <w:lang w:val="en-US"/>
              </w:rPr>
              <w:t xml:space="preserve">The programme reports </w:t>
            </w:r>
            <w:r w:rsidR="00DB6FE5" w:rsidRPr="0095425F">
              <w:rPr>
                <w:rFonts w:asciiTheme="minorHAnsi" w:hAnsiTheme="minorHAnsi" w:cs="Arial"/>
                <w:b/>
                <w:lang w:val="en-US"/>
              </w:rPr>
              <w:t>relevant</w:t>
            </w:r>
            <w:r w:rsidRPr="0095425F">
              <w:rPr>
                <w:rFonts w:asciiTheme="minorHAnsi" w:hAnsiTheme="minorHAnsi" w:cs="Arial"/>
                <w:b/>
                <w:lang w:val="en-US"/>
              </w:rPr>
              <w:t xml:space="preserve"> link</w:t>
            </w:r>
            <w:r w:rsidR="00DB6FE5" w:rsidRPr="0095425F">
              <w:rPr>
                <w:rFonts w:asciiTheme="minorHAnsi" w:hAnsiTheme="minorHAnsi" w:cs="Arial"/>
                <w:b/>
                <w:lang w:val="en-US"/>
              </w:rPr>
              <w:t>age</w:t>
            </w:r>
            <w:r w:rsidRPr="0095425F">
              <w:rPr>
                <w:rFonts w:asciiTheme="minorHAnsi" w:hAnsiTheme="minorHAnsi" w:cs="Arial"/>
                <w:b/>
                <w:lang w:val="en-US"/>
              </w:rPr>
              <w:t xml:space="preserve"> to the UNDAF:</w:t>
            </w:r>
            <w:r w:rsidR="005340C7">
              <w:rPr>
                <w:rFonts w:asciiTheme="minorHAnsi" w:hAnsiTheme="minorHAnsi" w:cs="Arial"/>
                <w:b/>
                <w:lang w:val="en-US"/>
              </w:rPr>
              <w:t xml:space="preserve"> </w:t>
            </w:r>
            <w:r w:rsidR="003327A2"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UNDAF_RELATED </w:instrText>
            </w:r>
            <w:r w:rsidR="003327A2" w:rsidRPr="0095425F">
              <w:rPr>
                <w:rFonts w:asciiTheme="minorHAnsi" w:hAnsiTheme="minorHAnsi" w:cs="Arial"/>
                <w:lang w:val="en-US"/>
              </w:rPr>
              <w:fldChar w:fldCharType="end"/>
            </w:r>
            <w:r w:rsidR="00CA41A4">
              <w:rPr>
                <w:rFonts w:asciiTheme="minorHAnsi" w:hAnsiTheme="minorHAnsi" w:cs="Arial"/>
                <w:lang w:val="en-US"/>
              </w:rPr>
              <w:t>Yes</w:t>
            </w:r>
          </w:p>
        </w:tc>
      </w:tr>
      <w:tr w:rsidR="00FF7EE7" w:rsidRPr="005340C7" w:rsidTr="00001152">
        <w:tc>
          <w:tcPr>
            <w:tcW w:w="9918" w:type="dxa"/>
          </w:tcPr>
          <w:p w:rsidR="00FF7EE7" w:rsidRPr="0095425F" w:rsidRDefault="006B0EA3"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CA41A4" w:rsidRPr="0025543A">
              <w:rPr>
                <w:rFonts w:asciiTheme="minorHAnsi" w:hAnsiTheme="minorHAnsi" w:cs="Arial"/>
                <w:lang w:val="en-US"/>
              </w:rPr>
              <w:t>In 2010 a joint strategy of the three MDG-F programs in El Salvador was proposed, but its implementation started in 2011.</w:t>
            </w:r>
            <w:r w:rsidR="003327A2"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COM_STRATEGY </w:instrText>
            </w:r>
            <w:r w:rsidR="003327A2" w:rsidRPr="0095425F">
              <w:rPr>
                <w:rFonts w:asciiTheme="minorHAnsi" w:hAnsiTheme="minorHAnsi" w:cs="Arial"/>
                <w:lang w:val="en-US"/>
              </w:rPr>
              <w:fldChar w:fldCharType="end"/>
            </w:r>
          </w:p>
        </w:tc>
      </w:tr>
    </w:tbl>
    <w:p w:rsidR="00F147E3" w:rsidRPr="0095425F" w:rsidRDefault="00F147E3" w:rsidP="00F147E3">
      <w:pPr>
        <w:rPr>
          <w:rFonts w:asciiTheme="minorHAnsi" w:hAnsiTheme="minorHAnsi"/>
          <w:b/>
          <w:lang w:val="en-US"/>
        </w:rPr>
      </w:pPr>
      <w:r w:rsidRPr="0095425F">
        <w:rPr>
          <w:rFonts w:asciiTheme="minorHAnsi" w:hAnsiTheme="minorHAnsi"/>
          <w:b/>
          <w:lang w:val="en-US"/>
        </w:rPr>
        <w:br w:type="page"/>
      </w: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&amp; FIGURES</w:t>
      </w:r>
      <w:r w:rsidR="00CA41A4">
        <w:rPr>
          <w:rStyle w:val="FootnoteReference"/>
          <w:rFonts w:asciiTheme="minorHAnsi" w:hAnsiTheme="minorHAnsi"/>
          <w:lang w:val="en-US"/>
        </w:rPr>
        <w:footnoteReference w:id="2"/>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8A0F93">
        <w:rPr>
          <w:rFonts w:asciiTheme="minorHAnsi" w:hAnsiTheme="minorHAnsi" w:cs="Arial"/>
          <w:lang w:val="en-US"/>
        </w:rPr>
        <w:t>10</w:t>
      </w:r>
    </w:p>
    <w:p w:rsidR="00440528" w:rsidRPr="0095425F" w:rsidRDefault="00440528" w:rsidP="00F147E3">
      <w:pPr>
        <w:jc w:val="center"/>
        <w:rPr>
          <w:rFonts w:asciiTheme="minorHAnsi" w:hAnsiTheme="minorHAnsi" w:cs="Arial"/>
          <w:lang w:val="en-US"/>
        </w:rPr>
      </w:pPr>
    </w:p>
    <w:p w:rsidR="00D16657" w:rsidRPr="003B39A3" w:rsidRDefault="007B3877" w:rsidP="00F147E3">
      <w:pPr>
        <w:jc w:val="center"/>
        <w:rPr>
          <w:rFonts w:asciiTheme="minorHAnsi" w:hAnsiTheme="minorHAnsi" w:cs="Arial"/>
          <w:b/>
          <w:sz w:val="18"/>
          <w:szCs w:val="18"/>
          <w:lang w:val="en-US"/>
        </w:rPr>
      </w:pPr>
      <w:r w:rsidRPr="007B3877">
        <w:rPr>
          <w:noProof/>
          <w:lang w:val="en-US" w:eastAsia="en-US"/>
        </w:rPr>
        <w:drawing>
          <wp:inline distT="0" distB="0" distL="0" distR="0">
            <wp:extent cx="5943600" cy="623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230917"/>
                    </a:xfrm>
                    <a:prstGeom prst="rect">
                      <a:avLst/>
                    </a:prstGeom>
                    <a:noFill/>
                    <a:ln>
                      <a:noFill/>
                    </a:ln>
                  </pic:spPr>
                </pic:pic>
              </a:graphicData>
            </a:graphic>
          </wp:inline>
        </w:drawing>
      </w:r>
      <w:bookmarkStart w:id="0" w:name="_GoBack"/>
      <w:bookmarkEnd w:id="0"/>
    </w:p>
    <w:p w:rsidR="009668FD" w:rsidRDefault="009668FD" w:rsidP="00FC31EC">
      <w:pPr>
        <w:jc w:val="center"/>
        <w:rPr>
          <w:rFonts w:asciiTheme="minorHAnsi" w:hAnsiTheme="minorHAnsi" w:cs="Arial"/>
          <w:b/>
          <w:lang w:val="en-US"/>
        </w:rPr>
      </w:pPr>
    </w:p>
    <w:p w:rsidR="00FC31EC" w:rsidRDefault="00FC31EC" w:rsidP="00FC31EC">
      <w:pPr>
        <w:jc w:val="center"/>
        <w:rPr>
          <w:rFonts w:asciiTheme="minorHAnsi" w:hAnsiTheme="minorHAnsi" w:cs="Arial"/>
          <w:b/>
          <w:lang w:val="en-US"/>
        </w:rPr>
      </w:pPr>
    </w:p>
    <w:p w:rsidR="00B4394F" w:rsidRDefault="00B4394F" w:rsidP="00F147E3">
      <w:pPr>
        <w:jc w:val="center"/>
        <w:rPr>
          <w:rFonts w:asciiTheme="minorHAnsi" w:hAnsiTheme="minorHAnsi" w:cs="Arial"/>
          <w:b/>
          <w:lang w:val="en-US"/>
        </w:rPr>
      </w:pPr>
    </w:p>
    <w:sectPr w:rsidR="00B4394F"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20" w:rsidRDefault="00890B20" w:rsidP="00F147E3">
      <w:r>
        <w:separator/>
      </w:r>
    </w:p>
  </w:endnote>
  <w:endnote w:type="continuationSeparator" w:id="1">
    <w:p w:rsidR="00890B20" w:rsidRDefault="00890B20"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20" w:rsidRDefault="00890B20" w:rsidP="00F147E3">
      <w:r>
        <w:separator/>
      </w:r>
    </w:p>
  </w:footnote>
  <w:footnote w:type="continuationSeparator" w:id="1">
    <w:p w:rsidR="00890B20" w:rsidRDefault="00890B20" w:rsidP="00F147E3">
      <w:r>
        <w:continuationSeparator/>
      </w:r>
    </w:p>
  </w:footnote>
  <w:footnote w:id="2">
    <w:p w:rsidR="00CA41A4" w:rsidRPr="007D2C6E" w:rsidRDefault="00CA41A4" w:rsidP="00CA41A4">
      <w:pPr>
        <w:pStyle w:val="FootnoteText"/>
        <w:rPr>
          <w:lang w:val="en-US"/>
        </w:rPr>
      </w:pPr>
      <w:r>
        <w:rPr>
          <w:rStyle w:val="FootnoteReference"/>
        </w:rPr>
        <w:footnoteRef/>
      </w:r>
      <w:r>
        <w:rPr>
          <w:lang w:val="en-US"/>
        </w:rPr>
        <w:t>The financial information presented in this brief is from Participating Organizations’ Headquarters and may differ from the information provided at the field level.</w:t>
      </w:r>
    </w:p>
    <w:p w:rsidR="00CA41A4" w:rsidRPr="00CA41A4" w:rsidRDefault="00CA41A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D5" w:rsidRDefault="000424D5">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0424D5" w:rsidRPr="00F147E3" w:rsidRDefault="000424D5" w:rsidP="00F147E3">
    <w:pPr>
      <w:pStyle w:val="Header"/>
      <w:rPr>
        <w:rFonts w:ascii="Arial" w:hAnsi="Arial" w:cs="Arial"/>
        <w:lang w:val="en-US"/>
      </w:rPr>
    </w:pPr>
    <w:r w:rsidRPr="00F147E3">
      <w:rPr>
        <w:rFonts w:ascii="Arial" w:hAnsi="Arial" w:cs="Arial"/>
        <w:lang w:val="en-US"/>
      </w:rPr>
      <w:t>20</w:t>
    </w:r>
    <w:r w:rsidR="00303A99">
      <w:rPr>
        <w:rFonts w:ascii="Arial" w:hAnsi="Arial" w:cs="Arial"/>
        <w:lang w:val="en-US"/>
      </w:rPr>
      <w:t>10</w:t>
    </w:r>
    <w:r w:rsidRPr="00F147E3">
      <w:rPr>
        <w:rFonts w:ascii="Arial" w:hAnsi="Arial" w:cs="Arial"/>
        <w:lang w:val="en-US"/>
      </w:rPr>
      <w:t xml:space="preserve">Administrative Agent Brief </w:t>
    </w:r>
  </w:p>
  <w:p w:rsidR="000424D5" w:rsidRPr="00F147E3" w:rsidRDefault="000424D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F147E3"/>
    <w:rsid w:val="00001152"/>
    <w:rsid w:val="00016C17"/>
    <w:rsid w:val="00027779"/>
    <w:rsid w:val="000424D5"/>
    <w:rsid w:val="000E0785"/>
    <w:rsid w:val="000F3A77"/>
    <w:rsid w:val="00102816"/>
    <w:rsid w:val="00112151"/>
    <w:rsid w:val="00143186"/>
    <w:rsid w:val="0016327D"/>
    <w:rsid w:val="00270C25"/>
    <w:rsid w:val="00277C34"/>
    <w:rsid w:val="002B59E7"/>
    <w:rsid w:val="002C2EC7"/>
    <w:rsid w:val="00303A99"/>
    <w:rsid w:val="003327A2"/>
    <w:rsid w:val="00363AC9"/>
    <w:rsid w:val="0036542F"/>
    <w:rsid w:val="003B39A3"/>
    <w:rsid w:val="003E233C"/>
    <w:rsid w:val="004011D3"/>
    <w:rsid w:val="004108C8"/>
    <w:rsid w:val="004139A4"/>
    <w:rsid w:val="00440528"/>
    <w:rsid w:val="004A058F"/>
    <w:rsid w:val="004C5CC2"/>
    <w:rsid w:val="005155E8"/>
    <w:rsid w:val="0052542D"/>
    <w:rsid w:val="005340C7"/>
    <w:rsid w:val="0053785B"/>
    <w:rsid w:val="00540079"/>
    <w:rsid w:val="005730EF"/>
    <w:rsid w:val="005844F3"/>
    <w:rsid w:val="005D2D80"/>
    <w:rsid w:val="005E34C2"/>
    <w:rsid w:val="005F7E63"/>
    <w:rsid w:val="00614453"/>
    <w:rsid w:val="006A715E"/>
    <w:rsid w:val="006B0EA3"/>
    <w:rsid w:val="006C0F30"/>
    <w:rsid w:val="006D5487"/>
    <w:rsid w:val="006E7FD7"/>
    <w:rsid w:val="006F1B8D"/>
    <w:rsid w:val="007442F4"/>
    <w:rsid w:val="0074642F"/>
    <w:rsid w:val="007647A5"/>
    <w:rsid w:val="007B2751"/>
    <w:rsid w:val="007B2FA8"/>
    <w:rsid w:val="007B3877"/>
    <w:rsid w:val="007D1C34"/>
    <w:rsid w:val="007F2D8E"/>
    <w:rsid w:val="007F4E1A"/>
    <w:rsid w:val="008260BA"/>
    <w:rsid w:val="00831127"/>
    <w:rsid w:val="00832254"/>
    <w:rsid w:val="0083614B"/>
    <w:rsid w:val="00840841"/>
    <w:rsid w:val="008472A6"/>
    <w:rsid w:val="00864037"/>
    <w:rsid w:val="00890B20"/>
    <w:rsid w:val="008A0F93"/>
    <w:rsid w:val="00944CD9"/>
    <w:rsid w:val="0095425F"/>
    <w:rsid w:val="00956B06"/>
    <w:rsid w:val="009668FD"/>
    <w:rsid w:val="009921DF"/>
    <w:rsid w:val="009F301E"/>
    <w:rsid w:val="00A14829"/>
    <w:rsid w:val="00A31793"/>
    <w:rsid w:val="00A52154"/>
    <w:rsid w:val="00A52DB9"/>
    <w:rsid w:val="00A56749"/>
    <w:rsid w:val="00A64828"/>
    <w:rsid w:val="00A9307A"/>
    <w:rsid w:val="00AA43A4"/>
    <w:rsid w:val="00AA755F"/>
    <w:rsid w:val="00AA7A3B"/>
    <w:rsid w:val="00AB160A"/>
    <w:rsid w:val="00AD5522"/>
    <w:rsid w:val="00AE77EE"/>
    <w:rsid w:val="00B06560"/>
    <w:rsid w:val="00B07AEC"/>
    <w:rsid w:val="00B117E5"/>
    <w:rsid w:val="00B31180"/>
    <w:rsid w:val="00B4394F"/>
    <w:rsid w:val="00BA488D"/>
    <w:rsid w:val="00BD3358"/>
    <w:rsid w:val="00BE22DC"/>
    <w:rsid w:val="00BF729B"/>
    <w:rsid w:val="00C05684"/>
    <w:rsid w:val="00C631F1"/>
    <w:rsid w:val="00C662DD"/>
    <w:rsid w:val="00CA41A4"/>
    <w:rsid w:val="00CE3280"/>
    <w:rsid w:val="00D01ADA"/>
    <w:rsid w:val="00D10C68"/>
    <w:rsid w:val="00D16657"/>
    <w:rsid w:val="00D178BE"/>
    <w:rsid w:val="00D2252A"/>
    <w:rsid w:val="00D721EE"/>
    <w:rsid w:val="00DB6FE5"/>
    <w:rsid w:val="00DE080D"/>
    <w:rsid w:val="00DE2D26"/>
    <w:rsid w:val="00DE4F4B"/>
    <w:rsid w:val="00E260DD"/>
    <w:rsid w:val="00E34F58"/>
    <w:rsid w:val="00E57BF7"/>
    <w:rsid w:val="00EF7AD8"/>
    <w:rsid w:val="00F12124"/>
    <w:rsid w:val="00F147E3"/>
    <w:rsid w:val="00F60570"/>
    <w:rsid w:val="00F917CA"/>
    <w:rsid w:val="00FA7474"/>
    <w:rsid w:val="00FB0066"/>
    <w:rsid w:val="00FC288D"/>
    <w:rsid w:val="00FC31EC"/>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4115">
      <w:bodyDiv w:val="1"/>
      <w:marLeft w:val="0"/>
      <w:marRight w:val="0"/>
      <w:marTop w:val="0"/>
      <w:marBottom w:val="0"/>
      <w:divBdr>
        <w:top w:val="none" w:sz="0" w:space="0" w:color="auto"/>
        <w:left w:val="none" w:sz="0" w:space="0" w:color="auto"/>
        <w:bottom w:val="none" w:sz="0" w:space="0" w:color="auto"/>
        <w:right w:val="none" w:sz="0" w:space="0" w:color="auto"/>
      </w:divBdr>
    </w:div>
    <w:div w:id="319777982">
      <w:bodyDiv w:val="1"/>
      <w:marLeft w:val="0"/>
      <w:marRight w:val="0"/>
      <w:marTop w:val="0"/>
      <w:marBottom w:val="0"/>
      <w:divBdr>
        <w:top w:val="none" w:sz="0" w:space="0" w:color="auto"/>
        <w:left w:val="none" w:sz="0" w:space="0" w:color="auto"/>
        <w:bottom w:val="none" w:sz="0" w:space="0" w:color="auto"/>
        <w:right w:val="none" w:sz="0" w:space="0" w:color="auto"/>
      </w:divBdr>
    </w:div>
    <w:div w:id="342897611">
      <w:bodyDiv w:val="1"/>
      <w:marLeft w:val="0"/>
      <w:marRight w:val="0"/>
      <w:marTop w:val="0"/>
      <w:marBottom w:val="0"/>
      <w:divBdr>
        <w:top w:val="none" w:sz="0" w:space="0" w:color="auto"/>
        <w:left w:val="none" w:sz="0" w:space="0" w:color="auto"/>
        <w:bottom w:val="none" w:sz="0" w:space="0" w:color="auto"/>
        <w:right w:val="none" w:sz="0" w:space="0" w:color="auto"/>
      </w:divBdr>
    </w:div>
    <w:div w:id="594556180">
      <w:bodyDiv w:val="1"/>
      <w:marLeft w:val="0"/>
      <w:marRight w:val="0"/>
      <w:marTop w:val="0"/>
      <w:marBottom w:val="0"/>
      <w:divBdr>
        <w:top w:val="none" w:sz="0" w:space="0" w:color="auto"/>
        <w:left w:val="none" w:sz="0" w:space="0" w:color="auto"/>
        <w:bottom w:val="none" w:sz="0" w:space="0" w:color="auto"/>
        <w:right w:val="none" w:sz="0" w:space="0" w:color="auto"/>
      </w:divBdr>
    </w:div>
    <w:div w:id="72379208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92163158">
      <w:bodyDiv w:val="1"/>
      <w:marLeft w:val="0"/>
      <w:marRight w:val="0"/>
      <w:marTop w:val="0"/>
      <w:marBottom w:val="0"/>
      <w:divBdr>
        <w:top w:val="none" w:sz="0" w:space="0" w:color="auto"/>
        <w:left w:val="none" w:sz="0" w:space="0" w:color="auto"/>
        <w:bottom w:val="none" w:sz="0" w:space="0" w:color="auto"/>
        <w:right w:val="none" w:sz="0" w:space="0" w:color="auto"/>
      </w:divBdr>
    </w:div>
    <w:div w:id="1177772274">
      <w:bodyDiv w:val="1"/>
      <w:marLeft w:val="0"/>
      <w:marRight w:val="0"/>
      <w:marTop w:val="0"/>
      <w:marBottom w:val="0"/>
      <w:divBdr>
        <w:top w:val="none" w:sz="0" w:space="0" w:color="auto"/>
        <w:left w:val="none" w:sz="0" w:space="0" w:color="auto"/>
        <w:bottom w:val="none" w:sz="0" w:space="0" w:color="auto"/>
        <w:right w:val="none" w:sz="0" w:space="0" w:color="auto"/>
      </w:divBdr>
    </w:div>
    <w:div w:id="1355614795">
      <w:bodyDiv w:val="1"/>
      <w:marLeft w:val="0"/>
      <w:marRight w:val="0"/>
      <w:marTop w:val="0"/>
      <w:marBottom w:val="0"/>
      <w:divBdr>
        <w:top w:val="none" w:sz="0" w:space="0" w:color="auto"/>
        <w:left w:val="none" w:sz="0" w:space="0" w:color="auto"/>
        <w:bottom w:val="none" w:sz="0" w:space="0" w:color="auto"/>
        <w:right w:val="none" w:sz="0" w:space="0" w:color="auto"/>
      </w:divBdr>
    </w:div>
    <w:div w:id="1611744869">
      <w:bodyDiv w:val="1"/>
      <w:marLeft w:val="0"/>
      <w:marRight w:val="0"/>
      <w:marTop w:val="0"/>
      <w:marBottom w:val="0"/>
      <w:divBdr>
        <w:top w:val="none" w:sz="0" w:space="0" w:color="auto"/>
        <w:left w:val="none" w:sz="0" w:space="0" w:color="auto"/>
        <w:bottom w:val="none" w:sz="0" w:space="0" w:color="auto"/>
        <w:right w:val="none" w:sz="0" w:space="0" w:color="auto"/>
      </w:divBdr>
    </w:div>
    <w:div w:id="1783108085">
      <w:bodyDiv w:val="1"/>
      <w:marLeft w:val="0"/>
      <w:marRight w:val="0"/>
      <w:marTop w:val="0"/>
      <w:marBottom w:val="0"/>
      <w:divBdr>
        <w:top w:val="none" w:sz="0" w:space="0" w:color="auto"/>
        <w:left w:val="none" w:sz="0" w:space="0" w:color="auto"/>
        <w:bottom w:val="none" w:sz="0" w:space="0" w:color="auto"/>
        <w:right w:val="none" w:sz="0" w:space="0" w:color="auto"/>
      </w:divBdr>
    </w:div>
    <w:div w:id="1888292570">
      <w:bodyDiv w:val="1"/>
      <w:marLeft w:val="0"/>
      <w:marRight w:val="0"/>
      <w:marTop w:val="0"/>
      <w:marBottom w:val="0"/>
      <w:divBdr>
        <w:top w:val="none" w:sz="0" w:space="0" w:color="auto"/>
        <w:left w:val="none" w:sz="0" w:space="0" w:color="auto"/>
        <w:bottom w:val="none" w:sz="0" w:space="0" w:color="auto"/>
        <w:right w:val="none" w:sz="0" w:space="0" w:color="auto"/>
      </w:divBdr>
    </w:div>
    <w:div w:id="20961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4D1D-5611-48B8-B626-FE6A09D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6</cp:revision>
  <cp:lastPrinted>2010-05-17T16:22:00Z</cp:lastPrinted>
  <dcterms:created xsi:type="dcterms:W3CDTF">2011-05-25T20:46:00Z</dcterms:created>
  <dcterms:modified xsi:type="dcterms:W3CDTF">2011-05-31T21:17:00Z</dcterms:modified>
</cp:coreProperties>
</file>