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451" w:rsidRPr="00E61E25" w:rsidRDefault="00B44451" w:rsidP="00B44451">
      <w:pPr>
        <w:rPr>
          <w:rFonts w:ascii="Arial" w:hAnsi="Arial" w:cs="Arial"/>
          <w:szCs w:val="24"/>
        </w:rPr>
      </w:pPr>
    </w:p>
    <w:p w:rsidR="00A30B76" w:rsidRDefault="001E3117" w:rsidP="00A30B76">
      <w:pPr>
        <w:jc w:val="both"/>
        <w:rPr>
          <w:b/>
          <w:szCs w:val="24"/>
        </w:rPr>
      </w:pPr>
      <w:r>
        <w:rPr>
          <w:rFonts w:cs="FrutigerLT-Roman"/>
          <w:noProof/>
          <w:sz w:val="42"/>
          <w:szCs w:val="40"/>
        </w:rPr>
        <w:drawing>
          <wp:inline distT="0" distB="0" distL="0" distR="0">
            <wp:extent cx="1714500" cy="736600"/>
            <wp:effectExtent l="19050" t="0" r="0" b="0"/>
            <wp:docPr id="20" name="Picture 20" descr="UN-RED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UN-REDD logo"/>
                    <pic:cNvPicPr>
                      <a:picLocks noChangeAspect="1" noChangeArrowheads="1"/>
                    </pic:cNvPicPr>
                  </pic:nvPicPr>
                  <pic:blipFill>
                    <a:blip r:embed="rId8"/>
                    <a:srcRect/>
                    <a:stretch>
                      <a:fillRect/>
                    </a:stretch>
                  </pic:blipFill>
                  <pic:spPr bwMode="auto">
                    <a:xfrm>
                      <a:off x="0" y="0"/>
                      <a:ext cx="1714500" cy="736600"/>
                    </a:xfrm>
                    <a:prstGeom prst="rect">
                      <a:avLst/>
                    </a:prstGeom>
                    <a:noFill/>
                    <a:ln w="9525">
                      <a:noFill/>
                      <a:miter lim="800000"/>
                      <a:headEnd/>
                      <a:tailEnd/>
                    </a:ln>
                  </pic:spPr>
                </pic:pic>
              </a:graphicData>
            </a:graphic>
          </wp:inline>
        </w:drawing>
      </w:r>
      <w:r w:rsidR="00A30B76">
        <w:rPr>
          <w:rFonts w:cs="FrutigerLT-Roman"/>
          <w:noProof/>
          <w:sz w:val="42"/>
          <w:szCs w:val="40"/>
        </w:rPr>
        <w:t xml:space="preserve">                            </w:t>
      </w:r>
      <w:r>
        <w:rPr>
          <w:noProof/>
        </w:rPr>
        <w:drawing>
          <wp:inline distT="0" distB="0" distL="0" distR="0">
            <wp:extent cx="1612900" cy="292100"/>
            <wp:effectExtent l="19050" t="0" r="6350" b="0"/>
            <wp:docPr id="21" name="Picture 21" descr="UNDG logo s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NDG logo solo"/>
                    <pic:cNvPicPr>
                      <a:picLocks noChangeAspect="1" noChangeArrowheads="1"/>
                    </pic:cNvPicPr>
                  </pic:nvPicPr>
                  <pic:blipFill>
                    <a:blip r:embed="rId9"/>
                    <a:srcRect/>
                    <a:stretch>
                      <a:fillRect/>
                    </a:stretch>
                  </pic:blipFill>
                  <pic:spPr bwMode="auto">
                    <a:xfrm>
                      <a:off x="0" y="0"/>
                      <a:ext cx="1612900" cy="292100"/>
                    </a:xfrm>
                    <a:prstGeom prst="rect">
                      <a:avLst/>
                    </a:prstGeom>
                    <a:noFill/>
                    <a:ln w="9525">
                      <a:noFill/>
                      <a:miter lim="800000"/>
                      <a:headEnd/>
                      <a:tailEnd/>
                    </a:ln>
                  </pic:spPr>
                </pic:pic>
              </a:graphicData>
            </a:graphic>
          </wp:inline>
        </w:drawing>
      </w:r>
      <w:r w:rsidR="00A30B76">
        <w:rPr>
          <w:rFonts w:cs="FrutigerLT-Roman"/>
          <w:noProof/>
          <w:sz w:val="42"/>
          <w:szCs w:val="40"/>
        </w:rPr>
        <w:t xml:space="preserve"> </w:t>
      </w:r>
      <w:r>
        <w:rPr>
          <w:rFonts w:ascii="Arial" w:hAnsi="Arial" w:cs="Arial"/>
          <w:noProof/>
        </w:rPr>
        <w:drawing>
          <wp:inline distT="0" distB="0" distL="0" distR="0">
            <wp:extent cx="368300" cy="749300"/>
            <wp:effectExtent l="19050" t="0" r="0" b="0"/>
            <wp:docPr id="22" name="Picture 22" descr="undp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ndp_logo.gif"/>
                    <pic:cNvPicPr>
                      <a:picLocks noChangeAspect="1" noChangeArrowheads="1"/>
                    </pic:cNvPicPr>
                  </pic:nvPicPr>
                  <pic:blipFill>
                    <a:blip r:embed="rId10"/>
                    <a:srcRect/>
                    <a:stretch>
                      <a:fillRect/>
                    </a:stretch>
                  </pic:blipFill>
                  <pic:spPr bwMode="auto">
                    <a:xfrm>
                      <a:off x="0" y="0"/>
                      <a:ext cx="368300" cy="749300"/>
                    </a:xfrm>
                    <a:prstGeom prst="rect">
                      <a:avLst/>
                    </a:prstGeom>
                    <a:noFill/>
                    <a:ln w="9525">
                      <a:noFill/>
                      <a:miter lim="800000"/>
                      <a:headEnd/>
                      <a:tailEnd/>
                    </a:ln>
                  </pic:spPr>
                </pic:pic>
              </a:graphicData>
            </a:graphic>
          </wp:inline>
        </w:drawing>
      </w:r>
      <w:r w:rsidR="00A30B76">
        <w:rPr>
          <w:rFonts w:cs="FrutigerLT-Roman"/>
          <w:noProof/>
          <w:sz w:val="42"/>
          <w:szCs w:val="40"/>
        </w:rPr>
        <w:t xml:space="preserve">  </w:t>
      </w:r>
    </w:p>
    <w:p w:rsidR="00A30B76" w:rsidRDefault="00A30B76" w:rsidP="00A30B76">
      <w:pPr>
        <w:jc w:val="both"/>
        <w:rPr>
          <w:b/>
          <w:szCs w:val="24"/>
        </w:rPr>
      </w:pPr>
      <w:r>
        <w:rPr>
          <w:b/>
          <w:szCs w:val="24"/>
        </w:rPr>
        <w:t>Annual Joint Programme Progress Report</w:t>
      </w:r>
    </w:p>
    <w:p w:rsidR="00A30B76" w:rsidRDefault="00A30B76" w:rsidP="00A30B76">
      <w:pPr>
        <w:jc w:val="both"/>
        <w:rPr>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98"/>
        <w:gridCol w:w="6345"/>
      </w:tblGrid>
      <w:tr w:rsidR="00A30B76" w:rsidRPr="00FC2166" w:rsidTr="000D737D">
        <w:tc>
          <w:tcPr>
            <w:tcW w:w="2898" w:type="dxa"/>
          </w:tcPr>
          <w:p w:rsidR="00A30B76" w:rsidRDefault="00A30B76" w:rsidP="000D737D">
            <w:pPr>
              <w:jc w:val="both"/>
              <w:rPr>
                <w:szCs w:val="24"/>
              </w:rPr>
            </w:pPr>
            <w:r>
              <w:rPr>
                <w:szCs w:val="24"/>
              </w:rPr>
              <w:t>Country/Global</w:t>
            </w:r>
          </w:p>
        </w:tc>
        <w:tc>
          <w:tcPr>
            <w:tcW w:w="6345" w:type="dxa"/>
          </w:tcPr>
          <w:p w:rsidR="00A30B76" w:rsidRDefault="00A30B76" w:rsidP="000D737D">
            <w:pPr>
              <w:tabs>
                <w:tab w:val="center" w:pos="4320"/>
                <w:tab w:val="right" w:pos="8640"/>
              </w:tabs>
              <w:jc w:val="both"/>
              <w:rPr>
                <w:b/>
                <w:szCs w:val="24"/>
              </w:rPr>
            </w:pPr>
            <w:r>
              <w:rPr>
                <w:b/>
                <w:szCs w:val="24"/>
              </w:rPr>
              <w:t>Global</w:t>
            </w:r>
          </w:p>
        </w:tc>
      </w:tr>
      <w:tr w:rsidR="00A30B76" w:rsidRPr="00FC2166" w:rsidTr="000D737D">
        <w:tc>
          <w:tcPr>
            <w:tcW w:w="2898" w:type="dxa"/>
          </w:tcPr>
          <w:p w:rsidR="00A30B76" w:rsidRDefault="00A30B76" w:rsidP="000D737D">
            <w:pPr>
              <w:jc w:val="both"/>
              <w:rPr>
                <w:szCs w:val="24"/>
              </w:rPr>
            </w:pPr>
            <w:r>
              <w:rPr>
                <w:szCs w:val="24"/>
              </w:rPr>
              <w:t>Title:</w:t>
            </w:r>
          </w:p>
        </w:tc>
        <w:tc>
          <w:tcPr>
            <w:tcW w:w="6345" w:type="dxa"/>
          </w:tcPr>
          <w:p w:rsidR="00A30B76" w:rsidRDefault="00A30B76" w:rsidP="000D737D">
            <w:pPr>
              <w:jc w:val="both"/>
              <w:rPr>
                <w:b/>
                <w:szCs w:val="24"/>
              </w:rPr>
            </w:pPr>
            <w:r>
              <w:rPr>
                <w:b/>
                <w:szCs w:val="24"/>
              </w:rPr>
              <w:t>UN-REDD Global Programme</w:t>
            </w:r>
          </w:p>
        </w:tc>
      </w:tr>
      <w:tr w:rsidR="00A30B76" w:rsidRPr="00FC2166" w:rsidTr="000D737D">
        <w:tc>
          <w:tcPr>
            <w:tcW w:w="2898" w:type="dxa"/>
          </w:tcPr>
          <w:p w:rsidR="00A30B76" w:rsidRDefault="00A30B76" w:rsidP="000D737D">
            <w:pPr>
              <w:jc w:val="both"/>
              <w:rPr>
                <w:szCs w:val="24"/>
              </w:rPr>
            </w:pPr>
            <w:r>
              <w:rPr>
                <w:szCs w:val="24"/>
              </w:rPr>
              <w:t>Reporting Period</w:t>
            </w:r>
          </w:p>
        </w:tc>
        <w:tc>
          <w:tcPr>
            <w:tcW w:w="6345" w:type="dxa"/>
          </w:tcPr>
          <w:p w:rsidR="00A30B76" w:rsidRDefault="00A30B76" w:rsidP="000D737D">
            <w:pPr>
              <w:jc w:val="both"/>
              <w:rPr>
                <w:b/>
                <w:szCs w:val="24"/>
              </w:rPr>
            </w:pPr>
            <w:r>
              <w:rPr>
                <w:b/>
                <w:szCs w:val="24"/>
              </w:rPr>
              <w:t>1 July  – 31 December 2009</w:t>
            </w:r>
          </w:p>
        </w:tc>
      </w:tr>
      <w:tr w:rsidR="00A30B76" w:rsidRPr="00FC2166" w:rsidTr="000D737D">
        <w:tc>
          <w:tcPr>
            <w:tcW w:w="2898" w:type="dxa"/>
          </w:tcPr>
          <w:p w:rsidR="00A30B76" w:rsidRPr="001E3117" w:rsidRDefault="00A30B76" w:rsidP="000D737D">
            <w:pPr>
              <w:jc w:val="both"/>
              <w:rPr>
                <w:szCs w:val="24"/>
              </w:rPr>
            </w:pPr>
            <w:r w:rsidRPr="001E3117">
              <w:rPr>
                <w:szCs w:val="24"/>
              </w:rPr>
              <w:t>Date of Submission</w:t>
            </w:r>
          </w:p>
        </w:tc>
        <w:tc>
          <w:tcPr>
            <w:tcW w:w="6345" w:type="dxa"/>
          </w:tcPr>
          <w:p w:rsidR="00A30B76" w:rsidRPr="001E3117" w:rsidRDefault="001E3117" w:rsidP="000D737D">
            <w:pPr>
              <w:jc w:val="both"/>
              <w:rPr>
                <w:b/>
                <w:bCs/>
                <w:szCs w:val="24"/>
              </w:rPr>
            </w:pPr>
            <w:r w:rsidRPr="001E3117">
              <w:rPr>
                <w:b/>
                <w:bCs/>
                <w:szCs w:val="24"/>
              </w:rPr>
              <w:t>15 January 2010</w:t>
            </w:r>
          </w:p>
        </w:tc>
      </w:tr>
      <w:tr w:rsidR="00A30B76" w:rsidRPr="00FC2166" w:rsidTr="000D737D">
        <w:tc>
          <w:tcPr>
            <w:tcW w:w="2898" w:type="dxa"/>
          </w:tcPr>
          <w:p w:rsidR="00A30B76" w:rsidRDefault="001E3117" w:rsidP="001E3117">
            <w:pPr>
              <w:rPr>
                <w:szCs w:val="24"/>
              </w:rPr>
            </w:pPr>
            <w:r>
              <w:rPr>
                <w:szCs w:val="24"/>
              </w:rPr>
              <w:t xml:space="preserve">Submitted </w:t>
            </w:r>
            <w:r w:rsidR="00A30B76">
              <w:rPr>
                <w:szCs w:val="24"/>
              </w:rPr>
              <w:t>by/contact information</w:t>
            </w:r>
          </w:p>
        </w:tc>
        <w:tc>
          <w:tcPr>
            <w:tcW w:w="6345" w:type="dxa"/>
          </w:tcPr>
          <w:p w:rsidR="00A30B76" w:rsidRPr="001E3117" w:rsidRDefault="001E3117" w:rsidP="000D737D">
            <w:pPr>
              <w:jc w:val="both"/>
              <w:rPr>
                <w:b/>
                <w:bCs/>
                <w:szCs w:val="24"/>
              </w:rPr>
            </w:pPr>
            <w:r w:rsidRPr="001E3117">
              <w:rPr>
                <w:b/>
                <w:bCs/>
                <w:szCs w:val="24"/>
              </w:rPr>
              <w:t>Tiina Vahanen, Senior Officer, Global Programmes</w:t>
            </w:r>
          </w:p>
        </w:tc>
      </w:tr>
    </w:tbl>
    <w:p w:rsidR="00A30B76" w:rsidRDefault="00A30B76" w:rsidP="00A30B76">
      <w:pPr>
        <w:jc w:val="both"/>
        <w:rPr>
          <w:b/>
          <w:szCs w:val="24"/>
        </w:rPr>
      </w:pPr>
    </w:p>
    <w:p w:rsidR="00A30B76" w:rsidRDefault="00A30B76" w:rsidP="00A30B76">
      <w:pPr>
        <w:jc w:val="both"/>
        <w:rPr>
          <w:b/>
          <w:szCs w:val="24"/>
        </w:rPr>
      </w:pPr>
    </w:p>
    <w:p w:rsidR="00A30B76" w:rsidRDefault="00A30B76" w:rsidP="00A30B76">
      <w:pPr>
        <w:pStyle w:val="Heading3"/>
        <w:jc w:val="both"/>
        <w:rPr>
          <w:rFonts w:ascii="Times New Roman" w:hAnsi="Times New Roman"/>
          <w:b/>
          <w:bCs w:val="0"/>
          <w:szCs w:val="24"/>
        </w:rPr>
      </w:pPr>
      <w:r>
        <w:rPr>
          <w:rFonts w:ascii="Times New Roman" w:hAnsi="Times New Roman"/>
          <w:b/>
          <w:bCs w:val="0"/>
          <w:szCs w:val="24"/>
        </w:rPr>
        <w:t>I.  PURPOSE</w:t>
      </w:r>
    </w:p>
    <w:p w:rsidR="00A30B76" w:rsidRDefault="00A30B76" w:rsidP="00A30B76">
      <w:pPr>
        <w:pStyle w:val="BodyText"/>
        <w:jc w:val="both"/>
        <w:rPr>
          <w:rFonts w:ascii="Times New Roman" w:hAnsi="Times New Roman"/>
          <w:color w:val="000000"/>
          <w:sz w:val="24"/>
          <w:szCs w:val="24"/>
        </w:rPr>
      </w:pPr>
    </w:p>
    <w:p w:rsidR="00A30B76" w:rsidRPr="00FC2166" w:rsidRDefault="00A30B76" w:rsidP="00A30B76">
      <w:pPr>
        <w:pStyle w:val="BodyText"/>
        <w:jc w:val="both"/>
        <w:rPr>
          <w:rFonts w:ascii="Times New Roman" w:hAnsi="Times New Roman"/>
          <w:color w:val="000000"/>
          <w:sz w:val="24"/>
          <w:szCs w:val="24"/>
        </w:rPr>
      </w:pPr>
      <w:r>
        <w:rPr>
          <w:rFonts w:ascii="Times New Roman" w:hAnsi="Times New Roman"/>
          <w:color w:val="000000"/>
          <w:sz w:val="24"/>
          <w:szCs w:val="24"/>
        </w:rPr>
        <w:t>The Joint UN-REDD Global Programme provides support to country actions on REDD+ readiness through international support functions, such as expert consultations, operational and practical guidelines, technical reviews, analyses, development of knowledge and sharing of experience. It also aims to increase international confidence and understanding about the potential REDD+ mechanism under UNFCCC. Specifically, the global activities aim to achieve the following outcomes by mid 2010:</w:t>
      </w:r>
    </w:p>
    <w:p w:rsidR="00A30B76" w:rsidRDefault="00A30B76" w:rsidP="00A30B76">
      <w:pPr>
        <w:pStyle w:val="BodyText"/>
        <w:jc w:val="both"/>
        <w:rPr>
          <w:rFonts w:ascii="Times New Roman" w:hAnsi="Times New Roman"/>
          <w:color w:val="000000"/>
          <w:sz w:val="24"/>
          <w:szCs w:val="24"/>
        </w:rPr>
      </w:pPr>
    </w:p>
    <w:p w:rsidR="00A30B76" w:rsidRDefault="00A30B76" w:rsidP="00A30B76">
      <w:pPr>
        <w:pStyle w:val="BodyText"/>
        <w:numPr>
          <w:ilvl w:val="0"/>
          <w:numId w:val="11"/>
        </w:numPr>
        <w:tabs>
          <w:tab w:val="clear" w:pos="1472"/>
        </w:tabs>
        <w:ind w:left="360" w:hanging="328"/>
        <w:jc w:val="both"/>
        <w:rPr>
          <w:rFonts w:ascii="Times New Roman" w:hAnsi="Times New Roman"/>
          <w:color w:val="000000"/>
          <w:sz w:val="24"/>
          <w:szCs w:val="24"/>
        </w:rPr>
      </w:pPr>
      <w:r>
        <w:rPr>
          <w:rFonts w:ascii="Times New Roman" w:hAnsi="Times New Roman"/>
          <w:b/>
          <w:color w:val="000000"/>
          <w:sz w:val="24"/>
          <w:szCs w:val="24"/>
        </w:rPr>
        <w:t>Outcome 1</w:t>
      </w:r>
      <w:r>
        <w:rPr>
          <w:rFonts w:ascii="Times New Roman" w:hAnsi="Times New Roman"/>
          <w:color w:val="000000"/>
          <w:sz w:val="24"/>
          <w:szCs w:val="24"/>
        </w:rPr>
        <w:t>: Improved guidance on Monitoring, Reporting and Verification (MRV) approaches</w:t>
      </w:r>
    </w:p>
    <w:p w:rsidR="00A30B76" w:rsidRDefault="00A30B76" w:rsidP="00A30B76">
      <w:pPr>
        <w:pStyle w:val="BodyText"/>
        <w:numPr>
          <w:ilvl w:val="0"/>
          <w:numId w:val="11"/>
        </w:numPr>
        <w:tabs>
          <w:tab w:val="clear" w:pos="1472"/>
        </w:tabs>
        <w:ind w:left="360" w:hanging="328"/>
        <w:jc w:val="both"/>
        <w:rPr>
          <w:rFonts w:ascii="Times New Roman" w:hAnsi="Times New Roman"/>
          <w:color w:val="000000"/>
          <w:sz w:val="24"/>
          <w:szCs w:val="24"/>
        </w:rPr>
      </w:pPr>
      <w:r>
        <w:rPr>
          <w:rFonts w:ascii="Times New Roman" w:hAnsi="Times New Roman"/>
          <w:b/>
          <w:color w:val="000000"/>
          <w:sz w:val="24"/>
          <w:szCs w:val="24"/>
        </w:rPr>
        <w:t>Outcome 2</w:t>
      </w:r>
      <w:r>
        <w:rPr>
          <w:rFonts w:ascii="Times New Roman" w:hAnsi="Times New Roman"/>
          <w:color w:val="000000"/>
          <w:sz w:val="24"/>
          <w:szCs w:val="24"/>
        </w:rPr>
        <w:t>: Increased engagement of stakeholders in the REDD agenda</w:t>
      </w:r>
    </w:p>
    <w:p w:rsidR="00A30B76" w:rsidRDefault="00A30B76" w:rsidP="00A30B76">
      <w:pPr>
        <w:pStyle w:val="BodyText"/>
        <w:numPr>
          <w:ilvl w:val="0"/>
          <w:numId w:val="11"/>
        </w:numPr>
        <w:tabs>
          <w:tab w:val="clear" w:pos="1472"/>
        </w:tabs>
        <w:ind w:left="360" w:hanging="328"/>
        <w:jc w:val="both"/>
        <w:rPr>
          <w:rFonts w:ascii="Times New Roman" w:hAnsi="Times New Roman"/>
          <w:color w:val="000000"/>
          <w:sz w:val="24"/>
          <w:szCs w:val="24"/>
        </w:rPr>
      </w:pPr>
      <w:r>
        <w:rPr>
          <w:rFonts w:ascii="Times New Roman" w:hAnsi="Times New Roman"/>
          <w:b/>
          <w:color w:val="000000"/>
          <w:sz w:val="24"/>
          <w:szCs w:val="24"/>
        </w:rPr>
        <w:t>Outcome 3</w:t>
      </w:r>
      <w:r>
        <w:rPr>
          <w:rFonts w:ascii="Times New Roman" w:hAnsi="Times New Roman"/>
          <w:color w:val="000000"/>
          <w:sz w:val="24"/>
          <w:szCs w:val="24"/>
        </w:rPr>
        <w:t>: Improved analytical and technical framework of multiple benefits for REDD decision makers</w:t>
      </w:r>
    </w:p>
    <w:p w:rsidR="00A30B76" w:rsidRDefault="00A30B76" w:rsidP="00A30B76">
      <w:pPr>
        <w:pStyle w:val="BodyText"/>
        <w:numPr>
          <w:ilvl w:val="0"/>
          <w:numId w:val="11"/>
        </w:numPr>
        <w:tabs>
          <w:tab w:val="clear" w:pos="1472"/>
        </w:tabs>
        <w:ind w:left="360" w:hanging="328"/>
        <w:jc w:val="both"/>
        <w:rPr>
          <w:rFonts w:ascii="Times New Roman" w:hAnsi="Times New Roman"/>
          <w:color w:val="000000"/>
          <w:sz w:val="24"/>
          <w:szCs w:val="24"/>
        </w:rPr>
      </w:pPr>
      <w:r>
        <w:rPr>
          <w:rFonts w:ascii="Times New Roman" w:hAnsi="Times New Roman"/>
          <w:b/>
          <w:color w:val="000000"/>
          <w:sz w:val="24"/>
          <w:szCs w:val="24"/>
        </w:rPr>
        <w:t>Outcome 4</w:t>
      </w:r>
      <w:r>
        <w:rPr>
          <w:rFonts w:ascii="Times New Roman" w:hAnsi="Times New Roman"/>
          <w:color w:val="000000"/>
          <w:sz w:val="24"/>
          <w:szCs w:val="24"/>
        </w:rPr>
        <w:t>: Increased knowledge management, coordination and communication</w:t>
      </w:r>
    </w:p>
    <w:p w:rsidR="00A30B76" w:rsidRDefault="00A30B76" w:rsidP="00A30B76">
      <w:pPr>
        <w:pStyle w:val="BodyText"/>
        <w:ind w:left="360"/>
        <w:jc w:val="both"/>
        <w:rPr>
          <w:rFonts w:ascii="Times New Roman" w:hAnsi="Times New Roman"/>
          <w:color w:val="000000"/>
          <w:sz w:val="24"/>
          <w:szCs w:val="24"/>
        </w:rPr>
      </w:pPr>
    </w:p>
    <w:p w:rsidR="00A30B76" w:rsidRDefault="00A30B76" w:rsidP="00A30B76">
      <w:pPr>
        <w:jc w:val="both"/>
        <w:rPr>
          <w:szCs w:val="24"/>
        </w:rPr>
      </w:pPr>
    </w:p>
    <w:p w:rsidR="00A30B76" w:rsidRDefault="00A30B76" w:rsidP="00A30B76">
      <w:pPr>
        <w:pStyle w:val="Heading3"/>
        <w:jc w:val="both"/>
        <w:rPr>
          <w:rFonts w:ascii="Times New Roman" w:hAnsi="Times New Roman"/>
          <w:b/>
          <w:bCs w:val="0"/>
          <w:szCs w:val="24"/>
        </w:rPr>
      </w:pPr>
      <w:r>
        <w:rPr>
          <w:rFonts w:ascii="Times New Roman" w:hAnsi="Times New Roman"/>
          <w:b/>
          <w:bCs w:val="0"/>
          <w:szCs w:val="24"/>
        </w:rPr>
        <w:t>II.  RESOURCES</w:t>
      </w:r>
    </w:p>
    <w:p w:rsidR="00A30B76" w:rsidRDefault="00A30B76" w:rsidP="00A30B76">
      <w:pPr>
        <w:pStyle w:val="BodyText3"/>
      </w:pPr>
    </w:p>
    <w:p w:rsidR="00A30B76" w:rsidRDefault="00A30B76" w:rsidP="00A30B76">
      <w:pPr>
        <w:pStyle w:val="BodyText3"/>
      </w:pPr>
      <w:r>
        <w:t xml:space="preserve">The total approved budget for the joint Global Programme is </w:t>
      </w:r>
      <w:r>
        <w:rPr>
          <w:b/>
        </w:rPr>
        <w:t>US$9,562,005</w:t>
      </w:r>
      <w:r>
        <w:t>. The programme duration (original programme and the first revision combined) is for 18 months, from 1 January 2009 to 30 June 2010.</w:t>
      </w:r>
    </w:p>
    <w:p w:rsidR="00A30B76" w:rsidRDefault="00A30B76" w:rsidP="00A30B76">
      <w:pPr>
        <w:pStyle w:val="BodyText3"/>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4"/>
        <w:gridCol w:w="1567"/>
        <w:gridCol w:w="1898"/>
        <w:gridCol w:w="2008"/>
        <w:gridCol w:w="1776"/>
      </w:tblGrid>
      <w:tr w:rsidR="00A30B76" w:rsidRPr="00FC2166" w:rsidTr="00A30B76">
        <w:tc>
          <w:tcPr>
            <w:tcW w:w="7467" w:type="dxa"/>
            <w:gridSpan w:val="4"/>
          </w:tcPr>
          <w:p w:rsidR="00A30B76" w:rsidRPr="00A30B76" w:rsidRDefault="00A30B76" w:rsidP="000D737D">
            <w:pPr>
              <w:pStyle w:val="BodyText3"/>
              <w:rPr>
                <w:b/>
              </w:rPr>
            </w:pPr>
            <w:r w:rsidRPr="00A30B76">
              <w:rPr>
                <w:b/>
              </w:rPr>
              <w:t>Participating UN Organization (US$)</w:t>
            </w:r>
          </w:p>
        </w:tc>
        <w:tc>
          <w:tcPr>
            <w:tcW w:w="1776" w:type="dxa"/>
          </w:tcPr>
          <w:p w:rsidR="00A30B76" w:rsidRPr="00A30B76" w:rsidRDefault="00A30B76" w:rsidP="000D737D">
            <w:pPr>
              <w:pStyle w:val="BodyText3"/>
              <w:rPr>
                <w:rFonts w:ascii="Arial" w:hAnsi="Arial"/>
                <w:bCs/>
              </w:rPr>
            </w:pPr>
          </w:p>
        </w:tc>
      </w:tr>
      <w:tr w:rsidR="00A30B76" w:rsidRPr="00FC2166" w:rsidTr="00A30B76">
        <w:tc>
          <w:tcPr>
            <w:tcW w:w="1994" w:type="dxa"/>
          </w:tcPr>
          <w:p w:rsidR="00A30B76" w:rsidRPr="00A30B76" w:rsidRDefault="00A30B76" w:rsidP="000D737D">
            <w:pPr>
              <w:pStyle w:val="BodyText3"/>
              <w:rPr>
                <w:rFonts w:ascii="Arial" w:hAnsi="Arial"/>
                <w:bCs/>
              </w:rPr>
            </w:pPr>
          </w:p>
        </w:tc>
        <w:tc>
          <w:tcPr>
            <w:tcW w:w="1567" w:type="dxa"/>
          </w:tcPr>
          <w:p w:rsidR="00A30B76" w:rsidRPr="00A30B76" w:rsidRDefault="00A30B76" w:rsidP="00A30B76">
            <w:pPr>
              <w:pStyle w:val="BodyText3"/>
              <w:tabs>
                <w:tab w:val="center" w:pos="4320"/>
                <w:tab w:val="right" w:pos="8640"/>
              </w:tabs>
              <w:rPr>
                <w:b/>
              </w:rPr>
            </w:pPr>
            <w:r w:rsidRPr="00A30B76">
              <w:rPr>
                <w:b/>
              </w:rPr>
              <w:t>FAO</w:t>
            </w:r>
          </w:p>
        </w:tc>
        <w:tc>
          <w:tcPr>
            <w:tcW w:w="1898" w:type="dxa"/>
          </w:tcPr>
          <w:p w:rsidR="00A30B76" w:rsidRPr="00A30B76" w:rsidRDefault="00A30B76" w:rsidP="00A30B76">
            <w:pPr>
              <w:pStyle w:val="BodyText3"/>
              <w:tabs>
                <w:tab w:val="center" w:pos="4320"/>
                <w:tab w:val="right" w:pos="8640"/>
              </w:tabs>
              <w:rPr>
                <w:b/>
              </w:rPr>
            </w:pPr>
            <w:r w:rsidRPr="00A30B76">
              <w:rPr>
                <w:b/>
              </w:rPr>
              <w:t>UNDP</w:t>
            </w:r>
          </w:p>
        </w:tc>
        <w:tc>
          <w:tcPr>
            <w:tcW w:w="2008" w:type="dxa"/>
          </w:tcPr>
          <w:p w:rsidR="00A30B76" w:rsidRPr="00A30B76" w:rsidRDefault="00A30B76" w:rsidP="00A30B76">
            <w:pPr>
              <w:pStyle w:val="BodyText3"/>
              <w:tabs>
                <w:tab w:val="center" w:pos="4320"/>
                <w:tab w:val="right" w:pos="8640"/>
              </w:tabs>
              <w:rPr>
                <w:b/>
              </w:rPr>
            </w:pPr>
            <w:r w:rsidRPr="00A30B76">
              <w:rPr>
                <w:b/>
              </w:rPr>
              <w:t>UNEP</w:t>
            </w:r>
          </w:p>
        </w:tc>
        <w:tc>
          <w:tcPr>
            <w:tcW w:w="1776" w:type="dxa"/>
          </w:tcPr>
          <w:p w:rsidR="00A30B76" w:rsidRPr="00A30B76" w:rsidRDefault="00A30B76" w:rsidP="00A30B76">
            <w:pPr>
              <w:pStyle w:val="BodyText3"/>
              <w:tabs>
                <w:tab w:val="center" w:pos="4320"/>
                <w:tab w:val="right" w:pos="8640"/>
              </w:tabs>
              <w:rPr>
                <w:b/>
              </w:rPr>
            </w:pPr>
            <w:r w:rsidRPr="00A30B76">
              <w:rPr>
                <w:b/>
              </w:rPr>
              <w:t>Total</w:t>
            </w:r>
          </w:p>
        </w:tc>
      </w:tr>
      <w:tr w:rsidR="00A30B76" w:rsidRPr="00FC2166" w:rsidTr="00A30B76">
        <w:tc>
          <w:tcPr>
            <w:tcW w:w="1994" w:type="dxa"/>
          </w:tcPr>
          <w:p w:rsidR="00A30B76" w:rsidRDefault="00A30B76" w:rsidP="000D737D">
            <w:pPr>
              <w:pStyle w:val="BodyText3"/>
            </w:pPr>
            <w:r w:rsidRPr="00FC2166">
              <w:t>Budget Allocation</w:t>
            </w:r>
          </w:p>
        </w:tc>
        <w:tc>
          <w:tcPr>
            <w:tcW w:w="1567" w:type="dxa"/>
          </w:tcPr>
          <w:p w:rsidR="00A30B76" w:rsidRDefault="00A30B76" w:rsidP="000D737D">
            <w:pPr>
              <w:pStyle w:val="BodyText3"/>
            </w:pPr>
            <w:r w:rsidRPr="00FC2166">
              <w:t>2,738,899</w:t>
            </w:r>
          </w:p>
        </w:tc>
        <w:tc>
          <w:tcPr>
            <w:tcW w:w="1898" w:type="dxa"/>
          </w:tcPr>
          <w:p w:rsidR="00A30B76" w:rsidRDefault="00A30B76" w:rsidP="000D737D">
            <w:pPr>
              <w:pStyle w:val="BodyText3"/>
            </w:pPr>
            <w:r w:rsidRPr="00FC2166">
              <w:t>2,812,809</w:t>
            </w:r>
          </w:p>
        </w:tc>
        <w:tc>
          <w:tcPr>
            <w:tcW w:w="2008" w:type="dxa"/>
          </w:tcPr>
          <w:p w:rsidR="00A30B76" w:rsidRDefault="00A30B76" w:rsidP="000D737D">
            <w:pPr>
              <w:pStyle w:val="BodyText3"/>
            </w:pPr>
            <w:r>
              <w:t>4,010,297</w:t>
            </w:r>
          </w:p>
        </w:tc>
        <w:tc>
          <w:tcPr>
            <w:tcW w:w="1776" w:type="dxa"/>
          </w:tcPr>
          <w:p w:rsidR="00A30B76" w:rsidRPr="00A30B76" w:rsidRDefault="00A30B76" w:rsidP="000D737D">
            <w:pPr>
              <w:pStyle w:val="BodyText3"/>
              <w:rPr>
                <w:b/>
                <w:bCs/>
                <w:color w:val="000000"/>
              </w:rPr>
            </w:pPr>
            <w:r w:rsidRPr="00A30B76">
              <w:rPr>
                <w:b/>
                <w:bCs/>
                <w:color w:val="000000"/>
              </w:rPr>
              <w:t>9,562,005</w:t>
            </w:r>
          </w:p>
        </w:tc>
      </w:tr>
    </w:tbl>
    <w:p w:rsidR="00A30B76" w:rsidRDefault="00A30B76" w:rsidP="00A30B76">
      <w:pPr>
        <w:pStyle w:val="BodyText3"/>
      </w:pPr>
    </w:p>
    <w:p w:rsidR="00A30B76" w:rsidRDefault="00A30B76" w:rsidP="00A30B76">
      <w:pPr>
        <w:jc w:val="both"/>
        <w:rPr>
          <w:szCs w:val="24"/>
        </w:rPr>
      </w:pPr>
    </w:p>
    <w:p w:rsidR="00A30B76" w:rsidRDefault="00A30B76" w:rsidP="00A30B76">
      <w:pPr>
        <w:pStyle w:val="Heading3"/>
        <w:jc w:val="both"/>
        <w:rPr>
          <w:rFonts w:ascii="Times New Roman" w:hAnsi="Times New Roman"/>
          <w:b/>
          <w:bCs w:val="0"/>
          <w:szCs w:val="24"/>
        </w:rPr>
      </w:pPr>
      <w:r w:rsidRPr="00FC2166">
        <w:rPr>
          <w:rFonts w:ascii="Times New Roman" w:hAnsi="Times New Roman"/>
          <w:b/>
          <w:bCs w:val="0"/>
          <w:szCs w:val="24"/>
        </w:rPr>
        <w:t>III.  RESULTS</w:t>
      </w:r>
    </w:p>
    <w:p w:rsidR="00A30B76" w:rsidRDefault="00A30B76" w:rsidP="00A30B76">
      <w:pPr>
        <w:pStyle w:val="BodyText2"/>
        <w:jc w:val="both"/>
        <w:rPr>
          <w:rFonts w:ascii="Times New Roman" w:hAnsi="Times New Roman"/>
          <w:b/>
          <w:sz w:val="24"/>
          <w:szCs w:val="24"/>
        </w:rPr>
      </w:pPr>
    </w:p>
    <w:p w:rsidR="00A30B76" w:rsidRPr="00FD2B83" w:rsidRDefault="00A30B76" w:rsidP="00A30B76">
      <w:pPr>
        <w:pStyle w:val="BodyText2"/>
        <w:jc w:val="both"/>
        <w:rPr>
          <w:rFonts w:ascii="Times New Roman" w:hAnsi="Times New Roman"/>
          <w:sz w:val="24"/>
          <w:szCs w:val="24"/>
        </w:rPr>
      </w:pPr>
      <w:r w:rsidRPr="00FD2B83">
        <w:rPr>
          <w:rFonts w:ascii="Times New Roman" w:hAnsi="Times New Roman"/>
          <w:sz w:val="24"/>
          <w:szCs w:val="24"/>
        </w:rPr>
        <w:t xml:space="preserve">In </w:t>
      </w:r>
      <w:r>
        <w:rPr>
          <w:rFonts w:ascii="Times New Roman" w:hAnsi="Times New Roman"/>
          <w:sz w:val="24"/>
          <w:szCs w:val="24"/>
        </w:rPr>
        <w:t>the activities described below, the UN-REDD Programme has worked drawing technical expertise from the three agencies (FAO, UNDP, UNEP) and collaborating with a wide number of partners including country experts, other UN agencies, and many non-governmental groups and experts</w:t>
      </w:r>
      <w:r w:rsidRPr="00FD2B83">
        <w:rPr>
          <w:rFonts w:ascii="Times New Roman" w:hAnsi="Times New Roman"/>
          <w:sz w:val="24"/>
          <w:szCs w:val="24"/>
        </w:rPr>
        <w:t xml:space="preserve"> </w:t>
      </w:r>
      <w:r>
        <w:rPr>
          <w:rFonts w:ascii="Times New Roman" w:hAnsi="Times New Roman"/>
          <w:sz w:val="24"/>
          <w:szCs w:val="24"/>
        </w:rPr>
        <w:t>from around the world.</w:t>
      </w:r>
    </w:p>
    <w:p w:rsidR="00A30B76" w:rsidRDefault="00A30B76" w:rsidP="00A30B76">
      <w:pPr>
        <w:pStyle w:val="BodyText2"/>
        <w:jc w:val="both"/>
        <w:rPr>
          <w:rFonts w:ascii="Times New Roman" w:hAnsi="Times New Roman"/>
          <w:b/>
          <w:sz w:val="24"/>
          <w:szCs w:val="24"/>
        </w:rPr>
      </w:pPr>
    </w:p>
    <w:p w:rsidR="00A30B76" w:rsidRPr="000D737D" w:rsidRDefault="00A30B76" w:rsidP="00A30B76">
      <w:pPr>
        <w:pStyle w:val="ListParagraph"/>
        <w:numPr>
          <w:ilvl w:val="0"/>
          <w:numId w:val="42"/>
        </w:numPr>
        <w:contextualSpacing/>
        <w:jc w:val="both"/>
        <w:rPr>
          <w:szCs w:val="24"/>
        </w:rPr>
      </w:pPr>
      <w:r w:rsidRPr="000D737D">
        <w:rPr>
          <w:szCs w:val="24"/>
        </w:rPr>
        <w:t>Activities by outcome and output</w:t>
      </w:r>
    </w:p>
    <w:p w:rsidR="00A30B76" w:rsidRDefault="00A30B76" w:rsidP="00A30B76">
      <w:pPr>
        <w:jc w:val="both"/>
        <w:rPr>
          <w:szCs w:val="24"/>
        </w:rPr>
      </w:pPr>
    </w:p>
    <w:p w:rsidR="00A30B76" w:rsidRDefault="00A30B76" w:rsidP="00A30B76">
      <w:pPr>
        <w:jc w:val="both"/>
        <w:rPr>
          <w:b/>
          <w:color w:val="000000"/>
          <w:szCs w:val="24"/>
        </w:rPr>
      </w:pPr>
      <w:r>
        <w:rPr>
          <w:b/>
          <w:szCs w:val="24"/>
          <w:u w:val="single"/>
        </w:rPr>
        <w:t>OUTCOME 1: G</w:t>
      </w:r>
      <w:r>
        <w:rPr>
          <w:b/>
          <w:color w:val="000000"/>
          <w:szCs w:val="24"/>
          <w:u w:val="single"/>
        </w:rPr>
        <w:t xml:space="preserve">UIDANCE ON MEASUREMENT, REPORTING AND VERIFICATION (MRV) APPROACHES </w:t>
      </w:r>
      <w:r>
        <w:rPr>
          <w:b/>
          <w:color w:val="000000"/>
          <w:szCs w:val="24"/>
        </w:rPr>
        <w:t>(led by FAO)</w:t>
      </w:r>
    </w:p>
    <w:p w:rsidR="00A30B76" w:rsidRDefault="00A30B76" w:rsidP="00A30B76">
      <w:pPr>
        <w:jc w:val="both"/>
        <w:rPr>
          <w:color w:val="000000"/>
          <w:szCs w:val="24"/>
        </w:rPr>
      </w:pPr>
    </w:p>
    <w:p w:rsidR="00A30B76" w:rsidRDefault="00A30B76" w:rsidP="00A30B76">
      <w:pPr>
        <w:jc w:val="both"/>
        <w:rPr>
          <w:szCs w:val="24"/>
        </w:rPr>
      </w:pPr>
      <w:r>
        <w:rPr>
          <w:color w:val="000000"/>
          <w:szCs w:val="24"/>
        </w:rPr>
        <w:t xml:space="preserve">Considerable progress on MRV has taken place at different levels. The UN-REDD Programme has been has undertaken consultation processes throughout the year. It has provided capacity development through courses and special technical workshops. The programme has helped improve understanding and practical application of methodologies for GHG inventories and provided training for completing national communication to UNFCCC, and the work will continue in 2010. To complement National Programme activities, FAO is providing technical support, tools and data in all nine UN-REDD pilot countries in developing MRV systems. A breakthrough was made in remote sensing data availability within the Global Forest Resources Assessment (FRA) Programme through provision of free of charge and ready-to-use remote sensing data (complete global images for 1990, 2000 and 2005) on website, thus facilitating </w:t>
      </w:r>
      <w:r>
        <w:rPr>
          <w:szCs w:val="24"/>
        </w:rPr>
        <w:t>sound and objective estimates of global forest and land cover change. Progress has also been made in monitoring multiple benefits of forests. For example, UNEP World Conservation and Monitoring Centre has produced spatial analyses of the potential for multiple benefits from REDD to illustrate the extent to which areas that are high in carbon are also high in other benefits such as biodiversity. The UN-REDD programme has also promoted independent forest monitoring through collaboration with Global Witness and other partners dealing with on governance and policy related monitoring. Moreover, UNDP has started work on country-led governance assessments.</w:t>
      </w:r>
    </w:p>
    <w:p w:rsidR="00A30B76" w:rsidRDefault="00A30B76" w:rsidP="00A30B76">
      <w:pPr>
        <w:spacing w:before="100" w:beforeAutospacing="1" w:after="100" w:afterAutospacing="1"/>
        <w:jc w:val="both"/>
        <w:rPr>
          <w:szCs w:val="24"/>
        </w:rPr>
      </w:pPr>
      <w:r>
        <w:rPr>
          <w:szCs w:val="24"/>
        </w:rPr>
        <w:t>Key collaborators for UN-REDD in the MRV activities include the UNFCCC Secretariat, World Bank, GEO, Clinton Initiative and national space agencies such as National Institute for Space Research (INPE) of Brazil, Global Witness, and many member organizations of the Collaborative Partnership on Forests.</w:t>
      </w:r>
    </w:p>
    <w:p w:rsidR="00A30B76" w:rsidRDefault="00A30B76" w:rsidP="00A30B76">
      <w:pPr>
        <w:jc w:val="both"/>
        <w:rPr>
          <w:color w:val="000000"/>
          <w:szCs w:val="24"/>
        </w:rPr>
      </w:pPr>
      <w:r>
        <w:rPr>
          <w:color w:val="000000"/>
          <w:szCs w:val="24"/>
        </w:rPr>
        <w:t xml:space="preserve">Highlights of the UN-REDD Global Programme progress made in 2009 in MRV are presented below by outputs.  </w:t>
      </w:r>
    </w:p>
    <w:p w:rsidR="00A30B76" w:rsidRDefault="00A30B76" w:rsidP="00A30B76">
      <w:pPr>
        <w:jc w:val="both"/>
        <w:rPr>
          <w:color w:val="000000"/>
          <w:szCs w:val="24"/>
        </w:rPr>
      </w:pPr>
    </w:p>
    <w:p w:rsidR="00A30B76" w:rsidRDefault="00A30B76" w:rsidP="00A30B76">
      <w:pPr>
        <w:jc w:val="both"/>
        <w:rPr>
          <w:szCs w:val="24"/>
        </w:rPr>
      </w:pPr>
      <w:r>
        <w:rPr>
          <w:b/>
          <w:szCs w:val="24"/>
        </w:rPr>
        <w:t>Output 1.1. International consultation process</w:t>
      </w:r>
      <w:r>
        <w:rPr>
          <w:szCs w:val="24"/>
        </w:rPr>
        <w:t xml:space="preserve"> has been undertaken to </w:t>
      </w:r>
      <w:r>
        <w:rPr>
          <w:bCs/>
          <w:szCs w:val="24"/>
        </w:rPr>
        <w:t xml:space="preserve">develop, together with experts and stakeholders, </w:t>
      </w:r>
      <w:r>
        <w:rPr>
          <w:szCs w:val="24"/>
        </w:rPr>
        <w:t xml:space="preserve">for an efficient implementation of a MRV system at country level and continue to provide global guidance on the development of REDD+ monitoring and MRV systems and implementation of IPCC guidelines. </w:t>
      </w:r>
    </w:p>
    <w:p w:rsidR="00A30B76" w:rsidRDefault="00A30B76" w:rsidP="00A30B76">
      <w:pPr>
        <w:ind w:left="720" w:firstLine="720"/>
        <w:jc w:val="both"/>
        <w:rPr>
          <w:szCs w:val="24"/>
        </w:rPr>
      </w:pPr>
    </w:p>
    <w:p w:rsidR="00A30B76" w:rsidRDefault="00A30B76" w:rsidP="00A30B76">
      <w:pPr>
        <w:pStyle w:val="ListParagraph"/>
        <w:numPr>
          <w:ilvl w:val="0"/>
          <w:numId w:val="38"/>
        </w:numPr>
        <w:ind w:left="426" w:hanging="426"/>
        <w:contextualSpacing/>
        <w:jc w:val="both"/>
        <w:rPr>
          <w:szCs w:val="24"/>
        </w:rPr>
      </w:pPr>
      <w:r>
        <w:rPr>
          <w:szCs w:val="24"/>
        </w:rPr>
        <w:t>During the UNFCCC SBSTA meeting in Bonn, June 2009, the UN-REDD programme held a side event that discussed how countries could operationilize MRV systems to help advance both mitigation objectives as well as low-carbon paths to sustainable development.</w:t>
      </w:r>
    </w:p>
    <w:p w:rsidR="00A30B76" w:rsidRDefault="00A30B76" w:rsidP="00A30B76">
      <w:pPr>
        <w:pStyle w:val="ListParagraph"/>
        <w:ind w:left="426" w:hanging="426"/>
        <w:jc w:val="both"/>
        <w:rPr>
          <w:szCs w:val="24"/>
        </w:rPr>
      </w:pPr>
    </w:p>
    <w:p w:rsidR="00A30B76" w:rsidRDefault="00A30B76" w:rsidP="00A30B76">
      <w:pPr>
        <w:pStyle w:val="ListParagraph"/>
        <w:numPr>
          <w:ilvl w:val="0"/>
          <w:numId w:val="38"/>
        </w:numPr>
        <w:spacing w:before="240"/>
        <w:ind w:left="426" w:hanging="426"/>
        <w:contextualSpacing/>
        <w:jc w:val="both"/>
        <w:rPr>
          <w:szCs w:val="24"/>
        </w:rPr>
      </w:pPr>
      <w:r>
        <w:rPr>
          <w:szCs w:val="24"/>
        </w:rPr>
        <w:t>Several MRV and forest monitoring experts met in early September at FAO, to discuss “Assessment and Monitoring of Forest Degradation”. The meeting participants explored an analysis of definitions of forest degradation, as well as case studies. While reaching an understanding on the definition of forest degradation, participants also discussed technical aspects of methodologies for monitoring forest degradation and recommended actions to improve measurement, assessment and reporting on forest degradation.</w:t>
      </w:r>
    </w:p>
    <w:p w:rsidR="00A30B76" w:rsidRDefault="00A30B76" w:rsidP="00A30B76">
      <w:pPr>
        <w:pStyle w:val="ListParagraph"/>
        <w:tabs>
          <w:tab w:val="left" w:pos="1418"/>
        </w:tabs>
        <w:spacing w:before="240"/>
        <w:ind w:left="426"/>
        <w:jc w:val="both"/>
        <w:rPr>
          <w:szCs w:val="24"/>
        </w:rPr>
      </w:pPr>
    </w:p>
    <w:p w:rsidR="00A30B76" w:rsidRDefault="00A30B76" w:rsidP="00A30B76">
      <w:pPr>
        <w:pStyle w:val="ListParagraph"/>
        <w:numPr>
          <w:ilvl w:val="0"/>
          <w:numId w:val="38"/>
        </w:numPr>
        <w:tabs>
          <w:tab w:val="left" w:pos="1418"/>
        </w:tabs>
        <w:spacing w:before="240"/>
        <w:ind w:left="426" w:hanging="426"/>
        <w:contextualSpacing/>
        <w:jc w:val="both"/>
        <w:rPr>
          <w:szCs w:val="24"/>
        </w:rPr>
      </w:pPr>
      <w:r>
        <w:rPr>
          <w:szCs w:val="24"/>
        </w:rPr>
        <w:t xml:space="preserve">A MRV meeting held in Rome in September 2009 brought together representatives from the UN-REDD countries, FAO, UNEP, UNDP and a few other institutions. It enabled country representatives to share their experience and learn from other UN-REDD projects, establish priorities for capacity-building on MRV systems, and determine a common approach  to gather comparable data needed for REDD monitoring. Furthermore, FAO provided a set of existing data and assessments tools to countries. </w:t>
      </w:r>
    </w:p>
    <w:p w:rsidR="00A30B76" w:rsidRDefault="00A30B76" w:rsidP="00A30B76">
      <w:pPr>
        <w:pStyle w:val="BodyText2"/>
        <w:ind w:left="720" w:hanging="426"/>
        <w:jc w:val="both"/>
        <w:rPr>
          <w:rFonts w:ascii="Times New Roman" w:hAnsi="Times New Roman"/>
          <w:sz w:val="24"/>
          <w:szCs w:val="24"/>
        </w:rPr>
      </w:pPr>
    </w:p>
    <w:p w:rsidR="00A30B76" w:rsidRDefault="00A30B76" w:rsidP="00A30B76">
      <w:pPr>
        <w:pStyle w:val="BodyText2"/>
        <w:numPr>
          <w:ilvl w:val="0"/>
          <w:numId w:val="38"/>
        </w:numPr>
        <w:ind w:left="426" w:hanging="426"/>
        <w:jc w:val="both"/>
        <w:rPr>
          <w:rFonts w:ascii="Times New Roman" w:hAnsi="Times New Roman"/>
          <w:sz w:val="24"/>
          <w:szCs w:val="24"/>
        </w:rPr>
      </w:pPr>
      <w:r>
        <w:rPr>
          <w:rFonts w:ascii="Times New Roman" w:hAnsi="Times New Roman"/>
          <w:sz w:val="24"/>
          <w:szCs w:val="24"/>
        </w:rPr>
        <w:t>During 2009, FAO provided inputs to the assessment of research needs for implementation of carbon management in AFOLU sector by the Terrestrial Carbon Group project.</w:t>
      </w:r>
    </w:p>
    <w:p w:rsidR="00A30B76" w:rsidRDefault="00A30B76" w:rsidP="00A30B76">
      <w:pPr>
        <w:pStyle w:val="BodyText2"/>
        <w:ind w:left="426" w:hanging="426"/>
        <w:jc w:val="both"/>
        <w:rPr>
          <w:rFonts w:ascii="Times New Roman" w:hAnsi="Times New Roman"/>
          <w:sz w:val="24"/>
          <w:szCs w:val="24"/>
        </w:rPr>
      </w:pPr>
    </w:p>
    <w:p w:rsidR="00A30B76" w:rsidRDefault="00A30B76" w:rsidP="00A30B76">
      <w:pPr>
        <w:widowControl/>
        <w:autoSpaceDE w:val="0"/>
        <w:autoSpaceDN w:val="0"/>
        <w:adjustRightInd w:val="0"/>
        <w:jc w:val="both"/>
        <w:rPr>
          <w:color w:val="000000"/>
          <w:szCs w:val="24"/>
        </w:rPr>
      </w:pPr>
      <w:r>
        <w:rPr>
          <w:b/>
          <w:szCs w:val="24"/>
        </w:rPr>
        <w:t>Output 1.2. MRV training program</w:t>
      </w:r>
      <w:r>
        <w:rPr>
          <w:szCs w:val="24"/>
        </w:rPr>
        <w:t xml:space="preserve"> was well advanced through several workshops during 2009. UNEP co-sponsored and FAO provided technical support to three global level workshops organized by the Coalition of the Rainforest Nations, in collaboration with GTZ. These workshops helped build capacities in MRV systems and green house gas inventories, </w:t>
      </w:r>
      <w:r>
        <w:rPr>
          <w:bCs/>
          <w:szCs w:val="24"/>
        </w:rPr>
        <w:t xml:space="preserve">Reference Emissions Levels (RELs) and other REDD monitoring related steps necessary for REDD, including assessment of MRV requirements, integration between sub-national and national systems have </w:t>
      </w:r>
      <w:r>
        <w:rPr>
          <w:szCs w:val="24"/>
        </w:rPr>
        <w:t xml:space="preserve">been organized during 2009.  </w:t>
      </w:r>
    </w:p>
    <w:p w:rsidR="00A30B76" w:rsidRDefault="00A30B76" w:rsidP="00A30B76">
      <w:pPr>
        <w:widowControl/>
        <w:autoSpaceDE w:val="0"/>
        <w:autoSpaceDN w:val="0"/>
        <w:adjustRightInd w:val="0"/>
        <w:jc w:val="both"/>
        <w:rPr>
          <w:color w:val="000000"/>
          <w:szCs w:val="24"/>
        </w:rPr>
      </w:pPr>
    </w:p>
    <w:p w:rsidR="00A30B76" w:rsidRDefault="00A30B76" w:rsidP="00A30B76">
      <w:pPr>
        <w:pStyle w:val="ListParagraph"/>
        <w:widowControl/>
        <w:numPr>
          <w:ilvl w:val="0"/>
          <w:numId w:val="40"/>
        </w:numPr>
        <w:autoSpaceDE w:val="0"/>
        <w:autoSpaceDN w:val="0"/>
        <w:adjustRightInd w:val="0"/>
        <w:ind w:left="426" w:hanging="426"/>
        <w:contextualSpacing/>
        <w:jc w:val="both"/>
        <w:rPr>
          <w:szCs w:val="24"/>
        </w:rPr>
      </w:pPr>
      <w:r>
        <w:rPr>
          <w:szCs w:val="24"/>
        </w:rPr>
        <w:t xml:space="preserve">One of these global level workshops “National Forest Inventory: The Experiences of Non-Annex I Countries” was held in Dehradun, India.  Participants from 32 countries took part in the event. During the workshop examples from around the world on forest inventories were presented. The event highlighted crucial issues of MRV and GHG inventory using different levels of carbon monitoring and methodologies for different forest carbon pools, including the challenging measurement of soil carbon. The workshop furthermore provided information on issues linked to timely and financial planning of forest and GHG inventories. </w:t>
      </w:r>
    </w:p>
    <w:p w:rsidR="00A30B76" w:rsidRDefault="00A30B76" w:rsidP="00A30B76">
      <w:pPr>
        <w:widowControl/>
        <w:autoSpaceDE w:val="0"/>
        <w:autoSpaceDN w:val="0"/>
        <w:adjustRightInd w:val="0"/>
        <w:ind w:left="426" w:hanging="426"/>
        <w:jc w:val="both"/>
        <w:rPr>
          <w:szCs w:val="24"/>
        </w:rPr>
      </w:pPr>
    </w:p>
    <w:p w:rsidR="00A30B76" w:rsidRDefault="00A30B76" w:rsidP="00A30B76">
      <w:pPr>
        <w:pStyle w:val="BodyText2"/>
        <w:numPr>
          <w:ilvl w:val="0"/>
          <w:numId w:val="40"/>
        </w:numPr>
        <w:ind w:left="426" w:hanging="426"/>
        <w:jc w:val="both"/>
        <w:rPr>
          <w:rFonts w:ascii="Times New Roman" w:hAnsi="Times New Roman"/>
          <w:sz w:val="24"/>
          <w:szCs w:val="24"/>
        </w:rPr>
      </w:pPr>
      <w:r>
        <w:rPr>
          <w:rFonts w:ascii="Times New Roman" w:hAnsi="Times New Roman"/>
          <w:sz w:val="24"/>
          <w:szCs w:val="24"/>
        </w:rPr>
        <w:t xml:space="preserve">UNDP has worked, through their national Communications Support Programme (NCSP) of to examine how National Communications GHG inventory reports can be incorporated into MRV process. </w:t>
      </w:r>
    </w:p>
    <w:p w:rsidR="00A30B76" w:rsidRDefault="00A30B76" w:rsidP="00A30B76">
      <w:pPr>
        <w:widowControl/>
        <w:autoSpaceDE w:val="0"/>
        <w:autoSpaceDN w:val="0"/>
        <w:adjustRightInd w:val="0"/>
        <w:ind w:left="720"/>
        <w:jc w:val="both"/>
        <w:rPr>
          <w:szCs w:val="24"/>
        </w:rPr>
      </w:pPr>
    </w:p>
    <w:p w:rsidR="00A30B76" w:rsidRDefault="00A30B76" w:rsidP="00A30B76">
      <w:pPr>
        <w:jc w:val="both"/>
        <w:rPr>
          <w:b/>
          <w:szCs w:val="24"/>
        </w:rPr>
      </w:pPr>
    </w:p>
    <w:p w:rsidR="00A30B76" w:rsidRDefault="00A30B76" w:rsidP="00A30B76">
      <w:pPr>
        <w:jc w:val="both"/>
        <w:rPr>
          <w:b/>
          <w:color w:val="000000"/>
          <w:szCs w:val="24"/>
        </w:rPr>
      </w:pPr>
      <w:r>
        <w:rPr>
          <w:b/>
          <w:szCs w:val="24"/>
        </w:rPr>
        <w:t xml:space="preserve">Output 1.3. Technical reviews, assessment of available tools and guidance material developed. </w:t>
      </w:r>
      <w:r>
        <w:rPr>
          <w:color w:val="000000"/>
          <w:szCs w:val="24"/>
        </w:rPr>
        <w:t>Several technical reviews were produced, including assessments of available tools and methods and guidance material was developed</w:t>
      </w:r>
      <w:r>
        <w:rPr>
          <w:b/>
          <w:color w:val="000000"/>
          <w:szCs w:val="24"/>
        </w:rPr>
        <w:t xml:space="preserve"> </w:t>
      </w:r>
      <w:r>
        <w:rPr>
          <w:color w:val="000000"/>
          <w:szCs w:val="24"/>
        </w:rPr>
        <w:t>on MRV in order to support countries in their MRV activities.</w:t>
      </w:r>
    </w:p>
    <w:p w:rsidR="00A30B76" w:rsidRDefault="00A30B76" w:rsidP="00A30B76">
      <w:pPr>
        <w:jc w:val="both"/>
        <w:rPr>
          <w:color w:val="000000"/>
          <w:szCs w:val="24"/>
        </w:rPr>
      </w:pPr>
    </w:p>
    <w:p w:rsidR="00A30B76" w:rsidRDefault="00A30B76" w:rsidP="00A30B76">
      <w:pPr>
        <w:pStyle w:val="BodyText2"/>
        <w:jc w:val="both"/>
        <w:rPr>
          <w:rFonts w:ascii="Times New Roman" w:hAnsi="Times New Roman"/>
          <w:color w:val="000000"/>
          <w:sz w:val="24"/>
          <w:szCs w:val="24"/>
        </w:rPr>
      </w:pPr>
      <w:r w:rsidRPr="004F74A0">
        <w:rPr>
          <w:rFonts w:ascii="Times New Roman" w:hAnsi="Times New Roman"/>
          <w:color w:val="000000"/>
          <w:sz w:val="24"/>
          <w:szCs w:val="24"/>
        </w:rPr>
        <w:t>Among the key technical reviews were:</w:t>
      </w:r>
    </w:p>
    <w:p w:rsidR="00A30B76" w:rsidRDefault="00A30B76" w:rsidP="00A30B76">
      <w:pPr>
        <w:pStyle w:val="BodyText2"/>
        <w:jc w:val="both"/>
        <w:rPr>
          <w:rFonts w:ascii="Times New Roman" w:hAnsi="Times New Roman"/>
          <w:color w:val="000000"/>
          <w:sz w:val="24"/>
          <w:szCs w:val="24"/>
          <w:u w:val="single"/>
        </w:rPr>
      </w:pPr>
    </w:p>
    <w:tbl>
      <w:tblPr>
        <w:tblW w:w="5000" w:type="pct"/>
        <w:tblCellSpacing w:w="0" w:type="dxa"/>
        <w:tblCellMar>
          <w:left w:w="0" w:type="dxa"/>
          <w:right w:w="0" w:type="dxa"/>
        </w:tblCellMar>
        <w:tblLook w:val="04A0"/>
      </w:tblPr>
      <w:tblGrid>
        <w:gridCol w:w="9027"/>
      </w:tblGrid>
      <w:tr w:rsidR="00A30B76" w:rsidRPr="00FC2166" w:rsidTr="000D737D">
        <w:trPr>
          <w:tblCellSpacing w:w="0" w:type="dxa"/>
        </w:trPr>
        <w:tc>
          <w:tcPr>
            <w:tcW w:w="0" w:type="auto"/>
            <w:vAlign w:val="center"/>
            <w:hideMark/>
          </w:tcPr>
          <w:p w:rsidR="00A30B76" w:rsidRPr="00EA3280" w:rsidRDefault="00412819" w:rsidP="00A30B76">
            <w:pPr>
              <w:pStyle w:val="ListParagraph"/>
              <w:numPr>
                <w:ilvl w:val="0"/>
                <w:numId w:val="48"/>
              </w:numPr>
              <w:contextualSpacing/>
              <w:jc w:val="both"/>
              <w:rPr>
                <w:color w:val="000000" w:themeColor="text1"/>
              </w:rPr>
            </w:pPr>
            <w:hyperlink r:id="rId11" w:history="1">
              <w:r w:rsidR="00A30B76" w:rsidRPr="00FC2166">
                <w:t>Framework for Action 2009-2014 on Measurement, Reporting and Ve</w:t>
              </w:r>
              <w:r w:rsidR="00A30B76" w:rsidRPr="00EA3280">
                <w:rPr>
                  <w:b/>
                  <w:color w:val="000000" w:themeColor="text1"/>
                </w:rPr>
                <w:t>r</w:t>
              </w:r>
              <w:r w:rsidR="00A30B76" w:rsidRPr="00EA3280">
                <w:rPr>
                  <w:color w:val="000000" w:themeColor="text1"/>
                </w:rPr>
                <w:t xml:space="preserve">ification (MRV). </w:t>
              </w:r>
              <w:r w:rsidR="00A30B76" w:rsidRPr="00FC2166">
                <w:t xml:space="preserve">The paper, presented at the 2nd Policy Board meeting in June 2009, provided options </w:t>
              </w:r>
              <w:r w:rsidR="00A30B76" w:rsidRPr="004F74A0">
                <w:t>to accelerate essential improvements in measurement and assessment elements of MRV at the national and international levels by the end of 2010 and to help achieve full functional and sustainable national MRV systems in participating countries by 2014.</w:t>
              </w:r>
            </w:hyperlink>
          </w:p>
          <w:p w:rsidR="00A30B76" w:rsidRPr="00EA3280" w:rsidRDefault="00A30B76" w:rsidP="000D737D">
            <w:pPr>
              <w:pStyle w:val="ListParagraph"/>
              <w:jc w:val="both"/>
              <w:rPr>
                <w:color w:val="000000" w:themeColor="text1"/>
              </w:rPr>
            </w:pPr>
          </w:p>
        </w:tc>
      </w:tr>
      <w:tr w:rsidR="00A30B76" w:rsidRPr="00FC2166" w:rsidTr="000D737D">
        <w:trPr>
          <w:tblCellSpacing w:w="0" w:type="dxa"/>
        </w:trPr>
        <w:tc>
          <w:tcPr>
            <w:tcW w:w="0" w:type="auto"/>
            <w:vAlign w:val="center"/>
            <w:hideMark/>
          </w:tcPr>
          <w:p w:rsidR="00A30B76" w:rsidRDefault="00412819" w:rsidP="00A30B76">
            <w:pPr>
              <w:pStyle w:val="ListParagraph"/>
              <w:numPr>
                <w:ilvl w:val="0"/>
                <w:numId w:val="48"/>
              </w:numPr>
              <w:contextualSpacing/>
              <w:jc w:val="both"/>
              <w:rPr>
                <w:color w:val="000000" w:themeColor="text1"/>
              </w:rPr>
            </w:pPr>
            <w:hyperlink r:id="rId12" w:history="1">
              <w:r w:rsidR="00A30B76" w:rsidRPr="00EA3280">
                <w:rPr>
                  <w:color w:val="000000" w:themeColor="text1"/>
                </w:rPr>
                <w:t>Role of Satellite Remote Sensing in REDD</w:t>
              </w:r>
            </w:hyperlink>
            <w:r w:rsidR="00A30B76" w:rsidRPr="00EA3280">
              <w:rPr>
                <w:color w:val="000000" w:themeColor="text1"/>
              </w:rPr>
              <w:t>. The paper discussed t</w:t>
            </w:r>
            <w:r w:rsidR="00A30B76" w:rsidRPr="00FC2166">
              <w:t>he role of satellite remote sensing, clarified</w:t>
            </w:r>
            <w:r w:rsidR="00A30B76" w:rsidRPr="004F74A0">
              <w:t xml:space="preserve"> technical opportunities and limitations, addressed ways to se</w:t>
            </w:r>
            <w:r w:rsidR="00A30B76" w:rsidRPr="00EA3280">
              <w:rPr>
                <w:color w:val="000000" w:themeColor="text1"/>
              </w:rPr>
              <w:t>cure adequate and relevant data supp</w:t>
            </w:r>
            <w:r w:rsidR="00A30B76" w:rsidRPr="004F74A0">
              <w:t>l</w:t>
            </w:r>
            <w:r w:rsidR="00A30B76" w:rsidRPr="00EA3280">
              <w:rPr>
                <w:color w:val="000000" w:themeColor="text1"/>
              </w:rPr>
              <w:t>y, provide examples to enhance technical and institutional capacities, and stressed flexibility in MRV approaches until REDD requirements are known.</w:t>
            </w:r>
          </w:p>
          <w:p w:rsidR="00A30B76" w:rsidRPr="00EA3280" w:rsidRDefault="00A30B76" w:rsidP="000D737D">
            <w:pPr>
              <w:pStyle w:val="ListParagraph"/>
              <w:jc w:val="both"/>
              <w:rPr>
                <w:color w:val="000000" w:themeColor="text1"/>
              </w:rPr>
            </w:pPr>
          </w:p>
          <w:p w:rsidR="00A30B76" w:rsidRDefault="00412819" w:rsidP="00A30B76">
            <w:pPr>
              <w:pStyle w:val="ListParagraph"/>
              <w:numPr>
                <w:ilvl w:val="0"/>
                <w:numId w:val="48"/>
              </w:numPr>
              <w:contextualSpacing/>
              <w:jc w:val="both"/>
              <w:rPr>
                <w:color w:val="000000" w:themeColor="text1"/>
              </w:rPr>
            </w:pPr>
            <w:hyperlink r:id="rId13" w:history="1">
              <w:r w:rsidR="00A30B76" w:rsidRPr="00FC2166">
                <w:rPr>
                  <w:color w:val="000000" w:themeColor="text1"/>
                </w:rPr>
                <w:t>Review of literature on Monitoring to Support REDD</w:t>
              </w:r>
            </w:hyperlink>
          </w:p>
        </w:tc>
      </w:tr>
    </w:tbl>
    <w:p w:rsidR="00A30B76" w:rsidRDefault="00A30B76" w:rsidP="00A30B76">
      <w:pPr>
        <w:pStyle w:val="BodyText2"/>
        <w:jc w:val="both"/>
        <w:rPr>
          <w:rFonts w:ascii="Times New Roman" w:hAnsi="Times New Roman"/>
          <w:color w:val="000000"/>
          <w:sz w:val="24"/>
          <w:szCs w:val="24"/>
        </w:rPr>
      </w:pPr>
    </w:p>
    <w:p w:rsidR="00A30B76" w:rsidRDefault="00A30B76" w:rsidP="00A30B76">
      <w:pPr>
        <w:pStyle w:val="BodyText2"/>
        <w:jc w:val="both"/>
        <w:rPr>
          <w:rFonts w:ascii="Times New Roman" w:hAnsi="Times New Roman"/>
          <w:sz w:val="24"/>
          <w:szCs w:val="24"/>
        </w:rPr>
      </w:pPr>
      <w:r w:rsidRPr="00FC2166">
        <w:rPr>
          <w:rFonts w:ascii="Times New Roman" w:hAnsi="Times New Roman"/>
          <w:color w:val="000000"/>
          <w:sz w:val="24"/>
          <w:szCs w:val="24"/>
        </w:rPr>
        <w:t>Among the MRV guidance produced is a Greenhouse Gas Inventory Toolkit that will be</w:t>
      </w:r>
      <w:r>
        <w:rPr>
          <w:rFonts w:ascii="Times New Roman" w:hAnsi="Times New Roman"/>
          <w:color w:val="000000"/>
          <w:sz w:val="24"/>
          <w:szCs w:val="24"/>
        </w:rPr>
        <w:t xml:space="preserve"> further developed during 2010.</w:t>
      </w:r>
      <w:r w:rsidRPr="00FC2166">
        <w:rPr>
          <w:rFonts w:ascii="Times New Roman" w:hAnsi="Times New Roman"/>
          <w:color w:val="000000"/>
          <w:sz w:val="24"/>
          <w:szCs w:val="24"/>
        </w:rPr>
        <w:t xml:space="preserve"> This includes a review of experience with national GHG inventories and practical guidance for measurement, assessment and reporting. </w:t>
      </w:r>
    </w:p>
    <w:p w:rsidR="00A30B76" w:rsidRDefault="00A30B76" w:rsidP="00A30B76">
      <w:pPr>
        <w:pStyle w:val="BodyText2"/>
        <w:jc w:val="both"/>
        <w:rPr>
          <w:rFonts w:ascii="Times New Roman" w:hAnsi="Times New Roman"/>
          <w:sz w:val="24"/>
          <w:szCs w:val="24"/>
        </w:rPr>
      </w:pPr>
    </w:p>
    <w:p w:rsidR="00A30B76" w:rsidRDefault="00A30B76" w:rsidP="00A30B76">
      <w:pPr>
        <w:pStyle w:val="BodyText2"/>
        <w:jc w:val="both"/>
        <w:rPr>
          <w:rFonts w:ascii="Times New Roman" w:hAnsi="Times New Roman"/>
          <w:sz w:val="24"/>
          <w:szCs w:val="24"/>
        </w:rPr>
      </w:pPr>
      <w:r>
        <w:rPr>
          <w:rFonts w:ascii="Times New Roman" w:hAnsi="Times New Roman"/>
          <w:sz w:val="24"/>
          <w:szCs w:val="24"/>
        </w:rPr>
        <w:t>During the third quarter of 2009 a process to identify terrestrial carbon stock measurement methodologies was initiated by FAO. A group of experts was selected to do the review. The project will introduce the proven systematic review approach to forestry and land management. It will lend scientific credibility to the guidance given to countries who aspire to participate in a future REDD mechanism, and will provide scientific underpinning of the many approaches that already exist. The project will continue during 2010 and is envisaged to be concluded in the third quarter.</w:t>
      </w:r>
    </w:p>
    <w:p w:rsidR="00A30B76" w:rsidRDefault="00A30B76" w:rsidP="00A30B76">
      <w:pPr>
        <w:spacing w:before="100" w:beforeAutospacing="1" w:after="100" w:afterAutospacing="1"/>
        <w:jc w:val="both"/>
      </w:pPr>
      <w:r>
        <w:rPr>
          <w:szCs w:val="24"/>
        </w:rPr>
        <w:t xml:space="preserve">Furthermore, UN-REDD Programme has explored </w:t>
      </w:r>
      <w:r>
        <w:t>a systematic review of the existing evidence on methods to measure and assess terrestrial carbon stocks and carbon stock changes. Such tool is useful for critical appraisal, summary and dissemination of results from a large volume of research and one which can support decision making by providing an objective, independent, and unbiased assessment of the best available evidence.</w:t>
      </w:r>
    </w:p>
    <w:p w:rsidR="00A30B76" w:rsidRDefault="00A30B76" w:rsidP="00A30B76">
      <w:pPr>
        <w:widowControl/>
        <w:jc w:val="both"/>
        <w:rPr>
          <w:bCs/>
          <w:szCs w:val="24"/>
        </w:rPr>
      </w:pPr>
      <w:r>
        <w:rPr>
          <w:b/>
          <w:bCs/>
          <w:szCs w:val="24"/>
        </w:rPr>
        <w:t>Output 1.4. Remote sensing data</w:t>
      </w:r>
      <w:r>
        <w:rPr>
          <w:bCs/>
          <w:szCs w:val="24"/>
        </w:rPr>
        <w:t xml:space="preserve"> is an essential source of data in monitoring changes in forest cover. Remote sensing provides also historic information on deforestation; data crucial in developing a national REDD system. During 2009 the UN-REDD Programme provided a number of remote sensing products:</w:t>
      </w:r>
    </w:p>
    <w:p w:rsidR="00A30B76" w:rsidRDefault="00A30B76" w:rsidP="00A30B76">
      <w:pPr>
        <w:widowControl/>
        <w:jc w:val="both"/>
        <w:rPr>
          <w:bCs/>
          <w:szCs w:val="24"/>
        </w:rPr>
      </w:pPr>
    </w:p>
    <w:p w:rsidR="00A30B76" w:rsidRDefault="00A30B76" w:rsidP="00A30B76">
      <w:pPr>
        <w:pStyle w:val="ListParagraph"/>
        <w:widowControl/>
        <w:numPr>
          <w:ilvl w:val="0"/>
          <w:numId w:val="43"/>
        </w:numPr>
        <w:contextualSpacing/>
        <w:jc w:val="both"/>
        <w:rPr>
          <w:bCs/>
          <w:szCs w:val="24"/>
        </w:rPr>
      </w:pPr>
      <w:r>
        <w:rPr>
          <w:bCs/>
          <w:szCs w:val="24"/>
        </w:rPr>
        <w:t xml:space="preserve">Globally available </w:t>
      </w:r>
      <w:r>
        <w:rPr>
          <w:szCs w:val="24"/>
        </w:rPr>
        <w:t>worldwide, free and ready-to-use moderate-resolution satellite data is now available on the web</w:t>
      </w:r>
      <w:r>
        <w:rPr>
          <w:bCs/>
          <w:szCs w:val="24"/>
        </w:rPr>
        <w:t xml:space="preserve"> for the years 1990, 2000 and 2005.</w:t>
      </w:r>
    </w:p>
    <w:p w:rsidR="00A30B76" w:rsidRDefault="00A30B76" w:rsidP="00A30B76">
      <w:pPr>
        <w:widowControl/>
        <w:jc w:val="both"/>
        <w:rPr>
          <w:bCs/>
          <w:szCs w:val="24"/>
        </w:rPr>
      </w:pPr>
    </w:p>
    <w:p w:rsidR="00A30B76" w:rsidRDefault="00A30B76" w:rsidP="00A30B76">
      <w:pPr>
        <w:pStyle w:val="ListParagraph"/>
        <w:widowControl/>
        <w:numPr>
          <w:ilvl w:val="0"/>
          <w:numId w:val="43"/>
        </w:numPr>
        <w:contextualSpacing/>
        <w:jc w:val="both"/>
        <w:rPr>
          <w:szCs w:val="24"/>
        </w:rPr>
      </w:pPr>
      <w:r>
        <w:rPr>
          <w:bCs/>
          <w:szCs w:val="24"/>
        </w:rPr>
        <w:t>FAO</w:t>
      </w:r>
      <w:r>
        <w:rPr>
          <w:szCs w:val="24"/>
        </w:rPr>
        <w:t xml:space="preserve"> works in collaboration with GEO, and has increased cooperation with nationa</w:t>
      </w:r>
      <w:r w:rsidRPr="004F74A0">
        <w:rPr>
          <w:szCs w:val="24"/>
        </w:rPr>
        <w:t>l space agencies. For example, During the COP-15 in Copenhagen, FAO and the Brazilian National Institute for Space Research Centre (INPE) signed an agreement to join forces to help countries develop MRV systems.</w:t>
      </w:r>
    </w:p>
    <w:p w:rsidR="00A30B76" w:rsidRDefault="00A30B76" w:rsidP="00A30B76">
      <w:pPr>
        <w:widowControl/>
        <w:autoSpaceDE w:val="0"/>
        <w:autoSpaceDN w:val="0"/>
        <w:jc w:val="both"/>
        <w:rPr>
          <w:szCs w:val="24"/>
        </w:rPr>
      </w:pPr>
    </w:p>
    <w:p w:rsidR="00A30B76" w:rsidRDefault="00A30B76" w:rsidP="00A30B76">
      <w:pPr>
        <w:pStyle w:val="ListParagraph"/>
        <w:widowControl/>
        <w:numPr>
          <w:ilvl w:val="0"/>
          <w:numId w:val="43"/>
        </w:numPr>
        <w:autoSpaceDE w:val="0"/>
        <w:autoSpaceDN w:val="0"/>
        <w:ind w:hanging="294"/>
        <w:contextualSpacing/>
        <w:jc w:val="both"/>
        <w:rPr>
          <w:szCs w:val="24"/>
        </w:rPr>
      </w:pPr>
      <w:r>
        <w:rPr>
          <w:szCs w:val="24"/>
        </w:rPr>
        <w:t xml:space="preserve">Capacity building on remote sensing practices has been given to the pilot countries. </w:t>
      </w:r>
    </w:p>
    <w:p w:rsidR="00A30B76" w:rsidRDefault="00A30B76" w:rsidP="00A30B76">
      <w:pPr>
        <w:widowControl/>
        <w:autoSpaceDE w:val="0"/>
        <w:autoSpaceDN w:val="0"/>
        <w:jc w:val="both"/>
        <w:rPr>
          <w:szCs w:val="24"/>
        </w:rPr>
      </w:pPr>
    </w:p>
    <w:p w:rsidR="00A30B76" w:rsidRPr="00FC2166" w:rsidRDefault="00A30B76" w:rsidP="00A30B76">
      <w:pPr>
        <w:pStyle w:val="Default"/>
        <w:numPr>
          <w:ilvl w:val="0"/>
          <w:numId w:val="36"/>
        </w:numPr>
        <w:ind w:left="709" w:hanging="283"/>
        <w:jc w:val="both"/>
        <w:rPr>
          <w:lang w:val="en-CA"/>
        </w:rPr>
      </w:pPr>
      <w:r w:rsidRPr="004F74A0">
        <w:rPr>
          <w:lang w:val="en-CA"/>
        </w:rPr>
        <w:t>A revised map of carbon storage in biomass and soils</w:t>
      </w:r>
      <w:r w:rsidRPr="00FC2166">
        <w:rPr>
          <w:lang w:val="en-CA"/>
        </w:rPr>
        <w:t xml:space="preserve"> has been produced, in collaboration with partners and with additional support from the German government, for use in the UN-REDD Programme and beyond.</w:t>
      </w:r>
    </w:p>
    <w:p w:rsidR="00A30B76" w:rsidRDefault="00A30B76" w:rsidP="00A30B76">
      <w:pPr>
        <w:widowControl/>
        <w:autoSpaceDE w:val="0"/>
        <w:autoSpaceDN w:val="0"/>
        <w:jc w:val="both"/>
        <w:rPr>
          <w:b/>
          <w:szCs w:val="24"/>
          <w:lang w:val="en-CA"/>
        </w:rPr>
      </w:pPr>
    </w:p>
    <w:p w:rsidR="00A30B76" w:rsidRPr="00810DAF" w:rsidRDefault="00A30B76" w:rsidP="00A30B76">
      <w:pPr>
        <w:jc w:val="both"/>
        <w:rPr>
          <w:szCs w:val="24"/>
        </w:rPr>
      </w:pPr>
    </w:p>
    <w:p w:rsidR="00A30B76" w:rsidRDefault="00A30B76" w:rsidP="00A30B76">
      <w:pPr>
        <w:widowControl/>
        <w:jc w:val="both"/>
        <w:rPr>
          <w:color w:val="000000"/>
          <w:szCs w:val="24"/>
        </w:rPr>
      </w:pPr>
      <w:r w:rsidRPr="00FC2166">
        <w:rPr>
          <w:b/>
          <w:bCs/>
          <w:szCs w:val="24"/>
        </w:rPr>
        <w:t>Output 1.5. Verification tools and methodologies</w:t>
      </w:r>
      <w:r w:rsidRPr="00FC2166">
        <w:rPr>
          <w:bCs/>
          <w:szCs w:val="24"/>
        </w:rPr>
        <w:t xml:space="preserve"> are being developed and tested to support the</w:t>
      </w:r>
      <w:r>
        <w:rPr>
          <w:bCs/>
          <w:szCs w:val="24"/>
        </w:rPr>
        <w:t xml:space="preserve"> MRV component of the National Programmes in the nine pilot countries. In addition, F</w:t>
      </w:r>
      <w:r>
        <w:rPr>
          <w:color w:val="000000"/>
          <w:szCs w:val="24"/>
        </w:rPr>
        <w:t>O has worked in cooperation with Global Witness to develop independent REDD monitoring.</w:t>
      </w:r>
    </w:p>
    <w:p w:rsidR="00A30B76" w:rsidRDefault="00A30B76" w:rsidP="00A30B76">
      <w:pPr>
        <w:pStyle w:val="BodyText2"/>
        <w:ind w:left="720"/>
        <w:jc w:val="both"/>
        <w:rPr>
          <w:rFonts w:ascii="Times New Roman" w:hAnsi="Times New Roman"/>
          <w:b/>
          <w:sz w:val="24"/>
          <w:szCs w:val="24"/>
        </w:rPr>
      </w:pPr>
    </w:p>
    <w:p w:rsidR="00A30B76" w:rsidRDefault="00A30B76" w:rsidP="00A30B76">
      <w:pPr>
        <w:pStyle w:val="BodyText2"/>
        <w:ind w:left="720"/>
        <w:jc w:val="both"/>
        <w:rPr>
          <w:rFonts w:ascii="Times New Roman" w:hAnsi="Times New Roman"/>
          <w:b/>
          <w:sz w:val="24"/>
          <w:szCs w:val="24"/>
        </w:rPr>
      </w:pPr>
    </w:p>
    <w:p w:rsidR="00A30B76" w:rsidRDefault="00A30B76" w:rsidP="00A30B76">
      <w:pPr>
        <w:pStyle w:val="BodyText2"/>
        <w:ind w:left="720"/>
        <w:jc w:val="both"/>
        <w:rPr>
          <w:rFonts w:ascii="Times New Roman" w:hAnsi="Times New Roman"/>
          <w:b/>
          <w:sz w:val="24"/>
          <w:szCs w:val="24"/>
        </w:rPr>
      </w:pPr>
    </w:p>
    <w:p w:rsidR="00A30B76" w:rsidRDefault="00A30B76" w:rsidP="00A30B76">
      <w:pPr>
        <w:jc w:val="both"/>
        <w:rPr>
          <w:b/>
          <w:szCs w:val="24"/>
        </w:rPr>
      </w:pPr>
      <w:r>
        <w:rPr>
          <w:b/>
          <w:szCs w:val="24"/>
          <w:u w:val="single"/>
        </w:rPr>
        <w:t>OUTCOME 2:  ENGAGEMENT AND PARTICIPATION OF INDIGENOUS PEOPLES’ (IP) AND CIVIL SOCIETY ORGANIZATIONS’ (CSO) REPRESENTATIVES IN THE REDD+ ACTIVITIES</w:t>
      </w:r>
      <w:r>
        <w:rPr>
          <w:b/>
          <w:szCs w:val="24"/>
        </w:rPr>
        <w:t xml:space="preserve"> (led by UNDP)</w:t>
      </w:r>
    </w:p>
    <w:p w:rsidR="00A30B76" w:rsidRDefault="00A30B76" w:rsidP="00A30B76">
      <w:pPr>
        <w:jc w:val="both"/>
        <w:rPr>
          <w:szCs w:val="24"/>
        </w:rPr>
      </w:pPr>
    </w:p>
    <w:p w:rsidR="00A30B76" w:rsidRDefault="00A30B76" w:rsidP="00A30B76">
      <w:pPr>
        <w:jc w:val="both"/>
        <w:rPr>
          <w:szCs w:val="24"/>
        </w:rPr>
      </w:pPr>
      <w:r w:rsidRPr="004F74A0">
        <w:rPr>
          <w:szCs w:val="24"/>
        </w:rPr>
        <w:t>There is wide recognition that REDD will succeed only with the full participation and ownership of Indigenous Peoples and other forest-dependent communities. This is especially relevant at the local level, where land and other natural resource management decisions are ultimately made.</w:t>
      </w:r>
      <w:r>
        <w:rPr>
          <w:szCs w:val="24"/>
        </w:rPr>
        <w:t xml:space="preserve"> The UN-REDD Programme has enabled stakeholders a better understanding about REDD through its various support activities both on global and national level. In the drafting of the national REDD strategies UN-REDD has supported governmental institutions and other stakeholder groups to collaborate and consult each other and to determine responsibilities. UN-REDD has provided technical information,  guidance and platforms for stakeholder consultations in the pilot countries, to enable increased understanding of the implications of the negotiations.  </w:t>
      </w:r>
    </w:p>
    <w:p w:rsidR="00A30B76" w:rsidRDefault="00A30B76" w:rsidP="00A30B76">
      <w:pPr>
        <w:jc w:val="both"/>
        <w:rPr>
          <w:szCs w:val="24"/>
        </w:rPr>
      </w:pPr>
    </w:p>
    <w:p w:rsidR="00A30B76" w:rsidRDefault="00A30B76" w:rsidP="00A30B76">
      <w:pPr>
        <w:jc w:val="both"/>
        <w:rPr>
          <w:szCs w:val="24"/>
        </w:rPr>
      </w:pPr>
      <w:r>
        <w:rPr>
          <w:b/>
          <w:szCs w:val="24"/>
        </w:rPr>
        <w:t>Output 2.1. IP representative groups informed and engaged</w:t>
      </w:r>
    </w:p>
    <w:p w:rsidR="00A30B76" w:rsidRDefault="00A30B76" w:rsidP="00A30B76">
      <w:pPr>
        <w:jc w:val="both"/>
        <w:rPr>
          <w:szCs w:val="24"/>
        </w:rPr>
      </w:pPr>
    </w:p>
    <w:p w:rsidR="00A30B76" w:rsidRDefault="00A30B76" w:rsidP="00A30B76">
      <w:pPr>
        <w:jc w:val="both"/>
        <w:rPr>
          <w:szCs w:val="24"/>
        </w:rPr>
      </w:pPr>
      <w:r>
        <w:rPr>
          <w:szCs w:val="24"/>
        </w:rPr>
        <w:t xml:space="preserve">UN-REDD has been instrumental is supporting the engagement of Indigenous Peoples and other civil society stakeholder in the REDD agenda both globally and at the national level. As a results of these activities, many NGOs have felt more informed and engaged in the REDD agenda at all levels.  </w:t>
      </w:r>
    </w:p>
    <w:p w:rsidR="00A30B76" w:rsidRDefault="00A30B76" w:rsidP="00A30B76">
      <w:pPr>
        <w:jc w:val="both"/>
        <w:rPr>
          <w:szCs w:val="24"/>
        </w:rPr>
      </w:pPr>
    </w:p>
    <w:p w:rsidR="00A30B76" w:rsidRDefault="00A30B76" w:rsidP="00A30B76">
      <w:pPr>
        <w:jc w:val="both"/>
        <w:rPr>
          <w:szCs w:val="24"/>
        </w:rPr>
      </w:pPr>
      <w:r>
        <w:rPr>
          <w:szCs w:val="24"/>
        </w:rPr>
        <w:t xml:space="preserve">Among the key UN-REDD international activities in 2009 were: </w:t>
      </w:r>
    </w:p>
    <w:p w:rsidR="00A30B76" w:rsidRDefault="00A30B76" w:rsidP="00A30B76">
      <w:pPr>
        <w:jc w:val="both"/>
        <w:rPr>
          <w:szCs w:val="24"/>
        </w:rPr>
      </w:pPr>
    </w:p>
    <w:p w:rsidR="00A30B76" w:rsidRDefault="00A30B76" w:rsidP="00A30B76">
      <w:pPr>
        <w:pStyle w:val="ListParagraph"/>
        <w:numPr>
          <w:ilvl w:val="0"/>
          <w:numId w:val="41"/>
        </w:numPr>
        <w:contextualSpacing/>
        <w:jc w:val="both"/>
        <w:rPr>
          <w:szCs w:val="24"/>
        </w:rPr>
      </w:pPr>
      <w:r>
        <w:rPr>
          <w:szCs w:val="24"/>
        </w:rPr>
        <w:t>Co-hosted Global Indigenous Peoples Asia/Pacific Consultation on the UN-REDD Programme, Sep 2009.</w:t>
      </w:r>
    </w:p>
    <w:p w:rsidR="00A30B76" w:rsidRDefault="00A30B76" w:rsidP="00A30B76">
      <w:pPr>
        <w:pStyle w:val="ListParagraph"/>
        <w:ind w:left="360"/>
        <w:jc w:val="both"/>
        <w:rPr>
          <w:szCs w:val="24"/>
        </w:rPr>
      </w:pPr>
    </w:p>
    <w:p w:rsidR="00A30B76" w:rsidRDefault="00A30B76" w:rsidP="00A30B76">
      <w:pPr>
        <w:pStyle w:val="ListParagraph"/>
        <w:widowControl/>
        <w:numPr>
          <w:ilvl w:val="0"/>
          <w:numId w:val="31"/>
        </w:numPr>
        <w:ind w:left="360"/>
        <w:contextualSpacing/>
        <w:jc w:val="both"/>
        <w:rPr>
          <w:szCs w:val="24"/>
        </w:rPr>
      </w:pPr>
      <w:r>
        <w:rPr>
          <w:szCs w:val="24"/>
        </w:rPr>
        <w:t>Participated in regional and global indigenous peoples meetings on REDD and climate change, presenting and building awareness of UN-REDD.</w:t>
      </w:r>
    </w:p>
    <w:p w:rsidR="00A30B76" w:rsidRDefault="00A30B76" w:rsidP="00A30B76">
      <w:pPr>
        <w:pStyle w:val="ListParagraph"/>
        <w:widowControl/>
        <w:ind w:left="360"/>
        <w:jc w:val="both"/>
        <w:rPr>
          <w:szCs w:val="24"/>
        </w:rPr>
      </w:pPr>
    </w:p>
    <w:p w:rsidR="00A30B76" w:rsidRDefault="00A30B76" w:rsidP="00A30B76">
      <w:pPr>
        <w:widowControl/>
        <w:numPr>
          <w:ilvl w:val="0"/>
          <w:numId w:val="31"/>
        </w:numPr>
        <w:autoSpaceDE w:val="0"/>
        <w:autoSpaceDN w:val="0"/>
        <w:ind w:left="360"/>
        <w:jc w:val="both"/>
        <w:rPr>
          <w:szCs w:val="24"/>
        </w:rPr>
      </w:pPr>
      <w:r>
        <w:rPr>
          <w:szCs w:val="24"/>
        </w:rPr>
        <w:t>Drafted and built consensus for UN-REDD Operational Guidance on the Engagement of Indigenous Peoples and other Forest Dependent Communities.</w:t>
      </w:r>
    </w:p>
    <w:p w:rsidR="00A30B76" w:rsidRDefault="00A30B76" w:rsidP="00A30B76">
      <w:pPr>
        <w:widowControl/>
        <w:autoSpaceDE w:val="0"/>
        <w:autoSpaceDN w:val="0"/>
        <w:jc w:val="both"/>
        <w:rPr>
          <w:szCs w:val="24"/>
        </w:rPr>
      </w:pPr>
    </w:p>
    <w:p w:rsidR="00A30B76" w:rsidRDefault="00A30B76" w:rsidP="00A30B76">
      <w:pPr>
        <w:widowControl/>
        <w:numPr>
          <w:ilvl w:val="0"/>
          <w:numId w:val="31"/>
        </w:numPr>
        <w:autoSpaceDE w:val="0"/>
        <w:autoSpaceDN w:val="0"/>
        <w:ind w:left="360"/>
        <w:jc w:val="both"/>
        <w:rPr>
          <w:szCs w:val="24"/>
        </w:rPr>
      </w:pPr>
      <w:r>
        <w:rPr>
          <w:szCs w:val="24"/>
        </w:rPr>
        <w:t>Harmonized UN-REDD approach to stakeholder engagement with FCPF approach.</w:t>
      </w:r>
    </w:p>
    <w:p w:rsidR="00A30B76" w:rsidRDefault="00A30B76" w:rsidP="00A30B76">
      <w:pPr>
        <w:widowControl/>
        <w:autoSpaceDE w:val="0"/>
        <w:autoSpaceDN w:val="0"/>
        <w:jc w:val="both"/>
        <w:rPr>
          <w:szCs w:val="24"/>
        </w:rPr>
      </w:pPr>
    </w:p>
    <w:p w:rsidR="00A30B76" w:rsidRDefault="00A30B76" w:rsidP="00A30B76">
      <w:pPr>
        <w:widowControl/>
        <w:numPr>
          <w:ilvl w:val="0"/>
          <w:numId w:val="31"/>
        </w:numPr>
        <w:autoSpaceDE w:val="0"/>
        <w:autoSpaceDN w:val="0"/>
        <w:ind w:left="360"/>
        <w:jc w:val="both"/>
        <w:rPr>
          <w:szCs w:val="24"/>
        </w:rPr>
      </w:pPr>
      <w:r>
        <w:rPr>
          <w:szCs w:val="24"/>
        </w:rPr>
        <w:t>Supported National Programmes to adopt Operational Guidance and establish arrangements to fully engage stakeholders.</w:t>
      </w:r>
    </w:p>
    <w:p w:rsidR="00A30B76" w:rsidRDefault="00A30B76" w:rsidP="00A30B76">
      <w:pPr>
        <w:widowControl/>
        <w:autoSpaceDE w:val="0"/>
        <w:autoSpaceDN w:val="0"/>
        <w:jc w:val="both"/>
        <w:rPr>
          <w:szCs w:val="24"/>
        </w:rPr>
      </w:pPr>
    </w:p>
    <w:p w:rsidR="00A30B76" w:rsidRDefault="00A30B76" w:rsidP="00A30B76">
      <w:pPr>
        <w:widowControl/>
        <w:numPr>
          <w:ilvl w:val="0"/>
          <w:numId w:val="31"/>
        </w:numPr>
        <w:autoSpaceDE w:val="0"/>
        <w:autoSpaceDN w:val="0"/>
        <w:ind w:left="360"/>
        <w:jc w:val="both"/>
        <w:rPr>
          <w:szCs w:val="24"/>
        </w:rPr>
      </w:pPr>
      <w:r>
        <w:rPr>
          <w:szCs w:val="24"/>
        </w:rPr>
        <w:t>Facilitated selection of IP and CSO representatives for UN-REDD Policy Board, supporting their full participation in the Policy Board meeting.</w:t>
      </w:r>
    </w:p>
    <w:p w:rsidR="00A30B76" w:rsidRDefault="00A30B76" w:rsidP="00A30B76">
      <w:pPr>
        <w:widowControl/>
        <w:autoSpaceDE w:val="0"/>
        <w:autoSpaceDN w:val="0"/>
        <w:jc w:val="both"/>
        <w:rPr>
          <w:szCs w:val="24"/>
        </w:rPr>
      </w:pPr>
    </w:p>
    <w:p w:rsidR="00A30B76" w:rsidRDefault="00A30B76" w:rsidP="00A30B76">
      <w:pPr>
        <w:pStyle w:val="ListParagraph"/>
        <w:widowControl/>
        <w:numPr>
          <w:ilvl w:val="0"/>
          <w:numId w:val="31"/>
        </w:numPr>
        <w:ind w:left="360"/>
        <w:contextualSpacing/>
        <w:jc w:val="both"/>
        <w:rPr>
          <w:szCs w:val="24"/>
        </w:rPr>
      </w:pPr>
      <w:r>
        <w:rPr>
          <w:szCs w:val="24"/>
        </w:rPr>
        <w:t xml:space="preserve">Clarified issues of recourse, safeguards and </w:t>
      </w:r>
      <w:smartTag w:uri="urn:schemas-microsoft-com:office:smarttags" w:element="stockticker">
        <w:r>
          <w:rPr>
            <w:szCs w:val="24"/>
          </w:rPr>
          <w:t>FPIC</w:t>
        </w:r>
      </w:smartTag>
      <w:r>
        <w:rPr>
          <w:szCs w:val="24"/>
        </w:rPr>
        <w:t xml:space="preserve"> with regard to the UN-REDD Programme.</w:t>
      </w:r>
    </w:p>
    <w:p w:rsidR="00A30B76" w:rsidRPr="00810DAF" w:rsidRDefault="00A30B76" w:rsidP="00A30B76">
      <w:pPr>
        <w:widowControl/>
        <w:jc w:val="both"/>
        <w:rPr>
          <w:szCs w:val="24"/>
        </w:rPr>
      </w:pPr>
    </w:p>
    <w:p w:rsidR="00A30B76" w:rsidRDefault="00A30B76" w:rsidP="00A30B76">
      <w:pPr>
        <w:pStyle w:val="ListParagraph"/>
        <w:widowControl/>
        <w:numPr>
          <w:ilvl w:val="0"/>
          <w:numId w:val="31"/>
        </w:numPr>
        <w:ind w:left="360"/>
        <w:contextualSpacing/>
        <w:jc w:val="both"/>
        <w:rPr>
          <w:bCs/>
          <w:szCs w:val="24"/>
        </w:rPr>
      </w:pPr>
      <w:r>
        <w:rPr>
          <w:bCs/>
          <w:szCs w:val="24"/>
        </w:rPr>
        <w:t xml:space="preserve">Support the participation of IP and CSO representatives in the UN-REDD Programme meetings and in other important global and regional meetings dealing with participation issues. </w:t>
      </w:r>
    </w:p>
    <w:p w:rsidR="00A30B76" w:rsidRDefault="00A30B76" w:rsidP="00A30B76">
      <w:pPr>
        <w:jc w:val="both"/>
        <w:rPr>
          <w:b/>
          <w:szCs w:val="24"/>
        </w:rPr>
      </w:pPr>
    </w:p>
    <w:p w:rsidR="00A30B76" w:rsidRDefault="00A30B76" w:rsidP="00A30B76">
      <w:pPr>
        <w:jc w:val="both"/>
        <w:rPr>
          <w:b/>
          <w:szCs w:val="24"/>
        </w:rPr>
      </w:pPr>
    </w:p>
    <w:p w:rsidR="00A30B76" w:rsidRDefault="00A30B76" w:rsidP="00A30B76">
      <w:pPr>
        <w:jc w:val="both"/>
        <w:rPr>
          <w:b/>
          <w:szCs w:val="24"/>
        </w:rPr>
      </w:pPr>
      <w:r>
        <w:rPr>
          <w:b/>
          <w:szCs w:val="24"/>
        </w:rPr>
        <w:t>Output 2.2. Non-Annex I negotiators and decision-makers informed about REDD</w:t>
      </w:r>
    </w:p>
    <w:p w:rsidR="00A30B76" w:rsidRDefault="00A30B76" w:rsidP="00A30B76">
      <w:pPr>
        <w:jc w:val="both"/>
        <w:rPr>
          <w:szCs w:val="24"/>
        </w:rPr>
      </w:pPr>
    </w:p>
    <w:p w:rsidR="00A30B76" w:rsidRDefault="00A30B76" w:rsidP="00A30B76">
      <w:pPr>
        <w:pStyle w:val="ListParagraph"/>
        <w:numPr>
          <w:ilvl w:val="0"/>
          <w:numId w:val="44"/>
        </w:numPr>
        <w:contextualSpacing/>
        <w:jc w:val="both"/>
        <w:rPr>
          <w:szCs w:val="24"/>
        </w:rPr>
      </w:pPr>
      <w:r>
        <w:rPr>
          <w:szCs w:val="24"/>
        </w:rPr>
        <w:t>C</w:t>
      </w:r>
      <w:r w:rsidRPr="007B5CE4">
        <w:rPr>
          <w:szCs w:val="24"/>
        </w:rPr>
        <w:t>ommissioned from the Center for International Forestry Research (CIFOR) a paper entitled ‘The state of REDD negotiations: Consensus points, options for moving forward and research</w:t>
      </w:r>
      <w:r>
        <w:rPr>
          <w:szCs w:val="24"/>
        </w:rPr>
        <w:t xml:space="preserve"> needs to support the process’, </w:t>
      </w:r>
      <w:r w:rsidRPr="007B5CE4">
        <w:rPr>
          <w:szCs w:val="24"/>
        </w:rPr>
        <w:t xml:space="preserve">summarized the state of negotiations towards </w:t>
      </w:r>
      <w:r>
        <w:rPr>
          <w:szCs w:val="24"/>
        </w:rPr>
        <w:t>Cop 15</w:t>
      </w:r>
      <w:r w:rsidRPr="007B5CE4">
        <w:rPr>
          <w:szCs w:val="24"/>
        </w:rPr>
        <w:t>. The document specifically outlined areas of consensus, options for resolving areas where consensus had not been reached, and priorities for research to support successful implementation of an international REDD Programme following a decision at the 15th Conference of the Parties (COP) in Copenhagen. The paper was distributed to o</w:t>
      </w:r>
      <w:r>
        <w:rPr>
          <w:szCs w:val="24"/>
        </w:rPr>
        <w:t>ver 3000 people ahead of and in Copenhagen.</w:t>
      </w:r>
      <w:r w:rsidRPr="004F74A0">
        <w:rPr>
          <w:szCs w:val="24"/>
        </w:rPr>
        <w:t xml:space="preserve"> </w:t>
      </w:r>
    </w:p>
    <w:p w:rsidR="00A30B76" w:rsidRDefault="00A30B76" w:rsidP="00A30B76">
      <w:pPr>
        <w:pStyle w:val="ListParagraph"/>
        <w:jc w:val="both"/>
        <w:rPr>
          <w:szCs w:val="24"/>
        </w:rPr>
      </w:pPr>
    </w:p>
    <w:p w:rsidR="00A30B76" w:rsidRPr="00FD2B83" w:rsidRDefault="00A30B76" w:rsidP="00A30B76">
      <w:pPr>
        <w:pStyle w:val="ListParagraph"/>
        <w:numPr>
          <w:ilvl w:val="0"/>
          <w:numId w:val="44"/>
        </w:numPr>
        <w:contextualSpacing/>
        <w:jc w:val="both"/>
        <w:rPr>
          <w:szCs w:val="24"/>
        </w:rPr>
      </w:pPr>
      <w:r w:rsidRPr="00FD2B83">
        <w:rPr>
          <w:szCs w:val="24"/>
        </w:rPr>
        <w:t>The UN-REDD Programme provided REDD information to UNFCCC regional groups, for example presentations about the implications for REDD in Africa at the African Ministerial Conference on the Environment (AMCEN), held in May 2009.</w:t>
      </w:r>
    </w:p>
    <w:p w:rsidR="00A30B76" w:rsidRPr="00FC2166" w:rsidRDefault="00A30B76" w:rsidP="00A30B76">
      <w:pPr>
        <w:widowControl/>
        <w:spacing w:before="120"/>
        <w:jc w:val="both"/>
        <w:rPr>
          <w:szCs w:val="24"/>
        </w:rPr>
      </w:pPr>
    </w:p>
    <w:p w:rsidR="00A30B76" w:rsidRDefault="00A30B76" w:rsidP="00A30B76">
      <w:pPr>
        <w:pStyle w:val="Body"/>
        <w:jc w:val="both"/>
        <w:rPr>
          <w:rFonts w:ascii="Times New Roman" w:hAnsi="Times New Roman"/>
          <w:b/>
          <w:sz w:val="24"/>
          <w:szCs w:val="24"/>
        </w:rPr>
      </w:pPr>
      <w:r w:rsidRPr="004F74A0">
        <w:rPr>
          <w:rFonts w:ascii="Times New Roman" w:hAnsi="Times New Roman"/>
          <w:b/>
          <w:sz w:val="24"/>
          <w:szCs w:val="24"/>
        </w:rPr>
        <w:t>Output 2.3</w:t>
      </w:r>
      <w:r w:rsidRPr="00FC2166">
        <w:rPr>
          <w:rFonts w:ascii="Times New Roman" w:hAnsi="Times New Roman"/>
          <w:b/>
          <w:sz w:val="24"/>
          <w:szCs w:val="24"/>
        </w:rPr>
        <w:t>.</w:t>
      </w:r>
      <w:r w:rsidRPr="004F74A0">
        <w:rPr>
          <w:rFonts w:ascii="Times New Roman" w:hAnsi="Times New Roman"/>
          <w:b/>
          <w:sz w:val="24"/>
          <w:szCs w:val="24"/>
        </w:rPr>
        <w:t xml:space="preserve"> REDD communicated to stakeholders</w:t>
      </w:r>
    </w:p>
    <w:p w:rsidR="00A30B76" w:rsidRDefault="00A30B76" w:rsidP="00A30B76">
      <w:pPr>
        <w:pStyle w:val="Body"/>
        <w:jc w:val="both"/>
        <w:rPr>
          <w:rFonts w:ascii="Times New Roman" w:hAnsi="Times New Roman"/>
          <w:color w:val="auto"/>
          <w:sz w:val="24"/>
          <w:szCs w:val="24"/>
        </w:rPr>
      </w:pPr>
    </w:p>
    <w:p w:rsidR="00A30B76" w:rsidRDefault="00A30B76" w:rsidP="00A30B76">
      <w:pPr>
        <w:pStyle w:val="ListParagraph"/>
        <w:numPr>
          <w:ilvl w:val="0"/>
          <w:numId w:val="45"/>
        </w:numPr>
        <w:contextualSpacing/>
        <w:jc w:val="both"/>
        <w:rPr>
          <w:szCs w:val="24"/>
        </w:rPr>
      </w:pPr>
      <w:r w:rsidRPr="00FC2166">
        <w:rPr>
          <w:szCs w:val="24"/>
        </w:rPr>
        <w:t xml:space="preserve">The UN-REDD Programme hosted an event </w:t>
      </w:r>
      <w:r w:rsidRPr="00FC2166">
        <w:rPr>
          <w:rStyle w:val="Strong"/>
          <w:szCs w:val="24"/>
        </w:rPr>
        <w:t>REDD (Reducing Emissions from Deforestation and Forest Degradation): The United Nations Secretary-General’s High Level Event</w:t>
      </w:r>
      <w:r w:rsidRPr="00FC2166">
        <w:rPr>
          <w:szCs w:val="24"/>
        </w:rPr>
        <w:t xml:space="preserve">, held on the occasion of the 64th United Nations General Assembly. The UN Secretary-General, Ban Ki-Moon; World Bank President, Robert Zoellick, and 15 heads of state and government and senior ministers expressed their support and commitment to REDD+. The event marked the largest gathering of countries to date on the issue of REDD, with the participation of over 100 countries and over 150 dignitaries and leaders from international and non-governmental organizations, academia, think tanks and the private sector from around the world concerned with climate change and forests. </w:t>
      </w:r>
    </w:p>
    <w:p w:rsidR="00A30B76" w:rsidRDefault="00A30B76" w:rsidP="00A30B76">
      <w:pPr>
        <w:jc w:val="both"/>
        <w:rPr>
          <w:szCs w:val="24"/>
        </w:rPr>
      </w:pPr>
    </w:p>
    <w:p w:rsidR="00A30B76" w:rsidRDefault="00A30B76" w:rsidP="00A30B76">
      <w:pPr>
        <w:pStyle w:val="ListParagraph"/>
        <w:numPr>
          <w:ilvl w:val="0"/>
          <w:numId w:val="45"/>
        </w:numPr>
        <w:contextualSpacing/>
        <w:jc w:val="both"/>
        <w:rPr>
          <w:szCs w:val="24"/>
        </w:rPr>
      </w:pPr>
      <w:r w:rsidRPr="004F74A0">
        <w:rPr>
          <w:szCs w:val="24"/>
        </w:rPr>
        <w:t>The UN-REDD Multimedia Campaign has raised general awareness on REDD with a variety of products. Two 30-minute documentaries, one about Indonesia and one about the DRC, as well as six different one minute statements about REDD have been broadcasted on BBC World reaching 300 million homes in 170 countries.</w:t>
      </w:r>
    </w:p>
    <w:p w:rsidR="00A30B76" w:rsidRDefault="00A30B76" w:rsidP="00A30B76">
      <w:pPr>
        <w:jc w:val="both"/>
        <w:rPr>
          <w:szCs w:val="24"/>
        </w:rPr>
      </w:pPr>
    </w:p>
    <w:p w:rsidR="00A30B76" w:rsidRDefault="00A30B76" w:rsidP="00A30B76">
      <w:pPr>
        <w:pStyle w:val="ListParagraph"/>
        <w:numPr>
          <w:ilvl w:val="0"/>
          <w:numId w:val="45"/>
        </w:numPr>
        <w:contextualSpacing/>
        <w:jc w:val="both"/>
        <w:rPr>
          <w:szCs w:val="24"/>
        </w:rPr>
      </w:pPr>
      <w:r w:rsidRPr="004F74A0">
        <w:rPr>
          <w:szCs w:val="24"/>
        </w:rPr>
        <w:t>A Multimedia Briefing Pack on REDD targeted at media was produced in collaboration with the EC, CIFOR &amp; Panos. 3,500 packs were distributed to reporters and journalist at COP15 and it was also made available online for downloading.</w:t>
      </w:r>
    </w:p>
    <w:p w:rsidR="00A30B76" w:rsidRDefault="00A30B76" w:rsidP="00A30B76">
      <w:pPr>
        <w:pStyle w:val="Body"/>
        <w:jc w:val="both"/>
        <w:rPr>
          <w:rFonts w:ascii="Times New Roman" w:hAnsi="Times New Roman"/>
          <w:color w:val="auto"/>
          <w:sz w:val="24"/>
          <w:szCs w:val="24"/>
        </w:rPr>
      </w:pPr>
    </w:p>
    <w:p w:rsidR="00A30B76" w:rsidRPr="00FC2166" w:rsidRDefault="00A30B76" w:rsidP="00A30B76">
      <w:pPr>
        <w:pStyle w:val="Default"/>
        <w:jc w:val="both"/>
        <w:rPr>
          <w:b/>
          <w:bCs/>
        </w:rPr>
      </w:pPr>
    </w:p>
    <w:p w:rsidR="00A30B76" w:rsidRPr="00FC2166" w:rsidRDefault="00A30B76" w:rsidP="00A30B76">
      <w:pPr>
        <w:pStyle w:val="Default"/>
        <w:jc w:val="both"/>
        <w:rPr>
          <w:b/>
        </w:rPr>
      </w:pPr>
      <w:r w:rsidRPr="004F74A0">
        <w:rPr>
          <w:b/>
          <w:bCs/>
        </w:rPr>
        <w:t>OUTCOME 3</w:t>
      </w:r>
      <w:r w:rsidRPr="004F74A0">
        <w:rPr>
          <w:b/>
        </w:rPr>
        <w:t>: IMPROVED ANALYTICAL AND TECHNICAL FRAMEWORK OF MULTIPLE BENEFITS FOR REDD DECISION-MAKERS (led by UNDP and UNEP)</w:t>
      </w:r>
    </w:p>
    <w:p w:rsidR="00A30B76" w:rsidRPr="00FD2B83" w:rsidRDefault="00A30B76" w:rsidP="00A30B76">
      <w:pPr>
        <w:pStyle w:val="Default"/>
        <w:jc w:val="both"/>
      </w:pPr>
    </w:p>
    <w:p w:rsidR="00A30B76" w:rsidRDefault="00A30B76" w:rsidP="00A30B76">
      <w:pPr>
        <w:pStyle w:val="Default"/>
        <w:jc w:val="both"/>
        <w:rPr>
          <w:lang w:val="en-CA"/>
        </w:rPr>
      </w:pPr>
      <w:r w:rsidRPr="004F74A0">
        <w:rPr>
          <w:lang w:val="en-CA"/>
        </w:rPr>
        <w:t xml:space="preserve">Forests provide in addition to their carbon storage a number social and ecological </w:t>
      </w:r>
      <w:r>
        <w:rPr>
          <w:lang w:val="en-CA"/>
        </w:rPr>
        <w:t>service and products such as</w:t>
      </w:r>
      <w:r w:rsidRPr="004F74A0">
        <w:rPr>
          <w:lang w:val="en-CA"/>
        </w:rPr>
        <w:t xml:space="preserve"> biodiversity, timber, non-timber forest products including food</w:t>
      </w:r>
      <w:r>
        <w:rPr>
          <w:lang w:val="en-CA"/>
        </w:rPr>
        <w:t>,</w:t>
      </w:r>
      <w:r w:rsidRPr="004F74A0">
        <w:rPr>
          <w:lang w:val="en-CA"/>
        </w:rPr>
        <w:t xml:space="preserve"> fibre, soil protection</w:t>
      </w:r>
      <w:r>
        <w:rPr>
          <w:lang w:val="en-CA"/>
        </w:rPr>
        <w:t>,</w:t>
      </w:r>
      <w:r w:rsidRPr="004F74A0">
        <w:rPr>
          <w:lang w:val="en-CA"/>
        </w:rPr>
        <w:t xml:space="preserve"> climate</w:t>
      </w:r>
      <w:r>
        <w:rPr>
          <w:lang w:val="en-CA"/>
        </w:rPr>
        <w:t xml:space="preserve"> and water regulation</w:t>
      </w:r>
      <w:r w:rsidRPr="004F74A0">
        <w:rPr>
          <w:lang w:val="en-CA"/>
        </w:rPr>
        <w:t>. Decisions made in the design and implementation of REDD+ will influence the supply of multiple benefits from forests.</w:t>
      </w:r>
      <w:r>
        <w:rPr>
          <w:lang w:val="en-CA"/>
        </w:rPr>
        <w:t xml:space="preserve"> </w:t>
      </w:r>
      <w:r w:rsidRPr="004F74A0">
        <w:rPr>
          <w:lang w:val="en-CA"/>
        </w:rPr>
        <w:t xml:space="preserve">The UN-REDD Programme has during 2009 undertaken a number of activities </w:t>
      </w:r>
      <w:r>
        <w:rPr>
          <w:lang w:val="en-CA"/>
        </w:rPr>
        <w:t>to support countries in order to</w:t>
      </w:r>
      <w:r w:rsidRPr="004F74A0">
        <w:rPr>
          <w:lang w:val="en-CA"/>
        </w:rPr>
        <w:t xml:space="preserve"> maximize the </w:t>
      </w:r>
      <w:r>
        <w:rPr>
          <w:lang w:val="en-CA"/>
        </w:rPr>
        <w:t xml:space="preserve">accumulation of </w:t>
      </w:r>
      <w:r w:rsidRPr="004F74A0">
        <w:rPr>
          <w:lang w:val="en-CA"/>
        </w:rPr>
        <w:t xml:space="preserve">socio-economic and ecological </w:t>
      </w:r>
      <w:r>
        <w:rPr>
          <w:lang w:val="en-CA"/>
        </w:rPr>
        <w:t>co-</w:t>
      </w:r>
      <w:r w:rsidRPr="004F74A0">
        <w:rPr>
          <w:lang w:val="en-CA"/>
        </w:rPr>
        <w:t xml:space="preserve">benefits forests provide </w:t>
      </w:r>
      <w:r>
        <w:rPr>
          <w:lang w:val="en-CA"/>
        </w:rPr>
        <w:t xml:space="preserve">through REDD+. </w:t>
      </w:r>
    </w:p>
    <w:p w:rsidR="00A30B76" w:rsidRDefault="00A30B76" w:rsidP="00A30B76">
      <w:pPr>
        <w:pStyle w:val="Default"/>
        <w:jc w:val="both"/>
        <w:rPr>
          <w:lang w:val="en-CA"/>
        </w:rPr>
      </w:pPr>
    </w:p>
    <w:p w:rsidR="00A30B76" w:rsidRDefault="00A30B76" w:rsidP="00A30B76">
      <w:pPr>
        <w:pStyle w:val="Default"/>
        <w:jc w:val="both"/>
        <w:rPr>
          <w:lang w:val="en-CA"/>
        </w:rPr>
      </w:pPr>
    </w:p>
    <w:p w:rsidR="00A30B76" w:rsidRDefault="00A30B76" w:rsidP="00A30B76">
      <w:pPr>
        <w:pStyle w:val="Default"/>
        <w:jc w:val="both"/>
        <w:rPr>
          <w:b/>
          <w:bCs/>
        </w:rPr>
      </w:pPr>
      <w:r w:rsidRPr="004F74A0">
        <w:rPr>
          <w:b/>
          <w:bCs/>
        </w:rPr>
        <w:t>Output 3.1. Review of socio-economic elements of national REDD frameworks undertaken</w:t>
      </w:r>
    </w:p>
    <w:p w:rsidR="00A30B76" w:rsidRDefault="00A30B76" w:rsidP="00A30B76">
      <w:pPr>
        <w:pStyle w:val="Default"/>
        <w:jc w:val="both"/>
        <w:rPr>
          <w:b/>
          <w:bCs/>
        </w:rPr>
      </w:pPr>
    </w:p>
    <w:p w:rsidR="00A30B76" w:rsidRDefault="00A30B76" w:rsidP="00A30B76">
      <w:pPr>
        <w:pStyle w:val="ListParagraph"/>
        <w:widowControl/>
        <w:numPr>
          <w:ilvl w:val="0"/>
          <w:numId w:val="31"/>
        </w:numPr>
        <w:ind w:left="426" w:hanging="426"/>
        <w:contextualSpacing/>
        <w:jc w:val="both"/>
        <w:rPr>
          <w:szCs w:val="24"/>
        </w:rPr>
      </w:pPr>
      <w:r w:rsidRPr="004F74A0">
        <w:rPr>
          <w:szCs w:val="24"/>
        </w:rPr>
        <w:t>Comparative review of national REDD+ legislative frameworks completed and presented at Policy Board 2 in Montreux, Switzerland in June 2009</w:t>
      </w:r>
      <w:r>
        <w:rPr>
          <w:szCs w:val="24"/>
        </w:rPr>
        <w:t>,</w:t>
      </w:r>
    </w:p>
    <w:p w:rsidR="00A30B76" w:rsidRDefault="00A30B76" w:rsidP="00A30B76">
      <w:pPr>
        <w:pStyle w:val="ListParagraph"/>
        <w:widowControl/>
        <w:ind w:left="426"/>
        <w:jc w:val="both"/>
        <w:rPr>
          <w:szCs w:val="24"/>
        </w:rPr>
      </w:pPr>
    </w:p>
    <w:p w:rsidR="00A30B76" w:rsidRDefault="00A30B76" w:rsidP="00A30B76">
      <w:pPr>
        <w:widowControl/>
        <w:numPr>
          <w:ilvl w:val="0"/>
          <w:numId w:val="31"/>
        </w:numPr>
        <w:ind w:left="426" w:hanging="426"/>
        <w:jc w:val="both"/>
        <w:rPr>
          <w:szCs w:val="24"/>
        </w:rPr>
      </w:pPr>
      <w:r w:rsidRPr="004F74A0">
        <w:rPr>
          <w:szCs w:val="24"/>
        </w:rPr>
        <w:t>Promotion of “Making REDD Work for the Poor” publication, prepared by the Poverty and Environment Partnership under the direction of UNDP</w:t>
      </w:r>
      <w:r>
        <w:rPr>
          <w:szCs w:val="24"/>
        </w:rPr>
        <w:t>,</w:t>
      </w:r>
    </w:p>
    <w:p w:rsidR="00A30B76" w:rsidRDefault="00A30B76" w:rsidP="00A30B76">
      <w:pPr>
        <w:widowControl/>
        <w:jc w:val="both"/>
        <w:rPr>
          <w:szCs w:val="24"/>
        </w:rPr>
      </w:pPr>
    </w:p>
    <w:p w:rsidR="00A30B76" w:rsidRDefault="00A30B76" w:rsidP="00A30B76">
      <w:pPr>
        <w:widowControl/>
        <w:numPr>
          <w:ilvl w:val="0"/>
          <w:numId w:val="31"/>
        </w:numPr>
        <w:ind w:left="426" w:hanging="426"/>
        <w:jc w:val="both"/>
        <w:rPr>
          <w:szCs w:val="24"/>
        </w:rPr>
      </w:pPr>
      <w:r w:rsidRPr="004F74A0">
        <w:rPr>
          <w:szCs w:val="24"/>
        </w:rPr>
        <w:t>Initiated discussions with partners on the application of Poverty and Social Impacts Analysis for REDD+</w:t>
      </w:r>
      <w:r>
        <w:rPr>
          <w:szCs w:val="24"/>
        </w:rPr>
        <w:t>,</w:t>
      </w:r>
    </w:p>
    <w:p w:rsidR="00A30B76" w:rsidRDefault="00A30B76" w:rsidP="00A30B76">
      <w:pPr>
        <w:widowControl/>
        <w:jc w:val="both"/>
        <w:rPr>
          <w:szCs w:val="24"/>
        </w:rPr>
      </w:pPr>
    </w:p>
    <w:p w:rsidR="00A30B76" w:rsidRDefault="00A30B76" w:rsidP="00A30B76">
      <w:pPr>
        <w:widowControl/>
        <w:numPr>
          <w:ilvl w:val="0"/>
          <w:numId w:val="31"/>
        </w:numPr>
        <w:ind w:left="426" w:hanging="426"/>
        <w:jc w:val="both"/>
        <w:rPr>
          <w:szCs w:val="24"/>
        </w:rPr>
      </w:pPr>
      <w:r w:rsidRPr="004F74A0">
        <w:rPr>
          <w:szCs w:val="24"/>
        </w:rPr>
        <w:t>Initiated discussions with partners on the incorporating gender perspectives</w:t>
      </w:r>
      <w:r>
        <w:rPr>
          <w:szCs w:val="24"/>
        </w:rPr>
        <w:t>,</w:t>
      </w:r>
    </w:p>
    <w:p w:rsidR="00A30B76" w:rsidRDefault="00A30B76" w:rsidP="00A30B76">
      <w:pPr>
        <w:widowControl/>
        <w:jc w:val="both"/>
        <w:rPr>
          <w:szCs w:val="24"/>
        </w:rPr>
      </w:pPr>
    </w:p>
    <w:p w:rsidR="00A30B76" w:rsidRDefault="00A30B76" w:rsidP="00A30B76">
      <w:pPr>
        <w:widowControl/>
        <w:numPr>
          <w:ilvl w:val="0"/>
          <w:numId w:val="31"/>
        </w:numPr>
        <w:ind w:left="426" w:hanging="426"/>
        <w:jc w:val="both"/>
        <w:rPr>
          <w:szCs w:val="24"/>
        </w:rPr>
      </w:pPr>
      <w:r w:rsidRPr="004F74A0">
        <w:rPr>
          <w:szCs w:val="24"/>
        </w:rPr>
        <w:t>Draft proposal for REDD governance country-led assessments prepared and discussed with partners</w:t>
      </w:r>
      <w:r>
        <w:rPr>
          <w:szCs w:val="24"/>
        </w:rPr>
        <w:t>.</w:t>
      </w:r>
    </w:p>
    <w:p w:rsidR="00A30B76" w:rsidRPr="00FC2166" w:rsidRDefault="00A30B76" w:rsidP="00A30B76">
      <w:pPr>
        <w:pStyle w:val="Default"/>
        <w:jc w:val="both"/>
        <w:rPr>
          <w:bCs/>
        </w:rPr>
      </w:pPr>
    </w:p>
    <w:p w:rsidR="00A30B76" w:rsidRPr="00FC2166" w:rsidRDefault="00A30B76" w:rsidP="00A30B76">
      <w:pPr>
        <w:pStyle w:val="Default"/>
        <w:jc w:val="both"/>
        <w:rPr>
          <w:bCs/>
        </w:rPr>
      </w:pPr>
    </w:p>
    <w:p w:rsidR="00A30B76" w:rsidRPr="00FC2166" w:rsidRDefault="00A30B76" w:rsidP="00A30B76">
      <w:pPr>
        <w:pStyle w:val="Default"/>
        <w:jc w:val="both"/>
        <w:rPr>
          <w:b/>
          <w:bCs/>
        </w:rPr>
      </w:pPr>
      <w:r w:rsidRPr="004F74A0">
        <w:rPr>
          <w:b/>
          <w:bCs/>
        </w:rPr>
        <w:t>O</w:t>
      </w:r>
      <w:r>
        <w:rPr>
          <w:b/>
          <w:bCs/>
        </w:rPr>
        <w:t>utput 3.2.</w:t>
      </w:r>
      <w:r w:rsidRPr="004F74A0">
        <w:rPr>
          <w:b/>
          <w:bCs/>
        </w:rPr>
        <w:t xml:space="preserve"> Tools to encourage the capture of ecosystem service co-benefits developed</w:t>
      </w:r>
    </w:p>
    <w:p w:rsidR="00A30B76" w:rsidRDefault="00A30B76" w:rsidP="00A30B76">
      <w:pPr>
        <w:pStyle w:val="Default"/>
        <w:jc w:val="both"/>
        <w:rPr>
          <w:b/>
          <w:bCs/>
        </w:rPr>
      </w:pPr>
    </w:p>
    <w:p w:rsidR="00A30B76" w:rsidRDefault="00A30B76" w:rsidP="00A30B76">
      <w:pPr>
        <w:pStyle w:val="Default"/>
        <w:numPr>
          <w:ilvl w:val="0"/>
          <w:numId w:val="37"/>
        </w:numPr>
        <w:ind w:left="426" w:hanging="426"/>
        <w:jc w:val="both"/>
      </w:pPr>
      <w:r w:rsidRPr="00FC2166">
        <w:t xml:space="preserve">Development of a plan for analytical work on equitable REDD+ benefit distribution. </w:t>
      </w:r>
      <w:r w:rsidRPr="004F74A0">
        <w:t>Development of concept notes about MRV and the relation with multiple benefits and ecosystem approach</w:t>
      </w:r>
      <w:r>
        <w:t>,</w:t>
      </w:r>
    </w:p>
    <w:p w:rsidR="00A30B76" w:rsidRDefault="00A30B76" w:rsidP="00A30B76">
      <w:pPr>
        <w:pStyle w:val="Default"/>
        <w:ind w:left="426"/>
        <w:jc w:val="both"/>
      </w:pPr>
    </w:p>
    <w:p w:rsidR="00A30B76" w:rsidRPr="007B5CE4" w:rsidRDefault="00A30B76" w:rsidP="00A30B76">
      <w:pPr>
        <w:pStyle w:val="ListParagraph"/>
        <w:numPr>
          <w:ilvl w:val="0"/>
          <w:numId w:val="31"/>
        </w:numPr>
        <w:ind w:left="426" w:hanging="426"/>
        <w:contextualSpacing/>
        <w:jc w:val="both"/>
        <w:rPr>
          <w:lang w:val="en-CA"/>
        </w:rPr>
      </w:pPr>
      <w:r w:rsidRPr="004F74A0">
        <w:rPr>
          <w:szCs w:val="24"/>
        </w:rPr>
        <w:t>Revised global maps of carbon in soils and biomass for analysis against co-benefits</w:t>
      </w:r>
      <w:r>
        <w:rPr>
          <w:szCs w:val="24"/>
        </w:rPr>
        <w:t>,</w:t>
      </w:r>
    </w:p>
    <w:p w:rsidR="00A30B76" w:rsidRPr="00810DAF" w:rsidRDefault="00A30B76" w:rsidP="00A30B76">
      <w:pPr>
        <w:pStyle w:val="ListParagraph"/>
        <w:ind w:left="426"/>
        <w:jc w:val="both"/>
        <w:rPr>
          <w:lang w:val="en-CA"/>
        </w:rPr>
      </w:pPr>
    </w:p>
    <w:p w:rsidR="00A30B76" w:rsidRDefault="00A30B76" w:rsidP="00A30B76">
      <w:pPr>
        <w:pStyle w:val="Default"/>
        <w:numPr>
          <w:ilvl w:val="0"/>
          <w:numId w:val="31"/>
        </w:numPr>
        <w:ind w:left="426" w:hanging="426"/>
        <w:jc w:val="both"/>
        <w:rPr>
          <w:lang w:val="en-CA"/>
        </w:rPr>
      </w:pPr>
      <w:r w:rsidRPr="00810DAF">
        <w:rPr>
          <w:lang w:val="en-CA"/>
        </w:rPr>
        <w:t xml:space="preserve">A technical paper on ‘Multiple benefits – Issues and options for REDD’, which was released at the UN-REDD second Policy Board meeting in </w:t>
      </w:r>
      <w:r w:rsidRPr="00810DAF">
        <w:t xml:space="preserve">Montreux, Switzerland </w:t>
      </w:r>
      <w:r>
        <w:rPr>
          <w:lang w:val="en-CA"/>
        </w:rPr>
        <w:t>in June 2009,</w:t>
      </w:r>
    </w:p>
    <w:p w:rsidR="00A30B76" w:rsidRPr="00810DAF" w:rsidRDefault="00A30B76" w:rsidP="00A30B76">
      <w:pPr>
        <w:pStyle w:val="Default"/>
        <w:jc w:val="both"/>
        <w:rPr>
          <w:lang w:val="en-CA"/>
        </w:rPr>
      </w:pPr>
    </w:p>
    <w:p w:rsidR="00A30B76" w:rsidRDefault="00A30B76" w:rsidP="00A30B76">
      <w:pPr>
        <w:pStyle w:val="Default"/>
        <w:numPr>
          <w:ilvl w:val="0"/>
          <w:numId w:val="36"/>
        </w:numPr>
        <w:ind w:left="426" w:hanging="426"/>
        <w:jc w:val="both"/>
        <w:rPr>
          <w:lang w:val="en-CA"/>
        </w:rPr>
      </w:pPr>
      <w:r w:rsidRPr="004F74A0">
        <w:rPr>
          <w:lang w:val="en-CA"/>
        </w:rPr>
        <w:t>Consultations on national requirements</w:t>
      </w:r>
      <w:r w:rsidRPr="00FC2166">
        <w:rPr>
          <w:lang w:val="en-CA"/>
        </w:rPr>
        <w:t xml:space="preserve"> concerning multiple-benefits have been held with Tanzania, </w:t>
      </w:r>
      <w:r w:rsidRPr="004F74A0">
        <w:rPr>
          <w:lang w:val="en-CA"/>
        </w:rPr>
        <w:t>Viet Nam, Indonesia and Bolivia. The consultations resulted in a better understanding on needs and priorities of the pilot countri</w:t>
      </w:r>
      <w:r>
        <w:rPr>
          <w:lang w:val="en-CA"/>
        </w:rPr>
        <w:t>es concerning multiple-benefits,</w:t>
      </w:r>
    </w:p>
    <w:p w:rsidR="00A30B76" w:rsidRDefault="00A30B76" w:rsidP="00A30B76">
      <w:pPr>
        <w:pStyle w:val="Default"/>
        <w:ind w:left="426"/>
        <w:jc w:val="both"/>
        <w:rPr>
          <w:lang w:val="en-CA"/>
        </w:rPr>
      </w:pPr>
      <w:r w:rsidRPr="004F74A0">
        <w:rPr>
          <w:lang w:val="en-CA"/>
        </w:rPr>
        <w:t xml:space="preserve"> </w:t>
      </w:r>
    </w:p>
    <w:p w:rsidR="00A30B76" w:rsidRPr="00FC2166" w:rsidRDefault="00A30B76" w:rsidP="00A30B76">
      <w:pPr>
        <w:pStyle w:val="Default"/>
        <w:numPr>
          <w:ilvl w:val="0"/>
          <w:numId w:val="36"/>
        </w:numPr>
        <w:ind w:left="426" w:hanging="426"/>
        <w:jc w:val="both"/>
        <w:rPr>
          <w:lang w:val="en-CA"/>
        </w:rPr>
      </w:pPr>
      <w:r w:rsidRPr="004F74A0">
        <w:rPr>
          <w:lang w:val="en-CA"/>
        </w:rPr>
        <w:t xml:space="preserve">A colour brochure and poster mapping the relationship between carbon and other benefits of Tanzania’s terrestrial ecosystems were launched at Forest Day in Copenhagen, an event that ran alongside UNFCCC COP 15. These were the products of a two-week spatial analysis workshop on co-benefits that was held at UNEP-WCMC in Cambridge, hosting staff from the Tanzanian Forestry and Beekeeping Division (Ministry of Natural Resources and Tourism). The workshop boosted the GIS skills of the Tanzanian participants. National scale analyses were undertaken of co-benefits and other factors including population density, honey/beeswax/gum production, mammal and amphibian species richness, key biodiversity areas, protected areas and burnt areas. In addition, the workshop produced a new combined soil and biomass carbon map for Tanzania, and made improvements to existing biodiversity datasets. </w:t>
      </w:r>
    </w:p>
    <w:p w:rsidR="00A30B76" w:rsidRDefault="00A30B76" w:rsidP="00A30B76">
      <w:pPr>
        <w:pStyle w:val="Default"/>
        <w:ind w:left="426" w:hanging="426"/>
        <w:jc w:val="both"/>
        <w:rPr>
          <w:lang w:val="en-CA"/>
        </w:rPr>
      </w:pPr>
    </w:p>
    <w:p w:rsidR="00A30B76" w:rsidRDefault="00A30B76" w:rsidP="00A30B76">
      <w:pPr>
        <w:jc w:val="both"/>
        <w:rPr>
          <w:szCs w:val="24"/>
        </w:rPr>
      </w:pPr>
    </w:p>
    <w:p w:rsidR="00A30B76" w:rsidRDefault="00A30B76" w:rsidP="00A30B76">
      <w:pPr>
        <w:pStyle w:val="Body"/>
        <w:jc w:val="both"/>
        <w:rPr>
          <w:rFonts w:ascii="Times New Roman" w:hAnsi="Times New Roman"/>
          <w:sz w:val="24"/>
          <w:szCs w:val="24"/>
        </w:rPr>
      </w:pPr>
      <w:r>
        <w:rPr>
          <w:rFonts w:ascii="Times New Roman" w:hAnsi="Times New Roman"/>
          <w:b/>
          <w:bCs/>
          <w:sz w:val="24"/>
          <w:szCs w:val="24"/>
        </w:rPr>
        <w:t>OUTCOME 4</w:t>
      </w:r>
      <w:r>
        <w:rPr>
          <w:rFonts w:ascii="Times New Roman" w:hAnsi="Times New Roman"/>
          <w:sz w:val="24"/>
          <w:szCs w:val="24"/>
        </w:rPr>
        <w:t xml:space="preserve">: </w:t>
      </w:r>
      <w:r>
        <w:rPr>
          <w:rFonts w:ascii="Times New Roman" w:hAnsi="Times New Roman"/>
          <w:b/>
          <w:sz w:val="24"/>
          <w:szCs w:val="24"/>
        </w:rPr>
        <w:t>INCREASED KNOWLEDGE MANAGEMENT, COORDINATION AND COMMUNICATION (co-led by the three agencies)</w:t>
      </w:r>
    </w:p>
    <w:p w:rsidR="00A30B76" w:rsidRDefault="00A30B76" w:rsidP="00A30B76">
      <w:pPr>
        <w:pStyle w:val="Body"/>
        <w:jc w:val="both"/>
        <w:rPr>
          <w:rFonts w:ascii="Times New Roman" w:hAnsi="Times New Roman"/>
          <w:sz w:val="24"/>
          <w:szCs w:val="24"/>
        </w:rPr>
      </w:pPr>
    </w:p>
    <w:p w:rsidR="00A30B76" w:rsidRDefault="00A30B76" w:rsidP="00A30B76">
      <w:pPr>
        <w:jc w:val="both"/>
        <w:rPr>
          <w:b/>
          <w:szCs w:val="24"/>
        </w:rPr>
      </w:pPr>
      <w:r w:rsidRPr="004F74A0">
        <w:rPr>
          <w:b/>
          <w:szCs w:val="24"/>
        </w:rPr>
        <w:t>Output 4.1</w:t>
      </w:r>
      <w:r>
        <w:rPr>
          <w:b/>
          <w:szCs w:val="24"/>
        </w:rPr>
        <w:t>.</w:t>
      </w:r>
      <w:r w:rsidRPr="004F74A0">
        <w:rPr>
          <w:b/>
          <w:szCs w:val="24"/>
        </w:rPr>
        <w:t xml:space="preserve"> Inter-Agency coordination mechanism established</w:t>
      </w:r>
    </w:p>
    <w:p w:rsidR="00A30B76" w:rsidRDefault="00A30B76" w:rsidP="00A30B76">
      <w:pPr>
        <w:pStyle w:val="ListParagraph"/>
        <w:autoSpaceDE w:val="0"/>
        <w:autoSpaceDN w:val="0"/>
        <w:adjustRightInd w:val="0"/>
        <w:spacing w:before="100" w:beforeAutospacing="1" w:after="100" w:afterAutospacing="1"/>
        <w:ind w:left="0"/>
        <w:jc w:val="both"/>
        <w:rPr>
          <w:rFonts w:eastAsia="Calibri"/>
          <w:szCs w:val="24"/>
        </w:rPr>
      </w:pPr>
      <w:r w:rsidRPr="004F74A0">
        <w:rPr>
          <w:rFonts w:eastAsia="Calibri"/>
          <w:szCs w:val="24"/>
        </w:rPr>
        <w:t xml:space="preserve">The UN-REDD Programme is fast becoming a model of inter-UN agency cooperation, “delivering as One UN” while building on the technical expertise and capacity of its three agencies (FAO, UNDP and UNEP). The agencies working together offer a near universal in-country presence and benefit from strong support from civil society, a unique participatory governance system, and expertise on MRV, governance, benefits for ecosystems and livelihoods. </w:t>
      </w:r>
    </w:p>
    <w:p w:rsidR="00A30B76" w:rsidRDefault="00A30B76" w:rsidP="00A30B76">
      <w:pPr>
        <w:jc w:val="both"/>
        <w:rPr>
          <w:rFonts w:eastAsia="Calibri"/>
          <w:szCs w:val="24"/>
        </w:rPr>
      </w:pPr>
      <w:r w:rsidRPr="004F74A0">
        <w:rPr>
          <w:rFonts w:eastAsia="Calibri"/>
          <w:szCs w:val="24"/>
        </w:rPr>
        <w:t>The UN-REDD Programme is working in close coordination with Forest Carbon Partnership Facility</w:t>
      </w:r>
      <w:r>
        <w:rPr>
          <w:rFonts w:eastAsia="Calibri"/>
          <w:szCs w:val="24"/>
        </w:rPr>
        <w:t xml:space="preserve">, hosted by the World Bank, </w:t>
      </w:r>
      <w:r w:rsidRPr="004F74A0">
        <w:rPr>
          <w:rFonts w:eastAsia="Calibri"/>
          <w:szCs w:val="24"/>
        </w:rPr>
        <w:t xml:space="preserve"> both at the international level, harmonizing normative frameworks and organizing joint events, and at the national level, where joint missions and sharing of information are producing coordinated support interventions. </w:t>
      </w:r>
      <w:r>
        <w:rPr>
          <w:rFonts w:eastAsia="Calibri"/>
          <w:szCs w:val="24"/>
        </w:rPr>
        <w:t>It is also working closely with the Forest Investment Programme (FIP) of the World Bank.</w:t>
      </w:r>
      <w:r w:rsidRPr="004F74A0">
        <w:rPr>
          <w:rFonts w:eastAsia="Calibri"/>
          <w:szCs w:val="24"/>
        </w:rPr>
        <w:t xml:space="preserve"> The UN-REDD Programme / World Bank colla</w:t>
      </w:r>
      <w:r>
        <w:rPr>
          <w:rFonts w:eastAsia="Calibri"/>
          <w:szCs w:val="24"/>
        </w:rPr>
        <w:t xml:space="preserve">boration could be considered a </w:t>
      </w:r>
      <w:r w:rsidRPr="004F74A0">
        <w:rPr>
          <w:rFonts w:eastAsia="Calibri"/>
          <w:szCs w:val="24"/>
        </w:rPr>
        <w:t>‘best practice’ in ‘UN/B</w:t>
      </w:r>
      <w:r>
        <w:rPr>
          <w:rFonts w:eastAsia="Calibri"/>
          <w:szCs w:val="24"/>
        </w:rPr>
        <w:t xml:space="preserve">retton Woods </w:t>
      </w:r>
      <w:r w:rsidRPr="004F74A0">
        <w:rPr>
          <w:rFonts w:eastAsia="Calibri"/>
          <w:szCs w:val="24"/>
        </w:rPr>
        <w:t xml:space="preserve">system’ cooperation. The programme also works </w:t>
      </w:r>
      <w:r>
        <w:rPr>
          <w:rFonts w:eastAsia="Calibri"/>
          <w:szCs w:val="24"/>
        </w:rPr>
        <w:t xml:space="preserve">closely at different levels in boosting REDD readiness </w:t>
      </w:r>
      <w:r w:rsidRPr="004F74A0">
        <w:rPr>
          <w:rFonts w:eastAsia="Calibri"/>
          <w:szCs w:val="24"/>
        </w:rPr>
        <w:t>with the UNFCCC</w:t>
      </w:r>
      <w:r>
        <w:rPr>
          <w:rFonts w:eastAsia="Calibri"/>
          <w:szCs w:val="24"/>
        </w:rPr>
        <w:t>,</w:t>
      </w:r>
      <w:r w:rsidRPr="004F74A0">
        <w:rPr>
          <w:rFonts w:eastAsia="Calibri"/>
          <w:szCs w:val="24"/>
        </w:rPr>
        <w:t xml:space="preserve"> </w:t>
      </w:r>
      <w:r>
        <w:rPr>
          <w:rFonts w:eastAsia="Calibri"/>
          <w:szCs w:val="24"/>
        </w:rPr>
        <w:t xml:space="preserve">GEF, UNFF secretariats as well as ITTO and IUCN, </w:t>
      </w:r>
      <w:r w:rsidRPr="004F74A0">
        <w:rPr>
          <w:rFonts w:eastAsia="Calibri"/>
          <w:szCs w:val="24"/>
        </w:rPr>
        <w:t xml:space="preserve">and </w:t>
      </w:r>
      <w:r>
        <w:rPr>
          <w:rFonts w:eastAsia="Calibri"/>
          <w:szCs w:val="24"/>
        </w:rPr>
        <w:t xml:space="preserve">other </w:t>
      </w:r>
      <w:r w:rsidRPr="004F74A0">
        <w:rPr>
          <w:rFonts w:eastAsia="Calibri"/>
          <w:szCs w:val="24"/>
        </w:rPr>
        <w:t xml:space="preserve">members of the Collaborative Partnership on Forests, donors, </w:t>
      </w:r>
      <w:r>
        <w:rPr>
          <w:rFonts w:eastAsia="Calibri"/>
          <w:szCs w:val="24"/>
        </w:rPr>
        <w:t>i</w:t>
      </w:r>
      <w:r w:rsidRPr="004F74A0">
        <w:rPr>
          <w:rFonts w:eastAsia="Calibri"/>
          <w:szCs w:val="24"/>
        </w:rPr>
        <w:t>ndigenous and civil society organizations and academia</w:t>
      </w:r>
      <w:r>
        <w:rPr>
          <w:rFonts w:eastAsia="Calibri"/>
          <w:szCs w:val="24"/>
        </w:rPr>
        <w:t>.</w:t>
      </w:r>
    </w:p>
    <w:p w:rsidR="00A30B76" w:rsidRDefault="00A30B76" w:rsidP="00A30B76">
      <w:pPr>
        <w:pStyle w:val="Body"/>
        <w:jc w:val="both"/>
        <w:rPr>
          <w:rFonts w:ascii="Times New Roman" w:hAnsi="Times New Roman"/>
          <w:color w:val="auto"/>
          <w:sz w:val="24"/>
          <w:szCs w:val="24"/>
        </w:rPr>
      </w:pPr>
    </w:p>
    <w:p w:rsidR="00A30B76" w:rsidRDefault="00A30B76" w:rsidP="00A30B76">
      <w:pPr>
        <w:pStyle w:val="Body"/>
        <w:jc w:val="both"/>
        <w:rPr>
          <w:rFonts w:ascii="Times New Roman" w:hAnsi="Times New Roman"/>
          <w:sz w:val="24"/>
          <w:szCs w:val="24"/>
        </w:rPr>
      </w:pPr>
      <w:r>
        <w:rPr>
          <w:rFonts w:ascii="Times New Roman" w:hAnsi="Times New Roman"/>
          <w:sz w:val="24"/>
          <w:szCs w:val="24"/>
        </w:rPr>
        <w:t>The Coordination Group of the UN-REDD Programme is composed of senior management and operation staff of the three agencies.  It has provided strategic guidance to the UN-REDD Programme and its partner agencies. Specifically to:</w:t>
      </w:r>
    </w:p>
    <w:p w:rsidR="00A30B76" w:rsidRDefault="00A30B76" w:rsidP="00A30B76">
      <w:pPr>
        <w:pStyle w:val="Body"/>
        <w:jc w:val="both"/>
        <w:rPr>
          <w:rFonts w:ascii="Times New Roman" w:hAnsi="Times New Roman"/>
          <w:sz w:val="24"/>
          <w:szCs w:val="24"/>
        </w:rPr>
      </w:pPr>
    </w:p>
    <w:p w:rsidR="00A30B76" w:rsidRDefault="00A30B76" w:rsidP="00A30B76">
      <w:pPr>
        <w:pStyle w:val="ListParagraph"/>
        <w:widowControl/>
        <w:numPr>
          <w:ilvl w:val="0"/>
          <w:numId w:val="49"/>
        </w:numPr>
        <w:spacing w:after="120"/>
        <w:contextualSpacing/>
        <w:jc w:val="both"/>
        <w:rPr>
          <w:szCs w:val="24"/>
        </w:rPr>
      </w:pPr>
      <w:r w:rsidRPr="006A23B8">
        <w:rPr>
          <w:szCs w:val="24"/>
        </w:rPr>
        <w:t>Ensure coordination and communication between agencies implementing the UN-REDD Programme</w:t>
      </w:r>
      <w:r>
        <w:rPr>
          <w:szCs w:val="24"/>
        </w:rPr>
        <w:t>,</w:t>
      </w:r>
    </w:p>
    <w:p w:rsidR="00A30B76" w:rsidRPr="006A23B8" w:rsidRDefault="00A30B76" w:rsidP="00A30B76">
      <w:pPr>
        <w:pStyle w:val="ListParagraph"/>
        <w:widowControl/>
        <w:spacing w:after="120"/>
        <w:ind w:left="1080"/>
        <w:jc w:val="both"/>
        <w:rPr>
          <w:szCs w:val="24"/>
        </w:rPr>
      </w:pPr>
    </w:p>
    <w:p w:rsidR="00A30B76" w:rsidRPr="00F635CB" w:rsidRDefault="00A30B76" w:rsidP="00A30B76">
      <w:pPr>
        <w:pStyle w:val="ListParagraph"/>
        <w:widowControl/>
        <w:numPr>
          <w:ilvl w:val="0"/>
          <w:numId w:val="49"/>
        </w:numPr>
        <w:spacing w:after="120"/>
        <w:contextualSpacing/>
        <w:jc w:val="both"/>
        <w:rPr>
          <w:szCs w:val="24"/>
        </w:rPr>
      </w:pPr>
      <w:r w:rsidRPr="006A23B8">
        <w:rPr>
          <w:szCs w:val="24"/>
        </w:rPr>
        <w:t>Ensure commitment of respective agency to the UN-REDD Programme and provide for sufficient capacity and appropriate organization to deliver the designated programme components</w:t>
      </w:r>
      <w:r>
        <w:rPr>
          <w:szCs w:val="24"/>
        </w:rPr>
        <w:t>,</w:t>
      </w:r>
    </w:p>
    <w:p w:rsidR="00A30B76" w:rsidRDefault="00A30B76" w:rsidP="00A30B76">
      <w:pPr>
        <w:pStyle w:val="ListParagraph"/>
        <w:widowControl/>
        <w:spacing w:after="120"/>
        <w:ind w:left="1080"/>
        <w:jc w:val="both"/>
        <w:rPr>
          <w:szCs w:val="24"/>
        </w:rPr>
      </w:pPr>
    </w:p>
    <w:p w:rsidR="00A30B76" w:rsidRPr="006A23B8" w:rsidRDefault="00A30B76" w:rsidP="00A30B76">
      <w:pPr>
        <w:pStyle w:val="ListParagraph"/>
        <w:widowControl/>
        <w:numPr>
          <w:ilvl w:val="0"/>
          <w:numId w:val="49"/>
        </w:numPr>
        <w:spacing w:after="120"/>
        <w:contextualSpacing/>
        <w:jc w:val="both"/>
        <w:rPr>
          <w:szCs w:val="24"/>
        </w:rPr>
      </w:pPr>
      <w:r w:rsidRPr="006A23B8">
        <w:rPr>
          <w:szCs w:val="24"/>
        </w:rPr>
        <w:t>Agree on association with the UN-REDD Programme of resources and contributions provided from the partner agencies</w:t>
      </w:r>
      <w:r>
        <w:rPr>
          <w:szCs w:val="24"/>
        </w:rPr>
        <w:t>.</w:t>
      </w:r>
      <w:r w:rsidRPr="006A23B8">
        <w:rPr>
          <w:szCs w:val="24"/>
        </w:rPr>
        <w:t xml:space="preserve"> </w:t>
      </w:r>
    </w:p>
    <w:p w:rsidR="00A30B76" w:rsidRDefault="00A30B76" w:rsidP="00A30B76">
      <w:pPr>
        <w:widowControl/>
        <w:spacing w:after="120"/>
        <w:jc w:val="both"/>
        <w:rPr>
          <w:szCs w:val="24"/>
        </w:rPr>
      </w:pPr>
      <w:r w:rsidRPr="004F74A0">
        <w:rPr>
          <w:szCs w:val="24"/>
        </w:rPr>
        <w:t xml:space="preserve">In addition to establishing coordination among the agencies, the interagency work of the UN-REDD Programme has resulted in the following major achievements:  </w:t>
      </w:r>
    </w:p>
    <w:p w:rsidR="00A30B76" w:rsidRPr="00FC2166" w:rsidRDefault="00A30B76" w:rsidP="00A30B76">
      <w:pPr>
        <w:widowControl/>
        <w:numPr>
          <w:ilvl w:val="0"/>
          <w:numId w:val="30"/>
        </w:numPr>
        <w:spacing w:before="120"/>
        <w:ind w:left="426" w:hanging="426"/>
        <w:jc w:val="both"/>
        <w:rPr>
          <w:szCs w:val="24"/>
        </w:rPr>
      </w:pPr>
      <w:r w:rsidRPr="004F74A0">
        <w:rPr>
          <w:szCs w:val="24"/>
        </w:rPr>
        <w:t>UN-REDD has become an established brand which is recognized by key stakeholders with constant presence during big international meetings, events, conferences, increased accuracy in the information disseminated on REDD by the Media and over 120,000 visits to the UN-REDD public website</w:t>
      </w:r>
      <w:r>
        <w:rPr>
          <w:szCs w:val="24"/>
        </w:rPr>
        <w:t>,</w:t>
      </w:r>
    </w:p>
    <w:p w:rsidR="00A30B76" w:rsidRPr="00FC2166" w:rsidRDefault="00A30B76" w:rsidP="00A30B76">
      <w:pPr>
        <w:widowControl/>
        <w:numPr>
          <w:ilvl w:val="0"/>
          <w:numId w:val="30"/>
        </w:numPr>
        <w:spacing w:before="120"/>
        <w:ind w:left="426" w:hanging="426"/>
        <w:jc w:val="both"/>
        <w:rPr>
          <w:szCs w:val="24"/>
        </w:rPr>
      </w:pPr>
      <w:r w:rsidRPr="004F74A0">
        <w:rPr>
          <w:szCs w:val="24"/>
        </w:rPr>
        <w:t>Better understanding of the areas of consensus and disagreement within a REDD+ global instrument by negotiators and REDD deci</w:t>
      </w:r>
      <w:r>
        <w:rPr>
          <w:szCs w:val="24"/>
        </w:rPr>
        <w:t>sion makers in Africa and Asia,</w:t>
      </w:r>
    </w:p>
    <w:p w:rsidR="00A30B76" w:rsidRPr="00FC2166" w:rsidRDefault="00A30B76" w:rsidP="00A30B76">
      <w:pPr>
        <w:widowControl/>
        <w:numPr>
          <w:ilvl w:val="0"/>
          <w:numId w:val="30"/>
        </w:numPr>
        <w:spacing w:before="120"/>
        <w:ind w:left="426" w:hanging="426"/>
        <w:jc w:val="both"/>
        <w:rPr>
          <w:szCs w:val="24"/>
        </w:rPr>
      </w:pPr>
      <w:r w:rsidRPr="004F74A0">
        <w:rPr>
          <w:szCs w:val="24"/>
        </w:rPr>
        <w:t xml:space="preserve">Negotiators have recourse to reference material for relevant REDD issues and explore further areas of research which can be </w:t>
      </w:r>
      <w:r>
        <w:rPr>
          <w:szCs w:val="24"/>
        </w:rPr>
        <w:t>applied to country programmes,</w:t>
      </w:r>
    </w:p>
    <w:p w:rsidR="00A30B76" w:rsidRPr="00FC2166" w:rsidRDefault="00A30B76" w:rsidP="00A30B76">
      <w:pPr>
        <w:pStyle w:val="ListParagraph"/>
        <w:widowControl/>
        <w:numPr>
          <w:ilvl w:val="0"/>
          <w:numId w:val="31"/>
        </w:numPr>
        <w:spacing w:before="120"/>
        <w:ind w:left="426" w:hanging="426"/>
        <w:contextualSpacing/>
        <w:jc w:val="both"/>
        <w:rPr>
          <w:szCs w:val="24"/>
        </w:rPr>
      </w:pPr>
      <w:r w:rsidRPr="004F74A0">
        <w:rPr>
          <w:szCs w:val="24"/>
        </w:rPr>
        <w:t xml:space="preserve">UN-REDD programme organized Secretary general’s High level Event on REDD on 23 September- significant momentum and media attention gathered. 14 Heads of State, 30 ministers and 100 country delegations signal their strong interest in REDD, with a subset publicly affirming their support to the REDD agenda. Over 300 million </w:t>
      </w:r>
      <w:smartTag w:uri="urn:schemas-microsoft-com:office:smarttags" w:element="stockticker">
        <w:r w:rsidRPr="004F74A0">
          <w:rPr>
            <w:szCs w:val="24"/>
          </w:rPr>
          <w:t>BBC</w:t>
        </w:r>
      </w:smartTag>
      <w:r w:rsidRPr="004F74A0">
        <w:rPr>
          <w:szCs w:val="24"/>
        </w:rPr>
        <w:t xml:space="preserve"> World viewers exposed to REDD as a beneficial concept.</w:t>
      </w:r>
    </w:p>
    <w:p w:rsidR="00A30B76" w:rsidRDefault="00A30B76" w:rsidP="00A30B76">
      <w:pPr>
        <w:pStyle w:val="Body"/>
        <w:jc w:val="both"/>
        <w:rPr>
          <w:rFonts w:ascii="Times New Roman" w:hAnsi="Times New Roman"/>
          <w:sz w:val="24"/>
          <w:szCs w:val="24"/>
        </w:rPr>
      </w:pPr>
    </w:p>
    <w:p w:rsidR="00A30B76" w:rsidRDefault="00A30B76" w:rsidP="00A30B76">
      <w:pPr>
        <w:pStyle w:val="Body"/>
        <w:jc w:val="both"/>
        <w:rPr>
          <w:rFonts w:ascii="Times New Roman" w:hAnsi="Times New Roman"/>
          <w:sz w:val="24"/>
          <w:szCs w:val="24"/>
        </w:rPr>
      </w:pPr>
    </w:p>
    <w:p w:rsidR="00A30B76" w:rsidRDefault="00A30B76" w:rsidP="00A30B76">
      <w:pPr>
        <w:jc w:val="both"/>
        <w:rPr>
          <w:b/>
          <w:szCs w:val="24"/>
        </w:rPr>
      </w:pPr>
      <w:r w:rsidRPr="004F74A0">
        <w:rPr>
          <w:b/>
          <w:szCs w:val="24"/>
        </w:rPr>
        <w:t xml:space="preserve">Output 4.2 National programmes supported (including regional support) </w:t>
      </w:r>
    </w:p>
    <w:p w:rsidR="00A30B76" w:rsidRPr="00F635CB" w:rsidRDefault="00A30B76" w:rsidP="00A30B76">
      <w:pPr>
        <w:pStyle w:val="ListParagraph"/>
        <w:widowControl/>
        <w:numPr>
          <w:ilvl w:val="0"/>
          <w:numId w:val="31"/>
        </w:numPr>
        <w:spacing w:before="120"/>
        <w:contextualSpacing/>
        <w:jc w:val="both"/>
        <w:rPr>
          <w:szCs w:val="24"/>
        </w:rPr>
      </w:pPr>
      <w:r w:rsidRPr="00F635CB">
        <w:rPr>
          <w:szCs w:val="24"/>
        </w:rPr>
        <w:t>UNDP regional Technical Advisors recruited and in place across all 3 regions and providing overall coordination of UN-REDD inputs to national programmes.</w:t>
      </w:r>
    </w:p>
    <w:p w:rsidR="00A30B76" w:rsidRDefault="00A30B76" w:rsidP="00A30B76">
      <w:pPr>
        <w:widowControl/>
        <w:spacing w:before="120"/>
        <w:ind w:left="720"/>
        <w:jc w:val="both"/>
        <w:rPr>
          <w:b/>
          <w:szCs w:val="24"/>
        </w:rPr>
      </w:pPr>
    </w:p>
    <w:p w:rsidR="00A30B76" w:rsidRDefault="00A30B76" w:rsidP="00A30B76">
      <w:pPr>
        <w:pStyle w:val="ListParagraph"/>
        <w:widowControl/>
        <w:numPr>
          <w:ilvl w:val="0"/>
          <w:numId w:val="35"/>
        </w:numPr>
        <w:contextualSpacing/>
        <w:jc w:val="both"/>
        <w:rPr>
          <w:szCs w:val="24"/>
        </w:rPr>
      </w:pPr>
      <w:r w:rsidRPr="007D7944">
        <w:rPr>
          <w:szCs w:val="24"/>
        </w:rPr>
        <w:t>Approval of National Joint Programme for Panama,</w:t>
      </w:r>
    </w:p>
    <w:p w:rsidR="00A30B76" w:rsidRPr="007D7944" w:rsidRDefault="00A30B76" w:rsidP="00A30B76">
      <w:pPr>
        <w:pStyle w:val="ListParagraph"/>
        <w:widowControl/>
        <w:ind w:left="1080"/>
        <w:jc w:val="both"/>
        <w:rPr>
          <w:szCs w:val="24"/>
        </w:rPr>
      </w:pPr>
    </w:p>
    <w:p w:rsidR="00A30B76" w:rsidRDefault="00A30B76" w:rsidP="00A30B76">
      <w:pPr>
        <w:pStyle w:val="ListParagraph"/>
        <w:widowControl/>
        <w:numPr>
          <w:ilvl w:val="0"/>
          <w:numId w:val="35"/>
        </w:numPr>
        <w:contextualSpacing/>
        <w:jc w:val="both"/>
        <w:rPr>
          <w:szCs w:val="24"/>
        </w:rPr>
      </w:pPr>
      <w:r w:rsidRPr="004F74A0">
        <w:rPr>
          <w:szCs w:val="24"/>
        </w:rPr>
        <w:t xml:space="preserve">Formulation of National Joint Programmes and roadmaps supported </w:t>
      </w:r>
      <w:r>
        <w:rPr>
          <w:szCs w:val="24"/>
        </w:rPr>
        <w:t>in Bolivia, Paraguay and Zambia,</w:t>
      </w:r>
    </w:p>
    <w:p w:rsidR="00A30B76" w:rsidRPr="006A23B8" w:rsidRDefault="00A30B76" w:rsidP="00A30B76">
      <w:pPr>
        <w:widowControl/>
        <w:jc w:val="both"/>
        <w:rPr>
          <w:szCs w:val="24"/>
        </w:rPr>
      </w:pPr>
    </w:p>
    <w:p w:rsidR="00A30B76" w:rsidRDefault="00A30B76" w:rsidP="00A30B76">
      <w:pPr>
        <w:pStyle w:val="ListParagraph"/>
        <w:widowControl/>
        <w:numPr>
          <w:ilvl w:val="0"/>
          <w:numId w:val="35"/>
        </w:numPr>
        <w:contextualSpacing/>
        <w:jc w:val="both"/>
        <w:rPr>
          <w:szCs w:val="24"/>
        </w:rPr>
      </w:pPr>
      <w:r w:rsidRPr="004F74A0">
        <w:rPr>
          <w:szCs w:val="24"/>
        </w:rPr>
        <w:t>Suppor</w:t>
      </w:r>
      <w:r w:rsidRPr="004F74A0">
        <w:rPr>
          <w:b/>
          <w:szCs w:val="24"/>
        </w:rPr>
        <w:t>t</w:t>
      </w:r>
      <w:r w:rsidRPr="004F74A0">
        <w:rPr>
          <w:szCs w:val="24"/>
        </w:rPr>
        <w:t xml:space="preserve"> provided to the pilot countries in formulating their national programmes</w:t>
      </w:r>
      <w:r>
        <w:rPr>
          <w:szCs w:val="24"/>
        </w:rPr>
        <w:t>,</w:t>
      </w:r>
    </w:p>
    <w:p w:rsidR="00A30B76" w:rsidRPr="006A23B8" w:rsidRDefault="00A30B76" w:rsidP="00A30B76">
      <w:pPr>
        <w:widowControl/>
        <w:jc w:val="both"/>
        <w:rPr>
          <w:szCs w:val="24"/>
        </w:rPr>
      </w:pPr>
    </w:p>
    <w:p w:rsidR="00A30B76" w:rsidRDefault="00A30B76" w:rsidP="00A30B76">
      <w:pPr>
        <w:widowControl/>
        <w:numPr>
          <w:ilvl w:val="0"/>
          <w:numId w:val="35"/>
        </w:numPr>
        <w:jc w:val="both"/>
        <w:rPr>
          <w:szCs w:val="24"/>
        </w:rPr>
      </w:pPr>
      <w:r w:rsidRPr="004F74A0">
        <w:rPr>
          <w:szCs w:val="24"/>
        </w:rPr>
        <w:t>Communication contacts database developed and populated, outreach maximized</w:t>
      </w:r>
      <w:r>
        <w:rPr>
          <w:szCs w:val="24"/>
        </w:rPr>
        <w:t>,</w:t>
      </w:r>
    </w:p>
    <w:p w:rsidR="00A30B76" w:rsidRPr="00FC2166" w:rsidRDefault="00A30B76" w:rsidP="00A30B76">
      <w:pPr>
        <w:widowControl/>
        <w:jc w:val="both"/>
        <w:rPr>
          <w:szCs w:val="24"/>
        </w:rPr>
      </w:pPr>
    </w:p>
    <w:p w:rsidR="00A30B76" w:rsidRDefault="00A30B76" w:rsidP="00A30B76">
      <w:pPr>
        <w:widowControl/>
        <w:numPr>
          <w:ilvl w:val="0"/>
          <w:numId w:val="35"/>
        </w:numPr>
        <w:jc w:val="both"/>
        <w:rPr>
          <w:szCs w:val="24"/>
        </w:rPr>
      </w:pPr>
      <w:r w:rsidRPr="004F74A0">
        <w:rPr>
          <w:szCs w:val="24"/>
        </w:rPr>
        <w:t>Online activity-tracking tool developed and launched</w:t>
      </w:r>
      <w:r>
        <w:rPr>
          <w:szCs w:val="24"/>
        </w:rPr>
        <w:t>,</w:t>
      </w:r>
    </w:p>
    <w:p w:rsidR="00A30B76" w:rsidRPr="00FC2166" w:rsidRDefault="00A30B76" w:rsidP="00A30B76">
      <w:pPr>
        <w:widowControl/>
        <w:jc w:val="both"/>
        <w:rPr>
          <w:szCs w:val="24"/>
        </w:rPr>
      </w:pPr>
    </w:p>
    <w:p w:rsidR="00A30B76" w:rsidRPr="00FC2166" w:rsidRDefault="00A30B76" w:rsidP="00A30B76">
      <w:pPr>
        <w:widowControl/>
        <w:numPr>
          <w:ilvl w:val="0"/>
          <w:numId w:val="35"/>
        </w:numPr>
        <w:jc w:val="both"/>
        <w:rPr>
          <w:szCs w:val="24"/>
        </w:rPr>
      </w:pPr>
      <w:r w:rsidRPr="004F74A0">
        <w:rPr>
          <w:szCs w:val="24"/>
        </w:rPr>
        <w:t>Report on engagement of civil society in the DRC circulated with buy-in of DRC stakeholders.</w:t>
      </w:r>
    </w:p>
    <w:p w:rsidR="00A30B76" w:rsidRDefault="00A30B76" w:rsidP="00A30B76">
      <w:pPr>
        <w:jc w:val="both"/>
        <w:rPr>
          <w:szCs w:val="24"/>
        </w:rPr>
      </w:pPr>
    </w:p>
    <w:p w:rsidR="00A30B76" w:rsidRDefault="00A30B76" w:rsidP="00A30B76">
      <w:pPr>
        <w:pStyle w:val="Body"/>
        <w:jc w:val="both"/>
        <w:rPr>
          <w:rFonts w:ascii="Times New Roman" w:hAnsi="Times New Roman"/>
          <w:sz w:val="24"/>
          <w:szCs w:val="24"/>
        </w:rPr>
      </w:pPr>
    </w:p>
    <w:p w:rsidR="00A30B76" w:rsidRPr="00FC2166" w:rsidRDefault="00A30B76" w:rsidP="00A30B76">
      <w:pPr>
        <w:widowControl/>
        <w:jc w:val="both"/>
        <w:rPr>
          <w:szCs w:val="24"/>
        </w:rPr>
      </w:pPr>
      <w:r w:rsidRPr="004F74A0">
        <w:rPr>
          <w:b/>
          <w:szCs w:val="24"/>
        </w:rPr>
        <w:t>Output 4.3 UN-REDD knowledge managed and shared</w:t>
      </w:r>
    </w:p>
    <w:p w:rsidR="00A30B76" w:rsidRDefault="00A30B76" w:rsidP="00A30B76">
      <w:pPr>
        <w:jc w:val="both"/>
        <w:rPr>
          <w:szCs w:val="24"/>
        </w:rPr>
      </w:pPr>
    </w:p>
    <w:p w:rsidR="00A30B76" w:rsidRDefault="00A30B76" w:rsidP="00A30B76">
      <w:pPr>
        <w:jc w:val="both"/>
        <w:rPr>
          <w:b/>
          <w:szCs w:val="24"/>
        </w:rPr>
      </w:pPr>
      <w:r w:rsidRPr="004F74A0">
        <w:rPr>
          <w:szCs w:val="24"/>
        </w:rPr>
        <w:t xml:space="preserve">The UN-REDD Programme executed a dynamic communications strategy in 2009 that was successful in raising the profile and awareness of the Programme. Part of that strategy involved creating a strong visual identity for the Programme, including a new logo, branded brochures, leaflets, posters, banners, and DVDs which were disseminated at events and during in-country missions. </w:t>
      </w:r>
    </w:p>
    <w:p w:rsidR="00A30B76" w:rsidRDefault="00A30B76" w:rsidP="00A30B76">
      <w:pPr>
        <w:pStyle w:val="Body"/>
        <w:jc w:val="both"/>
        <w:rPr>
          <w:rFonts w:ascii="Times New Roman" w:hAnsi="Times New Roman"/>
          <w:color w:val="auto"/>
          <w:sz w:val="24"/>
          <w:szCs w:val="24"/>
        </w:rPr>
      </w:pPr>
    </w:p>
    <w:p w:rsidR="00A30B76" w:rsidRPr="008D21FC" w:rsidRDefault="00A30B76" w:rsidP="00A30B76">
      <w:pPr>
        <w:pStyle w:val="Body"/>
        <w:numPr>
          <w:ilvl w:val="0"/>
          <w:numId w:val="46"/>
        </w:numPr>
        <w:ind w:left="1134" w:hanging="425"/>
        <w:jc w:val="both"/>
        <w:rPr>
          <w:rFonts w:ascii="Times New Roman" w:hAnsi="Times New Roman"/>
          <w:b/>
          <w:color w:val="auto"/>
          <w:sz w:val="24"/>
          <w:szCs w:val="24"/>
        </w:rPr>
      </w:pPr>
      <w:r w:rsidRPr="008D21FC">
        <w:rPr>
          <w:rFonts w:ascii="Times New Roman" w:hAnsi="Times New Roman"/>
          <w:b/>
          <w:color w:val="auto"/>
          <w:sz w:val="24"/>
          <w:szCs w:val="24"/>
        </w:rPr>
        <w:t>Workspace (unredd.net)</w:t>
      </w:r>
    </w:p>
    <w:p w:rsidR="00A30B76" w:rsidRDefault="00A30B76" w:rsidP="00A30B76">
      <w:pPr>
        <w:pStyle w:val="Body"/>
        <w:ind w:left="1134"/>
        <w:jc w:val="both"/>
        <w:rPr>
          <w:rFonts w:ascii="Times New Roman" w:hAnsi="Times New Roman"/>
          <w:b/>
          <w:color w:val="auto"/>
          <w:sz w:val="24"/>
          <w:szCs w:val="24"/>
        </w:rPr>
      </w:pPr>
      <w:r w:rsidRPr="004F74A0">
        <w:rPr>
          <w:rFonts w:ascii="Times New Roman" w:hAnsi="Times New Roman"/>
          <w:sz w:val="24"/>
          <w:szCs w:val="24"/>
        </w:rPr>
        <w:t>The UN-REDD Programme Workspace has become an important REDD readiness knowledge sharing platform. Over 300 users, including 70 partners, 200 UN personnel</w:t>
      </w:r>
      <w:r>
        <w:rPr>
          <w:rFonts w:ascii="Times New Roman" w:hAnsi="Times New Roman"/>
          <w:sz w:val="24"/>
          <w:szCs w:val="24"/>
        </w:rPr>
        <w:t xml:space="preserve"> and 80 national counterparts, </w:t>
      </w:r>
      <w:r w:rsidRPr="004F74A0">
        <w:rPr>
          <w:rFonts w:ascii="Times New Roman" w:hAnsi="Times New Roman"/>
          <w:sz w:val="24"/>
          <w:szCs w:val="24"/>
        </w:rPr>
        <w:t xml:space="preserve">now use the space to access comprehensive information and updates on activities of the global and national programmes. </w:t>
      </w:r>
    </w:p>
    <w:p w:rsidR="00A30B76" w:rsidRDefault="00A30B76" w:rsidP="00A30B76">
      <w:pPr>
        <w:pStyle w:val="Body"/>
        <w:jc w:val="both"/>
        <w:rPr>
          <w:rFonts w:ascii="Times New Roman" w:hAnsi="Times New Roman"/>
          <w:b/>
          <w:color w:val="auto"/>
          <w:sz w:val="24"/>
          <w:szCs w:val="24"/>
        </w:rPr>
      </w:pPr>
    </w:p>
    <w:p w:rsidR="00A30B76" w:rsidRPr="008D21FC" w:rsidRDefault="00A30B76" w:rsidP="00A30B76">
      <w:pPr>
        <w:pStyle w:val="Body"/>
        <w:numPr>
          <w:ilvl w:val="0"/>
          <w:numId w:val="46"/>
        </w:numPr>
        <w:ind w:left="1134" w:hanging="425"/>
        <w:jc w:val="both"/>
        <w:rPr>
          <w:rFonts w:ascii="Times New Roman" w:hAnsi="Times New Roman"/>
          <w:b/>
          <w:color w:val="auto"/>
          <w:sz w:val="24"/>
          <w:szCs w:val="24"/>
        </w:rPr>
      </w:pPr>
      <w:r w:rsidRPr="008D21FC">
        <w:rPr>
          <w:rFonts w:ascii="Times New Roman" w:hAnsi="Times New Roman"/>
          <w:b/>
          <w:color w:val="auto"/>
          <w:sz w:val="24"/>
          <w:szCs w:val="24"/>
        </w:rPr>
        <w:t>UN-REDD.org</w:t>
      </w:r>
    </w:p>
    <w:p w:rsidR="00A30B76" w:rsidRDefault="00A30B76" w:rsidP="00A30B76">
      <w:pPr>
        <w:autoSpaceDE w:val="0"/>
        <w:autoSpaceDN w:val="0"/>
        <w:adjustRightInd w:val="0"/>
        <w:ind w:left="1134"/>
        <w:jc w:val="both"/>
        <w:rPr>
          <w:szCs w:val="24"/>
        </w:rPr>
      </w:pPr>
      <w:r w:rsidRPr="00FC2166">
        <w:rPr>
          <w:szCs w:val="24"/>
        </w:rPr>
        <w:t xml:space="preserve">The Programme’s most important communications tool is its public website- </w:t>
      </w:r>
      <w:hyperlink r:id="rId14" w:history="1">
        <w:r w:rsidRPr="00FC2166">
          <w:rPr>
            <w:rStyle w:val="Hyperlink"/>
          </w:rPr>
          <w:t>www.un-redd.org</w:t>
        </w:r>
      </w:hyperlink>
      <w:r w:rsidRPr="00FC2166">
        <w:rPr>
          <w:szCs w:val="24"/>
        </w:rPr>
        <w:t xml:space="preserve">- and during 2009, the site was significantly enhanced and re-launched. It now features more dynamic and up-to-date news and information about the Programme’s national and global activities, as well as broader REDD+ issues.  Since the re-launch, website activity increased exponentially, from 28,000 hits in the month of May to more than 820,000 in December.  </w:t>
      </w:r>
    </w:p>
    <w:p w:rsidR="00A30B76" w:rsidRDefault="00A30B76" w:rsidP="00A30B76">
      <w:pPr>
        <w:autoSpaceDE w:val="0"/>
        <w:autoSpaceDN w:val="0"/>
        <w:adjustRightInd w:val="0"/>
        <w:jc w:val="both"/>
        <w:rPr>
          <w:b/>
          <w:bCs/>
          <w:color w:val="000000"/>
          <w:szCs w:val="24"/>
          <w:lang w:eastAsia="en-GB"/>
        </w:rPr>
      </w:pPr>
    </w:p>
    <w:p w:rsidR="00A30B76" w:rsidRPr="008D21FC" w:rsidRDefault="00A30B76" w:rsidP="00A30B76">
      <w:pPr>
        <w:pStyle w:val="ListParagraph"/>
        <w:numPr>
          <w:ilvl w:val="0"/>
          <w:numId w:val="46"/>
        </w:numPr>
        <w:autoSpaceDE w:val="0"/>
        <w:autoSpaceDN w:val="0"/>
        <w:adjustRightInd w:val="0"/>
        <w:ind w:left="1134" w:hanging="425"/>
        <w:contextualSpacing/>
        <w:jc w:val="both"/>
        <w:rPr>
          <w:b/>
          <w:bCs/>
          <w:color w:val="000000"/>
          <w:szCs w:val="24"/>
          <w:lang w:eastAsia="en-GB"/>
        </w:rPr>
      </w:pPr>
      <w:r w:rsidRPr="008D21FC">
        <w:rPr>
          <w:b/>
          <w:bCs/>
          <w:color w:val="000000"/>
          <w:szCs w:val="24"/>
          <w:lang w:eastAsia="en-GB"/>
        </w:rPr>
        <w:t>E-Newsletter</w:t>
      </w:r>
    </w:p>
    <w:p w:rsidR="00A30B76" w:rsidRDefault="00A30B76" w:rsidP="00A30B76">
      <w:pPr>
        <w:autoSpaceDE w:val="0"/>
        <w:autoSpaceDN w:val="0"/>
        <w:adjustRightInd w:val="0"/>
        <w:spacing w:after="120"/>
        <w:ind w:left="1134"/>
        <w:jc w:val="both"/>
        <w:rPr>
          <w:szCs w:val="24"/>
        </w:rPr>
      </w:pPr>
      <w:r w:rsidRPr="00FC2166">
        <w:rPr>
          <w:szCs w:val="24"/>
        </w:rPr>
        <w:t>Another key communications tool developed for the Programme in 2009 was the UN-REDD e-Newsletter. Since the inaugural issue in August, the monthly newsletter has grown to feature news articles, country updates, guest columnists and analysis reports, all with an aim to inform and update the Programme’s key target audiences. Current distribution of the newsletter reaches an estimated 13,000 policy makers, in-country and international technical staff, NGOs, CSOs and staff in international organizations.</w:t>
      </w:r>
    </w:p>
    <w:p w:rsidR="00A30B76" w:rsidRDefault="00A30B76" w:rsidP="00A30B76">
      <w:pPr>
        <w:pStyle w:val="ListParagraph"/>
        <w:autoSpaceDE w:val="0"/>
        <w:autoSpaceDN w:val="0"/>
        <w:adjustRightInd w:val="0"/>
        <w:ind w:left="1134"/>
        <w:jc w:val="both"/>
        <w:rPr>
          <w:b/>
          <w:szCs w:val="24"/>
        </w:rPr>
      </w:pPr>
    </w:p>
    <w:p w:rsidR="00A30B76" w:rsidRPr="008D21FC" w:rsidRDefault="00A30B76" w:rsidP="00A30B76">
      <w:pPr>
        <w:pStyle w:val="ListParagraph"/>
        <w:numPr>
          <w:ilvl w:val="0"/>
          <w:numId w:val="46"/>
        </w:numPr>
        <w:autoSpaceDE w:val="0"/>
        <w:autoSpaceDN w:val="0"/>
        <w:adjustRightInd w:val="0"/>
        <w:ind w:left="1134" w:hanging="425"/>
        <w:contextualSpacing/>
        <w:jc w:val="both"/>
        <w:rPr>
          <w:b/>
          <w:szCs w:val="24"/>
        </w:rPr>
      </w:pPr>
      <w:r w:rsidRPr="008D21FC">
        <w:rPr>
          <w:b/>
          <w:szCs w:val="24"/>
        </w:rPr>
        <w:t>Multimedia Campaign</w:t>
      </w:r>
    </w:p>
    <w:p w:rsidR="00A30B76" w:rsidRDefault="00A30B76" w:rsidP="00A30B76">
      <w:pPr>
        <w:autoSpaceDE w:val="0"/>
        <w:autoSpaceDN w:val="0"/>
        <w:adjustRightInd w:val="0"/>
        <w:ind w:left="1134"/>
        <w:jc w:val="both"/>
        <w:rPr>
          <w:szCs w:val="24"/>
        </w:rPr>
      </w:pPr>
      <w:r w:rsidRPr="00FC2166">
        <w:rPr>
          <w:szCs w:val="24"/>
        </w:rPr>
        <w:t xml:space="preserve">The Programme also executed a tremendously successful multimedia campaign throughout 2009. Several short  videos on REDD were produced and screened at high-profile events, including the Secretary General High level Event on REDD with more than 85 governments, including 14 heads of state and senior ministers in attendance. </w:t>
      </w:r>
    </w:p>
    <w:p w:rsidR="00A30B76" w:rsidRDefault="00A30B76" w:rsidP="00A30B76">
      <w:pPr>
        <w:autoSpaceDE w:val="0"/>
        <w:autoSpaceDN w:val="0"/>
        <w:adjustRightInd w:val="0"/>
        <w:ind w:left="1134" w:hanging="425"/>
        <w:jc w:val="both"/>
        <w:rPr>
          <w:szCs w:val="24"/>
        </w:rPr>
      </w:pPr>
    </w:p>
    <w:p w:rsidR="00A30B76" w:rsidRDefault="00A30B76" w:rsidP="00A30B76">
      <w:pPr>
        <w:pStyle w:val="ListParagraph"/>
        <w:numPr>
          <w:ilvl w:val="0"/>
          <w:numId w:val="46"/>
        </w:numPr>
        <w:ind w:left="1134" w:hanging="425"/>
        <w:contextualSpacing/>
        <w:jc w:val="both"/>
        <w:rPr>
          <w:szCs w:val="24"/>
        </w:rPr>
      </w:pPr>
      <w:r w:rsidRPr="00FC2166">
        <w:rPr>
          <w:szCs w:val="24"/>
        </w:rPr>
        <w:t xml:space="preserve">The Programme also sponsored two </w:t>
      </w:r>
      <w:r w:rsidRPr="008D21FC">
        <w:rPr>
          <w:b/>
          <w:szCs w:val="24"/>
        </w:rPr>
        <w:t>Earth Report documentaries</w:t>
      </w:r>
      <w:r w:rsidRPr="00FC2166">
        <w:rPr>
          <w:szCs w:val="24"/>
        </w:rPr>
        <w:t xml:space="preserve"> on REDD that were researched and filmed in remote locations, and broadcast on BBC World News, reaching 302 million homes in 170 countries in the run up to COP-15. </w:t>
      </w:r>
    </w:p>
    <w:p w:rsidR="00A30B76" w:rsidRDefault="00A30B76" w:rsidP="00A30B76">
      <w:pPr>
        <w:autoSpaceDE w:val="0"/>
        <w:autoSpaceDN w:val="0"/>
        <w:adjustRightInd w:val="0"/>
        <w:jc w:val="both"/>
        <w:rPr>
          <w:b/>
          <w:szCs w:val="24"/>
        </w:rPr>
      </w:pPr>
    </w:p>
    <w:p w:rsidR="00A30B76" w:rsidRDefault="00A30B76" w:rsidP="00A30B76">
      <w:pPr>
        <w:pStyle w:val="ListParagraph"/>
        <w:numPr>
          <w:ilvl w:val="0"/>
          <w:numId w:val="46"/>
        </w:numPr>
        <w:autoSpaceDE w:val="0"/>
        <w:autoSpaceDN w:val="0"/>
        <w:adjustRightInd w:val="0"/>
        <w:ind w:left="1134" w:hanging="425"/>
        <w:contextualSpacing/>
        <w:jc w:val="both"/>
        <w:rPr>
          <w:b/>
          <w:szCs w:val="24"/>
        </w:rPr>
      </w:pPr>
      <w:r w:rsidRPr="00FC2166">
        <w:rPr>
          <w:b/>
          <w:szCs w:val="24"/>
        </w:rPr>
        <w:t>Media and Education Outreach</w:t>
      </w:r>
    </w:p>
    <w:p w:rsidR="00A30B76" w:rsidRDefault="00A30B76" w:rsidP="00A30B76">
      <w:pPr>
        <w:autoSpaceDE w:val="0"/>
        <w:autoSpaceDN w:val="0"/>
        <w:adjustRightInd w:val="0"/>
        <w:ind w:left="1134"/>
        <w:jc w:val="both"/>
        <w:rPr>
          <w:szCs w:val="24"/>
        </w:rPr>
      </w:pPr>
      <w:r w:rsidRPr="00FC2166">
        <w:rPr>
          <w:szCs w:val="24"/>
        </w:rPr>
        <w:t xml:space="preserve">The Programme also worked with CIFOR, EU and Panos London to develop a multimedia “Reporting on REDD” training kit, including a media guide a Video News Release (produced by the UN-REDD Programme), a short Film on REDD and a publication on the status of negotiations. </w:t>
      </w:r>
    </w:p>
    <w:p w:rsidR="00A30B76" w:rsidRDefault="00A30B76" w:rsidP="00A30B76">
      <w:pPr>
        <w:pStyle w:val="Body"/>
        <w:jc w:val="both"/>
        <w:rPr>
          <w:rFonts w:ascii="Times New Roman" w:hAnsi="Times New Roman"/>
          <w:color w:val="auto"/>
          <w:sz w:val="24"/>
          <w:szCs w:val="24"/>
        </w:rPr>
      </w:pPr>
    </w:p>
    <w:p w:rsidR="00A30B76" w:rsidRDefault="00412819" w:rsidP="00A30B76">
      <w:pPr>
        <w:pStyle w:val="Body"/>
        <w:numPr>
          <w:ilvl w:val="0"/>
          <w:numId w:val="47"/>
        </w:numPr>
        <w:ind w:left="1134" w:hanging="425"/>
        <w:jc w:val="both"/>
        <w:rPr>
          <w:rFonts w:ascii="Times New Roman" w:hAnsi="Times New Roman"/>
          <w:color w:val="auto"/>
          <w:sz w:val="24"/>
          <w:szCs w:val="24"/>
        </w:rPr>
      </w:pPr>
      <w:hyperlink r:id="rId15" w:history="1">
        <w:r w:rsidR="00A30B76">
          <w:rPr>
            <w:rFonts w:ascii="Times New Roman" w:hAnsi="Times New Roman"/>
            <w:bCs/>
            <w:color w:val="auto"/>
            <w:sz w:val="24"/>
            <w:szCs w:val="24"/>
          </w:rPr>
          <w:t>Save The Rainforest Inc.</w:t>
        </w:r>
      </w:hyperlink>
      <w:r w:rsidR="00A30B76" w:rsidRPr="00FC2166">
        <w:rPr>
          <w:rFonts w:ascii="Times New Roman" w:hAnsi="Times New Roman"/>
          <w:color w:val="auto"/>
          <w:sz w:val="24"/>
          <w:szCs w:val="24"/>
        </w:rPr>
        <w:t xml:space="preserve">, a non-profit organization in the US that involves </w:t>
      </w:r>
      <w:r w:rsidR="00A30B76" w:rsidRPr="008D21FC">
        <w:rPr>
          <w:rFonts w:ascii="Times New Roman" w:hAnsi="Times New Roman"/>
          <w:b/>
          <w:color w:val="auto"/>
          <w:sz w:val="24"/>
          <w:szCs w:val="24"/>
        </w:rPr>
        <w:t>youth in campaigns</w:t>
      </w:r>
      <w:r w:rsidR="00A30B76" w:rsidRPr="00FC2166">
        <w:rPr>
          <w:rFonts w:ascii="Times New Roman" w:hAnsi="Times New Roman"/>
          <w:color w:val="auto"/>
          <w:sz w:val="24"/>
          <w:szCs w:val="24"/>
        </w:rPr>
        <w:t xml:space="preserve"> to save rainforests, developed a curriculum on REDD using the brief and the videos included in the “Reporting REDD” multimedia pack as a primer for North American students to understand the fundamentals of REDD. </w:t>
      </w:r>
    </w:p>
    <w:p w:rsidR="00A30B76" w:rsidRDefault="00A30B76" w:rsidP="00A30B76">
      <w:pPr>
        <w:pStyle w:val="Body"/>
        <w:jc w:val="both"/>
        <w:rPr>
          <w:rFonts w:ascii="Times New Roman" w:hAnsi="Times New Roman"/>
          <w:color w:val="auto"/>
          <w:sz w:val="24"/>
          <w:szCs w:val="24"/>
        </w:rPr>
      </w:pPr>
    </w:p>
    <w:p w:rsidR="00A30B76" w:rsidRDefault="00A30B76" w:rsidP="00A30B76">
      <w:pPr>
        <w:jc w:val="both"/>
        <w:rPr>
          <w:szCs w:val="24"/>
        </w:rPr>
      </w:pPr>
    </w:p>
    <w:p w:rsidR="00A30B76" w:rsidRDefault="00A30B76" w:rsidP="00A30B76">
      <w:pPr>
        <w:jc w:val="both"/>
        <w:rPr>
          <w:b/>
          <w:szCs w:val="24"/>
        </w:rPr>
      </w:pPr>
      <w:r w:rsidRPr="00FC2166">
        <w:rPr>
          <w:b/>
          <w:szCs w:val="24"/>
        </w:rPr>
        <w:t>Output 4.4</w:t>
      </w:r>
      <w:r>
        <w:rPr>
          <w:b/>
          <w:szCs w:val="24"/>
        </w:rPr>
        <w:t>.</w:t>
      </w:r>
      <w:r w:rsidRPr="00FC2166">
        <w:rPr>
          <w:b/>
          <w:szCs w:val="24"/>
        </w:rPr>
        <w:t xml:space="preserve"> UN-REDD Programme Secretariat established and functioning </w:t>
      </w:r>
    </w:p>
    <w:p w:rsidR="00A30B76" w:rsidRDefault="00A30B76" w:rsidP="00A30B76">
      <w:pPr>
        <w:pStyle w:val="BodyText2"/>
        <w:ind w:left="360"/>
        <w:jc w:val="both"/>
        <w:rPr>
          <w:rFonts w:ascii="Times New Roman" w:hAnsi="Times New Roman"/>
          <w:b/>
          <w:sz w:val="24"/>
          <w:szCs w:val="24"/>
        </w:rPr>
      </w:pPr>
    </w:p>
    <w:p w:rsidR="00A30B76" w:rsidRDefault="00A30B76" w:rsidP="00A30B76">
      <w:pPr>
        <w:pStyle w:val="Body"/>
        <w:jc w:val="both"/>
        <w:rPr>
          <w:rFonts w:ascii="Times New Roman" w:hAnsi="Times New Roman"/>
          <w:sz w:val="24"/>
          <w:szCs w:val="24"/>
        </w:rPr>
      </w:pPr>
      <w:r w:rsidRPr="00FC2166">
        <w:rPr>
          <w:rFonts w:ascii="Times New Roman" w:hAnsi="Times New Roman"/>
          <w:sz w:val="24"/>
          <w:szCs w:val="24"/>
        </w:rPr>
        <w:t>UN-REDD Programme Secretariat was established in Geneva in mid 2010. At the time of writing this</w:t>
      </w:r>
      <w:r>
        <w:rPr>
          <w:rFonts w:ascii="Times New Roman" w:hAnsi="Times New Roman"/>
          <w:sz w:val="24"/>
          <w:szCs w:val="24"/>
        </w:rPr>
        <w:t xml:space="preserve"> report most posts have been filled. The majority of the staff joined the Secretariat in end 2009. </w:t>
      </w:r>
    </w:p>
    <w:p w:rsidR="00A30B76" w:rsidRDefault="00A30B76" w:rsidP="00A30B76">
      <w:pPr>
        <w:pStyle w:val="Body"/>
        <w:jc w:val="both"/>
        <w:rPr>
          <w:rFonts w:ascii="Times New Roman" w:hAnsi="Times New Roman"/>
          <w:b/>
          <w:sz w:val="24"/>
          <w:szCs w:val="24"/>
        </w:rPr>
      </w:pPr>
    </w:p>
    <w:p w:rsidR="00A30B76" w:rsidRDefault="00A30B76" w:rsidP="00A30B76">
      <w:pPr>
        <w:pStyle w:val="Body"/>
        <w:jc w:val="both"/>
        <w:rPr>
          <w:rFonts w:ascii="Times New Roman" w:hAnsi="Times New Roman"/>
          <w:sz w:val="24"/>
          <w:szCs w:val="24"/>
        </w:rPr>
      </w:pPr>
      <w:r w:rsidRPr="00FC2166">
        <w:rPr>
          <w:rFonts w:ascii="Times New Roman" w:hAnsi="Times New Roman"/>
          <w:sz w:val="24"/>
          <w:szCs w:val="24"/>
        </w:rPr>
        <w:t xml:space="preserve">The </w:t>
      </w:r>
      <w:r w:rsidRPr="00FC2166">
        <w:rPr>
          <w:rStyle w:val="Strong"/>
          <w:rFonts w:ascii="Times New Roman" w:hAnsi="Times New Roman"/>
          <w:szCs w:val="24"/>
        </w:rPr>
        <w:t xml:space="preserve">Secretariat has organized and </w:t>
      </w:r>
      <w:r w:rsidRPr="00FC2166">
        <w:rPr>
          <w:rFonts w:ascii="Times New Roman" w:hAnsi="Times New Roman"/>
          <w:sz w:val="24"/>
          <w:szCs w:val="24"/>
        </w:rPr>
        <w:t xml:space="preserve">served 3 Policy Board meetings.  It has worked in collaboration with the agencies to ensure policies and strategies decided by the Policy Board are implemented and adhered to. It is developing a proper monitoring system to follow up the Global Programme activities and continues to ensure support and exchange of experience related to country programmes. </w:t>
      </w:r>
    </w:p>
    <w:p w:rsidR="00A30B76" w:rsidRDefault="00A30B76" w:rsidP="00A30B76">
      <w:pPr>
        <w:pStyle w:val="Body"/>
        <w:jc w:val="both"/>
        <w:rPr>
          <w:rFonts w:ascii="Times New Roman" w:hAnsi="Times New Roman"/>
          <w:sz w:val="24"/>
          <w:szCs w:val="24"/>
        </w:rPr>
      </w:pPr>
    </w:p>
    <w:p w:rsidR="00A30B76" w:rsidRDefault="00A30B76" w:rsidP="00A30B76">
      <w:pPr>
        <w:pStyle w:val="Body"/>
        <w:jc w:val="both"/>
        <w:rPr>
          <w:rFonts w:ascii="Times New Roman" w:hAnsi="Times New Roman"/>
          <w:sz w:val="24"/>
          <w:szCs w:val="24"/>
        </w:rPr>
      </w:pPr>
      <w:r>
        <w:rPr>
          <w:rFonts w:ascii="Times New Roman" w:hAnsi="Times New Roman"/>
          <w:sz w:val="24"/>
          <w:szCs w:val="24"/>
        </w:rPr>
        <w:t>One of the major tasks of the secretariat is to liaise with other partners. Collaboration has been increased significantly with the World Bank, both the FCPF Management Team and the FIP initiative. UNFCCC Secretariat is another major partner for the secretariat as have also been GEF and UNFF secretariats.</w:t>
      </w:r>
    </w:p>
    <w:p w:rsidR="00A30B76" w:rsidRDefault="00A30B76" w:rsidP="00A30B76">
      <w:pPr>
        <w:pStyle w:val="Body"/>
        <w:tabs>
          <w:tab w:val="left" w:pos="2404"/>
        </w:tabs>
        <w:jc w:val="both"/>
        <w:rPr>
          <w:rFonts w:ascii="Times New Roman" w:hAnsi="Times New Roman"/>
          <w:sz w:val="24"/>
          <w:szCs w:val="24"/>
        </w:rPr>
      </w:pPr>
      <w:r>
        <w:rPr>
          <w:rFonts w:ascii="Times New Roman" w:hAnsi="Times New Roman"/>
          <w:sz w:val="24"/>
          <w:szCs w:val="24"/>
        </w:rPr>
        <w:tab/>
      </w:r>
    </w:p>
    <w:p w:rsidR="00A30B76" w:rsidRDefault="00A30B76" w:rsidP="00A30B76">
      <w:pPr>
        <w:pStyle w:val="Body"/>
        <w:jc w:val="both"/>
        <w:rPr>
          <w:rFonts w:ascii="Times New Roman" w:hAnsi="Times New Roman"/>
          <w:sz w:val="24"/>
          <w:szCs w:val="24"/>
        </w:rPr>
      </w:pPr>
      <w:r>
        <w:rPr>
          <w:rFonts w:ascii="Times New Roman" w:hAnsi="Times New Roman"/>
          <w:sz w:val="24"/>
          <w:szCs w:val="24"/>
        </w:rPr>
        <w:t xml:space="preserve">The secretariat, together with agencies, also deals with donors and potential new donors in raising fund for the programme.  Two new countries joined as donors in 2009, Denmark and Spain. </w:t>
      </w:r>
    </w:p>
    <w:p w:rsidR="00A30B76" w:rsidRDefault="00A30B76" w:rsidP="00A30B76">
      <w:pPr>
        <w:pStyle w:val="Body"/>
        <w:jc w:val="both"/>
        <w:rPr>
          <w:rFonts w:ascii="Times New Roman" w:hAnsi="Times New Roman"/>
          <w:sz w:val="24"/>
          <w:szCs w:val="24"/>
        </w:rPr>
      </w:pPr>
    </w:p>
    <w:p w:rsidR="00A30B76" w:rsidRDefault="00A30B76" w:rsidP="00A30B76">
      <w:pPr>
        <w:pStyle w:val="Body"/>
        <w:jc w:val="both"/>
        <w:rPr>
          <w:rFonts w:ascii="Times New Roman" w:hAnsi="Times New Roman"/>
          <w:sz w:val="24"/>
          <w:szCs w:val="24"/>
        </w:rPr>
      </w:pPr>
      <w:r>
        <w:rPr>
          <w:rFonts w:ascii="Times New Roman" w:hAnsi="Times New Roman"/>
          <w:sz w:val="24"/>
          <w:szCs w:val="24"/>
        </w:rPr>
        <w:t xml:space="preserve">In 2009, the secretariat, together with the agencies, organized a number of side events in the UNFCCC climate talks and negotiations and the World Forestry Congress.  </w:t>
      </w:r>
    </w:p>
    <w:p w:rsidR="00A30B76" w:rsidRDefault="00A30B76" w:rsidP="00A30B76">
      <w:pPr>
        <w:pStyle w:val="BodyText2"/>
        <w:jc w:val="both"/>
        <w:rPr>
          <w:rFonts w:ascii="Times New Roman" w:hAnsi="Times New Roman"/>
          <w:sz w:val="24"/>
          <w:szCs w:val="24"/>
        </w:rPr>
      </w:pPr>
    </w:p>
    <w:p w:rsidR="00A30B76" w:rsidRDefault="00A30B76" w:rsidP="00A30B76">
      <w:pPr>
        <w:pStyle w:val="BodyText2"/>
        <w:jc w:val="both"/>
        <w:rPr>
          <w:rFonts w:ascii="Times New Roman" w:hAnsi="Times New Roman"/>
          <w:sz w:val="24"/>
          <w:szCs w:val="24"/>
        </w:rPr>
      </w:pPr>
    </w:p>
    <w:p w:rsidR="00A30B76" w:rsidRDefault="00A30B76" w:rsidP="00A30B76">
      <w:pPr>
        <w:pStyle w:val="BodyText2"/>
        <w:jc w:val="both"/>
        <w:rPr>
          <w:rFonts w:ascii="Times New Roman" w:hAnsi="Times New Roman"/>
          <w:sz w:val="24"/>
          <w:szCs w:val="24"/>
        </w:rPr>
      </w:pPr>
    </w:p>
    <w:p w:rsidR="00A30B76" w:rsidRPr="0017568C" w:rsidRDefault="00A30B76" w:rsidP="00A30B76">
      <w:pPr>
        <w:pStyle w:val="ListParagraph"/>
        <w:widowControl/>
        <w:numPr>
          <w:ilvl w:val="0"/>
          <w:numId w:val="42"/>
        </w:numPr>
        <w:contextualSpacing/>
        <w:jc w:val="both"/>
        <w:rPr>
          <w:rFonts w:eastAsia="ヒラギノ角ゴ Pro W3"/>
          <w:color w:val="000000"/>
          <w:szCs w:val="24"/>
        </w:rPr>
      </w:pPr>
      <w:r w:rsidRPr="0017568C">
        <w:rPr>
          <w:rFonts w:eastAsia="ヒラギノ角ゴ Pro W3"/>
          <w:color w:val="000000"/>
          <w:szCs w:val="24"/>
        </w:rPr>
        <w:t xml:space="preserve">Major challenges </w:t>
      </w:r>
    </w:p>
    <w:p w:rsidR="00A30B76" w:rsidRDefault="00A30B76" w:rsidP="00A30B76">
      <w:pPr>
        <w:pStyle w:val="ListParagraph"/>
        <w:widowControl/>
        <w:ind w:left="0"/>
        <w:contextualSpacing/>
        <w:jc w:val="both"/>
        <w:rPr>
          <w:b/>
          <w:szCs w:val="24"/>
        </w:rPr>
      </w:pPr>
    </w:p>
    <w:p w:rsidR="00A30B76" w:rsidRDefault="00A30B76" w:rsidP="00A30B76">
      <w:pPr>
        <w:pStyle w:val="BodyText2"/>
        <w:ind w:left="426"/>
        <w:jc w:val="both"/>
        <w:rPr>
          <w:rFonts w:ascii="Times New Roman" w:hAnsi="Times New Roman"/>
          <w:sz w:val="24"/>
          <w:szCs w:val="24"/>
        </w:rPr>
      </w:pPr>
    </w:p>
    <w:p w:rsidR="00A30B76" w:rsidRDefault="00A30B76" w:rsidP="00A30B76">
      <w:pPr>
        <w:pStyle w:val="BodyText2"/>
        <w:numPr>
          <w:ilvl w:val="0"/>
          <w:numId w:val="34"/>
        </w:numPr>
        <w:ind w:left="426" w:hanging="426"/>
        <w:jc w:val="both"/>
        <w:rPr>
          <w:rFonts w:ascii="Times New Roman" w:hAnsi="Times New Roman"/>
          <w:sz w:val="24"/>
          <w:szCs w:val="24"/>
        </w:rPr>
      </w:pPr>
      <w:r>
        <w:rPr>
          <w:rFonts w:ascii="Times New Roman" w:hAnsi="Times New Roman"/>
          <w:sz w:val="24"/>
          <w:szCs w:val="24"/>
        </w:rPr>
        <w:t>R</w:t>
      </w:r>
      <w:r w:rsidRPr="00AE1060">
        <w:rPr>
          <w:rFonts w:ascii="Times New Roman" w:hAnsi="Times New Roman"/>
          <w:sz w:val="24"/>
          <w:szCs w:val="24"/>
        </w:rPr>
        <w:t xml:space="preserve">EDD+ external environment </w:t>
      </w:r>
      <w:r>
        <w:rPr>
          <w:rFonts w:ascii="Times New Roman" w:hAnsi="Times New Roman"/>
          <w:sz w:val="24"/>
          <w:szCs w:val="24"/>
        </w:rPr>
        <w:t xml:space="preserve">is </w:t>
      </w:r>
      <w:r w:rsidRPr="00AE1060">
        <w:rPr>
          <w:rFonts w:ascii="Times New Roman" w:hAnsi="Times New Roman"/>
          <w:sz w:val="24"/>
          <w:szCs w:val="24"/>
        </w:rPr>
        <w:t>changing rapidly</w:t>
      </w:r>
      <w:r>
        <w:rPr>
          <w:rFonts w:ascii="Times New Roman" w:hAnsi="Times New Roman"/>
          <w:sz w:val="24"/>
          <w:szCs w:val="24"/>
        </w:rPr>
        <w:t xml:space="preserve"> (many </w:t>
      </w:r>
      <w:r w:rsidRPr="00AE1060">
        <w:rPr>
          <w:rFonts w:ascii="Times New Roman" w:hAnsi="Times New Roman"/>
          <w:sz w:val="24"/>
          <w:szCs w:val="24"/>
        </w:rPr>
        <w:t xml:space="preserve">of the programme activities depended </w:t>
      </w:r>
      <w:r>
        <w:rPr>
          <w:rFonts w:ascii="Times New Roman" w:hAnsi="Times New Roman"/>
          <w:sz w:val="24"/>
          <w:szCs w:val="24"/>
        </w:rPr>
        <w:t>on the outcomes of the outcomes of the UNFCCC process).</w:t>
      </w:r>
    </w:p>
    <w:p w:rsidR="00A30B76" w:rsidRDefault="00A30B76" w:rsidP="00A30B76">
      <w:pPr>
        <w:pStyle w:val="BodyText2"/>
        <w:numPr>
          <w:ilvl w:val="0"/>
          <w:numId w:val="34"/>
        </w:numPr>
        <w:ind w:left="426" w:hanging="426"/>
        <w:jc w:val="both"/>
        <w:rPr>
          <w:rFonts w:ascii="Times New Roman" w:hAnsi="Times New Roman"/>
          <w:sz w:val="24"/>
          <w:szCs w:val="24"/>
        </w:rPr>
      </w:pPr>
      <w:r>
        <w:rPr>
          <w:rFonts w:ascii="Times New Roman" w:hAnsi="Times New Roman"/>
          <w:sz w:val="24"/>
          <w:szCs w:val="24"/>
        </w:rPr>
        <w:t>Underestimated initial budget for major technical work, especially MRV and IP/CSO engagement, given the increasing demand from countries and form international community.</w:t>
      </w:r>
    </w:p>
    <w:p w:rsidR="00A30B76" w:rsidRPr="00AE1060" w:rsidRDefault="00A30B76" w:rsidP="00A30B76">
      <w:pPr>
        <w:pStyle w:val="BodyText2"/>
        <w:numPr>
          <w:ilvl w:val="0"/>
          <w:numId w:val="34"/>
        </w:numPr>
        <w:ind w:left="426" w:hanging="426"/>
        <w:jc w:val="both"/>
        <w:rPr>
          <w:rFonts w:ascii="Times New Roman" w:hAnsi="Times New Roman"/>
          <w:sz w:val="24"/>
          <w:szCs w:val="24"/>
        </w:rPr>
      </w:pPr>
      <w:r>
        <w:rPr>
          <w:rFonts w:ascii="Times New Roman" w:hAnsi="Times New Roman"/>
          <w:sz w:val="24"/>
          <w:szCs w:val="24"/>
        </w:rPr>
        <w:t>Sta</w:t>
      </w:r>
      <w:r w:rsidRPr="00AE1060">
        <w:rPr>
          <w:rFonts w:ascii="Times New Roman" w:hAnsi="Times New Roman"/>
          <w:sz w:val="24"/>
          <w:szCs w:val="24"/>
        </w:rPr>
        <w:t xml:space="preserve">ff shortages in the agencies </w:t>
      </w:r>
      <w:r>
        <w:rPr>
          <w:rFonts w:ascii="Times New Roman" w:hAnsi="Times New Roman"/>
          <w:sz w:val="24"/>
          <w:szCs w:val="24"/>
        </w:rPr>
        <w:t xml:space="preserve">and secretariat due to </w:t>
      </w:r>
      <w:r w:rsidRPr="00AE1060">
        <w:rPr>
          <w:rFonts w:ascii="Times New Roman" w:hAnsi="Times New Roman"/>
          <w:sz w:val="24"/>
          <w:szCs w:val="24"/>
        </w:rPr>
        <w:t>difficulty in recruiting qualified technical staff in short notice and in short contracts.</w:t>
      </w:r>
    </w:p>
    <w:p w:rsidR="00A30B76" w:rsidRDefault="00A30B76" w:rsidP="00A30B76">
      <w:pPr>
        <w:pStyle w:val="BodyText2"/>
        <w:numPr>
          <w:ilvl w:val="0"/>
          <w:numId w:val="34"/>
        </w:numPr>
        <w:ind w:left="426" w:hanging="426"/>
        <w:jc w:val="both"/>
        <w:rPr>
          <w:rFonts w:ascii="Times New Roman" w:hAnsi="Times New Roman"/>
          <w:sz w:val="24"/>
          <w:szCs w:val="24"/>
        </w:rPr>
      </w:pPr>
      <w:r>
        <w:rPr>
          <w:rFonts w:ascii="Times New Roman" w:hAnsi="Times New Roman"/>
          <w:sz w:val="24"/>
          <w:szCs w:val="24"/>
        </w:rPr>
        <w:t xml:space="preserve">In a future a more integrated work programme, yet with clearly defined functions by the agencies would help the achievement of the objectives of the overall programme. Progress in determining the new work areas of the programme will help to this end. </w:t>
      </w:r>
    </w:p>
    <w:p w:rsidR="00A30B76" w:rsidRDefault="00A30B76" w:rsidP="00A30B76">
      <w:pPr>
        <w:pStyle w:val="BodyText2"/>
        <w:jc w:val="both"/>
        <w:rPr>
          <w:rFonts w:ascii="Times New Roman" w:hAnsi="Times New Roman"/>
          <w:sz w:val="24"/>
          <w:szCs w:val="24"/>
        </w:rPr>
      </w:pPr>
    </w:p>
    <w:p w:rsidR="00A30B76" w:rsidRDefault="00A30B76" w:rsidP="00A30B76">
      <w:pPr>
        <w:pStyle w:val="BodyText2"/>
        <w:jc w:val="both"/>
        <w:rPr>
          <w:rFonts w:ascii="Times New Roman" w:hAnsi="Times New Roman"/>
          <w:sz w:val="24"/>
          <w:szCs w:val="24"/>
        </w:rPr>
      </w:pPr>
    </w:p>
    <w:p w:rsidR="00A30B76" w:rsidRDefault="00A30B76" w:rsidP="00A30B76">
      <w:pPr>
        <w:pStyle w:val="Heading3"/>
        <w:jc w:val="both"/>
        <w:rPr>
          <w:rFonts w:ascii="Times New Roman" w:hAnsi="Times New Roman"/>
          <w:b/>
          <w:bCs w:val="0"/>
          <w:szCs w:val="24"/>
        </w:rPr>
      </w:pPr>
      <w:r w:rsidRPr="004F74A0">
        <w:rPr>
          <w:rFonts w:ascii="Times New Roman" w:hAnsi="Times New Roman"/>
          <w:b/>
          <w:bCs w:val="0"/>
          <w:szCs w:val="24"/>
        </w:rPr>
        <w:t>IV.  FUTURE WORK PLAN</w:t>
      </w:r>
    </w:p>
    <w:p w:rsidR="00A30B76" w:rsidRDefault="00A30B76" w:rsidP="00A30B76">
      <w:pPr>
        <w:pStyle w:val="BodyText2"/>
        <w:jc w:val="both"/>
        <w:rPr>
          <w:rFonts w:ascii="Times New Roman" w:hAnsi="Times New Roman"/>
          <w:sz w:val="24"/>
          <w:szCs w:val="24"/>
        </w:rPr>
      </w:pPr>
    </w:p>
    <w:p w:rsidR="00A30B76" w:rsidRDefault="00A30B76" w:rsidP="00A30B76">
      <w:pPr>
        <w:pStyle w:val="BodyText2"/>
        <w:jc w:val="both"/>
        <w:rPr>
          <w:rFonts w:ascii="Times New Roman" w:hAnsi="Times New Roman"/>
          <w:sz w:val="24"/>
          <w:szCs w:val="24"/>
        </w:rPr>
      </w:pPr>
      <w:r>
        <w:rPr>
          <w:rFonts w:ascii="Times New Roman" w:hAnsi="Times New Roman"/>
          <w:sz w:val="24"/>
          <w:szCs w:val="24"/>
        </w:rPr>
        <w:t xml:space="preserve">It is envisaged that the Global Programme activities need to be extended beyond the current programme cycle that ends in June 2010.  To complete the current Global Programme activities, the following main activities are foreseen: </w:t>
      </w:r>
    </w:p>
    <w:p w:rsidR="00A30B76" w:rsidRDefault="00A30B76" w:rsidP="00A30B76">
      <w:pPr>
        <w:pStyle w:val="BodyText2"/>
        <w:jc w:val="both"/>
        <w:rPr>
          <w:rFonts w:ascii="Times New Roman" w:hAnsi="Times New Roman"/>
          <w:sz w:val="24"/>
          <w:szCs w:val="24"/>
        </w:rPr>
      </w:pPr>
    </w:p>
    <w:p w:rsidR="00A30B76" w:rsidRDefault="00A30B76" w:rsidP="00A30B76">
      <w:pPr>
        <w:jc w:val="both"/>
        <w:rPr>
          <w:color w:val="000000"/>
          <w:szCs w:val="24"/>
        </w:rPr>
      </w:pPr>
      <w:r w:rsidRPr="004F74A0">
        <w:rPr>
          <w:szCs w:val="24"/>
        </w:rPr>
        <w:t xml:space="preserve">Outcome 1: </w:t>
      </w:r>
    </w:p>
    <w:p w:rsidR="00A30B76" w:rsidRDefault="00A30B76" w:rsidP="00A30B76">
      <w:pPr>
        <w:widowControl/>
        <w:numPr>
          <w:ilvl w:val="0"/>
          <w:numId w:val="39"/>
        </w:numPr>
        <w:jc w:val="both"/>
        <w:rPr>
          <w:bCs/>
          <w:szCs w:val="24"/>
        </w:rPr>
      </w:pPr>
      <w:r w:rsidRPr="004F74A0">
        <w:rPr>
          <w:szCs w:val="24"/>
        </w:rPr>
        <w:t>S</w:t>
      </w:r>
      <w:r w:rsidRPr="004F74A0">
        <w:rPr>
          <w:bCs/>
          <w:szCs w:val="24"/>
        </w:rPr>
        <w:t xml:space="preserve">upport to organize in-country technical MRV workshops  to ensure </w:t>
      </w:r>
      <w:r w:rsidRPr="004F74A0">
        <w:rPr>
          <w:szCs w:val="24"/>
        </w:rPr>
        <w:t xml:space="preserve">that capacity building plans to respond to MRV requirement for REDD+  </w:t>
      </w:r>
    </w:p>
    <w:p w:rsidR="00A30B76" w:rsidRDefault="00A30B76" w:rsidP="00A30B76">
      <w:pPr>
        <w:widowControl/>
        <w:numPr>
          <w:ilvl w:val="0"/>
          <w:numId w:val="39"/>
        </w:numPr>
        <w:jc w:val="both"/>
        <w:rPr>
          <w:bCs/>
          <w:szCs w:val="24"/>
        </w:rPr>
      </w:pPr>
      <w:r w:rsidRPr="004F74A0">
        <w:rPr>
          <w:szCs w:val="24"/>
        </w:rPr>
        <w:t>Provide f</w:t>
      </w:r>
      <w:r w:rsidRPr="004F74A0">
        <w:rPr>
          <w:bCs/>
          <w:szCs w:val="24"/>
        </w:rPr>
        <w:t xml:space="preserve">urther technical support to design and development of national monitoring systems and reference emissions levels (RELs) necessary for REDD+ readiness. </w:t>
      </w:r>
    </w:p>
    <w:p w:rsidR="00A30B76" w:rsidRDefault="00A30B76" w:rsidP="00A30B76">
      <w:pPr>
        <w:widowControl/>
        <w:numPr>
          <w:ilvl w:val="0"/>
          <w:numId w:val="39"/>
        </w:numPr>
        <w:jc w:val="both"/>
        <w:rPr>
          <w:bCs/>
          <w:szCs w:val="24"/>
        </w:rPr>
      </w:pPr>
      <w:r w:rsidRPr="004F74A0">
        <w:rPr>
          <w:bCs/>
          <w:szCs w:val="24"/>
        </w:rPr>
        <w:t>Increase capacity of national focal points to better understand and implement IPCC guidelines including by t</w:t>
      </w:r>
      <w:r w:rsidRPr="004F74A0">
        <w:rPr>
          <w:szCs w:val="24"/>
        </w:rPr>
        <w:t xml:space="preserve">raining of national experts to help them join the  UNFCCC roster of experts  </w:t>
      </w:r>
    </w:p>
    <w:p w:rsidR="00A30B76" w:rsidRDefault="00A30B76" w:rsidP="00A30B76">
      <w:pPr>
        <w:widowControl/>
        <w:numPr>
          <w:ilvl w:val="0"/>
          <w:numId w:val="39"/>
        </w:numPr>
        <w:jc w:val="both"/>
        <w:rPr>
          <w:bCs/>
          <w:szCs w:val="24"/>
        </w:rPr>
      </w:pPr>
      <w:r w:rsidRPr="004F74A0">
        <w:rPr>
          <w:bCs/>
          <w:szCs w:val="24"/>
        </w:rPr>
        <w:t xml:space="preserve">Develop  MRV Guidelines, specifically a concrete </w:t>
      </w:r>
      <w:r w:rsidRPr="004F74A0">
        <w:rPr>
          <w:szCs w:val="24"/>
        </w:rPr>
        <w:t>action guide for an efficient implementation of a MRV system at country level and identify the lessons from country experiences of developing MRV systems for the development of global guidance.</w:t>
      </w:r>
    </w:p>
    <w:p w:rsidR="00A30B76" w:rsidRDefault="00A30B76" w:rsidP="00A30B76">
      <w:pPr>
        <w:pStyle w:val="NoSpacing"/>
        <w:numPr>
          <w:ilvl w:val="0"/>
          <w:numId w:val="39"/>
        </w:numPr>
        <w:jc w:val="both"/>
        <w:rPr>
          <w:szCs w:val="24"/>
        </w:rPr>
      </w:pPr>
      <w:r w:rsidRPr="004F74A0">
        <w:rPr>
          <w:szCs w:val="24"/>
        </w:rPr>
        <w:t>Upcoming discussion paper on MRV for co-benefits</w:t>
      </w:r>
    </w:p>
    <w:p w:rsidR="00A30B76" w:rsidRDefault="00A30B76" w:rsidP="00A30B76">
      <w:pPr>
        <w:jc w:val="both"/>
        <w:rPr>
          <w:szCs w:val="24"/>
        </w:rPr>
      </w:pPr>
    </w:p>
    <w:p w:rsidR="00A30B76" w:rsidRDefault="00A30B76" w:rsidP="00A30B76">
      <w:pPr>
        <w:jc w:val="both"/>
        <w:rPr>
          <w:szCs w:val="24"/>
        </w:rPr>
      </w:pPr>
      <w:r w:rsidRPr="004F74A0">
        <w:rPr>
          <w:szCs w:val="24"/>
        </w:rPr>
        <w:t xml:space="preserve">Outcome 2:  </w:t>
      </w:r>
    </w:p>
    <w:p w:rsidR="00A30B76" w:rsidRDefault="00A30B76" w:rsidP="00A30B76">
      <w:pPr>
        <w:widowControl/>
        <w:numPr>
          <w:ilvl w:val="0"/>
          <w:numId w:val="36"/>
        </w:numPr>
        <w:jc w:val="both"/>
        <w:rPr>
          <w:bCs/>
          <w:szCs w:val="24"/>
        </w:rPr>
      </w:pPr>
      <w:r w:rsidRPr="004F74A0">
        <w:rPr>
          <w:szCs w:val="24"/>
        </w:rPr>
        <w:t xml:space="preserve">Finalize the UN-REDD Guidelines on the Engagement of Indigenous Peoples and support their application in countries </w:t>
      </w:r>
    </w:p>
    <w:p w:rsidR="00A30B76" w:rsidRDefault="00A30B76" w:rsidP="00A30B76">
      <w:pPr>
        <w:widowControl/>
        <w:numPr>
          <w:ilvl w:val="0"/>
          <w:numId w:val="36"/>
        </w:numPr>
        <w:jc w:val="both"/>
        <w:rPr>
          <w:bCs/>
          <w:szCs w:val="24"/>
        </w:rPr>
      </w:pPr>
      <w:r w:rsidRPr="004F74A0">
        <w:rPr>
          <w:szCs w:val="24"/>
        </w:rPr>
        <w:t>S</w:t>
      </w:r>
      <w:r w:rsidRPr="004F74A0">
        <w:rPr>
          <w:bCs/>
          <w:szCs w:val="24"/>
        </w:rPr>
        <w:t xml:space="preserve">upport the participation of IP and CSO representatives in key meetings </w:t>
      </w:r>
    </w:p>
    <w:p w:rsidR="00A30B76" w:rsidRDefault="00A30B76" w:rsidP="00A30B76">
      <w:pPr>
        <w:widowControl/>
        <w:numPr>
          <w:ilvl w:val="0"/>
          <w:numId w:val="36"/>
        </w:numPr>
        <w:jc w:val="both"/>
        <w:rPr>
          <w:b/>
          <w:bCs/>
          <w:szCs w:val="24"/>
        </w:rPr>
      </w:pPr>
      <w:r w:rsidRPr="004F74A0">
        <w:rPr>
          <w:szCs w:val="24"/>
        </w:rPr>
        <w:t>Support the UN-REDD programme countries to implement a recourse mechanism</w:t>
      </w:r>
    </w:p>
    <w:p w:rsidR="00A30B76" w:rsidRDefault="00A30B76" w:rsidP="00A30B76">
      <w:pPr>
        <w:widowControl/>
        <w:numPr>
          <w:ilvl w:val="0"/>
          <w:numId w:val="36"/>
        </w:numPr>
        <w:jc w:val="both"/>
        <w:rPr>
          <w:szCs w:val="24"/>
        </w:rPr>
      </w:pPr>
      <w:r w:rsidRPr="004F74A0">
        <w:rPr>
          <w:bCs/>
          <w:szCs w:val="24"/>
        </w:rPr>
        <w:t xml:space="preserve">Facilitate IP &amp; CSO engagement in the formulation  and implementation of National Programmes  </w:t>
      </w:r>
    </w:p>
    <w:p w:rsidR="00A30B76" w:rsidRDefault="00A30B76" w:rsidP="00A30B76">
      <w:pPr>
        <w:pStyle w:val="BodyText2"/>
        <w:jc w:val="both"/>
        <w:rPr>
          <w:rFonts w:ascii="Times New Roman" w:hAnsi="Times New Roman"/>
          <w:sz w:val="24"/>
          <w:szCs w:val="24"/>
        </w:rPr>
      </w:pPr>
    </w:p>
    <w:p w:rsidR="00A30B76" w:rsidRDefault="00A30B76" w:rsidP="00A30B76">
      <w:pPr>
        <w:pStyle w:val="BodyText2"/>
        <w:jc w:val="both"/>
        <w:rPr>
          <w:rFonts w:ascii="Times New Roman" w:hAnsi="Times New Roman"/>
          <w:sz w:val="24"/>
          <w:szCs w:val="24"/>
        </w:rPr>
      </w:pPr>
    </w:p>
    <w:p w:rsidR="00A30B76" w:rsidRDefault="00A30B76" w:rsidP="00A30B76">
      <w:pPr>
        <w:pStyle w:val="BodyText2"/>
        <w:jc w:val="both"/>
        <w:rPr>
          <w:rFonts w:ascii="Times New Roman" w:hAnsi="Times New Roman"/>
          <w:sz w:val="24"/>
          <w:szCs w:val="24"/>
        </w:rPr>
      </w:pPr>
      <w:r>
        <w:rPr>
          <w:rFonts w:ascii="Times New Roman" w:hAnsi="Times New Roman"/>
          <w:sz w:val="24"/>
          <w:szCs w:val="24"/>
        </w:rPr>
        <w:t xml:space="preserve">Outcome 3: </w:t>
      </w:r>
    </w:p>
    <w:p w:rsidR="00A30B76" w:rsidRDefault="00A30B76" w:rsidP="00A30B76">
      <w:pPr>
        <w:pStyle w:val="NoSpacing"/>
        <w:numPr>
          <w:ilvl w:val="0"/>
          <w:numId w:val="33"/>
        </w:numPr>
        <w:jc w:val="both"/>
        <w:rPr>
          <w:szCs w:val="24"/>
        </w:rPr>
      </w:pPr>
      <w:r w:rsidRPr="004F74A0">
        <w:rPr>
          <w:szCs w:val="24"/>
        </w:rPr>
        <w:t>Guidance on identifying the co-benefits of REDD, including from AF/RF and forest restoration</w:t>
      </w:r>
    </w:p>
    <w:p w:rsidR="00A30B76" w:rsidRDefault="00A30B76" w:rsidP="00A30B76">
      <w:pPr>
        <w:pStyle w:val="NoSpacing"/>
        <w:numPr>
          <w:ilvl w:val="0"/>
          <w:numId w:val="32"/>
        </w:numPr>
        <w:jc w:val="both"/>
        <w:rPr>
          <w:szCs w:val="24"/>
        </w:rPr>
      </w:pPr>
      <w:r w:rsidRPr="004F74A0">
        <w:rPr>
          <w:szCs w:val="24"/>
        </w:rPr>
        <w:t>Metadatabase on available co-benefits datasets in Bolivia (subject to approval of national team).</w:t>
      </w:r>
    </w:p>
    <w:p w:rsidR="00A30B76" w:rsidRPr="00FC2166" w:rsidRDefault="00A30B76" w:rsidP="00A30B76">
      <w:pPr>
        <w:pStyle w:val="ListParagraph"/>
        <w:widowControl/>
        <w:numPr>
          <w:ilvl w:val="0"/>
          <w:numId w:val="32"/>
        </w:numPr>
        <w:spacing w:before="120"/>
        <w:contextualSpacing/>
        <w:jc w:val="both"/>
        <w:rPr>
          <w:szCs w:val="24"/>
        </w:rPr>
      </w:pPr>
      <w:r w:rsidRPr="004F74A0">
        <w:rPr>
          <w:szCs w:val="24"/>
        </w:rPr>
        <w:t>All UN-REDD countries to be invited to training workshop on co-benefits and available tools, in April 2010.</w:t>
      </w:r>
    </w:p>
    <w:p w:rsidR="00A30B76" w:rsidRPr="00FC2166" w:rsidRDefault="00A30B76" w:rsidP="00A30B76">
      <w:pPr>
        <w:pStyle w:val="ListParagraph"/>
        <w:widowControl/>
        <w:numPr>
          <w:ilvl w:val="0"/>
          <w:numId w:val="32"/>
        </w:numPr>
        <w:spacing w:before="120"/>
        <w:contextualSpacing/>
        <w:jc w:val="both"/>
        <w:rPr>
          <w:szCs w:val="24"/>
        </w:rPr>
      </w:pPr>
      <w:r w:rsidRPr="004F74A0">
        <w:rPr>
          <w:szCs w:val="24"/>
        </w:rPr>
        <w:t>In proposal stage; “REDD+ strategies as catalysts for forest sector transformation”: Towards sustainable alternatives to deforestation and forest degradation.</w:t>
      </w:r>
    </w:p>
    <w:p w:rsidR="00A30B76" w:rsidRPr="00FC2166" w:rsidRDefault="00A30B76" w:rsidP="00A30B76">
      <w:pPr>
        <w:pStyle w:val="Default"/>
        <w:numPr>
          <w:ilvl w:val="0"/>
          <w:numId w:val="32"/>
        </w:numPr>
        <w:jc w:val="both"/>
        <w:rPr>
          <w:lang w:val="en-CA"/>
        </w:rPr>
      </w:pPr>
      <w:r w:rsidRPr="004F74A0">
        <w:rPr>
          <w:lang w:val="en-CA"/>
        </w:rPr>
        <w:t xml:space="preserve">Resulting work planned for 2010 includes generic guidance on the definition and promotion of REDD co-benefits, specific guidance on multiple benefits from afforestation, forest restoration and reforestation in the context of REDD+, and a meta-database on carbon, biodiversity and other co-benefits for Bolivia. Further consultation and collaboration with UN-REDD pilot countries is anticipated in 2010. </w:t>
      </w:r>
    </w:p>
    <w:p w:rsidR="00A30B76" w:rsidRPr="00FC2166" w:rsidRDefault="00A30B76" w:rsidP="00A30B76">
      <w:pPr>
        <w:pStyle w:val="Default"/>
        <w:numPr>
          <w:ilvl w:val="0"/>
          <w:numId w:val="32"/>
        </w:numPr>
        <w:jc w:val="both"/>
        <w:rPr>
          <w:lang w:val="en-CA"/>
        </w:rPr>
      </w:pPr>
      <w:r w:rsidRPr="00AD7793">
        <w:rPr>
          <w:lang w:val="en-CA"/>
        </w:rPr>
        <w:t>Looking ahead to 2010, UNEP-WCMC will host an international workshop on co-benefits from REDD, in order to share experiences between pilot countries, demonstrate the tools and guidance produced to date, gain expertise on the social economic aspects of co-benefits and receive feedback on their utility. The workshop is expected to be held in April 2010. We are also exploring opportunities to work on multiple benefits issues with some of the new UN-REDD observer countries, using alternative sources of finance.</w:t>
      </w:r>
    </w:p>
    <w:p w:rsidR="00A30B76" w:rsidRPr="00FC2166" w:rsidRDefault="00A30B76" w:rsidP="00A30B76">
      <w:pPr>
        <w:pStyle w:val="ListParagraph"/>
        <w:widowControl/>
        <w:numPr>
          <w:ilvl w:val="0"/>
          <w:numId w:val="32"/>
        </w:numPr>
        <w:spacing w:before="120"/>
        <w:contextualSpacing/>
        <w:jc w:val="both"/>
        <w:rPr>
          <w:szCs w:val="24"/>
        </w:rPr>
      </w:pPr>
    </w:p>
    <w:p w:rsidR="00A30B76" w:rsidRPr="00FC2166" w:rsidRDefault="00A30B76" w:rsidP="00A30B76">
      <w:pPr>
        <w:widowControl/>
        <w:spacing w:before="120"/>
        <w:jc w:val="both"/>
        <w:rPr>
          <w:szCs w:val="24"/>
        </w:rPr>
      </w:pPr>
      <w:r w:rsidRPr="00AD7793">
        <w:rPr>
          <w:szCs w:val="24"/>
        </w:rPr>
        <w:t>Outcome 4:</w:t>
      </w:r>
    </w:p>
    <w:p w:rsidR="00A30B76" w:rsidRDefault="00A30B76" w:rsidP="00A30B76">
      <w:pPr>
        <w:pStyle w:val="NoSpacing"/>
        <w:numPr>
          <w:ilvl w:val="0"/>
          <w:numId w:val="32"/>
        </w:numPr>
        <w:jc w:val="both"/>
        <w:rPr>
          <w:szCs w:val="24"/>
        </w:rPr>
      </w:pPr>
      <w:r w:rsidRPr="00AD7793">
        <w:rPr>
          <w:szCs w:val="24"/>
        </w:rPr>
        <w:t>Strengthen cooperation with the World Bank in providing support to REDD readiness</w:t>
      </w:r>
    </w:p>
    <w:p w:rsidR="00A30B76" w:rsidRDefault="00A30B76" w:rsidP="00A30B76">
      <w:pPr>
        <w:pStyle w:val="NoSpacing"/>
        <w:numPr>
          <w:ilvl w:val="0"/>
          <w:numId w:val="32"/>
        </w:numPr>
        <w:jc w:val="both"/>
        <w:rPr>
          <w:szCs w:val="24"/>
        </w:rPr>
      </w:pPr>
      <w:r w:rsidRPr="00AD7793">
        <w:rPr>
          <w:szCs w:val="24"/>
        </w:rPr>
        <w:t xml:space="preserve">Strengthen backstopping to finalise and boost implementation of the National Programme activities in the nine pilot countries </w:t>
      </w:r>
    </w:p>
    <w:p w:rsidR="00A30B76" w:rsidRDefault="00A30B76" w:rsidP="00A30B76">
      <w:pPr>
        <w:pStyle w:val="NoSpacing"/>
        <w:numPr>
          <w:ilvl w:val="0"/>
          <w:numId w:val="32"/>
        </w:numPr>
        <w:jc w:val="both"/>
        <w:rPr>
          <w:szCs w:val="24"/>
        </w:rPr>
      </w:pPr>
      <w:r w:rsidRPr="00AD7793">
        <w:rPr>
          <w:szCs w:val="24"/>
        </w:rPr>
        <w:t xml:space="preserve">Support south-south cooperation, e.g. though the proposed Brazil-DRC-Indonesia workshop </w:t>
      </w:r>
    </w:p>
    <w:p w:rsidR="00A30B76" w:rsidRPr="00FC2166" w:rsidRDefault="00A30B76" w:rsidP="00A30B76">
      <w:pPr>
        <w:pStyle w:val="ListParagraph"/>
        <w:widowControl/>
        <w:numPr>
          <w:ilvl w:val="0"/>
          <w:numId w:val="32"/>
        </w:numPr>
        <w:spacing w:before="120"/>
        <w:contextualSpacing/>
        <w:jc w:val="both"/>
        <w:rPr>
          <w:szCs w:val="24"/>
        </w:rPr>
      </w:pPr>
      <w:r w:rsidRPr="00AD7793">
        <w:rPr>
          <w:szCs w:val="24"/>
        </w:rPr>
        <w:t>Planning and delivering two Policy Board meetings foreseen in 2010.</w:t>
      </w:r>
    </w:p>
    <w:p w:rsidR="00A30B76" w:rsidRDefault="00A30B76" w:rsidP="00A30B76">
      <w:pPr>
        <w:pStyle w:val="NoSpacing"/>
        <w:numPr>
          <w:ilvl w:val="0"/>
          <w:numId w:val="32"/>
        </w:numPr>
        <w:jc w:val="both"/>
        <w:rPr>
          <w:szCs w:val="24"/>
        </w:rPr>
      </w:pPr>
      <w:r w:rsidRPr="00AD7793">
        <w:rPr>
          <w:szCs w:val="24"/>
        </w:rPr>
        <w:t xml:space="preserve">Review of UN-REDD website and strengthen its maintenance to provide up-to date information on REDD+ and the UN-REDD Programme activities. </w:t>
      </w:r>
    </w:p>
    <w:p w:rsidR="00A30B76" w:rsidRDefault="00A30B76" w:rsidP="00A30B76">
      <w:pPr>
        <w:pStyle w:val="NoSpacing"/>
        <w:numPr>
          <w:ilvl w:val="0"/>
          <w:numId w:val="32"/>
        </w:numPr>
        <w:jc w:val="both"/>
        <w:rPr>
          <w:szCs w:val="24"/>
        </w:rPr>
      </w:pPr>
      <w:r w:rsidRPr="00AD7793">
        <w:rPr>
          <w:szCs w:val="24"/>
        </w:rPr>
        <w:t>Implementation of the UN-REDD communications strategy.</w:t>
      </w:r>
    </w:p>
    <w:p w:rsidR="00A30B76" w:rsidRDefault="00A30B76" w:rsidP="00A30B76">
      <w:pPr>
        <w:pStyle w:val="BodyText2"/>
        <w:jc w:val="both"/>
        <w:rPr>
          <w:rFonts w:ascii="Times New Roman" w:hAnsi="Times New Roman"/>
          <w:sz w:val="24"/>
          <w:szCs w:val="24"/>
        </w:rPr>
      </w:pPr>
    </w:p>
    <w:p w:rsidR="000D737D" w:rsidRDefault="000D737D" w:rsidP="00A30B76">
      <w:pPr>
        <w:pStyle w:val="BodyText2"/>
        <w:jc w:val="both"/>
        <w:rPr>
          <w:rFonts w:ascii="Times New Roman" w:hAnsi="Times New Roman"/>
          <w:sz w:val="24"/>
          <w:szCs w:val="24"/>
        </w:rPr>
        <w:sectPr w:rsidR="000D737D" w:rsidSect="00B56B04">
          <w:headerReference w:type="default" r:id="rId16"/>
          <w:footerReference w:type="default" r:id="rId17"/>
          <w:endnotePr>
            <w:numFmt w:val="decimal"/>
          </w:endnotePr>
          <w:pgSz w:w="11907" w:h="16840" w:code="9"/>
          <w:pgMar w:top="1440" w:right="1440" w:bottom="1440" w:left="1440" w:header="720" w:footer="720" w:gutter="0"/>
          <w:cols w:space="720"/>
          <w:docGrid w:linePitch="360"/>
        </w:sectPr>
      </w:pPr>
    </w:p>
    <w:p w:rsidR="00A30B76" w:rsidRDefault="00A30B76" w:rsidP="00A30B76">
      <w:pPr>
        <w:pStyle w:val="BodyText2"/>
        <w:jc w:val="both"/>
        <w:rPr>
          <w:rFonts w:ascii="Times New Roman" w:hAnsi="Times New Roman"/>
          <w:sz w:val="24"/>
          <w:szCs w:val="24"/>
        </w:rPr>
      </w:pPr>
    </w:p>
    <w:p w:rsidR="00A30B76" w:rsidRDefault="00A30B76" w:rsidP="00A30B76">
      <w:pPr>
        <w:pStyle w:val="BodyText2"/>
        <w:jc w:val="both"/>
        <w:rPr>
          <w:rFonts w:ascii="Times New Roman" w:hAnsi="Times New Roman"/>
          <w:sz w:val="24"/>
          <w:szCs w:val="24"/>
        </w:rPr>
      </w:pPr>
    </w:p>
    <w:p w:rsidR="00A30B76" w:rsidRDefault="00A30B76" w:rsidP="00A30B76">
      <w:pPr>
        <w:pStyle w:val="Heading3"/>
        <w:jc w:val="both"/>
        <w:rPr>
          <w:rFonts w:ascii="Times New Roman" w:hAnsi="Times New Roman"/>
          <w:b/>
          <w:szCs w:val="24"/>
        </w:rPr>
      </w:pPr>
      <w:r w:rsidRPr="00AD7793">
        <w:rPr>
          <w:rFonts w:ascii="Times New Roman" w:hAnsi="Times New Roman"/>
          <w:b/>
          <w:szCs w:val="24"/>
        </w:rPr>
        <w:t>V.  FINANCIAL IMPLEMENTATION</w:t>
      </w:r>
    </w:p>
    <w:p w:rsidR="00DE156C" w:rsidRDefault="00DE156C" w:rsidP="00DE156C">
      <w:pPr>
        <w:pStyle w:val="BodyText2"/>
        <w:rPr>
          <w:rFonts w:ascii="Times New Roman" w:hAnsi="Times New Roman"/>
          <w:sz w:val="24"/>
          <w:lang w:val="en-GB"/>
        </w:rPr>
      </w:pPr>
    </w:p>
    <w:tbl>
      <w:tblPr>
        <w:tblW w:w="14693" w:type="dxa"/>
        <w:tblInd w:w="78" w:type="dxa"/>
        <w:tblLayout w:type="fixed"/>
        <w:tblLook w:val="0000"/>
      </w:tblPr>
      <w:tblGrid>
        <w:gridCol w:w="2194"/>
        <w:gridCol w:w="1941"/>
        <w:gridCol w:w="1558"/>
        <w:gridCol w:w="1454"/>
        <w:gridCol w:w="1851"/>
        <w:gridCol w:w="1348"/>
        <w:gridCol w:w="1361"/>
        <w:gridCol w:w="1361"/>
        <w:gridCol w:w="1625"/>
      </w:tblGrid>
      <w:tr w:rsidR="000D737D" w:rsidRPr="000D737D" w:rsidTr="000D737D">
        <w:trPr>
          <w:trHeight w:val="238"/>
        </w:trPr>
        <w:tc>
          <w:tcPr>
            <w:tcW w:w="2194" w:type="dxa"/>
            <w:gridSpan w:val="5"/>
            <w:tcBorders>
              <w:top w:val="single" w:sz="6" w:space="0" w:color="auto"/>
              <w:left w:val="single" w:sz="6" w:space="0" w:color="auto"/>
              <w:bottom w:val="single" w:sz="6" w:space="0" w:color="auto"/>
              <w:right w:val="nil"/>
            </w:tcBorders>
            <w:shd w:val="solid" w:color="C0C0C0" w:fill="auto"/>
          </w:tcPr>
          <w:p w:rsidR="000D737D" w:rsidRPr="000D737D" w:rsidRDefault="000D737D" w:rsidP="000D737D">
            <w:pPr>
              <w:widowControl/>
              <w:autoSpaceDE w:val="0"/>
              <w:autoSpaceDN w:val="0"/>
              <w:adjustRightInd w:val="0"/>
              <w:jc w:val="center"/>
              <w:rPr>
                <w:rFonts w:asciiTheme="minorHAnsi" w:hAnsiTheme="minorHAnsi" w:cs="Calibri"/>
                <w:b/>
                <w:bCs/>
                <w:color w:val="000000"/>
                <w:sz w:val="18"/>
                <w:szCs w:val="18"/>
              </w:rPr>
            </w:pPr>
            <w:r w:rsidRPr="000D737D">
              <w:rPr>
                <w:rFonts w:asciiTheme="minorHAnsi" w:hAnsiTheme="minorHAnsi" w:cs="Calibri"/>
                <w:b/>
                <w:bCs/>
                <w:color w:val="000000"/>
                <w:sz w:val="18"/>
                <w:szCs w:val="18"/>
              </w:rPr>
              <w:t>UN-REDD GLOBAL PROGRAMME EXPENDITURES 31 DECEMBER 2009 (EXCLUDING SECRETARIAT)</w:t>
            </w:r>
          </w:p>
        </w:tc>
        <w:tc>
          <w:tcPr>
            <w:tcW w:w="1348" w:type="dxa"/>
            <w:tcBorders>
              <w:top w:val="single" w:sz="6" w:space="0" w:color="auto"/>
              <w:left w:val="nil"/>
              <w:bottom w:val="single" w:sz="6" w:space="0" w:color="auto"/>
              <w:right w:val="nil"/>
            </w:tcBorders>
            <w:shd w:val="solid" w:color="C0C0C0" w:fill="auto"/>
          </w:tcPr>
          <w:p w:rsidR="000D737D" w:rsidRPr="000D737D" w:rsidRDefault="000D737D" w:rsidP="000D737D">
            <w:pPr>
              <w:widowControl/>
              <w:autoSpaceDE w:val="0"/>
              <w:autoSpaceDN w:val="0"/>
              <w:adjustRightInd w:val="0"/>
              <w:jc w:val="center"/>
              <w:rPr>
                <w:rFonts w:asciiTheme="minorHAnsi" w:hAnsiTheme="minorHAnsi" w:cs="Calibri"/>
                <w:b/>
                <w:bCs/>
                <w:color w:val="000000"/>
                <w:sz w:val="18"/>
                <w:szCs w:val="18"/>
              </w:rPr>
            </w:pPr>
          </w:p>
        </w:tc>
        <w:tc>
          <w:tcPr>
            <w:tcW w:w="1361" w:type="dxa"/>
            <w:tcBorders>
              <w:top w:val="single" w:sz="6" w:space="0" w:color="auto"/>
              <w:left w:val="nil"/>
              <w:bottom w:val="single" w:sz="6" w:space="0" w:color="auto"/>
              <w:right w:val="nil"/>
            </w:tcBorders>
            <w:shd w:val="solid" w:color="C0C0C0" w:fill="auto"/>
          </w:tcPr>
          <w:p w:rsidR="000D737D" w:rsidRPr="000D737D" w:rsidRDefault="000D737D" w:rsidP="000D737D">
            <w:pPr>
              <w:widowControl/>
              <w:autoSpaceDE w:val="0"/>
              <w:autoSpaceDN w:val="0"/>
              <w:adjustRightInd w:val="0"/>
              <w:jc w:val="center"/>
              <w:rPr>
                <w:rFonts w:asciiTheme="minorHAnsi" w:hAnsiTheme="minorHAnsi" w:cs="Calibri"/>
                <w:b/>
                <w:bCs/>
                <w:color w:val="000000"/>
                <w:sz w:val="18"/>
                <w:szCs w:val="18"/>
              </w:rPr>
            </w:pPr>
          </w:p>
        </w:tc>
        <w:tc>
          <w:tcPr>
            <w:tcW w:w="1361" w:type="dxa"/>
            <w:tcBorders>
              <w:top w:val="single" w:sz="6" w:space="0" w:color="auto"/>
              <w:left w:val="nil"/>
              <w:bottom w:val="single" w:sz="6" w:space="0" w:color="auto"/>
              <w:right w:val="nil"/>
            </w:tcBorders>
            <w:shd w:val="solid" w:color="C0C0C0" w:fill="auto"/>
          </w:tcPr>
          <w:p w:rsidR="000D737D" w:rsidRPr="000D737D" w:rsidRDefault="000D737D" w:rsidP="000D737D">
            <w:pPr>
              <w:widowControl/>
              <w:autoSpaceDE w:val="0"/>
              <w:autoSpaceDN w:val="0"/>
              <w:adjustRightInd w:val="0"/>
              <w:jc w:val="center"/>
              <w:rPr>
                <w:rFonts w:asciiTheme="minorHAnsi" w:hAnsiTheme="minorHAnsi" w:cs="Calibri"/>
                <w:b/>
                <w:bCs/>
                <w:color w:val="000000"/>
                <w:sz w:val="18"/>
                <w:szCs w:val="18"/>
              </w:rPr>
            </w:pPr>
          </w:p>
        </w:tc>
        <w:tc>
          <w:tcPr>
            <w:tcW w:w="1625" w:type="dxa"/>
            <w:tcBorders>
              <w:top w:val="single" w:sz="6" w:space="0" w:color="auto"/>
              <w:left w:val="nil"/>
              <w:bottom w:val="single" w:sz="6" w:space="0" w:color="auto"/>
              <w:right w:val="single" w:sz="6" w:space="0" w:color="auto"/>
            </w:tcBorders>
            <w:shd w:val="solid" w:color="C0C0C0" w:fill="auto"/>
          </w:tcPr>
          <w:p w:rsidR="000D737D" w:rsidRPr="000D737D" w:rsidRDefault="000D737D" w:rsidP="000D737D">
            <w:pPr>
              <w:widowControl/>
              <w:autoSpaceDE w:val="0"/>
              <w:autoSpaceDN w:val="0"/>
              <w:adjustRightInd w:val="0"/>
              <w:jc w:val="center"/>
              <w:rPr>
                <w:rFonts w:asciiTheme="minorHAnsi" w:hAnsiTheme="minorHAnsi" w:cs="Calibri"/>
                <w:b/>
                <w:bCs/>
                <w:color w:val="000000"/>
                <w:sz w:val="18"/>
                <w:szCs w:val="18"/>
              </w:rPr>
            </w:pPr>
          </w:p>
        </w:tc>
      </w:tr>
      <w:tr w:rsidR="000D737D" w:rsidRPr="000D737D" w:rsidTr="000D737D">
        <w:trPr>
          <w:trHeight w:val="238"/>
        </w:trPr>
        <w:tc>
          <w:tcPr>
            <w:tcW w:w="2194" w:type="dxa"/>
            <w:tcBorders>
              <w:top w:val="single" w:sz="6" w:space="0" w:color="auto"/>
              <w:left w:val="nil"/>
              <w:bottom w:val="nil"/>
              <w:right w:val="nil"/>
            </w:tcBorders>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p>
        </w:tc>
        <w:tc>
          <w:tcPr>
            <w:tcW w:w="1941" w:type="dxa"/>
            <w:tcBorders>
              <w:top w:val="single" w:sz="6" w:space="0" w:color="auto"/>
              <w:left w:val="nil"/>
              <w:bottom w:val="nil"/>
              <w:right w:val="nil"/>
            </w:tcBorders>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p>
        </w:tc>
        <w:tc>
          <w:tcPr>
            <w:tcW w:w="1558" w:type="dxa"/>
            <w:tcBorders>
              <w:top w:val="single" w:sz="6" w:space="0" w:color="auto"/>
              <w:left w:val="nil"/>
              <w:bottom w:val="nil"/>
              <w:right w:val="nil"/>
            </w:tcBorders>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p>
        </w:tc>
        <w:tc>
          <w:tcPr>
            <w:tcW w:w="1454" w:type="dxa"/>
            <w:tcBorders>
              <w:top w:val="single" w:sz="6" w:space="0" w:color="auto"/>
              <w:left w:val="nil"/>
              <w:bottom w:val="nil"/>
              <w:right w:val="nil"/>
            </w:tcBorders>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p>
        </w:tc>
        <w:tc>
          <w:tcPr>
            <w:tcW w:w="1851" w:type="dxa"/>
            <w:tcBorders>
              <w:top w:val="single" w:sz="6" w:space="0" w:color="auto"/>
              <w:left w:val="nil"/>
              <w:bottom w:val="nil"/>
              <w:right w:val="nil"/>
            </w:tcBorders>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p>
        </w:tc>
        <w:tc>
          <w:tcPr>
            <w:tcW w:w="1348" w:type="dxa"/>
            <w:tcBorders>
              <w:top w:val="single" w:sz="6" w:space="0" w:color="auto"/>
              <w:left w:val="nil"/>
              <w:bottom w:val="nil"/>
              <w:right w:val="nil"/>
            </w:tcBorders>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p>
        </w:tc>
        <w:tc>
          <w:tcPr>
            <w:tcW w:w="1361" w:type="dxa"/>
            <w:tcBorders>
              <w:top w:val="single" w:sz="6" w:space="0" w:color="auto"/>
              <w:left w:val="nil"/>
              <w:bottom w:val="nil"/>
              <w:right w:val="nil"/>
            </w:tcBorders>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p>
        </w:tc>
        <w:tc>
          <w:tcPr>
            <w:tcW w:w="1361" w:type="dxa"/>
            <w:tcBorders>
              <w:top w:val="single" w:sz="6" w:space="0" w:color="auto"/>
              <w:left w:val="nil"/>
              <w:bottom w:val="nil"/>
              <w:right w:val="nil"/>
            </w:tcBorders>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p>
        </w:tc>
        <w:tc>
          <w:tcPr>
            <w:tcW w:w="1625" w:type="dxa"/>
            <w:tcBorders>
              <w:top w:val="single" w:sz="6" w:space="0" w:color="auto"/>
              <w:left w:val="nil"/>
              <w:bottom w:val="nil"/>
              <w:right w:val="nil"/>
            </w:tcBorders>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p>
        </w:tc>
      </w:tr>
      <w:tr w:rsidR="000D737D" w:rsidRPr="000D737D" w:rsidTr="000D737D">
        <w:trPr>
          <w:trHeight w:val="238"/>
        </w:trPr>
        <w:tc>
          <w:tcPr>
            <w:tcW w:w="2194" w:type="dxa"/>
            <w:tcBorders>
              <w:top w:val="nil"/>
              <w:left w:val="nil"/>
              <w:bottom w:val="nil"/>
              <w:right w:val="nil"/>
            </w:tcBorders>
          </w:tcPr>
          <w:p w:rsidR="000D737D" w:rsidRPr="000D737D" w:rsidRDefault="000D737D" w:rsidP="000D737D">
            <w:pPr>
              <w:widowControl/>
              <w:autoSpaceDE w:val="0"/>
              <w:autoSpaceDN w:val="0"/>
              <w:adjustRightInd w:val="0"/>
              <w:jc w:val="right"/>
              <w:rPr>
                <w:rFonts w:asciiTheme="minorHAnsi" w:hAnsiTheme="minorHAnsi" w:cs="Calibri"/>
                <w:b/>
                <w:bCs/>
                <w:color w:val="000000"/>
                <w:sz w:val="18"/>
                <w:szCs w:val="18"/>
              </w:rPr>
            </w:pPr>
          </w:p>
        </w:tc>
        <w:tc>
          <w:tcPr>
            <w:tcW w:w="1941" w:type="dxa"/>
            <w:tcBorders>
              <w:top w:val="nil"/>
              <w:left w:val="nil"/>
              <w:bottom w:val="nil"/>
              <w:right w:val="nil"/>
            </w:tcBorders>
          </w:tcPr>
          <w:p w:rsidR="000D737D" w:rsidRPr="000D737D" w:rsidRDefault="000D737D" w:rsidP="000D737D">
            <w:pPr>
              <w:widowControl/>
              <w:autoSpaceDE w:val="0"/>
              <w:autoSpaceDN w:val="0"/>
              <w:adjustRightInd w:val="0"/>
              <w:jc w:val="right"/>
              <w:rPr>
                <w:rFonts w:asciiTheme="minorHAnsi" w:hAnsiTheme="minorHAnsi" w:cs="Calibri"/>
                <w:b/>
                <w:bCs/>
                <w:color w:val="000000"/>
                <w:sz w:val="18"/>
                <w:szCs w:val="18"/>
              </w:rPr>
            </w:pPr>
          </w:p>
        </w:tc>
        <w:tc>
          <w:tcPr>
            <w:tcW w:w="1558" w:type="dxa"/>
            <w:tcBorders>
              <w:top w:val="nil"/>
              <w:left w:val="nil"/>
              <w:bottom w:val="nil"/>
              <w:right w:val="nil"/>
            </w:tcBorders>
          </w:tcPr>
          <w:p w:rsidR="000D737D" w:rsidRPr="000D737D" w:rsidRDefault="000D737D" w:rsidP="000D737D">
            <w:pPr>
              <w:widowControl/>
              <w:autoSpaceDE w:val="0"/>
              <w:autoSpaceDN w:val="0"/>
              <w:adjustRightInd w:val="0"/>
              <w:jc w:val="right"/>
              <w:rPr>
                <w:rFonts w:asciiTheme="minorHAnsi" w:hAnsiTheme="minorHAnsi" w:cs="Calibri"/>
                <w:b/>
                <w:bCs/>
                <w:color w:val="000000"/>
                <w:sz w:val="18"/>
                <w:szCs w:val="18"/>
              </w:rPr>
            </w:pPr>
          </w:p>
        </w:tc>
        <w:tc>
          <w:tcPr>
            <w:tcW w:w="1454" w:type="dxa"/>
            <w:tcBorders>
              <w:top w:val="nil"/>
              <w:left w:val="nil"/>
              <w:bottom w:val="nil"/>
              <w:right w:val="nil"/>
            </w:tcBorders>
          </w:tcPr>
          <w:p w:rsidR="000D737D" w:rsidRPr="000D737D" w:rsidRDefault="000D737D" w:rsidP="000D737D">
            <w:pPr>
              <w:widowControl/>
              <w:autoSpaceDE w:val="0"/>
              <w:autoSpaceDN w:val="0"/>
              <w:adjustRightInd w:val="0"/>
              <w:jc w:val="right"/>
              <w:rPr>
                <w:rFonts w:asciiTheme="minorHAnsi" w:hAnsiTheme="minorHAnsi" w:cs="Calibri"/>
                <w:b/>
                <w:bCs/>
                <w:color w:val="000000"/>
                <w:sz w:val="18"/>
                <w:szCs w:val="18"/>
              </w:rPr>
            </w:pPr>
          </w:p>
        </w:tc>
        <w:tc>
          <w:tcPr>
            <w:tcW w:w="1851" w:type="dxa"/>
            <w:tcBorders>
              <w:top w:val="nil"/>
              <w:left w:val="nil"/>
              <w:bottom w:val="nil"/>
              <w:right w:val="nil"/>
            </w:tcBorders>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p>
        </w:tc>
        <w:tc>
          <w:tcPr>
            <w:tcW w:w="1348" w:type="dxa"/>
            <w:tcBorders>
              <w:top w:val="nil"/>
              <w:left w:val="nil"/>
              <w:bottom w:val="nil"/>
              <w:right w:val="nil"/>
            </w:tcBorders>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p>
        </w:tc>
        <w:tc>
          <w:tcPr>
            <w:tcW w:w="1361" w:type="dxa"/>
            <w:tcBorders>
              <w:top w:val="nil"/>
              <w:left w:val="nil"/>
              <w:bottom w:val="nil"/>
              <w:right w:val="nil"/>
            </w:tcBorders>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p>
        </w:tc>
        <w:tc>
          <w:tcPr>
            <w:tcW w:w="1361" w:type="dxa"/>
            <w:tcBorders>
              <w:top w:val="nil"/>
              <w:left w:val="nil"/>
              <w:bottom w:val="nil"/>
              <w:right w:val="nil"/>
            </w:tcBorders>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p>
        </w:tc>
        <w:tc>
          <w:tcPr>
            <w:tcW w:w="1625" w:type="dxa"/>
            <w:tcBorders>
              <w:top w:val="nil"/>
              <w:left w:val="nil"/>
              <w:bottom w:val="nil"/>
              <w:right w:val="nil"/>
            </w:tcBorders>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p>
        </w:tc>
      </w:tr>
      <w:tr w:rsidR="000D737D" w:rsidRPr="000D737D" w:rsidTr="000D737D">
        <w:trPr>
          <w:trHeight w:val="238"/>
        </w:trPr>
        <w:tc>
          <w:tcPr>
            <w:tcW w:w="2194" w:type="dxa"/>
            <w:tcBorders>
              <w:top w:val="nil"/>
              <w:left w:val="nil"/>
              <w:bottom w:val="single" w:sz="6" w:space="0" w:color="auto"/>
              <w:right w:val="nil"/>
            </w:tcBorders>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p>
        </w:tc>
        <w:tc>
          <w:tcPr>
            <w:tcW w:w="1941" w:type="dxa"/>
            <w:tcBorders>
              <w:top w:val="nil"/>
              <w:left w:val="nil"/>
              <w:bottom w:val="single" w:sz="6" w:space="0" w:color="auto"/>
              <w:right w:val="nil"/>
            </w:tcBorders>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p>
        </w:tc>
        <w:tc>
          <w:tcPr>
            <w:tcW w:w="1558" w:type="dxa"/>
            <w:tcBorders>
              <w:top w:val="nil"/>
              <w:left w:val="nil"/>
              <w:bottom w:val="single" w:sz="6" w:space="0" w:color="auto"/>
              <w:right w:val="nil"/>
            </w:tcBorders>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p>
        </w:tc>
        <w:tc>
          <w:tcPr>
            <w:tcW w:w="1454" w:type="dxa"/>
            <w:tcBorders>
              <w:top w:val="nil"/>
              <w:left w:val="nil"/>
              <w:bottom w:val="single" w:sz="6" w:space="0" w:color="auto"/>
              <w:right w:val="nil"/>
            </w:tcBorders>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p>
        </w:tc>
        <w:tc>
          <w:tcPr>
            <w:tcW w:w="1851" w:type="dxa"/>
            <w:tcBorders>
              <w:top w:val="nil"/>
              <w:left w:val="nil"/>
              <w:bottom w:val="single" w:sz="6" w:space="0" w:color="auto"/>
              <w:right w:val="nil"/>
            </w:tcBorders>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p>
        </w:tc>
        <w:tc>
          <w:tcPr>
            <w:tcW w:w="1348" w:type="dxa"/>
            <w:tcBorders>
              <w:top w:val="nil"/>
              <w:left w:val="nil"/>
              <w:bottom w:val="single" w:sz="6" w:space="0" w:color="auto"/>
              <w:right w:val="nil"/>
            </w:tcBorders>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p>
        </w:tc>
        <w:tc>
          <w:tcPr>
            <w:tcW w:w="1361" w:type="dxa"/>
            <w:tcBorders>
              <w:top w:val="nil"/>
              <w:left w:val="nil"/>
              <w:bottom w:val="single" w:sz="6" w:space="0" w:color="auto"/>
              <w:right w:val="nil"/>
            </w:tcBorders>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p>
        </w:tc>
        <w:tc>
          <w:tcPr>
            <w:tcW w:w="1361" w:type="dxa"/>
            <w:tcBorders>
              <w:top w:val="nil"/>
              <w:left w:val="nil"/>
              <w:bottom w:val="single" w:sz="6" w:space="0" w:color="auto"/>
              <w:right w:val="nil"/>
            </w:tcBorders>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p>
        </w:tc>
        <w:tc>
          <w:tcPr>
            <w:tcW w:w="1625" w:type="dxa"/>
            <w:tcBorders>
              <w:top w:val="nil"/>
              <w:left w:val="nil"/>
              <w:bottom w:val="single" w:sz="6" w:space="0" w:color="auto"/>
              <w:right w:val="nil"/>
            </w:tcBorders>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p>
        </w:tc>
      </w:tr>
      <w:tr w:rsidR="000D737D" w:rsidRPr="000D737D" w:rsidTr="000D737D">
        <w:trPr>
          <w:trHeight w:val="989"/>
        </w:trPr>
        <w:tc>
          <w:tcPr>
            <w:tcW w:w="2194" w:type="dxa"/>
            <w:tcBorders>
              <w:top w:val="single" w:sz="6" w:space="0" w:color="auto"/>
              <w:left w:val="single" w:sz="6" w:space="0" w:color="auto"/>
              <w:bottom w:val="single" w:sz="6" w:space="0" w:color="auto"/>
              <w:right w:val="single" w:sz="6" w:space="0" w:color="auto"/>
            </w:tcBorders>
            <w:shd w:val="solid" w:color="C0C0C0" w:fill="auto"/>
          </w:tcPr>
          <w:p w:rsidR="000D737D" w:rsidRPr="000D737D" w:rsidRDefault="000D737D" w:rsidP="000D737D">
            <w:pPr>
              <w:widowControl/>
              <w:autoSpaceDE w:val="0"/>
              <w:autoSpaceDN w:val="0"/>
              <w:adjustRightInd w:val="0"/>
              <w:jc w:val="center"/>
              <w:rPr>
                <w:rFonts w:asciiTheme="minorHAnsi" w:hAnsiTheme="minorHAnsi" w:cs="Calibri"/>
                <w:b/>
                <w:bCs/>
                <w:color w:val="000000"/>
                <w:sz w:val="18"/>
                <w:szCs w:val="18"/>
              </w:rPr>
            </w:pPr>
            <w:r w:rsidRPr="000D737D">
              <w:rPr>
                <w:rFonts w:asciiTheme="minorHAnsi" w:hAnsiTheme="minorHAnsi" w:cs="Calibri"/>
                <w:b/>
                <w:bCs/>
                <w:color w:val="000000"/>
                <w:sz w:val="18"/>
                <w:szCs w:val="18"/>
              </w:rPr>
              <w:t>Participating</w:t>
            </w:r>
          </w:p>
          <w:p w:rsidR="000D737D" w:rsidRPr="000D737D" w:rsidRDefault="000D737D" w:rsidP="000D737D">
            <w:pPr>
              <w:widowControl/>
              <w:autoSpaceDE w:val="0"/>
              <w:autoSpaceDN w:val="0"/>
              <w:adjustRightInd w:val="0"/>
              <w:jc w:val="center"/>
              <w:rPr>
                <w:rFonts w:asciiTheme="minorHAnsi" w:hAnsiTheme="minorHAnsi" w:cs="Calibri"/>
                <w:b/>
                <w:bCs/>
                <w:color w:val="000000"/>
                <w:sz w:val="18"/>
                <w:szCs w:val="18"/>
              </w:rPr>
            </w:pPr>
            <w:r w:rsidRPr="000D737D">
              <w:rPr>
                <w:rFonts w:asciiTheme="minorHAnsi" w:hAnsiTheme="minorHAnsi" w:cs="Calibri"/>
                <w:b/>
                <w:bCs/>
                <w:color w:val="000000"/>
                <w:sz w:val="18"/>
                <w:szCs w:val="18"/>
              </w:rPr>
              <w:t xml:space="preserve"> UN Org.</w:t>
            </w:r>
          </w:p>
        </w:tc>
        <w:tc>
          <w:tcPr>
            <w:tcW w:w="1941" w:type="dxa"/>
            <w:tcBorders>
              <w:top w:val="single" w:sz="6" w:space="0" w:color="auto"/>
              <w:left w:val="single" w:sz="6" w:space="0" w:color="auto"/>
              <w:bottom w:val="single" w:sz="6" w:space="0" w:color="auto"/>
              <w:right w:val="single" w:sz="6" w:space="0" w:color="auto"/>
            </w:tcBorders>
            <w:shd w:val="solid" w:color="C0C0C0" w:fill="auto"/>
          </w:tcPr>
          <w:p w:rsidR="000D737D" w:rsidRPr="000D737D" w:rsidRDefault="000D737D" w:rsidP="000D737D">
            <w:pPr>
              <w:widowControl/>
              <w:autoSpaceDE w:val="0"/>
              <w:autoSpaceDN w:val="0"/>
              <w:adjustRightInd w:val="0"/>
              <w:rPr>
                <w:rFonts w:asciiTheme="minorHAnsi" w:hAnsiTheme="minorHAnsi" w:cs="Calibri"/>
                <w:b/>
                <w:bCs/>
                <w:color w:val="000000"/>
                <w:sz w:val="18"/>
                <w:szCs w:val="18"/>
              </w:rPr>
            </w:pPr>
            <w:r w:rsidRPr="000D737D">
              <w:rPr>
                <w:rFonts w:asciiTheme="minorHAnsi" w:hAnsiTheme="minorHAnsi" w:cs="Calibri"/>
                <w:b/>
                <w:bCs/>
                <w:color w:val="000000"/>
                <w:sz w:val="18"/>
                <w:szCs w:val="18"/>
              </w:rPr>
              <w:t>Total Transferred  from MDTF (USD)</w:t>
            </w:r>
          </w:p>
        </w:tc>
        <w:tc>
          <w:tcPr>
            <w:tcW w:w="1558" w:type="dxa"/>
            <w:gridSpan w:val="2"/>
            <w:tcBorders>
              <w:top w:val="single" w:sz="6" w:space="0" w:color="auto"/>
              <w:left w:val="single" w:sz="6" w:space="0" w:color="auto"/>
              <w:bottom w:val="single" w:sz="6" w:space="0" w:color="auto"/>
              <w:right w:val="nil"/>
            </w:tcBorders>
            <w:shd w:val="solid" w:color="C0C0C0" w:fill="auto"/>
          </w:tcPr>
          <w:p w:rsidR="000D737D" w:rsidRPr="000D737D" w:rsidRDefault="000D737D" w:rsidP="000D737D">
            <w:pPr>
              <w:widowControl/>
              <w:autoSpaceDE w:val="0"/>
              <w:autoSpaceDN w:val="0"/>
              <w:adjustRightInd w:val="0"/>
              <w:jc w:val="center"/>
              <w:rPr>
                <w:rFonts w:asciiTheme="minorHAnsi" w:hAnsiTheme="minorHAnsi" w:cs="Calibri"/>
                <w:b/>
                <w:bCs/>
                <w:color w:val="000000"/>
                <w:sz w:val="18"/>
                <w:szCs w:val="18"/>
              </w:rPr>
            </w:pPr>
            <w:r w:rsidRPr="000D737D">
              <w:rPr>
                <w:rFonts w:asciiTheme="minorHAnsi" w:hAnsiTheme="minorHAnsi" w:cs="Calibri"/>
                <w:b/>
                <w:bCs/>
                <w:color w:val="000000"/>
                <w:sz w:val="18"/>
                <w:szCs w:val="18"/>
              </w:rPr>
              <w:t>Cumulative Expenditures</w:t>
            </w:r>
          </w:p>
        </w:tc>
        <w:tc>
          <w:tcPr>
            <w:tcW w:w="1851" w:type="dxa"/>
            <w:tcBorders>
              <w:top w:val="single" w:sz="6" w:space="0" w:color="auto"/>
              <w:left w:val="nil"/>
              <w:bottom w:val="single" w:sz="6" w:space="0" w:color="auto"/>
              <w:right w:val="single" w:sz="6" w:space="0" w:color="auto"/>
            </w:tcBorders>
            <w:shd w:val="solid" w:color="C0C0C0" w:fill="auto"/>
          </w:tcPr>
          <w:p w:rsidR="000D737D" w:rsidRPr="000D737D" w:rsidRDefault="000D737D" w:rsidP="000D737D">
            <w:pPr>
              <w:widowControl/>
              <w:autoSpaceDE w:val="0"/>
              <w:autoSpaceDN w:val="0"/>
              <w:adjustRightInd w:val="0"/>
              <w:jc w:val="center"/>
              <w:rPr>
                <w:rFonts w:asciiTheme="minorHAnsi" w:hAnsiTheme="minorHAnsi" w:cs="Calibri"/>
                <w:b/>
                <w:bCs/>
                <w:color w:val="000000"/>
                <w:sz w:val="18"/>
                <w:szCs w:val="18"/>
              </w:rPr>
            </w:pPr>
          </w:p>
        </w:tc>
        <w:tc>
          <w:tcPr>
            <w:tcW w:w="1348" w:type="dxa"/>
            <w:tcBorders>
              <w:top w:val="single" w:sz="6" w:space="0" w:color="auto"/>
              <w:left w:val="single" w:sz="6" w:space="0" w:color="auto"/>
              <w:bottom w:val="single" w:sz="6" w:space="0" w:color="auto"/>
              <w:right w:val="nil"/>
            </w:tcBorders>
            <w:shd w:val="solid" w:color="C0C0C0" w:fill="auto"/>
          </w:tcPr>
          <w:p w:rsidR="000D737D" w:rsidRPr="000D737D" w:rsidRDefault="000D737D" w:rsidP="000D737D">
            <w:pPr>
              <w:widowControl/>
              <w:autoSpaceDE w:val="0"/>
              <w:autoSpaceDN w:val="0"/>
              <w:adjustRightInd w:val="0"/>
              <w:jc w:val="center"/>
              <w:rPr>
                <w:rFonts w:asciiTheme="minorHAnsi" w:hAnsiTheme="minorHAnsi" w:cs="Calibri"/>
                <w:b/>
                <w:bCs/>
                <w:color w:val="000000"/>
                <w:sz w:val="18"/>
                <w:szCs w:val="18"/>
              </w:rPr>
            </w:pPr>
            <w:r w:rsidRPr="000D737D">
              <w:rPr>
                <w:rFonts w:asciiTheme="minorHAnsi" w:hAnsiTheme="minorHAnsi" w:cs="Calibri"/>
                <w:b/>
                <w:bCs/>
                <w:color w:val="000000"/>
                <w:sz w:val="18"/>
                <w:szCs w:val="18"/>
              </w:rPr>
              <w:t>Delivery rates</w:t>
            </w:r>
          </w:p>
        </w:tc>
        <w:tc>
          <w:tcPr>
            <w:tcW w:w="1361" w:type="dxa"/>
            <w:tcBorders>
              <w:top w:val="single" w:sz="6" w:space="0" w:color="auto"/>
              <w:left w:val="nil"/>
              <w:bottom w:val="single" w:sz="6" w:space="0" w:color="auto"/>
              <w:right w:val="nil"/>
            </w:tcBorders>
            <w:shd w:val="solid" w:color="C0C0C0" w:fill="auto"/>
          </w:tcPr>
          <w:p w:rsidR="000D737D" w:rsidRPr="000D737D" w:rsidRDefault="000D737D" w:rsidP="000D737D">
            <w:pPr>
              <w:widowControl/>
              <w:autoSpaceDE w:val="0"/>
              <w:autoSpaceDN w:val="0"/>
              <w:adjustRightInd w:val="0"/>
              <w:jc w:val="center"/>
              <w:rPr>
                <w:rFonts w:asciiTheme="minorHAnsi" w:hAnsiTheme="minorHAnsi" w:cs="Calibri"/>
                <w:b/>
                <w:bCs/>
                <w:color w:val="000000"/>
                <w:sz w:val="18"/>
                <w:szCs w:val="18"/>
              </w:rPr>
            </w:pPr>
          </w:p>
        </w:tc>
        <w:tc>
          <w:tcPr>
            <w:tcW w:w="1361" w:type="dxa"/>
            <w:tcBorders>
              <w:top w:val="single" w:sz="6" w:space="0" w:color="auto"/>
              <w:left w:val="nil"/>
              <w:bottom w:val="single" w:sz="6" w:space="0" w:color="auto"/>
              <w:right w:val="single" w:sz="6" w:space="0" w:color="auto"/>
            </w:tcBorders>
            <w:shd w:val="solid" w:color="C0C0C0" w:fill="auto"/>
          </w:tcPr>
          <w:p w:rsidR="000D737D" w:rsidRPr="000D737D" w:rsidRDefault="000D737D" w:rsidP="000D737D">
            <w:pPr>
              <w:widowControl/>
              <w:autoSpaceDE w:val="0"/>
              <w:autoSpaceDN w:val="0"/>
              <w:adjustRightInd w:val="0"/>
              <w:jc w:val="center"/>
              <w:rPr>
                <w:rFonts w:asciiTheme="minorHAnsi" w:hAnsiTheme="minorHAnsi" w:cs="Calibri"/>
                <w:b/>
                <w:bCs/>
                <w:color w:val="000000"/>
                <w:sz w:val="18"/>
                <w:szCs w:val="18"/>
              </w:rPr>
            </w:pPr>
          </w:p>
        </w:tc>
        <w:tc>
          <w:tcPr>
            <w:tcW w:w="1625" w:type="dxa"/>
            <w:tcBorders>
              <w:top w:val="single" w:sz="6" w:space="0" w:color="auto"/>
              <w:left w:val="single" w:sz="6" w:space="0" w:color="auto"/>
              <w:bottom w:val="single" w:sz="6" w:space="0" w:color="auto"/>
              <w:right w:val="single" w:sz="6" w:space="0" w:color="auto"/>
            </w:tcBorders>
            <w:shd w:val="solid" w:color="C0C0C0" w:fill="auto"/>
          </w:tcPr>
          <w:p w:rsidR="000D737D" w:rsidRPr="000D737D" w:rsidRDefault="000D737D" w:rsidP="000D737D">
            <w:pPr>
              <w:widowControl/>
              <w:autoSpaceDE w:val="0"/>
              <w:autoSpaceDN w:val="0"/>
              <w:adjustRightInd w:val="0"/>
              <w:rPr>
                <w:rFonts w:asciiTheme="minorHAnsi" w:hAnsiTheme="minorHAnsi" w:cs="Calibri"/>
                <w:b/>
                <w:bCs/>
                <w:color w:val="000000"/>
                <w:sz w:val="18"/>
                <w:szCs w:val="18"/>
              </w:rPr>
            </w:pPr>
            <w:r w:rsidRPr="000D737D">
              <w:rPr>
                <w:rFonts w:asciiTheme="minorHAnsi" w:hAnsiTheme="minorHAnsi" w:cs="Calibri"/>
                <w:b/>
                <w:bCs/>
                <w:color w:val="000000"/>
                <w:sz w:val="18"/>
                <w:szCs w:val="18"/>
              </w:rPr>
              <w:t>Fund Balance</w:t>
            </w:r>
          </w:p>
        </w:tc>
      </w:tr>
      <w:tr w:rsidR="000D737D" w:rsidRPr="000D737D" w:rsidTr="000D737D">
        <w:trPr>
          <w:trHeight w:val="499"/>
        </w:trPr>
        <w:tc>
          <w:tcPr>
            <w:tcW w:w="2194"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jc w:val="right"/>
              <w:rPr>
                <w:rFonts w:asciiTheme="minorHAnsi" w:hAnsiTheme="minorHAnsi" w:cs="Calibri"/>
                <w:b/>
                <w:bCs/>
                <w:color w:val="000000"/>
                <w:sz w:val="18"/>
                <w:szCs w:val="18"/>
              </w:rPr>
            </w:pPr>
          </w:p>
        </w:tc>
        <w:tc>
          <w:tcPr>
            <w:tcW w:w="1941"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jc w:val="right"/>
              <w:rPr>
                <w:rFonts w:asciiTheme="minorHAnsi" w:hAnsiTheme="minorHAnsi" w:cs="Calibri"/>
                <w:b/>
                <w:bCs/>
                <w:color w:val="000000"/>
                <w:sz w:val="18"/>
                <w:szCs w:val="18"/>
              </w:rPr>
            </w:pPr>
          </w:p>
        </w:tc>
        <w:tc>
          <w:tcPr>
            <w:tcW w:w="1558" w:type="dxa"/>
            <w:tcBorders>
              <w:top w:val="single" w:sz="6" w:space="0" w:color="auto"/>
              <w:left w:val="single" w:sz="6" w:space="0" w:color="auto"/>
              <w:bottom w:val="single" w:sz="6" w:space="0" w:color="auto"/>
              <w:right w:val="nil"/>
            </w:tcBorders>
          </w:tcPr>
          <w:p w:rsidR="000D737D" w:rsidRPr="000D737D" w:rsidRDefault="000D737D" w:rsidP="000D737D">
            <w:pPr>
              <w:widowControl/>
              <w:autoSpaceDE w:val="0"/>
              <w:autoSpaceDN w:val="0"/>
              <w:adjustRightInd w:val="0"/>
              <w:jc w:val="center"/>
              <w:rPr>
                <w:rFonts w:asciiTheme="minorHAnsi" w:hAnsiTheme="minorHAnsi" w:cs="Calibri"/>
                <w:b/>
                <w:bCs/>
                <w:color w:val="000000"/>
                <w:sz w:val="18"/>
                <w:szCs w:val="18"/>
              </w:rPr>
            </w:pPr>
          </w:p>
        </w:tc>
        <w:tc>
          <w:tcPr>
            <w:tcW w:w="1454" w:type="dxa"/>
            <w:tcBorders>
              <w:top w:val="single" w:sz="6" w:space="0" w:color="auto"/>
              <w:left w:val="nil"/>
              <w:bottom w:val="single" w:sz="6" w:space="0" w:color="auto"/>
              <w:right w:val="single" w:sz="6" w:space="0" w:color="auto"/>
            </w:tcBorders>
          </w:tcPr>
          <w:p w:rsidR="000D737D" w:rsidRPr="000D737D" w:rsidRDefault="000D737D" w:rsidP="000D737D">
            <w:pPr>
              <w:widowControl/>
              <w:autoSpaceDE w:val="0"/>
              <w:autoSpaceDN w:val="0"/>
              <w:adjustRightInd w:val="0"/>
              <w:jc w:val="center"/>
              <w:rPr>
                <w:rFonts w:asciiTheme="minorHAnsi" w:hAnsiTheme="minorHAnsi" w:cs="Calibri"/>
                <w:b/>
                <w:bCs/>
                <w:color w:val="000000"/>
                <w:sz w:val="18"/>
                <w:szCs w:val="18"/>
              </w:rPr>
            </w:pPr>
          </w:p>
        </w:tc>
        <w:tc>
          <w:tcPr>
            <w:tcW w:w="1851"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jc w:val="center"/>
              <w:rPr>
                <w:rFonts w:asciiTheme="minorHAnsi" w:hAnsiTheme="minorHAnsi" w:cs="Calibri"/>
                <w:b/>
                <w:bCs/>
                <w:color w:val="000000"/>
                <w:sz w:val="18"/>
                <w:szCs w:val="18"/>
              </w:rPr>
            </w:pPr>
            <w:r w:rsidRPr="000D737D">
              <w:rPr>
                <w:rFonts w:asciiTheme="minorHAnsi" w:hAnsiTheme="minorHAnsi" w:cs="Calibri"/>
                <w:b/>
                <w:bCs/>
                <w:color w:val="000000"/>
                <w:sz w:val="18"/>
                <w:szCs w:val="18"/>
              </w:rPr>
              <w:t>Total Expenditures</w:t>
            </w:r>
          </w:p>
        </w:tc>
        <w:tc>
          <w:tcPr>
            <w:tcW w:w="1348"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p>
        </w:tc>
        <w:tc>
          <w:tcPr>
            <w:tcW w:w="1361"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p>
        </w:tc>
        <w:tc>
          <w:tcPr>
            <w:tcW w:w="1361"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p>
        </w:tc>
        <w:tc>
          <w:tcPr>
            <w:tcW w:w="1625"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p>
        </w:tc>
      </w:tr>
      <w:tr w:rsidR="000D737D" w:rsidRPr="000D737D" w:rsidTr="000D737D">
        <w:trPr>
          <w:trHeight w:val="250"/>
        </w:trPr>
        <w:tc>
          <w:tcPr>
            <w:tcW w:w="2194"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jc w:val="right"/>
              <w:rPr>
                <w:rFonts w:asciiTheme="minorHAnsi" w:hAnsiTheme="minorHAnsi" w:cs="Calibri"/>
                <w:b/>
                <w:bCs/>
                <w:color w:val="000000"/>
                <w:sz w:val="18"/>
                <w:szCs w:val="18"/>
              </w:rPr>
            </w:pPr>
          </w:p>
        </w:tc>
        <w:tc>
          <w:tcPr>
            <w:tcW w:w="1941"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jc w:val="right"/>
              <w:rPr>
                <w:rFonts w:asciiTheme="minorHAnsi" w:hAnsiTheme="minorHAnsi" w:cs="Calibri"/>
                <w:b/>
                <w:bCs/>
                <w:color w:val="000000"/>
                <w:sz w:val="18"/>
                <w:szCs w:val="18"/>
              </w:rPr>
            </w:pPr>
          </w:p>
        </w:tc>
        <w:tc>
          <w:tcPr>
            <w:tcW w:w="1558" w:type="dxa"/>
            <w:tcBorders>
              <w:top w:val="single" w:sz="6" w:space="0" w:color="auto"/>
              <w:left w:val="single" w:sz="6" w:space="0" w:color="auto"/>
              <w:bottom w:val="single" w:sz="6" w:space="0" w:color="auto"/>
              <w:right w:val="nil"/>
            </w:tcBorders>
          </w:tcPr>
          <w:p w:rsidR="000D737D" w:rsidRPr="000D737D" w:rsidRDefault="000D737D" w:rsidP="000D737D">
            <w:pPr>
              <w:widowControl/>
              <w:autoSpaceDE w:val="0"/>
              <w:autoSpaceDN w:val="0"/>
              <w:adjustRightInd w:val="0"/>
              <w:jc w:val="center"/>
              <w:rPr>
                <w:rFonts w:asciiTheme="minorHAnsi" w:hAnsiTheme="minorHAnsi" w:cs="Calibri"/>
                <w:b/>
                <w:bCs/>
                <w:color w:val="000000"/>
                <w:sz w:val="18"/>
                <w:szCs w:val="18"/>
              </w:rPr>
            </w:pPr>
            <w:r w:rsidRPr="000D737D">
              <w:rPr>
                <w:rFonts w:asciiTheme="minorHAnsi" w:hAnsiTheme="minorHAnsi" w:cs="Calibri"/>
                <w:b/>
                <w:bCs/>
                <w:color w:val="000000"/>
                <w:sz w:val="18"/>
                <w:szCs w:val="18"/>
              </w:rPr>
              <w:t>ACTUALS</w:t>
            </w:r>
          </w:p>
        </w:tc>
        <w:tc>
          <w:tcPr>
            <w:tcW w:w="1454" w:type="dxa"/>
            <w:tcBorders>
              <w:top w:val="single" w:sz="6" w:space="0" w:color="auto"/>
              <w:left w:val="nil"/>
              <w:bottom w:val="single" w:sz="6" w:space="0" w:color="auto"/>
              <w:right w:val="single" w:sz="6" w:space="0" w:color="auto"/>
            </w:tcBorders>
          </w:tcPr>
          <w:p w:rsidR="000D737D" w:rsidRPr="000D737D" w:rsidRDefault="000D737D" w:rsidP="000D737D">
            <w:pPr>
              <w:widowControl/>
              <w:autoSpaceDE w:val="0"/>
              <w:autoSpaceDN w:val="0"/>
              <w:adjustRightInd w:val="0"/>
              <w:jc w:val="center"/>
              <w:rPr>
                <w:rFonts w:asciiTheme="minorHAnsi" w:hAnsiTheme="minorHAnsi" w:cs="Calibri"/>
                <w:b/>
                <w:bCs/>
                <w:color w:val="000000"/>
                <w:sz w:val="18"/>
                <w:szCs w:val="18"/>
              </w:rPr>
            </w:pPr>
          </w:p>
        </w:tc>
        <w:tc>
          <w:tcPr>
            <w:tcW w:w="1851"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jc w:val="center"/>
              <w:rPr>
                <w:rFonts w:asciiTheme="minorHAnsi" w:hAnsiTheme="minorHAnsi" w:cs="Calibri"/>
                <w:b/>
                <w:bCs/>
                <w:color w:val="000000"/>
                <w:sz w:val="18"/>
                <w:szCs w:val="18"/>
              </w:rPr>
            </w:pPr>
          </w:p>
        </w:tc>
        <w:tc>
          <w:tcPr>
            <w:tcW w:w="1348"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p>
        </w:tc>
        <w:tc>
          <w:tcPr>
            <w:tcW w:w="1361"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p>
        </w:tc>
        <w:tc>
          <w:tcPr>
            <w:tcW w:w="1361"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p>
        </w:tc>
        <w:tc>
          <w:tcPr>
            <w:tcW w:w="1625"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p>
        </w:tc>
      </w:tr>
      <w:tr w:rsidR="000D737D" w:rsidRPr="000D737D" w:rsidTr="000D737D">
        <w:trPr>
          <w:trHeight w:val="749"/>
        </w:trPr>
        <w:tc>
          <w:tcPr>
            <w:tcW w:w="2194"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jc w:val="right"/>
              <w:rPr>
                <w:rFonts w:asciiTheme="minorHAnsi" w:hAnsiTheme="minorHAnsi" w:cs="Calibri"/>
                <w:b/>
                <w:bCs/>
                <w:color w:val="000000"/>
                <w:sz w:val="18"/>
                <w:szCs w:val="18"/>
              </w:rPr>
            </w:pPr>
          </w:p>
        </w:tc>
        <w:tc>
          <w:tcPr>
            <w:tcW w:w="1941"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jc w:val="right"/>
              <w:rPr>
                <w:rFonts w:asciiTheme="minorHAnsi" w:hAnsiTheme="minorHAnsi" w:cs="Calibri"/>
                <w:b/>
                <w:bCs/>
                <w:color w:val="000000"/>
                <w:sz w:val="18"/>
                <w:szCs w:val="18"/>
              </w:rPr>
            </w:pPr>
          </w:p>
        </w:tc>
        <w:tc>
          <w:tcPr>
            <w:tcW w:w="1558"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rPr>
                <w:rFonts w:asciiTheme="minorHAnsi" w:hAnsiTheme="minorHAnsi" w:cs="Calibri"/>
                <w:b/>
                <w:bCs/>
                <w:color w:val="000000"/>
                <w:sz w:val="18"/>
                <w:szCs w:val="18"/>
              </w:rPr>
            </w:pPr>
            <w:r w:rsidRPr="000D737D">
              <w:rPr>
                <w:rFonts w:asciiTheme="minorHAnsi" w:hAnsiTheme="minorHAnsi" w:cs="Calibri"/>
                <w:b/>
                <w:bCs/>
                <w:color w:val="000000"/>
                <w:sz w:val="18"/>
                <w:szCs w:val="18"/>
              </w:rPr>
              <w:t xml:space="preserve">Commitments </w:t>
            </w:r>
          </w:p>
        </w:tc>
        <w:tc>
          <w:tcPr>
            <w:tcW w:w="1454"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rPr>
                <w:rFonts w:asciiTheme="minorHAnsi" w:hAnsiTheme="minorHAnsi" w:cs="Calibri"/>
                <w:b/>
                <w:bCs/>
                <w:color w:val="000000"/>
                <w:sz w:val="18"/>
                <w:szCs w:val="18"/>
              </w:rPr>
            </w:pPr>
            <w:r w:rsidRPr="000D737D">
              <w:rPr>
                <w:rFonts w:asciiTheme="minorHAnsi" w:hAnsiTheme="minorHAnsi" w:cs="Calibri"/>
                <w:b/>
                <w:bCs/>
                <w:color w:val="000000"/>
                <w:sz w:val="18"/>
                <w:szCs w:val="18"/>
              </w:rPr>
              <w:t xml:space="preserve">Disbursements </w:t>
            </w:r>
          </w:p>
        </w:tc>
        <w:tc>
          <w:tcPr>
            <w:tcW w:w="1851"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jc w:val="right"/>
              <w:rPr>
                <w:rFonts w:asciiTheme="minorHAnsi" w:hAnsiTheme="minorHAnsi" w:cs="Calibri"/>
                <w:b/>
                <w:bCs/>
                <w:color w:val="000000"/>
                <w:sz w:val="18"/>
                <w:szCs w:val="18"/>
              </w:rPr>
            </w:pPr>
          </w:p>
        </w:tc>
        <w:tc>
          <w:tcPr>
            <w:tcW w:w="1348"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rPr>
                <w:rFonts w:asciiTheme="minorHAnsi" w:hAnsiTheme="minorHAnsi" w:cs="Calibri"/>
                <w:b/>
                <w:bCs/>
                <w:color w:val="000000"/>
                <w:sz w:val="18"/>
                <w:szCs w:val="18"/>
              </w:rPr>
            </w:pPr>
            <w:r w:rsidRPr="000D737D">
              <w:rPr>
                <w:rFonts w:asciiTheme="minorHAnsi" w:hAnsiTheme="minorHAnsi" w:cs="Calibri"/>
                <w:b/>
                <w:bCs/>
                <w:color w:val="000000"/>
                <w:sz w:val="18"/>
                <w:szCs w:val="18"/>
              </w:rPr>
              <w:t xml:space="preserve">Committment </w:t>
            </w:r>
          </w:p>
          <w:p w:rsidR="000D737D" w:rsidRPr="000D737D" w:rsidRDefault="000D737D" w:rsidP="000D737D">
            <w:pPr>
              <w:widowControl/>
              <w:autoSpaceDE w:val="0"/>
              <w:autoSpaceDN w:val="0"/>
              <w:adjustRightInd w:val="0"/>
              <w:rPr>
                <w:rFonts w:asciiTheme="minorHAnsi" w:hAnsiTheme="minorHAnsi" w:cs="Calibri"/>
                <w:b/>
                <w:bCs/>
                <w:color w:val="000000"/>
                <w:sz w:val="18"/>
                <w:szCs w:val="18"/>
              </w:rPr>
            </w:pPr>
            <w:r w:rsidRPr="000D737D">
              <w:rPr>
                <w:rFonts w:asciiTheme="minorHAnsi" w:hAnsiTheme="minorHAnsi" w:cs="Calibri"/>
                <w:b/>
                <w:bCs/>
                <w:color w:val="000000"/>
                <w:sz w:val="18"/>
                <w:szCs w:val="18"/>
              </w:rPr>
              <w:t>Rate</w:t>
            </w:r>
          </w:p>
        </w:tc>
        <w:tc>
          <w:tcPr>
            <w:tcW w:w="1361"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rPr>
                <w:rFonts w:asciiTheme="minorHAnsi" w:hAnsiTheme="minorHAnsi" w:cs="Calibri"/>
                <w:b/>
                <w:bCs/>
                <w:color w:val="000000"/>
                <w:sz w:val="18"/>
                <w:szCs w:val="18"/>
              </w:rPr>
            </w:pPr>
            <w:r w:rsidRPr="000D737D">
              <w:rPr>
                <w:rFonts w:asciiTheme="minorHAnsi" w:hAnsiTheme="minorHAnsi" w:cs="Calibri"/>
                <w:b/>
                <w:bCs/>
                <w:color w:val="000000"/>
                <w:sz w:val="18"/>
                <w:szCs w:val="18"/>
              </w:rPr>
              <w:t>Disbursement</w:t>
            </w:r>
          </w:p>
          <w:p w:rsidR="000D737D" w:rsidRPr="000D737D" w:rsidRDefault="000D737D" w:rsidP="000D737D">
            <w:pPr>
              <w:widowControl/>
              <w:autoSpaceDE w:val="0"/>
              <w:autoSpaceDN w:val="0"/>
              <w:adjustRightInd w:val="0"/>
              <w:rPr>
                <w:rFonts w:asciiTheme="minorHAnsi" w:hAnsiTheme="minorHAnsi" w:cs="Calibri"/>
                <w:b/>
                <w:bCs/>
                <w:color w:val="000000"/>
                <w:sz w:val="18"/>
                <w:szCs w:val="18"/>
              </w:rPr>
            </w:pPr>
            <w:r w:rsidRPr="000D737D">
              <w:rPr>
                <w:rFonts w:asciiTheme="minorHAnsi" w:hAnsiTheme="minorHAnsi" w:cs="Calibri"/>
                <w:b/>
                <w:bCs/>
                <w:color w:val="000000"/>
                <w:sz w:val="18"/>
                <w:szCs w:val="18"/>
              </w:rPr>
              <w:t xml:space="preserve"> Rate</w:t>
            </w:r>
          </w:p>
        </w:tc>
        <w:tc>
          <w:tcPr>
            <w:tcW w:w="1361"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rPr>
                <w:rFonts w:asciiTheme="minorHAnsi" w:hAnsiTheme="minorHAnsi" w:cs="Calibri"/>
                <w:b/>
                <w:bCs/>
                <w:color w:val="000000"/>
                <w:sz w:val="18"/>
                <w:szCs w:val="18"/>
              </w:rPr>
            </w:pPr>
            <w:r w:rsidRPr="000D737D">
              <w:rPr>
                <w:rFonts w:asciiTheme="minorHAnsi" w:hAnsiTheme="minorHAnsi" w:cs="Calibri"/>
                <w:b/>
                <w:bCs/>
                <w:color w:val="000000"/>
                <w:sz w:val="18"/>
                <w:szCs w:val="18"/>
              </w:rPr>
              <w:t>Total Delivery Rate</w:t>
            </w:r>
          </w:p>
        </w:tc>
        <w:tc>
          <w:tcPr>
            <w:tcW w:w="1625"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rPr>
                <w:rFonts w:asciiTheme="minorHAnsi" w:hAnsiTheme="minorHAnsi" w:cs="Calibri"/>
                <w:b/>
                <w:bCs/>
                <w:color w:val="000000"/>
                <w:sz w:val="18"/>
                <w:szCs w:val="18"/>
              </w:rPr>
            </w:pPr>
            <w:r w:rsidRPr="000D737D">
              <w:rPr>
                <w:rFonts w:asciiTheme="minorHAnsi" w:hAnsiTheme="minorHAnsi" w:cs="Calibri"/>
                <w:b/>
                <w:bCs/>
                <w:color w:val="000000"/>
                <w:sz w:val="18"/>
                <w:szCs w:val="18"/>
              </w:rPr>
              <w:t xml:space="preserve"> Balance</w:t>
            </w:r>
          </w:p>
        </w:tc>
      </w:tr>
      <w:tr w:rsidR="000D737D" w:rsidRPr="000D737D" w:rsidTr="000D737D">
        <w:trPr>
          <w:trHeight w:val="250"/>
        </w:trPr>
        <w:tc>
          <w:tcPr>
            <w:tcW w:w="2194"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rPr>
                <w:rFonts w:asciiTheme="minorHAnsi" w:hAnsiTheme="minorHAnsi" w:cs="Calibri"/>
                <w:b/>
                <w:bCs/>
                <w:color w:val="000000"/>
                <w:sz w:val="18"/>
                <w:szCs w:val="18"/>
              </w:rPr>
            </w:pPr>
            <w:r w:rsidRPr="000D737D">
              <w:rPr>
                <w:rFonts w:asciiTheme="minorHAnsi" w:hAnsiTheme="minorHAnsi" w:cs="Calibri"/>
                <w:b/>
                <w:bCs/>
                <w:color w:val="000000"/>
                <w:sz w:val="18"/>
                <w:szCs w:val="18"/>
              </w:rPr>
              <w:t>FAO</w:t>
            </w:r>
          </w:p>
        </w:tc>
        <w:tc>
          <w:tcPr>
            <w:tcW w:w="1941"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r w:rsidRPr="000D737D">
              <w:rPr>
                <w:rFonts w:asciiTheme="minorHAnsi" w:hAnsiTheme="minorHAnsi" w:cs="Calibri"/>
                <w:color w:val="000000"/>
                <w:sz w:val="18"/>
                <w:szCs w:val="18"/>
              </w:rPr>
              <w:t xml:space="preserve">                  1,927,926 </w:t>
            </w:r>
          </w:p>
        </w:tc>
        <w:tc>
          <w:tcPr>
            <w:tcW w:w="1558"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r w:rsidRPr="000D737D">
              <w:rPr>
                <w:rFonts w:asciiTheme="minorHAnsi" w:hAnsiTheme="minorHAnsi" w:cs="Calibri"/>
                <w:color w:val="000000"/>
                <w:sz w:val="18"/>
                <w:szCs w:val="18"/>
              </w:rPr>
              <w:t xml:space="preserve">         492,190.00 </w:t>
            </w:r>
          </w:p>
        </w:tc>
        <w:tc>
          <w:tcPr>
            <w:tcW w:w="1454"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r w:rsidRPr="000D737D">
              <w:rPr>
                <w:rFonts w:asciiTheme="minorHAnsi" w:hAnsiTheme="minorHAnsi" w:cs="Calibri"/>
                <w:color w:val="000000"/>
                <w:sz w:val="18"/>
                <w:szCs w:val="18"/>
              </w:rPr>
              <w:t xml:space="preserve">    1,435,266.00 </w:t>
            </w:r>
          </w:p>
        </w:tc>
        <w:tc>
          <w:tcPr>
            <w:tcW w:w="1851"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r w:rsidRPr="000D737D">
              <w:rPr>
                <w:rFonts w:asciiTheme="minorHAnsi" w:hAnsiTheme="minorHAnsi" w:cs="Calibri"/>
                <w:color w:val="000000"/>
                <w:sz w:val="18"/>
                <w:szCs w:val="18"/>
              </w:rPr>
              <w:t xml:space="preserve">                1,927,456 </w:t>
            </w:r>
          </w:p>
        </w:tc>
        <w:tc>
          <w:tcPr>
            <w:tcW w:w="1348"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r w:rsidRPr="000D737D">
              <w:rPr>
                <w:rFonts w:asciiTheme="minorHAnsi" w:hAnsiTheme="minorHAnsi" w:cs="Calibri"/>
                <w:color w:val="000000"/>
                <w:sz w:val="18"/>
                <w:szCs w:val="18"/>
              </w:rPr>
              <w:t>26%</w:t>
            </w:r>
          </w:p>
        </w:tc>
        <w:tc>
          <w:tcPr>
            <w:tcW w:w="1361"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r w:rsidRPr="000D737D">
              <w:rPr>
                <w:rFonts w:asciiTheme="minorHAnsi" w:hAnsiTheme="minorHAnsi" w:cs="Calibri"/>
                <w:color w:val="000000"/>
                <w:sz w:val="18"/>
                <w:szCs w:val="18"/>
              </w:rPr>
              <w:t>74%</w:t>
            </w:r>
          </w:p>
        </w:tc>
        <w:tc>
          <w:tcPr>
            <w:tcW w:w="1361"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r w:rsidRPr="000D737D">
              <w:rPr>
                <w:rFonts w:asciiTheme="minorHAnsi" w:hAnsiTheme="minorHAnsi" w:cs="Calibri"/>
                <w:color w:val="000000"/>
                <w:sz w:val="18"/>
                <w:szCs w:val="18"/>
              </w:rPr>
              <w:t>100%</w:t>
            </w:r>
          </w:p>
        </w:tc>
        <w:tc>
          <w:tcPr>
            <w:tcW w:w="1625"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r w:rsidRPr="000D737D">
              <w:rPr>
                <w:rFonts w:asciiTheme="minorHAnsi" w:hAnsiTheme="minorHAnsi" w:cs="Calibri"/>
                <w:color w:val="000000"/>
                <w:sz w:val="18"/>
                <w:szCs w:val="18"/>
              </w:rPr>
              <w:t xml:space="preserve">                 470.00 </w:t>
            </w:r>
          </w:p>
        </w:tc>
      </w:tr>
      <w:tr w:rsidR="000D737D" w:rsidRPr="000D737D" w:rsidTr="000D737D">
        <w:trPr>
          <w:trHeight w:val="250"/>
        </w:trPr>
        <w:tc>
          <w:tcPr>
            <w:tcW w:w="2194"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rPr>
                <w:rFonts w:asciiTheme="minorHAnsi" w:hAnsiTheme="minorHAnsi" w:cs="Calibri"/>
                <w:b/>
                <w:bCs/>
                <w:color w:val="000000"/>
                <w:sz w:val="18"/>
                <w:szCs w:val="18"/>
              </w:rPr>
            </w:pPr>
            <w:r w:rsidRPr="000D737D">
              <w:rPr>
                <w:rFonts w:asciiTheme="minorHAnsi" w:hAnsiTheme="minorHAnsi" w:cs="Calibri"/>
                <w:b/>
                <w:bCs/>
                <w:color w:val="000000"/>
                <w:sz w:val="18"/>
                <w:szCs w:val="18"/>
              </w:rPr>
              <w:t>UNDP</w:t>
            </w:r>
          </w:p>
        </w:tc>
        <w:tc>
          <w:tcPr>
            <w:tcW w:w="1941"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r w:rsidRPr="000D737D">
              <w:rPr>
                <w:rFonts w:asciiTheme="minorHAnsi" w:hAnsiTheme="minorHAnsi" w:cs="Calibri"/>
                <w:color w:val="000000"/>
                <w:sz w:val="18"/>
                <w:szCs w:val="18"/>
              </w:rPr>
              <w:t xml:space="preserve">                  1,890,851 </w:t>
            </w:r>
          </w:p>
        </w:tc>
        <w:tc>
          <w:tcPr>
            <w:tcW w:w="1558"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r w:rsidRPr="000D737D">
              <w:rPr>
                <w:rFonts w:asciiTheme="minorHAnsi" w:hAnsiTheme="minorHAnsi" w:cs="Calibri"/>
                <w:color w:val="000000"/>
                <w:sz w:val="18"/>
                <w:szCs w:val="18"/>
              </w:rPr>
              <w:t xml:space="preserve">         311,266.67 </w:t>
            </w:r>
          </w:p>
        </w:tc>
        <w:tc>
          <w:tcPr>
            <w:tcW w:w="1454"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r w:rsidRPr="000D737D">
              <w:rPr>
                <w:rFonts w:asciiTheme="minorHAnsi" w:hAnsiTheme="minorHAnsi" w:cs="Calibri"/>
                <w:color w:val="000000"/>
                <w:sz w:val="18"/>
                <w:szCs w:val="18"/>
              </w:rPr>
              <w:t xml:space="preserve">    1,124,395.18 </w:t>
            </w:r>
          </w:p>
        </w:tc>
        <w:tc>
          <w:tcPr>
            <w:tcW w:w="1851"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r w:rsidRPr="000D737D">
              <w:rPr>
                <w:rFonts w:asciiTheme="minorHAnsi" w:hAnsiTheme="minorHAnsi" w:cs="Calibri"/>
                <w:color w:val="000000"/>
                <w:sz w:val="18"/>
                <w:szCs w:val="18"/>
              </w:rPr>
              <w:t xml:space="preserve">                1,435,662 </w:t>
            </w:r>
          </w:p>
        </w:tc>
        <w:tc>
          <w:tcPr>
            <w:tcW w:w="1348"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r w:rsidRPr="000D737D">
              <w:rPr>
                <w:rFonts w:asciiTheme="minorHAnsi" w:hAnsiTheme="minorHAnsi" w:cs="Calibri"/>
                <w:color w:val="000000"/>
                <w:sz w:val="18"/>
                <w:szCs w:val="18"/>
              </w:rPr>
              <w:t>16%</w:t>
            </w:r>
          </w:p>
        </w:tc>
        <w:tc>
          <w:tcPr>
            <w:tcW w:w="1361"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r w:rsidRPr="000D737D">
              <w:rPr>
                <w:rFonts w:asciiTheme="minorHAnsi" w:hAnsiTheme="minorHAnsi" w:cs="Calibri"/>
                <w:color w:val="000000"/>
                <w:sz w:val="18"/>
                <w:szCs w:val="18"/>
              </w:rPr>
              <w:t>59%</w:t>
            </w:r>
          </w:p>
        </w:tc>
        <w:tc>
          <w:tcPr>
            <w:tcW w:w="1361"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r w:rsidRPr="000D737D">
              <w:rPr>
                <w:rFonts w:asciiTheme="minorHAnsi" w:hAnsiTheme="minorHAnsi" w:cs="Calibri"/>
                <w:color w:val="000000"/>
                <w:sz w:val="18"/>
                <w:szCs w:val="18"/>
              </w:rPr>
              <w:t>76%</w:t>
            </w:r>
          </w:p>
        </w:tc>
        <w:tc>
          <w:tcPr>
            <w:tcW w:w="1625"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r w:rsidRPr="000D737D">
              <w:rPr>
                <w:rFonts w:asciiTheme="minorHAnsi" w:hAnsiTheme="minorHAnsi" w:cs="Calibri"/>
                <w:color w:val="000000"/>
                <w:sz w:val="18"/>
                <w:szCs w:val="18"/>
              </w:rPr>
              <w:t xml:space="preserve">          455,189.15 </w:t>
            </w:r>
          </w:p>
        </w:tc>
      </w:tr>
      <w:tr w:rsidR="000D737D" w:rsidRPr="000D737D" w:rsidTr="000D737D">
        <w:trPr>
          <w:trHeight w:val="250"/>
        </w:trPr>
        <w:tc>
          <w:tcPr>
            <w:tcW w:w="2194"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rPr>
                <w:rFonts w:asciiTheme="minorHAnsi" w:hAnsiTheme="minorHAnsi" w:cs="Calibri"/>
                <w:b/>
                <w:bCs/>
                <w:color w:val="000000"/>
                <w:sz w:val="18"/>
                <w:szCs w:val="18"/>
              </w:rPr>
            </w:pPr>
            <w:r w:rsidRPr="000D737D">
              <w:rPr>
                <w:rFonts w:asciiTheme="minorHAnsi" w:hAnsiTheme="minorHAnsi" w:cs="Calibri"/>
                <w:b/>
                <w:bCs/>
                <w:color w:val="000000"/>
                <w:sz w:val="18"/>
                <w:szCs w:val="18"/>
              </w:rPr>
              <w:t>UNEP</w:t>
            </w:r>
          </w:p>
        </w:tc>
        <w:tc>
          <w:tcPr>
            <w:tcW w:w="1941"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r w:rsidRPr="000D737D">
              <w:rPr>
                <w:rFonts w:asciiTheme="minorHAnsi" w:hAnsiTheme="minorHAnsi" w:cs="Calibri"/>
                <w:color w:val="000000"/>
                <w:sz w:val="18"/>
                <w:szCs w:val="18"/>
              </w:rPr>
              <w:t xml:space="preserve">                  2,854,814 </w:t>
            </w:r>
          </w:p>
        </w:tc>
        <w:tc>
          <w:tcPr>
            <w:tcW w:w="1558"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r w:rsidRPr="000D737D">
              <w:rPr>
                <w:rFonts w:asciiTheme="minorHAnsi" w:hAnsiTheme="minorHAnsi" w:cs="Calibri"/>
                <w:color w:val="000000"/>
                <w:sz w:val="18"/>
                <w:szCs w:val="18"/>
              </w:rPr>
              <w:t xml:space="preserve">         826,633.00 </w:t>
            </w:r>
          </w:p>
        </w:tc>
        <w:tc>
          <w:tcPr>
            <w:tcW w:w="1454"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r w:rsidRPr="000D737D">
              <w:rPr>
                <w:rFonts w:asciiTheme="minorHAnsi" w:hAnsiTheme="minorHAnsi" w:cs="Calibri"/>
                <w:color w:val="000000"/>
                <w:sz w:val="18"/>
                <w:szCs w:val="18"/>
              </w:rPr>
              <w:t xml:space="preserve">    1,404,235.00 </w:t>
            </w:r>
          </w:p>
        </w:tc>
        <w:tc>
          <w:tcPr>
            <w:tcW w:w="1851"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r w:rsidRPr="000D737D">
              <w:rPr>
                <w:rFonts w:asciiTheme="minorHAnsi" w:hAnsiTheme="minorHAnsi" w:cs="Calibri"/>
                <w:color w:val="000000"/>
                <w:sz w:val="18"/>
                <w:szCs w:val="18"/>
              </w:rPr>
              <w:t xml:space="preserve">                2,230,868 </w:t>
            </w:r>
          </w:p>
        </w:tc>
        <w:tc>
          <w:tcPr>
            <w:tcW w:w="1348"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r w:rsidRPr="000D737D">
              <w:rPr>
                <w:rFonts w:asciiTheme="minorHAnsi" w:hAnsiTheme="minorHAnsi" w:cs="Calibri"/>
                <w:color w:val="000000"/>
                <w:sz w:val="18"/>
                <w:szCs w:val="18"/>
              </w:rPr>
              <w:t>29%</w:t>
            </w:r>
          </w:p>
        </w:tc>
        <w:tc>
          <w:tcPr>
            <w:tcW w:w="1361"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r w:rsidRPr="000D737D">
              <w:rPr>
                <w:rFonts w:asciiTheme="minorHAnsi" w:hAnsiTheme="minorHAnsi" w:cs="Calibri"/>
                <w:color w:val="000000"/>
                <w:sz w:val="18"/>
                <w:szCs w:val="18"/>
              </w:rPr>
              <w:t>49%</w:t>
            </w:r>
          </w:p>
        </w:tc>
        <w:tc>
          <w:tcPr>
            <w:tcW w:w="1361"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r w:rsidRPr="000D737D">
              <w:rPr>
                <w:rFonts w:asciiTheme="minorHAnsi" w:hAnsiTheme="minorHAnsi" w:cs="Calibri"/>
                <w:color w:val="000000"/>
                <w:sz w:val="18"/>
                <w:szCs w:val="18"/>
              </w:rPr>
              <w:t>78%</w:t>
            </w:r>
          </w:p>
        </w:tc>
        <w:tc>
          <w:tcPr>
            <w:tcW w:w="1625"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r w:rsidRPr="000D737D">
              <w:rPr>
                <w:rFonts w:asciiTheme="minorHAnsi" w:hAnsiTheme="minorHAnsi" w:cs="Calibri"/>
                <w:color w:val="000000"/>
                <w:sz w:val="18"/>
                <w:szCs w:val="18"/>
              </w:rPr>
              <w:t xml:space="preserve">          623,946.00 </w:t>
            </w:r>
          </w:p>
        </w:tc>
      </w:tr>
      <w:tr w:rsidR="000D737D" w:rsidRPr="000D737D" w:rsidTr="000D737D">
        <w:trPr>
          <w:trHeight w:val="499"/>
        </w:trPr>
        <w:tc>
          <w:tcPr>
            <w:tcW w:w="2194"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rPr>
                <w:rFonts w:asciiTheme="minorHAnsi" w:hAnsiTheme="minorHAnsi" w:cs="Calibri"/>
                <w:color w:val="000000"/>
                <w:sz w:val="18"/>
                <w:szCs w:val="18"/>
              </w:rPr>
            </w:pPr>
            <w:r w:rsidRPr="000D737D">
              <w:rPr>
                <w:rFonts w:asciiTheme="minorHAnsi" w:hAnsiTheme="minorHAnsi" w:cs="Calibri"/>
                <w:color w:val="000000"/>
                <w:sz w:val="18"/>
                <w:szCs w:val="18"/>
              </w:rPr>
              <w:t>Total Budget/</w:t>
            </w:r>
          </w:p>
          <w:p w:rsidR="000D737D" w:rsidRPr="000D737D" w:rsidRDefault="000D737D" w:rsidP="000D737D">
            <w:pPr>
              <w:widowControl/>
              <w:autoSpaceDE w:val="0"/>
              <w:autoSpaceDN w:val="0"/>
              <w:adjustRightInd w:val="0"/>
              <w:rPr>
                <w:rFonts w:asciiTheme="minorHAnsi" w:hAnsiTheme="minorHAnsi" w:cs="Calibri"/>
                <w:color w:val="000000"/>
                <w:sz w:val="18"/>
                <w:szCs w:val="18"/>
              </w:rPr>
            </w:pPr>
            <w:r w:rsidRPr="000D737D">
              <w:rPr>
                <w:rFonts w:asciiTheme="minorHAnsi" w:hAnsiTheme="minorHAnsi" w:cs="Calibri"/>
                <w:color w:val="000000"/>
                <w:sz w:val="18"/>
                <w:szCs w:val="18"/>
              </w:rPr>
              <w:t>Expenditure</w:t>
            </w:r>
          </w:p>
        </w:tc>
        <w:tc>
          <w:tcPr>
            <w:tcW w:w="1941"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jc w:val="right"/>
              <w:rPr>
                <w:rFonts w:asciiTheme="minorHAnsi" w:hAnsiTheme="minorHAnsi" w:cs="Calibri"/>
                <w:b/>
                <w:bCs/>
                <w:color w:val="000000"/>
                <w:sz w:val="18"/>
                <w:szCs w:val="18"/>
              </w:rPr>
            </w:pPr>
            <w:r w:rsidRPr="000D737D">
              <w:rPr>
                <w:rFonts w:asciiTheme="minorHAnsi" w:hAnsiTheme="minorHAnsi" w:cs="Calibri"/>
                <w:b/>
                <w:bCs/>
                <w:color w:val="000000"/>
                <w:sz w:val="18"/>
                <w:szCs w:val="18"/>
              </w:rPr>
              <w:t xml:space="preserve">                  6,673,591 </w:t>
            </w:r>
          </w:p>
        </w:tc>
        <w:tc>
          <w:tcPr>
            <w:tcW w:w="1558"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jc w:val="right"/>
              <w:rPr>
                <w:rFonts w:asciiTheme="minorHAnsi" w:hAnsiTheme="minorHAnsi" w:cs="Calibri"/>
                <w:b/>
                <w:bCs/>
                <w:color w:val="000000"/>
                <w:sz w:val="18"/>
                <w:szCs w:val="18"/>
              </w:rPr>
            </w:pPr>
            <w:r w:rsidRPr="000D737D">
              <w:rPr>
                <w:rFonts w:asciiTheme="minorHAnsi" w:hAnsiTheme="minorHAnsi" w:cs="Calibri"/>
                <w:b/>
                <w:bCs/>
                <w:color w:val="000000"/>
                <w:sz w:val="18"/>
                <w:szCs w:val="18"/>
              </w:rPr>
              <w:t xml:space="preserve">           1,630,090 </w:t>
            </w:r>
          </w:p>
        </w:tc>
        <w:tc>
          <w:tcPr>
            <w:tcW w:w="1454"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jc w:val="right"/>
              <w:rPr>
                <w:rFonts w:asciiTheme="minorHAnsi" w:hAnsiTheme="minorHAnsi" w:cs="Calibri"/>
                <w:b/>
                <w:bCs/>
                <w:color w:val="000000"/>
                <w:sz w:val="18"/>
                <w:szCs w:val="18"/>
              </w:rPr>
            </w:pPr>
            <w:r w:rsidRPr="000D737D">
              <w:rPr>
                <w:rFonts w:asciiTheme="minorHAnsi" w:hAnsiTheme="minorHAnsi" w:cs="Calibri"/>
                <w:b/>
                <w:bCs/>
                <w:color w:val="000000"/>
                <w:sz w:val="18"/>
                <w:szCs w:val="18"/>
              </w:rPr>
              <w:t xml:space="preserve">         3,963,896 </w:t>
            </w:r>
          </w:p>
        </w:tc>
        <w:tc>
          <w:tcPr>
            <w:tcW w:w="1851"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jc w:val="right"/>
              <w:rPr>
                <w:rFonts w:asciiTheme="minorHAnsi" w:hAnsiTheme="minorHAnsi" w:cs="Calibri"/>
                <w:b/>
                <w:bCs/>
                <w:color w:val="000000"/>
                <w:sz w:val="18"/>
                <w:szCs w:val="18"/>
              </w:rPr>
            </w:pPr>
            <w:r w:rsidRPr="000D737D">
              <w:rPr>
                <w:rFonts w:asciiTheme="minorHAnsi" w:hAnsiTheme="minorHAnsi" w:cs="Calibri"/>
                <w:b/>
                <w:bCs/>
                <w:color w:val="000000"/>
                <w:sz w:val="18"/>
                <w:szCs w:val="18"/>
              </w:rPr>
              <w:t xml:space="preserve">                5,593,986 </w:t>
            </w:r>
          </w:p>
        </w:tc>
        <w:tc>
          <w:tcPr>
            <w:tcW w:w="1348"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p>
        </w:tc>
        <w:tc>
          <w:tcPr>
            <w:tcW w:w="1361"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p>
        </w:tc>
        <w:tc>
          <w:tcPr>
            <w:tcW w:w="1361"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jc w:val="right"/>
              <w:rPr>
                <w:rFonts w:asciiTheme="minorHAnsi" w:hAnsiTheme="minorHAnsi" w:cs="Calibri"/>
                <w:b/>
                <w:bCs/>
                <w:color w:val="000000"/>
                <w:sz w:val="18"/>
                <w:szCs w:val="18"/>
              </w:rPr>
            </w:pPr>
            <w:r w:rsidRPr="000D737D">
              <w:rPr>
                <w:rFonts w:asciiTheme="minorHAnsi" w:hAnsiTheme="minorHAnsi" w:cs="Calibri"/>
                <w:b/>
                <w:bCs/>
                <w:color w:val="000000"/>
                <w:sz w:val="18"/>
                <w:szCs w:val="18"/>
              </w:rPr>
              <w:t>84%</w:t>
            </w:r>
          </w:p>
        </w:tc>
        <w:tc>
          <w:tcPr>
            <w:tcW w:w="1625"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p>
        </w:tc>
      </w:tr>
      <w:tr w:rsidR="000D737D" w:rsidRPr="000D737D" w:rsidTr="000D737D">
        <w:trPr>
          <w:trHeight w:val="499"/>
        </w:trPr>
        <w:tc>
          <w:tcPr>
            <w:tcW w:w="2194" w:type="dxa"/>
            <w:tcBorders>
              <w:top w:val="single" w:sz="6" w:space="0" w:color="auto"/>
              <w:left w:val="single" w:sz="6" w:space="0" w:color="auto"/>
              <w:bottom w:val="single" w:sz="6" w:space="0" w:color="auto"/>
              <w:right w:val="single" w:sz="6" w:space="0" w:color="auto"/>
            </w:tcBorders>
            <w:shd w:val="solid" w:color="C0C0C0" w:fill="auto"/>
          </w:tcPr>
          <w:p w:rsidR="000D737D" w:rsidRPr="000D737D" w:rsidRDefault="000D737D" w:rsidP="000D737D">
            <w:pPr>
              <w:widowControl/>
              <w:autoSpaceDE w:val="0"/>
              <w:autoSpaceDN w:val="0"/>
              <w:adjustRightInd w:val="0"/>
              <w:rPr>
                <w:rFonts w:asciiTheme="minorHAnsi" w:hAnsiTheme="minorHAnsi" w:cs="Calibri"/>
                <w:b/>
                <w:bCs/>
                <w:color w:val="000000"/>
                <w:sz w:val="18"/>
                <w:szCs w:val="18"/>
              </w:rPr>
            </w:pPr>
            <w:r w:rsidRPr="000D737D">
              <w:rPr>
                <w:rFonts w:asciiTheme="minorHAnsi" w:hAnsiTheme="minorHAnsi" w:cs="Calibri"/>
                <w:b/>
                <w:bCs/>
                <w:color w:val="000000"/>
                <w:sz w:val="18"/>
                <w:szCs w:val="18"/>
              </w:rPr>
              <w:t>Total Fund</w:t>
            </w:r>
          </w:p>
          <w:p w:rsidR="000D737D" w:rsidRPr="000D737D" w:rsidRDefault="000D737D" w:rsidP="000D737D">
            <w:pPr>
              <w:widowControl/>
              <w:autoSpaceDE w:val="0"/>
              <w:autoSpaceDN w:val="0"/>
              <w:adjustRightInd w:val="0"/>
              <w:rPr>
                <w:rFonts w:asciiTheme="minorHAnsi" w:hAnsiTheme="minorHAnsi" w:cs="Calibri"/>
                <w:b/>
                <w:bCs/>
                <w:color w:val="000000"/>
                <w:sz w:val="18"/>
                <w:szCs w:val="18"/>
              </w:rPr>
            </w:pPr>
            <w:r w:rsidRPr="000D737D">
              <w:rPr>
                <w:rFonts w:asciiTheme="minorHAnsi" w:hAnsiTheme="minorHAnsi" w:cs="Calibri"/>
                <w:b/>
                <w:bCs/>
                <w:color w:val="000000"/>
                <w:sz w:val="18"/>
                <w:szCs w:val="18"/>
              </w:rPr>
              <w:t>Balance</w:t>
            </w:r>
          </w:p>
        </w:tc>
        <w:tc>
          <w:tcPr>
            <w:tcW w:w="1941" w:type="dxa"/>
            <w:tcBorders>
              <w:top w:val="single" w:sz="6" w:space="0" w:color="auto"/>
              <w:left w:val="single" w:sz="6" w:space="0" w:color="auto"/>
              <w:bottom w:val="single" w:sz="6" w:space="0" w:color="auto"/>
              <w:right w:val="single" w:sz="6" w:space="0" w:color="auto"/>
            </w:tcBorders>
            <w:shd w:val="solid" w:color="C0C0C0" w:fill="auto"/>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p>
        </w:tc>
        <w:tc>
          <w:tcPr>
            <w:tcW w:w="1558" w:type="dxa"/>
            <w:tcBorders>
              <w:top w:val="single" w:sz="6" w:space="0" w:color="auto"/>
              <w:left w:val="single" w:sz="6" w:space="0" w:color="auto"/>
              <w:bottom w:val="single" w:sz="6" w:space="0" w:color="auto"/>
              <w:right w:val="single" w:sz="6" w:space="0" w:color="auto"/>
            </w:tcBorders>
            <w:shd w:val="solid" w:color="C0C0C0" w:fill="auto"/>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p>
        </w:tc>
        <w:tc>
          <w:tcPr>
            <w:tcW w:w="1454" w:type="dxa"/>
            <w:tcBorders>
              <w:top w:val="single" w:sz="6" w:space="0" w:color="auto"/>
              <w:left w:val="single" w:sz="6" w:space="0" w:color="auto"/>
              <w:bottom w:val="single" w:sz="6" w:space="0" w:color="auto"/>
              <w:right w:val="single" w:sz="6" w:space="0" w:color="auto"/>
            </w:tcBorders>
            <w:shd w:val="solid" w:color="C0C0C0" w:fill="auto"/>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p>
        </w:tc>
        <w:tc>
          <w:tcPr>
            <w:tcW w:w="1851" w:type="dxa"/>
            <w:tcBorders>
              <w:top w:val="single" w:sz="6" w:space="0" w:color="auto"/>
              <w:left w:val="single" w:sz="6" w:space="0" w:color="auto"/>
              <w:bottom w:val="single" w:sz="6" w:space="0" w:color="auto"/>
              <w:right w:val="single" w:sz="6" w:space="0" w:color="auto"/>
            </w:tcBorders>
            <w:shd w:val="solid" w:color="C0C0C0" w:fill="auto"/>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p>
        </w:tc>
        <w:tc>
          <w:tcPr>
            <w:tcW w:w="1348" w:type="dxa"/>
            <w:tcBorders>
              <w:top w:val="single" w:sz="6" w:space="0" w:color="auto"/>
              <w:left w:val="single" w:sz="6" w:space="0" w:color="auto"/>
              <w:bottom w:val="single" w:sz="6" w:space="0" w:color="auto"/>
              <w:right w:val="single" w:sz="6" w:space="0" w:color="auto"/>
            </w:tcBorders>
            <w:shd w:val="solid" w:color="C0C0C0" w:fill="auto"/>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p>
        </w:tc>
        <w:tc>
          <w:tcPr>
            <w:tcW w:w="1361" w:type="dxa"/>
            <w:tcBorders>
              <w:top w:val="single" w:sz="6" w:space="0" w:color="auto"/>
              <w:left w:val="single" w:sz="6" w:space="0" w:color="auto"/>
              <w:bottom w:val="single" w:sz="6" w:space="0" w:color="auto"/>
              <w:right w:val="single" w:sz="6" w:space="0" w:color="auto"/>
            </w:tcBorders>
            <w:shd w:val="solid" w:color="C0C0C0" w:fill="auto"/>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p>
        </w:tc>
        <w:tc>
          <w:tcPr>
            <w:tcW w:w="1361" w:type="dxa"/>
            <w:tcBorders>
              <w:top w:val="single" w:sz="6" w:space="0" w:color="auto"/>
              <w:left w:val="single" w:sz="6" w:space="0" w:color="auto"/>
              <w:bottom w:val="single" w:sz="6" w:space="0" w:color="auto"/>
              <w:right w:val="single" w:sz="6" w:space="0" w:color="auto"/>
            </w:tcBorders>
            <w:shd w:val="solid" w:color="C0C0C0" w:fill="auto"/>
          </w:tcPr>
          <w:p w:rsidR="000D737D" w:rsidRPr="000D737D" w:rsidRDefault="000D737D" w:rsidP="000D737D">
            <w:pPr>
              <w:widowControl/>
              <w:autoSpaceDE w:val="0"/>
              <w:autoSpaceDN w:val="0"/>
              <w:adjustRightInd w:val="0"/>
              <w:jc w:val="right"/>
              <w:rPr>
                <w:rFonts w:asciiTheme="minorHAnsi" w:hAnsiTheme="minorHAnsi" w:cs="Calibri"/>
                <w:b/>
                <w:bCs/>
                <w:color w:val="000000"/>
                <w:sz w:val="18"/>
                <w:szCs w:val="18"/>
              </w:rPr>
            </w:pPr>
          </w:p>
        </w:tc>
        <w:tc>
          <w:tcPr>
            <w:tcW w:w="1625" w:type="dxa"/>
            <w:tcBorders>
              <w:top w:val="single" w:sz="6" w:space="0" w:color="auto"/>
              <w:left w:val="single" w:sz="6" w:space="0" w:color="auto"/>
              <w:bottom w:val="single" w:sz="6" w:space="0" w:color="auto"/>
              <w:right w:val="single" w:sz="6" w:space="0" w:color="auto"/>
            </w:tcBorders>
            <w:shd w:val="solid" w:color="C0C0C0" w:fill="auto"/>
          </w:tcPr>
          <w:p w:rsidR="000D737D" w:rsidRPr="000D737D" w:rsidRDefault="000D737D" w:rsidP="000D737D">
            <w:pPr>
              <w:widowControl/>
              <w:autoSpaceDE w:val="0"/>
              <w:autoSpaceDN w:val="0"/>
              <w:adjustRightInd w:val="0"/>
              <w:jc w:val="right"/>
              <w:rPr>
                <w:rFonts w:asciiTheme="minorHAnsi" w:hAnsiTheme="minorHAnsi" w:cs="Calibri"/>
                <w:b/>
                <w:bCs/>
                <w:color w:val="000000"/>
                <w:sz w:val="18"/>
                <w:szCs w:val="18"/>
              </w:rPr>
            </w:pPr>
            <w:r w:rsidRPr="000D737D">
              <w:rPr>
                <w:rFonts w:asciiTheme="minorHAnsi" w:hAnsiTheme="minorHAnsi" w:cs="Calibri"/>
                <w:b/>
                <w:bCs/>
                <w:color w:val="000000"/>
                <w:sz w:val="18"/>
                <w:szCs w:val="18"/>
              </w:rPr>
              <w:t xml:space="preserve">       1,079,605.15 </w:t>
            </w:r>
          </w:p>
        </w:tc>
      </w:tr>
    </w:tbl>
    <w:p w:rsidR="000D737D" w:rsidRDefault="000D737D" w:rsidP="00DE156C">
      <w:pPr>
        <w:pStyle w:val="BodyText2"/>
        <w:rPr>
          <w:rFonts w:ascii="Times New Roman" w:hAnsi="Times New Roman"/>
          <w:sz w:val="24"/>
          <w:lang w:val="en-GB"/>
        </w:rPr>
      </w:pPr>
    </w:p>
    <w:p w:rsidR="000D737D" w:rsidRDefault="000D737D" w:rsidP="00DE156C">
      <w:pPr>
        <w:pStyle w:val="BodyText2"/>
        <w:rPr>
          <w:rFonts w:ascii="Times New Roman" w:hAnsi="Times New Roman"/>
          <w:sz w:val="24"/>
          <w:lang w:val="en-GB"/>
        </w:rPr>
      </w:pPr>
    </w:p>
    <w:tbl>
      <w:tblPr>
        <w:tblW w:w="14693" w:type="dxa"/>
        <w:tblInd w:w="78" w:type="dxa"/>
        <w:tblLayout w:type="fixed"/>
        <w:tblLook w:val="0000"/>
      </w:tblPr>
      <w:tblGrid>
        <w:gridCol w:w="2194"/>
        <w:gridCol w:w="1941"/>
        <w:gridCol w:w="1558"/>
        <w:gridCol w:w="1454"/>
        <w:gridCol w:w="1851"/>
        <w:gridCol w:w="1348"/>
        <w:gridCol w:w="1361"/>
        <w:gridCol w:w="1361"/>
        <w:gridCol w:w="1625"/>
      </w:tblGrid>
      <w:tr w:rsidR="000D737D" w:rsidRPr="000D737D" w:rsidTr="000D737D">
        <w:trPr>
          <w:trHeight w:val="238"/>
        </w:trPr>
        <w:tc>
          <w:tcPr>
            <w:tcW w:w="2194" w:type="dxa"/>
            <w:gridSpan w:val="5"/>
            <w:tcBorders>
              <w:top w:val="single" w:sz="6" w:space="0" w:color="auto"/>
              <w:left w:val="single" w:sz="6" w:space="0" w:color="auto"/>
              <w:bottom w:val="single" w:sz="6" w:space="0" w:color="auto"/>
              <w:right w:val="nil"/>
            </w:tcBorders>
            <w:shd w:val="solid" w:color="C0C0C0" w:fill="auto"/>
          </w:tcPr>
          <w:p w:rsidR="000D737D" w:rsidRPr="000D737D" w:rsidRDefault="000D737D" w:rsidP="000D737D">
            <w:pPr>
              <w:widowControl/>
              <w:autoSpaceDE w:val="0"/>
              <w:autoSpaceDN w:val="0"/>
              <w:adjustRightInd w:val="0"/>
              <w:jc w:val="center"/>
              <w:rPr>
                <w:rFonts w:ascii="Calibri" w:hAnsi="Calibri" w:cs="Calibri"/>
                <w:b/>
                <w:bCs/>
                <w:color w:val="000000"/>
                <w:sz w:val="22"/>
                <w:szCs w:val="22"/>
              </w:rPr>
            </w:pPr>
            <w:r w:rsidRPr="000D737D">
              <w:rPr>
                <w:rFonts w:ascii="Calibri" w:hAnsi="Calibri" w:cs="Calibri"/>
                <w:b/>
                <w:bCs/>
                <w:color w:val="000000"/>
                <w:sz w:val="22"/>
                <w:szCs w:val="22"/>
              </w:rPr>
              <w:t>UN-REDD GLOBAL PROGRAMME EXPENDITURES 31 DECEMBER 2009 (SECRETARIAT ONLY)</w:t>
            </w:r>
          </w:p>
        </w:tc>
        <w:tc>
          <w:tcPr>
            <w:tcW w:w="1348" w:type="dxa"/>
            <w:tcBorders>
              <w:top w:val="single" w:sz="6" w:space="0" w:color="auto"/>
              <w:left w:val="nil"/>
              <w:bottom w:val="single" w:sz="6" w:space="0" w:color="auto"/>
              <w:right w:val="nil"/>
            </w:tcBorders>
            <w:shd w:val="solid" w:color="C0C0C0" w:fill="auto"/>
          </w:tcPr>
          <w:p w:rsidR="000D737D" w:rsidRPr="000D737D" w:rsidRDefault="000D737D" w:rsidP="000D737D">
            <w:pPr>
              <w:widowControl/>
              <w:autoSpaceDE w:val="0"/>
              <w:autoSpaceDN w:val="0"/>
              <w:adjustRightInd w:val="0"/>
              <w:jc w:val="center"/>
              <w:rPr>
                <w:rFonts w:ascii="Calibri" w:hAnsi="Calibri" w:cs="Calibri"/>
                <w:b/>
                <w:bCs/>
                <w:color w:val="000000"/>
                <w:sz w:val="22"/>
                <w:szCs w:val="22"/>
              </w:rPr>
            </w:pPr>
          </w:p>
        </w:tc>
        <w:tc>
          <w:tcPr>
            <w:tcW w:w="1361" w:type="dxa"/>
            <w:tcBorders>
              <w:top w:val="single" w:sz="6" w:space="0" w:color="auto"/>
              <w:left w:val="nil"/>
              <w:bottom w:val="single" w:sz="6" w:space="0" w:color="auto"/>
              <w:right w:val="nil"/>
            </w:tcBorders>
            <w:shd w:val="solid" w:color="C0C0C0" w:fill="auto"/>
          </w:tcPr>
          <w:p w:rsidR="000D737D" w:rsidRPr="000D737D" w:rsidRDefault="000D737D" w:rsidP="000D737D">
            <w:pPr>
              <w:widowControl/>
              <w:autoSpaceDE w:val="0"/>
              <w:autoSpaceDN w:val="0"/>
              <w:adjustRightInd w:val="0"/>
              <w:jc w:val="center"/>
              <w:rPr>
                <w:rFonts w:ascii="Calibri" w:hAnsi="Calibri" w:cs="Calibri"/>
                <w:b/>
                <w:bCs/>
                <w:color w:val="000000"/>
                <w:sz w:val="22"/>
                <w:szCs w:val="22"/>
              </w:rPr>
            </w:pPr>
          </w:p>
        </w:tc>
        <w:tc>
          <w:tcPr>
            <w:tcW w:w="1361" w:type="dxa"/>
            <w:tcBorders>
              <w:top w:val="single" w:sz="6" w:space="0" w:color="auto"/>
              <w:left w:val="nil"/>
              <w:bottom w:val="single" w:sz="6" w:space="0" w:color="auto"/>
              <w:right w:val="nil"/>
            </w:tcBorders>
            <w:shd w:val="solid" w:color="C0C0C0" w:fill="auto"/>
          </w:tcPr>
          <w:p w:rsidR="000D737D" w:rsidRPr="000D737D" w:rsidRDefault="000D737D" w:rsidP="000D737D">
            <w:pPr>
              <w:widowControl/>
              <w:autoSpaceDE w:val="0"/>
              <w:autoSpaceDN w:val="0"/>
              <w:adjustRightInd w:val="0"/>
              <w:jc w:val="center"/>
              <w:rPr>
                <w:rFonts w:ascii="Calibri" w:hAnsi="Calibri" w:cs="Calibri"/>
                <w:b/>
                <w:bCs/>
                <w:color w:val="000000"/>
                <w:sz w:val="22"/>
                <w:szCs w:val="22"/>
              </w:rPr>
            </w:pPr>
          </w:p>
        </w:tc>
        <w:tc>
          <w:tcPr>
            <w:tcW w:w="1625" w:type="dxa"/>
            <w:tcBorders>
              <w:top w:val="single" w:sz="6" w:space="0" w:color="auto"/>
              <w:left w:val="nil"/>
              <w:bottom w:val="single" w:sz="6" w:space="0" w:color="auto"/>
              <w:right w:val="single" w:sz="6" w:space="0" w:color="auto"/>
            </w:tcBorders>
            <w:shd w:val="solid" w:color="C0C0C0" w:fill="auto"/>
          </w:tcPr>
          <w:p w:rsidR="000D737D" w:rsidRPr="000D737D" w:rsidRDefault="000D737D" w:rsidP="000D737D">
            <w:pPr>
              <w:widowControl/>
              <w:autoSpaceDE w:val="0"/>
              <w:autoSpaceDN w:val="0"/>
              <w:adjustRightInd w:val="0"/>
              <w:jc w:val="center"/>
              <w:rPr>
                <w:rFonts w:ascii="Calibri" w:hAnsi="Calibri" w:cs="Calibri"/>
                <w:b/>
                <w:bCs/>
                <w:color w:val="000000"/>
                <w:sz w:val="22"/>
                <w:szCs w:val="22"/>
              </w:rPr>
            </w:pPr>
          </w:p>
        </w:tc>
      </w:tr>
      <w:tr w:rsidR="000D737D" w:rsidRPr="000D737D" w:rsidTr="000D737D">
        <w:trPr>
          <w:trHeight w:val="238"/>
        </w:trPr>
        <w:tc>
          <w:tcPr>
            <w:tcW w:w="2194" w:type="dxa"/>
            <w:tcBorders>
              <w:top w:val="single" w:sz="6" w:space="0" w:color="auto"/>
              <w:left w:val="nil"/>
              <w:bottom w:val="nil"/>
              <w:right w:val="nil"/>
            </w:tcBorders>
          </w:tcPr>
          <w:p w:rsidR="000D737D" w:rsidRPr="000D737D" w:rsidRDefault="000D737D" w:rsidP="000D737D">
            <w:pPr>
              <w:widowControl/>
              <w:autoSpaceDE w:val="0"/>
              <w:autoSpaceDN w:val="0"/>
              <w:adjustRightInd w:val="0"/>
              <w:jc w:val="right"/>
              <w:rPr>
                <w:rFonts w:ascii="Calibri" w:hAnsi="Calibri" w:cs="Calibri"/>
                <w:color w:val="000000"/>
                <w:sz w:val="22"/>
                <w:szCs w:val="22"/>
              </w:rPr>
            </w:pPr>
          </w:p>
        </w:tc>
        <w:tc>
          <w:tcPr>
            <w:tcW w:w="1941" w:type="dxa"/>
            <w:tcBorders>
              <w:top w:val="single" w:sz="6" w:space="0" w:color="auto"/>
              <w:left w:val="nil"/>
              <w:bottom w:val="nil"/>
              <w:right w:val="nil"/>
            </w:tcBorders>
          </w:tcPr>
          <w:p w:rsidR="000D737D" w:rsidRPr="000D737D" w:rsidRDefault="000D737D" w:rsidP="000D737D">
            <w:pPr>
              <w:widowControl/>
              <w:autoSpaceDE w:val="0"/>
              <w:autoSpaceDN w:val="0"/>
              <w:adjustRightInd w:val="0"/>
              <w:jc w:val="right"/>
              <w:rPr>
                <w:rFonts w:ascii="Calibri" w:hAnsi="Calibri" w:cs="Calibri"/>
                <w:color w:val="000000"/>
                <w:sz w:val="22"/>
                <w:szCs w:val="22"/>
              </w:rPr>
            </w:pPr>
          </w:p>
        </w:tc>
        <w:tc>
          <w:tcPr>
            <w:tcW w:w="1558" w:type="dxa"/>
            <w:tcBorders>
              <w:top w:val="single" w:sz="6" w:space="0" w:color="auto"/>
              <w:left w:val="nil"/>
              <w:bottom w:val="nil"/>
              <w:right w:val="nil"/>
            </w:tcBorders>
          </w:tcPr>
          <w:p w:rsidR="000D737D" w:rsidRPr="000D737D" w:rsidRDefault="000D737D" w:rsidP="000D737D">
            <w:pPr>
              <w:widowControl/>
              <w:autoSpaceDE w:val="0"/>
              <w:autoSpaceDN w:val="0"/>
              <w:adjustRightInd w:val="0"/>
              <w:jc w:val="right"/>
              <w:rPr>
                <w:rFonts w:ascii="Calibri" w:hAnsi="Calibri" w:cs="Calibri"/>
                <w:color w:val="000000"/>
                <w:sz w:val="22"/>
                <w:szCs w:val="22"/>
              </w:rPr>
            </w:pPr>
          </w:p>
        </w:tc>
        <w:tc>
          <w:tcPr>
            <w:tcW w:w="1454" w:type="dxa"/>
            <w:tcBorders>
              <w:top w:val="single" w:sz="6" w:space="0" w:color="auto"/>
              <w:left w:val="nil"/>
              <w:bottom w:val="nil"/>
              <w:right w:val="nil"/>
            </w:tcBorders>
          </w:tcPr>
          <w:p w:rsidR="000D737D" w:rsidRPr="000D737D" w:rsidRDefault="000D737D" w:rsidP="000D737D">
            <w:pPr>
              <w:widowControl/>
              <w:autoSpaceDE w:val="0"/>
              <w:autoSpaceDN w:val="0"/>
              <w:adjustRightInd w:val="0"/>
              <w:jc w:val="right"/>
              <w:rPr>
                <w:rFonts w:ascii="Calibri" w:hAnsi="Calibri" w:cs="Calibri"/>
                <w:color w:val="000000"/>
                <w:sz w:val="22"/>
                <w:szCs w:val="22"/>
              </w:rPr>
            </w:pPr>
          </w:p>
        </w:tc>
        <w:tc>
          <w:tcPr>
            <w:tcW w:w="1851" w:type="dxa"/>
            <w:tcBorders>
              <w:top w:val="single" w:sz="6" w:space="0" w:color="auto"/>
              <w:left w:val="nil"/>
              <w:bottom w:val="nil"/>
              <w:right w:val="nil"/>
            </w:tcBorders>
          </w:tcPr>
          <w:p w:rsidR="000D737D" w:rsidRPr="000D737D" w:rsidRDefault="000D737D" w:rsidP="000D737D">
            <w:pPr>
              <w:widowControl/>
              <w:autoSpaceDE w:val="0"/>
              <w:autoSpaceDN w:val="0"/>
              <w:adjustRightInd w:val="0"/>
              <w:jc w:val="right"/>
              <w:rPr>
                <w:rFonts w:ascii="Calibri" w:hAnsi="Calibri" w:cs="Calibri"/>
                <w:color w:val="000000"/>
                <w:sz w:val="22"/>
                <w:szCs w:val="22"/>
              </w:rPr>
            </w:pPr>
          </w:p>
        </w:tc>
        <w:tc>
          <w:tcPr>
            <w:tcW w:w="1348" w:type="dxa"/>
            <w:tcBorders>
              <w:top w:val="single" w:sz="6" w:space="0" w:color="auto"/>
              <w:left w:val="nil"/>
              <w:bottom w:val="nil"/>
              <w:right w:val="nil"/>
            </w:tcBorders>
          </w:tcPr>
          <w:p w:rsidR="000D737D" w:rsidRPr="000D737D" w:rsidRDefault="000D737D" w:rsidP="000D737D">
            <w:pPr>
              <w:widowControl/>
              <w:autoSpaceDE w:val="0"/>
              <w:autoSpaceDN w:val="0"/>
              <w:adjustRightInd w:val="0"/>
              <w:jc w:val="right"/>
              <w:rPr>
                <w:rFonts w:ascii="Calibri" w:hAnsi="Calibri" w:cs="Calibri"/>
                <w:color w:val="000000"/>
                <w:sz w:val="22"/>
                <w:szCs w:val="22"/>
              </w:rPr>
            </w:pPr>
          </w:p>
        </w:tc>
        <w:tc>
          <w:tcPr>
            <w:tcW w:w="1361" w:type="dxa"/>
            <w:tcBorders>
              <w:top w:val="single" w:sz="6" w:space="0" w:color="auto"/>
              <w:left w:val="nil"/>
              <w:bottom w:val="nil"/>
              <w:right w:val="nil"/>
            </w:tcBorders>
          </w:tcPr>
          <w:p w:rsidR="000D737D" w:rsidRPr="000D737D" w:rsidRDefault="000D737D" w:rsidP="000D737D">
            <w:pPr>
              <w:widowControl/>
              <w:autoSpaceDE w:val="0"/>
              <w:autoSpaceDN w:val="0"/>
              <w:adjustRightInd w:val="0"/>
              <w:jc w:val="right"/>
              <w:rPr>
                <w:rFonts w:ascii="Calibri" w:hAnsi="Calibri" w:cs="Calibri"/>
                <w:color w:val="000000"/>
                <w:sz w:val="22"/>
                <w:szCs w:val="22"/>
              </w:rPr>
            </w:pPr>
          </w:p>
        </w:tc>
        <w:tc>
          <w:tcPr>
            <w:tcW w:w="1361" w:type="dxa"/>
            <w:tcBorders>
              <w:top w:val="single" w:sz="6" w:space="0" w:color="auto"/>
              <w:left w:val="nil"/>
              <w:bottom w:val="nil"/>
              <w:right w:val="nil"/>
            </w:tcBorders>
          </w:tcPr>
          <w:p w:rsidR="000D737D" w:rsidRPr="000D737D" w:rsidRDefault="000D737D" w:rsidP="000D737D">
            <w:pPr>
              <w:widowControl/>
              <w:autoSpaceDE w:val="0"/>
              <w:autoSpaceDN w:val="0"/>
              <w:adjustRightInd w:val="0"/>
              <w:jc w:val="right"/>
              <w:rPr>
                <w:rFonts w:ascii="Calibri" w:hAnsi="Calibri" w:cs="Calibri"/>
                <w:color w:val="000000"/>
                <w:sz w:val="22"/>
                <w:szCs w:val="22"/>
              </w:rPr>
            </w:pPr>
          </w:p>
        </w:tc>
        <w:tc>
          <w:tcPr>
            <w:tcW w:w="1625" w:type="dxa"/>
            <w:tcBorders>
              <w:top w:val="single" w:sz="6" w:space="0" w:color="auto"/>
              <w:left w:val="nil"/>
              <w:bottom w:val="nil"/>
              <w:right w:val="nil"/>
            </w:tcBorders>
          </w:tcPr>
          <w:p w:rsidR="000D737D" w:rsidRPr="000D737D" w:rsidRDefault="000D737D" w:rsidP="000D737D">
            <w:pPr>
              <w:widowControl/>
              <w:autoSpaceDE w:val="0"/>
              <w:autoSpaceDN w:val="0"/>
              <w:adjustRightInd w:val="0"/>
              <w:jc w:val="right"/>
              <w:rPr>
                <w:rFonts w:ascii="Calibri" w:hAnsi="Calibri" w:cs="Calibri"/>
                <w:color w:val="000000"/>
                <w:sz w:val="22"/>
                <w:szCs w:val="22"/>
              </w:rPr>
            </w:pPr>
          </w:p>
        </w:tc>
      </w:tr>
      <w:tr w:rsidR="000D737D" w:rsidRPr="000D737D" w:rsidTr="000D737D">
        <w:trPr>
          <w:trHeight w:val="238"/>
        </w:trPr>
        <w:tc>
          <w:tcPr>
            <w:tcW w:w="2194" w:type="dxa"/>
            <w:tcBorders>
              <w:top w:val="nil"/>
              <w:left w:val="nil"/>
              <w:bottom w:val="nil"/>
              <w:right w:val="nil"/>
            </w:tcBorders>
          </w:tcPr>
          <w:p w:rsidR="000D737D" w:rsidRPr="000D737D" w:rsidRDefault="000D737D" w:rsidP="000D737D">
            <w:pPr>
              <w:widowControl/>
              <w:autoSpaceDE w:val="0"/>
              <w:autoSpaceDN w:val="0"/>
              <w:adjustRightInd w:val="0"/>
              <w:jc w:val="right"/>
              <w:rPr>
                <w:rFonts w:ascii="Calibri" w:hAnsi="Calibri" w:cs="Calibri"/>
                <w:b/>
                <w:bCs/>
                <w:color w:val="000000"/>
                <w:sz w:val="22"/>
                <w:szCs w:val="22"/>
              </w:rPr>
            </w:pPr>
          </w:p>
        </w:tc>
        <w:tc>
          <w:tcPr>
            <w:tcW w:w="1941" w:type="dxa"/>
            <w:tcBorders>
              <w:top w:val="nil"/>
              <w:left w:val="nil"/>
              <w:bottom w:val="nil"/>
              <w:right w:val="nil"/>
            </w:tcBorders>
          </w:tcPr>
          <w:p w:rsidR="000D737D" w:rsidRPr="000D737D" w:rsidRDefault="000D737D" w:rsidP="000D737D">
            <w:pPr>
              <w:widowControl/>
              <w:autoSpaceDE w:val="0"/>
              <w:autoSpaceDN w:val="0"/>
              <w:adjustRightInd w:val="0"/>
              <w:jc w:val="right"/>
              <w:rPr>
                <w:rFonts w:ascii="Calibri" w:hAnsi="Calibri" w:cs="Calibri"/>
                <w:b/>
                <w:bCs/>
                <w:color w:val="000000"/>
                <w:sz w:val="22"/>
                <w:szCs w:val="22"/>
              </w:rPr>
            </w:pPr>
          </w:p>
        </w:tc>
        <w:tc>
          <w:tcPr>
            <w:tcW w:w="1558" w:type="dxa"/>
            <w:tcBorders>
              <w:top w:val="nil"/>
              <w:left w:val="nil"/>
              <w:bottom w:val="nil"/>
              <w:right w:val="nil"/>
            </w:tcBorders>
          </w:tcPr>
          <w:p w:rsidR="000D737D" w:rsidRPr="000D737D" w:rsidRDefault="000D737D" w:rsidP="000D737D">
            <w:pPr>
              <w:widowControl/>
              <w:autoSpaceDE w:val="0"/>
              <w:autoSpaceDN w:val="0"/>
              <w:adjustRightInd w:val="0"/>
              <w:jc w:val="right"/>
              <w:rPr>
                <w:rFonts w:ascii="Calibri" w:hAnsi="Calibri" w:cs="Calibri"/>
                <w:b/>
                <w:bCs/>
                <w:color w:val="000000"/>
                <w:sz w:val="22"/>
                <w:szCs w:val="22"/>
              </w:rPr>
            </w:pPr>
          </w:p>
        </w:tc>
        <w:tc>
          <w:tcPr>
            <w:tcW w:w="1454" w:type="dxa"/>
            <w:tcBorders>
              <w:top w:val="nil"/>
              <w:left w:val="nil"/>
              <w:bottom w:val="nil"/>
              <w:right w:val="nil"/>
            </w:tcBorders>
          </w:tcPr>
          <w:p w:rsidR="000D737D" w:rsidRPr="000D737D" w:rsidRDefault="000D737D" w:rsidP="000D737D">
            <w:pPr>
              <w:widowControl/>
              <w:autoSpaceDE w:val="0"/>
              <w:autoSpaceDN w:val="0"/>
              <w:adjustRightInd w:val="0"/>
              <w:jc w:val="right"/>
              <w:rPr>
                <w:rFonts w:ascii="Calibri" w:hAnsi="Calibri" w:cs="Calibri"/>
                <w:b/>
                <w:bCs/>
                <w:color w:val="000000"/>
                <w:sz w:val="22"/>
                <w:szCs w:val="22"/>
              </w:rPr>
            </w:pPr>
          </w:p>
        </w:tc>
        <w:tc>
          <w:tcPr>
            <w:tcW w:w="1851" w:type="dxa"/>
            <w:tcBorders>
              <w:top w:val="nil"/>
              <w:left w:val="nil"/>
              <w:bottom w:val="nil"/>
              <w:right w:val="nil"/>
            </w:tcBorders>
          </w:tcPr>
          <w:p w:rsidR="000D737D" w:rsidRPr="000D737D" w:rsidRDefault="000D737D" w:rsidP="000D737D">
            <w:pPr>
              <w:widowControl/>
              <w:autoSpaceDE w:val="0"/>
              <w:autoSpaceDN w:val="0"/>
              <w:adjustRightInd w:val="0"/>
              <w:jc w:val="right"/>
              <w:rPr>
                <w:rFonts w:ascii="Calibri" w:hAnsi="Calibri" w:cs="Calibri"/>
                <w:color w:val="000000"/>
                <w:sz w:val="22"/>
                <w:szCs w:val="22"/>
              </w:rPr>
            </w:pPr>
          </w:p>
        </w:tc>
        <w:tc>
          <w:tcPr>
            <w:tcW w:w="1348" w:type="dxa"/>
            <w:tcBorders>
              <w:top w:val="nil"/>
              <w:left w:val="nil"/>
              <w:bottom w:val="nil"/>
              <w:right w:val="nil"/>
            </w:tcBorders>
          </w:tcPr>
          <w:p w:rsidR="000D737D" w:rsidRPr="000D737D" w:rsidRDefault="000D737D" w:rsidP="000D737D">
            <w:pPr>
              <w:widowControl/>
              <w:autoSpaceDE w:val="0"/>
              <w:autoSpaceDN w:val="0"/>
              <w:adjustRightInd w:val="0"/>
              <w:jc w:val="right"/>
              <w:rPr>
                <w:rFonts w:ascii="Calibri" w:hAnsi="Calibri" w:cs="Calibri"/>
                <w:color w:val="000000"/>
                <w:sz w:val="22"/>
                <w:szCs w:val="22"/>
              </w:rPr>
            </w:pPr>
          </w:p>
        </w:tc>
        <w:tc>
          <w:tcPr>
            <w:tcW w:w="1361" w:type="dxa"/>
            <w:tcBorders>
              <w:top w:val="nil"/>
              <w:left w:val="nil"/>
              <w:bottom w:val="nil"/>
              <w:right w:val="nil"/>
            </w:tcBorders>
          </w:tcPr>
          <w:p w:rsidR="000D737D" w:rsidRPr="000D737D" w:rsidRDefault="000D737D" w:rsidP="000D737D">
            <w:pPr>
              <w:widowControl/>
              <w:autoSpaceDE w:val="0"/>
              <w:autoSpaceDN w:val="0"/>
              <w:adjustRightInd w:val="0"/>
              <w:jc w:val="right"/>
              <w:rPr>
                <w:rFonts w:ascii="Calibri" w:hAnsi="Calibri" w:cs="Calibri"/>
                <w:color w:val="000000"/>
                <w:sz w:val="22"/>
                <w:szCs w:val="22"/>
              </w:rPr>
            </w:pPr>
          </w:p>
        </w:tc>
        <w:tc>
          <w:tcPr>
            <w:tcW w:w="1361" w:type="dxa"/>
            <w:tcBorders>
              <w:top w:val="nil"/>
              <w:left w:val="nil"/>
              <w:bottom w:val="nil"/>
              <w:right w:val="nil"/>
            </w:tcBorders>
          </w:tcPr>
          <w:p w:rsidR="000D737D" w:rsidRPr="000D737D" w:rsidRDefault="000D737D" w:rsidP="000D737D">
            <w:pPr>
              <w:widowControl/>
              <w:autoSpaceDE w:val="0"/>
              <w:autoSpaceDN w:val="0"/>
              <w:adjustRightInd w:val="0"/>
              <w:jc w:val="right"/>
              <w:rPr>
                <w:rFonts w:ascii="Calibri" w:hAnsi="Calibri" w:cs="Calibri"/>
                <w:color w:val="000000"/>
                <w:sz w:val="22"/>
                <w:szCs w:val="22"/>
              </w:rPr>
            </w:pPr>
          </w:p>
        </w:tc>
        <w:tc>
          <w:tcPr>
            <w:tcW w:w="1625" w:type="dxa"/>
            <w:tcBorders>
              <w:top w:val="nil"/>
              <w:left w:val="nil"/>
              <w:bottom w:val="nil"/>
              <w:right w:val="nil"/>
            </w:tcBorders>
          </w:tcPr>
          <w:p w:rsidR="000D737D" w:rsidRPr="000D737D" w:rsidRDefault="000D737D" w:rsidP="000D737D">
            <w:pPr>
              <w:widowControl/>
              <w:autoSpaceDE w:val="0"/>
              <w:autoSpaceDN w:val="0"/>
              <w:adjustRightInd w:val="0"/>
              <w:jc w:val="right"/>
              <w:rPr>
                <w:rFonts w:ascii="Calibri" w:hAnsi="Calibri" w:cs="Calibri"/>
                <w:color w:val="000000"/>
                <w:sz w:val="22"/>
                <w:szCs w:val="22"/>
              </w:rPr>
            </w:pPr>
          </w:p>
        </w:tc>
      </w:tr>
      <w:tr w:rsidR="000D737D" w:rsidRPr="000D737D" w:rsidTr="000D737D">
        <w:trPr>
          <w:trHeight w:val="238"/>
        </w:trPr>
        <w:tc>
          <w:tcPr>
            <w:tcW w:w="2194" w:type="dxa"/>
            <w:tcBorders>
              <w:top w:val="nil"/>
              <w:left w:val="nil"/>
              <w:bottom w:val="single" w:sz="6" w:space="0" w:color="auto"/>
              <w:right w:val="nil"/>
            </w:tcBorders>
          </w:tcPr>
          <w:p w:rsidR="000D737D" w:rsidRPr="000D737D" w:rsidRDefault="000D737D" w:rsidP="000D737D">
            <w:pPr>
              <w:widowControl/>
              <w:autoSpaceDE w:val="0"/>
              <w:autoSpaceDN w:val="0"/>
              <w:adjustRightInd w:val="0"/>
              <w:jc w:val="right"/>
              <w:rPr>
                <w:rFonts w:ascii="Calibri" w:hAnsi="Calibri" w:cs="Calibri"/>
                <w:color w:val="000000"/>
                <w:sz w:val="22"/>
                <w:szCs w:val="22"/>
              </w:rPr>
            </w:pPr>
          </w:p>
        </w:tc>
        <w:tc>
          <w:tcPr>
            <w:tcW w:w="1941" w:type="dxa"/>
            <w:tcBorders>
              <w:top w:val="nil"/>
              <w:left w:val="nil"/>
              <w:bottom w:val="single" w:sz="6" w:space="0" w:color="auto"/>
              <w:right w:val="nil"/>
            </w:tcBorders>
          </w:tcPr>
          <w:p w:rsidR="000D737D" w:rsidRPr="000D737D" w:rsidRDefault="000D737D" w:rsidP="000D737D">
            <w:pPr>
              <w:widowControl/>
              <w:autoSpaceDE w:val="0"/>
              <w:autoSpaceDN w:val="0"/>
              <w:adjustRightInd w:val="0"/>
              <w:jc w:val="right"/>
              <w:rPr>
                <w:rFonts w:ascii="Calibri" w:hAnsi="Calibri" w:cs="Calibri"/>
                <w:color w:val="000000"/>
                <w:sz w:val="22"/>
                <w:szCs w:val="22"/>
              </w:rPr>
            </w:pPr>
          </w:p>
        </w:tc>
        <w:tc>
          <w:tcPr>
            <w:tcW w:w="1558" w:type="dxa"/>
            <w:tcBorders>
              <w:top w:val="nil"/>
              <w:left w:val="nil"/>
              <w:bottom w:val="single" w:sz="6" w:space="0" w:color="auto"/>
              <w:right w:val="nil"/>
            </w:tcBorders>
          </w:tcPr>
          <w:p w:rsidR="000D737D" w:rsidRPr="000D737D" w:rsidRDefault="000D737D" w:rsidP="000D737D">
            <w:pPr>
              <w:widowControl/>
              <w:autoSpaceDE w:val="0"/>
              <w:autoSpaceDN w:val="0"/>
              <w:adjustRightInd w:val="0"/>
              <w:jc w:val="right"/>
              <w:rPr>
                <w:rFonts w:ascii="Calibri" w:hAnsi="Calibri" w:cs="Calibri"/>
                <w:color w:val="000000"/>
                <w:sz w:val="22"/>
                <w:szCs w:val="22"/>
              </w:rPr>
            </w:pPr>
          </w:p>
        </w:tc>
        <w:tc>
          <w:tcPr>
            <w:tcW w:w="1454" w:type="dxa"/>
            <w:tcBorders>
              <w:top w:val="nil"/>
              <w:left w:val="nil"/>
              <w:bottom w:val="single" w:sz="6" w:space="0" w:color="auto"/>
              <w:right w:val="nil"/>
            </w:tcBorders>
          </w:tcPr>
          <w:p w:rsidR="000D737D" w:rsidRPr="000D737D" w:rsidRDefault="000D737D" w:rsidP="000D737D">
            <w:pPr>
              <w:widowControl/>
              <w:autoSpaceDE w:val="0"/>
              <w:autoSpaceDN w:val="0"/>
              <w:adjustRightInd w:val="0"/>
              <w:jc w:val="right"/>
              <w:rPr>
                <w:rFonts w:ascii="Calibri" w:hAnsi="Calibri" w:cs="Calibri"/>
                <w:color w:val="000000"/>
                <w:sz w:val="22"/>
                <w:szCs w:val="22"/>
              </w:rPr>
            </w:pPr>
          </w:p>
        </w:tc>
        <w:tc>
          <w:tcPr>
            <w:tcW w:w="1851" w:type="dxa"/>
            <w:tcBorders>
              <w:top w:val="nil"/>
              <w:left w:val="nil"/>
              <w:bottom w:val="single" w:sz="6" w:space="0" w:color="auto"/>
              <w:right w:val="nil"/>
            </w:tcBorders>
          </w:tcPr>
          <w:p w:rsidR="000D737D" w:rsidRPr="000D737D" w:rsidRDefault="000D737D" w:rsidP="000D737D">
            <w:pPr>
              <w:widowControl/>
              <w:autoSpaceDE w:val="0"/>
              <w:autoSpaceDN w:val="0"/>
              <w:adjustRightInd w:val="0"/>
              <w:jc w:val="right"/>
              <w:rPr>
                <w:rFonts w:ascii="Calibri" w:hAnsi="Calibri" w:cs="Calibri"/>
                <w:color w:val="000000"/>
                <w:sz w:val="22"/>
                <w:szCs w:val="22"/>
              </w:rPr>
            </w:pPr>
          </w:p>
        </w:tc>
        <w:tc>
          <w:tcPr>
            <w:tcW w:w="1348" w:type="dxa"/>
            <w:tcBorders>
              <w:top w:val="nil"/>
              <w:left w:val="nil"/>
              <w:bottom w:val="single" w:sz="6" w:space="0" w:color="auto"/>
              <w:right w:val="nil"/>
            </w:tcBorders>
          </w:tcPr>
          <w:p w:rsidR="000D737D" w:rsidRPr="000D737D" w:rsidRDefault="000D737D" w:rsidP="000D737D">
            <w:pPr>
              <w:widowControl/>
              <w:autoSpaceDE w:val="0"/>
              <w:autoSpaceDN w:val="0"/>
              <w:adjustRightInd w:val="0"/>
              <w:jc w:val="right"/>
              <w:rPr>
                <w:rFonts w:ascii="Calibri" w:hAnsi="Calibri" w:cs="Calibri"/>
                <w:color w:val="000000"/>
                <w:sz w:val="22"/>
                <w:szCs w:val="22"/>
              </w:rPr>
            </w:pPr>
          </w:p>
        </w:tc>
        <w:tc>
          <w:tcPr>
            <w:tcW w:w="1361" w:type="dxa"/>
            <w:tcBorders>
              <w:top w:val="nil"/>
              <w:left w:val="nil"/>
              <w:bottom w:val="single" w:sz="6" w:space="0" w:color="auto"/>
              <w:right w:val="nil"/>
            </w:tcBorders>
          </w:tcPr>
          <w:p w:rsidR="000D737D" w:rsidRPr="000D737D" w:rsidRDefault="000D737D" w:rsidP="000D737D">
            <w:pPr>
              <w:widowControl/>
              <w:autoSpaceDE w:val="0"/>
              <w:autoSpaceDN w:val="0"/>
              <w:adjustRightInd w:val="0"/>
              <w:jc w:val="right"/>
              <w:rPr>
                <w:rFonts w:ascii="Calibri" w:hAnsi="Calibri" w:cs="Calibri"/>
                <w:color w:val="000000"/>
                <w:sz w:val="22"/>
                <w:szCs w:val="22"/>
              </w:rPr>
            </w:pPr>
          </w:p>
        </w:tc>
        <w:tc>
          <w:tcPr>
            <w:tcW w:w="1361" w:type="dxa"/>
            <w:tcBorders>
              <w:top w:val="nil"/>
              <w:left w:val="nil"/>
              <w:bottom w:val="single" w:sz="6" w:space="0" w:color="auto"/>
              <w:right w:val="nil"/>
            </w:tcBorders>
          </w:tcPr>
          <w:p w:rsidR="000D737D" w:rsidRPr="000D737D" w:rsidRDefault="000D737D" w:rsidP="000D737D">
            <w:pPr>
              <w:widowControl/>
              <w:autoSpaceDE w:val="0"/>
              <w:autoSpaceDN w:val="0"/>
              <w:adjustRightInd w:val="0"/>
              <w:jc w:val="right"/>
              <w:rPr>
                <w:rFonts w:ascii="Calibri" w:hAnsi="Calibri" w:cs="Calibri"/>
                <w:color w:val="000000"/>
                <w:sz w:val="22"/>
                <w:szCs w:val="22"/>
              </w:rPr>
            </w:pPr>
          </w:p>
        </w:tc>
        <w:tc>
          <w:tcPr>
            <w:tcW w:w="1625" w:type="dxa"/>
            <w:tcBorders>
              <w:top w:val="nil"/>
              <w:left w:val="nil"/>
              <w:bottom w:val="single" w:sz="6" w:space="0" w:color="auto"/>
              <w:right w:val="nil"/>
            </w:tcBorders>
          </w:tcPr>
          <w:p w:rsidR="000D737D" w:rsidRPr="000D737D" w:rsidRDefault="000D737D" w:rsidP="000D737D">
            <w:pPr>
              <w:widowControl/>
              <w:autoSpaceDE w:val="0"/>
              <w:autoSpaceDN w:val="0"/>
              <w:adjustRightInd w:val="0"/>
              <w:jc w:val="right"/>
              <w:rPr>
                <w:rFonts w:ascii="Calibri" w:hAnsi="Calibri" w:cs="Calibri"/>
                <w:color w:val="000000"/>
                <w:sz w:val="22"/>
                <w:szCs w:val="22"/>
              </w:rPr>
            </w:pPr>
          </w:p>
        </w:tc>
      </w:tr>
      <w:tr w:rsidR="000D737D" w:rsidRPr="000D737D" w:rsidTr="000D737D">
        <w:trPr>
          <w:trHeight w:val="989"/>
        </w:trPr>
        <w:tc>
          <w:tcPr>
            <w:tcW w:w="2194" w:type="dxa"/>
            <w:tcBorders>
              <w:top w:val="single" w:sz="6" w:space="0" w:color="auto"/>
              <w:left w:val="single" w:sz="6" w:space="0" w:color="auto"/>
              <w:bottom w:val="single" w:sz="6" w:space="0" w:color="auto"/>
              <w:right w:val="single" w:sz="6" w:space="0" w:color="auto"/>
            </w:tcBorders>
            <w:shd w:val="solid" w:color="C0C0C0" w:fill="auto"/>
          </w:tcPr>
          <w:p w:rsidR="000D737D" w:rsidRPr="000D737D" w:rsidRDefault="000D737D" w:rsidP="000D737D">
            <w:pPr>
              <w:widowControl/>
              <w:autoSpaceDE w:val="0"/>
              <w:autoSpaceDN w:val="0"/>
              <w:adjustRightInd w:val="0"/>
              <w:jc w:val="center"/>
              <w:rPr>
                <w:rFonts w:asciiTheme="minorHAnsi" w:hAnsiTheme="minorHAnsi" w:cs="Calibri"/>
                <w:b/>
                <w:bCs/>
                <w:color w:val="000000"/>
                <w:sz w:val="18"/>
                <w:szCs w:val="18"/>
              </w:rPr>
            </w:pPr>
            <w:r w:rsidRPr="000D737D">
              <w:rPr>
                <w:rFonts w:asciiTheme="minorHAnsi" w:hAnsiTheme="minorHAnsi" w:cs="Calibri"/>
                <w:b/>
                <w:bCs/>
                <w:color w:val="000000"/>
                <w:sz w:val="18"/>
                <w:szCs w:val="18"/>
              </w:rPr>
              <w:t>Participating</w:t>
            </w:r>
          </w:p>
          <w:p w:rsidR="000D737D" w:rsidRPr="000D737D" w:rsidRDefault="000D737D" w:rsidP="000D737D">
            <w:pPr>
              <w:widowControl/>
              <w:autoSpaceDE w:val="0"/>
              <w:autoSpaceDN w:val="0"/>
              <w:adjustRightInd w:val="0"/>
              <w:jc w:val="center"/>
              <w:rPr>
                <w:rFonts w:asciiTheme="minorHAnsi" w:hAnsiTheme="minorHAnsi" w:cs="Calibri"/>
                <w:b/>
                <w:bCs/>
                <w:color w:val="000000"/>
                <w:sz w:val="18"/>
                <w:szCs w:val="18"/>
              </w:rPr>
            </w:pPr>
            <w:r w:rsidRPr="000D737D">
              <w:rPr>
                <w:rFonts w:asciiTheme="minorHAnsi" w:hAnsiTheme="minorHAnsi" w:cs="Calibri"/>
                <w:b/>
                <w:bCs/>
                <w:color w:val="000000"/>
                <w:sz w:val="18"/>
                <w:szCs w:val="18"/>
              </w:rPr>
              <w:t xml:space="preserve"> UN Org.</w:t>
            </w:r>
          </w:p>
        </w:tc>
        <w:tc>
          <w:tcPr>
            <w:tcW w:w="1941" w:type="dxa"/>
            <w:tcBorders>
              <w:top w:val="single" w:sz="6" w:space="0" w:color="auto"/>
              <w:left w:val="single" w:sz="6" w:space="0" w:color="auto"/>
              <w:bottom w:val="single" w:sz="6" w:space="0" w:color="auto"/>
              <w:right w:val="single" w:sz="6" w:space="0" w:color="auto"/>
            </w:tcBorders>
            <w:shd w:val="solid" w:color="C0C0C0" w:fill="auto"/>
          </w:tcPr>
          <w:p w:rsidR="000D737D" w:rsidRPr="000D737D" w:rsidRDefault="000D737D" w:rsidP="000D737D">
            <w:pPr>
              <w:widowControl/>
              <w:autoSpaceDE w:val="0"/>
              <w:autoSpaceDN w:val="0"/>
              <w:adjustRightInd w:val="0"/>
              <w:rPr>
                <w:rFonts w:asciiTheme="minorHAnsi" w:hAnsiTheme="minorHAnsi" w:cs="Calibri"/>
                <w:b/>
                <w:bCs/>
                <w:color w:val="000000"/>
                <w:sz w:val="18"/>
                <w:szCs w:val="18"/>
              </w:rPr>
            </w:pPr>
            <w:r w:rsidRPr="000D737D">
              <w:rPr>
                <w:rFonts w:asciiTheme="minorHAnsi" w:hAnsiTheme="minorHAnsi" w:cs="Calibri"/>
                <w:b/>
                <w:bCs/>
                <w:color w:val="000000"/>
                <w:sz w:val="18"/>
                <w:szCs w:val="18"/>
              </w:rPr>
              <w:t>Total Transferred  from MDTF (USD)</w:t>
            </w:r>
          </w:p>
        </w:tc>
        <w:tc>
          <w:tcPr>
            <w:tcW w:w="1558" w:type="dxa"/>
            <w:gridSpan w:val="2"/>
            <w:tcBorders>
              <w:top w:val="single" w:sz="6" w:space="0" w:color="auto"/>
              <w:left w:val="single" w:sz="6" w:space="0" w:color="auto"/>
              <w:bottom w:val="single" w:sz="6" w:space="0" w:color="auto"/>
              <w:right w:val="nil"/>
            </w:tcBorders>
            <w:shd w:val="solid" w:color="C0C0C0" w:fill="auto"/>
          </w:tcPr>
          <w:p w:rsidR="000D737D" w:rsidRPr="000D737D" w:rsidRDefault="000D737D" w:rsidP="000D737D">
            <w:pPr>
              <w:widowControl/>
              <w:autoSpaceDE w:val="0"/>
              <w:autoSpaceDN w:val="0"/>
              <w:adjustRightInd w:val="0"/>
              <w:jc w:val="center"/>
              <w:rPr>
                <w:rFonts w:asciiTheme="minorHAnsi" w:hAnsiTheme="minorHAnsi" w:cs="Calibri"/>
                <w:b/>
                <w:bCs/>
                <w:color w:val="000000"/>
                <w:sz w:val="18"/>
                <w:szCs w:val="18"/>
              </w:rPr>
            </w:pPr>
            <w:r w:rsidRPr="000D737D">
              <w:rPr>
                <w:rFonts w:asciiTheme="minorHAnsi" w:hAnsiTheme="minorHAnsi" w:cs="Calibri"/>
                <w:b/>
                <w:bCs/>
                <w:color w:val="000000"/>
                <w:sz w:val="18"/>
                <w:szCs w:val="18"/>
              </w:rPr>
              <w:t>Cumulative Expenditures</w:t>
            </w:r>
          </w:p>
        </w:tc>
        <w:tc>
          <w:tcPr>
            <w:tcW w:w="1851" w:type="dxa"/>
            <w:tcBorders>
              <w:top w:val="single" w:sz="6" w:space="0" w:color="auto"/>
              <w:left w:val="nil"/>
              <w:bottom w:val="single" w:sz="6" w:space="0" w:color="auto"/>
              <w:right w:val="single" w:sz="6" w:space="0" w:color="auto"/>
            </w:tcBorders>
            <w:shd w:val="solid" w:color="C0C0C0" w:fill="auto"/>
          </w:tcPr>
          <w:p w:rsidR="000D737D" w:rsidRPr="000D737D" w:rsidRDefault="000D737D" w:rsidP="000D737D">
            <w:pPr>
              <w:widowControl/>
              <w:autoSpaceDE w:val="0"/>
              <w:autoSpaceDN w:val="0"/>
              <w:adjustRightInd w:val="0"/>
              <w:jc w:val="center"/>
              <w:rPr>
                <w:rFonts w:asciiTheme="minorHAnsi" w:hAnsiTheme="minorHAnsi" w:cs="Calibri"/>
                <w:b/>
                <w:bCs/>
                <w:color w:val="000000"/>
                <w:sz w:val="18"/>
                <w:szCs w:val="18"/>
              </w:rPr>
            </w:pPr>
          </w:p>
        </w:tc>
        <w:tc>
          <w:tcPr>
            <w:tcW w:w="1348" w:type="dxa"/>
            <w:tcBorders>
              <w:top w:val="single" w:sz="6" w:space="0" w:color="auto"/>
              <w:left w:val="single" w:sz="6" w:space="0" w:color="auto"/>
              <w:bottom w:val="single" w:sz="6" w:space="0" w:color="auto"/>
              <w:right w:val="nil"/>
            </w:tcBorders>
            <w:shd w:val="solid" w:color="C0C0C0" w:fill="auto"/>
          </w:tcPr>
          <w:p w:rsidR="000D737D" w:rsidRPr="000D737D" w:rsidRDefault="000D737D" w:rsidP="000D737D">
            <w:pPr>
              <w:widowControl/>
              <w:autoSpaceDE w:val="0"/>
              <w:autoSpaceDN w:val="0"/>
              <w:adjustRightInd w:val="0"/>
              <w:jc w:val="center"/>
              <w:rPr>
                <w:rFonts w:asciiTheme="minorHAnsi" w:hAnsiTheme="minorHAnsi" w:cs="Calibri"/>
                <w:b/>
                <w:bCs/>
                <w:color w:val="000000"/>
                <w:sz w:val="18"/>
                <w:szCs w:val="18"/>
              </w:rPr>
            </w:pPr>
            <w:r w:rsidRPr="000D737D">
              <w:rPr>
                <w:rFonts w:asciiTheme="minorHAnsi" w:hAnsiTheme="minorHAnsi" w:cs="Calibri"/>
                <w:b/>
                <w:bCs/>
                <w:color w:val="000000"/>
                <w:sz w:val="18"/>
                <w:szCs w:val="18"/>
              </w:rPr>
              <w:t>Delivery rates</w:t>
            </w:r>
          </w:p>
        </w:tc>
        <w:tc>
          <w:tcPr>
            <w:tcW w:w="1361" w:type="dxa"/>
            <w:tcBorders>
              <w:top w:val="single" w:sz="6" w:space="0" w:color="auto"/>
              <w:left w:val="nil"/>
              <w:bottom w:val="single" w:sz="6" w:space="0" w:color="auto"/>
              <w:right w:val="nil"/>
            </w:tcBorders>
            <w:shd w:val="solid" w:color="C0C0C0" w:fill="auto"/>
          </w:tcPr>
          <w:p w:rsidR="000D737D" w:rsidRPr="000D737D" w:rsidRDefault="000D737D" w:rsidP="000D737D">
            <w:pPr>
              <w:widowControl/>
              <w:autoSpaceDE w:val="0"/>
              <w:autoSpaceDN w:val="0"/>
              <w:adjustRightInd w:val="0"/>
              <w:jc w:val="center"/>
              <w:rPr>
                <w:rFonts w:asciiTheme="minorHAnsi" w:hAnsiTheme="minorHAnsi" w:cs="Calibri"/>
                <w:b/>
                <w:bCs/>
                <w:color w:val="000000"/>
                <w:sz w:val="18"/>
                <w:szCs w:val="18"/>
              </w:rPr>
            </w:pPr>
          </w:p>
        </w:tc>
        <w:tc>
          <w:tcPr>
            <w:tcW w:w="1361" w:type="dxa"/>
            <w:tcBorders>
              <w:top w:val="single" w:sz="6" w:space="0" w:color="auto"/>
              <w:left w:val="nil"/>
              <w:bottom w:val="single" w:sz="6" w:space="0" w:color="auto"/>
              <w:right w:val="single" w:sz="6" w:space="0" w:color="auto"/>
            </w:tcBorders>
            <w:shd w:val="solid" w:color="C0C0C0" w:fill="auto"/>
          </w:tcPr>
          <w:p w:rsidR="000D737D" w:rsidRPr="000D737D" w:rsidRDefault="000D737D" w:rsidP="000D737D">
            <w:pPr>
              <w:widowControl/>
              <w:autoSpaceDE w:val="0"/>
              <w:autoSpaceDN w:val="0"/>
              <w:adjustRightInd w:val="0"/>
              <w:jc w:val="center"/>
              <w:rPr>
                <w:rFonts w:asciiTheme="minorHAnsi" w:hAnsiTheme="minorHAnsi" w:cs="Calibri"/>
                <w:b/>
                <w:bCs/>
                <w:color w:val="000000"/>
                <w:sz w:val="18"/>
                <w:szCs w:val="18"/>
              </w:rPr>
            </w:pPr>
          </w:p>
        </w:tc>
        <w:tc>
          <w:tcPr>
            <w:tcW w:w="1625" w:type="dxa"/>
            <w:tcBorders>
              <w:top w:val="single" w:sz="6" w:space="0" w:color="auto"/>
              <w:left w:val="single" w:sz="6" w:space="0" w:color="auto"/>
              <w:bottom w:val="single" w:sz="6" w:space="0" w:color="auto"/>
              <w:right w:val="single" w:sz="6" w:space="0" w:color="auto"/>
            </w:tcBorders>
            <w:shd w:val="solid" w:color="C0C0C0" w:fill="auto"/>
          </w:tcPr>
          <w:p w:rsidR="000D737D" w:rsidRPr="000D737D" w:rsidRDefault="000D737D" w:rsidP="000D737D">
            <w:pPr>
              <w:widowControl/>
              <w:autoSpaceDE w:val="0"/>
              <w:autoSpaceDN w:val="0"/>
              <w:adjustRightInd w:val="0"/>
              <w:rPr>
                <w:rFonts w:asciiTheme="minorHAnsi" w:hAnsiTheme="minorHAnsi" w:cs="Calibri"/>
                <w:b/>
                <w:bCs/>
                <w:color w:val="000000"/>
                <w:sz w:val="18"/>
                <w:szCs w:val="18"/>
              </w:rPr>
            </w:pPr>
            <w:r w:rsidRPr="000D737D">
              <w:rPr>
                <w:rFonts w:asciiTheme="minorHAnsi" w:hAnsiTheme="minorHAnsi" w:cs="Calibri"/>
                <w:b/>
                <w:bCs/>
                <w:color w:val="000000"/>
                <w:sz w:val="18"/>
                <w:szCs w:val="18"/>
              </w:rPr>
              <w:t>Fund Balance</w:t>
            </w:r>
          </w:p>
        </w:tc>
      </w:tr>
      <w:tr w:rsidR="000D737D" w:rsidRPr="000D737D" w:rsidTr="000D737D">
        <w:trPr>
          <w:trHeight w:val="499"/>
        </w:trPr>
        <w:tc>
          <w:tcPr>
            <w:tcW w:w="2194"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jc w:val="right"/>
              <w:rPr>
                <w:rFonts w:asciiTheme="minorHAnsi" w:hAnsiTheme="minorHAnsi" w:cs="Calibri"/>
                <w:b/>
                <w:bCs/>
                <w:color w:val="000000"/>
                <w:sz w:val="18"/>
                <w:szCs w:val="18"/>
              </w:rPr>
            </w:pPr>
          </w:p>
        </w:tc>
        <w:tc>
          <w:tcPr>
            <w:tcW w:w="1941"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jc w:val="right"/>
              <w:rPr>
                <w:rFonts w:asciiTheme="minorHAnsi" w:hAnsiTheme="minorHAnsi" w:cs="Calibri"/>
                <w:b/>
                <w:bCs/>
                <w:color w:val="000000"/>
                <w:sz w:val="18"/>
                <w:szCs w:val="18"/>
              </w:rPr>
            </w:pPr>
          </w:p>
        </w:tc>
        <w:tc>
          <w:tcPr>
            <w:tcW w:w="1558" w:type="dxa"/>
            <w:tcBorders>
              <w:top w:val="single" w:sz="6" w:space="0" w:color="auto"/>
              <w:left w:val="single" w:sz="6" w:space="0" w:color="auto"/>
              <w:bottom w:val="single" w:sz="6" w:space="0" w:color="auto"/>
              <w:right w:val="nil"/>
            </w:tcBorders>
          </w:tcPr>
          <w:p w:rsidR="000D737D" w:rsidRPr="000D737D" w:rsidRDefault="000D737D" w:rsidP="000D737D">
            <w:pPr>
              <w:widowControl/>
              <w:autoSpaceDE w:val="0"/>
              <w:autoSpaceDN w:val="0"/>
              <w:adjustRightInd w:val="0"/>
              <w:jc w:val="center"/>
              <w:rPr>
                <w:rFonts w:asciiTheme="minorHAnsi" w:hAnsiTheme="minorHAnsi" w:cs="Calibri"/>
                <w:b/>
                <w:bCs/>
                <w:color w:val="000000"/>
                <w:sz w:val="18"/>
                <w:szCs w:val="18"/>
              </w:rPr>
            </w:pPr>
          </w:p>
        </w:tc>
        <w:tc>
          <w:tcPr>
            <w:tcW w:w="1454" w:type="dxa"/>
            <w:tcBorders>
              <w:top w:val="single" w:sz="6" w:space="0" w:color="auto"/>
              <w:left w:val="nil"/>
              <w:bottom w:val="single" w:sz="6" w:space="0" w:color="auto"/>
              <w:right w:val="single" w:sz="6" w:space="0" w:color="auto"/>
            </w:tcBorders>
          </w:tcPr>
          <w:p w:rsidR="000D737D" w:rsidRPr="000D737D" w:rsidRDefault="000D737D" w:rsidP="000D737D">
            <w:pPr>
              <w:widowControl/>
              <w:autoSpaceDE w:val="0"/>
              <w:autoSpaceDN w:val="0"/>
              <w:adjustRightInd w:val="0"/>
              <w:jc w:val="center"/>
              <w:rPr>
                <w:rFonts w:asciiTheme="minorHAnsi" w:hAnsiTheme="minorHAnsi" w:cs="Calibri"/>
                <w:b/>
                <w:bCs/>
                <w:color w:val="000000"/>
                <w:sz w:val="18"/>
                <w:szCs w:val="18"/>
              </w:rPr>
            </w:pPr>
          </w:p>
        </w:tc>
        <w:tc>
          <w:tcPr>
            <w:tcW w:w="1851"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jc w:val="center"/>
              <w:rPr>
                <w:rFonts w:asciiTheme="minorHAnsi" w:hAnsiTheme="minorHAnsi" w:cs="Calibri"/>
                <w:b/>
                <w:bCs/>
                <w:color w:val="000000"/>
                <w:sz w:val="18"/>
                <w:szCs w:val="18"/>
              </w:rPr>
            </w:pPr>
            <w:r w:rsidRPr="000D737D">
              <w:rPr>
                <w:rFonts w:asciiTheme="minorHAnsi" w:hAnsiTheme="minorHAnsi" w:cs="Calibri"/>
                <w:b/>
                <w:bCs/>
                <w:color w:val="000000"/>
                <w:sz w:val="18"/>
                <w:szCs w:val="18"/>
              </w:rPr>
              <w:t>Total Expenditures</w:t>
            </w:r>
          </w:p>
        </w:tc>
        <w:tc>
          <w:tcPr>
            <w:tcW w:w="1348"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p>
        </w:tc>
        <w:tc>
          <w:tcPr>
            <w:tcW w:w="1361"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p>
        </w:tc>
        <w:tc>
          <w:tcPr>
            <w:tcW w:w="1361"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p>
        </w:tc>
        <w:tc>
          <w:tcPr>
            <w:tcW w:w="1625"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p>
        </w:tc>
      </w:tr>
      <w:tr w:rsidR="000D737D" w:rsidRPr="000D737D" w:rsidTr="000D737D">
        <w:trPr>
          <w:trHeight w:val="749"/>
        </w:trPr>
        <w:tc>
          <w:tcPr>
            <w:tcW w:w="2194"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jc w:val="right"/>
              <w:rPr>
                <w:rFonts w:asciiTheme="minorHAnsi" w:hAnsiTheme="minorHAnsi" w:cs="Calibri"/>
                <w:b/>
                <w:bCs/>
                <w:color w:val="000000"/>
                <w:sz w:val="18"/>
                <w:szCs w:val="18"/>
              </w:rPr>
            </w:pPr>
          </w:p>
        </w:tc>
        <w:tc>
          <w:tcPr>
            <w:tcW w:w="1941"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jc w:val="right"/>
              <w:rPr>
                <w:rFonts w:asciiTheme="minorHAnsi" w:hAnsiTheme="minorHAnsi" w:cs="Calibri"/>
                <w:b/>
                <w:bCs/>
                <w:color w:val="000000"/>
                <w:sz w:val="18"/>
                <w:szCs w:val="18"/>
              </w:rPr>
            </w:pPr>
          </w:p>
        </w:tc>
        <w:tc>
          <w:tcPr>
            <w:tcW w:w="1558"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rPr>
                <w:rFonts w:asciiTheme="minorHAnsi" w:hAnsiTheme="minorHAnsi" w:cs="Calibri"/>
                <w:b/>
                <w:bCs/>
                <w:color w:val="000000"/>
                <w:sz w:val="18"/>
                <w:szCs w:val="18"/>
              </w:rPr>
            </w:pPr>
            <w:r w:rsidRPr="000D737D">
              <w:rPr>
                <w:rFonts w:asciiTheme="minorHAnsi" w:hAnsiTheme="minorHAnsi" w:cs="Calibri"/>
                <w:b/>
                <w:bCs/>
                <w:color w:val="000000"/>
                <w:sz w:val="18"/>
                <w:szCs w:val="18"/>
              </w:rPr>
              <w:t xml:space="preserve">Commitments </w:t>
            </w:r>
          </w:p>
        </w:tc>
        <w:tc>
          <w:tcPr>
            <w:tcW w:w="1454"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rPr>
                <w:rFonts w:asciiTheme="minorHAnsi" w:hAnsiTheme="minorHAnsi" w:cs="Calibri"/>
                <w:b/>
                <w:bCs/>
                <w:color w:val="000000"/>
                <w:sz w:val="18"/>
                <w:szCs w:val="18"/>
              </w:rPr>
            </w:pPr>
            <w:r w:rsidRPr="000D737D">
              <w:rPr>
                <w:rFonts w:asciiTheme="minorHAnsi" w:hAnsiTheme="minorHAnsi" w:cs="Calibri"/>
                <w:b/>
                <w:bCs/>
                <w:color w:val="000000"/>
                <w:sz w:val="18"/>
                <w:szCs w:val="18"/>
              </w:rPr>
              <w:t xml:space="preserve">Disbursements </w:t>
            </w:r>
          </w:p>
        </w:tc>
        <w:tc>
          <w:tcPr>
            <w:tcW w:w="1851"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jc w:val="right"/>
              <w:rPr>
                <w:rFonts w:asciiTheme="minorHAnsi" w:hAnsiTheme="minorHAnsi" w:cs="Calibri"/>
                <w:b/>
                <w:bCs/>
                <w:color w:val="000000"/>
                <w:sz w:val="18"/>
                <w:szCs w:val="18"/>
              </w:rPr>
            </w:pPr>
          </w:p>
        </w:tc>
        <w:tc>
          <w:tcPr>
            <w:tcW w:w="1348"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rPr>
                <w:rFonts w:asciiTheme="minorHAnsi" w:hAnsiTheme="minorHAnsi" w:cs="Calibri"/>
                <w:b/>
                <w:bCs/>
                <w:color w:val="000000"/>
                <w:sz w:val="18"/>
                <w:szCs w:val="18"/>
              </w:rPr>
            </w:pPr>
            <w:r w:rsidRPr="000D737D">
              <w:rPr>
                <w:rFonts w:asciiTheme="minorHAnsi" w:hAnsiTheme="minorHAnsi" w:cs="Calibri"/>
                <w:b/>
                <w:bCs/>
                <w:color w:val="000000"/>
                <w:sz w:val="18"/>
                <w:szCs w:val="18"/>
              </w:rPr>
              <w:t xml:space="preserve">Committment </w:t>
            </w:r>
          </w:p>
          <w:p w:rsidR="000D737D" w:rsidRPr="000D737D" w:rsidRDefault="000D737D" w:rsidP="000D737D">
            <w:pPr>
              <w:widowControl/>
              <w:autoSpaceDE w:val="0"/>
              <w:autoSpaceDN w:val="0"/>
              <w:adjustRightInd w:val="0"/>
              <w:rPr>
                <w:rFonts w:asciiTheme="minorHAnsi" w:hAnsiTheme="minorHAnsi" w:cs="Calibri"/>
                <w:b/>
                <w:bCs/>
                <w:color w:val="000000"/>
                <w:sz w:val="18"/>
                <w:szCs w:val="18"/>
              </w:rPr>
            </w:pPr>
            <w:r w:rsidRPr="000D737D">
              <w:rPr>
                <w:rFonts w:asciiTheme="minorHAnsi" w:hAnsiTheme="minorHAnsi" w:cs="Calibri"/>
                <w:b/>
                <w:bCs/>
                <w:color w:val="000000"/>
                <w:sz w:val="18"/>
                <w:szCs w:val="18"/>
              </w:rPr>
              <w:t>Rate</w:t>
            </w:r>
          </w:p>
        </w:tc>
        <w:tc>
          <w:tcPr>
            <w:tcW w:w="1361"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rPr>
                <w:rFonts w:asciiTheme="minorHAnsi" w:hAnsiTheme="minorHAnsi" w:cs="Calibri"/>
                <w:b/>
                <w:bCs/>
                <w:color w:val="000000"/>
                <w:sz w:val="18"/>
                <w:szCs w:val="18"/>
              </w:rPr>
            </w:pPr>
            <w:r w:rsidRPr="000D737D">
              <w:rPr>
                <w:rFonts w:asciiTheme="minorHAnsi" w:hAnsiTheme="minorHAnsi" w:cs="Calibri"/>
                <w:b/>
                <w:bCs/>
                <w:color w:val="000000"/>
                <w:sz w:val="18"/>
                <w:szCs w:val="18"/>
              </w:rPr>
              <w:t>Disbursement</w:t>
            </w:r>
          </w:p>
          <w:p w:rsidR="000D737D" w:rsidRPr="000D737D" w:rsidRDefault="000D737D" w:rsidP="000D737D">
            <w:pPr>
              <w:widowControl/>
              <w:autoSpaceDE w:val="0"/>
              <w:autoSpaceDN w:val="0"/>
              <w:adjustRightInd w:val="0"/>
              <w:rPr>
                <w:rFonts w:asciiTheme="minorHAnsi" w:hAnsiTheme="minorHAnsi" w:cs="Calibri"/>
                <w:b/>
                <w:bCs/>
                <w:color w:val="000000"/>
                <w:sz w:val="18"/>
                <w:szCs w:val="18"/>
              </w:rPr>
            </w:pPr>
            <w:r w:rsidRPr="000D737D">
              <w:rPr>
                <w:rFonts w:asciiTheme="minorHAnsi" w:hAnsiTheme="minorHAnsi" w:cs="Calibri"/>
                <w:b/>
                <w:bCs/>
                <w:color w:val="000000"/>
                <w:sz w:val="18"/>
                <w:szCs w:val="18"/>
              </w:rPr>
              <w:t xml:space="preserve"> Rate</w:t>
            </w:r>
          </w:p>
        </w:tc>
        <w:tc>
          <w:tcPr>
            <w:tcW w:w="1361"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rPr>
                <w:rFonts w:asciiTheme="minorHAnsi" w:hAnsiTheme="minorHAnsi" w:cs="Calibri"/>
                <w:b/>
                <w:bCs/>
                <w:color w:val="000000"/>
                <w:sz w:val="18"/>
                <w:szCs w:val="18"/>
              </w:rPr>
            </w:pPr>
            <w:r w:rsidRPr="000D737D">
              <w:rPr>
                <w:rFonts w:asciiTheme="minorHAnsi" w:hAnsiTheme="minorHAnsi" w:cs="Calibri"/>
                <w:b/>
                <w:bCs/>
                <w:color w:val="000000"/>
                <w:sz w:val="18"/>
                <w:szCs w:val="18"/>
              </w:rPr>
              <w:t>Total Delivery Rate</w:t>
            </w:r>
          </w:p>
        </w:tc>
        <w:tc>
          <w:tcPr>
            <w:tcW w:w="1625"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rPr>
                <w:rFonts w:asciiTheme="minorHAnsi" w:hAnsiTheme="minorHAnsi" w:cs="Calibri"/>
                <w:b/>
                <w:bCs/>
                <w:color w:val="000000"/>
                <w:sz w:val="18"/>
                <w:szCs w:val="18"/>
              </w:rPr>
            </w:pPr>
            <w:r w:rsidRPr="000D737D">
              <w:rPr>
                <w:rFonts w:asciiTheme="minorHAnsi" w:hAnsiTheme="minorHAnsi" w:cs="Calibri"/>
                <w:b/>
                <w:bCs/>
                <w:color w:val="000000"/>
                <w:sz w:val="18"/>
                <w:szCs w:val="18"/>
              </w:rPr>
              <w:t>Fund Balance</w:t>
            </w:r>
          </w:p>
        </w:tc>
      </w:tr>
      <w:tr w:rsidR="000D737D" w:rsidRPr="000D737D" w:rsidTr="000D737D">
        <w:trPr>
          <w:trHeight w:val="250"/>
        </w:trPr>
        <w:tc>
          <w:tcPr>
            <w:tcW w:w="2194"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rPr>
                <w:rFonts w:asciiTheme="minorHAnsi" w:hAnsiTheme="minorHAnsi" w:cs="Calibri"/>
                <w:b/>
                <w:bCs/>
                <w:color w:val="000000"/>
                <w:sz w:val="18"/>
                <w:szCs w:val="18"/>
              </w:rPr>
            </w:pPr>
            <w:r w:rsidRPr="000D737D">
              <w:rPr>
                <w:rFonts w:asciiTheme="minorHAnsi" w:hAnsiTheme="minorHAnsi" w:cs="Calibri"/>
                <w:b/>
                <w:bCs/>
                <w:color w:val="000000"/>
                <w:sz w:val="18"/>
                <w:szCs w:val="18"/>
              </w:rPr>
              <w:t>FAO</w:t>
            </w:r>
          </w:p>
        </w:tc>
        <w:tc>
          <w:tcPr>
            <w:tcW w:w="1941"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r w:rsidRPr="000D737D">
              <w:rPr>
                <w:rFonts w:asciiTheme="minorHAnsi" w:hAnsiTheme="minorHAnsi" w:cs="Calibri"/>
                <w:color w:val="000000"/>
                <w:sz w:val="18"/>
                <w:szCs w:val="18"/>
              </w:rPr>
              <w:t xml:space="preserve">                     810,973 </w:t>
            </w:r>
          </w:p>
        </w:tc>
        <w:tc>
          <w:tcPr>
            <w:tcW w:w="1558"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r w:rsidRPr="000D737D">
              <w:rPr>
                <w:rFonts w:asciiTheme="minorHAnsi" w:hAnsiTheme="minorHAnsi" w:cs="Calibri"/>
                <w:color w:val="000000"/>
                <w:sz w:val="18"/>
                <w:szCs w:val="18"/>
              </w:rPr>
              <w:t xml:space="preserve">         370,584.00 </w:t>
            </w:r>
          </w:p>
        </w:tc>
        <w:tc>
          <w:tcPr>
            <w:tcW w:w="1454"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r w:rsidRPr="000D737D">
              <w:rPr>
                <w:rFonts w:asciiTheme="minorHAnsi" w:hAnsiTheme="minorHAnsi" w:cs="Calibri"/>
                <w:color w:val="000000"/>
                <w:sz w:val="18"/>
                <w:szCs w:val="18"/>
              </w:rPr>
              <w:t xml:space="preserve">       296,185.00 </w:t>
            </w:r>
          </w:p>
        </w:tc>
        <w:tc>
          <w:tcPr>
            <w:tcW w:w="1851"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r w:rsidRPr="000D737D">
              <w:rPr>
                <w:rFonts w:asciiTheme="minorHAnsi" w:hAnsiTheme="minorHAnsi" w:cs="Calibri"/>
                <w:color w:val="000000"/>
                <w:sz w:val="18"/>
                <w:szCs w:val="18"/>
              </w:rPr>
              <w:t xml:space="preserve">                   666,769 </w:t>
            </w:r>
          </w:p>
        </w:tc>
        <w:tc>
          <w:tcPr>
            <w:tcW w:w="1348"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r w:rsidRPr="000D737D">
              <w:rPr>
                <w:rFonts w:asciiTheme="minorHAnsi" w:hAnsiTheme="minorHAnsi" w:cs="Calibri"/>
                <w:color w:val="000000"/>
                <w:sz w:val="18"/>
                <w:szCs w:val="18"/>
              </w:rPr>
              <w:t>46%</w:t>
            </w:r>
          </w:p>
        </w:tc>
        <w:tc>
          <w:tcPr>
            <w:tcW w:w="1361"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r w:rsidRPr="000D737D">
              <w:rPr>
                <w:rFonts w:asciiTheme="minorHAnsi" w:hAnsiTheme="minorHAnsi" w:cs="Calibri"/>
                <w:color w:val="000000"/>
                <w:sz w:val="18"/>
                <w:szCs w:val="18"/>
              </w:rPr>
              <w:t>37%</w:t>
            </w:r>
          </w:p>
        </w:tc>
        <w:tc>
          <w:tcPr>
            <w:tcW w:w="1361"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r w:rsidRPr="000D737D">
              <w:rPr>
                <w:rFonts w:asciiTheme="minorHAnsi" w:hAnsiTheme="minorHAnsi" w:cs="Calibri"/>
                <w:color w:val="000000"/>
                <w:sz w:val="18"/>
                <w:szCs w:val="18"/>
              </w:rPr>
              <w:t>82%</w:t>
            </w:r>
          </w:p>
        </w:tc>
        <w:tc>
          <w:tcPr>
            <w:tcW w:w="1625"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r w:rsidRPr="000D737D">
              <w:rPr>
                <w:rFonts w:asciiTheme="minorHAnsi" w:hAnsiTheme="minorHAnsi" w:cs="Calibri"/>
                <w:color w:val="000000"/>
                <w:sz w:val="18"/>
                <w:szCs w:val="18"/>
              </w:rPr>
              <w:t xml:space="preserve">          144,204.00 </w:t>
            </w:r>
          </w:p>
        </w:tc>
      </w:tr>
      <w:tr w:rsidR="000D737D" w:rsidRPr="000D737D" w:rsidTr="000D737D">
        <w:trPr>
          <w:trHeight w:val="250"/>
        </w:trPr>
        <w:tc>
          <w:tcPr>
            <w:tcW w:w="2194"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rPr>
                <w:rFonts w:asciiTheme="minorHAnsi" w:hAnsiTheme="minorHAnsi" w:cs="Calibri"/>
                <w:b/>
                <w:bCs/>
                <w:color w:val="000000"/>
                <w:sz w:val="18"/>
                <w:szCs w:val="18"/>
              </w:rPr>
            </w:pPr>
            <w:r w:rsidRPr="000D737D">
              <w:rPr>
                <w:rFonts w:asciiTheme="minorHAnsi" w:hAnsiTheme="minorHAnsi" w:cs="Calibri"/>
                <w:b/>
                <w:bCs/>
                <w:color w:val="000000"/>
                <w:sz w:val="18"/>
                <w:szCs w:val="18"/>
              </w:rPr>
              <w:t>UNDP</w:t>
            </w:r>
          </w:p>
        </w:tc>
        <w:tc>
          <w:tcPr>
            <w:tcW w:w="1941"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r w:rsidRPr="000D737D">
              <w:rPr>
                <w:rFonts w:asciiTheme="minorHAnsi" w:hAnsiTheme="minorHAnsi" w:cs="Calibri"/>
                <w:color w:val="000000"/>
                <w:sz w:val="18"/>
                <w:szCs w:val="18"/>
              </w:rPr>
              <w:t xml:space="preserve">                     921,959 </w:t>
            </w:r>
          </w:p>
        </w:tc>
        <w:tc>
          <w:tcPr>
            <w:tcW w:w="1558"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r w:rsidRPr="000D737D">
              <w:rPr>
                <w:rFonts w:asciiTheme="minorHAnsi" w:hAnsiTheme="minorHAnsi" w:cs="Calibri"/>
                <w:color w:val="000000"/>
                <w:sz w:val="18"/>
                <w:szCs w:val="18"/>
              </w:rPr>
              <w:t xml:space="preserve">         489,000.00 </w:t>
            </w:r>
          </w:p>
        </w:tc>
        <w:tc>
          <w:tcPr>
            <w:tcW w:w="1454"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r w:rsidRPr="000D737D">
              <w:rPr>
                <w:rFonts w:asciiTheme="minorHAnsi" w:hAnsiTheme="minorHAnsi" w:cs="Calibri"/>
                <w:color w:val="000000"/>
                <w:sz w:val="18"/>
                <w:szCs w:val="18"/>
              </w:rPr>
              <w:t xml:space="preserve">         50,878.59 </w:t>
            </w:r>
          </w:p>
        </w:tc>
        <w:tc>
          <w:tcPr>
            <w:tcW w:w="1851"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r w:rsidRPr="000D737D">
              <w:rPr>
                <w:rFonts w:asciiTheme="minorHAnsi" w:hAnsiTheme="minorHAnsi" w:cs="Calibri"/>
                <w:color w:val="000000"/>
                <w:sz w:val="18"/>
                <w:szCs w:val="18"/>
              </w:rPr>
              <w:t xml:space="preserve">                   539,879 </w:t>
            </w:r>
          </w:p>
        </w:tc>
        <w:tc>
          <w:tcPr>
            <w:tcW w:w="1348"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r w:rsidRPr="000D737D">
              <w:rPr>
                <w:rFonts w:asciiTheme="minorHAnsi" w:hAnsiTheme="minorHAnsi" w:cs="Calibri"/>
                <w:color w:val="000000"/>
                <w:sz w:val="18"/>
                <w:szCs w:val="18"/>
              </w:rPr>
              <w:t>53%</w:t>
            </w:r>
          </w:p>
        </w:tc>
        <w:tc>
          <w:tcPr>
            <w:tcW w:w="1361"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r w:rsidRPr="000D737D">
              <w:rPr>
                <w:rFonts w:asciiTheme="minorHAnsi" w:hAnsiTheme="minorHAnsi" w:cs="Calibri"/>
                <w:color w:val="000000"/>
                <w:sz w:val="18"/>
                <w:szCs w:val="18"/>
              </w:rPr>
              <w:t>6%</w:t>
            </w:r>
          </w:p>
        </w:tc>
        <w:tc>
          <w:tcPr>
            <w:tcW w:w="1361"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r w:rsidRPr="000D737D">
              <w:rPr>
                <w:rFonts w:asciiTheme="minorHAnsi" w:hAnsiTheme="minorHAnsi" w:cs="Calibri"/>
                <w:color w:val="000000"/>
                <w:sz w:val="18"/>
                <w:szCs w:val="18"/>
              </w:rPr>
              <w:t>59%</w:t>
            </w:r>
          </w:p>
        </w:tc>
        <w:tc>
          <w:tcPr>
            <w:tcW w:w="1625"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r w:rsidRPr="000D737D">
              <w:rPr>
                <w:rFonts w:asciiTheme="minorHAnsi" w:hAnsiTheme="minorHAnsi" w:cs="Calibri"/>
                <w:color w:val="000000"/>
                <w:sz w:val="18"/>
                <w:szCs w:val="18"/>
              </w:rPr>
              <w:t xml:space="preserve">          382,080.41 </w:t>
            </w:r>
          </w:p>
        </w:tc>
      </w:tr>
      <w:tr w:rsidR="000D737D" w:rsidRPr="000D737D" w:rsidTr="000D737D">
        <w:trPr>
          <w:trHeight w:val="250"/>
        </w:trPr>
        <w:tc>
          <w:tcPr>
            <w:tcW w:w="2194"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rPr>
                <w:rFonts w:asciiTheme="minorHAnsi" w:hAnsiTheme="minorHAnsi" w:cs="Calibri"/>
                <w:b/>
                <w:bCs/>
                <w:color w:val="000000"/>
                <w:sz w:val="18"/>
                <w:szCs w:val="18"/>
              </w:rPr>
            </w:pPr>
            <w:r w:rsidRPr="000D737D">
              <w:rPr>
                <w:rFonts w:asciiTheme="minorHAnsi" w:hAnsiTheme="minorHAnsi" w:cs="Calibri"/>
                <w:b/>
                <w:bCs/>
                <w:color w:val="000000"/>
                <w:sz w:val="18"/>
                <w:szCs w:val="18"/>
              </w:rPr>
              <w:t>UNEP</w:t>
            </w:r>
          </w:p>
        </w:tc>
        <w:tc>
          <w:tcPr>
            <w:tcW w:w="1941"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r w:rsidRPr="000D737D">
              <w:rPr>
                <w:rFonts w:asciiTheme="minorHAnsi" w:hAnsiTheme="minorHAnsi" w:cs="Calibri"/>
                <w:color w:val="000000"/>
                <w:sz w:val="18"/>
                <w:szCs w:val="18"/>
              </w:rPr>
              <w:t xml:space="preserve">                  1,155,483 </w:t>
            </w:r>
          </w:p>
        </w:tc>
        <w:tc>
          <w:tcPr>
            <w:tcW w:w="1558"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r w:rsidRPr="000D737D">
              <w:rPr>
                <w:rFonts w:asciiTheme="minorHAnsi" w:hAnsiTheme="minorHAnsi" w:cs="Calibri"/>
                <w:color w:val="000000"/>
                <w:sz w:val="18"/>
                <w:szCs w:val="18"/>
              </w:rPr>
              <w:t xml:space="preserve">                       -   </w:t>
            </w:r>
          </w:p>
        </w:tc>
        <w:tc>
          <w:tcPr>
            <w:tcW w:w="1454"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r w:rsidRPr="000D737D">
              <w:rPr>
                <w:rFonts w:asciiTheme="minorHAnsi" w:hAnsiTheme="minorHAnsi" w:cs="Calibri"/>
                <w:color w:val="000000"/>
                <w:sz w:val="18"/>
                <w:szCs w:val="18"/>
              </w:rPr>
              <w:t xml:space="preserve">       667,000.00 </w:t>
            </w:r>
          </w:p>
        </w:tc>
        <w:tc>
          <w:tcPr>
            <w:tcW w:w="1851"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r w:rsidRPr="000D737D">
              <w:rPr>
                <w:rFonts w:asciiTheme="minorHAnsi" w:hAnsiTheme="minorHAnsi" w:cs="Calibri"/>
                <w:color w:val="000000"/>
                <w:sz w:val="18"/>
                <w:szCs w:val="18"/>
              </w:rPr>
              <w:t xml:space="preserve">                   667,000 </w:t>
            </w:r>
          </w:p>
        </w:tc>
        <w:tc>
          <w:tcPr>
            <w:tcW w:w="1348"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r w:rsidRPr="000D737D">
              <w:rPr>
                <w:rFonts w:asciiTheme="minorHAnsi" w:hAnsiTheme="minorHAnsi" w:cs="Calibri"/>
                <w:color w:val="000000"/>
                <w:sz w:val="18"/>
                <w:szCs w:val="18"/>
              </w:rPr>
              <w:t>0%</w:t>
            </w:r>
          </w:p>
        </w:tc>
        <w:tc>
          <w:tcPr>
            <w:tcW w:w="1361"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r w:rsidRPr="000D737D">
              <w:rPr>
                <w:rFonts w:asciiTheme="minorHAnsi" w:hAnsiTheme="minorHAnsi" w:cs="Calibri"/>
                <w:color w:val="000000"/>
                <w:sz w:val="18"/>
                <w:szCs w:val="18"/>
              </w:rPr>
              <w:t>58%</w:t>
            </w:r>
          </w:p>
        </w:tc>
        <w:tc>
          <w:tcPr>
            <w:tcW w:w="1361"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r w:rsidRPr="000D737D">
              <w:rPr>
                <w:rFonts w:asciiTheme="minorHAnsi" w:hAnsiTheme="minorHAnsi" w:cs="Calibri"/>
                <w:color w:val="000000"/>
                <w:sz w:val="18"/>
                <w:szCs w:val="18"/>
              </w:rPr>
              <w:t>58%</w:t>
            </w:r>
          </w:p>
        </w:tc>
        <w:tc>
          <w:tcPr>
            <w:tcW w:w="1625"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r w:rsidRPr="000D737D">
              <w:rPr>
                <w:rFonts w:asciiTheme="minorHAnsi" w:hAnsiTheme="minorHAnsi" w:cs="Calibri"/>
                <w:color w:val="000000"/>
                <w:sz w:val="18"/>
                <w:szCs w:val="18"/>
              </w:rPr>
              <w:t xml:space="preserve">          488,483.00 </w:t>
            </w:r>
          </w:p>
        </w:tc>
      </w:tr>
      <w:tr w:rsidR="000D737D" w:rsidRPr="000D737D" w:rsidTr="000D737D">
        <w:trPr>
          <w:trHeight w:val="499"/>
        </w:trPr>
        <w:tc>
          <w:tcPr>
            <w:tcW w:w="2194"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rPr>
                <w:rFonts w:asciiTheme="minorHAnsi" w:hAnsiTheme="minorHAnsi" w:cs="Calibri"/>
                <w:color w:val="000000"/>
                <w:sz w:val="18"/>
                <w:szCs w:val="18"/>
              </w:rPr>
            </w:pPr>
            <w:r w:rsidRPr="000D737D">
              <w:rPr>
                <w:rFonts w:asciiTheme="minorHAnsi" w:hAnsiTheme="minorHAnsi" w:cs="Calibri"/>
                <w:color w:val="000000"/>
                <w:sz w:val="18"/>
                <w:szCs w:val="18"/>
              </w:rPr>
              <w:t>Total Budget/</w:t>
            </w:r>
          </w:p>
          <w:p w:rsidR="000D737D" w:rsidRPr="000D737D" w:rsidRDefault="000D737D" w:rsidP="000D737D">
            <w:pPr>
              <w:widowControl/>
              <w:autoSpaceDE w:val="0"/>
              <w:autoSpaceDN w:val="0"/>
              <w:adjustRightInd w:val="0"/>
              <w:rPr>
                <w:rFonts w:asciiTheme="minorHAnsi" w:hAnsiTheme="minorHAnsi" w:cs="Calibri"/>
                <w:color w:val="000000"/>
                <w:sz w:val="18"/>
                <w:szCs w:val="18"/>
              </w:rPr>
            </w:pPr>
            <w:r w:rsidRPr="000D737D">
              <w:rPr>
                <w:rFonts w:asciiTheme="minorHAnsi" w:hAnsiTheme="minorHAnsi" w:cs="Calibri"/>
                <w:color w:val="000000"/>
                <w:sz w:val="18"/>
                <w:szCs w:val="18"/>
              </w:rPr>
              <w:t>Expenditure</w:t>
            </w:r>
          </w:p>
        </w:tc>
        <w:tc>
          <w:tcPr>
            <w:tcW w:w="1941"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jc w:val="right"/>
              <w:rPr>
                <w:rFonts w:asciiTheme="minorHAnsi" w:hAnsiTheme="minorHAnsi" w:cs="Calibri"/>
                <w:b/>
                <w:bCs/>
                <w:color w:val="000000"/>
                <w:sz w:val="18"/>
                <w:szCs w:val="18"/>
              </w:rPr>
            </w:pPr>
            <w:r w:rsidRPr="000D737D">
              <w:rPr>
                <w:rFonts w:asciiTheme="minorHAnsi" w:hAnsiTheme="minorHAnsi" w:cs="Calibri"/>
                <w:b/>
                <w:bCs/>
                <w:color w:val="000000"/>
                <w:sz w:val="18"/>
                <w:szCs w:val="18"/>
              </w:rPr>
              <w:t xml:space="preserve">                  2,888,415 </w:t>
            </w:r>
          </w:p>
        </w:tc>
        <w:tc>
          <w:tcPr>
            <w:tcW w:w="1558"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jc w:val="right"/>
              <w:rPr>
                <w:rFonts w:asciiTheme="minorHAnsi" w:hAnsiTheme="minorHAnsi" w:cs="Calibri"/>
                <w:b/>
                <w:bCs/>
                <w:color w:val="000000"/>
                <w:sz w:val="18"/>
                <w:szCs w:val="18"/>
              </w:rPr>
            </w:pPr>
            <w:r w:rsidRPr="000D737D">
              <w:rPr>
                <w:rFonts w:asciiTheme="minorHAnsi" w:hAnsiTheme="minorHAnsi" w:cs="Calibri"/>
                <w:b/>
                <w:bCs/>
                <w:color w:val="000000"/>
                <w:sz w:val="18"/>
                <w:szCs w:val="18"/>
              </w:rPr>
              <w:t xml:space="preserve">              859,584 </w:t>
            </w:r>
          </w:p>
        </w:tc>
        <w:tc>
          <w:tcPr>
            <w:tcW w:w="1454"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jc w:val="right"/>
              <w:rPr>
                <w:rFonts w:asciiTheme="minorHAnsi" w:hAnsiTheme="minorHAnsi" w:cs="Calibri"/>
                <w:b/>
                <w:bCs/>
                <w:color w:val="000000"/>
                <w:sz w:val="18"/>
                <w:szCs w:val="18"/>
              </w:rPr>
            </w:pPr>
            <w:r w:rsidRPr="000D737D">
              <w:rPr>
                <w:rFonts w:asciiTheme="minorHAnsi" w:hAnsiTheme="minorHAnsi" w:cs="Calibri"/>
                <w:b/>
                <w:bCs/>
                <w:color w:val="000000"/>
                <w:sz w:val="18"/>
                <w:szCs w:val="18"/>
              </w:rPr>
              <w:t xml:space="preserve">         1,014,064 </w:t>
            </w:r>
          </w:p>
        </w:tc>
        <w:tc>
          <w:tcPr>
            <w:tcW w:w="1851"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jc w:val="right"/>
              <w:rPr>
                <w:rFonts w:asciiTheme="minorHAnsi" w:hAnsiTheme="minorHAnsi" w:cs="Calibri"/>
                <w:b/>
                <w:bCs/>
                <w:color w:val="000000"/>
                <w:sz w:val="18"/>
                <w:szCs w:val="18"/>
              </w:rPr>
            </w:pPr>
            <w:r w:rsidRPr="000D737D">
              <w:rPr>
                <w:rFonts w:asciiTheme="minorHAnsi" w:hAnsiTheme="minorHAnsi" w:cs="Calibri"/>
                <w:b/>
                <w:bCs/>
                <w:color w:val="000000"/>
                <w:sz w:val="18"/>
                <w:szCs w:val="18"/>
              </w:rPr>
              <w:t xml:space="preserve">                1,873,648 </w:t>
            </w:r>
          </w:p>
        </w:tc>
        <w:tc>
          <w:tcPr>
            <w:tcW w:w="1348"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p>
        </w:tc>
        <w:tc>
          <w:tcPr>
            <w:tcW w:w="1361"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p>
        </w:tc>
        <w:tc>
          <w:tcPr>
            <w:tcW w:w="1361"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jc w:val="right"/>
              <w:rPr>
                <w:rFonts w:asciiTheme="minorHAnsi" w:hAnsiTheme="minorHAnsi" w:cs="Calibri"/>
                <w:b/>
                <w:bCs/>
                <w:color w:val="000000"/>
                <w:sz w:val="18"/>
                <w:szCs w:val="18"/>
              </w:rPr>
            </w:pPr>
            <w:r w:rsidRPr="000D737D">
              <w:rPr>
                <w:rFonts w:asciiTheme="minorHAnsi" w:hAnsiTheme="minorHAnsi" w:cs="Calibri"/>
                <w:b/>
                <w:bCs/>
                <w:color w:val="000000"/>
                <w:sz w:val="18"/>
                <w:szCs w:val="18"/>
              </w:rPr>
              <w:t>65%</w:t>
            </w:r>
          </w:p>
        </w:tc>
        <w:tc>
          <w:tcPr>
            <w:tcW w:w="1625" w:type="dxa"/>
            <w:tcBorders>
              <w:top w:val="single" w:sz="6" w:space="0" w:color="auto"/>
              <w:left w:val="single" w:sz="6" w:space="0" w:color="auto"/>
              <w:bottom w:val="single" w:sz="6" w:space="0" w:color="auto"/>
              <w:right w:val="single" w:sz="6" w:space="0" w:color="auto"/>
            </w:tcBorders>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p>
        </w:tc>
      </w:tr>
      <w:tr w:rsidR="000D737D" w:rsidRPr="000D737D" w:rsidTr="000D737D">
        <w:trPr>
          <w:trHeight w:val="499"/>
        </w:trPr>
        <w:tc>
          <w:tcPr>
            <w:tcW w:w="2194" w:type="dxa"/>
            <w:tcBorders>
              <w:top w:val="single" w:sz="6" w:space="0" w:color="auto"/>
              <w:left w:val="single" w:sz="6" w:space="0" w:color="auto"/>
              <w:bottom w:val="single" w:sz="6" w:space="0" w:color="auto"/>
              <w:right w:val="single" w:sz="6" w:space="0" w:color="auto"/>
            </w:tcBorders>
            <w:shd w:val="solid" w:color="C0C0C0" w:fill="auto"/>
          </w:tcPr>
          <w:p w:rsidR="000D737D" w:rsidRPr="000D737D" w:rsidRDefault="000D737D" w:rsidP="000D737D">
            <w:pPr>
              <w:widowControl/>
              <w:autoSpaceDE w:val="0"/>
              <w:autoSpaceDN w:val="0"/>
              <w:adjustRightInd w:val="0"/>
              <w:rPr>
                <w:rFonts w:asciiTheme="minorHAnsi" w:hAnsiTheme="minorHAnsi" w:cs="Calibri"/>
                <w:b/>
                <w:bCs/>
                <w:color w:val="000000"/>
                <w:sz w:val="18"/>
                <w:szCs w:val="18"/>
              </w:rPr>
            </w:pPr>
            <w:r w:rsidRPr="000D737D">
              <w:rPr>
                <w:rFonts w:asciiTheme="minorHAnsi" w:hAnsiTheme="minorHAnsi" w:cs="Calibri"/>
                <w:b/>
                <w:bCs/>
                <w:color w:val="000000"/>
                <w:sz w:val="18"/>
                <w:szCs w:val="18"/>
              </w:rPr>
              <w:t>Total Fund</w:t>
            </w:r>
          </w:p>
          <w:p w:rsidR="000D737D" w:rsidRPr="000D737D" w:rsidRDefault="000D737D" w:rsidP="000D737D">
            <w:pPr>
              <w:widowControl/>
              <w:autoSpaceDE w:val="0"/>
              <w:autoSpaceDN w:val="0"/>
              <w:adjustRightInd w:val="0"/>
              <w:rPr>
                <w:rFonts w:asciiTheme="minorHAnsi" w:hAnsiTheme="minorHAnsi" w:cs="Calibri"/>
                <w:b/>
                <w:bCs/>
                <w:color w:val="000000"/>
                <w:sz w:val="18"/>
                <w:szCs w:val="18"/>
              </w:rPr>
            </w:pPr>
            <w:r w:rsidRPr="000D737D">
              <w:rPr>
                <w:rFonts w:asciiTheme="minorHAnsi" w:hAnsiTheme="minorHAnsi" w:cs="Calibri"/>
                <w:b/>
                <w:bCs/>
                <w:color w:val="000000"/>
                <w:sz w:val="18"/>
                <w:szCs w:val="18"/>
              </w:rPr>
              <w:t>Balance</w:t>
            </w:r>
          </w:p>
        </w:tc>
        <w:tc>
          <w:tcPr>
            <w:tcW w:w="1941" w:type="dxa"/>
            <w:tcBorders>
              <w:top w:val="single" w:sz="6" w:space="0" w:color="auto"/>
              <w:left w:val="single" w:sz="6" w:space="0" w:color="auto"/>
              <w:bottom w:val="single" w:sz="6" w:space="0" w:color="auto"/>
              <w:right w:val="single" w:sz="6" w:space="0" w:color="auto"/>
            </w:tcBorders>
            <w:shd w:val="solid" w:color="C0C0C0" w:fill="auto"/>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p>
        </w:tc>
        <w:tc>
          <w:tcPr>
            <w:tcW w:w="1558" w:type="dxa"/>
            <w:tcBorders>
              <w:top w:val="single" w:sz="6" w:space="0" w:color="auto"/>
              <w:left w:val="single" w:sz="6" w:space="0" w:color="auto"/>
              <w:bottom w:val="single" w:sz="6" w:space="0" w:color="auto"/>
              <w:right w:val="single" w:sz="6" w:space="0" w:color="auto"/>
            </w:tcBorders>
            <w:shd w:val="solid" w:color="C0C0C0" w:fill="auto"/>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p>
        </w:tc>
        <w:tc>
          <w:tcPr>
            <w:tcW w:w="1454" w:type="dxa"/>
            <w:tcBorders>
              <w:top w:val="single" w:sz="6" w:space="0" w:color="auto"/>
              <w:left w:val="single" w:sz="6" w:space="0" w:color="auto"/>
              <w:bottom w:val="single" w:sz="6" w:space="0" w:color="auto"/>
              <w:right w:val="single" w:sz="6" w:space="0" w:color="auto"/>
            </w:tcBorders>
            <w:shd w:val="solid" w:color="C0C0C0" w:fill="auto"/>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p>
        </w:tc>
        <w:tc>
          <w:tcPr>
            <w:tcW w:w="1851" w:type="dxa"/>
            <w:tcBorders>
              <w:top w:val="single" w:sz="6" w:space="0" w:color="auto"/>
              <w:left w:val="single" w:sz="6" w:space="0" w:color="auto"/>
              <w:bottom w:val="single" w:sz="6" w:space="0" w:color="auto"/>
              <w:right w:val="single" w:sz="6" w:space="0" w:color="auto"/>
            </w:tcBorders>
            <w:shd w:val="solid" w:color="C0C0C0" w:fill="auto"/>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p>
        </w:tc>
        <w:tc>
          <w:tcPr>
            <w:tcW w:w="1348" w:type="dxa"/>
            <w:tcBorders>
              <w:top w:val="single" w:sz="6" w:space="0" w:color="auto"/>
              <w:left w:val="single" w:sz="6" w:space="0" w:color="auto"/>
              <w:bottom w:val="single" w:sz="6" w:space="0" w:color="auto"/>
              <w:right w:val="single" w:sz="6" w:space="0" w:color="auto"/>
            </w:tcBorders>
            <w:shd w:val="solid" w:color="C0C0C0" w:fill="auto"/>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p>
        </w:tc>
        <w:tc>
          <w:tcPr>
            <w:tcW w:w="1361" w:type="dxa"/>
            <w:tcBorders>
              <w:top w:val="single" w:sz="6" w:space="0" w:color="auto"/>
              <w:left w:val="single" w:sz="6" w:space="0" w:color="auto"/>
              <w:bottom w:val="single" w:sz="6" w:space="0" w:color="auto"/>
              <w:right w:val="single" w:sz="6" w:space="0" w:color="auto"/>
            </w:tcBorders>
            <w:shd w:val="solid" w:color="C0C0C0" w:fill="auto"/>
          </w:tcPr>
          <w:p w:rsidR="000D737D" w:rsidRPr="000D737D" w:rsidRDefault="000D737D" w:rsidP="000D737D">
            <w:pPr>
              <w:widowControl/>
              <w:autoSpaceDE w:val="0"/>
              <w:autoSpaceDN w:val="0"/>
              <w:adjustRightInd w:val="0"/>
              <w:jc w:val="right"/>
              <w:rPr>
                <w:rFonts w:asciiTheme="minorHAnsi" w:hAnsiTheme="minorHAnsi" w:cs="Calibri"/>
                <w:color w:val="000000"/>
                <w:sz w:val="18"/>
                <w:szCs w:val="18"/>
              </w:rPr>
            </w:pPr>
          </w:p>
        </w:tc>
        <w:tc>
          <w:tcPr>
            <w:tcW w:w="1361" w:type="dxa"/>
            <w:tcBorders>
              <w:top w:val="single" w:sz="6" w:space="0" w:color="auto"/>
              <w:left w:val="single" w:sz="6" w:space="0" w:color="auto"/>
              <w:bottom w:val="single" w:sz="6" w:space="0" w:color="auto"/>
              <w:right w:val="single" w:sz="6" w:space="0" w:color="auto"/>
            </w:tcBorders>
            <w:shd w:val="solid" w:color="C0C0C0" w:fill="auto"/>
          </w:tcPr>
          <w:p w:rsidR="000D737D" w:rsidRPr="000D737D" w:rsidRDefault="000D737D" w:rsidP="000D737D">
            <w:pPr>
              <w:widowControl/>
              <w:autoSpaceDE w:val="0"/>
              <w:autoSpaceDN w:val="0"/>
              <w:adjustRightInd w:val="0"/>
              <w:jc w:val="right"/>
              <w:rPr>
                <w:rFonts w:asciiTheme="minorHAnsi" w:hAnsiTheme="minorHAnsi" w:cs="Calibri"/>
                <w:b/>
                <w:bCs/>
                <w:color w:val="000000"/>
                <w:sz w:val="18"/>
                <w:szCs w:val="18"/>
              </w:rPr>
            </w:pPr>
          </w:p>
        </w:tc>
        <w:tc>
          <w:tcPr>
            <w:tcW w:w="1625" w:type="dxa"/>
            <w:tcBorders>
              <w:top w:val="single" w:sz="6" w:space="0" w:color="auto"/>
              <w:left w:val="single" w:sz="6" w:space="0" w:color="auto"/>
              <w:bottom w:val="single" w:sz="6" w:space="0" w:color="auto"/>
              <w:right w:val="single" w:sz="6" w:space="0" w:color="auto"/>
            </w:tcBorders>
            <w:shd w:val="solid" w:color="C0C0C0" w:fill="auto"/>
          </w:tcPr>
          <w:p w:rsidR="000D737D" w:rsidRPr="000D737D" w:rsidRDefault="000D737D" w:rsidP="000D737D">
            <w:pPr>
              <w:widowControl/>
              <w:autoSpaceDE w:val="0"/>
              <w:autoSpaceDN w:val="0"/>
              <w:adjustRightInd w:val="0"/>
              <w:jc w:val="right"/>
              <w:rPr>
                <w:rFonts w:asciiTheme="minorHAnsi" w:hAnsiTheme="minorHAnsi" w:cs="Calibri"/>
                <w:b/>
                <w:bCs/>
                <w:color w:val="000000"/>
                <w:sz w:val="18"/>
                <w:szCs w:val="18"/>
              </w:rPr>
            </w:pPr>
            <w:r w:rsidRPr="000D737D">
              <w:rPr>
                <w:rFonts w:asciiTheme="minorHAnsi" w:hAnsiTheme="minorHAnsi" w:cs="Calibri"/>
                <w:b/>
                <w:bCs/>
                <w:color w:val="000000"/>
                <w:sz w:val="18"/>
                <w:szCs w:val="18"/>
              </w:rPr>
              <w:t xml:space="preserve">       1,014,767.41 </w:t>
            </w:r>
          </w:p>
        </w:tc>
      </w:tr>
    </w:tbl>
    <w:p w:rsidR="000D737D" w:rsidRPr="00DE156C" w:rsidRDefault="000D737D" w:rsidP="00DE156C">
      <w:pPr>
        <w:pStyle w:val="BodyText2"/>
        <w:rPr>
          <w:rFonts w:ascii="Times New Roman" w:hAnsi="Times New Roman"/>
          <w:sz w:val="24"/>
          <w:lang w:val="en-GB"/>
        </w:rPr>
      </w:pPr>
    </w:p>
    <w:sectPr w:rsidR="000D737D" w:rsidRPr="00DE156C" w:rsidSect="000D737D">
      <w:endnotePr>
        <w:numFmt w:val="decimal"/>
      </w:endnotePr>
      <w:pgSz w:w="16840" w:h="11907" w:orient="landscape"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C5A" w:rsidRDefault="00C20C5A">
      <w:r>
        <w:separator/>
      </w:r>
    </w:p>
  </w:endnote>
  <w:endnote w:type="continuationSeparator" w:id="1">
    <w:p w:rsidR="00C20C5A" w:rsidRDefault="00C20C5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ヒラギノ角ゴ Pro W3">
    <w:altName w:val="Times New Roman"/>
    <w:charset w:val="00"/>
    <w:family w:val="roman"/>
    <w:pitch w:val="default"/>
    <w:sig w:usb0="00000000" w:usb1="00000000" w:usb2="00000000" w:usb3="00000000" w:csb0="00000000" w:csb1="00000000"/>
  </w:font>
  <w:font w:name="FrutigerLT-Roma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37D" w:rsidRDefault="00412819">
    <w:pPr>
      <w:pStyle w:val="Footer"/>
      <w:jc w:val="right"/>
    </w:pPr>
    <w:fldSimple w:instr=" PAGE   \* MERGEFORMAT ">
      <w:r w:rsidR="00DF1FB7">
        <w:rPr>
          <w:noProof/>
        </w:rPr>
        <w:t>1</w:t>
      </w:r>
    </w:fldSimple>
  </w:p>
  <w:p w:rsidR="000D737D" w:rsidRDefault="000D73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C5A" w:rsidRDefault="00C20C5A">
      <w:r>
        <w:separator/>
      </w:r>
    </w:p>
  </w:footnote>
  <w:footnote w:type="continuationSeparator" w:id="1">
    <w:p w:rsidR="00C20C5A" w:rsidRDefault="00C20C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37D" w:rsidRDefault="000D737D">
    <w:pPr>
      <w:pStyle w:val="Header"/>
    </w:pPr>
  </w:p>
  <w:p w:rsidR="000D737D" w:rsidRDefault="000D73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31CC"/>
    <w:multiLevelType w:val="hybridMultilevel"/>
    <w:tmpl w:val="DEE698BC"/>
    <w:lvl w:ilvl="0" w:tplc="8B745024">
      <w:start w:val="3"/>
      <w:numFmt w:val="bullet"/>
      <w:lvlText w:val=""/>
      <w:lvlJc w:val="left"/>
      <w:pPr>
        <w:ind w:left="1080" w:hanging="360"/>
      </w:pPr>
      <w:rPr>
        <w:rFonts w:ascii="Wingdings" w:eastAsia="Times New Roman"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64950F8"/>
    <w:multiLevelType w:val="hybridMultilevel"/>
    <w:tmpl w:val="A8A683D8"/>
    <w:lvl w:ilvl="0" w:tplc="04090001">
      <w:start w:val="1"/>
      <w:numFmt w:val="bullet"/>
      <w:lvlText w:val=""/>
      <w:lvlJc w:val="left"/>
      <w:pPr>
        <w:ind w:left="1080" w:hanging="360"/>
      </w:pPr>
      <w:rPr>
        <w:rFonts w:ascii="Symbol" w:hAnsi="Symbol" w:hint="default"/>
      </w:rPr>
    </w:lvl>
    <w:lvl w:ilvl="1" w:tplc="A6521A38">
      <w:numFmt w:val="bullet"/>
      <w:lvlText w:val="-"/>
      <w:lvlJc w:val="left"/>
      <w:pPr>
        <w:ind w:left="2160" w:hanging="360"/>
      </w:pPr>
      <w:rPr>
        <w:rFonts w:ascii="Calibri" w:eastAsia="Times New Roman" w:hAnsi="Calibri" w:cs="Times New Roman"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06AA47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77A08EA"/>
    <w:multiLevelType w:val="hybridMultilevel"/>
    <w:tmpl w:val="2D7C65A8"/>
    <w:lvl w:ilvl="0" w:tplc="04090001">
      <w:start w:val="1"/>
      <w:numFmt w:val="bullet"/>
      <w:lvlText w:val=""/>
      <w:lvlJc w:val="left"/>
      <w:pPr>
        <w:ind w:left="709" w:hanging="360"/>
      </w:pPr>
      <w:rPr>
        <w:rFonts w:ascii="Symbol" w:hAnsi="Symbol"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4">
    <w:nsid w:val="09484B61"/>
    <w:multiLevelType w:val="hybridMultilevel"/>
    <w:tmpl w:val="04967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661DEC"/>
    <w:multiLevelType w:val="hybridMultilevel"/>
    <w:tmpl w:val="27F423AE"/>
    <w:lvl w:ilvl="0" w:tplc="37AE84C2">
      <w:start w:val="1"/>
      <w:numFmt w:val="bullet"/>
      <w:lvlText w:val=""/>
      <w:lvlJc w:val="left"/>
      <w:pPr>
        <w:tabs>
          <w:tab w:val="num" w:pos="309"/>
        </w:tabs>
        <w:ind w:left="536" w:hanging="268"/>
      </w:pPr>
      <w:rPr>
        <w:rFonts w:ascii="Wingdings" w:hAnsi="Wingdings" w:hint="default"/>
        <w:color w:val="339966"/>
      </w:rPr>
    </w:lvl>
    <w:lvl w:ilvl="1" w:tplc="04090003" w:tentative="1">
      <w:start w:val="1"/>
      <w:numFmt w:val="bullet"/>
      <w:lvlText w:val="o"/>
      <w:lvlJc w:val="left"/>
      <w:pPr>
        <w:ind w:left="1440" w:hanging="360"/>
      </w:pPr>
      <w:rPr>
        <w:rFonts w:ascii="Courier New" w:hAnsi="Courier New"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2A68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0DB2145A"/>
    <w:multiLevelType w:val="hybridMultilevel"/>
    <w:tmpl w:val="45BA745C"/>
    <w:lvl w:ilvl="0" w:tplc="37AE84C2">
      <w:start w:val="1"/>
      <w:numFmt w:val="bullet"/>
      <w:lvlText w:val=""/>
      <w:lvlJc w:val="left"/>
      <w:pPr>
        <w:tabs>
          <w:tab w:val="num" w:pos="401"/>
        </w:tabs>
        <w:ind w:left="628" w:hanging="268"/>
      </w:pPr>
      <w:rPr>
        <w:rFonts w:ascii="Wingdings" w:hAnsi="Wingdings" w:hint="default"/>
        <w:color w:val="339966"/>
      </w:rPr>
    </w:lvl>
    <w:lvl w:ilvl="1" w:tplc="04090003">
      <w:start w:val="1"/>
      <w:numFmt w:val="bullet"/>
      <w:lvlText w:val="o"/>
      <w:lvlJc w:val="left"/>
      <w:pPr>
        <w:ind w:left="1440" w:hanging="360"/>
      </w:pPr>
      <w:rPr>
        <w:rFonts w:ascii="Courier New" w:hAnsi="Courier New"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80235B"/>
    <w:multiLevelType w:val="multilevel"/>
    <w:tmpl w:val="014634A8"/>
    <w:lvl w:ilvl="0">
      <w:start w:val="17"/>
      <w:numFmt w:val="decimal"/>
      <w:lvlText w:val="%1"/>
      <w:lvlJc w:val="left"/>
      <w:pPr>
        <w:ind w:left="690" w:hanging="690"/>
      </w:pPr>
      <w:rPr>
        <w:rFonts w:hint="default"/>
      </w:rPr>
    </w:lvl>
    <w:lvl w:ilvl="1">
      <w:start w:val="19"/>
      <w:numFmt w:val="decimal"/>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25D3B95"/>
    <w:multiLevelType w:val="hybridMultilevel"/>
    <w:tmpl w:val="70303B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2807E10"/>
    <w:multiLevelType w:val="hybridMultilevel"/>
    <w:tmpl w:val="D960D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531920"/>
    <w:multiLevelType w:val="hybridMultilevel"/>
    <w:tmpl w:val="1136BE0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15120B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15C30BE2"/>
    <w:multiLevelType w:val="hybridMultilevel"/>
    <w:tmpl w:val="FF4C982A"/>
    <w:lvl w:ilvl="0" w:tplc="F6FE1EFC">
      <w:numFmt w:val="bullet"/>
      <w:lvlText w:val="-"/>
      <w:lvlJc w:val="left"/>
      <w:pPr>
        <w:tabs>
          <w:tab w:val="num" w:pos="572"/>
        </w:tabs>
        <w:ind w:left="572" w:hanging="360"/>
      </w:pPr>
      <w:rPr>
        <w:rFonts w:ascii="Arial" w:hAnsi="Aria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8482C93"/>
    <w:multiLevelType w:val="hybridMultilevel"/>
    <w:tmpl w:val="6E40E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044722"/>
    <w:multiLevelType w:val="hybridMultilevel"/>
    <w:tmpl w:val="D6227D5E"/>
    <w:lvl w:ilvl="0" w:tplc="04090001">
      <w:start w:val="1"/>
      <w:numFmt w:val="bullet"/>
      <w:lvlText w:val=""/>
      <w:lvlJc w:val="left"/>
      <w:pPr>
        <w:ind w:left="720" w:hanging="720"/>
      </w:pPr>
      <w:rPr>
        <w:rFonts w:ascii="Symbol" w:hAnsi="Symbol" w:hint="default"/>
      </w:rPr>
    </w:lvl>
    <w:lvl w:ilvl="1" w:tplc="0CB60EB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F24541F"/>
    <w:multiLevelType w:val="hybridMultilevel"/>
    <w:tmpl w:val="5C4E9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6A682F"/>
    <w:multiLevelType w:val="multilevel"/>
    <w:tmpl w:val="3AA2D390"/>
    <w:lvl w:ilvl="0">
      <w:start w:val="1"/>
      <w:numFmt w:val="upperRoman"/>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nsid w:val="21F02367"/>
    <w:multiLevelType w:val="hybridMultilevel"/>
    <w:tmpl w:val="F4B0CB9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223B69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2C8C2658"/>
    <w:multiLevelType w:val="hybridMultilevel"/>
    <w:tmpl w:val="64BA8996"/>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FFC1524"/>
    <w:multiLevelType w:val="hybridMultilevel"/>
    <w:tmpl w:val="9FD4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9211D7"/>
    <w:multiLevelType w:val="hybridMultilevel"/>
    <w:tmpl w:val="3A288494"/>
    <w:lvl w:ilvl="0" w:tplc="C3B8DB5E">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AD0660"/>
    <w:multiLevelType w:val="hybridMultilevel"/>
    <w:tmpl w:val="E558FF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1934CC"/>
    <w:multiLevelType w:val="hybridMultilevel"/>
    <w:tmpl w:val="0D7EEEAC"/>
    <w:lvl w:ilvl="0" w:tplc="9782CAF8">
      <w:start w:val="1"/>
      <w:numFmt w:val="low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37E91BBE"/>
    <w:multiLevelType w:val="hybridMultilevel"/>
    <w:tmpl w:val="06C04FAC"/>
    <w:lvl w:ilvl="0" w:tplc="F6FE1EFC">
      <w:numFmt w:val="bullet"/>
      <w:lvlText w:val="-"/>
      <w:lvlJc w:val="left"/>
      <w:pPr>
        <w:tabs>
          <w:tab w:val="num" w:pos="1112"/>
        </w:tabs>
        <w:ind w:left="1112" w:hanging="360"/>
      </w:pPr>
      <w:rPr>
        <w:rFonts w:ascii="Arial" w:hAnsi="Aria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6">
    <w:nsid w:val="3B8F2573"/>
    <w:multiLevelType w:val="hybridMultilevel"/>
    <w:tmpl w:val="CC7EBD18"/>
    <w:lvl w:ilvl="0" w:tplc="37AE84C2">
      <w:start w:val="1"/>
      <w:numFmt w:val="bullet"/>
      <w:lvlText w:val=""/>
      <w:lvlJc w:val="left"/>
      <w:pPr>
        <w:tabs>
          <w:tab w:val="num" w:pos="41"/>
        </w:tabs>
        <w:ind w:left="268" w:hanging="268"/>
      </w:pPr>
      <w:rPr>
        <w:rFonts w:ascii="Wingdings" w:hAnsi="Wingdings" w:hint="default"/>
        <w:color w:val="339966"/>
      </w:rPr>
    </w:lvl>
    <w:lvl w:ilvl="1" w:tplc="040C0003" w:tentative="1">
      <w:start w:val="1"/>
      <w:numFmt w:val="bullet"/>
      <w:lvlText w:val="o"/>
      <w:lvlJc w:val="left"/>
      <w:pPr>
        <w:tabs>
          <w:tab w:val="num" w:pos="12"/>
        </w:tabs>
        <w:ind w:left="12" w:hanging="360"/>
      </w:pPr>
      <w:rPr>
        <w:rFonts w:ascii="Courier New" w:hAnsi="Courier New" w:hint="default"/>
      </w:rPr>
    </w:lvl>
    <w:lvl w:ilvl="2" w:tplc="040C0005" w:tentative="1">
      <w:start w:val="1"/>
      <w:numFmt w:val="bullet"/>
      <w:lvlText w:val=""/>
      <w:lvlJc w:val="left"/>
      <w:pPr>
        <w:tabs>
          <w:tab w:val="num" w:pos="732"/>
        </w:tabs>
        <w:ind w:left="732" w:hanging="360"/>
      </w:pPr>
      <w:rPr>
        <w:rFonts w:ascii="Wingdings" w:hAnsi="Wingdings" w:hint="default"/>
      </w:rPr>
    </w:lvl>
    <w:lvl w:ilvl="3" w:tplc="040C0001" w:tentative="1">
      <w:start w:val="1"/>
      <w:numFmt w:val="bullet"/>
      <w:lvlText w:val=""/>
      <w:lvlJc w:val="left"/>
      <w:pPr>
        <w:tabs>
          <w:tab w:val="num" w:pos="1452"/>
        </w:tabs>
        <w:ind w:left="1452" w:hanging="360"/>
      </w:pPr>
      <w:rPr>
        <w:rFonts w:ascii="Symbol" w:hAnsi="Symbol" w:hint="default"/>
      </w:rPr>
    </w:lvl>
    <w:lvl w:ilvl="4" w:tplc="040C0003" w:tentative="1">
      <w:start w:val="1"/>
      <w:numFmt w:val="bullet"/>
      <w:lvlText w:val="o"/>
      <w:lvlJc w:val="left"/>
      <w:pPr>
        <w:tabs>
          <w:tab w:val="num" w:pos="2172"/>
        </w:tabs>
        <w:ind w:left="2172" w:hanging="360"/>
      </w:pPr>
      <w:rPr>
        <w:rFonts w:ascii="Courier New" w:hAnsi="Courier New" w:hint="default"/>
      </w:rPr>
    </w:lvl>
    <w:lvl w:ilvl="5" w:tplc="040C0005" w:tentative="1">
      <w:start w:val="1"/>
      <w:numFmt w:val="bullet"/>
      <w:lvlText w:val=""/>
      <w:lvlJc w:val="left"/>
      <w:pPr>
        <w:tabs>
          <w:tab w:val="num" w:pos="2892"/>
        </w:tabs>
        <w:ind w:left="2892" w:hanging="360"/>
      </w:pPr>
      <w:rPr>
        <w:rFonts w:ascii="Wingdings" w:hAnsi="Wingdings" w:hint="default"/>
      </w:rPr>
    </w:lvl>
    <w:lvl w:ilvl="6" w:tplc="040C0001" w:tentative="1">
      <w:start w:val="1"/>
      <w:numFmt w:val="bullet"/>
      <w:lvlText w:val=""/>
      <w:lvlJc w:val="left"/>
      <w:pPr>
        <w:tabs>
          <w:tab w:val="num" w:pos="3612"/>
        </w:tabs>
        <w:ind w:left="3612" w:hanging="360"/>
      </w:pPr>
      <w:rPr>
        <w:rFonts w:ascii="Symbol" w:hAnsi="Symbol" w:hint="default"/>
      </w:rPr>
    </w:lvl>
    <w:lvl w:ilvl="7" w:tplc="040C0003" w:tentative="1">
      <w:start w:val="1"/>
      <w:numFmt w:val="bullet"/>
      <w:lvlText w:val="o"/>
      <w:lvlJc w:val="left"/>
      <w:pPr>
        <w:tabs>
          <w:tab w:val="num" w:pos="4332"/>
        </w:tabs>
        <w:ind w:left="4332" w:hanging="360"/>
      </w:pPr>
      <w:rPr>
        <w:rFonts w:ascii="Courier New" w:hAnsi="Courier New" w:hint="default"/>
      </w:rPr>
    </w:lvl>
    <w:lvl w:ilvl="8" w:tplc="040C0005" w:tentative="1">
      <w:start w:val="1"/>
      <w:numFmt w:val="bullet"/>
      <w:lvlText w:val=""/>
      <w:lvlJc w:val="left"/>
      <w:pPr>
        <w:tabs>
          <w:tab w:val="num" w:pos="5052"/>
        </w:tabs>
        <w:ind w:left="5052" w:hanging="360"/>
      </w:pPr>
      <w:rPr>
        <w:rFonts w:ascii="Wingdings" w:hAnsi="Wingdings" w:hint="default"/>
      </w:rPr>
    </w:lvl>
  </w:abstractNum>
  <w:abstractNum w:abstractNumId="27">
    <w:nsid w:val="3BCE1268"/>
    <w:multiLevelType w:val="hybridMultilevel"/>
    <w:tmpl w:val="B6A8E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4B7DAA"/>
    <w:multiLevelType w:val="hybridMultilevel"/>
    <w:tmpl w:val="B1BC2630"/>
    <w:lvl w:ilvl="0" w:tplc="F6B666B2">
      <w:start w:val="1"/>
      <w:numFmt w:val="decimal"/>
      <w:lvlText w:val="%1)"/>
      <w:lvlJc w:val="left"/>
      <w:pPr>
        <w:tabs>
          <w:tab w:val="num" w:pos="1440"/>
        </w:tabs>
        <w:ind w:left="1440" w:hanging="360"/>
      </w:pPr>
      <w:rPr>
        <w:rFonts w:cs="Times New Roman" w:hint="default"/>
      </w:rPr>
    </w:lvl>
    <w:lvl w:ilvl="1" w:tplc="4B64BA82" w:tentative="1">
      <w:start w:val="1"/>
      <w:numFmt w:val="lowerLetter"/>
      <w:lvlText w:val="%2."/>
      <w:lvlJc w:val="left"/>
      <w:pPr>
        <w:tabs>
          <w:tab w:val="num" w:pos="2160"/>
        </w:tabs>
        <w:ind w:left="2160" w:hanging="360"/>
      </w:pPr>
    </w:lvl>
    <w:lvl w:ilvl="2" w:tplc="B082E05A" w:tentative="1">
      <w:start w:val="1"/>
      <w:numFmt w:val="lowerRoman"/>
      <w:lvlText w:val="%3."/>
      <w:lvlJc w:val="right"/>
      <w:pPr>
        <w:tabs>
          <w:tab w:val="num" w:pos="2880"/>
        </w:tabs>
        <w:ind w:left="2880" w:hanging="180"/>
      </w:pPr>
    </w:lvl>
    <w:lvl w:ilvl="3" w:tplc="6BD2F754" w:tentative="1">
      <w:start w:val="1"/>
      <w:numFmt w:val="decimal"/>
      <w:lvlText w:val="%4."/>
      <w:lvlJc w:val="left"/>
      <w:pPr>
        <w:tabs>
          <w:tab w:val="num" w:pos="3600"/>
        </w:tabs>
        <w:ind w:left="3600" w:hanging="360"/>
      </w:pPr>
    </w:lvl>
    <w:lvl w:ilvl="4" w:tplc="D55A7CB6" w:tentative="1">
      <w:start w:val="1"/>
      <w:numFmt w:val="lowerLetter"/>
      <w:lvlText w:val="%5."/>
      <w:lvlJc w:val="left"/>
      <w:pPr>
        <w:tabs>
          <w:tab w:val="num" w:pos="4320"/>
        </w:tabs>
        <w:ind w:left="4320" w:hanging="360"/>
      </w:pPr>
    </w:lvl>
    <w:lvl w:ilvl="5" w:tplc="E62E242C" w:tentative="1">
      <w:start w:val="1"/>
      <w:numFmt w:val="lowerRoman"/>
      <w:lvlText w:val="%6."/>
      <w:lvlJc w:val="right"/>
      <w:pPr>
        <w:tabs>
          <w:tab w:val="num" w:pos="5040"/>
        </w:tabs>
        <w:ind w:left="5040" w:hanging="180"/>
      </w:pPr>
    </w:lvl>
    <w:lvl w:ilvl="6" w:tplc="0216700C" w:tentative="1">
      <w:start w:val="1"/>
      <w:numFmt w:val="decimal"/>
      <w:lvlText w:val="%7."/>
      <w:lvlJc w:val="left"/>
      <w:pPr>
        <w:tabs>
          <w:tab w:val="num" w:pos="5760"/>
        </w:tabs>
        <w:ind w:left="5760" w:hanging="360"/>
      </w:pPr>
    </w:lvl>
    <w:lvl w:ilvl="7" w:tplc="DA242B42" w:tentative="1">
      <w:start w:val="1"/>
      <w:numFmt w:val="lowerLetter"/>
      <w:lvlText w:val="%8."/>
      <w:lvlJc w:val="left"/>
      <w:pPr>
        <w:tabs>
          <w:tab w:val="num" w:pos="6480"/>
        </w:tabs>
        <w:ind w:left="6480" w:hanging="360"/>
      </w:pPr>
    </w:lvl>
    <w:lvl w:ilvl="8" w:tplc="EFA04C24" w:tentative="1">
      <w:start w:val="1"/>
      <w:numFmt w:val="lowerRoman"/>
      <w:lvlText w:val="%9."/>
      <w:lvlJc w:val="right"/>
      <w:pPr>
        <w:tabs>
          <w:tab w:val="num" w:pos="7200"/>
        </w:tabs>
        <w:ind w:left="7200" w:hanging="180"/>
      </w:pPr>
    </w:lvl>
  </w:abstractNum>
  <w:abstractNum w:abstractNumId="29">
    <w:nsid w:val="3ED371C7"/>
    <w:multiLevelType w:val="hybridMultilevel"/>
    <w:tmpl w:val="9F424536"/>
    <w:lvl w:ilvl="0" w:tplc="5B1A83EE">
      <w:start w:val="17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3583AC2"/>
    <w:multiLevelType w:val="hybridMultilevel"/>
    <w:tmpl w:val="E7EE53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3F9610B"/>
    <w:multiLevelType w:val="hybridMultilevel"/>
    <w:tmpl w:val="0CB49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066203"/>
    <w:multiLevelType w:val="hybridMultilevel"/>
    <w:tmpl w:val="F1004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6B51D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nsid w:val="590321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nsid w:val="5AE602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5C597A23"/>
    <w:multiLevelType w:val="hybridMultilevel"/>
    <w:tmpl w:val="E8B6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960FD9"/>
    <w:multiLevelType w:val="hybridMultilevel"/>
    <w:tmpl w:val="5E60F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5525B7"/>
    <w:multiLevelType w:val="hybridMultilevel"/>
    <w:tmpl w:val="1D2812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E05E15"/>
    <w:multiLevelType w:val="hybridMultilevel"/>
    <w:tmpl w:val="782239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8066CC9"/>
    <w:multiLevelType w:val="hybridMultilevel"/>
    <w:tmpl w:val="7BB8B46A"/>
    <w:lvl w:ilvl="0" w:tplc="6B4A61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8F013AF"/>
    <w:multiLevelType w:val="hybridMultilevel"/>
    <w:tmpl w:val="C5549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28635A"/>
    <w:multiLevelType w:val="hybridMultilevel"/>
    <w:tmpl w:val="4CEC7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F043F4C"/>
    <w:multiLevelType w:val="hybridMultilevel"/>
    <w:tmpl w:val="60E22C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FD50A3"/>
    <w:multiLevelType w:val="hybridMultilevel"/>
    <w:tmpl w:val="90EEA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4D14FD5"/>
    <w:multiLevelType w:val="hybridMultilevel"/>
    <w:tmpl w:val="06C04FAC"/>
    <w:lvl w:ilvl="0" w:tplc="6A00F7F2">
      <w:start w:val="16"/>
      <w:numFmt w:val="bullet"/>
      <w:lvlText w:val=""/>
      <w:lvlJc w:val="left"/>
      <w:pPr>
        <w:tabs>
          <w:tab w:val="num" w:pos="1472"/>
        </w:tabs>
        <w:ind w:left="1472" w:hanging="720"/>
      </w:pPr>
      <w:rPr>
        <w:rFonts w:ascii="Symbol" w:eastAsia="Times New Roman" w:hAnsi="Symbo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6">
    <w:nsid w:val="75807D10"/>
    <w:multiLevelType w:val="hybridMultilevel"/>
    <w:tmpl w:val="E17CF2CC"/>
    <w:lvl w:ilvl="0" w:tplc="23D89A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B067306"/>
    <w:multiLevelType w:val="hybridMultilevel"/>
    <w:tmpl w:val="DC589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DDC4335"/>
    <w:multiLevelType w:val="hybridMultilevel"/>
    <w:tmpl w:val="1A3C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301D34"/>
    <w:multiLevelType w:val="hybridMultilevel"/>
    <w:tmpl w:val="B69AD950"/>
    <w:lvl w:ilvl="0" w:tplc="D714943E">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
  </w:num>
  <w:num w:numId="3">
    <w:abstractNumId w:val="19"/>
  </w:num>
  <w:num w:numId="4">
    <w:abstractNumId w:val="12"/>
  </w:num>
  <w:num w:numId="5">
    <w:abstractNumId w:val="33"/>
  </w:num>
  <w:num w:numId="6">
    <w:abstractNumId w:val="35"/>
  </w:num>
  <w:num w:numId="7">
    <w:abstractNumId w:val="6"/>
  </w:num>
  <w:num w:numId="8">
    <w:abstractNumId w:val="34"/>
  </w:num>
  <w:num w:numId="9">
    <w:abstractNumId w:val="13"/>
  </w:num>
  <w:num w:numId="10">
    <w:abstractNumId w:val="25"/>
  </w:num>
  <w:num w:numId="11">
    <w:abstractNumId w:val="45"/>
  </w:num>
  <w:num w:numId="12">
    <w:abstractNumId w:val="29"/>
  </w:num>
  <w:num w:numId="13">
    <w:abstractNumId w:val="24"/>
  </w:num>
  <w:num w:numId="14">
    <w:abstractNumId w:val="0"/>
  </w:num>
  <w:num w:numId="15">
    <w:abstractNumId w:val="5"/>
  </w:num>
  <w:num w:numId="16">
    <w:abstractNumId w:val="7"/>
  </w:num>
  <w:num w:numId="17">
    <w:abstractNumId w:val="26"/>
  </w:num>
  <w:num w:numId="18">
    <w:abstractNumId w:val="40"/>
  </w:num>
  <w:num w:numId="19">
    <w:abstractNumId w:val="16"/>
  </w:num>
  <w:num w:numId="20">
    <w:abstractNumId w:val="15"/>
  </w:num>
  <w:num w:numId="21">
    <w:abstractNumId w:val="20"/>
  </w:num>
  <w:num w:numId="22">
    <w:abstractNumId w:val="17"/>
  </w:num>
  <w:num w:numId="23">
    <w:abstractNumId w:val="4"/>
  </w:num>
  <w:num w:numId="24">
    <w:abstractNumId w:val="27"/>
  </w:num>
  <w:num w:numId="25">
    <w:abstractNumId w:val="22"/>
  </w:num>
  <w:num w:numId="26">
    <w:abstractNumId w:val="49"/>
  </w:num>
  <w:num w:numId="27">
    <w:abstractNumId w:val="43"/>
  </w:num>
  <w:num w:numId="28">
    <w:abstractNumId w:val="46"/>
  </w:num>
  <w:num w:numId="29">
    <w:abstractNumId w:val="38"/>
  </w:num>
  <w:num w:numId="30">
    <w:abstractNumId w:val="30"/>
  </w:num>
  <w:num w:numId="31">
    <w:abstractNumId w:val="1"/>
  </w:num>
  <w:num w:numId="32">
    <w:abstractNumId w:val="42"/>
  </w:num>
  <w:num w:numId="33">
    <w:abstractNumId w:val="9"/>
  </w:num>
  <w:num w:numId="34">
    <w:abstractNumId w:val="39"/>
  </w:num>
  <w:num w:numId="35">
    <w:abstractNumId w:val="32"/>
  </w:num>
  <w:num w:numId="36">
    <w:abstractNumId w:val="36"/>
  </w:num>
  <w:num w:numId="37">
    <w:abstractNumId w:val="10"/>
  </w:num>
  <w:num w:numId="38">
    <w:abstractNumId w:val="11"/>
  </w:num>
  <w:num w:numId="39">
    <w:abstractNumId w:val="37"/>
  </w:num>
  <w:num w:numId="40">
    <w:abstractNumId w:val="3"/>
  </w:num>
  <w:num w:numId="41">
    <w:abstractNumId w:val="47"/>
  </w:num>
  <w:num w:numId="42">
    <w:abstractNumId w:val="23"/>
  </w:num>
  <w:num w:numId="43">
    <w:abstractNumId w:val="48"/>
  </w:num>
  <w:num w:numId="44">
    <w:abstractNumId w:val="21"/>
  </w:num>
  <w:num w:numId="45">
    <w:abstractNumId w:val="41"/>
  </w:num>
  <w:num w:numId="46">
    <w:abstractNumId w:val="18"/>
  </w:num>
  <w:num w:numId="47">
    <w:abstractNumId w:val="31"/>
  </w:num>
  <w:num w:numId="48">
    <w:abstractNumId w:val="14"/>
  </w:num>
  <w:num w:numId="49">
    <w:abstractNumId w:val="44"/>
  </w:num>
  <w:num w:numId="5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20"/>
  <w:displayHorizontalDrawingGridEvery w:val="2"/>
  <w:noPunctuationKerning/>
  <w:characterSpacingControl w:val="doNotCompress"/>
  <w:footnotePr>
    <w:footnote w:id="0"/>
    <w:footnote w:id="1"/>
  </w:footnotePr>
  <w:endnotePr>
    <w:numFmt w:val="decimal"/>
    <w:endnote w:id="0"/>
    <w:endnote w:id="1"/>
  </w:endnotePr>
  <w:compat/>
  <w:rsids>
    <w:rsidRoot w:val="000A1EFA"/>
    <w:rsid w:val="00001B0A"/>
    <w:rsid w:val="0008758F"/>
    <w:rsid w:val="000A1EFA"/>
    <w:rsid w:val="000D737D"/>
    <w:rsid w:val="00140A3D"/>
    <w:rsid w:val="00155FB0"/>
    <w:rsid w:val="0017568C"/>
    <w:rsid w:val="00177B34"/>
    <w:rsid w:val="00182B67"/>
    <w:rsid w:val="001D6861"/>
    <w:rsid w:val="001E3117"/>
    <w:rsid w:val="001F1370"/>
    <w:rsid w:val="001F6772"/>
    <w:rsid w:val="001F70C5"/>
    <w:rsid w:val="00234A35"/>
    <w:rsid w:val="0023665C"/>
    <w:rsid w:val="002876A6"/>
    <w:rsid w:val="002B7D91"/>
    <w:rsid w:val="0034601E"/>
    <w:rsid w:val="003D25B3"/>
    <w:rsid w:val="003D607D"/>
    <w:rsid w:val="00412819"/>
    <w:rsid w:val="004139AC"/>
    <w:rsid w:val="004463A1"/>
    <w:rsid w:val="004851DA"/>
    <w:rsid w:val="004F2049"/>
    <w:rsid w:val="004F30EE"/>
    <w:rsid w:val="00501F72"/>
    <w:rsid w:val="00516378"/>
    <w:rsid w:val="00546B51"/>
    <w:rsid w:val="00580433"/>
    <w:rsid w:val="005B3AE5"/>
    <w:rsid w:val="005C310D"/>
    <w:rsid w:val="005F5AFC"/>
    <w:rsid w:val="00642D2E"/>
    <w:rsid w:val="00645A6C"/>
    <w:rsid w:val="006665D3"/>
    <w:rsid w:val="006A0F48"/>
    <w:rsid w:val="006D3E19"/>
    <w:rsid w:val="006D77AE"/>
    <w:rsid w:val="007147AC"/>
    <w:rsid w:val="00723DA7"/>
    <w:rsid w:val="007603AE"/>
    <w:rsid w:val="0077277E"/>
    <w:rsid w:val="007A641F"/>
    <w:rsid w:val="0085621A"/>
    <w:rsid w:val="00894343"/>
    <w:rsid w:val="0091721F"/>
    <w:rsid w:val="00994A96"/>
    <w:rsid w:val="009B07F5"/>
    <w:rsid w:val="009C7259"/>
    <w:rsid w:val="009D564A"/>
    <w:rsid w:val="009E3248"/>
    <w:rsid w:val="00A30B76"/>
    <w:rsid w:val="00AA39BF"/>
    <w:rsid w:val="00AC75B1"/>
    <w:rsid w:val="00AF3B0C"/>
    <w:rsid w:val="00B10B71"/>
    <w:rsid w:val="00B44451"/>
    <w:rsid w:val="00B46E3E"/>
    <w:rsid w:val="00B56B04"/>
    <w:rsid w:val="00B66F3A"/>
    <w:rsid w:val="00B96B74"/>
    <w:rsid w:val="00C20C5A"/>
    <w:rsid w:val="00C70509"/>
    <w:rsid w:val="00CB6F47"/>
    <w:rsid w:val="00D12E00"/>
    <w:rsid w:val="00D1547A"/>
    <w:rsid w:val="00D2129D"/>
    <w:rsid w:val="00D22DBE"/>
    <w:rsid w:val="00D26093"/>
    <w:rsid w:val="00D265ED"/>
    <w:rsid w:val="00D350DB"/>
    <w:rsid w:val="00D95DDF"/>
    <w:rsid w:val="00DE156C"/>
    <w:rsid w:val="00DE1E57"/>
    <w:rsid w:val="00DE5298"/>
    <w:rsid w:val="00DF1FB7"/>
    <w:rsid w:val="00DF3027"/>
    <w:rsid w:val="00E70D42"/>
    <w:rsid w:val="00F00745"/>
    <w:rsid w:val="00F4762B"/>
    <w:rsid w:val="00F53CAC"/>
    <w:rsid w:val="00F83A5B"/>
    <w:rsid w:val="00FF0F93"/>
    <w:rsid w:val="00FF43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B04"/>
    <w:pPr>
      <w:widowControl w:val="0"/>
    </w:pPr>
    <w:rPr>
      <w:sz w:val="24"/>
    </w:rPr>
  </w:style>
  <w:style w:type="paragraph" w:styleId="Heading1">
    <w:name w:val="heading 1"/>
    <w:basedOn w:val="Normal"/>
    <w:next w:val="Normal"/>
    <w:link w:val="Heading1Char"/>
    <w:uiPriority w:val="9"/>
    <w:qFormat/>
    <w:rsid w:val="00B44451"/>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B56B04"/>
    <w:pPr>
      <w:keepNext/>
      <w:shd w:val="pct15" w:color="auto" w:fill="FFFFFF"/>
      <w:jc w:val="center"/>
      <w:outlineLvl w:val="2"/>
    </w:pPr>
    <w:rPr>
      <w:rFonts w:ascii="Arial" w:hAnsi="Arial"/>
      <w:bCs/>
    </w:rPr>
  </w:style>
  <w:style w:type="paragraph" w:styleId="Heading4">
    <w:name w:val="heading 4"/>
    <w:basedOn w:val="Normal"/>
    <w:next w:val="Normal"/>
    <w:qFormat/>
    <w:rsid w:val="00B56B04"/>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56B04"/>
    <w:pPr>
      <w:widowControl/>
    </w:pPr>
    <w:rPr>
      <w:rFonts w:ascii="Univers" w:hAnsi="Univers"/>
      <w:sz w:val="22"/>
    </w:rPr>
  </w:style>
  <w:style w:type="paragraph" w:styleId="BodyText2">
    <w:name w:val="Body Text 2"/>
    <w:basedOn w:val="Normal"/>
    <w:link w:val="BodyText2Char"/>
    <w:semiHidden/>
    <w:rsid w:val="00B56B04"/>
    <w:pPr>
      <w:widowControl/>
    </w:pPr>
    <w:rPr>
      <w:rFonts w:ascii="Arial" w:hAnsi="Arial"/>
      <w:sz w:val="20"/>
    </w:rPr>
  </w:style>
  <w:style w:type="paragraph" w:styleId="BodyText3">
    <w:name w:val="Body Text 3"/>
    <w:basedOn w:val="Normal"/>
    <w:semiHidden/>
    <w:rsid w:val="00B56B04"/>
    <w:pPr>
      <w:jc w:val="both"/>
    </w:pPr>
    <w:rPr>
      <w:szCs w:val="24"/>
    </w:rPr>
  </w:style>
  <w:style w:type="paragraph" w:styleId="Header">
    <w:name w:val="header"/>
    <w:basedOn w:val="Normal"/>
    <w:link w:val="HeaderChar"/>
    <w:uiPriority w:val="99"/>
    <w:rsid w:val="00B56B04"/>
    <w:pPr>
      <w:tabs>
        <w:tab w:val="center" w:pos="4320"/>
        <w:tab w:val="right" w:pos="8640"/>
      </w:tabs>
    </w:pPr>
  </w:style>
  <w:style w:type="paragraph" w:styleId="Footer">
    <w:name w:val="footer"/>
    <w:basedOn w:val="Normal"/>
    <w:link w:val="FooterChar"/>
    <w:uiPriority w:val="99"/>
    <w:rsid w:val="00B56B04"/>
    <w:pPr>
      <w:tabs>
        <w:tab w:val="center" w:pos="4320"/>
        <w:tab w:val="right" w:pos="8640"/>
      </w:tabs>
    </w:pPr>
  </w:style>
  <w:style w:type="paragraph" w:styleId="BalloonText">
    <w:name w:val="Balloon Text"/>
    <w:basedOn w:val="Normal"/>
    <w:link w:val="BalloonTextChar"/>
    <w:uiPriority w:val="99"/>
    <w:semiHidden/>
    <w:unhideWhenUsed/>
    <w:rsid w:val="00DE5298"/>
    <w:rPr>
      <w:rFonts w:ascii="Tahoma" w:hAnsi="Tahoma" w:cs="Tahoma"/>
      <w:sz w:val="16"/>
      <w:szCs w:val="16"/>
    </w:rPr>
  </w:style>
  <w:style w:type="character" w:customStyle="1" w:styleId="BalloonTextChar">
    <w:name w:val="Balloon Text Char"/>
    <w:basedOn w:val="DefaultParagraphFont"/>
    <w:link w:val="BalloonText"/>
    <w:uiPriority w:val="99"/>
    <w:semiHidden/>
    <w:rsid w:val="00DE5298"/>
    <w:rPr>
      <w:rFonts w:ascii="Tahoma" w:hAnsi="Tahoma" w:cs="Tahoma"/>
      <w:sz w:val="16"/>
      <w:szCs w:val="16"/>
    </w:rPr>
  </w:style>
  <w:style w:type="table" w:styleId="TableGrid">
    <w:name w:val="Table Grid"/>
    <w:basedOn w:val="TableNormal"/>
    <w:uiPriority w:val="59"/>
    <w:rsid w:val="004463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463A1"/>
    <w:rPr>
      <w:sz w:val="16"/>
      <w:szCs w:val="16"/>
    </w:rPr>
  </w:style>
  <w:style w:type="paragraph" w:styleId="CommentText">
    <w:name w:val="annotation text"/>
    <w:basedOn w:val="Normal"/>
    <w:link w:val="CommentTextChar"/>
    <w:uiPriority w:val="99"/>
    <w:semiHidden/>
    <w:unhideWhenUsed/>
    <w:rsid w:val="004463A1"/>
    <w:rPr>
      <w:sz w:val="20"/>
    </w:rPr>
  </w:style>
  <w:style w:type="character" w:customStyle="1" w:styleId="CommentTextChar">
    <w:name w:val="Comment Text Char"/>
    <w:basedOn w:val="DefaultParagraphFont"/>
    <w:link w:val="CommentText"/>
    <w:uiPriority w:val="99"/>
    <w:semiHidden/>
    <w:rsid w:val="004463A1"/>
  </w:style>
  <w:style w:type="paragraph" w:styleId="CommentSubject">
    <w:name w:val="annotation subject"/>
    <w:basedOn w:val="CommentText"/>
    <w:next w:val="CommentText"/>
    <w:link w:val="CommentSubjectChar"/>
    <w:uiPriority w:val="99"/>
    <w:semiHidden/>
    <w:unhideWhenUsed/>
    <w:rsid w:val="004463A1"/>
    <w:rPr>
      <w:b/>
      <w:bCs/>
    </w:rPr>
  </w:style>
  <w:style w:type="character" w:customStyle="1" w:styleId="CommentSubjectChar">
    <w:name w:val="Comment Subject Char"/>
    <w:basedOn w:val="CommentTextChar"/>
    <w:link w:val="CommentSubject"/>
    <w:uiPriority w:val="99"/>
    <w:semiHidden/>
    <w:rsid w:val="004463A1"/>
    <w:rPr>
      <w:b/>
      <w:bCs/>
    </w:rPr>
  </w:style>
  <w:style w:type="character" w:styleId="Hyperlink">
    <w:name w:val="Hyperlink"/>
    <w:basedOn w:val="DefaultParagraphFont"/>
    <w:unhideWhenUsed/>
    <w:rsid w:val="00B10B71"/>
    <w:rPr>
      <w:color w:val="0000FF"/>
      <w:u w:val="single"/>
    </w:rPr>
  </w:style>
  <w:style w:type="paragraph" w:styleId="Subtitle">
    <w:name w:val="Subtitle"/>
    <w:basedOn w:val="Normal"/>
    <w:link w:val="SubtitleChar"/>
    <w:qFormat/>
    <w:rsid w:val="00DF3027"/>
    <w:pPr>
      <w:widowControl/>
      <w:spacing w:before="120"/>
      <w:jc w:val="center"/>
    </w:pPr>
    <w:rPr>
      <w:rFonts w:ascii="Verdana" w:hAnsi="Verdana"/>
      <w:b/>
      <w:bCs/>
      <w:sz w:val="20"/>
      <w:szCs w:val="24"/>
      <w:u w:val="single"/>
    </w:rPr>
  </w:style>
  <w:style w:type="character" w:customStyle="1" w:styleId="SubtitleChar">
    <w:name w:val="Subtitle Char"/>
    <w:basedOn w:val="DefaultParagraphFont"/>
    <w:link w:val="Subtitle"/>
    <w:rsid w:val="00DF3027"/>
    <w:rPr>
      <w:rFonts w:ascii="Verdana" w:hAnsi="Verdana"/>
      <w:b/>
      <w:bCs/>
      <w:szCs w:val="24"/>
      <w:u w:val="single"/>
      <w:lang w:val="en-US" w:eastAsia="en-US"/>
    </w:rPr>
  </w:style>
  <w:style w:type="paragraph" w:styleId="ListParagraph">
    <w:name w:val="List Paragraph"/>
    <w:basedOn w:val="Normal"/>
    <w:uiPriority w:val="34"/>
    <w:qFormat/>
    <w:rsid w:val="00AA39BF"/>
    <w:pPr>
      <w:ind w:left="708"/>
    </w:pPr>
  </w:style>
  <w:style w:type="paragraph" w:customStyle="1" w:styleId="Default">
    <w:name w:val="Default"/>
    <w:rsid w:val="00D350DB"/>
    <w:pPr>
      <w:autoSpaceDE w:val="0"/>
      <w:autoSpaceDN w:val="0"/>
      <w:adjustRightInd w:val="0"/>
    </w:pPr>
    <w:rPr>
      <w:color w:val="000000"/>
      <w:sz w:val="24"/>
      <w:szCs w:val="24"/>
    </w:rPr>
  </w:style>
  <w:style w:type="character" w:customStyle="1" w:styleId="BodyText2Char">
    <w:name w:val="Body Text 2 Char"/>
    <w:basedOn w:val="DefaultParagraphFont"/>
    <w:link w:val="BodyText2"/>
    <w:semiHidden/>
    <w:rsid w:val="00D350DB"/>
    <w:rPr>
      <w:rFonts w:ascii="Arial" w:hAnsi="Arial"/>
    </w:rPr>
  </w:style>
  <w:style w:type="character" w:customStyle="1" w:styleId="Heading1Char">
    <w:name w:val="Heading 1 Char"/>
    <w:basedOn w:val="DefaultParagraphFont"/>
    <w:link w:val="Heading1"/>
    <w:uiPriority w:val="9"/>
    <w:rsid w:val="00B44451"/>
    <w:rPr>
      <w:rFonts w:ascii="Cambria" w:hAnsi="Cambria"/>
      <w:b/>
      <w:bCs/>
      <w:kern w:val="32"/>
      <w:sz w:val="32"/>
      <w:szCs w:val="32"/>
    </w:rPr>
  </w:style>
  <w:style w:type="character" w:customStyle="1" w:styleId="HeaderChar">
    <w:name w:val="Header Char"/>
    <w:basedOn w:val="DefaultParagraphFont"/>
    <w:link w:val="Header"/>
    <w:uiPriority w:val="99"/>
    <w:rsid w:val="00B44451"/>
    <w:rPr>
      <w:sz w:val="24"/>
    </w:rPr>
  </w:style>
  <w:style w:type="character" w:customStyle="1" w:styleId="FooterChar">
    <w:name w:val="Footer Char"/>
    <w:basedOn w:val="DefaultParagraphFont"/>
    <w:link w:val="Footer"/>
    <w:uiPriority w:val="99"/>
    <w:rsid w:val="00B44451"/>
    <w:rPr>
      <w:sz w:val="24"/>
    </w:rPr>
  </w:style>
  <w:style w:type="paragraph" w:customStyle="1" w:styleId="ColorfulList-Accent11">
    <w:name w:val="Colorful List - Accent 11"/>
    <w:basedOn w:val="Normal"/>
    <w:uiPriority w:val="99"/>
    <w:qFormat/>
    <w:rsid w:val="00B44451"/>
    <w:pPr>
      <w:widowControl/>
      <w:spacing w:after="120" w:line="276" w:lineRule="auto"/>
      <w:ind w:left="720"/>
      <w:contextualSpacing/>
    </w:pPr>
    <w:rPr>
      <w:rFonts w:ascii="Calibri" w:eastAsia="Calibri" w:hAnsi="Calibri"/>
      <w:sz w:val="22"/>
      <w:szCs w:val="22"/>
      <w:lang w:val="en-GB"/>
    </w:rPr>
  </w:style>
  <w:style w:type="paragraph" w:styleId="NoSpacing">
    <w:name w:val="No Spacing"/>
    <w:link w:val="NoSpacingChar"/>
    <w:uiPriority w:val="1"/>
    <w:qFormat/>
    <w:rsid w:val="00A30B76"/>
    <w:pPr>
      <w:widowControl w:val="0"/>
    </w:pPr>
    <w:rPr>
      <w:sz w:val="24"/>
    </w:rPr>
  </w:style>
  <w:style w:type="paragraph" w:customStyle="1" w:styleId="Body">
    <w:name w:val="Body"/>
    <w:rsid w:val="00A30B76"/>
    <w:rPr>
      <w:rFonts w:ascii="Calibri" w:eastAsia="ヒラギノ角ゴ Pro W3" w:hAnsi="Calibri"/>
      <w:color w:val="000000"/>
      <w:sz w:val="22"/>
    </w:rPr>
  </w:style>
  <w:style w:type="character" w:styleId="Strong">
    <w:name w:val="Strong"/>
    <w:basedOn w:val="DefaultParagraphFont"/>
    <w:qFormat/>
    <w:rsid w:val="00A30B76"/>
    <w:rPr>
      <w:b/>
      <w:bCs/>
      <w:color w:val="000000"/>
    </w:rPr>
  </w:style>
  <w:style w:type="character" w:customStyle="1" w:styleId="NoSpacingChar">
    <w:name w:val="No Spacing Char"/>
    <w:basedOn w:val="DefaultParagraphFont"/>
    <w:link w:val="NoSpacing"/>
    <w:uiPriority w:val="1"/>
    <w:rsid w:val="001E3117"/>
    <w:rPr>
      <w:sz w:val="24"/>
    </w:rPr>
  </w:style>
</w:styles>
</file>

<file path=word/webSettings.xml><?xml version="1.0" encoding="utf-8"?>
<w:webSettings xmlns:r="http://schemas.openxmlformats.org/officeDocument/2006/relationships" xmlns:w="http://schemas.openxmlformats.org/wordprocessingml/2006/main">
  <w:divs>
    <w:div w:id="102463828">
      <w:bodyDiv w:val="1"/>
      <w:marLeft w:val="0"/>
      <w:marRight w:val="0"/>
      <w:marTop w:val="0"/>
      <w:marBottom w:val="0"/>
      <w:divBdr>
        <w:top w:val="none" w:sz="0" w:space="0" w:color="auto"/>
        <w:left w:val="none" w:sz="0" w:space="0" w:color="auto"/>
        <w:bottom w:val="none" w:sz="0" w:space="0" w:color="auto"/>
        <w:right w:val="none" w:sz="0" w:space="0" w:color="auto"/>
      </w:divBdr>
    </w:div>
    <w:div w:id="346251158">
      <w:bodyDiv w:val="1"/>
      <w:marLeft w:val="0"/>
      <w:marRight w:val="0"/>
      <w:marTop w:val="0"/>
      <w:marBottom w:val="0"/>
      <w:divBdr>
        <w:top w:val="none" w:sz="0" w:space="0" w:color="auto"/>
        <w:left w:val="none" w:sz="0" w:space="0" w:color="auto"/>
        <w:bottom w:val="none" w:sz="0" w:space="0" w:color="auto"/>
        <w:right w:val="none" w:sz="0" w:space="0" w:color="auto"/>
      </w:divBdr>
    </w:div>
    <w:div w:id="499581260">
      <w:bodyDiv w:val="1"/>
      <w:marLeft w:val="0"/>
      <w:marRight w:val="0"/>
      <w:marTop w:val="0"/>
      <w:marBottom w:val="0"/>
      <w:divBdr>
        <w:top w:val="none" w:sz="0" w:space="0" w:color="auto"/>
        <w:left w:val="none" w:sz="0" w:space="0" w:color="auto"/>
        <w:bottom w:val="none" w:sz="0" w:space="0" w:color="auto"/>
        <w:right w:val="none" w:sz="0" w:space="0" w:color="auto"/>
      </w:divBdr>
    </w:div>
    <w:div w:id="745955119">
      <w:bodyDiv w:val="1"/>
      <w:marLeft w:val="0"/>
      <w:marRight w:val="0"/>
      <w:marTop w:val="0"/>
      <w:marBottom w:val="0"/>
      <w:divBdr>
        <w:top w:val="none" w:sz="0" w:space="0" w:color="auto"/>
        <w:left w:val="none" w:sz="0" w:space="0" w:color="auto"/>
        <w:bottom w:val="none" w:sz="0" w:space="0" w:color="auto"/>
        <w:right w:val="none" w:sz="0" w:space="0" w:color="auto"/>
      </w:divBdr>
    </w:div>
    <w:div w:id="1123574718">
      <w:bodyDiv w:val="1"/>
      <w:marLeft w:val="0"/>
      <w:marRight w:val="0"/>
      <w:marTop w:val="0"/>
      <w:marBottom w:val="0"/>
      <w:divBdr>
        <w:top w:val="none" w:sz="0" w:space="0" w:color="auto"/>
        <w:left w:val="none" w:sz="0" w:space="0" w:color="auto"/>
        <w:bottom w:val="none" w:sz="0" w:space="0" w:color="auto"/>
        <w:right w:val="none" w:sz="0" w:space="0" w:color="auto"/>
      </w:divBdr>
    </w:div>
    <w:div w:id="140325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nredd.net/index.php?option=com_docman&amp;task=doc_download&amp;gid=942&amp;Itemid=5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redd.net/index.php?option=com_docman&amp;task=doc_download&amp;gid=940&amp;Itemid=5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redd.net/index.php?option=com_docman&amp;task=doc_download&amp;gid=473&amp;Itemid=53" TargetMode="External"/><Relationship Id="rId5" Type="http://schemas.openxmlformats.org/officeDocument/2006/relationships/webSettings" Target="webSettings.xml"/><Relationship Id="rId15" Type="http://schemas.openxmlformats.org/officeDocument/2006/relationships/hyperlink" Target="http://www.saverfn.org/background_save-the-rain-forest.html"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un-red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AC62F-1F9E-47D6-B6C0-F9F765086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4643</Words>
  <Characters>28380</Characters>
  <Application>Microsoft Office Word</Application>
  <DocSecurity>4</DocSecurity>
  <Lines>236</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Country:</vt:lpstr>
      <vt:lpstr>Country:</vt:lpstr>
    </vt:vector>
  </TitlesOfParts>
  <Company>UNDP</Company>
  <LinksUpToDate>false</LinksUpToDate>
  <CharactersWithSpaces>32958</CharactersWithSpaces>
  <SharedDoc>false</SharedDoc>
  <HLinks>
    <vt:vector size="6" baseType="variant">
      <vt:variant>
        <vt:i4>6357015</vt:i4>
      </vt:variant>
      <vt:variant>
        <vt:i4>0</vt:i4>
      </vt:variant>
      <vt:variant>
        <vt:i4>0</vt:i4>
      </vt:variant>
      <vt:variant>
        <vt:i4>5</vt:i4>
      </vt:variant>
      <vt:variant>
        <vt:lpwstr>mailto:fabien.monteils@undp.org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dc:title>
  <dc:subject/>
  <dc:creator>DGO</dc:creator>
  <cp:keywords/>
  <dc:description/>
  <cp:lastModifiedBy>UNDP</cp:lastModifiedBy>
  <cp:revision>2</cp:revision>
  <cp:lastPrinted>2010-03-04T14:25:00Z</cp:lastPrinted>
  <dcterms:created xsi:type="dcterms:W3CDTF">2010-04-15T14:17:00Z</dcterms:created>
  <dcterms:modified xsi:type="dcterms:W3CDTF">2010-04-15T14:17:00Z</dcterms:modified>
</cp:coreProperties>
</file>