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F8" w:rsidRPr="001C6CF1" w:rsidRDefault="00CE58F8" w:rsidP="00186CCC">
      <w:pPr>
        <w:jc w:val="center"/>
        <w:outlineLvl w:val="0"/>
        <w:rPr>
          <w:rFonts w:ascii="Arial Narrow" w:hAnsi="Arial Narrow"/>
          <w:b/>
          <w:sz w:val="24"/>
          <w:szCs w:val="24"/>
        </w:rPr>
      </w:pPr>
      <w:r w:rsidRPr="001C6CF1">
        <w:rPr>
          <w:rFonts w:ascii="Arial Narrow" w:hAnsi="Arial Narrow"/>
          <w:b/>
          <w:sz w:val="24"/>
          <w:szCs w:val="24"/>
        </w:rPr>
        <w:t xml:space="preserve">United Nations Development Group </w:t>
      </w:r>
      <w:smartTag w:uri="urn:schemas-microsoft-com:office:smarttags" w:element="place">
        <w:smartTag w:uri="urn:schemas-microsoft-com:office:smarttags" w:element="country-region">
          <w:r w:rsidRPr="001C6CF1">
            <w:rPr>
              <w:rFonts w:ascii="Arial Narrow" w:hAnsi="Arial Narrow"/>
              <w:b/>
              <w:sz w:val="24"/>
              <w:szCs w:val="24"/>
            </w:rPr>
            <w:t>Iraq</w:t>
          </w:r>
        </w:smartTag>
      </w:smartTag>
      <w:r w:rsidRPr="001C6CF1">
        <w:rPr>
          <w:rFonts w:ascii="Arial Narrow" w:hAnsi="Arial Narrow"/>
          <w:b/>
          <w:sz w:val="24"/>
          <w:szCs w:val="24"/>
        </w:rPr>
        <w:t xml:space="preserve"> Trust Fund </w:t>
      </w:r>
    </w:p>
    <w:p w:rsidR="00CE58F8" w:rsidRPr="001C6CF1" w:rsidRDefault="00CE58F8" w:rsidP="0032515D">
      <w:pPr>
        <w:jc w:val="center"/>
        <w:outlineLvl w:val="0"/>
        <w:rPr>
          <w:rFonts w:ascii="Arial Narrow" w:hAnsi="Arial Narrow"/>
          <w:b/>
          <w:sz w:val="24"/>
          <w:szCs w:val="24"/>
        </w:rPr>
      </w:pPr>
      <w:r w:rsidRPr="001C6CF1">
        <w:rPr>
          <w:rFonts w:ascii="Arial Narrow" w:hAnsi="Arial Narrow"/>
          <w:b/>
          <w:sz w:val="24"/>
          <w:szCs w:val="24"/>
        </w:rPr>
        <w:t xml:space="preserve">Project #: </w:t>
      </w:r>
      <w:smartTag w:uri="urn:schemas-microsoft-com:office:smarttags" w:element="place">
        <w:r w:rsidRPr="001C6CF1">
          <w:rPr>
            <w:rFonts w:ascii="Arial Narrow" w:hAnsi="Arial Narrow"/>
            <w:b/>
            <w:sz w:val="24"/>
            <w:szCs w:val="24"/>
          </w:rPr>
          <w:t>S D2-</w:t>
        </w:r>
      </w:smartTag>
      <w:r w:rsidRPr="001C6CF1">
        <w:rPr>
          <w:rFonts w:ascii="Arial Narrow" w:hAnsi="Arial Narrow"/>
          <w:b/>
          <w:sz w:val="24"/>
          <w:szCs w:val="24"/>
        </w:rPr>
        <w:t xml:space="preserve"> 27   WHO and UNICEF</w:t>
      </w:r>
      <w:r w:rsidRPr="001C6CF1">
        <w:rPr>
          <w:rFonts w:ascii="Arial Narrow" w:hAnsi="Arial Narrow"/>
          <w:bCs/>
          <w:sz w:val="24"/>
          <w:szCs w:val="24"/>
        </w:rPr>
        <w:t xml:space="preserve"> </w:t>
      </w:r>
    </w:p>
    <w:p w:rsidR="00CE58F8" w:rsidRPr="001C6CF1" w:rsidRDefault="00CE58F8" w:rsidP="003370DA">
      <w:pPr>
        <w:jc w:val="center"/>
        <w:outlineLvl w:val="0"/>
        <w:rPr>
          <w:rFonts w:ascii="Arial Narrow" w:hAnsi="Arial Narrow"/>
          <w:b/>
          <w:sz w:val="24"/>
          <w:szCs w:val="24"/>
        </w:rPr>
      </w:pPr>
      <w:bookmarkStart w:id="0" w:name="OLE_LINK1"/>
      <w:bookmarkStart w:id="1" w:name="OLE_LINK2"/>
      <w:r w:rsidRPr="001C6CF1">
        <w:rPr>
          <w:rFonts w:ascii="Arial Narrow" w:hAnsi="Arial Narrow"/>
          <w:b/>
          <w:sz w:val="24"/>
          <w:szCs w:val="24"/>
        </w:rPr>
        <w:t>Date and Quarter Updated: 1 January - 31 March (1st  Quarter)</w:t>
      </w:r>
    </w:p>
    <w:bookmarkEnd w:id="0"/>
    <w:bookmarkEnd w:id="1"/>
    <w:p w:rsidR="00CE58F8" w:rsidRPr="001C6CF1" w:rsidRDefault="00CE58F8" w:rsidP="00186CCC">
      <w:pPr>
        <w:jc w:val="center"/>
        <w:outlineLvl w:val="0"/>
        <w:rPr>
          <w:rFonts w:ascii="Arial Narrow" w:hAnsi="Arial Narrow"/>
          <w:b/>
          <w:sz w:val="24"/>
          <w:szCs w:val="24"/>
          <w:u w:val="single"/>
        </w:rPr>
      </w:pPr>
    </w:p>
    <w:tbl>
      <w:tblPr>
        <w:tblW w:w="11070" w:type="dxa"/>
        <w:tblInd w:w="-1152" w:type="dxa"/>
        <w:tblLook w:val="01E0"/>
      </w:tblPr>
      <w:tblGrid>
        <w:gridCol w:w="7740"/>
        <w:gridCol w:w="3330"/>
      </w:tblGrid>
      <w:tr w:rsidR="00CE58F8" w:rsidRPr="001C6CF1" w:rsidTr="001C6CF1">
        <w:tc>
          <w:tcPr>
            <w:tcW w:w="7740" w:type="dxa"/>
            <w:shd w:val="clear" w:color="auto" w:fill="000099"/>
          </w:tcPr>
          <w:p w:rsidR="00CE58F8" w:rsidRPr="001C6CF1" w:rsidRDefault="00CE58F8" w:rsidP="00ED1450">
            <w:pPr>
              <w:rPr>
                <w:rFonts w:ascii="Arial Narrow" w:hAnsi="Arial Narrow"/>
                <w:szCs w:val="22"/>
              </w:rPr>
            </w:pPr>
            <w:r w:rsidRPr="001C6CF1">
              <w:rPr>
                <w:rFonts w:ascii="Arial Narrow" w:hAnsi="Arial Narrow"/>
                <w:b/>
                <w:szCs w:val="22"/>
              </w:rPr>
              <w:t>Participating UN Organisation</w:t>
            </w:r>
            <w:r w:rsidRPr="001C6CF1">
              <w:rPr>
                <w:rFonts w:ascii="Arial Narrow" w:hAnsi="Arial Narrow"/>
                <w:szCs w:val="22"/>
              </w:rPr>
              <w:t xml:space="preserve">:  </w:t>
            </w:r>
            <w:r w:rsidRPr="001C6CF1">
              <w:rPr>
                <w:rFonts w:ascii="Arial Narrow" w:hAnsi="Arial Narrow"/>
              </w:rPr>
              <w:t>WHO (Lead Agency), UNICEF</w:t>
            </w:r>
          </w:p>
        </w:tc>
        <w:tc>
          <w:tcPr>
            <w:tcW w:w="3330" w:type="dxa"/>
            <w:shd w:val="clear" w:color="auto" w:fill="000099"/>
          </w:tcPr>
          <w:p w:rsidR="00CE58F8" w:rsidRPr="001C6CF1" w:rsidRDefault="00CE58F8" w:rsidP="00C77ACF">
            <w:pPr>
              <w:rPr>
                <w:rFonts w:ascii="Arial Narrow" w:hAnsi="Arial Narrow"/>
                <w:szCs w:val="22"/>
              </w:rPr>
            </w:pPr>
            <w:r w:rsidRPr="001C6CF1">
              <w:rPr>
                <w:rFonts w:ascii="Arial Narrow" w:hAnsi="Arial Narrow"/>
                <w:b/>
                <w:szCs w:val="22"/>
              </w:rPr>
              <w:t xml:space="preserve">Sector: </w:t>
            </w:r>
            <w:r w:rsidRPr="001C6CF1">
              <w:rPr>
                <w:rFonts w:ascii="Arial Narrow" w:hAnsi="Arial Narrow"/>
                <w:szCs w:val="22"/>
              </w:rPr>
              <w:t>Health and Nutrition</w:t>
            </w:r>
          </w:p>
        </w:tc>
      </w:tr>
      <w:tr w:rsidR="00CE58F8" w:rsidRPr="001C6CF1" w:rsidTr="001C6CF1">
        <w:tc>
          <w:tcPr>
            <w:tcW w:w="11070" w:type="dxa"/>
            <w:gridSpan w:val="2"/>
            <w:shd w:val="clear" w:color="auto" w:fill="000099"/>
          </w:tcPr>
          <w:p w:rsidR="00CE58F8" w:rsidRPr="001C6CF1" w:rsidRDefault="00CE58F8" w:rsidP="00B86A29">
            <w:pPr>
              <w:rPr>
                <w:rFonts w:ascii="Arial Narrow" w:hAnsi="Arial Narrow"/>
                <w:b/>
                <w:szCs w:val="22"/>
              </w:rPr>
            </w:pPr>
            <w:r w:rsidRPr="001C6CF1">
              <w:rPr>
                <w:rFonts w:ascii="Arial Narrow" w:hAnsi="Arial Narrow"/>
                <w:b/>
                <w:szCs w:val="22"/>
              </w:rPr>
              <w:t xml:space="preserve">Government of </w:t>
            </w:r>
            <w:smartTag w:uri="urn:schemas-microsoft-com:office:smarttags" w:element="place">
              <w:smartTag w:uri="urn:schemas-microsoft-com:office:smarttags" w:element="country-region">
                <w:r w:rsidRPr="001C6CF1">
                  <w:rPr>
                    <w:rFonts w:ascii="Arial Narrow" w:hAnsi="Arial Narrow"/>
                    <w:b/>
                    <w:szCs w:val="22"/>
                  </w:rPr>
                  <w:t>Iraq</w:t>
                </w:r>
              </w:smartTag>
            </w:smartTag>
            <w:r w:rsidRPr="001C6CF1">
              <w:rPr>
                <w:rFonts w:ascii="Arial Narrow" w:hAnsi="Arial Narrow"/>
                <w:b/>
                <w:szCs w:val="22"/>
              </w:rPr>
              <w:t xml:space="preserve"> – Responsible Line Ministry: </w:t>
            </w:r>
            <w:r w:rsidRPr="001C6CF1">
              <w:rPr>
                <w:rFonts w:ascii="Arial Narrow" w:hAnsi="Arial Narrow"/>
                <w:b/>
                <w:szCs w:val="22"/>
              </w:rPr>
              <w:tab/>
            </w:r>
            <w:r w:rsidRPr="001C6CF1">
              <w:rPr>
                <w:rFonts w:ascii="Arial Narrow" w:hAnsi="Arial Narrow"/>
              </w:rPr>
              <w:t>MOH (Lead Ministry),COSIT,KRSO</w:t>
            </w:r>
          </w:p>
        </w:tc>
      </w:tr>
    </w:tbl>
    <w:p w:rsidR="00CE58F8" w:rsidRPr="001C6CF1" w:rsidRDefault="00CE58F8" w:rsidP="00C77ACF">
      <w:pPr>
        <w:outlineLvl w:val="0"/>
        <w:rPr>
          <w:rFonts w:ascii="Arial Narrow" w:hAnsi="Arial Narrow"/>
          <w:b/>
          <w:szCs w:val="22"/>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1440"/>
        <w:gridCol w:w="1440"/>
        <w:gridCol w:w="1800"/>
        <w:gridCol w:w="2610"/>
      </w:tblGrid>
      <w:tr w:rsidR="00CE58F8" w:rsidRPr="001C6CF1" w:rsidTr="001C6CF1">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Title</w:t>
            </w:r>
          </w:p>
        </w:tc>
        <w:tc>
          <w:tcPr>
            <w:tcW w:w="8550" w:type="dxa"/>
            <w:gridSpan w:val="5"/>
          </w:tcPr>
          <w:p w:rsidR="00CE58F8" w:rsidRPr="001C6CF1" w:rsidRDefault="00CE58F8" w:rsidP="00B86A29">
            <w:pPr>
              <w:pStyle w:val="Heading2"/>
              <w:rPr>
                <w:rFonts w:ascii="Arial Narrow" w:hAnsi="Arial Narrow"/>
                <w:b w:val="0"/>
                <w:bCs w:val="0"/>
                <w:sz w:val="22"/>
                <w:szCs w:val="22"/>
              </w:rPr>
            </w:pPr>
            <w:r w:rsidRPr="001C6CF1">
              <w:rPr>
                <w:rFonts w:ascii="Arial Narrow" w:hAnsi="Arial Narrow"/>
                <w:b w:val="0"/>
                <w:bCs w:val="0"/>
                <w:color w:val="000000"/>
                <w:sz w:val="22"/>
                <w:szCs w:val="22"/>
              </w:rPr>
              <w:t xml:space="preserve">Addressing Micronutrient Deficiencies in </w:t>
            </w:r>
            <w:smartTag w:uri="urn:schemas-microsoft-com:office:smarttags" w:element="place">
              <w:smartTag w:uri="urn:schemas-microsoft-com:office:smarttags" w:element="country-region">
                <w:r w:rsidRPr="001C6CF1">
                  <w:rPr>
                    <w:rFonts w:ascii="Arial Narrow" w:hAnsi="Arial Narrow"/>
                    <w:b w:val="0"/>
                    <w:bCs w:val="0"/>
                    <w:color w:val="000000"/>
                    <w:sz w:val="22"/>
                    <w:szCs w:val="22"/>
                  </w:rPr>
                  <w:t>Iraq</w:t>
                </w:r>
              </w:smartTag>
            </w:smartTag>
            <w:r w:rsidRPr="001C6CF1">
              <w:rPr>
                <w:rFonts w:ascii="Arial Narrow" w:hAnsi="Arial Narrow"/>
                <w:b w:val="0"/>
                <w:bCs w:val="0"/>
                <w:color w:val="000000"/>
                <w:sz w:val="22"/>
                <w:szCs w:val="22"/>
              </w:rPr>
              <w:t>: Assessment and Responses</w:t>
            </w:r>
          </w:p>
        </w:tc>
      </w:tr>
      <w:tr w:rsidR="00CE58F8" w:rsidRPr="001C6CF1" w:rsidTr="001C6CF1">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Geographic Location</w:t>
            </w:r>
          </w:p>
        </w:tc>
        <w:tc>
          <w:tcPr>
            <w:tcW w:w="8550" w:type="dxa"/>
            <w:gridSpan w:val="5"/>
          </w:tcPr>
          <w:p w:rsidR="00CE58F8" w:rsidRPr="001C6CF1" w:rsidRDefault="00CE58F8" w:rsidP="00C7103C">
            <w:pPr>
              <w:rPr>
                <w:rFonts w:ascii="Arial Narrow" w:hAnsi="Arial Narrow"/>
                <w:szCs w:val="22"/>
              </w:rPr>
            </w:pPr>
            <w:r w:rsidRPr="001C6CF1">
              <w:rPr>
                <w:rFonts w:ascii="Arial Narrow" w:hAnsi="Arial Narrow"/>
              </w:rPr>
              <w:t>All governorates</w:t>
            </w:r>
          </w:p>
        </w:tc>
      </w:tr>
      <w:tr w:rsidR="00CE58F8" w:rsidRPr="001C6CF1" w:rsidTr="001C6CF1">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Project Cost</w:t>
            </w:r>
          </w:p>
        </w:tc>
        <w:tc>
          <w:tcPr>
            <w:tcW w:w="8550" w:type="dxa"/>
            <w:gridSpan w:val="5"/>
          </w:tcPr>
          <w:p w:rsidR="00CE58F8" w:rsidRPr="001C6CF1" w:rsidRDefault="00CE58F8" w:rsidP="00C77ACF">
            <w:pPr>
              <w:rPr>
                <w:rFonts w:ascii="Arial Narrow" w:hAnsi="Arial Narrow"/>
                <w:szCs w:val="22"/>
              </w:rPr>
            </w:pPr>
            <w:r w:rsidRPr="001C6CF1">
              <w:rPr>
                <w:rFonts w:ascii="Arial Narrow" w:hAnsi="Arial Narrow"/>
                <w:szCs w:val="22"/>
              </w:rPr>
              <w:t xml:space="preserve">US$ </w:t>
            </w:r>
            <w:r w:rsidRPr="001C6CF1">
              <w:rPr>
                <w:rFonts w:ascii="Arial Narrow" w:hAnsi="Arial Narrow"/>
              </w:rPr>
              <w:t>US$ 3,181,763</w:t>
            </w:r>
          </w:p>
        </w:tc>
      </w:tr>
      <w:tr w:rsidR="00CE58F8" w:rsidRPr="001C6CF1" w:rsidTr="001C6CF1">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Duration</w:t>
            </w:r>
          </w:p>
        </w:tc>
        <w:tc>
          <w:tcPr>
            <w:tcW w:w="8550" w:type="dxa"/>
            <w:gridSpan w:val="5"/>
          </w:tcPr>
          <w:p w:rsidR="00CE58F8" w:rsidRPr="001C6CF1" w:rsidRDefault="00CE58F8" w:rsidP="00D51607">
            <w:pPr>
              <w:pStyle w:val="BodyText"/>
              <w:rPr>
                <w:rFonts w:ascii="Arial Narrow" w:hAnsi="Arial Narrow"/>
              </w:rPr>
            </w:pPr>
            <w:r w:rsidRPr="001C6CF1">
              <w:rPr>
                <w:rFonts w:ascii="Arial Narrow" w:hAnsi="Arial Narrow"/>
              </w:rPr>
              <w:t>18 months</w:t>
            </w:r>
          </w:p>
        </w:tc>
      </w:tr>
      <w:tr w:rsidR="00CE58F8" w:rsidRPr="001C6CF1" w:rsidTr="001C6CF1">
        <w:trPr>
          <w:trHeight w:val="309"/>
        </w:trPr>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Approval  Date (SC)</w:t>
            </w:r>
          </w:p>
        </w:tc>
        <w:tc>
          <w:tcPr>
            <w:tcW w:w="1260" w:type="dxa"/>
          </w:tcPr>
          <w:p w:rsidR="00CE58F8" w:rsidRPr="001C6CF1" w:rsidRDefault="00CE58F8" w:rsidP="001B6C5F">
            <w:pPr>
              <w:rPr>
                <w:rFonts w:ascii="Arial Narrow" w:hAnsi="Arial Narrow"/>
                <w:szCs w:val="22"/>
                <w:lang w:val="en-US"/>
              </w:rPr>
            </w:pPr>
            <w:r w:rsidRPr="001C6CF1">
              <w:rPr>
                <w:rFonts w:ascii="Arial Narrow" w:hAnsi="Arial Narrow"/>
                <w:szCs w:val="22"/>
              </w:rPr>
              <w:t>23.02.2010</w:t>
            </w:r>
          </w:p>
        </w:tc>
        <w:tc>
          <w:tcPr>
            <w:tcW w:w="1440" w:type="dxa"/>
          </w:tcPr>
          <w:p w:rsidR="00CE58F8" w:rsidRPr="001C6CF1" w:rsidRDefault="00CE58F8" w:rsidP="001B6C5F">
            <w:pPr>
              <w:rPr>
                <w:rFonts w:ascii="Arial Narrow" w:hAnsi="Arial Narrow"/>
                <w:b/>
                <w:szCs w:val="22"/>
              </w:rPr>
            </w:pPr>
            <w:r w:rsidRPr="001C6CF1">
              <w:rPr>
                <w:rFonts w:ascii="Arial Narrow" w:hAnsi="Arial Narrow"/>
                <w:b/>
                <w:szCs w:val="22"/>
              </w:rPr>
              <w:t>Starting Date</w:t>
            </w:r>
          </w:p>
        </w:tc>
        <w:tc>
          <w:tcPr>
            <w:tcW w:w="1440" w:type="dxa"/>
          </w:tcPr>
          <w:p w:rsidR="00CE58F8" w:rsidRPr="001C6CF1" w:rsidRDefault="00CE58F8" w:rsidP="00B86A29">
            <w:pPr>
              <w:pStyle w:val="BodyText"/>
              <w:tabs>
                <w:tab w:val="left" w:pos="-1620"/>
              </w:tabs>
              <w:rPr>
                <w:rFonts w:ascii="Arial Narrow" w:hAnsi="Arial Narrow"/>
                <w:szCs w:val="22"/>
              </w:rPr>
            </w:pPr>
            <w:r>
              <w:rPr>
                <w:rFonts w:ascii="Arial Narrow" w:hAnsi="Arial Narrow"/>
              </w:rPr>
              <w:t>02.03.2010</w:t>
            </w:r>
          </w:p>
        </w:tc>
        <w:tc>
          <w:tcPr>
            <w:tcW w:w="1800" w:type="dxa"/>
          </w:tcPr>
          <w:p w:rsidR="00CE58F8" w:rsidRPr="001C6CF1" w:rsidRDefault="00CE58F8" w:rsidP="001B6C5F">
            <w:pPr>
              <w:rPr>
                <w:rFonts w:ascii="Arial Narrow" w:hAnsi="Arial Narrow"/>
                <w:b/>
                <w:szCs w:val="22"/>
              </w:rPr>
            </w:pPr>
            <w:r w:rsidRPr="001C6CF1">
              <w:rPr>
                <w:rFonts w:ascii="Arial Narrow" w:hAnsi="Arial Narrow"/>
                <w:b/>
                <w:szCs w:val="22"/>
              </w:rPr>
              <w:t xml:space="preserve">Completion Date   </w:t>
            </w:r>
          </w:p>
        </w:tc>
        <w:tc>
          <w:tcPr>
            <w:tcW w:w="2610" w:type="dxa"/>
          </w:tcPr>
          <w:p w:rsidR="00CE58F8" w:rsidRPr="001C6CF1" w:rsidRDefault="00CE58F8" w:rsidP="001C6CF1">
            <w:pPr>
              <w:pStyle w:val="BodyText"/>
              <w:jc w:val="left"/>
              <w:rPr>
                <w:rFonts w:ascii="Arial Narrow" w:hAnsi="Arial Narrow"/>
                <w:lang w:val="en-US"/>
              </w:rPr>
            </w:pPr>
            <w:r>
              <w:t>02.09.2011</w:t>
            </w:r>
          </w:p>
        </w:tc>
      </w:tr>
      <w:tr w:rsidR="00CE58F8" w:rsidRPr="001C6CF1" w:rsidTr="001C6CF1">
        <w:tc>
          <w:tcPr>
            <w:tcW w:w="2520" w:type="dxa"/>
          </w:tcPr>
          <w:p w:rsidR="00CE58F8" w:rsidRPr="001C6CF1" w:rsidRDefault="00CE58F8" w:rsidP="00C77ACF">
            <w:pPr>
              <w:rPr>
                <w:rFonts w:ascii="Arial Narrow" w:hAnsi="Arial Narrow"/>
                <w:b/>
                <w:szCs w:val="22"/>
              </w:rPr>
            </w:pPr>
            <w:r w:rsidRPr="001C6CF1">
              <w:rPr>
                <w:rFonts w:ascii="Arial Narrow" w:hAnsi="Arial Narrow"/>
                <w:b/>
                <w:szCs w:val="22"/>
              </w:rPr>
              <w:t>Project Description</w:t>
            </w:r>
          </w:p>
        </w:tc>
        <w:tc>
          <w:tcPr>
            <w:tcW w:w="8550" w:type="dxa"/>
            <w:gridSpan w:val="5"/>
          </w:tcPr>
          <w:p w:rsidR="00CE58F8" w:rsidRPr="001C6CF1" w:rsidRDefault="00CE58F8" w:rsidP="00CC2271">
            <w:pPr>
              <w:pStyle w:val="BodyText"/>
              <w:jc w:val="lowKashida"/>
              <w:rPr>
                <w:rFonts w:ascii="Arial Narrow" w:hAnsi="Arial Narrow"/>
                <w:bCs/>
                <w:lang w:val="en-US"/>
              </w:rPr>
            </w:pPr>
            <w:r w:rsidRPr="001C6CF1">
              <w:rPr>
                <w:rFonts w:ascii="Arial Narrow" w:hAnsi="Arial Narrow"/>
                <w:bCs/>
                <w:lang w:val="en-US"/>
              </w:rPr>
              <w:t>This</w:t>
            </w:r>
            <w:r w:rsidRPr="001C6CF1">
              <w:rPr>
                <w:rFonts w:ascii="Arial Narrow" w:hAnsi="Arial Narrow"/>
                <w:lang w:val="en-US"/>
              </w:rPr>
              <w:t xml:space="preserve"> programme</w:t>
            </w:r>
            <w:r w:rsidRPr="001C6CF1">
              <w:rPr>
                <w:rFonts w:ascii="Arial Narrow" w:hAnsi="Arial Narrow"/>
                <w:bCs/>
                <w:lang w:val="en-US"/>
              </w:rPr>
              <w:t xml:space="preserve">, via its major components, is designed to build the capacity of the MoH to more effectively manage existing nutritional interventions and to adequately plan, implement and monitor new prevention programs and evaluate their impact. Tools and systems for effective management, planning, monitoring and evaluation will be developed from local to central levels of the MoH. The integration of nutritional data as a new component into the national diseases surveillance and Health Information System (HIS) will improve sustainability of national nutritional monitoring and response. </w:t>
            </w:r>
          </w:p>
        </w:tc>
      </w:tr>
    </w:tbl>
    <w:p w:rsidR="00CE58F8" w:rsidRPr="001C6CF1" w:rsidRDefault="00CE58F8" w:rsidP="00C77ACF">
      <w:pPr>
        <w:rPr>
          <w:rFonts w:ascii="Arial Narrow" w:hAnsi="Arial Narrow"/>
          <w:szCs w:val="22"/>
        </w:rPr>
      </w:pPr>
    </w:p>
    <w:tbl>
      <w:tblPr>
        <w:tblW w:w="11070" w:type="dxa"/>
        <w:tblInd w:w="-1152" w:type="dxa"/>
        <w:tblLook w:val="01E0"/>
      </w:tblPr>
      <w:tblGrid>
        <w:gridCol w:w="11070"/>
      </w:tblGrid>
      <w:tr w:rsidR="00CE58F8" w:rsidRPr="001C6CF1" w:rsidTr="001C6CF1">
        <w:trPr>
          <w:trHeight w:val="368"/>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CE58F8" w:rsidRPr="001C6CF1" w:rsidRDefault="00CE58F8" w:rsidP="00BC7C38">
            <w:pPr>
              <w:outlineLvl w:val="0"/>
              <w:rPr>
                <w:rFonts w:ascii="Arial Narrow" w:hAnsi="Arial Narrow"/>
                <w:szCs w:val="22"/>
              </w:rPr>
            </w:pPr>
            <w:r w:rsidRPr="001C6CF1">
              <w:rPr>
                <w:rFonts w:ascii="Arial Narrow" w:hAnsi="Arial Narrow"/>
                <w:b/>
                <w:szCs w:val="22"/>
              </w:rPr>
              <w:t>Development Goal and Immediate Objectives</w:t>
            </w:r>
          </w:p>
        </w:tc>
      </w:tr>
      <w:tr w:rsidR="00CE58F8" w:rsidRPr="001C6CF1" w:rsidTr="001C6CF1">
        <w:trPr>
          <w:trHeight w:val="1403"/>
        </w:trPr>
        <w:tc>
          <w:tcPr>
            <w:tcW w:w="11070" w:type="dxa"/>
            <w:tcBorders>
              <w:top w:val="single" w:sz="4" w:space="0" w:color="auto"/>
              <w:left w:val="single" w:sz="4" w:space="0" w:color="auto"/>
              <w:bottom w:val="single" w:sz="4" w:space="0" w:color="auto"/>
              <w:right w:val="single" w:sz="4" w:space="0" w:color="auto"/>
            </w:tcBorders>
          </w:tcPr>
          <w:p w:rsidR="00CE58F8" w:rsidRPr="001C6CF1" w:rsidRDefault="00CE58F8" w:rsidP="00CC2271">
            <w:pPr>
              <w:widowControl/>
              <w:jc w:val="lowKashida"/>
              <w:rPr>
                <w:rFonts w:ascii="Arial Narrow" w:hAnsi="Arial Narrow"/>
                <w:bCs/>
                <w:color w:val="000000"/>
                <w:szCs w:val="22"/>
              </w:rPr>
            </w:pPr>
            <w:r w:rsidRPr="001C6CF1">
              <w:rPr>
                <w:rFonts w:ascii="Arial Narrow" w:hAnsi="Arial Narrow"/>
              </w:rPr>
              <w:t xml:space="preserve">The joint programme aims at building capacity of the Government of Iraq (GOI) (incl. MOH, COSIT, and other Ministries) to address micronutrient deficiencies in </w:t>
            </w:r>
            <w:smartTag w:uri="urn:schemas-microsoft-com:office:smarttags" w:element="place">
              <w:smartTag w:uri="urn:schemas-microsoft-com:office:smarttags" w:element="country-region">
                <w:r w:rsidRPr="001C6CF1">
                  <w:rPr>
                    <w:rFonts w:ascii="Arial Narrow" w:hAnsi="Arial Narrow"/>
                  </w:rPr>
                  <w:t>Iraq</w:t>
                </w:r>
              </w:smartTag>
            </w:smartTag>
            <w:r w:rsidRPr="001C6CF1">
              <w:rPr>
                <w:rFonts w:ascii="Arial Narrow" w:hAnsi="Arial Narrow"/>
              </w:rPr>
              <w:t xml:space="preserve"> through: 1) Undertaking a nationwide assessment of nutritional status and micronutrient deficiencies 2) Integration of Nutrition information in the national Health Information system and 3) initiation orientation and sustaining of new or ongoing nutritional responses. All these activities will be undertaken through building the capacity of the responsible health and other authorities.</w:t>
            </w:r>
          </w:p>
        </w:tc>
      </w:tr>
    </w:tbl>
    <w:p w:rsidR="00CE58F8" w:rsidRPr="001C6CF1" w:rsidRDefault="00CE58F8" w:rsidP="00C77ACF">
      <w:pPr>
        <w:rPr>
          <w:rFonts w:ascii="Arial Narrow" w:hAnsi="Arial Narrow"/>
          <w:szCs w:val="22"/>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9741"/>
      </w:tblGrid>
      <w:tr w:rsidR="00CE58F8" w:rsidRPr="001C6CF1" w:rsidTr="001C6CF1">
        <w:tc>
          <w:tcPr>
            <w:tcW w:w="11070" w:type="dxa"/>
            <w:gridSpan w:val="2"/>
            <w:shd w:val="clear" w:color="auto" w:fill="D9D9D9"/>
          </w:tcPr>
          <w:p w:rsidR="00CE58F8" w:rsidRPr="001C6CF1" w:rsidRDefault="00CE58F8" w:rsidP="00D3136F">
            <w:pPr>
              <w:outlineLvl w:val="0"/>
              <w:rPr>
                <w:rFonts w:ascii="Arial Narrow" w:hAnsi="Arial Narrow"/>
                <w:b/>
                <w:szCs w:val="22"/>
              </w:rPr>
            </w:pPr>
            <w:r w:rsidRPr="001C6CF1">
              <w:rPr>
                <w:rFonts w:ascii="Arial Narrow" w:hAnsi="Arial Narrow"/>
                <w:b/>
                <w:szCs w:val="22"/>
              </w:rPr>
              <w:t>Outputs, Key activities and Procurement</w:t>
            </w:r>
          </w:p>
        </w:tc>
      </w:tr>
      <w:tr w:rsidR="00CE58F8" w:rsidRPr="001C6CF1" w:rsidTr="001C6CF1">
        <w:tc>
          <w:tcPr>
            <w:tcW w:w="1329" w:type="dxa"/>
          </w:tcPr>
          <w:p w:rsidR="00CE58F8" w:rsidRPr="001C6CF1" w:rsidRDefault="00CE58F8" w:rsidP="00C77ACF">
            <w:pPr>
              <w:rPr>
                <w:rFonts w:ascii="Arial Narrow" w:hAnsi="Arial Narrow"/>
                <w:b/>
                <w:szCs w:val="22"/>
              </w:rPr>
            </w:pPr>
            <w:r w:rsidRPr="001C6CF1">
              <w:rPr>
                <w:rFonts w:ascii="Arial Narrow" w:hAnsi="Arial Narrow"/>
                <w:b/>
                <w:szCs w:val="22"/>
              </w:rPr>
              <w:t>Outputs</w:t>
            </w:r>
          </w:p>
        </w:tc>
        <w:tc>
          <w:tcPr>
            <w:tcW w:w="9741" w:type="dxa"/>
          </w:tcPr>
          <w:p w:rsidR="00CE58F8" w:rsidRPr="001C6CF1" w:rsidRDefault="00CE58F8" w:rsidP="008D7091">
            <w:pPr>
              <w:widowControl/>
              <w:tabs>
                <w:tab w:val="left" w:pos="-1620"/>
              </w:tabs>
              <w:jc w:val="both"/>
              <w:rPr>
                <w:rFonts w:ascii="Arial Narrow" w:hAnsi="Arial Narrow"/>
                <w:szCs w:val="22"/>
              </w:rPr>
            </w:pPr>
            <w:r w:rsidRPr="001C6CF1">
              <w:rPr>
                <w:rFonts w:ascii="Arial Narrow" w:hAnsi="Arial Narrow"/>
                <w:b/>
                <w:szCs w:val="22"/>
              </w:rPr>
              <w:t xml:space="preserve">Output 1.1 </w:t>
            </w:r>
            <w:r w:rsidRPr="001C6CF1">
              <w:rPr>
                <w:rFonts w:ascii="Arial Narrow" w:hAnsi="Arial Narrow"/>
                <w:bCs/>
                <w:szCs w:val="22"/>
              </w:rPr>
              <w:t xml:space="preserve">MoH, MoH Kurdistan (MOHK), COSIT and KRSO have improved capacity to develop and carry out a nutrition micronutrients assessment. </w:t>
            </w:r>
            <w:r w:rsidRPr="001C6CF1">
              <w:rPr>
                <w:rFonts w:ascii="Arial Narrow" w:hAnsi="Arial Narrow"/>
                <w:szCs w:val="22"/>
              </w:rPr>
              <w:t>(WHO,WFP,FAO)</w:t>
            </w:r>
          </w:p>
          <w:p w:rsidR="00CE58F8" w:rsidRPr="001C6CF1" w:rsidRDefault="00CE58F8" w:rsidP="008D7091">
            <w:pPr>
              <w:widowControl/>
              <w:tabs>
                <w:tab w:val="left" w:pos="-1620"/>
              </w:tabs>
              <w:jc w:val="both"/>
              <w:rPr>
                <w:rFonts w:ascii="Arial Narrow" w:hAnsi="Arial Narrow"/>
                <w:szCs w:val="22"/>
              </w:rPr>
            </w:pPr>
            <w:r w:rsidRPr="001C6CF1">
              <w:rPr>
                <w:rFonts w:ascii="Arial Narrow" w:hAnsi="Arial Narrow"/>
                <w:b/>
                <w:szCs w:val="22"/>
              </w:rPr>
              <w:t xml:space="preserve">Output 1.2:  </w:t>
            </w:r>
            <w:r w:rsidRPr="001C6CF1">
              <w:rPr>
                <w:rFonts w:ascii="Arial Narrow" w:hAnsi="Arial Narrow"/>
                <w:szCs w:val="22"/>
              </w:rPr>
              <w:t>MoH and MoH Kurdistan has a strengthened Nutrition Management Information system integrated in the Health Information system(WHO,WFP,FAO)</w:t>
            </w:r>
          </w:p>
          <w:p w:rsidR="00CE58F8" w:rsidRPr="001C6CF1" w:rsidRDefault="00CE58F8" w:rsidP="008D7091">
            <w:pPr>
              <w:widowControl/>
              <w:tabs>
                <w:tab w:val="left" w:pos="-1620"/>
              </w:tabs>
              <w:jc w:val="both"/>
              <w:rPr>
                <w:rFonts w:ascii="Arial Narrow" w:hAnsi="Arial Narrow"/>
                <w:szCs w:val="22"/>
              </w:rPr>
            </w:pPr>
            <w:r w:rsidRPr="001C6CF1">
              <w:rPr>
                <w:rFonts w:ascii="Arial Narrow" w:hAnsi="Arial Narrow"/>
                <w:b/>
                <w:szCs w:val="22"/>
              </w:rPr>
              <w:t xml:space="preserve">Output 1.3  </w:t>
            </w:r>
            <w:r w:rsidRPr="001C6CF1" w:rsidDel="00642797">
              <w:rPr>
                <w:rFonts w:ascii="Arial Narrow" w:hAnsi="Arial Narrow"/>
                <w:szCs w:val="22"/>
              </w:rPr>
              <w:t xml:space="preserve"> </w:t>
            </w:r>
            <w:r w:rsidRPr="001C6CF1">
              <w:rPr>
                <w:rFonts w:ascii="Arial Narrow" w:hAnsi="Arial Narrow"/>
                <w:szCs w:val="22"/>
              </w:rPr>
              <w:t>GOI are better able to provide  nutritional response especially in vulnerable areas(UNICEF)</w:t>
            </w:r>
          </w:p>
        </w:tc>
      </w:tr>
      <w:tr w:rsidR="00CE58F8" w:rsidRPr="001C6CF1" w:rsidTr="001C6CF1">
        <w:tc>
          <w:tcPr>
            <w:tcW w:w="1329" w:type="dxa"/>
          </w:tcPr>
          <w:p w:rsidR="00CE58F8" w:rsidRPr="001C6CF1" w:rsidRDefault="00CE58F8" w:rsidP="00C77ACF">
            <w:pPr>
              <w:rPr>
                <w:rFonts w:ascii="Arial Narrow" w:hAnsi="Arial Narrow"/>
                <w:b/>
                <w:szCs w:val="22"/>
              </w:rPr>
            </w:pPr>
            <w:r w:rsidRPr="001C6CF1">
              <w:rPr>
                <w:rFonts w:ascii="Arial Narrow" w:hAnsi="Arial Narrow"/>
                <w:b/>
                <w:szCs w:val="22"/>
              </w:rPr>
              <w:t>Activities</w:t>
            </w:r>
          </w:p>
        </w:tc>
        <w:tc>
          <w:tcPr>
            <w:tcW w:w="9741" w:type="dxa"/>
          </w:tcPr>
          <w:p w:rsidR="00CE58F8" w:rsidRPr="001C6CF1" w:rsidRDefault="00CE58F8" w:rsidP="00D80B9B">
            <w:pPr>
              <w:rPr>
                <w:rFonts w:ascii="Arial Narrow" w:hAnsi="Arial Narrow"/>
                <w:bCs/>
                <w:szCs w:val="22"/>
                <w:u w:val="single"/>
              </w:rPr>
            </w:pPr>
            <w:r w:rsidRPr="001C6CF1">
              <w:rPr>
                <w:rFonts w:ascii="Arial Narrow" w:hAnsi="Arial Narrow"/>
                <w:bCs/>
                <w:szCs w:val="22"/>
                <w:u w:val="single"/>
              </w:rPr>
              <w:t>Output 1:1:</w:t>
            </w:r>
            <w:r w:rsidRPr="001C6CF1">
              <w:rPr>
                <w:rFonts w:ascii="Arial Narrow" w:hAnsi="Arial Narrow"/>
                <w:bCs/>
                <w:u w:val="single"/>
              </w:rPr>
              <w:t xml:space="preserve"> </w:t>
            </w:r>
            <w:r w:rsidRPr="001C6CF1">
              <w:rPr>
                <w:rFonts w:ascii="Arial Narrow" w:hAnsi="Arial Narrow"/>
                <w:szCs w:val="22"/>
                <w:u w:val="single"/>
              </w:rPr>
              <w:t>(WHO,WFP, FAO)</w:t>
            </w:r>
          </w:p>
          <w:p w:rsidR="00CE58F8" w:rsidRPr="001C6CF1" w:rsidRDefault="00CE58F8" w:rsidP="00BC5419">
            <w:pPr>
              <w:rPr>
                <w:rFonts w:ascii="Arial Narrow" w:hAnsi="Arial Narrow"/>
                <w:bCs/>
              </w:rPr>
            </w:pPr>
            <w:r w:rsidRPr="001C6CF1">
              <w:rPr>
                <w:rFonts w:ascii="Arial Narrow" w:hAnsi="Arial Narrow"/>
                <w:bCs/>
                <w:szCs w:val="22"/>
              </w:rPr>
              <w:t>1.1.1Finalize assessment protocols and plan of work</w:t>
            </w:r>
          </w:p>
          <w:p w:rsidR="00CE58F8" w:rsidRPr="001C6CF1" w:rsidRDefault="00CE58F8" w:rsidP="00D80B9B">
            <w:pPr>
              <w:rPr>
                <w:rFonts w:ascii="Arial Narrow" w:hAnsi="Arial Narrow"/>
                <w:bCs/>
                <w:szCs w:val="22"/>
              </w:rPr>
            </w:pPr>
            <w:r w:rsidRPr="001C6CF1">
              <w:rPr>
                <w:rFonts w:ascii="Arial Narrow" w:hAnsi="Arial Narrow"/>
                <w:bCs/>
                <w:szCs w:val="22"/>
              </w:rPr>
              <w:t>1.1.2 Assessment team recruited and operational</w:t>
            </w:r>
          </w:p>
          <w:p w:rsidR="00CE58F8" w:rsidRPr="001C6CF1" w:rsidRDefault="00CE58F8" w:rsidP="00D80B9B">
            <w:pPr>
              <w:rPr>
                <w:rFonts w:ascii="Arial Narrow" w:hAnsi="Arial Narrow"/>
                <w:bCs/>
                <w:szCs w:val="22"/>
              </w:rPr>
            </w:pPr>
            <w:r w:rsidRPr="001C6CF1">
              <w:rPr>
                <w:rFonts w:ascii="Arial Narrow" w:hAnsi="Arial Narrow"/>
                <w:bCs/>
                <w:szCs w:val="22"/>
              </w:rPr>
              <w:t>1.1.3 Training (TOT and training at governorate levels) for assessment  and response  team personnel</w:t>
            </w:r>
          </w:p>
          <w:p w:rsidR="00CE58F8" w:rsidRPr="001C6CF1" w:rsidRDefault="00CE58F8" w:rsidP="00D80B9B">
            <w:pPr>
              <w:rPr>
                <w:rFonts w:ascii="Arial Narrow" w:hAnsi="Arial Narrow"/>
                <w:bCs/>
              </w:rPr>
            </w:pPr>
            <w:r w:rsidRPr="001C6CF1">
              <w:rPr>
                <w:rFonts w:ascii="Arial Narrow" w:hAnsi="Arial Narrow"/>
                <w:bCs/>
                <w:szCs w:val="22"/>
              </w:rPr>
              <w:t>1.1.4 Equipment  for household blood  testing</w:t>
            </w:r>
          </w:p>
          <w:p w:rsidR="00CE58F8" w:rsidRPr="001C6CF1" w:rsidRDefault="00CE58F8" w:rsidP="00D80B9B">
            <w:pPr>
              <w:rPr>
                <w:rFonts w:ascii="Arial Narrow" w:hAnsi="Arial Narrow"/>
                <w:bCs/>
              </w:rPr>
            </w:pPr>
            <w:r w:rsidRPr="001C6CF1">
              <w:rPr>
                <w:rFonts w:ascii="Arial Narrow" w:hAnsi="Arial Narrow"/>
                <w:bCs/>
                <w:szCs w:val="22"/>
              </w:rPr>
              <w:t xml:space="preserve">1.1.5 Equipment  to support Lab in </w:t>
            </w:r>
            <w:smartTag w:uri="urn:schemas-microsoft-com:office:smarttags" w:element="place">
              <w:smartTag w:uri="urn:schemas-microsoft-com:office:smarttags" w:element="City">
                <w:r w:rsidRPr="001C6CF1">
                  <w:rPr>
                    <w:rFonts w:ascii="Arial Narrow" w:hAnsi="Arial Narrow"/>
                    <w:bCs/>
                    <w:szCs w:val="22"/>
                  </w:rPr>
                  <w:t>Baghdad</w:t>
                </w:r>
              </w:smartTag>
            </w:smartTag>
          </w:p>
          <w:p w:rsidR="00CE58F8" w:rsidRPr="001C6CF1" w:rsidRDefault="00CE58F8" w:rsidP="00D80B9B">
            <w:pPr>
              <w:rPr>
                <w:rFonts w:ascii="Arial Narrow" w:hAnsi="Arial Narrow"/>
                <w:bCs/>
              </w:rPr>
            </w:pPr>
            <w:r w:rsidRPr="001C6CF1">
              <w:rPr>
                <w:rFonts w:ascii="Arial Narrow" w:hAnsi="Arial Narrow"/>
                <w:bCs/>
                <w:szCs w:val="22"/>
              </w:rPr>
              <w:t>1.1.6 Blood and Urine sample transport</w:t>
            </w:r>
          </w:p>
          <w:p w:rsidR="00CE58F8" w:rsidRPr="001C6CF1" w:rsidRDefault="00CE58F8" w:rsidP="00D80B9B">
            <w:pPr>
              <w:rPr>
                <w:rFonts w:ascii="Arial Narrow" w:hAnsi="Arial Narrow"/>
                <w:bCs/>
              </w:rPr>
            </w:pPr>
            <w:r w:rsidRPr="001C6CF1">
              <w:rPr>
                <w:rFonts w:ascii="Arial Narrow" w:hAnsi="Arial Narrow"/>
                <w:bCs/>
              </w:rPr>
              <w:t>1.1.7 Technical assistance to PSC</w:t>
            </w:r>
          </w:p>
          <w:p w:rsidR="00CE58F8" w:rsidRPr="001C6CF1" w:rsidRDefault="00CE58F8" w:rsidP="00D80B9B">
            <w:pPr>
              <w:rPr>
                <w:rFonts w:ascii="Arial Narrow" w:hAnsi="Arial Narrow"/>
                <w:bCs/>
              </w:rPr>
            </w:pPr>
            <w:r w:rsidRPr="001C6CF1">
              <w:rPr>
                <w:rFonts w:ascii="Arial Narrow" w:hAnsi="Arial Narrow"/>
                <w:bCs/>
              </w:rPr>
              <w:t>1.1.8 Technical assistance to PSC</w:t>
            </w:r>
          </w:p>
          <w:p w:rsidR="00CE58F8" w:rsidRPr="001C6CF1" w:rsidRDefault="00CE58F8" w:rsidP="00882265">
            <w:pPr>
              <w:rPr>
                <w:rFonts w:ascii="Arial Narrow" w:hAnsi="Arial Narrow"/>
                <w:bCs/>
                <w:u w:val="single"/>
              </w:rPr>
            </w:pPr>
            <w:r w:rsidRPr="001C6CF1">
              <w:rPr>
                <w:rFonts w:ascii="Arial Narrow" w:hAnsi="Arial Narrow"/>
                <w:bCs/>
                <w:u w:val="single"/>
              </w:rPr>
              <w:t xml:space="preserve">Output 1.2 : </w:t>
            </w:r>
            <w:r w:rsidRPr="001C6CF1">
              <w:rPr>
                <w:rFonts w:ascii="Arial Narrow" w:hAnsi="Arial Narrow"/>
                <w:szCs w:val="22"/>
                <w:u w:val="single"/>
              </w:rPr>
              <w:t>(WHO,WFP, FAO)</w:t>
            </w:r>
            <w:r w:rsidRPr="001C6CF1">
              <w:rPr>
                <w:rFonts w:ascii="Arial Narrow" w:hAnsi="Arial Narrow"/>
                <w:bCs/>
                <w:u w:val="single"/>
              </w:rPr>
              <w:t xml:space="preserve"> </w:t>
            </w:r>
          </w:p>
          <w:p w:rsidR="00CE58F8" w:rsidRPr="001C6CF1" w:rsidRDefault="00CE58F8" w:rsidP="00D80B9B">
            <w:pPr>
              <w:numPr>
                <w:ilvl w:val="2"/>
                <w:numId w:val="1"/>
              </w:numPr>
              <w:rPr>
                <w:rFonts w:ascii="Arial Narrow" w:hAnsi="Arial Narrow"/>
                <w:bCs/>
                <w:u w:val="single"/>
              </w:rPr>
            </w:pPr>
            <w:r w:rsidRPr="001C6CF1">
              <w:rPr>
                <w:rFonts w:ascii="Arial Narrow" w:hAnsi="Arial Narrow"/>
                <w:szCs w:val="22"/>
              </w:rPr>
              <w:t>Sampling  of target population</w:t>
            </w:r>
          </w:p>
          <w:p w:rsidR="00CE58F8" w:rsidRPr="001C6CF1" w:rsidRDefault="00CE58F8" w:rsidP="00D80B9B">
            <w:pPr>
              <w:numPr>
                <w:ilvl w:val="2"/>
                <w:numId w:val="1"/>
              </w:numPr>
              <w:rPr>
                <w:rFonts w:ascii="Arial Narrow" w:hAnsi="Arial Narrow"/>
                <w:bCs/>
                <w:u w:val="single"/>
              </w:rPr>
            </w:pPr>
            <w:r w:rsidRPr="001C6CF1">
              <w:rPr>
                <w:rFonts w:ascii="Arial Narrow" w:hAnsi="Arial Narrow"/>
                <w:szCs w:val="22"/>
              </w:rPr>
              <w:t xml:space="preserve"> Data collection and management</w:t>
            </w:r>
          </w:p>
          <w:p w:rsidR="00CE58F8" w:rsidRPr="001C6CF1" w:rsidRDefault="00CE58F8" w:rsidP="00D80B9B">
            <w:pPr>
              <w:numPr>
                <w:ilvl w:val="2"/>
                <w:numId w:val="1"/>
              </w:numPr>
              <w:rPr>
                <w:rFonts w:ascii="Arial Narrow" w:hAnsi="Arial Narrow"/>
                <w:bCs/>
                <w:u w:val="single"/>
              </w:rPr>
            </w:pPr>
            <w:r w:rsidRPr="001C6CF1">
              <w:rPr>
                <w:rFonts w:ascii="Arial Narrow" w:hAnsi="Arial Narrow"/>
                <w:szCs w:val="22"/>
              </w:rPr>
              <w:t>Report writing, printing  and dissemination of study results</w:t>
            </w:r>
          </w:p>
          <w:p w:rsidR="00CE58F8" w:rsidRPr="001C6CF1" w:rsidRDefault="00CE58F8" w:rsidP="00D80B9B">
            <w:pPr>
              <w:numPr>
                <w:ilvl w:val="2"/>
                <w:numId w:val="1"/>
              </w:numPr>
              <w:rPr>
                <w:rFonts w:ascii="Arial Narrow" w:hAnsi="Arial Narrow"/>
                <w:bCs/>
                <w:u w:val="single"/>
              </w:rPr>
            </w:pPr>
            <w:r w:rsidRPr="001C6CF1">
              <w:rPr>
                <w:rFonts w:ascii="Arial Narrow" w:hAnsi="Arial Narrow"/>
                <w:szCs w:val="22"/>
              </w:rPr>
              <w:t>Integrating nutrition in national disease surveillance and Health Information System</w:t>
            </w:r>
          </w:p>
          <w:p w:rsidR="00CE58F8" w:rsidRPr="001C6CF1" w:rsidRDefault="00CE58F8" w:rsidP="00D80B9B">
            <w:pPr>
              <w:numPr>
                <w:ilvl w:val="2"/>
                <w:numId w:val="1"/>
              </w:numPr>
              <w:rPr>
                <w:rFonts w:ascii="Arial Narrow" w:hAnsi="Arial Narrow"/>
                <w:bCs/>
                <w:u w:val="single"/>
              </w:rPr>
            </w:pPr>
            <w:r w:rsidRPr="001C6CF1">
              <w:rPr>
                <w:rFonts w:ascii="Arial Narrow" w:hAnsi="Arial Narrow"/>
                <w:szCs w:val="22"/>
              </w:rPr>
              <w:t>Monitoring and evaluation</w:t>
            </w:r>
          </w:p>
          <w:p w:rsidR="00CE58F8" w:rsidRPr="001C6CF1" w:rsidRDefault="00CE58F8" w:rsidP="00D80B9B">
            <w:pPr>
              <w:numPr>
                <w:ilvl w:val="2"/>
                <w:numId w:val="1"/>
              </w:numPr>
              <w:rPr>
                <w:rFonts w:ascii="Arial Narrow" w:hAnsi="Arial Narrow"/>
                <w:bCs/>
                <w:u w:val="single"/>
              </w:rPr>
            </w:pPr>
            <w:r w:rsidRPr="001C6CF1">
              <w:rPr>
                <w:rFonts w:ascii="Arial Narrow" w:hAnsi="Arial Narrow"/>
                <w:bCs/>
              </w:rPr>
              <w:t>Technical assistance to PSC</w:t>
            </w:r>
          </w:p>
          <w:p w:rsidR="00CE58F8" w:rsidRPr="001C6CF1" w:rsidRDefault="00CE58F8" w:rsidP="00D80B9B">
            <w:pPr>
              <w:rPr>
                <w:rFonts w:ascii="Arial Narrow" w:hAnsi="Arial Narrow"/>
                <w:bCs/>
                <w:u w:val="single"/>
              </w:rPr>
            </w:pPr>
            <w:r w:rsidRPr="001C6CF1">
              <w:rPr>
                <w:rFonts w:ascii="Arial Narrow" w:hAnsi="Arial Narrow"/>
                <w:bCs/>
                <w:u w:val="single"/>
              </w:rPr>
              <w:t>Output 1.3: (UNICEF)</w:t>
            </w:r>
          </w:p>
          <w:p w:rsidR="00CE58F8" w:rsidRPr="001C6CF1" w:rsidRDefault="00CE58F8" w:rsidP="00D80B9B">
            <w:pPr>
              <w:rPr>
                <w:rFonts w:ascii="Arial Narrow" w:hAnsi="Arial Narrow"/>
                <w:bCs/>
              </w:rPr>
            </w:pPr>
            <w:r w:rsidRPr="001C6CF1">
              <w:rPr>
                <w:rFonts w:ascii="Arial Narrow" w:hAnsi="Arial Narrow"/>
                <w:szCs w:val="22"/>
              </w:rPr>
              <w:t>1.3.1 General micronutrient activities</w:t>
            </w:r>
          </w:p>
          <w:p w:rsidR="00CE58F8" w:rsidRPr="001C6CF1" w:rsidRDefault="00CE58F8" w:rsidP="00D80B9B">
            <w:pPr>
              <w:ind w:left="-123" w:firstLine="123"/>
              <w:rPr>
                <w:rFonts w:ascii="Arial Narrow" w:hAnsi="Arial Narrow"/>
                <w:bCs/>
              </w:rPr>
            </w:pPr>
            <w:r w:rsidRPr="001C6CF1">
              <w:rPr>
                <w:rFonts w:ascii="Arial Narrow" w:hAnsi="Arial Narrow"/>
                <w:bCs/>
                <w:szCs w:val="22"/>
              </w:rPr>
              <w:t>1.3.2 Capacity building across all levels on nutrition &amp; monitoring</w:t>
            </w:r>
          </w:p>
          <w:p w:rsidR="00CE58F8" w:rsidRPr="001C6CF1" w:rsidRDefault="00CE58F8" w:rsidP="00D80B9B">
            <w:pPr>
              <w:rPr>
                <w:rFonts w:ascii="Arial Narrow" w:hAnsi="Arial Narrow"/>
                <w:bCs/>
              </w:rPr>
            </w:pPr>
            <w:r w:rsidRPr="001C6CF1">
              <w:rPr>
                <w:rFonts w:ascii="Arial Narrow" w:hAnsi="Arial Narrow"/>
                <w:bCs/>
              </w:rPr>
              <w:t xml:space="preserve">1.3.3 </w:t>
            </w:r>
            <w:r w:rsidRPr="001C6CF1">
              <w:rPr>
                <w:rFonts w:ascii="Arial Narrow" w:hAnsi="Arial Narrow"/>
                <w:bCs/>
                <w:szCs w:val="22"/>
              </w:rPr>
              <w:t xml:space="preserve"> Social mobilisation and advocacy activities including communication media campaign, development of media health education and promotion materials etc</w:t>
            </w:r>
          </w:p>
        </w:tc>
      </w:tr>
      <w:tr w:rsidR="00CE58F8" w:rsidRPr="001C6CF1" w:rsidTr="001C6CF1">
        <w:tc>
          <w:tcPr>
            <w:tcW w:w="1329" w:type="dxa"/>
          </w:tcPr>
          <w:p w:rsidR="00CE58F8" w:rsidRPr="001C6CF1" w:rsidRDefault="00CE58F8" w:rsidP="00C77ACF">
            <w:pPr>
              <w:rPr>
                <w:rFonts w:ascii="Arial Narrow" w:hAnsi="Arial Narrow"/>
                <w:b/>
                <w:szCs w:val="22"/>
              </w:rPr>
            </w:pPr>
            <w:r w:rsidRPr="001C6CF1">
              <w:rPr>
                <w:rFonts w:ascii="Arial Narrow" w:hAnsi="Arial Narrow"/>
                <w:b/>
                <w:szCs w:val="22"/>
              </w:rPr>
              <w:t>Procurement</w:t>
            </w:r>
          </w:p>
          <w:p w:rsidR="00CE58F8" w:rsidRPr="001C6CF1" w:rsidRDefault="00CE58F8" w:rsidP="00C77ACF">
            <w:pPr>
              <w:rPr>
                <w:rFonts w:ascii="Arial Narrow" w:hAnsi="Arial Narrow"/>
                <w:b/>
                <w:szCs w:val="22"/>
              </w:rPr>
            </w:pPr>
            <w:r w:rsidRPr="001C6CF1">
              <w:rPr>
                <w:rFonts w:ascii="Arial Narrow" w:hAnsi="Arial Narrow"/>
                <w:b/>
                <w:szCs w:val="22"/>
              </w:rPr>
              <w:t xml:space="preserve">(major items) </w:t>
            </w:r>
          </w:p>
        </w:tc>
        <w:tc>
          <w:tcPr>
            <w:tcW w:w="9741" w:type="dxa"/>
          </w:tcPr>
          <w:p w:rsidR="00CE58F8" w:rsidRPr="001C6CF1" w:rsidRDefault="00CE58F8" w:rsidP="00D80B9B">
            <w:pPr>
              <w:rPr>
                <w:rFonts w:ascii="Arial Narrow" w:hAnsi="Arial Narrow"/>
              </w:rPr>
            </w:pPr>
            <w:r w:rsidRPr="001C6CF1">
              <w:rPr>
                <w:rFonts w:ascii="Arial Narrow" w:hAnsi="Arial Narrow"/>
              </w:rPr>
              <w:t>Procurement of the following with a total cost of USD 152,781:</w:t>
            </w:r>
          </w:p>
          <w:p w:rsidR="00CE58F8" w:rsidRPr="001C6CF1" w:rsidRDefault="00CE58F8" w:rsidP="00050E0A">
            <w:pPr>
              <w:numPr>
                <w:ilvl w:val="0"/>
                <w:numId w:val="2"/>
              </w:numPr>
              <w:rPr>
                <w:rFonts w:ascii="Arial Narrow" w:hAnsi="Arial Narrow"/>
              </w:rPr>
            </w:pPr>
            <w:r w:rsidRPr="001C6CF1">
              <w:rPr>
                <w:rFonts w:ascii="Arial Narrow" w:hAnsi="Arial Narrow"/>
              </w:rPr>
              <w:t xml:space="preserve">Procurement of 50 Hemocue and accessories. </w:t>
            </w:r>
          </w:p>
          <w:p w:rsidR="00CE58F8" w:rsidRPr="001C6CF1" w:rsidRDefault="00CE58F8" w:rsidP="00AD4DA1">
            <w:pPr>
              <w:numPr>
                <w:ilvl w:val="0"/>
                <w:numId w:val="2"/>
              </w:numPr>
              <w:rPr>
                <w:rFonts w:ascii="Arial Narrow" w:hAnsi="Arial Narrow"/>
              </w:rPr>
            </w:pPr>
            <w:r w:rsidRPr="001C6CF1">
              <w:rPr>
                <w:rFonts w:ascii="Arial Narrow" w:hAnsi="Arial Narrow"/>
              </w:rPr>
              <w:t xml:space="preserve">Procurement of laboratory supplies and equipments(Deep portable freezers -70C) </w:t>
            </w:r>
          </w:p>
          <w:p w:rsidR="00CE58F8" w:rsidRPr="001C6CF1" w:rsidRDefault="00CE58F8" w:rsidP="00AD4DA1">
            <w:pPr>
              <w:numPr>
                <w:ilvl w:val="0"/>
                <w:numId w:val="2"/>
              </w:numPr>
              <w:rPr>
                <w:rFonts w:ascii="Arial Narrow" w:hAnsi="Arial Narrow"/>
              </w:rPr>
            </w:pPr>
            <w:r w:rsidRPr="001C6CF1">
              <w:rPr>
                <w:rFonts w:ascii="Arial Narrow" w:hAnsi="Arial Narrow"/>
              </w:rPr>
              <w:t>Procurement of blood collection kits.</w:t>
            </w:r>
          </w:p>
          <w:p w:rsidR="00CE58F8" w:rsidRPr="001C6CF1" w:rsidRDefault="00CE58F8" w:rsidP="00794602">
            <w:pPr>
              <w:numPr>
                <w:ilvl w:val="0"/>
                <w:numId w:val="2"/>
              </w:numPr>
              <w:rPr>
                <w:rFonts w:ascii="Arial Narrow" w:hAnsi="Arial Narrow"/>
              </w:rPr>
            </w:pPr>
            <w:r w:rsidRPr="001C6CF1">
              <w:rPr>
                <w:rFonts w:ascii="Arial Narrow" w:hAnsi="Arial Narrow"/>
              </w:rPr>
              <w:t>Procurement of weight and height  measurement kits</w:t>
            </w:r>
          </w:p>
          <w:p w:rsidR="00CE58F8" w:rsidRPr="001C6CF1" w:rsidRDefault="00CE58F8" w:rsidP="002F57EC">
            <w:pPr>
              <w:numPr>
                <w:ilvl w:val="0"/>
                <w:numId w:val="2"/>
              </w:numPr>
              <w:rPr>
                <w:rFonts w:ascii="Arial Narrow" w:hAnsi="Arial Narrow"/>
              </w:rPr>
            </w:pPr>
            <w:r w:rsidRPr="001C6CF1">
              <w:rPr>
                <w:rFonts w:ascii="Arial Narrow" w:hAnsi="Arial Narrow"/>
              </w:rPr>
              <w:t>Procurement of. temperature data logger</w:t>
            </w:r>
          </w:p>
        </w:tc>
      </w:tr>
    </w:tbl>
    <w:p w:rsidR="00CE58F8" w:rsidRPr="001C6CF1" w:rsidRDefault="00CE58F8" w:rsidP="005B7C5B">
      <w:pPr>
        <w:outlineLvl w:val="0"/>
        <w:rPr>
          <w:rFonts w:ascii="Arial Narrow" w:hAnsi="Arial Narrow"/>
          <w:b/>
          <w:szCs w:val="22"/>
        </w:rPr>
      </w:pPr>
      <w:r w:rsidRPr="001C6CF1">
        <w:rPr>
          <w:rFonts w:ascii="Arial Narrow" w:hAnsi="Arial Narrow"/>
          <w:b/>
          <w:szCs w:val="22"/>
        </w:rPr>
        <w:t xml:space="preserve">  </w:t>
      </w: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5310"/>
        <w:gridCol w:w="1530"/>
        <w:gridCol w:w="990"/>
      </w:tblGrid>
      <w:tr w:rsidR="00CE58F8" w:rsidRPr="001C6CF1" w:rsidTr="001C6CF1">
        <w:tc>
          <w:tcPr>
            <w:tcW w:w="3240" w:type="dxa"/>
          </w:tcPr>
          <w:p w:rsidR="00CE58F8" w:rsidRPr="001C6CF1" w:rsidRDefault="00CE58F8" w:rsidP="000A1013">
            <w:pPr>
              <w:rPr>
                <w:rFonts w:ascii="Arial Narrow" w:hAnsi="Arial Narrow"/>
                <w:b/>
                <w:szCs w:val="22"/>
              </w:rPr>
            </w:pPr>
            <w:r w:rsidRPr="001C6CF1">
              <w:rPr>
                <w:rFonts w:ascii="Arial Narrow" w:hAnsi="Arial Narrow"/>
                <w:b/>
                <w:szCs w:val="22"/>
              </w:rPr>
              <w:t xml:space="preserve">Funds Committed </w:t>
            </w:r>
          </w:p>
        </w:tc>
        <w:tc>
          <w:tcPr>
            <w:tcW w:w="5310" w:type="dxa"/>
          </w:tcPr>
          <w:p w:rsidR="00CE58F8" w:rsidRPr="001C6CF1" w:rsidRDefault="00CE58F8" w:rsidP="002060AD">
            <w:pPr>
              <w:rPr>
                <w:rFonts w:ascii="Arial Narrow" w:hAnsi="Arial Narrow"/>
                <w:szCs w:val="22"/>
              </w:rPr>
            </w:pPr>
            <w:r w:rsidRPr="001C6CF1">
              <w:rPr>
                <w:rFonts w:ascii="Arial Narrow" w:hAnsi="Arial Narrow"/>
                <w:szCs w:val="22"/>
              </w:rPr>
              <w:t xml:space="preserve">  WHO: $ 515,000.61</w:t>
            </w:r>
          </w:p>
          <w:p w:rsidR="00CE58F8" w:rsidRPr="001C6CF1" w:rsidRDefault="00CE58F8" w:rsidP="005E7B14">
            <w:pPr>
              <w:rPr>
                <w:rFonts w:ascii="Arial Narrow" w:hAnsi="Arial Narrow"/>
                <w:szCs w:val="22"/>
              </w:rPr>
            </w:pPr>
            <w:r w:rsidRPr="001C6CF1">
              <w:rPr>
                <w:rFonts w:ascii="Arial Narrow" w:hAnsi="Arial Narrow"/>
                <w:szCs w:val="22"/>
              </w:rPr>
              <w:t xml:space="preserve">  UNICEF: $ 533,231.44 </w:t>
            </w:r>
          </w:p>
        </w:tc>
        <w:tc>
          <w:tcPr>
            <w:tcW w:w="1530" w:type="dxa"/>
          </w:tcPr>
          <w:p w:rsidR="00CE58F8" w:rsidRPr="001C6CF1" w:rsidRDefault="00CE58F8" w:rsidP="0058206A">
            <w:pPr>
              <w:rPr>
                <w:rFonts w:ascii="Arial Narrow" w:hAnsi="Arial Narrow"/>
                <w:szCs w:val="22"/>
              </w:rPr>
            </w:pPr>
            <w:r w:rsidRPr="001C6CF1">
              <w:rPr>
                <w:rFonts w:ascii="Arial Narrow" w:hAnsi="Arial Narrow"/>
                <w:szCs w:val="22"/>
              </w:rPr>
              <w:t>% of approved</w:t>
            </w:r>
          </w:p>
          <w:p w:rsidR="00CE58F8" w:rsidRPr="001C6CF1" w:rsidRDefault="00CE58F8" w:rsidP="0058206A">
            <w:pPr>
              <w:rPr>
                <w:rFonts w:ascii="Arial Narrow" w:hAnsi="Arial Narrow"/>
                <w:szCs w:val="22"/>
              </w:rPr>
            </w:pPr>
            <w:r w:rsidRPr="001C6CF1">
              <w:rPr>
                <w:rFonts w:ascii="Arial Narrow" w:hAnsi="Arial Narrow"/>
                <w:szCs w:val="22"/>
              </w:rPr>
              <w:t>% of approved</w:t>
            </w:r>
          </w:p>
        </w:tc>
        <w:tc>
          <w:tcPr>
            <w:tcW w:w="990" w:type="dxa"/>
          </w:tcPr>
          <w:p w:rsidR="00CE58F8" w:rsidRPr="001C6CF1" w:rsidRDefault="00CE58F8" w:rsidP="006C06D7">
            <w:pPr>
              <w:rPr>
                <w:rFonts w:ascii="Arial Narrow" w:hAnsi="Arial Narrow"/>
                <w:szCs w:val="22"/>
              </w:rPr>
            </w:pPr>
            <w:r w:rsidRPr="001C6CF1">
              <w:rPr>
                <w:rFonts w:ascii="Arial Narrow" w:hAnsi="Arial Narrow"/>
                <w:szCs w:val="22"/>
              </w:rPr>
              <w:t>28%</w:t>
            </w:r>
          </w:p>
          <w:p w:rsidR="00CE58F8" w:rsidRPr="001C6CF1" w:rsidRDefault="00CE58F8" w:rsidP="0058206A">
            <w:pPr>
              <w:rPr>
                <w:rFonts w:ascii="Arial Narrow" w:hAnsi="Arial Narrow"/>
                <w:szCs w:val="22"/>
              </w:rPr>
            </w:pPr>
            <w:r w:rsidRPr="001C6CF1">
              <w:rPr>
                <w:rFonts w:ascii="Arial Narrow" w:hAnsi="Arial Narrow"/>
                <w:szCs w:val="22"/>
              </w:rPr>
              <w:t>39.4 %</w:t>
            </w:r>
          </w:p>
        </w:tc>
      </w:tr>
      <w:tr w:rsidR="00CE58F8" w:rsidRPr="001C6CF1" w:rsidTr="001C6CF1">
        <w:trPr>
          <w:trHeight w:val="242"/>
        </w:trPr>
        <w:tc>
          <w:tcPr>
            <w:tcW w:w="3240" w:type="dxa"/>
          </w:tcPr>
          <w:p w:rsidR="00CE58F8" w:rsidRPr="001C6CF1" w:rsidRDefault="00CE58F8" w:rsidP="000A1013">
            <w:pPr>
              <w:rPr>
                <w:rFonts w:ascii="Arial Narrow" w:hAnsi="Arial Narrow"/>
                <w:b/>
                <w:szCs w:val="22"/>
              </w:rPr>
            </w:pPr>
            <w:r w:rsidRPr="001C6CF1">
              <w:rPr>
                <w:rFonts w:ascii="Arial Narrow" w:hAnsi="Arial Narrow"/>
                <w:b/>
                <w:szCs w:val="22"/>
              </w:rPr>
              <w:t>Funds disbursed</w:t>
            </w:r>
          </w:p>
        </w:tc>
        <w:tc>
          <w:tcPr>
            <w:tcW w:w="5310" w:type="dxa"/>
          </w:tcPr>
          <w:p w:rsidR="00CE58F8" w:rsidRPr="001C6CF1" w:rsidRDefault="00CE58F8" w:rsidP="002060AD">
            <w:pPr>
              <w:rPr>
                <w:rFonts w:ascii="Arial Narrow" w:hAnsi="Arial Narrow"/>
                <w:szCs w:val="22"/>
              </w:rPr>
            </w:pPr>
            <w:r w:rsidRPr="001C6CF1">
              <w:rPr>
                <w:rFonts w:ascii="Arial Narrow" w:hAnsi="Arial Narrow"/>
                <w:szCs w:val="22"/>
              </w:rPr>
              <w:t>WHO: $ 394,676.05</w:t>
            </w:r>
          </w:p>
          <w:p w:rsidR="00CE58F8" w:rsidRPr="001C6CF1" w:rsidRDefault="00CE58F8" w:rsidP="005C5729">
            <w:pPr>
              <w:widowControl/>
              <w:rPr>
                <w:rFonts w:ascii="Arial Narrow" w:hAnsi="Arial Narrow"/>
                <w:bCs/>
                <w:szCs w:val="22"/>
              </w:rPr>
            </w:pPr>
            <w:r w:rsidRPr="001C6CF1">
              <w:rPr>
                <w:rFonts w:ascii="Arial Narrow" w:hAnsi="Arial Narrow"/>
                <w:bCs/>
                <w:szCs w:val="22"/>
              </w:rPr>
              <w:t>UNICEF: $ 364,344.9</w:t>
            </w:r>
          </w:p>
        </w:tc>
        <w:tc>
          <w:tcPr>
            <w:tcW w:w="1530" w:type="dxa"/>
          </w:tcPr>
          <w:p w:rsidR="00CE58F8" w:rsidRPr="001C6CF1" w:rsidRDefault="00CE58F8" w:rsidP="00621408">
            <w:pPr>
              <w:rPr>
                <w:rFonts w:ascii="Arial Narrow" w:hAnsi="Arial Narrow"/>
                <w:sz w:val="20"/>
                <w:lang w:val="en-US"/>
              </w:rPr>
            </w:pPr>
            <w:r w:rsidRPr="001C6CF1">
              <w:rPr>
                <w:rFonts w:ascii="Arial Narrow" w:hAnsi="Arial Narrow"/>
                <w:szCs w:val="22"/>
              </w:rPr>
              <w:t>% of approved</w:t>
            </w:r>
          </w:p>
          <w:p w:rsidR="00CE58F8" w:rsidRPr="001C6CF1" w:rsidRDefault="00CE58F8" w:rsidP="00621408">
            <w:pPr>
              <w:rPr>
                <w:rFonts w:ascii="Arial Narrow" w:hAnsi="Arial Narrow"/>
                <w:sz w:val="20"/>
                <w:lang w:val="en-US"/>
              </w:rPr>
            </w:pPr>
            <w:r w:rsidRPr="001C6CF1">
              <w:rPr>
                <w:rFonts w:ascii="Arial Narrow" w:hAnsi="Arial Narrow"/>
                <w:szCs w:val="22"/>
              </w:rPr>
              <w:t>% of approved</w:t>
            </w:r>
          </w:p>
        </w:tc>
        <w:tc>
          <w:tcPr>
            <w:tcW w:w="990" w:type="dxa"/>
          </w:tcPr>
          <w:p w:rsidR="00CE58F8" w:rsidRPr="001C6CF1" w:rsidRDefault="00CE58F8" w:rsidP="0058206A">
            <w:pPr>
              <w:rPr>
                <w:rFonts w:ascii="Arial Narrow" w:hAnsi="Arial Narrow"/>
                <w:bCs/>
                <w:szCs w:val="22"/>
              </w:rPr>
            </w:pPr>
            <w:r w:rsidRPr="001C6CF1">
              <w:rPr>
                <w:rFonts w:ascii="Arial Narrow" w:hAnsi="Arial Narrow"/>
                <w:bCs/>
                <w:szCs w:val="22"/>
              </w:rPr>
              <w:t>22%</w:t>
            </w:r>
          </w:p>
          <w:p w:rsidR="00CE58F8" w:rsidRPr="001C6CF1" w:rsidRDefault="00CE58F8" w:rsidP="0058206A">
            <w:pPr>
              <w:rPr>
                <w:rFonts w:ascii="Arial Narrow" w:hAnsi="Arial Narrow"/>
                <w:bCs/>
                <w:szCs w:val="22"/>
              </w:rPr>
            </w:pPr>
            <w:r w:rsidRPr="001C6CF1">
              <w:rPr>
                <w:rFonts w:ascii="Arial Narrow" w:hAnsi="Arial Narrow"/>
                <w:bCs/>
                <w:szCs w:val="22"/>
              </w:rPr>
              <w:t>26.9%</w:t>
            </w:r>
          </w:p>
        </w:tc>
      </w:tr>
      <w:tr w:rsidR="00CE58F8" w:rsidRPr="001C6CF1" w:rsidTr="001C6CF1">
        <w:tc>
          <w:tcPr>
            <w:tcW w:w="3240" w:type="dxa"/>
          </w:tcPr>
          <w:p w:rsidR="00CE58F8" w:rsidRPr="001C6CF1" w:rsidRDefault="00CE58F8" w:rsidP="000A1013">
            <w:pPr>
              <w:rPr>
                <w:rFonts w:ascii="Arial Narrow" w:hAnsi="Arial Narrow"/>
                <w:b/>
                <w:szCs w:val="22"/>
              </w:rPr>
            </w:pPr>
            <w:r w:rsidRPr="001C6CF1">
              <w:rPr>
                <w:rFonts w:ascii="Arial Narrow" w:hAnsi="Arial Narrow"/>
                <w:b/>
                <w:szCs w:val="22"/>
              </w:rPr>
              <w:t xml:space="preserve">Forecast final date </w:t>
            </w:r>
          </w:p>
        </w:tc>
        <w:tc>
          <w:tcPr>
            <w:tcW w:w="5310" w:type="dxa"/>
          </w:tcPr>
          <w:p w:rsidR="00CE58F8" w:rsidRPr="001C6CF1" w:rsidRDefault="00CE58F8" w:rsidP="007843FF">
            <w:pPr>
              <w:pStyle w:val="BodyText"/>
              <w:rPr>
                <w:rFonts w:ascii="Arial Narrow" w:hAnsi="Arial Narrow"/>
                <w:iCs/>
                <w:highlight w:val="yellow"/>
              </w:rPr>
            </w:pPr>
            <w:r w:rsidRPr="001C6CF1">
              <w:rPr>
                <w:rFonts w:ascii="Arial Narrow" w:hAnsi="Arial Narrow"/>
                <w:iCs/>
              </w:rPr>
              <w:t>2 September 2011</w:t>
            </w:r>
          </w:p>
        </w:tc>
        <w:tc>
          <w:tcPr>
            <w:tcW w:w="1530" w:type="dxa"/>
          </w:tcPr>
          <w:p w:rsidR="00CE58F8" w:rsidRPr="001C6CF1" w:rsidRDefault="00CE58F8" w:rsidP="000A1013">
            <w:pPr>
              <w:rPr>
                <w:rFonts w:ascii="Arial Narrow" w:hAnsi="Arial Narrow"/>
                <w:b/>
                <w:szCs w:val="22"/>
              </w:rPr>
            </w:pPr>
            <w:r w:rsidRPr="001C6CF1">
              <w:rPr>
                <w:rFonts w:ascii="Arial Narrow" w:hAnsi="Arial Narrow"/>
                <w:b/>
                <w:szCs w:val="22"/>
              </w:rPr>
              <w:t>Delay (months)</w:t>
            </w:r>
          </w:p>
        </w:tc>
        <w:tc>
          <w:tcPr>
            <w:tcW w:w="990" w:type="dxa"/>
          </w:tcPr>
          <w:p w:rsidR="00CE58F8" w:rsidRPr="001C6CF1" w:rsidRDefault="00CE58F8" w:rsidP="000A1013">
            <w:pPr>
              <w:rPr>
                <w:rFonts w:ascii="Arial Narrow" w:hAnsi="Arial Narrow"/>
                <w:szCs w:val="22"/>
              </w:rPr>
            </w:pPr>
            <w:r w:rsidRPr="001C6CF1">
              <w:rPr>
                <w:rFonts w:ascii="Arial Narrow" w:hAnsi="Arial Narrow"/>
                <w:szCs w:val="22"/>
              </w:rPr>
              <w:t>N/A</w:t>
            </w:r>
          </w:p>
        </w:tc>
      </w:tr>
    </w:tbl>
    <w:p w:rsidR="00CE58F8" w:rsidRPr="001C6CF1" w:rsidRDefault="00CE58F8" w:rsidP="00C77ACF">
      <w:pPr>
        <w:rPr>
          <w:rFonts w:ascii="Arial Narrow" w:hAnsi="Arial Narrow"/>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920"/>
        <w:gridCol w:w="1800"/>
      </w:tblGrid>
      <w:tr w:rsidR="00CE58F8" w:rsidRPr="001C6CF1" w:rsidTr="001C6CF1">
        <w:tc>
          <w:tcPr>
            <w:tcW w:w="1260" w:type="dxa"/>
            <w:shd w:val="clear" w:color="auto" w:fill="D9D9D9"/>
          </w:tcPr>
          <w:p w:rsidR="00CE58F8" w:rsidRPr="001C6CF1" w:rsidRDefault="00CE58F8" w:rsidP="00E5607D">
            <w:pPr>
              <w:jc w:val="center"/>
              <w:rPr>
                <w:rFonts w:ascii="Arial Narrow" w:hAnsi="Arial Narrow"/>
                <w:b/>
                <w:sz w:val="20"/>
              </w:rPr>
            </w:pPr>
            <w:r w:rsidRPr="001C6CF1">
              <w:rPr>
                <w:rFonts w:ascii="Arial Narrow" w:hAnsi="Arial Narrow"/>
                <w:b/>
                <w:sz w:val="20"/>
              </w:rPr>
              <w:t>Direct Beneficiaries</w:t>
            </w:r>
          </w:p>
        </w:tc>
        <w:tc>
          <w:tcPr>
            <w:tcW w:w="7920" w:type="dxa"/>
            <w:shd w:val="clear" w:color="auto" w:fill="D9D9D9"/>
          </w:tcPr>
          <w:p w:rsidR="00CE58F8" w:rsidRPr="001C6CF1" w:rsidRDefault="00CE58F8" w:rsidP="00E5607D">
            <w:pPr>
              <w:jc w:val="center"/>
              <w:rPr>
                <w:rFonts w:ascii="Arial Narrow" w:hAnsi="Arial Narrow"/>
                <w:b/>
                <w:szCs w:val="22"/>
              </w:rPr>
            </w:pPr>
            <w:r w:rsidRPr="001C6CF1">
              <w:rPr>
                <w:rFonts w:ascii="Arial Narrow" w:hAnsi="Arial Narrow"/>
                <w:b/>
                <w:szCs w:val="22"/>
              </w:rPr>
              <w:t>Number of Beneficiaries</w:t>
            </w:r>
          </w:p>
        </w:tc>
        <w:tc>
          <w:tcPr>
            <w:tcW w:w="1800" w:type="dxa"/>
            <w:shd w:val="clear" w:color="auto" w:fill="D9D9D9"/>
          </w:tcPr>
          <w:p w:rsidR="00CE58F8" w:rsidRPr="001C6CF1" w:rsidRDefault="00CE58F8" w:rsidP="00E5607D">
            <w:pPr>
              <w:jc w:val="center"/>
              <w:rPr>
                <w:rFonts w:ascii="Arial Narrow" w:hAnsi="Arial Narrow"/>
                <w:b/>
                <w:szCs w:val="22"/>
              </w:rPr>
            </w:pPr>
            <w:r w:rsidRPr="001C6CF1">
              <w:rPr>
                <w:rFonts w:ascii="Arial Narrow" w:hAnsi="Arial Narrow"/>
                <w:b/>
                <w:szCs w:val="22"/>
              </w:rPr>
              <w:t>% of planned (current status)</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Men</w:t>
            </w:r>
          </w:p>
        </w:tc>
        <w:tc>
          <w:tcPr>
            <w:tcW w:w="7920" w:type="dxa"/>
          </w:tcPr>
          <w:p w:rsidR="00CE58F8" w:rsidRPr="001C6CF1" w:rsidRDefault="00CE58F8" w:rsidP="00E5607D">
            <w:pPr>
              <w:jc w:val="lowKashida"/>
              <w:rPr>
                <w:rFonts w:ascii="Arial Narrow" w:hAnsi="Arial Narrow"/>
                <w:szCs w:val="22"/>
              </w:rPr>
            </w:pPr>
            <w:r w:rsidRPr="001C6CF1">
              <w:rPr>
                <w:rFonts w:ascii="Arial Narrow" w:hAnsi="Arial Narrow"/>
                <w:szCs w:val="22"/>
              </w:rPr>
              <w:t xml:space="preserve">All men (household head will directly benefit from the implementation of the MNAR survey that will be conducted at household level (3000 HH)  </w:t>
            </w:r>
          </w:p>
        </w:tc>
        <w:tc>
          <w:tcPr>
            <w:tcW w:w="1800" w:type="dxa"/>
          </w:tcPr>
          <w:p w:rsidR="00CE58F8" w:rsidRPr="001C6CF1" w:rsidRDefault="00CE58F8" w:rsidP="00E5607D">
            <w:pPr>
              <w:jc w:val="lowKashida"/>
              <w:rPr>
                <w:rFonts w:ascii="Arial Narrow" w:hAnsi="Arial Narrow"/>
                <w:szCs w:val="22"/>
              </w:rPr>
            </w:pPr>
            <w:r w:rsidRPr="001C6CF1">
              <w:rPr>
                <w:rFonts w:ascii="Arial Narrow" w:hAnsi="Arial Narrow"/>
                <w:szCs w:val="22"/>
              </w:rPr>
              <w:t>80% response after implementation</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Women</w:t>
            </w:r>
          </w:p>
        </w:tc>
        <w:tc>
          <w:tcPr>
            <w:tcW w:w="7920" w:type="dxa"/>
          </w:tcPr>
          <w:p w:rsidR="00CE58F8" w:rsidRPr="001C6CF1" w:rsidRDefault="00CE58F8" w:rsidP="00E5607D">
            <w:pPr>
              <w:jc w:val="lowKashida"/>
              <w:rPr>
                <w:rFonts w:ascii="Arial Narrow" w:hAnsi="Arial Narrow"/>
                <w:szCs w:val="22"/>
              </w:rPr>
            </w:pPr>
            <w:r w:rsidRPr="001C6CF1">
              <w:rPr>
                <w:rFonts w:ascii="Arial Narrow" w:hAnsi="Arial Narrow"/>
                <w:szCs w:val="22"/>
              </w:rPr>
              <w:t xml:space="preserve">1200 Non pregnant women (15-49) will directly benefit  from the MNAR survey and the biological testing that will be conducted at household level (3000 HH)  </w:t>
            </w:r>
          </w:p>
        </w:tc>
        <w:tc>
          <w:tcPr>
            <w:tcW w:w="1800" w:type="dxa"/>
          </w:tcPr>
          <w:p w:rsidR="00CE58F8" w:rsidRPr="001C6CF1" w:rsidRDefault="00CE58F8" w:rsidP="00E5607D">
            <w:pPr>
              <w:jc w:val="lowKashida"/>
              <w:rPr>
                <w:rFonts w:ascii="Arial Narrow" w:hAnsi="Arial Narrow"/>
                <w:szCs w:val="22"/>
              </w:rPr>
            </w:pPr>
            <w:r w:rsidRPr="001C6CF1">
              <w:rPr>
                <w:rFonts w:ascii="Arial Narrow" w:hAnsi="Arial Narrow"/>
                <w:szCs w:val="22"/>
              </w:rPr>
              <w:t>75% response after implementation</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Children</w:t>
            </w:r>
          </w:p>
        </w:tc>
        <w:tc>
          <w:tcPr>
            <w:tcW w:w="7920" w:type="dxa"/>
          </w:tcPr>
          <w:p w:rsidR="00CE58F8" w:rsidRPr="001C6CF1" w:rsidRDefault="00CE58F8" w:rsidP="00E5607D">
            <w:pPr>
              <w:rPr>
                <w:rFonts w:ascii="Arial Narrow" w:hAnsi="Arial Narrow"/>
                <w:szCs w:val="22"/>
              </w:rPr>
            </w:pPr>
            <w:r w:rsidRPr="001C6CF1">
              <w:rPr>
                <w:rFonts w:ascii="Arial Narrow" w:hAnsi="Arial Narrow"/>
                <w:szCs w:val="22"/>
              </w:rPr>
              <w:t xml:space="preserve">800 Children 6-11 months old and 2200 children (12-59 months) will directly benefit for the MNAR survey and the Biological testing </w:t>
            </w:r>
          </w:p>
        </w:tc>
        <w:tc>
          <w:tcPr>
            <w:tcW w:w="1800" w:type="dxa"/>
          </w:tcPr>
          <w:p w:rsidR="00CE58F8" w:rsidRPr="001C6CF1" w:rsidRDefault="00CE58F8" w:rsidP="00E5607D">
            <w:pPr>
              <w:rPr>
                <w:rFonts w:ascii="Arial Narrow" w:hAnsi="Arial Narrow"/>
                <w:szCs w:val="22"/>
              </w:rPr>
            </w:pPr>
            <w:r w:rsidRPr="001C6CF1">
              <w:rPr>
                <w:rFonts w:ascii="Arial Narrow" w:hAnsi="Arial Narrow"/>
                <w:szCs w:val="22"/>
              </w:rPr>
              <w:t>85-90% response</w:t>
            </w:r>
          </w:p>
        </w:tc>
      </w:tr>
      <w:tr w:rsidR="00CE58F8" w:rsidRPr="001C6CF1" w:rsidTr="001C6CF1">
        <w:trPr>
          <w:trHeight w:val="323"/>
        </w:trPr>
        <w:tc>
          <w:tcPr>
            <w:tcW w:w="1260" w:type="dxa"/>
          </w:tcPr>
          <w:p w:rsidR="00CE58F8" w:rsidRPr="001C6CF1" w:rsidRDefault="00CE58F8" w:rsidP="00E5607D">
            <w:pPr>
              <w:rPr>
                <w:rFonts w:ascii="Arial Narrow" w:hAnsi="Arial Narrow"/>
                <w:sz w:val="20"/>
              </w:rPr>
            </w:pPr>
            <w:r w:rsidRPr="001C6CF1">
              <w:rPr>
                <w:rFonts w:ascii="Arial Narrow" w:hAnsi="Arial Narrow"/>
                <w:sz w:val="20"/>
              </w:rPr>
              <w:t>students</w:t>
            </w:r>
          </w:p>
        </w:tc>
        <w:tc>
          <w:tcPr>
            <w:tcW w:w="7920" w:type="dxa"/>
          </w:tcPr>
          <w:p w:rsidR="00CE58F8" w:rsidRPr="001C6CF1" w:rsidRDefault="00CE58F8" w:rsidP="00E5607D">
            <w:pPr>
              <w:rPr>
                <w:rFonts w:ascii="Arial Narrow" w:hAnsi="Arial Narrow"/>
                <w:szCs w:val="22"/>
              </w:rPr>
            </w:pPr>
            <w:r w:rsidRPr="001C6CF1">
              <w:rPr>
                <w:rFonts w:ascii="Arial Narrow" w:hAnsi="Arial Narrow"/>
                <w:szCs w:val="22"/>
              </w:rPr>
              <w:t xml:space="preserve">2200 School students (6-12 years)  will benefit directly </w:t>
            </w:r>
          </w:p>
        </w:tc>
        <w:tc>
          <w:tcPr>
            <w:tcW w:w="1800" w:type="dxa"/>
          </w:tcPr>
          <w:p w:rsidR="00CE58F8" w:rsidRPr="001C6CF1" w:rsidRDefault="00CE58F8" w:rsidP="00E5607D">
            <w:pPr>
              <w:rPr>
                <w:rFonts w:ascii="Arial Narrow" w:hAnsi="Arial Narrow"/>
                <w:szCs w:val="22"/>
              </w:rPr>
            </w:pPr>
            <w:r w:rsidRPr="001C6CF1">
              <w:rPr>
                <w:rFonts w:ascii="Arial Narrow" w:hAnsi="Arial Narrow"/>
                <w:szCs w:val="22"/>
              </w:rPr>
              <w:t>90% response  after implementation</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IDPs</w:t>
            </w:r>
          </w:p>
        </w:tc>
        <w:tc>
          <w:tcPr>
            <w:tcW w:w="7920" w:type="dxa"/>
          </w:tcPr>
          <w:p w:rsidR="00CE58F8" w:rsidRPr="001C6CF1" w:rsidRDefault="00CE58F8" w:rsidP="00E5607D">
            <w:pPr>
              <w:rPr>
                <w:rFonts w:ascii="Arial Narrow" w:hAnsi="Arial Narrow"/>
                <w:szCs w:val="22"/>
              </w:rPr>
            </w:pPr>
            <w:r w:rsidRPr="001C6CF1">
              <w:rPr>
                <w:rFonts w:ascii="Arial Narrow" w:hAnsi="Arial Narrow"/>
                <w:szCs w:val="22"/>
              </w:rPr>
              <w:t>Some of the targeted groups are IDPs</w:t>
            </w:r>
          </w:p>
        </w:tc>
        <w:tc>
          <w:tcPr>
            <w:tcW w:w="1800" w:type="dxa"/>
          </w:tcPr>
          <w:p w:rsidR="00CE58F8" w:rsidRPr="001C6CF1" w:rsidRDefault="00CE58F8" w:rsidP="00E5607D">
            <w:pPr>
              <w:rPr>
                <w:rFonts w:ascii="Arial Narrow" w:hAnsi="Arial Narrow"/>
                <w:szCs w:val="22"/>
              </w:rPr>
            </w:pPr>
            <w:r w:rsidRPr="001C6CF1">
              <w:rPr>
                <w:rFonts w:ascii="Arial Narrow" w:hAnsi="Arial Narrow"/>
                <w:szCs w:val="22"/>
              </w:rPr>
              <w:t>NA</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Others</w:t>
            </w:r>
          </w:p>
        </w:tc>
        <w:tc>
          <w:tcPr>
            <w:tcW w:w="7920" w:type="dxa"/>
          </w:tcPr>
          <w:p w:rsidR="00CE58F8" w:rsidRPr="001C6CF1" w:rsidRDefault="00CE58F8" w:rsidP="00E5607D">
            <w:pPr>
              <w:jc w:val="lowKashida"/>
              <w:rPr>
                <w:rFonts w:ascii="Arial Narrow" w:hAnsi="Arial Narrow"/>
                <w:szCs w:val="22"/>
              </w:rPr>
            </w:pPr>
            <w:r w:rsidRPr="001C6CF1">
              <w:rPr>
                <w:rFonts w:ascii="Arial Narrow" w:hAnsi="Arial Narrow"/>
                <w:szCs w:val="22"/>
              </w:rPr>
              <w:t xml:space="preserve">MoH and other line ministries staff will benefit from many training activities planned under this project </w:t>
            </w:r>
          </w:p>
        </w:tc>
        <w:tc>
          <w:tcPr>
            <w:tcW w:w="1800" w:type="dxa"/>
          </w:tcPr>
          <w:p w:rsidR="00CE58F8" w:rsidRPr="001C6CF1" w:rsidRDefault="00CE58F8" w:rsidP="00E5607D">
            <w:pPr>
              <w:jc w:val="lowKashida"/>
              <w:rPr>
                <w:rFonts w:ascii="Arial Narrow" w:hAnsi="Arial Narrow"/>
                <w:szCs w:val="22"/>
              </w:rPr>
            </w:pPr>
            <w:r w:rsidRPr="001C6CF1">
              <w:rPr>
                <w:rFonts w:ascii="Arial Narrow" w:hAnsi="Arial Narrow"/>
                <w:szCs w:val="22"/>
              </w:rPr>
              <w:t>30%</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Indirect beneficiaries</w:t>
            </w:r>
          </w:p>
        </w:tc>
        <w:tc>
          <w:tcPr>
            <w:tcW w:w="7920" w:type="dxa"/>
          </w:tcPr>
          <w:p w:rsidR="00CE58F8" w:rsidRPr="001C6CF1" w:rsidRDefault="00CE58F8" w:rsidP="00E5607D">
            <w:pPr>
              <w:jc w:val="lowKashida"/>
              <w:rPr>
                <w:rFonts w:ascii="Arial Narrow" w:hAnsi="Arial Narrow"/>
                <w:szCs w:val="22"/>
              </w:rPr>
            </w:pPr>
            <w:r w:rsidRPr="001C6CF1">
              <w:rPr>
                <w:rFonts w:ascii="Arial Narrow" w:hAnsi="Arial Narrow"/>
                <w:bCs/>
                <w:szCs w:val="22"/>
              </w:rPr>
              <w:t xml:space="preserve">The programme foresees the mobilization of some 200 GoI additional staff within </w:t>
            </w:r>
            <w:smartTag w:uri="urn:schemas-microsoft-com:office:smarttags" w:element="place">
              <w:smartTag w:uri="urn:schemas-microsoft-com:office:smarttags" w:element="country-region">
                <w:r w:rsidRPr="001C6CF1">
                  <w:rPr>
                    <w:rFonts w:ascii="Arial Narrow" w:hAnsi="Arial Narrow"/>
                    <w:bCs/>
                    <w:szCs w:val="22"/>
                  </w:rPr>
                  <w:t>Iraq</w:t>
                </w:r>
              </w:smartTag>
            </w:smartTag>
            <w:r w:rsidRPr="001C6CF1">
              <w:rPr>
                <w:rFonts w:ascii="Arial Narrow" w:hAnsi="Arial Narrow"/>
                <w:bCs/>
                <w:szCs w:val="22"/>
              </w:rPr>
              <w:t xml:space="preserve"> in addition to the agency network already operating in the country.</w:t>
            </w:r>
            <w:r w:rsidRPr="001C6CF1">
              <w:rPr>
                <w:rFonts w:ascii="Arial Narrow" w:hAnsi="Arial Narrow"/>
              </w:rPr>
              <w:t xml:space="preserve"> There will be 30 teams and around 150 members. Each team will consist of four members, including: one interviewer/team monitor; one lab technician; one anthropometrist; and a member from COSIT. </w:t>
            </w:r>
          </w:p>
        </w:tc>
        <w:tc>
          <w:tcPr>
            <w:tcW w:w="1800" w:type="dxa"/>
          </w:tcPr>
          <w:p w:rsidR="00CE58F8" w:rsidRPr="001C6CF1" w:rsidRDefault="00CE58F8" w:rsidP="00197096">
            <w:pPr>
              <w:pStyle w:val="ListParagraph"/>
              <w:widowControl w:val="0"/>
              <w:spacing w:after="0" w:line="240" w:lineRule="auto"/>
              <w:ind w:left="-108"/>
              <w:contextualSpacing w:val="0"/>
              <w:jc w:val="lowKashida"/>
              <w:rPr>
                <w:rFonts w:ascii="Arial Narrow" w:hAnsi="Arial Narrow"/>
              </w:rPr>
            </w:pPr>
            <w:r w:rsidRPr="001C6CF1">
              <w:rPr>
                <w:rFonts w:ascii="Arial Narrow" w:hAnsi="Arial Narrow"/>
              </w:rPr>
              <w:t xml:space="preserve"> </w:t>
            </w:r>
          </w:p>
        </w:tc>
      </w:tr>
      <w:tr w:rsidR="00CE58F8" w:rsidRPr="001C6CF1" w:rsidTr="001C6CF1">
        <w:tc>
          <w:tcPr>
            <w:tcW w:w="1260" w:type="dxa"/>
          </w:tcPr>
          <w:p w:rsidR="00CE58F8" w:rsidRPr="001C6CF1" w:rsidRDefault="00CE58F8" w:rsidP="00E5607D">
            <w:pPr>
              <w:rPr>
                <w:rFonts w:ascii="Arial Narrow" w:hAnsi="Arial Narrow"/>
                <w:sz w:val="20"/>
              </w:rPr>
            </w:pPr>
            <w:r w:rsidRPr="001C6CF1">
              <w:rPr>
                <w:rFonts w:ascii="Arial Narrow" w:hAnsi="Arial Narrow"/>
                <w:sz w:val="20"/>
              </w:rPr>
              <w:t>Employment generation  (men/women)</w:t>
            </w:r>
          </w:p>
        </w:tc>
        <w:tc>
          <w:tcPr>
            <w:tcW w:w="7920" w:type="dxa"/>
          </w:tcPr>
          <w:p w:rsidR="00CE58F8" w:rsidRPr="001C6CF1" w:rsidRDefault="00CE58F8" w:rsidP="00E5607D">
            <w:pPr>
              <w:rPr>
                <w:rFonts w:ascii="Arial Narrow" w:hAnsi="Arial Narrow"/>
                <w:szCs w:val="22"/>
              </w:rPr>
            </w:pPr>
            <w:r w:rsidRPr="001C6CF1">
              <w:rPr>
                <w:rFonts w:ascii="Arial Narrow" w:hAnsi="Arial Narrow"/>
                <w:bCs/>
                <w:szCs w:val="22"/>
              </w:rPr>
              <w:t>Employment generation is not one of the main objectives of this joint programme However,</w:t>
            </w:r>
            <w:r w:rsidRPr="001C6CF1">
              <w:rPr>
                <w:rFonts w:ascii="Arial Narrow" w:hAnsi="Arial Narrow"/>
                <w:b/>
                <w:szCs w:val="22"/>
              </w:rPr>
              <w:t xml:space="preserve"> </w:t>
            </w:r>
            <w:r w:rsidRPr="001C6CF1">
              <w:rPr>
                <w:rFonts w:ascii="Arial Narrow" w:hAnsi="Arial Narrow"/>
                <w:szCs w:val="22"/>
              </w:rPr>
              <w:t>100 vehicles and drivers will be hired for the transportation of the teams to the households</w:t>
            </w:r>
          </w:p>
        </w:tc>
        <w:tc>
          <w:tcPr>
            <w:tcW w:w="1800" w:type="dxa"/>
          </w:tcPr>
          <w:p w:rsidR="00CE58F8" w:rsidRPr="001C6CF1" w:rsidRDefault="00CE58F8" w:rsidP="00E5607D">
            <w:pPr>
              <w:rPr>
                <w:rFonts w:ascii="Arial Narrow" w:hAnsi="Arial Narrow"/>
                <w:szCs w:val="22"/>
              </w:rPr>
            </w:pPr>
            <w:r w:rsidRPr="001C6CF1">
              <w:rPr>
                <w:rFonts w:ascii="Arial Narrow" w:hAnsi="Arial Narrow"/>
                <w:szCs w:val="22"/>
              </w:rPr>
              <w:t>100%</w:t>
            </w:r>
          </w:p>
        </w:tc>
      </w:tr>
    </w:tbl>
    <w:p w:rsidR="00CE58F8" w:rsidRPr="001C6CF1" w:rsidRDefault="00CE58F8" w:rsidP="00C77ACF">
      <w:pPr>
        <w:rPr>
          <w:rFonts w:ascii="Arial Narrow" w:hAnsi="Arial Narrow"/>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200"/>
        <w:gridCol w:w="1080"/>
      </w:tblGrid>
      <w:tr w:rsidR="00CE58F8" w:rsidRPr="00EE46F8" w:rsidTr="001C6CF1">
        <w:trPr>
          <w:trHeight w:val="305"/>
        </w:trPr>
        <w:tc>
          <w:tcPr>
            <w:tcW w:w="9900" w:type="dxa"/>
            <w:gridSpan w:val="2"/>
            <w:shd w:val="clear" w:color="auto" w:fill="D9D9D9"/>
          </w:tcPr>
          <w:p w:rsidR="00CE58F8" w:rsidRPr="00EE46F8" w:rsidRDefault="00CE58F8" w:rsidP="008B7E9A">
            <w:pPr>
              <w:rPr>
                <w:rFonts w:ascii="Arial Narrow" w:hAnsi="Arial Narrow"/>
                <w:bCs/>
                <w:color w:val="FF0000"/>
                <w:sz w:val="20"/>
              </w:rPr>
            </w:pPr>
            <w:r w:rsidRPr="00EE46F8">
              <w:rPr>
                <w:rFonts w:ascii="Arial Narrow" w:hAnsi="Arial Narrow"/>
                <w:b/>
                <w:sz w:val="20"/>
              </w:rPr>
              <w:t xml:space="preserve">Quantitative achievements against objectives and results </w:t>
            </w:r>
          </w:p>
        </w:tc>
        <w:tc>
          <w:tcPr>
            <w:tcW w:w="1080" w:type="dxa"/>
            <w:shd w:val="clear" w:color="auto" w:fill="D9D9D9"/>
          </w:tcPr>
          <w:p w:rsidR="00CE58F8" w:rsidRPr="00EE46F8" w:rsidRDefault="00CE58F8" w:rsidP="008B7E9A">
            <w:pPr>
              <w:rPr>
                <w:rFonts w:ascii="Arial Narrow" w:hAnsi="Arial Narrow"/>
                <w:bCs/>
                <w:color w:val="FF0000"/>
                <w:sz w:val="20"/>
              </w:rPr>
            </w:pPr>
            <w:r w:rsidRPr="00EE46F8">
              <w:rPr>
                <w:rFonts w:ascii="Arial Narrow" w:hAnsi="Arial Narrow"/>
                <w:b/>
                <w:sz w:val="20"/>
              </w:rPr>
              <w:t>% of planned</w:t>
            </w:r>
          </w:p>
        </w:tc>
      </w:tr>
      <w:tr w:rsidR="00CE58F8" w:rsidRPr="00EE46F8" w:rsidTr="001C6CF1">
        <w:trPr>
          <w:trHeight w:val="278"/>
        </w:trPr>
        <w:tc>
          <w:tcPr>
            <w:tcW w:w="2700" w:type="dxa"/>
          </w:tcPr>
          <w:p w:rsidR="00CE58F8" w:rsidRPr="00EE46F8" w:rsidRDefault="00CE58F8" w:rsidP="008B7E9A">
            <w:pPr>
              <w:rPr>
                <w:rFonts w:ascii="Arial Narrow" w:hAnsi="Arial Narrow"/>
                <w:bCs/>
                <w:sz w:val="20"/>
              </w:rPr>
            </w:pPr>
            <w:r w:rsidRPr="00EE46F8">
              <w:rPr>
                <w:rFonts w:ascii="Arial Narrow" w:hAnsi="Arial Narrow"/>
                <w:sz w:val="20"/>
              </w:rPr>
              <w:t xml:space="preserve">MOH, MoHK , COSIT and KRSO have improved capacity to develop and carry out a nutrition micronutrients assessment </w:t>
            </w:r>
            <w:r w:rsidRPr="00EE46F8">
              <w:rPr>
                <w:rFonts w:ascii="Arial Narrow" w:hAnsi="Arial Narrow"/>
                <w:b/>
                <w:sz w:val="20"/>
              </w:rPr>
              <w:t>(WHO)</w:t>
            </w:r>
          </w:p>
        </w:tc>
        <w:tc>
          <w:tcPr>
            <w:tcW w:w="7200" w:type="dxa"/>
          </w:tcPr>
          <w:p w:rsidR="00CE58F8" w:rsidRPr="00EE46F8" w:rsidRDefault="00CE58F8" w:rsidP="00CE6BB7">
            <w:pPr>
              <w:pStyle w:val="ListParagraph"/>
              <w:numPr>
                <w:ilvl w:val="0"/>
                <w:numId w:val="14"/>
              </w:numPr>
              <w:autoSpaceDE w:val="0"/>
              <w:autoSpaceDN w:val="0"/>
              <w:contextualSpacing w:val="0"/>
              <w:jc w:val="lowKashida"/>
              <w:rPr>
                <w:rFonts w:ascii="Arial Narrow" w:hAnsi="Arial Narrow" w:cs="Times New Roman"/>
                <w:sz w:val="20"/>
                <w:szCs w:val="20"/>
                <w:lang w:val="en-GB"/>
              </w:rPr>
            </w:pPr>
            <w:r w:rsidRPr="00EE46F8">
              <w:rPr>
                <w:rFonts w:ascii="Arial Narrow" w:hAnsi="Arial Narrow" w:cs="Times New Roman"/>
                <w:sz w:val="20"/>
                <w:szCs w:val="20"/>
              </w:rPr>
              <w:t xml:space="preserve">WHO Iraq, in coordination with Ministry of health, conducted the Training of Trainers (ToT) workshop on Micronutrient assessment and response (MNAR) survey for the period 23 – 28 January 2011. The objectives of the training were to </w:t>
            </w:r>
            <w:r w:rsidRPr="00EE46F8">
              <w:rPr>
                <w:rFonts w:ascii="Arial Narrow" w:hAnsi="Arial Narrow" w:cs="Times New Roman"/>
                <w:sz w:val="20"/>
                <w:szCs w:val="20"/>
                <w:lang w:val="en-GB"/>
              </w:rPr>
              <w:t>train survey team on survey design and methodology, data collection and standardise laboratory staff. The workshop was facilitated by Survey Steering Committee and Survey technical team, CDC Consultants WHO and UNICEF -</w:t>
            </w:r>
            <w:smartTag w:uri="urn:schemas-microsoft-com:office:smarttags" w:element="place">
              <w:smartTag w:uri="urn:schemas-microsoft-com:office:smarttags" w:element="country-region">
                <w:r w:rsidRPr="00EE46F8">
                  <w:rPr>
                    <w:rFonts w:ascii="Arial Narrow" w:hAnsi="Arial Narrow" w:cs="Times New Roman"/>
                    <w:sz w:val="20"/>
                    <w:szCs w:val="20"/>
                    <w:lang w:val="en-GB"/>
                  </w:rPr>
                  <w:t>Iraq</w:t>
                </w:r>
              </w:smartTag>
            </w:smartTag>
            <w:r w:rsidRPr="00EE46F8">
              <w:rPr>
                <w:rFonts w:ascii="Arial Narrow" w:hAnsi="Arial Narrow" w:cs="Times New Roman"/>
                <w:sz w:val="20"/>
                <w:szCs w:val="20"/>
                <w:lang w:val="en-GB"/>
              </w:rPr>
              <w:t xml:space="preserve">.  The training included one day pilot survey to test the three questionnaire forms (household, women and child forms), also it included sample collection of blood and urine from non pregnant women (15-49 years) and children aged 6-59 years.  </w:t>
            </w:r>
          </w:p>
          <w:p w:rsidR="00CE58F8" w:rsidRPr="00EE46F8" w:rsidRDefault="00CE58F8" w:rsidP="00CE6BB7">
            <w:pPr>
              <w:pStyle w:val="ListParagraph"/>
              <w:numPr>
                <w:ilvl w:val="0"/>
                <w:numId w:val="14"/>
              </w:numPr>
              <w:autoSpaceDE w:val="0"/>
              <w:autoSpaceDN w:val="0"/>
              <w:contextualSpacing w:val="0"/>
              <w:jc w:val="lowKashida"/>
              <w:rPr>
                <w:rFonts w:ascii="Arial Narrow" w:hAnsi="Arial Narrow" w:cs="Times New Roman"/>
                <w:sz w:val="20"/>
                <w:szCs w:val="20"/>
                <w:lang w:val="en-GB"/>
              </w:rPr>
            </w:pPr>
            <w:r w:rsidRPr="00EE46F8">
              <w:rPr>
                <w:rFonts w:ascii="Arial Narrow" w:hAnsi="Arial Narrow" w:cs="Times New Roman"/>
                <w:sz w:val="20"/>
                <w:szCs w:val="20"/>
                <w:lang w:val="en-GB"/>
              </w:rPr>
              <w:t xml:space="preserve">WHO Iraq supported 13 days training course on data entry and CSpro programme for 15 participants from MoH, MoP in </w:t>
            </w:r>
            <w:smartTag w:uri="urn:schemas-microsoft-com:office:smarttags" w:element="City">
              <w:r w:rsidRPr="00EE46F8">
                <w:rPr>
                  <w:rFonts w:ascii="Arial Narrow" w:hAnsi="Arial Narrow" w:cs="Times New Roman"/>
                  <w:sz w:val="20"/>
                  <w:szCs w:val="20"/>
                  <w:lang w:val="en-GB"/>
                </w:rPr>
                <w:t>Baghdad</w:t>
              </w:r>
            </w:smartTag>
            <w:r w:rsidRPr="00EE46F8">
              <w:rPr>
                <w:rFonts w:ascii="Arial Narrow" w:hAnsi="Arial Narrow" w:cs="Times New Roman"/>
                <w:sz w:val="20"/>
                <w:szCs w:val="20"/>
                <w:lang w:val="en-GB"/>
              </w:rPr>
              <w:t xml:space="preserve"> and </w:t>
            </w:r>
            <w:smartTag w:uri="urn:schemas-microsoft-com:office:smarttags" w:element="place">
              <w:r w:rsidRPr="00EE46F8">
                <w:rPr>
                  <w:rFonts w:ascii="Arial Narrow" w:hAnsi="Arial Narrow" w:cs="Times New Roman"/>
                  <w:sz w:val="20"/>
                  <w:szCs w:val="20"/>
                  <w:lang w:val="en-GB"/>
                </w:rPr>
                <w:t>Kurdistan</w:t>
              </w:r>
            </w:smartTag>
            <w:r w:rsidRPr="00EE46F8">
              <w:rPr>
                <w:rFonts w:ascii="Arial Narrow" w:hAnsi="Arial Narrow" w:cs="Times New Roman"/>
                <w:sz w:val="20"/>
                <w:szCs w:val="20"/>
                <w:lang w:val="en-GB"/>
              </w:rPr>
              <w:t xml:space="preserve"> region from 29-31 January 2011.</w:t>
            </w:r>
          </w:p>
          <w:p w:rsidR="00CE58F8" w:rsidRPr="00EE46F8" w:rsidRDefault="00CE58F8" w:rsidP="001C6CF1">
            <w:pPr>
              <w:pStyle w:val="ListParagraph"/>
              <w:numPr>
                <w:ilvl w:val="0"/>
                <w:numId w:val="14"/>
              </w:numPr>
              <w:autoSpaceDE w:val="0"/>
              <w:autoSpaceDN w:val="0"/>
              <w:contextualSpacing w:val="0"/>
              <w:jc w:val="lowKashida"/>
              <w:rPr>
                <w:rFonts w:ascii="Arial Narrow" w:hAnsi="Arial Narrow" w:cs="Times New Roman"/>
                <w:sz w:val="20"/>
                <w:szCs w:val="20"/>
                <w:lang w:val="en-GB"/>
              </w:rPr>
            </w:pPr>
            <w:r w:rsidRPr="00EE46F8">
              <w:rPr>
                <w:rFonts w:ascii="Arial Narrow" w:hAnsi="Arial Narrow" w:cs="Times New Roman"/>
                <w:sz w:val="20"/>
                <w:szCs w:val="20"/>
                <w:lang w:val="en-GB"/>
              </w:rPr>
              <w:t>Steering committee technical meeting for 2 days (1-2 February 2011) to finalize the MNAR questionnaire, list of supplies and equipment required for the survey and wok plan sheet for capacity building and training activities for the implementation of the MNAR survey end of April 2011.</w:t>
            </w:r>
          </w:p>
        </w:tc>
        <w:tc>
          <w:tcPr>
            <w:tcW w:w="1080" w:type="dxa"/>
          </w:tcPr>
          <w:p w:rsidR="00CE58F8" w:rsidRPr="00EE46F8" w:rsidRDefault="00CE58F8" w:rsidP="008B7E9A">
            <w:pPr>
              <w:rPr>
                <w:rFonts w:ascii="Arial Narrow" w:hAnsi="Arial Narrow"/>
                <w:sz w:val="20"/>
              </w:rPr>
            </w:pPr>
            <w:r w:rsidRPr="00EE46F8">
              <w:rPr>
                <w:rFonts w:ascii="Arial Narrow" w:hAnsi="Arial Narrow"/>
                <w:sz w:val="20"/>
              </w:rPr>
              <w:t>40 %</w:t>
            </w:r>
          </w:p>
        </w:tc>
      </w:tr>
      <w:tr w:rsidR="00CE58F8" w:rsidRPr="00EE46F8" w:rsidTr="00EE46F8">
        <w:trPr>
          <w:trHeight w:val="1254"/>
        </w:trPr>
        <w:tc>
          <w:tcPr>
            <w:tcW w:w="2700" w:type="dxa"/>
          </w:tcPr>
          <w:p w:rsidR="00CE58F8" w:rsidRPr="00EE46F8" w:rsidRDefault="00CE58F8" w:rsidP="008B7E9A">
            <w:pPr>
              <w:spacing w:before="120" w:after="120"/>
              <w:rPr>
                <w:rFonts w:ascii="Arial Narrow" w:hAnsi="Arial Narrow"/>
                <w:sz w:val="20"/>
              </w:rPr>
            </w:pPr>
            <w:r w:rsidRPr="00EE46F8">
              <w:rPr>
                <w:rFonts w:ascii="Arial Narrow" w:hAnsi="Arial Narrow"/>
                <w:sz w:val="20"/>
              </w:rPr>
              <w:t>MoH and MoHK has a strengthened Nutrition Management Information system integrated in the Health Information system</w:t>
            </w:r>
            <w:r w:rsidRPr="00EE46F8">
              <w:rPr>
                <w:rFonts w:ascii="Arial Narrow" w:hAnsi="Arial Narrow"/>
                <w:b/>
                <w:bCs/>
                <w:sz w:val="20"/>
              </w:rPr>
              <w:t>(WHO)</w:t>
            </w:r>
          </w:p>
        </w:tc>
        <w:tc>
          <w:tcPr>
            <w:tcW w:w="7200" w:type="dxa"/>
          </w:tcPr>
          <w:p w:rsidR="00CE58F8" w:rsidRPr="00EE46F8" w:rsidRDefault="00CE58F8" w:rsidP="00EF7447">
            <w:pPr>
              <w:pStyle w:val="ListParagraph"/>
              <w:numPr>
                <w:ilvl w:val="0"/>
                <w:numId w:val="14"/>
              </w:numPr>
              <w:autoSpaceDE w:val="0"/>
              <w:autoSpaceDN w:val="0"/>
              <w:contextualSpacing w:val="0"/>
              <w:jc w:val="lowKashida"/>
              <w:rPr>
                <w:rFonts w:ascii="Arial Narrow" w:hAnsi="Arial Narrow" w:cs="Times New Roman"/>
                <w:sz w:val="20"/>
                <w:szCs w:val="20"/>
                <w:lang w:val="en-GB"/>
              </w:rPr>
            </w:pPr>
            <w:r w:rsidRPr="00EE46F8">
              <w:rPr>
                <w:rFonts w:ascii="Arial Narrow" w:hAnsi="Arial Narrow" w:cs="Times New Roman"/>
                <w:sz w:val="20"/>
                <w:szCs w:val="20"/>
                <w:lang w:val="en-GB"/>
              </w:rPr>
              <w:t xml:space="preserve">Training of 2 laboratory technicians on ICP equipment for 2 weeks in </w:t>
            </w:r>
            <w:smartTag w:uri="urn:schemas-microsoft-com:office:smarttags" w:element="City">
              <w:smartTag w:uri="urn:schemas-microsoft-com:office:smarttags" w:element="place">
                <w:r w:rsidRPr="00EE46F8">
                  <w:rPr>
                    <w:rFonts w:ascii="Arial Narrow" w:hAnsi="Arial Narrow" w:cs="Times New Roman"/>
                    <w:sz w:val="20"/>
                    <w:szCs w:val="20"/>
                    <w:lang w:val="en-GB"/>
                  </w:rPr>
                  <w:t>Amman</w:t>
                </w:r>
              </w:smartTag>
            </w:smartTag>
            <w:r w:rsidRPr="00EE46F8">
              <w:rPr>
                <w:rFonts w:ascii="Arial Narrow" w:hAnsi="Arial Narrow" w:cs="Times New Roman"/>
                <w:sz w:val="20"/>
                <w:szCs w:val="20"/>
                <w:lang w:val="en-GB"/>
              </w:rPr>
              <w:t xml:space="preserve"> by Ministry of water and irrigation as part of capacity building of Iraqi NRI staff.</w:t>
            </w:r>
          </w:p>
          <w:p w:rsidR="00CE58F8" w:rsidRPr="00EE46F8" w:rsidRDefault="00CE58F8" w:rsidP="001C6CF1">
            <w:pPr>
              <w:pStyle w:val="ListParagraph"/>
              <w:numPr>
                <w:ilvl w:val="0"/>
                <w:numId w:val="14"/>
              </w:numPr>
              <w:autoSpaceDE w:val="0"/>
              <w:autoSpaceDN w:val="0"/>
              <w:contextualSpacing w:val="0"/>
              <w:jc w:val="lowKashida"/>
              <w:rPr>
                <w:rFonts w:ascii="Arial Narrow" w:hAnsi="Arial Narrow" w:cs="Times New Roman"/>
                <w:sz w:val="20"/>
                <w:szCs w:val="20"/>
                <w:lang w:val="en-GB"/>
              </w:rPr>
            </w:pPr>
            <w:r w:rsidRPr="00EE46F8">
              <w:rPr>
                <w:rFonts w:ascii="Arial Narrow" w:hAnsi="Arial Narrow" w:cs="Times New Roman"/>
                <w:sz w:val="20"/>
                <w:szCs w:val="20"/>
                <w:lang w:val="en-GB"/>
              </w:rPr>
              <w:t>Supported research work at NRI on nutritional status of women and children under 5</w:t>
            </w:r>
          </w:p>
        </w:tc>
        <w:tc>
          <w:tcPr>
            <w:tcW w:w="1080" w:type="dxa"/>
          </w:tcPr>
          <w:p w:rsidR="00CE58F8" w:rsidRPr="00EE46F8" w:rsidRDefault="00CE58F8" w:rsidP="008B7E9A">
            <w:pPr>
              <w:rPr>
                <w:rFonts w:ascii="Arial Narrow" w:hAnsi="Arial Narrow"/>
                <w:sz w:val="20"/>
              </w:rPr>
            </w:pPr>
            <w:r w:rsidRPr="00EE46F8">
              <w:rPr>
                <w:rFonts w:ascii="Arial Narrow" w:hAnsi="Arial Narrow"/>
                <w:sz w:val="20"/>
              </w:rPr>
              <w:t>15%</w:t>
            </w:r>
          </w:p>
        </w:tc>
      </w:tr>
      <w:tr w:rsidR="00CE58F8" w:rsidRPr="00EE46F8" w:rsidTr="00EE46F8">
        <w:trPr>
          <w:trHeight w:val="8670"/>
        </w:trPr>
        <w:tc>
          <w:tcPr>
            <w:tcW w:w="2700" w:type="dxa"/>
          </w:tcPr>
          <w:p w:rsidR="00CE58F8" w:rsidRPr="00EE46F8" w:rsidRDefault="00CE58F8" w:rsidP="008B7E9A">
            <w:pPr>
              <w:spacing w:before="120" w:after="120"/>
              <w:rPr>
                <w:rFonts w:ascii="Arial Narrow" w:hAnsi="Arial Narrow"/>
                <w:sz w:val="20"/>
              </w:rPr>
            </w:pPr>
            <w:r w:rsidRPr="00EE46F8">
              <w:rPr>
                <w:rFonts w:ascii="Arial Narrow" w:hAnsi="Arial Narrow"/>
                <w:sz w:val="20"/>
              </w:rPr>
              <w:t xml:space="preserve">GOI are better able to provide  nutritional response especially in vulnerable areas </w:t>
            </w:r>
            <w:r w:rsidRPr="00EE46F8">
              <w:rPr>
                <w:rFonts w:ascii="Arial Narrow" w:hAnsi="Arial Narrow"/>
                <w:b/>
                <w:bCs/>
                <w:sz w:val="20"/>
              </w:rPr>
              <w:t>(UNICEF)</w:t>
            </w:r>
          </w:p>
        </w:tc>
        <w:tc>
          <w:tcPr>
            <w:tcW w:w="7200" w:type="dxa"/>
          </w:tcPr>
          <w:p w:rsidR="00CE58F8" w:rsidRPr="00EE46F8" w:rsidRDefault="00CE58F8" w:rsidP="005E7B14">
            <w:pPr>
              <w:widowControl/>
              <w:numPr>
                <w:ilvl w:val="0"/>
                <w:numId w:val="15"/>
              </w:numPr>
              <w:spacing w:after="120"/>
              <w:contextualSpacing/>
              <w:jc w:val="both"/>
              <w:rPr>
                <w:rFonts w:ascii="Arial Narrow" w:hAnsi="Arial Narrow"/>
                <w:b/>
                <w:bCs/>
                <w:sz w:val="20"/>
                <w:lang w:val="en-US"/>
              </w:rPr>
            </w:pPr>
            <w:r w:rsidRPr="00EE46F8">
              <w:rPr>
                <w:rFonts w:ascii="Arial Narrow" w:hAnsi="Arial Narrow"/>
                <w:b/>
                <w:bCs/>
                <w:sz w:val="20"/>
                <w:lang w:val="en-US"/>
              </w:rPr>
              <w:t>UNICEF support the following General Nutrition Activities:</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Procurement of iodine salt testing kits to MOH Baghdad to improve quality control of salt available on the market as well as household.</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Support for Nutrition survey and study on Anemia and Iron Deficiency in 3 Governorates.</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Support for Vit A prevalence study for U5children, pregnant and lactating women.</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 xml:space="preserve">Emergency provision of 50 million ferrous folic acid tablets for MOH/ </w:t>
            </w:r>
            <w:smartTag w:uri="urn:schemas-microsoft-com:office:smarttags" w:element="place">
              <w:smartTag w:uri="urn:schemas-microsoft-com:office:smarttags" w:element="City">
                <w:r w:rsidRPr="00EE46F8">
                  <w:rPr>
                    <w:rFonts w:ascii="Arial Narrow" w:hAnsi="Arial Narrow"/>
                    <w:sz w:val="20"/>
                    <w:lang w:val="en-US"/>
                  </w:rPr>
                  <w:t>Baghdad</w:t>
                </w:r>
              </w:smartTag>
            </w:smartTag>
            <w:r w:rsidRPr="00EE46F8">
              <w:rPr>
                <w:rFonts w:ascii="Arial Narrow" w:hAnsi="Arial Narrow"/>
                <w:sz w:val="20"/>
                <w:lang w:val="en-US"/>
              </w:rPr>
              <w:t xml:space="preserve"> for the prevention and treatment of anemia in pregnant and lactating women.</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Procurement of Retinol 100,000IU &amp; 200,000IU soft gel caps for MOH/NRI for distribution with routine immunization for children under 5 and lactating women.</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Procurement of 20 Spectrophotometers devices for the labs of MOT for better monitoring of wheat flour fortification</w:t>
            </w:r>
          </w:p>
          <w:p w:rsidR="00CE58F8" w:rsidRPr="00EE46F8" w:rsidRDefault="00CE58F8" w:rsidP="005E7B14">
            <w:pPr>
              <w:widowControl/>
              <w:numPr>
                <w:ilvl w:val="0"/>
                <w:numId w:val="15"/>
              </w:numPr>
              <w:spacing w:after="120"/>
              <w:contextualSpacing/>
              <w:jc w:val="both"/>
              <w:rPr>
                <w:rFonts w:ascii="Arial Narrow" w:hAnsi="Arial Narrow"/>
                <w:b/>
                <w:bCs/>
                <w:sz w:val="20"/>
                <w:lang w:val="en-US"/>
              </w:rPr>
            </w:pPr>
            <w:r w:rsidRPr="00EE46F8">
              <w:rPr>
                <w:rFonts w:ascii="Arial Narrow" w:hAnsi="Arial Narrow"/>
                <w:b/>
                <w:bCs/>
                <w:sz w:val="20"/>
                <w:lang w:val="en-US"/>
              </w:rPr>
              <w:t>UNICEF supported capacity building across all levels on nutrition &amp; monitoring:</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 xml:space="preserve">115 flour mills technicians and lab personal were trained on quality control and quality assurance of wheat flour fortification programme and maintenance of fortification feeders. </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 xml:space="preserve">Support the training of two lab technicians on the analysis of Vit. D in the collage of technology in Irbid, Jordan  </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Support the training of two lab technicians on the analysis of Folate in CDC lab in Atlanta.</w:t>
            </w:r>
          </w:p>
          <w:p w:rsidR="00CE58F8" w:rsidRPr="00EE46F8" w:rsidRDefault="00CE58F8" w:rsidP="00354164">
            <w:pPr>
              <w:widowControl/>
              <w:numPr>
                <w:ilvl w:val="0"/>
                <w:numId w:val="4"/>
              </w:numPr>
              <w:spacing w:after="120"/>
              <w:jc w:val="both"/>
              <w:rPr>
                <w:rFonts w:ascii="Arial Narrow" w:hAnsi="Arial Narrow"/>
                <w:b/>
                <w:sz w:val="20"/>
                <w:lang w:val="en-US"/>
              </w:rPr>
            </w:pPr>
            <w:r w:rsidRPr="00EE46F8">
              <w:rPr>
                <w:rFonts w:ascii="Arial Narrow" w:hAnsi="Arial Narrow"/>
                <w:sz w:val="20"/>
                <w:lang w:val="en-US"/>
              </w:rPr>
              <w:t>Support the training of field teams on the collection, storage of blood samples, anthropometric measurement and filling of questionnaire (3 staff from 17 governorates plus 12 from Baghdad were trained for 3 days).</w:t>
            </w:r>
          </w:p>
          <w:p w:rsidR="00CE58F8" w:rsidRPr="00EE46F8" w:rsidRDefault="00CE58F8" w:rsidP="005E7B14">
            <w:pPr>
              <w:widowControl/>
              <w:numPr>
                <w:ilvl w:val="0"/>
                <w:numId w:val="15"/>
              </w:numPr>
              <w:spacing w:after="120"/>
              <w:contextualSpacing/>
              <w:jc w:val="both"/>
              <w:rPr>
                <w:rFonts w:ascii="Arial Narrow" w:hAnsi="Arial Narrow"/>
                <w:b/>
                <w:bCs/>
                <w:sz w:val="20"/>
                <w:lang w:val="en-US"/>
              </w:rPr>
            </w:pPr>
            <w:r w:rsidRPr="00EE46F8">
              <w:rPr>
                <w:rFonts w:ascii="Arial Narrow" w:hAnsi="Arial Narrow"/>
                <w:b/>
                <w:bCs/>
                <w:sz w:val="20"/>
                <w:lang w:val="en-US"/>
              </w:rPr>
              <w:t>UNICEF supported the Social mobilization and advocacy activities including communication media campaign, development of media health education and promotion materials etc:</w:t>
            </w:r>
          </w:p>
          <w:p w:rsidR="00CE58F8" w:rsidRPr="00EE46F8" w:rsidRDefault="00CE58F8" w:rsidP="005E7B14">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Several meetings were conducted to prepare the social mobilization plan for the survey and promotion for Salt Iodization.</w:t>
            </w:r>
          </w:p>
          <w:p w:rsidR="00CE58F8" w:rsidRPr="00EE46F8" w:rsidRDefault="00CE58F8" w:rsidP="00EE46F8">
            <w:pPr>
              <w:widowControl/>
              <w:numPr>
                <w:ilvl w:val="0"/>
                <w:numId w:val="4"/>
              </w:numPr>
              <w:spacing w:after="120"/>
              <w:jc w:val="both"/>
              <w:rPr>
                <w:rFonts w:ascii="Arial Narrow" w:hAnsi="Arial Narrow"/>
                <w:sz w:val="20"/>
                <w:lang w:val="en-US"/>
              </w:rPr>
            </w:pPr>
            <w:r w:rsidRPr="00EE46F8">
              <w:rPr>
                <w:rFonts w:ascii="Arial Narrow" w:hAnsi="Arial Narrow"/>
                <w:sz w:val="20"/>
                <w:lang w:val="en-US"/>
              </w:rPr>
              <w:t>Social Mobilization plan development with coordination of UNICEF, WHO and MOH, fund will be transferred very soon to implement it at the beginning of May.</w:t>
            </w:r>
          </w:p>
        </w:tc>
        <w:tc>
          <w:tcPr>
            <w:tcW w:w="1080" w:type="dxa"/>
          </w:tcPr>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r w:rsidRPr="00EE46F8">
              <w:rPr>
                <w:rFonts w:ascii="Arial Narrow" w:hAnsi="Arial Narrow"/>
                <w:sz w:val="20"/>
              </w:rPr>
              <w:t xml:space="preserve"> 75%</w:t>
            </w: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r w:rsidRPr="00EE46F8">
              <w:rPr>
                <w:rFonts w:ascii="Arial Narrow" w:hAnsi="Arial Narrow"/>
                <w:sz w:val="20"/>
              </w:rPr>
              <w:t>75%</w:t>
            </w: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p>
          <w:p w:rsidR="00CE58F8" w:rsidRPr="00EE46F8" w:rsidRDefault="00CE58F8" w:rsidP="008B7E9A">
            <w:pPr>
              <w:rPr>
                <w:rFonts w:ascii="Arial Narrow" w:hAnsi="Arial Narrow"/>
                <w:sz w:val="20"/>
              </w:rPr>
            </w:pPr>
            <w:r w:rsidRPr="00EE46F8">
              <w:rPr>
                <w:rFonts w:ascii="Arial Narrow" w:hAnsi="Arial Narrow"/>
                <w:sz w:val="20"/>
              </w:rPr>
              <w:t>20%</w:t>
            </w:r>
          </w:p>
        </w:tc>
      </w:tr>
    </w:tbl>
    <w:p w:rsidR="00CE58F8" w:rsidRPr="001C6CF1" w:rsidRDefault="00CE58F8" w:rsidP="00C77ACF">
      <w:pPr>
        <w:rPr>
          <w:rFonts w:ascii="Arial Narrow" w:hAnsi="Arial Narrow"/>
          <w:szCs w:val="22"/>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0"/>
      </w:tblGrid>
      <w:tr w:rsidR="00CE58F8" w:rsidRPr="00EE46F8" w:rsidTr="00EE46F8">
        <w:tc>
          <w:tcPr>
            <w:tcW w:w="11070" w:type="dxa"/>
            <w:shd w:val="clear" w:color="auto" w:fill="D9D9D9"/>
          </w:tcPr>
          <w:p w:rsidR="00CE58F8" w:rsidRPr="00EE46F8" w:rsidRDefault="00CE58F8" w:rsidP="00BC7C38">
            <w:pPr>
              <w:outlineLvl w:val="0"/>
              <w:rPr>
                <w:rFonts w:ascii="Arial Narrow" w:hAnsi="Arial Narrow"/>
                <w:b/>
                <w:sz w:val="20"/>
              </w:rPr>
            </w:pPr>
            <w:r w:rsidRPr="00EE46F8">
              <w:rPr>
                <w:rFonts w:ascii="Arial Narrow" w:hAnsi="Arial Narrow"/>
                <w:b/>
                <w:sz w:val="20"/>
              </w:rPr>
              <w:t xml:space="preserve">Qualitative achievements against objectives and results </w:t>
            </w:r>
          </w:p>
        </w:tc>
      </w:tr>
      <w:tr w:rsidR="00CE58F8" w:rsidRPr="00EE46F8" w:rsidTr="00EE46F8">
        <w:tc>
          <w:tcPr>
            <w:tcW w:w="11070" w:type="dxa"/>
          </w:tcPr>
          <w:p w:rsidR="00CE58F8" w:rsidRPr="00EE46F8" w:rsidRDefault="00CE58F8" w:rsidP="00C8255E">
            <w:pPr>
              <w:outlineLvl w:val="0"/>
              <w:rPr>
                <w:rFonts w:ascii="Arial Narrow" w:hAnsi="Arial Narrow"/>
                <w:bCs/>
                <w:sz w:val="20"/>
              </w:rPr>
            </w:pPr>
            <w:r w:rsidRPr="00EE46F8">
              <w:rPr>
                <w:rFonts w:ascii="Arial Narrow" w:hAnsi="Arial Narrow"/>
                <w:bCs/>
                <w:sz w:val="20"/>
              </w:rPr>
              <w:t>The following qualitative achievements have been materialized:</w:t>
            </w:r>
          </w:p>
          <w:p w:rsidR="00CE58F8" w:rsidRPr="00EE46F8" w:rsidRDefault="00CE58F8" w:rsidP="00245C73">
            <w:pPr>
              <w:pStyle w:val="ListParagraph"/>
              <w:widowControl w:val="0"/>
              <w:numPr>
                <w:ilvl w:val="0"/>
                <w:numId w:val="10"/>
              </w:numPr>
              <w:spacing w:after="0" w:line="240" w:lineRule="auto"/>
              <w:ind w:left="162" w:hanging="162"/>
              <w:outlineLvl w:val="0"/>
              <w:rPr>
                <w:rFonts w:ascii="Arial Narrow" w:hAnsi="Arial Narrow" w:cs="Times New Roman"/>
                <w:bCs/>
                <w:snapToGrid w:val="0"/>
                <w:sz w:val="20"/>
                <w:szCs w:val="20"/>
              </w:rPr>
            </w:pPr>
            <w:r w:rsidRPr="00EE46F8">
              <w:rPr>
                <w:rFonts w:ascii="Arial Narrow" w:hAnsi="Arial Narrow" w:cs="Times New Roman"/>
                <w:bCs/>
                <w:snapToGrid w:val="0"/>
                <w:sz w:val="20"/>
                <w:szCs w:val="20"/>
              </w:rPr>
              <w:t>Development of a detailed work plan for the coming activities for 2011 and implementation of the  training of trainers(ToT) workshop in Erbil for 66 participants from MoH and MoP/COSIT. It was facilitated by CDC consultants, WHO and UNICEF technical officers and MoH and MoP experts.</w:t>
            </w:r>
          </w:p>
          <w:p w:rsidR="00CE58F8" w:rsidRPr="00EE46F8" w:rsidRDefault="00CE58F8" w:rsidP="00245C73">
            <w:pPr>
              <w:pStyle w:val="ListParagraph"/>
              <w:widowControl w:val="0"/>
              <w:numPr>
                <w:ilvl w:val="0"/>
                <w:numId w:val="10"/>
              </w:numPr>
              <w:spacing w:after="0" w:line="240" w:lineRule="auto"/>
              <w:ind w:left="162" w:hanging="162"/>
              <w:outlineLvl w:val="0"/>
              <w:rPr>
                <w:rFonts w:ascii="Arial Narrow" w:hAnsi="Arial Narrow" w:cs="Times New Roman"/>
                <w:bCs/>
                <w:snapToGrid w:val="0"/>
                <w:sz w:val="20"/>
                <w:szCs w:val="20"/>
              </w:rPr>
            </w:pPr>
            <w:r w:rsidRPr="00EE46F8">
              <w:rPr>
                <w:rFonts w:ascii="Arial Narrow" w:hAnsi="Arial Narrow" w:cs="Times New Roman"/>
                <w:bCs/>
                <w:snapToGrid w:val="0"/>
                <w:sz w:val="20"/>
                <w:szCs w:val="20"/>
              </w:rPr>
              <w:t>Training courses for central supervisors and laboratory technicians was conducted successfully with UNICEF support.</w:t>
            </w:r>
          </w:p>
          <w:p w:rsidR="00CE58F8" w:rsidRPr="00EE46F8" w:rsidRDefault="00CE58F8" w:rsidP="003E3B21">
            <w:pPr>
              <w:pStyle w:val="ListParagraph"/>
              <w:widowControl w:val="0"/>
              <w:numPr>
                <w:ilvl w:val="0"/>
                <w:numId w:val="10"/>
              </w:numPr>
              <w:spacing w:after="0" w:line="240" w:lineRule="auto"/>
              <w:ind w:left="162" w:hanging="162"/>
              <w:outlineLvl w:val="0"/>
              <w:rPr>
                <w:rFonts w:ascii="Arial Narrow" w:hAnsi="Arial Narrow" w:cs="Times New Roman"/>
                <w:bCs/>
                <w:snapToGrid w:val="0"/>
                <w:sz w:val="20"/>
                <w:szCs w:val="20"/>
              </w:rPr>
            </w:pPr>
            <w:r w:rsidRPr="00EE46F8">
              <w:rPr>
                <w:rFonts w:ascii="Arial Narrow" w:hAnsi="Arial Narrow" w:cs="Times New Roman"/>
                <w:sz w:val="20"/>
                <w:szCs w:val="20"/>
              </w:rPr>
              <w:t xml:space="preserve">Sampling parameters have been defined. Capacity building for two NRI lab technicians on vit A analysis methodology has been completed. </w:t>
            </w:r>
          </w:p>
          <w:p w:rsidR="00CE58F8" w:rsidRPr="00EE46F8" w:rsidRDefault="00CE58F8" w:rsidP="003E3B21">
            <w:pPr>
              <w:pStyle w:val="ListParagraph"/>
              <w:widowControl w:val="0"/>
              <w:numPr>
                <w:ilvl w:val="0"/>
                <w:numId w:val="10"/>
              </w:numPr>
              <w:spacing w:after="0" w:line="240" w:lineRule="auto"/>
              <w:ind w:left="162" w:hanging="162"/>
              <w:outlineLvl w:val="0"/>
              <w:rPr>
                <w:rFonts w:ascii="Arial Narrow" w:hAnsi="Arial Narrow" w:cs="Times New Roman"/>
                <w:bCs/>
                <w:snapToGrid w:val="0"/>
                <w:sz w:val="20"/>
                <w:szCs w:val="20"/>
              </w:rPr>
            </w:pPr>
            <w:r w:rsidRPr="00EE46F8">
              <w:rPr>
                <w:rFonts w:ascii="Arial Narrow" w:hAnsi="Arial Narrow" w:cs="Times New Roman"/>
                <w:sz w:val="20"/>
                <w:szCs w:val="20"/>
              </w:rPr>
              <w:t>Procurement of supplies and equipment needed for specimens collection and analysis has been finalized with a total cost of US$ USD 152,781.</w:t>
            </w:r>
          </w:p>
        </w:tc>
      </w:tr>
    </w:tbl>
    <w:p w:rsidR="00CE58F8" w:rsidRPr="001C6CF1" w:rsidRDefault="00CE58F8">
      <w:pPr>
        <w:rPr>
          <w:rFonts w:ascii="Arial Narrow" w:hAnsi="Arial Narrow"/>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0"/>
      </w:tblGrid>
      <w:tr w:rsidR="00CE58F8" w:rsidRPr="00EE46F8" w:rsidTr="00EE46F8">
        <w:tc>
          <w:tcPr>
            <w:tcW w:w="11070" w:type="dxa"/>
            <w:shd w:val="clear" w:color="auto" w:fill="D9D9D9"/>
          </w:tcPr>
          <w:p w:rsidR="00CE58F8" w:rsidRPr="00EE46F8" w:rsidRDefault="00CE58F8" w:rsidP="00844EA2">
            <w:pPr>
              <w:outlineLvl w:val="0"/>
              <w:rPr>
                <w:rFonts w:ascii="Arial Narrow" w:hAnsi="Arial Narrow"/>
                <w:b/>
                <w:sz w:val="20"/>
                <w:lang w:val="fr-FR"/>
              </w:rPr>
            </w:pPr>
            <w:r w:rsidRPr="00EE46F8">
              <w:rPr>
                <w:rFonts w:ascii="Arial Narrow" w:hAnsi="Arial Narrow"/>
                <w:b/>
                <w:sz w:val="20"/>
                <w:lang w:val="fr-FR"/>
              </w:rPr>
              <w:t xml:space="preserve">Main implementation contraints &amp; challenges (2-3 sentences) </w:t>
            </w:r>
          </w:p>
        </w:tc>
      </w:tr>
      <w:tr w:rsidR="00CE58F8" w:rsidRPr="00EE46F8" w:rsidTr="00EE46F8">
        <w:trPr>
          <w:trHeight w:val="1351"/>
        </w:trPr>
        <w:tc>
          <w:tcPr>
            <w:tcW w:w="11070" w:type="dxa"/>
          </w:tcPr>
          <w:p w:rsidR="00CE58F8" w:rsidRPr="00EE46F8" w:rsidRDefault="00CE58F8" w:rsidP="00EE46F8">
            <w:pPr>
              <w:pStyle w:val="ListParagraph"/>
              <w:widowControl w:val="0"/>
              <w:numPr>
                <w:ilvl w:val="0"/>
                <w:numId w:val="10"/>
              </w:numPr>
              <w:spacing w:after="0" w:line="240" w:lineRule="auto"/>
              <w:ind w:left="162" w:hanging="162"/>
              <w:outlineLvl w:val="0"/>
              <w:rPr>
                <w:rFonts w:ascii="Arial Narrow" w:hAnsi="Arial Narrow" w:cs="Times New Roman"/>
                <w:bCs/>
                <w:snapToGrid w:val="0"/>
                <w:sz w:val="20"/>
                <w:szCs w:val="20"/>
              </w:rPr>
            </w:pPr>
            <w:r w:rsidRPr="00EE46F8">
              <w:rPr>
                <w:rFonts w:ascii="Arial Narrow" w:hAnsi="Arial Narrow" w:cs="Times New Roman"/>
                <w:bCs/>
                <w:snapToGrid w:val="0"/>
                <w:sz w:val="20"/>
                <w:szCs w:val="20"/>
              </w:rPr>
              <w:t>The project has started in March 2010 and during that period WHO in Eastern Mediterranean Region launched a new Global Management System (GSM) that is replacing the old system CAMS (Country Assistance Management System) and  this has contributed to some  delays in the implementation</w:t>
            </w:r>
          </w:p>
          <w:p w:rsidR="00CE58F8" w:rsidRPr="00EE46F8" w:rsidRDefault="00CE58F8" w:rsidP="00EE46F8">
            <w:pPr>
              <w:pStyle w:val="ListParagraph"/>
              <w:widowControl w:val="0"/>
              <w:numPr>
                <w:ilvl w:val="0"/>
                <w:numId w:val="10"/>
              </w:numPr>
              <w:spacing w:after="0" w:line="240" w:lineRule="auto"/>
              <w:ind w:left="162" w:hanging="162"/>
              <w:outlineLvl w:val="0"/>
              <w:rPr>
                <w:rFonts w:ascii="Arial Narrow" w:hAnsi="Arial Narrow" w:cs="Times New Roman"/>
                <w:sz w:val="20"/>
                <w:szCs w:val="20"/>
              </w:rPr>
            </w:pPr>
            <w:r w:rsidRPr="00EE46F8">
              <w:rPr>
                <w:rFonts w:ascii="Arial Narrow" w:hAnsi="Arial Narrow" w:cs="Times New Roman"/>
                <w:bCs/>
                <w:snapToGrid w:val="0"/>
                <w:sz w:val="20"/>
                <w:szCs w:val="20"/>
              </w:rPr>
              <w:t>Currently, the implementation of the project is running according to the time line set in the project document and so far no constrains or challenges to be reported.</w:t>
            </w:r>
          </w:p>
        </w:tc>
      </w:tr>
      <w:tr w:rsidR="00CE58F8" w:rsidRPr="00EE46F8" w:rsidTr="00EE46F8">
        <w:tc>
          <w:tcPr>
            <w:tcW w:w="11070" w:type="dxa"/>
            <w:shd w:val="clear" w:color="auto" w:fill="000099"/>
          </w:tcPr>
          <w:p w:rsidR="00CE58F8" w:rsidRPr="00EE46F8" w:rsidRDefault="00CE58F8" w:rsidP="00BC7C38">
            <w:pPr>
              <w:rPr>
                <w:rFonts w:ascii="Arial Narrow" w:hAnsi="Arial Narrow"/>
                <w:color w:val="000000"/>
                <w:sz w:val="20"/>
              </w:rPr>
            </w:pPr>
          </w:p>
        </w:tc>
      </w:tr>
    </w:tbl>
    <w:p w:rsidR="00CE58F8" w:rsidRPr="001C6CF1" w:rsidRDefault="00CE58F8">
      <w:pPr>
        <w:rPr>
          <w:rFonts w:ascii="Arial Narrow" w:hAnsi="Arial Narrow"/>
        </w:rPr>
      </w:pPr>
    </w:p>
    <w:sectPr w:rsidR="00CE58F8" w:rsidRPr="001C6CF1" w:rsidSect="001C6CF1">
      <w:footerReference w:type="even" r:id="rId7"/>
      <w:footerReference w:type="default" r:id="rId8"/>
      <w:pgSz w:w="12240" w:h="15840"/>
      <w:pgMar w:top="540" w:right="1800" w:bottom="450" w:left="1800" w:header="72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F8" w:rsidRDefault="00CE58F8">
      <w:r>
        <w:separator/>
      </w:r>
    </w:p>
  </w:endnote>
  <w:endnote w:type="continuationSeparator" w:id="0">
    <w:p w:rsidR="00CE58F8" w:rsidRDefault="00CE5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F8" w:rsidRDefault="00CE58F8" w:rsidP="00FF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8F8" w:rsidRDefault="00CE58F8" w:rsidP="008724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F8" w:rsidRDefault="00CE58F8" w:rsidP="00FF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8F8" w:rsidRDefault="00CE58F8" w:rsidP="008724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F8" w:rsidRDefault="00CE58F8">
      <w:r>
        <w:separator/>
      </w:r>
    </w:p>
  </w:footnote>
  <w:footnote w:type="continuationSeparator" w:id="0">
    <w:p w:rsidR="00CE58F8" w:rsidRDefault="00CE5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04B"/>
    <w:multiLevelType w:val="hybridMultilevel"/>
    <w:tmpl w:val="231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60495"/>
    <w:multiLevelType w:val="hybridMultilevel"/>
    <w:tmpl w:val="B0C28C06"/>
    <w:lvl w:ilvl="0" w:tplc="04090015">
      <w:start w:val="1"/>
      <w:numFmt w:val="upperLetter"/>
      <w:lvlText w:val="%1."/>
      <w:lvlJc w:val="left"/>
      <w:pPr>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9A61B51"/>
    <w:multiLevelType w:val="multilevel"/>
    <w:tmpl w:val="41C20034"/>
    <w:lvl w:ilvl="0">
      <w:start w:val="1"/>
      <w:numFmt w:val="decimal"/>
      <w:lvlText w:val="%1"/>
      <w:lvlJc w:val="left"/>
      <w:pPr>
        <w:tabs>
          <w:tab w:val="num" w:pos="555"/>
        </w:tabs>
        <w:ind w:left="555" w:hanging="555"/>
      </w:pPr>
      <w:rPr>
        <w:rFonts w:cs="Times New Roman" w:hint="default"/>
        <w:u w:val="none"/>
      </w:rPr>
    </w:lvl>
    <w:lvl w:ilvl="1">
      <w:start w:val="2"/>
      <w:numFmt w:val="decimal"/>
      <w:lvlText w:val="%1.%2"/>
      <w:lvlJc w:val="left"/>
      <w:pPr>
        <w:tabs>
          <w:tab w:val="num" w:pos="555"/>
        </w:tabs>
        <w:ind w:left="555" w:hanging="55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3">
    <w:nsid w:val="19A63C79"/>
    <w:multiLevelType w:val="hybridMultilevel"/>
    <w:tmpl w:val="6EB8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F25483"/>
    <w:multiLevelType w:val="hybridMultilevel"/>
    <w:tmpl w:val="0CA0BE36"/>
    <w:lvl w:ilvl="0" w:tplc="9DE02B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3728FF"/>
    <w:multiLevelType w:val="hybridMultilevel"/>
    <w:tmpl w:val="349214AC"/>
    <w:lvl w:ilvl="0" w:tplc="A81E1418">
      <w:start w:val="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F4778"/>
    <w:multiLevelType w:val="multilevel"/>
    <w:tmpl w:val="41C20034"/>
    <w:lvl w:ilvl="0">
      <w:start w:val="1"/>
      <w:numFmt w:val="decimal"/>
      <w:lvlText w:val="%1"/>
      <w:lvlJc w:val="left"/>
      <w:pPr>
        <w:tabs>
          <w:tab w:val="num" w:pos="555"/>
        </w:tabs>
        <w:ind w:left="555" w:hanging="555"/>
      </w:pPr>
      <w:rPr>
        <w:rFonts w:cs="Times New Roman" w:hint="default"/>
        <w:u w:val="none"/>
      </w:rPr>
    </w:lvl>
    <w:lvl w:ilvl="1">
      <w:start w:val="2"/>
      <w:numFmt w:val="decimal"/>
      <w:lvlText w:val="%1.%2"/>
      <w:lvlJc w:val="left"/>
      <w:pPr>
        <w:tabs>
          <w:tab w:val="num" w:pos="555"/>
        </w:tabs>
        <w:ind w:left="555" w:hanging="55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7">
    <w:nsid w:val="372A71F1"/>
    <w:multiLevelType w:val="hybridMultilevel"/>
    <w:tmpl w:val="1FC65A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D7A26"/>
    <w:multiLevelType w:val="hybridMultilevel"/>
    <w:tmpl w:val="DCC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A3FFC"/>
    <w:multiLevelType w:val="hybridMultilevel"/>
    <w:tmpl w:val="6F64B0FA"/>
    <w:lvl w:ilvl="0" w:tplc="3EB899CA">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D572B6"/>
    <w:multiLevelType w:val="hybridMultilevel"/>
    <w:tmpl w:val="DC60F5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CB63B8"/>
    <w:multiLevelType w:val="hybridMultilevel"/>
    <w:tmpl w:val="C9CE5C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F77CC1"/>
    <w:multiLevelType w:val="hybridMultilevel"/>
    <w:tmpl w:val="B51454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9E270E"/>
    <w:multiLevelType w:val="hybridMultilevel"/>
    <w:tmpl w:val="F688893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261DA"/>
    <w:multiLevelType w:val="hybridMultilevel"/>
    <w:tmpl w:val="4B625DAA"/>
    <w:lvl w:ilvl="0" w:tplc="F306B1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6"/>
  </w:num>
  <w:num w:numId="3">
    <w:abstractNumId w:val="7"/>
  </w:num>
  <w:num w:numId="4">
    <w:abstractNumId w:val="13"/>
  </w:num>
  <w:num w:numId="5">
    <w:abstractNumId w:val="4"/>
  </w:num>
  <w:num w:numId="6">
    <w:abstractNumId w:val="11"/>
  </w:num>
  <w:num w:numId="7">
    <w:abstractNumId w:val="3"/>
  </w:num>
  <w:num w:numId="8">
    <w:abstractNumId w:val="0"/>
  </w:num>
  <w:num w:numId="9">
    <w:abstractNumId w:val="10"/>
  </w:num>
  <w:num w:numId="10">
    <w:abstractNumId w:val="5"/>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2"/>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00031"/>
    <w:rsid w:val="00002FD2"/>
    <w:rsid w:val="00004B96"/>
    <w:rsid w:val="0001796F"/>
    <w:rsid w:val="000309BA"/>
    <w:rsid w:val="000327CD"/>
    <w:rsid w:val="000329EF"/>
    <w:rsid w:val="000360EA"/>
    <w:rsid w:val="000445C7"/>
    <w:rsid w:val="00050E0A"/>
    <w:rsid w:val="0006138A"/>
    <w:rsid w:val="00061E72"/>
    <w:rsid w:val="0006456D"/>
    <w:rsid w:val="00082497"/>
    <w:rsid w:val="000A1013"/>
    <w:rsid w:val="000A669B"/>
    <w:rsid w:val="000B7B5E"/>
    <w:rsid w:val="000C576E"/>
    <w:rsid w:val="000D2CE1"/>
    <w:rsid w:val="000E023E"/>
    <w:rsid w:val="000F1E9B"/>
    <w:rsid w:val="000F4D09"/>
    <w:rsid w:val="000F7A91"/>
    <w:rsid w:val="00107429"/>
    <w:rsid w:val="00117E4C"/>
    <w:rsid w:val="00124922"/>
    <w:rsid w:val="001422CE"/>
    <w:rsid w:val="00147470"/>
    <w:rsid w:val="00153F0B"/>
    <w:rsid w:val="00155DE5"/>
    <w:rsid w:val="00160F4E"/>
    <w:rsid w:val="001636DC"/>
    <w:rsid w:val="00167B2C"/>
    <w:rsid w:val="00180222"/>
    <w:rsid w:val="00186CCC"/>
    <w:rsid w:val="0019197B"/>
    <w:rsid w:val="00197096"/>
    <w:rsid w:val="001B1346"/>
    <w:rsid w:val="001B6C5F"/>
    <w:rsid w:val="001C6CF1"/>
    <w:rsid w:val="001D2B8A"/>
    <w:rsid w:val="001D45B3"/>
    <w:rsid w:val="001E1E50"/>
    <w:rsid w:val="002060AD"/>
    <w:rsid w:val="00213D37"/>
    <w:rsid w:val="00231A65"/>
    <w:rsid w:val="00241432"/>
    <w:rsid w:val="00245C73"/>
    <w:rsid w:val="00266D8C"/>
    <w:rsid w:val="002A6582"/>
    <w:rsid w:val="002A7963"/>
    <w:rsid w:val="002B237D"/>
    <w:rsid w:val="002C1864"/>
    <w:rsid w:val="002D4858"/>
    <w:rsid w:val="002D5BE9"/>
    <w:rsid w:val="002D797A"/>
    <w:rsid w:val="002F0290"/>
    <w:rsid w:val="002F57EC"/>
    <w:rsid w:val="00300ECF"/>
    <w:rsid w:val="00305D15"/>
    <w:rsid w:val="0032515D"/>
    <w:rsid w:val="00336F17"/>
    <w:rsid w:val="003370DA"/>
    <w:rsid w:val="00342D70"/>
    <w:rsid w:val="00354164"/>
    <w:rsid w:val="00354FC3"/>
    <w:rsid w:val="003559F7"/>
    <w:rsid w:val="003603BE"/>
    <w:rsid w:val="003616C9"/>
    <w:rsid w:val="003736D7"/>
    <w:rsid w:val="00380D9D"/>
    <w:rsid w:val="003844D0"/>
    <w:rsid w:val="00393485"/>
    <w:rsid w:val="003A7AB1"/>
    <w:rsid w:val="003B4BB0"/>
    <w:rsid w:val="003C4A61"/>
    <w:rsid w:val="003D1453"/>
    <w:rsid w:val="003E3B21"/>
    <w:rsid w:val="003F26D2"/>
    <w:rsid w:val="003F60FE"/>
    <w:rsid w:val="0042730E"/>
    <w:rsid w:val="004320C1"/>
    <w:rsid w:val="00437E94"/>
    <w:rsid w:val="004458AD"/>
    <w:rsid w:val="00463BED"/>
    <w:rsid w:val="0047250D"/>
    <w:rsid w:val="00474F6A"/>
    <w:rsid w:val="004767CC"/>
    <w:rsid w:val="00480444"/>
    <w:rsid w:val="004855BC"/>
    <w:rsid w:val="00485795"/>
    <w:rsid w:val="004A1584"/>
    <w:rsid w:val="004B6C6A"/>
    <w:rsid w:val="004C0F3C"/>
    <w:rsid w:val="004C35F0"/>
    <w:rsid w:val="004D5D5C"/>
    <w:rsid w:val="004D7FB7"/>
    <w:rsid w:val="004E0900"/>
    <w:rsid w:val="004F0EA4"/>
    <w:rsid w:val="004F70F5"/>
    <w:rsid w:val="00507733"/>
    <w:rsid w:val="00513C5D"/>
    <w:rsid w:val="005218D0"/>
    <w:rsid w:val="00527DBD"/>
    <w:rsid w:val="00530E41"/>
    <w:rsid w:val="00532FE4"/>
    <w:rsid w:val="00537294"/>
    <w:rsid w:val="00537592"/>
    <w:rsid w:val="005634C5"/>
    <w:rsid w:val="005663E2"/>
    <w:rsid w:val="00574EA4"/>
    <w:rsid w:val="00580A33"/>
    <w:rsid w:val="0058206A"/>
    <w:rsid w:val="00587953"/>
    <w:rsid w:val="00590CC5"/>
    <w:rsid w:val="005A42DD"/>
    <w:rsid w:val="005B2A8F"/>
    <w:rsid w:val="005B7500"/>
    <w:rsid w:val="005B7C5B"/>
    <w:rsid w:val="005C2FFD"/>
    <w:rsid w:val="005C33F7"/>
    <w:rsid w:val="005C5167"/>
    <w:rsid w:val="005C5729"/>
    <w:rsid w:val="005D1CC8"/>
    <w:rsid w:val="005D681D"/>
    <w:rsid w:val="005E01E8"/>
    <w:rsid w:val="005E7B14"/>
    <w:rsid w:val="005F5736"/>
    <w:rsid w:val="00606B55"/>
    <w:rsid w:val="006175DB"/>
    <w:rsid w:val="00621408"/>
    <w:rsid w:val="00625400"/>
    <w:rsid w:val="00633A11"/>
    <w:rsid w:val="00642797"/>
    <w:rsid w:val="00646D11"/>
    <w:rsid w:val="00671975"/>
    <w:rsid w:val="00672EB8"/>
    <w:rsid w:val="006910AF"/>
    <w:rsid w:val="006A1706"/>
    <w:rsid w:val="006A466D"/>
    <w:rsid w:val="006A4670"/>
    <w:rsid w:val="006A6D65"/>
    <w:rsid w:val="006B759B"/>
    <w:rsid w:val="006C06D7"/>
    <w:rsid w:val="006C2526"/>
    <w:rsid w:val="006C3A9A"/>
    <w:rsid w:val="00710F76"/>
    <w:rsid w:val="00733D02"/>
    <w:rsid w:val="00737FD8"/>
    <w:rsid w:val="0074087A"/>
    <w:rsid w:val="0074476B"/>
    <w:rsid w:val="00760DCC"/>
    <w:rsid w:val="007773F6"/>
    <w:rsid w:val="007817D2"/>
    <w:rsid w:val="007843FF"/>
    <w:rsid w:val="00794602"/>
    <w:rsid w:val="00795A2E"/>
    <w:rsid w:val="007963C1"/>
    <w:rsid w:val="007A4D11"/>
    <w:rsid w:val="007B13B4"/>
    <w:rsid w:val="007C2FA4"/>
    <w:rsid w:val="007C4CA1"/>
    <w:rsid w:val="007D7155"/>
    <w:rsid w:val="00800B06"/>
    <w:rsid w:val="008118C3"/>
    <w:rsid w:val="00822ADE"/>
    <w:rsid w:val="0082307A"/>
    <w:rsid w:val="00827B00"/>
    <w:rsid w:val="00844EA2"/>
    <w:rsid w:val="00847F15"/>
    <w:rsid w:val="00853505"/>
    <w:rsid w:val="008569DE"/>
    <w:rsid w:val="00863AF1"/>
    <w:rsid w:val="008658A1"/>
    <w:rsid w:val="008724D2"/>
    <w:rsid w:val="00882265"/>
    <w:rsid w:val="00887583"/>
    <w:rsid w:val="008A04CB"/>
    <w:rsid w:val="008A6E5B"/>
    <w:rsid w:val="008B4000"/>
    <w:rsid w:val="008B7E9A"/>
    <w:rsid w:val="008D7091"/>
    <w:rsid w:val="008E55F0"/>
    <w:rsid w:val="008F0ABB"/>
    <w:rsid w:val="008F29B0"/>
    <w:rsid w:val="00905D70"/>
    <w:rsid w:val="00920706"/>
    <w:rsid w:val="00930B46"/>
    <w:rsid w:val="00933461"/>
    <w:rsid w:val="009414AA"/>
    <w:rsid w:val="00945996"/>
    <w:rsid w:val="00950082"/>
    <w:rsid w:val="00952C07"/>
    <w:rsid w:val="009569D0"/>
    <w:rsid w:val="00966381"/>
    <w:rsid w:val="0097619C"/>
    <w:rsid w:val="009A622F"/>
    <w:rsid w:val="009A74F4"/>
    <w:rsid w:val="009B7F38"/>
    <w:rsid w:val="009D20D7"/>
    <w:rsid w:val="009D7ED1"/>
    <w:rsid w:val="009E5B04"/>
    <w:rsid w:val="009F55DB"/>
    <w:rsid w:val="00A0035A"/>
    <w:rsid w:val="00A0652B"/>
    <w:rsid w:val="00A201BA"/>
    <w:rsid w:val="00A21182"/>
    <w:rsid w:val="00A279B2"/>
    <w:rsid w:val="00A32FBF"/>
    <w:rsid w:val="00A33AA5"/>
    <w:rsid w:val="00A46D92"/>
    <w:rsid w:val="00A651F5"/>
    <w:rsid w:val="00A65594"/>
    <w:rsid w:val="00A73877"/>
    <w:rsid w:val="00A748B3"/>
    <w:rsid w:val="00A9391F"/>
    <w:rsid w:val="00AA3BBF"/>
    <w:rsid w:val="00AA3CA2"/>
    <w:rsid w:val="00AC525A"/>
    <w:rsid w:val="00AD4DA1"/>
    <w:rsid w:val="00AD574A"/>
    <w:rsid w:val="00B05BEA"/>
    <w:rsid w:val="00B412F9"/>
    <w:rsid w:val="00B42582"/>
    <w:rsid w:val="00B5678D"/>
    <w:rsid w:val="00B86A29"/>
    <w:rsid w:val="00B90AF2"/>
    <w:rsid w:val="00B96238"/>
    <w:rsid w:val="00BB04E4"/>
    <w:rsid w:val="00BB4503"/>
    <w:rsid w:val="00BB6387"/>
    <w:rsid w:val="00BB66F7"/>
    <w:rsid w:val="00BC5419"/>
    <w:rsid w:val="00BC7C38"/>
    <w:rsid w:val="00BD0314"/>
    <w:rsid w:val="00BD146C"/>
    <w:rsid w:val="00BE349C"/>
    <w:rsid w:val="00BE6C45"/>
    <w:rsid w:val="00C0131F"/>
    <w:rsid w:val="00C02234"/>
    <w:rsid w:val="00C12324"/>
    <w:rsid w:val="00C15BDE"/>
    <w:rsid w:val="00C20F2C"/>
    <w:rsid w:val="00C2461B"/>
    <w:rsid w:val="00C31B63"/>
    <w:rsid w:val="00C32015"/>
    <w:rsid w:val="00C51F3F"/>
    <w:rsid w:val="00C55922"/>
    <w:rsid w:val="00C62479"/>
    <w:rsid w:val="00C62D57"/>
    <w:rsid w:val="00C66F53"/>
    <w:rsid w:val="00C7103C"/>
    <w:rsid w:val="00C77ACF"/>
    <w:rsid w:val="00C8255E"/>
    <w:rsid w:val="00C83600"/>
    <w:rsid w:val="00C853BC"/>
    <w:rsid w:val="00C85C41"/>
    <w:rsid w:val="00CA1758"/>
    <w:rsid w:val="00CA40B1"/>
    <w:rsid w:val="00CA73B8"/>
    <w:rsid w:val="00CB3BFC"/>
    <w:rsid w:val="00CC2271"/>
    <w:rsid w:val="00CE22FE"/>
    <w:rsid w:val="00CE58F8"/>
    <w:rsid w:val="00CE6449"/>
    <w:rsid w:val="00CE6BB7"/>
    <w:rsid w:val="00CF50AD"/>
    <w:rsid w:val="00CF6944"/>
    <w:rsid w:val="00D1661A"/>
    <w:rsid w:val="00D2044F"/>
    <w:rsid w:val="00D223DC"/>
    <w:rsid w:val="00D3136F"/>
    <w:rsid w:val="00D46667"/>
    <w:rsid w:val="00D51607"/>
    <w:rsid w:val="00D54319"/>
    <w:rsid w:val="00D64105"/>
    <w:rsid w:val="00D67BB3"/>
    <w:rsid w:val="00D80B9B"/>
    <w:rsid w:val="00D85FED"/>
    <w:rsid w:val="00D8647F"/>
    <w:rsid w:val="00D94593"/>
    <w:rsid w:val="00DA40E3"/>
    <w:rsid w:val="00DB0DCD"/>
    <w:rsid w:val="00DB6298"/>
    <w:rsid w:val="00DC4D8D"/>
    <w:rsid w:val="00DD1197"/>
    <w:rsid w:val="00DD3379"/>
    <w:rsid w:val="00DD374A"/>
    <w:rsid w:val="00DF6501"/>
    <w:rsid w:val="00E005FB"/>
    <w:rsid w:val="00E00FC2"/>
    <w:rsid w:val="00E0302F"/>
    <w:rsid w:val="00E0750F"/>
    <w:rsid w:val="00E26514"/>
    <w:rsid w:val="00E341F9"/>
    <w:rsid w:val="00E4381D"/>
    <w:rsid w:val="00E505F3"/>
    <w:rsid w:val="00E5607D"/>
    <w:rsid w:val="00E71049"/>
    <w:rsid w:val="00E72381"/>
    <w:rsid w:val="00E771B3"/>
    <w:rsid w:val="00E774B8"/>
    <w:rsid w:val="00E82195"/>
    <w:rsid w:val="00E90B2A"/>
    <w:rsid w:val="00EB08CF"/>
    <w:rsid w:val="00ED1450"/>
    <w:rsid w:val="00EE0084"/>
    <w:rsid w:val="00EE46F8"/>
    <w:rsid w:val="00EE50DD"/>
    <w:rsid w:val="00EF1671"/>
    <w:rsid w:val="00EF25D0"/>
    <w:rsid w:val="00EF7447"/>
    <w:rsid w:val="00F02F7A"/>
    <w:rsid w:val="00F128E4"/>
    <w:rsid w:val="00F31891"/>
    <w:rsid w:val="00F31AEF"/>
    <w:rsid w:val="00F37D0A"/>
    <w:rsid w:val="00F55275"/>
    <w:rsid w:val="00F64038"/>
    <w:rsid w:val="00F6763B"/>
    <w:rsid w:val="00F737EA"/>
    <w:rsid w:val="00F80D24"/>
    <w:rsid w:val="00F94B0D"/>
    <w:rsid w:val="00FA5E47"/>
    <w:rsid w:val="00FA689B"/>
    <w:rsid w:val="00FB3C72"/>
    <w:rsid w:val="00FB5CF1"/>
    <w:rsid w:val="00FB7A86"/>
    <w:rsid w:val="00FC5CEB"/>
    <w:rsid w:val="00FC7FED"/>
    <w:rsid w:val="00FE2E24"/>
    <w:rsid w:val="00FF03F7"/>
    <w:rsid w:val="00FF37F6"/>
    <w:rsid w:val="00FF7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paragraph" w:styleId="Heading2">
    <w:name w:val="heading 2"/>
    <w:basedOn w:val="Normal"/>
    <w:next w:val="Normal"/>
    <w:link w:val="Heading2Char"/>
    <w:uiPriority w:val="99"/>
    <w:qFormat/>
    <w:rsid w:val="008D7091"/>
    <w:pPr>
      <w:keepNext/>
      <w:widowControl/>
      <w:outlineLvl w:val="1"/>
    </w:pPr>
    <w:rPr>
      <w:b/>
      <w:bCs/>
      <w:sz w:val="26"/>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091"/>
    <w:rPr>
      <w:b/>
      <w:sz w:val="24"/>
      <w:lang w:val="en-US" w:eastAsia="en-US"/>
    </w:rPr>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rsid w:val="00AF0544"/>
    <w:rPr>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rsid w:val="00AF0544"/>
    <w:rPr>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B6298"/>
    <w:pPr>
      <w:widowControl/>
    </w:pPr>
    <w:rPr>
      <w:rFonts w:ascii="Arial" w:hAnsi="Arial"/>
      <w:color w:val="000080"/>
      <w:sz w:val="20"/>
      <w:lang w:val="en-US"/>
    </w:rPr>
  </w:style>
  <w:style w:type="character" w:customStyle="1" w:styleId="PlainTextChar">
    <w:name w:val="Plain Text Char"/>
    <w:basedOn w:val="DefaultParagraphFont"/>
    <w:link w:val="PlainText"/>
    <w:uiPriority w:val="99"/>
    <w:locked/>
    <w:rsid w:val="00DB6298"/>
    <w:rPr>
      <w:rFonts w:ascii="Arial" w:hAnsi="Arial"/>
      <w:color w:val="000080"/>
      <w:lang w:eastAsia="en-US"/>
    </w:rPr>
  </w:style>
  <w:style w:type="paragraph" w:styleId="ListParagraph">
    <w:name w:val="List Paragraph"/>
    <w:basedOn w:val="Normal"/>
    <w:uiPriority w:val="99"/>
    <w:qFormat/>
    <w:rsid w:val="008B4000"/>
    <w:pPr>
      <w:widowControl/>
      <w:spacing w:after="200" w:line="276" w:lineRule="auto"/>
      <w:ind w:left="720"/>
      <w:contextualSpacing/>
    </w:pPr>
    <w:rPr>
      <w:rFonts w:ascii="Calibri" w:hAnsi="Calibri" w:cs="Arial"/>
      <w:szCs w:val="22"/>
      <w:lang w:val="en-US"/>
    </w:rPr>
  </w:style>
  <w:style w:type="paragraph" w:styleId="NormalWeb">
    <w:name w:val="Normal (Web)"/>
    <w:basedOn w:val="Normal"/>
    <w:uiPriority w:val="99"/>
    <w:rsid w:val="008D7091"/>
    <w:pPr>
      <w:widowControl/>
      <w:spacing w:before="100" w:beforeAutospacing="1" w:after="100" w:afterAutospacing="1"/>
    </w:pPr>
    <w:rPr>
      <w:rFonts w:ascii="Book Antiqua" w:hAnsi="Book Antiqua"/>
      <w:sz w:val="24"/>
      <w:szCs w:val="24"/>
      <w:lang w:val="en-CA"/>
    </w:rPr>
  </w:style>
  <w:style w:type="paragraph" w:styleId="BalloonText">
    <w:name w:val="Balloon Text"/>
    <w:basedOn w:val="Normal"/>
    <w:link w:val="BalloonTextChar"/>
    <w:uiPriority w:val="99"/>
    <w:rsid w:val="0042730E"/>
    <w:rPr>
      <w:rFonts w:ascii="Tahoma" w:hAnsi="Tahoma"/>
      <w:sz w:val="16"/>
      <w:szCs w:val="16"/>
    </w:rPr>
  </w:style>
  <w:style w:type="character" w:customStyle="1" w:styleId="BalloonTextChar">
    <w:name w:val="Balloon Text Char"/>
    <w:basedOn w:val="DefaultParagraphFont"/>
    <w:link w:val="BalloonText"/>
    <w:uiPriority w:val="99"/>
    <w:locked/>
    <w:rsid w:val="0042730E"/>
    <w:rPr>
      <w:rFonts w:ascii="Tahoma" w:hAnsi="Tahoma"/>
      <w:snapToGrid w:val="0"/>
      <w:sz w:val="16"/>
      <w:lang w:val="en-GB"/>
    </w:rPr>
  </w:style>
  <w:style w:type="character" w:styleId="CommentReference">
    <w:name w:val="annotation reference"/>
    <w:basedOn w:val="DefaultParagraphFont"/>
    <w:uiPriority w:val="99"/>
    <w:semiHidden/>
    <w:rsid w:val="0032515D"/>
    <w:rPr>
      <w:rFonts w:cs="Times New Roman"/>
      <w:sz w:val="16"/>
    </w:rPr>
  </w:style>
  <w:style w:type="paragraph" w:styleId="CommentText">
    <w:name w:val="annotation text"/>
    <w:basedOn w:val="Normal"/>
    <w:link w:val="CommentTextChar"/>
    <w:uiPriority w:val="99"/>
    <w:semiHidden/>
    <w:rsid w:val="0032515D"/>
    <w:rPr>
      <w:sz w:val="20"/>
    </w:rPr>
  </w:style>
  <w:style w:type="character" w:customStyle="1" w:styleId="CommentTextChar">
    <w:name w:val="Comment Text Char"/>
    <w:basedOn w:val="DefaultParagraphFont"/>
    <w:link w:val="CommentText"/>
    <w:uiPriority w:val="99"/>
    <w:semiHidden/>
    <w:rsid w:val="00AF0544"/>
    <w:rPr>
      <w:sz w:val="20"/>
      <w:szCs w:val="20"/>
      <w:lang w:val="en-GB"/>
    </w:rPr>
  </w:style>
  <w:style w:type="paragraph" w:styleId="CommentSubject">
    <w:name w:val="annotation subject"/>
    <w:basedOn w:val="CommentText"/>
    <w:next w:val="CommentText"/>
    <w:link w:val="CommentSubjectChar"/>
    <w:uiPriority w:val="99"/>
    <w:semiHidden/>
    <w:rsid w:val="0032515D"/>
    <w:rPr>
      <w:b/>
      <w:bCs/>
    </w:rPr>
  </w:style>
  <w:style w:type="character" w:customStyle="1" w:styleId="CommentSubjectChar">
    <w:name w:val="Comment Subject Char"/>
    <w:basedOn w:val="CommentTextChar"/>
    <w:link w:val="CommentSubject"/>
    <w:uiPriority w:val="99"/>
    <w:semiHidden/>
    <w:rsid w:val="00AF0544"/>
    <w:rPr>
      <w:b/>
      <w:bCs/>
    </w:rPr>
  </w:style>
  <w:style w:type="paragraph" w:styleId="Footer">
    <w:name w:val="footer"/>
    <w:basedOn w:val="Normal"/>
    <w:link w:val="FooterChar"/>
    <w:uiPriority w:val="99"/>
    <w:rsid w:val="008724D2"/>
    <w:pPr>
      <w:tabs>
        <w:tab w:val="center" w:pos="4153"/>
        <w:tab w:val="right" w:pos="8306"/>
      </w:tabs>
    </w:pPr>
  </w:style>
  <w:style w:type="character" w:customStyle="1" w:styleId="FooterChar">
    <w:name w:val="Footer Char"/>
    <w:basedOn w:val="DefaultParagraphFont"/>
    <w:link w:val="Footer"/>
    <w:uiPriority w:val="99"/>
    <w:semiHidden/>
    <w:rsid w:val="00AF0544"/>
    <w:rPr>
      <w:szCs w:val="20"/>
      <w:lang w:val="en-GB"/>
    </w:rPr>
  </w:style>
  <w:style w:type="character" w:styleId="PageNumber">
    <w:name w:val="page number"/>
    <w:basedOn w:val="DefaultParagraphFont"/>
    <w:uiPriority w:val="99"/>
    <w:rsid w:val="008724D2"/>
    <w:rPr>
      <w:rFonts w:cs="Times New Roman"/>
    </w:rPr>
  </w:style>
  <w:style w:type="paragraph" w:styleId="Header">
    <w:name w:val="header"/>
    <w:basedOn w:val="Normal"/>
    <w:link w:val="HeaderChar"/>
    <w:uiPriority w:val="99"/>
    <w:rsid w:val="00004B96"/>
    <w:pPr>
      <w:tabs>
        <w:tab w:val="center" w:pos="4153"/>
        <w:tab w:val="right" w:pos="8306"/>
      </w:tabs>
    </w:pPr>
  </w:style>
  <w:style w:type="character" w:customStyle="1" w:styleId="HeaderChar">
    <w:name w:val="Header Char"/>
    <w:basedOn w:val="DefaultParagraphFont"/>
    <w:link w:val="Header"/>
    <w:uiPriority w:val="99"/>
    <w:semiHidden/>
    <w:rsid w:val="00AF0544"/>
    <w:rPr>
      <w:szCs w:val="20"/>
      <w:lang w:val="en-GB"/>
    </w:rPr>
  </w:style>
</w:styles>
</file>

<file path=word/webSettings.xml><?xml version="1.0" encoding="utf-8"?>
<w:webSettings xmlns:r="http://schemas.openxmlformats.org/officeDocument/2006/relationships" xmlns:w="http://schemas.openxmlformats.org/wordprocessingml/2006/main">
  <w:divs>
    <w:div w:id="1071924872">
      <w:marLeft w:val="0"/>
      <w:marRight w:val="0"/>
      <w:marTop w:val="0"/>
      <w:marBottom w:val="0"/>
      <w:divBdr>
        <w:top w:val="none" w:sz="0" w:space="0" w:color="auto"/>
        <w:left w:val="none" w:sz="0" w:space="0" w:color="auto"/>
        <w:bottom w:val="none" w:sz="0" w:space="0" w:color="auto"/>
        <w:right w:val="none" w:sz="0" w:space="0" w:color="auto"/>
      </w:divBdr>
    </w:div>
    <w:div w:id="1071924873">
      <w:marLeft w:val="0"/>
      <w:marRight w:val="0"/>
      <w:marTop w:val="0"/>
      <w:marBottom w:val="0"/>
      <w:divBdr>
        <w:top w:val="none" w:sz="0" w:space="0" w:color="auto"/>
        <w:left w:val="none" w:sz="0" w:space="0" w:color="auto"/>
        <w:bottom w:val="none" w:sz="0" w:space="0" w:color="auto"/>
        <w:right w:val="none" w:sz="0" w:space="0" w:color="auto"/>
      </w:divBdr>
    </w:div>
    <w:div w:id="1071924874">
      <w:marLeft w:val="0"/>
      <w:marRight w:val="0"/>
      <w:marTop w:val="0"/>
      <w:marBottom w:val="0"/>
      <w:divBdr>
        <w:top w:val="none" w:sz="0" w:space="0" w:color="auto"/>
        <w:left w:val="none" w:sz="0" w:space="0" w:color="auto"/>
        <w:bottom w:val="none" w:sz="0" w:space="0" w:color="auto"/>
        <w:right w:val="none" w:sz="0" w:space="0" w:color="auto"/>
      </w:divBdr>
    </w:div>
    <w:div w:id="1071924875">
      <w:marLeft w:val="0"/>
      <w:marRight w:val="0"/>
      <w:marTop w:val="0"/>
      <w:marBottom w:val="0"/>
      <w:divBdr>
        <w:top w:val="none" w:sz="0" w:space="0" w:color="auto"/>
        <w:left w:val="none" w:sz="0" w:space="0" w:color="auto"/>
        <w:bottom w:val="none" w:sz="0" w:space="0" w:color="auto"/>
        <w:right w:val="none" w:sz="0" w:space="0" w:color="auto"/>
      </w:divBdr>
    </w:div>
    <w:div w:id="1071924876">
      <w:marLeft w:val="0"/>
      <w:marRight w:val="0"/>
      <w:marTop w:val="0"/>
      <w:marBottom w:val="0"/>
      <w:divBdr>
        <w:top w:val="none" w:sz="0" w:space="0" w:color="auto"/>
        <w:left w:val="none" w:sz="0" w:space="0" w:color="auto"/>
        <w:bottom w:val="none" w:sz="0" w:space="0" w:color="auto"/>
        <w:right w:val="none" w:sz="0" w:space="0" w:color="auto"/>
      </w:divBdr>
    </w:div>
    <w:div w:id="1071924877">
      <w:marLeft w:val="0"/>
      <w:marRight w:val="0"/>
      <w:marTop w:val="0"/>
      <w:marBottom w:val="0"/>
      <w:divBdr>
        <w:top w:val="none" w:sz="0" w:space="0" w:color="auto"/>
        <w:left w:val="none" w:sz="0" w:space="0" w:color="auto"/>
        <w:bottom w:val="none" w:sz="0" w:space="0" w:color="auto"/>
        <w:right w:val="none" w:sz="0" w:space="0" w:color="auto"/>
      </w:divBdr>
    </w:div>
    <w:div w:id="1071924878">
      <w:marLeft w:val="0"/>
      <w:marRight w:val="0"/>
      <w:marTop w:val="0"/>
      <w:marBottom w:val="0"/>
      <w:divBdr>
        <w:top w:val="none" w:sz="0" w:space="0" w:color="auto"/>
        <w:left w:val="none" w:sz="0" w:space="0" w:color="auto"/>
        <w:bottom w:val="none" w:sz="0" w:space="0" w:color="auto"/>
        <w:right w:val="none" w:sz="0" w:space="0" w:color="auto"/>
      </w:divBdr>
    </w:div>
    <w:div w:id="1071924879">
      <w:marLeft w:val="0"/>
      <w:marRight w:val="0"/>
      <w:marTop w:val="0"/>
      <w:marBottom w:val="0"/>
      <w:divBdr>
        <w:top w:val="none" w:sz="0" w:space="0" w:color="auto"/>
        <w:left w:val="none" w:sz="0" w:space="0" w:color="auto"/>
        <w:bottom w:val="none" w:sz="0" w:space="0" w:color="auto"/>
        <w:right w:val="none" w:sz="0" w:space="0" w:color="auto"/>
      </w:divBdr>
    </w:div>
    <w:div w:id="1071924880">
      <w:marLeft w:val="0"/>
      <w:marRight w:val="0"/>
      <w:marTop w:val="0"/>
      <w:marBottom w:val="0"/>
      <w:divBdr>
        <w:top w:val="none" w:sz="0" w:space="0" w:color="auto"/>
        <w:left w:val="none" w:sz="0" w:space="0" w:color="auto"/>
        <w:bottom w:val="none" w:sz="0" w:space="0" w:color="auto"/>
        <w:right w:val="none" w:sz="0" w:space="0" w:color="auto"/>
      </w:divBdr>
    </w:div>
    <w:div w:id="1071924881">
      <w:marLeft w:val="0"/>
      <w:marRight w:val="0"/>
      <w:marTop w:val="0"/>
      <w:marBottom w:val="0"/>
      <w:divBdr>
        <w:top w:val="none" w:sz="0" w:space="0" w:color="auto"/>
        <w:left w:val="none" w:sz="0" w:space="0" w:color="auto"/>
        <w:bottom w:val="none" w:sz="0" w:space="0" w:color="auto"/>
        <w:right w:val="none" w:sz="0" w:space="0" w:color="auto"/>
      </w:divBdr>
    </w:div>
    <w:div w:id="107192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1557</Words>
  <Characters>8880</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subject/>
  <dc:creator>UNDP</dc:creator>
  <cp:keywords/>
  <dc:description/>
  <cp:lastModifiedBy>A</cp:lastModifiedBy>
  <cp:revision>2</cp:revision>
  <dcterms:created xsi:type="dcterms:W3CDTF">2011-05-29T12:44:00Z</dcterms:created>
  <dcterms:modified xsi:type="dcterms:W3CDTF">2011-05-29T12:44:00Z</dcterms:modified>
</cp:coreProperties>
</file>