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C31" w:rsidRPr="005C3CD3" w:rsidRDefault="00550C31" w:rsidP="00C77ACF">
      <w:pPr>
        <w:jc w:val="center"/>
        <w:outlineLvl w:val="0"/>
        <w:rPr>
          <w:rFonts w:ascii="Arial Narrow" w:hAnsi="Arial Narrow"/>
          <w:b/>
          <w:szCs w:val="22"/>
        </w:rPr>
      </w:pPr>
    </w:p>
    <w:p w:rsidR="00550C31" w:rsidRPr="005C3CD3" w:rsidRDefault="00550C31" w:rsidP="00186CCC">
      <w:pPr>
        <w:jc w:val="center"/>
        <w:outlineLvl w:val="0"/>
        <w:rPr>
          <w:rFonts w:ascii="Arial Narrow" w:hAnsi="Arial Narrow"/>
          <w:b/>
          <w:sz w:val="24"/>
          <w:szCs w:val="24"/>
        </w:rPr>
      </w:pPr>
      <w:r w:rsidRPr="005C3CD3">
        <w:rPr>
          <w:rFonts w:ascii="Arial Narrow" w:hAnsi="Arial Narrow"/>
          <w:b/>
          <w:sz w:val="24"/>
          <w:szCs w:val="24"/>
        </w:rPr>
        <w:t xml:space="preserve">United Nations Development Group </w:t>
      </w:r>
      <w:smartTag w:uri="urn:schemas-microsoft-com:office:smarttags" w:element="place">
        <w:smartTag w:uri="urn:schemas-microsoft-com:office:smarttags" w:element="country-region">
          <w:r w:rsidRPr="005C3CD3">
            <w:rPr>
              <w:rFonts w:ascii="Arial Narrow" w:hAnsi="Arial Narrow"/>
              <w:b/>
              <w:sz w:val="24"/>
              <w:szCs w:val="24"/>
            </w:rPr>
            <w:t>Iraq</w:t>
          </w:r>
        </w:smartTag>
      </w:smartTag>
      <w:r w:rsidRPr="005C3CD3">
        <w:rPr>
          <w:rFonts w:ascii="Arial Narrow" w:hAnsi="Arial Narrow"/>
          <w:b/>
          <w:sz w:val="24"/>
          <w:szCs w:val="24"/>
        </w:rPr>
        <w:t xml:space="preserve"> Trust Fund </w:t>
      </w:r>
    </w:p>
    <w:p w:rsidR="00550C31" w:rsidRPr="005C3CD3" w:rsidRDefault="00550C31" w:rsidP="00F93984">
      <w:pPr>
        <w:jc w:val="center"/>
        <w:outlineLvl w:val="0"/>
        <w:rPr>
          <w:rFonts w:ascii="Arial Narrow" w:hAnsi="Arial Narrow"/>
          <w:b/>
          <w:sz w:val="24"/>
          <w:szCs w:val="24"/>
        </w:rPr>
      </w:pPr>
      <w:r w:rsidRPr="005C3CD3">
        <w:rPr>
          <w:rFonts w:ascii="Arial Narrow" w:hAnsi="Arial Narrow"/>
          <w:b/>
          <w:szCs w:val="22"/>
        </w:rPr>
        <w:t xml:space="preserve">Project: </w:t>
      </w:r>
      <w:r w:rsidRPr="005C3CD3">
        <w:rPr>
          <w:rFonts w:ascii="Arial Narrow" w:hAnsi="Arial Narrow"/>
        </w:rPr>
        <w:t>D2-28</w:t>
      </w:r>
      <w:r w:rsidRPr="005C3CD3">
        <w:rPr>
          <w:rFonts w:ascii="Arial Narrow" w:hAnsi="Arial Narrow"/>
          <w:b/>
          <w:szCs w:val="22"/>
        </w:rPr>
        <w:t xml:space="preserve">: ATLAS Award: </w:t>
      </w:r>
      <w:r w:rsidRPr="005C3CD3">
        <w:rPr>
          <w:rFonts w:ascii="Arial Narrow" w:hAnsi="Arial Narrow"/>
          <w:szCs w:val="22"/>
        </w:rPr>
        <w:t>59448</w:t>
      </w:r>
      <w:r w:rsidRPr="005C3CD3">
        <w:rPr>
          <w:rFonts w:ascii="Arial Narrow" w:hAnsi="Arial Narrow"/>
          <w:b/>
          <w:szCs w:val="22"/>
        </w:rPr>
        <w:t xml:space="preserve">, Project: </w:t>
      </w:r>
      <w:r w:rsidRPr="005C3CD3">
        <w:rPr>
          <w:rFonts w:ascii="Arial Narrow" w:hAnsi="Arial Narrow"/>
          <w:szCs w:val="22"/>
        </w:rPr>
        <w:t xml:space="preserve">74328 </w:t>
      </w:r>
      <w:r w:rsidRPr="005C3CD3">
        <w:rPr>
          <w:rFonts w:ascii="Arial Narrow" w:hAnsi="Arial Narrow"/>
          <w:b/>
          <w:sz w:val="24"/>
          <w:szCs w:val="24"/>
        </w:rPr>
        <w:t>, first Quarter 2011</w:t>
      </w:r>
    </w:p>
    <w:p w:rsidR="00550C31" w:rsidRPr="005C3CD3" w:rsidRDefault="00550C31" w:rsidP="00711E4E">
      <w:pPr>
        <w:jc w:val="center"/>
        <w:outlineLvl w:val="0"/>
        <w:rPr>
          <w:rFonts w:ascii="Arial Narrow" w:hAnsi="Arial Narrow"/>
          <w:b/>
          <w:color w:val="FF0000"/>
          <w:sz w:val="24"/>
          <w:szCs w:val="24"/>
          <w:u w:val="single"/>
        </w:rPr>
      </w:pPr>
    </w:p>
    <w:p w:rsidR="00550C31" w:rsidRPr="005C3CD3" w:rsidRDefault="00550C31" w:rsidP="009E5310">
      <w:pPr>
        <w:jc w:val="center"/>
        <w:outlineLvl w:val="0"/>
        <w:rPr>
          <w:rFonts w:ascii="Arial Narrow" w:hAnsi="Arial Narrow"/>
          <w:b/>
          <w:color w:val="FF0000"/>
          <w:sz w:val="24"/>
          <w:szCs w:val="24"/>
          <w:u w:val="single"/>
        </w:rPr>
      </w:pPr>
    </w:p>
    <w:tbl>
      <w:tblPr>
        <w:tblW w:w="10980" w:type="dxa"/>
        <w:tblInd w:w="-1152" w:type="dxa"/>
        <w:tblLook w:val="01E0"/>
      </w:tblPr>
      <w:tblGrid>
        <w:gridCol w:w="6480"/>
        <w:gridCol w:w="4500"/>
      </w:tblGrid>
      <w:tr w:rsidR="00550C31" w:rsidRPr="005C3CD3" w:rsidTr="005C3CD3">
        <w:tc>
          <w:tcPr>
            <w:tcW w:w="6480" w:type="dxa"/>
            <w:shd w:val="clear" w:color="auto" w:fill="000099"/>
          </w:tcPr>
          <w:p w:rsidR="00550C31" w:rsidRPr="005C3CD3" w:rsidRDefault="00550C31" w:rsidP="0066361D">
            <w:pPr>
              <w:rPr>
                <w:rFonts w:ascii="Arial Narrow" w:hAnsi="Arial Narrow"/>
                <w:szCs w:val="22"/>
              </w:rPr>
            </w:pPr>
            <w:r w:rsidRPr="005C3CD3">
              <w:rPr>
                <w:rFonts w:ascii="Arial Narrow" w:hAnsi="Arial Narrow"/>
                <w:b/>
                <w:szCs w:val="22"/>
              </w:rPr>
              <w:t>Participating UN Organisation</w:t>
            </w:r>
            <w:r w:rsidRPr="005C3CD3">
              <w:rPr>
                <w:rFonts w:ascii="Arial Narrow" w:hAnsi="Arial Narrow"/>
                <w:szCs w:val="22"/>
              </w:rPr>
              <w:t>: WHO (Lead) &amp; UNICEF</w:t>
            </w:r>
          </w:p>
          <w:p w:rsidR="00550C31" w:rsidRPr="005C3CD3" w:rsidRDefault="00550C31" w:rsidP="0066361D">
            <w:pPr>
              <w:rPr>
                <w:rFonts w:ascii="Arial Narrow" w:hAnsi="Arial Narrow"/>
                <w:szCs w:val="22"/>
              </w:rPr>
            </w:pPr>
          </w:p>
        </w:tc>
        <w:tc>
          <w:tcPr>
            <w:tcW w:w="4500" w:type="dxa"/>
            <w:shd w:val="clear" w:color="auto" w:fill="000099"/>
          </w:tcPr>
          <w:p w:rsidR="00550C31" w:rsidRPr="005C3CD3" w:rsidRDefault="00550C31" w:rsidP="009E5310">
            <w:pPr>
              <w:rPr>
                <w:rFonts w:ascii="Arial Narrow" w:hAnsi="Arial Narrow"/>
                <w:szCs w:val="22"/>
              </w:rPr>
            </w:pPr>
            <w:r w:rsidRPr="005C3CD3">
              <w:rPr>
                <w:rFonts w:ascii="Arial Narrow" w:hAnsi="Arial Narrow"/>
                <w:szCs w:val="22"/>
              </w:rPr>
              <w:t xml:space="preserve">                </w:t>
            </w:r>
            <w:r w:rsidRPr="005C3CD3">
              <w:rPr>
                <w:rFonts w:ascii="Arial Narrow" w:hAnsi="Arial Narrow"/>
                <w:b/>
                <w:szCs w:val="22"/>
              </w:rPr>
              <w:t>Sector:  Health and Nutrition</w:t>
            </w:r>
          </w:p>
        </w:tc>
      </w:tr>
      <w:tr w:rsidR="00550C31" w:rsidRPr="005C3CD3" w:rsidTr="005C3CD3">
        <w:tc>
          <w:tcPr>
            <w:tcW w:w="10980" w:type="dxa"/>
            <w:gridSpan w:val="2"/>
            <w:shd w:val="clear" w:color="auto" w:fill="000099"/>
          </w:tcPr>
          <w:p w:rsidR="00550C31" w:rsidRPr="005C3CD3" w:rsidRDefault="00550C31" w:rsidP="009E5310">
            <w:pPr>
              <w:jc w:val="center"/>
              <w:rPr>
                <w:rFonts w:ascii="Arial Narrow" w:hAnsi="Arial Narrow"/>
                <w:b/>
                <w:szCs w:val="22"/>
              </w:rPr>
            </w:pPr>
            <w:r w:rsidRPr="005C3CD3">
              <w:rPr>
                <w:rFonts w:ascii="Arial Narrow" w:hAnsi="Arial Narrow"/>
                <w:b/>
                <w:szCs w:val="22"/>
              </w:rPr>
              <w:t xml:space="preserve">Government of </w:t>
            </w:r>
            <w:smartTag w:uri="urn:schemas-microsoft-com:office:smarttags" w:element="place">
              <w:smartTag w:uri="urn:schemas-microsoft-com:office:smarttags" w:element="country-region">
                <w:r w:rsidRPr="005C3CD3">
                  <w:rPr>
                    <w:rFonts w:ascii="Arial Narrow" w:hAnsi="Arial Narrow"/>
                    <w:b/>
                    <w:szCs w:val="22"/>
                  </w:rPr>
                  <w:t>Iraq</w:t>
                </w:r>
              </w:smartTag>
            </w:smartTag>
            <w:r w:rsidRPr="005C3CD3">
              <w:rPr>
                <w:rFonts w:ascii="Arial Narrow" w:hAnsi="Arial Narrow"/>
                <w:b/>
                <w:szCs w:val="22"/>
              </w:rPr>
              <w:t xml:space="preserve"> – Responsible Line Ministry: </w:t>
            </w:r>
            <w:r w:rsidRPr="005C3CD3">
              <w:rPr>
                <w:rFonts w:ascii="Arial Narrow" w:hAnsi="Arial Narrow"/>
                <w:bCs/>
                <w:szCs w:val="22"/>
              </w:rPr>
              <w:t>Ministry of Health (MoH)</w:t>
            </w:r>
          </w:p>
        </w:tc>
      </w:tr>
    </w:tbl>
    <w:p w:rsidR="00550C31" w:rsidRPr="005C3CD3" w:rsidRDefault="00550C31" w:rsidP="00C77ACF">
      <w:pPr>
        <w:outlineLvl w:val="0"/>
        <w:rPr>
          <w:rFonts w:ascii="Arial Narrow" w:hAnsi="Arial Narrow"/>
          <w:b/>
          <w:szCs w:val="22"/>
        </w:rPr>
      </w:pPr>
    </w:p>
    <w:tbl>
      <w:tblPr>
        <w:tblW w:w="109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2070"/>
        <w:gridCol w:w="1530"/>
        <w:gridCol w:w="1440"/>
        <w:gridCol w:w="1890"/>
        <w:gridCol w:w="1530"/>
      </w:tblGrid>
      <w:tr w:rsidR="00550C31" w:rsidRPr="005C3CD3" w:rsidTr="005C3CD3">
        <w:tc>
          <w:tcPr>
            <w:tcW w:w="2520" w:type="dxa"/>
          </w:tcPr>
          <w:p w:rsidR="00550C31" w:rsidRPr="005C3CD3" w:rsidRDefault="00550C31" w:rsidP="00C77ACF">
            <w:pPr>
              <w:rPr>
                <w:rFonts w:ascii="Arial Narrow" w:hAnsi="Arial Narrow"/>
                <w:b/>
                <w:szCs w:val="22"/>
              </w:rPr>
            </w:pPr>
            <w:r w:rsidRPr="005C3CD3">
              <w:rPr>
                <w:rFonts w:ascii="Arial Narrow" w:hAnsi="Arial Narrow"/>
                <w:b/>
                <w:szCs w:val="22"/>
              </w:rPr>
              <w:t>Title</w:t>
            </w:r>
          </w:p>
        </w:tc>
        <w:tc>
          <w:tcPr>
            <w:tcW w:w="8460" w:type="dxa"/>
            <w:gridSpan w:val="5"/>
          </w:tcPr>
          <w:p w:rsidR="00550C31" w:rsidRPr="005C3CD3" w:rsidRDefault="00550C31" w:rsidP="00C77ACF">
            <w:pPr>
              <w:rPr>
                <w:rFonts w:ascii="Arial Narrow" w:hAnsi="Arial Narrow"/>
                <w:szCs w:val="22"/>
              </w:rPr>
            </w:pPr>
            <w:r w:rsidRPr="005C3CD3">
              <w:rPr>
                <w:rFonts w:ascii="Arial Narrow" w:hAnsi="Arial Narrow"/>
                <w:szCs w:val="22"/>
              </w:rPr>
              <w:t>Support National Measles and Polio Vaccination Campaign</w:t>
            </w:r>
          </w:p>
        </w:tc>
      </w:tr>
      <w:tr w:rsidR="00550C31" w:rsidRPr="005C3CD3" w:rsidTr="005C3CD3">
        <w:tc>
          <w:tcPr>
            <w:tcW w:w="2520" w:type="dxa"/>
          </w:tcPr>
          <w:p w:rsidR="00550C31" w:rsidRPr="005C3CD3" w:rsidRDefault="00550C31" w:rsidP="00C77ACF">
            <w:pPr>
              <w:rPr>
                <w:rFonts w:ascii="Arial Narrow" w:hAnsi="Arial Narrow"/>
                <w:b/>
                <w:szCs w:val="22"/>
              </w:rPr>
            </w:pPr>
            <w:r w:rsidRPr="005C3CD3">
              <w:rPr>
                <w:rFonts w:ascii="Arial Narrow" w:hAnsi="Arial Narrow"/>
                <w:b/>
                <w:szCs w:val="22"/>
              </w:rPr>
              <w:t>Geographic Location</w:t>
            </w:r>
          </w:p>
        </w:tc>
        <w:tc>
          <w:tcPr>
            <w:tcW w:w="8460" w:type="dxa"/>
            <w:gridSpan w:val="5"/>
          </w:tcPr>
          <w:p w:rsidR="00550C31" w:rsidRPr="005C3CD3" w:rsidRDefault="00550C31" w:rsidP="00C77ACF">
            <w:pPr>
              <w:rPr>
                <w:rFonts w:ascii="Arial Narrow" w:hAnsi="Arial Narrow"/>
                <w:szCs w:val="22"/>
              </w:rPr>
            </w:pPr>
            <w:r w:rsidRPr="005C3CD3">
              <w:rPr>
                <w:rFonts w:ascii="Arial Narrow" w:hAnsi="Arial Narrow"/>
                <w:szCs w:val="22"/>
              </w:rPr>
              <w:t>Nationwide</w:t>
            </w:r>
          </w:p>
        </w:tc>
      </w:tr>
      <w:tr w:rsidR="00550C31" w:rsidRPr="005C3CD3" w:rsidTr="005C3CD3">
        <w:tc>
          <w:tcPr>
            <w:tcW w:w="2520" w:type="dxa"/>
          </w:tcPr>
          <w:p w:rsidR="00550C31" w:rsidRPr="005C3CD3" w:rsidRDefault="00550C31" w:rsidP="00C77ACF">
            <w:pPr>
              <w:rPr>
                <w:rFonts w:ascii="Arial Narrow" w:hAnsi="Arial Narrow"/>
                <w:b/>
                <w:szCs w:val="22"/>
              </w:rPr>
            </w:pPr>
            <w:r w:rsidRPr="005C3CD3">
              <w:rPr>
                <w:rFonts w:ascii="Arial Narrow" w:hAnsi="Arial Narrow"/>
                <w:b/>
                <w:szCs w:val="22"/>
              </w:rPr>
              <w:t>Project Cost</w:t>
            </w:r>
          </w:p>
        </w:tc>
        <w:tc>
          <w:tcPr>
            <w:tcW w:w="8460" w:type="dxa"/>
            <w:gridSpan w:val="5"/>
          </w:tcPr>
          <w:p w:rsidR="00550C31" w:rsidRPr="005C3CD3" w:rsidRDefault="00550C31" w:rsidP="00C77ACF">
            <w:pPr>
              <w:rPr>
                <w:rFonts w:ascii="Arial Narrow" w:hAnsi="Arial Narrow"/>
                <w:szCs w:val="22"/>
              </w:rPr>
            </w:pPr>
            <w:r w:rsidRPr="005C3CD3">
              <w:rPr>
                <w:rFonts w:ascii="Arial Narrow" w:hAnsi="Arial Narrow"/>
                <w:szCs w:val="22"/>
              </w:rPr>
              <w:t>US$ 2488748</w:t>
            </w:r>
          </w:p>
        </w:tc>
      </w:tr>
      <w:tr w:rsidR="00550C31" w:rsidRPr="005C3CD3" w:rsidTr="005C3CD3">
        <w:tc>
          <w:tcPr>
            <w:tcW w:w="2520" w:type="dxa"/>
          </w:tcPr>
          <w:p w:rsidR="00550C31" w:rsidRPr="005C3CD3" w:rsidRDefault="00550C31" w:rsidP="00C77ACF">
            <w:pPr>
              <w:rPr>
                <w:rFonts w:ascii="Arial Narrow" w:hAnsi="Arial Narrow"/>
                <w:b/>
                <w:szCs w:val="22"/>
              </w:rPr>
            </w:pPr>
            <w:r w:rsidRPr="005C3CD3">
              <w:rPr>
                <w:rFonts w:ascii="Arial Narrow" w:hAnsi="Arial Narrow"/>
                <w:b/>
                <w:szCs w:val="22"/>
              </w:rPr>
              <w:t>Duration</w:t>
            </w:r>
          </w:p>
        </w:tc>
        <w:tc>
          <w:tcPr>
            <w:tcW w:w="8460" w:type="dxa"/>
            <w:gridSpan w:val="5"/>
          </w:tcPr>
          <w:p w:rsidR="00550C31" w:rsidRPr="005C3CD3" w:rsidRDefault="00550C31" w:rsidP="00C77ACF">
            <w:pPr>
              <w:rPr>
                <w:rFonts w:ascii="Arial Narrow" w:hAnsi="Arial Narrow"/>
                <w:szCs w:val="22"/>
              </w:rPr>
            </w:pPr>
            <w:r w:rsidRPr="005C3CD3">
              <w:rPr>
                <w:rFonts w:ascii="Arial Narrow" w:hAnsi="Arial Narrow"/>
                <w:szCs w:val="22"/>
              </w:rPr>
              <w:t xml:space="preserve">18 months </w:t>
            </w:r>
          </w:p>
        </w:tc>
      </w:tr>
      <w:tr w:rsidR="00550C31" w:rsidRPr="005C3CD3" w:rsidTr="005C3CD3">
        <w:tc>
          <w:tcPr>
            <w:tcW w:w="2520" w:type="dxa"/>
          </w:tcPr>
          <w:p w:rsidR="00550C31" w:rsidRPr="005C3CD3" w:rsidRDefault="00550C31" w:rsidP="00C77ACF">
            <w:pPr>
              <w:rPr>
                <w:rFonts w:ascii="Arial Narrow" w:hAnsi="Arial Narrow"/>
                <w:b/>
                <w:szCs w:val="22"/>
              </w:rPr>
            </w:pPr>
            <w:r w:rsidRPr="005C3CD3">
              <w:rPr>
                <w:rFonts w:ascii="Arial Narrow" w:hAnsi="Arial Narrow"/>
                <w:b/>
                <w:szCs w:val="22"/>
              </w:rPr>
              <w:t>Approval  Date (SC)</w:t>
            </w:r>
          </w:p>
        </w:tc>
        <w:tc>
          <w:tcPr>
            <w:tcW w:w="2070" w:type="dxa"/>
          </w:tcPr>
          <w:p w:rsidR="00550C31" w:rsidRPr="005C3CD3" w:rsidRDefault="00550C31" w:rsidP="00A175A1">
            <w:pPr>
              <w:rPr>
                <w:rFonts w:ascii="Arial Narrow" w:hAnsi="Arial Narrow"/>
                <w:szCs w:val="22"/>
              </w:rPr>
            </w:pPr>
            <w:r w:rsidRPr="005C3CD3">
              <w:rPr>
                <w:rFonts w:ascii="Arial Narrow" w:hAnsi="Arial Narrow"/>
                <w:szCs w:val="22"/>
              </w:rPr>
              <w:t>2</w:t>
            </w:r>
            <w:r>
              <w:rPr>
                <w:rFonts w:ascii="Arial Narrow" w:hAnsi="Arial Narrow"/>
                <w:szCs w:val="22"/>
              </w:rPr>
              <w:t>3</w:t>
            </w:r>
            <w:r w:rsidRPr="005C3CD3">
              <w:rPr>
                <w:rFonts w:ascii="Arial Narrow" w:hAnsi="Arial Narrow"/>
                <w:szCs w:val="22"/>
              </w:rPr>
              <w:t xml:space="preserve"> Feb 2010</w:t>
            </w:r>
          </w:p>
        </w:tc>
        <w:tc>
          <w:tcPr>
            <w:tcW w:w="1530" w:type="dxa"/>
          </w:tcPr>
          <w:p w:rsidR="00550C31" w:rsidRPr="005C3CD3" w:rsidRDefault="00550C31" w:rsidP="00C77ACF">
            <w:pPr>
              <w:rPr>
                <w:rFonts w:ascii="Arial Narrow" w:hAnsi="Arial Narrow"/>
                <w:b/>
                <w:szCs w:val="22"/>
              </w:rPr>
            </w:pPr>
            <w:r w:rsidRPr="005C3CD3">
              <w:rPr>
                <w:rFonts w:ascii="Arial Narrow" w:hAnsi="Arial Narrow"/>
                <w:b/>
                <w:szCs w:val="22"/>
              </w:rPr>
              <w:t>Starting Date</w:t>
            </w:r>
          </w:p>
        </w:tc>
        <w:tc>
          <w:tcPr>
            <w:tcW w:w="1440" w:type="dxa"/>
          </w:tcPr>
          <w:p w:rsidR="00550C31" w:rsidRPr="005C3CD3" w:rsidRDefault="00550C31" w:rsidP="00C77ACF">
            <w:pPr>
              <w:rPr>
                <w:rFonts w:ascii="Arial Narrow" w:hAnsi="Arial Narrow"/>
                <w:bCs/>
                <w:szCs w:val="22"/>
              </w:rPr>
            </w:pPr>
            <w:r>
              <w:rPr>
                <w:rFonts w:ascii="Arial Narrow" w:hAnsi="Arial Narrow"/>
                <w:bCs/>
                <w:szCs w:val="22"/>
              </w:rPr>
              <w:t xml:space="preserve">02 </w:t>
            </w:r>
            <w:r w:rsidRPr="005C3CD3">
              <w:rPr>
                <w:rFonts w:ascii="Arial Narrow" w:hAnsi="Arial Narrow"/>
                <w:bCs/>
                <w:szCs w:val="22"/>
              </w:rPr>
              <w:t>March 2010</w:t>
            </w:r>
          </w:p>
        </w:tc>
        <w:tc>
          <w:tcPr>
            <w:tcW w:w="1890" w:type="dxa"/>
          </w:tcPr>
          <w:p w:rsidR="00550C31" w:rsidRPr="005C3CD3" w:rsidRDefault="00550C31" w:rsidP="00C77ACF">
            <w:pPr>
              <w:rPr>
                <w:rFonts w:ascii="Arial Narrow" w:hAnsi="Arial Narrow"/>
                <w:b/>
                <w:szCs w:val="22"/>
              </w:rPr>
            </w:pPr>
            <w:r w:rsidRPr="005C3CD3">
              <w:rPr>
                <w:rFonts w:ascii="Arial Narrow" w:hAnsi="Arial Narrow"/>
                <w:b/>
                <w:szCs w:val="22"/>
              </w:rPr>
              <w:t xml:space="preserve">Completion Date   </w:t>
            </w:r>
          </w:p>
        </w:tc>
        <w:tc>
          <w:tcPr>
            <w:tcW w:w="1530" w:type="dxa"/>
          </w:tcPr>
          <w:p w:rsidR="00550C31" w:rsidRPr="005C3CD3" w:rsidRDefault="00550C31" w:rsidP="00817F5D">
            <w:pPr>
              <w:rPr>
                <w:rFonts w:ascii="Arial Narrow" w:hAnsi="Arial Narrow"/>
                <w:bCs/>
                <w:szCs w:val="22"/>
              </w:rPr>
            </w:pPr>
            <w:r>
              <w:rPr>
                <w:rFonts w:ascii="Arial Narrow" w:hAnsi="Arial Narrow"/>
                <w:bCs/>
                <w:szCs w:val="22"/>
              </w:rPr>
              <w:t xml:space="preserve">02 Sep </w:t>
            </w:r>
            <w:r w:rsidRPr="005C3CD3">
              <w:rPr>
                <w:rFonts w:ascii="Arial Narrow" w:hAnsi="Arial Narrow"/>
                <w:bCs/>
                <w:szCs w:val="22"/>
              </w:rPr>
              <w:t xml:space="preserve"> 2011</w:t>
            </w:r>
          </w:p>
          <w:p w:rsidR="00550C31" w:rsidRPr="005C3CD3" w:rsidRDefault="00550C31" w:rsidP="00C77ACF">
            <w:pPr>
              <w:rPr>
                <w:rFonts w:ascii="Arial Narrow" w:hAnsi="Arial Narrow"/>
                <w:bCs/>
                <w:szCs w:val="22"/>
              </w:rPr>
            </w:pPr>
          </w:p>
        </w:tc>
      </w:tr>
      <w:tr w:rsidR="00550C31" w:rsidRPr="005C3CD3" w:rsidTr="005C3CD3">
        <w:tc>
          <w:tcPr>
            <w:tcW w:w="2520" w:type="dxa"/>
          </w:tcPr>
          <w:p w:rsidR="00550C31" w:rsidRPr="005C3CD3" w:rsidRDefault="00550C31" w:rsidP="00C77ACF">
            <w:pPr>
              <w:rPr>
                <w:rFonts w:ascii="Arial Narrow" w:hAnsi="Arial Narrow"/>
                <w:b/>
                <w:szCs w:val="22"/>
              </w:rPr>
            </w:pPr>
            <w:r w:rsidRPr="005C3CD3">
              <w:rPr>
                <w:rFonts w:ascii="Arial Narrow" w:hAnsi="Arial Narrow"/>
                <w:b/>
                <w:szCs w:val="22"/>
              </w:rPr>
              <w:t>Project Description</w:t>
            </w:r>
          </w:p>
        </w:tc>
        <w:tc>
          <w:tcPr>
            <w:tcW w:w="8460" w:type="dxa"/>
            <w:gridSpan w:val="5"/>
          </w:tcPr>
          <w:p w:rsidR="00550C31" w:rsidRPr="005C3CD3" w:rsidRDefault="00550C31" w:rsidP="00802C29">
            <w:pPr>
              <w:autoSpaceDE w:val="0"/>
              <w:autoSpaceDN w:val="0"/>
              <w:adjustRightInd w:val="0"/>
              <w:jc w:val="lowKashida"/>
              <w:rPr>
                <w:rFonts w:ascii="Arial Narrow" w:hAnsi="Arial Narrow"/>
                <w:bCs/>
                <w:szCs w:val="22"/>
                <w:lang w:eastAsia="en-GB"/>
              </w:rPr>
            </w:pPr>
            <w:r w:rsidRPr="005C3CD3">
              <w:rPr>
                <w:rFonts w:ascii="Arial Narrow" w:hAnsi="Arial Narrow"/>
                <w:bCs/>
                <w:szCs w:val="22"/>
              </w:rPr>
              <w:t>In response to the huge measles outbreak of 2008 and first half of 2009, which led to 38,000 measles cases and 200 deaths, WHO, UNICEF and the Center for Disease Control (CDC) in Atlanta held several meetings and technical consultations and advised the Ministry of Health (MoH) to conduct high quality, nationwide house to house measles and poliomyelitis (polio) campaigns to stop the outbreak and boost population immunity against measles and poliomyelitis viruses MoH accepted the technical consultation recommendations and requested WHO and UNICEF to monitor the planning and implementation of the campaigns as well as provide the needed support to enable MoH develop the needed integrated epidemiological, laboratory and programme monitoring network to strengthen surveillance of Vaccine Preventable Disease (VPDs) and monitoring of immunization programme performance. While the MoH is able to provide the materials and staff to undertake such campaigns, this joint programme is a direct response to a MoH request to WHO and UNICEF to provide continued technical and logistic support to ensure the quality of nationwide vaccination campaigns, routine monitoring of immunization programme performance and optimizing the surveillance of vaccine preventable diseases (VPDs)  and to establish a network to continue such activities This network will provide the high quality information needed to measure the impact of vaccines and maximize their safe, effective and equitable use at country, regional and local levels to reduce or eliminate the burden of VPDs and clearly contribute to the reduction of under 5 and infant mortality and morbidity, as well as improve the quality of life of children and families.</w:t>
            </w:r>
          </w:p>
        </w:tc>
      </w:tr>
    </w:tbl>
    <w:p w:rsidR="00550C31" w:rsidRPr="005C3CD3" w:rsidRDefault="00550C31" w:rsidP="00C77ACF">
      <w:pPr>
        <w:rPr>
          <w:rFonts w:ascii="Arial Narrow" w:hAnsi="Arial Narrow"/>
          <w:szCs w:val="22"/>
        </w:rPr>
      </w:pPr>
    </w:p>
    <w:tbl>
      <w:tblPr>
        <w:tblW w:w="10980" w:type="dxa"/>
        <w:tblInd w:w="-1152" w:type="dxa"/>
        <w:tblLook w:val="01E0"/>
      </w:tblPr>
      <w:tblGrid>
        <w:gridCol w:w="10980"/>
      </w:tblGrid>
      <w:tr w:rsidR="00550C31" w:rsidRPr="005C3CD3" w:rsidTr="005C3CD3">
        <w:trPr>
          <w:trHeight w:val="368"/>
        </w:trPr>
        <w:tc>
          <w:tcPr>
            <w:tcW w:w="10980" w:type="dxa"/>
            <w:tcBorders>
              <w:top w:val="single" w:sz="4" w:space="0" w:color="auto"/>
              <w:left w:val="single" w:sz="4" w:space="0" w:color="auto"/>
              <w:bottom w:val="single" w:sz="4" w:space="0" w:color="auto"/>
              <w:right w:val="single" w:sz="4" w:space="0" w:color="auto"/>
            </w:tcBorders>
            <w:shd w:val="clear" w:color="auto" w:fill="D9D9D9"/>
          </w:tcPr>
          <w:p w:rsidR="00550C31" w:rsidRPr="005C3CD3" w:rsidRDefault="00550C31" w:rsidP="00BC7C38">
            <w:pPr>
              <w:outlineLvl w:val="0"/>
              <w:rPr>
                <w:rFonts w:ascii="Arial Narrow" w:hAnsi="Arial Narrow"/>
                <w:szCs w:val="22"/>
              </w:rPr>
            </w:pPr>
            <w:r w:rsidRPr="005C3CD3">
              <w:rPr>
                <w:rFonts w:ascii="Arial Narrow" w:hAnsi="Arial Narrow"/>
                <w:b/>
                <w:szCs w:val="22"/>
              </w:rPr>
              <w:t>Development Goal and Immediate Objectives</w:t>
            </w:r>
          </w:p>
        </w:tc>
      </w:tr>
      <w:tr w:rsidR="00550C31" w:rsidRPr="005C3CD3" w:rsidTr="005C3CD3">
        <w:trPr>
          <w:trHeight w:val="890"/>
        </w:trPr>
        <w:tc>
          <w:tcPr>
            <w:tcW w:w="10980" w:type="dxa"/>
            <w:tcBorders>
              <w:top w:val="single" w:sz="4" w:space="0" w:color="auto"/>
              <w:left w:val="single" w:sz="4" w:space="0" w:color="auto"/>
              <w:bottom w:val="single" w:sz="4" w:space="0" w:color="auto"/>
              <w:right w:val="single" w:sz="4" w:space="0" w:color="auto"/>
            </w:tcBorders>
          </w:tcPr>
          <w:p w:rsidR="00550C31" w:rsidRPr="005C3CD3" w:rsidRDefault="00550C31" w:rsidP="00711E4E">
            <w:pPr>
              <w:rPr>
                <w:rFonts w:ascii="Arial Narrow" w:hAnsi="Arial Narrow"/>
                <w:szCs w:val="22"/>
              </w:rPr>
            </w:pPr>
            <w:r w:rsidRPr="005C3CD3">
              <w:rPr>
                <w:rFonts w:ascii="Arial Narrow" w:hAnsi="Arial Narrow"/>
                <w:lang w:val="en-US"/>
              </w:rPr>
              <w:t xml:space="preserve"> </w:t>
            </w:r>
            <w:r w:rsidRPr="005C3CD3">
              <w:rPr>
                <w:rFonts w:ascii="Arial Narrow" w:hAnsi="Arial Narrow"/>
                <w:szCs w:val="22"/>
              </w:rPr>
              <w:t>This Programme, via its major components, is designed to ensure that:</w:t>
            </w:r>
          </w:p>
          <w:p w:rsidR="00550C31" w:rsidRPr="005C3CD3" w:rsidRDefault="00550C31" w:rsidP="00711E4E">
            <w:pPr>
              <w:widowControl/>
              <w:numPr>
                <w:ilvl w:val="0"/>
                <w:numId w:val="7"/>
              </w:numPr>
              <w:spacing w:after="120"/>
              <w:rPr>
                <w:rFonts w:ascii="Arial Narrow" w:hAnsi="Arial Narrow"/>
                <w:szCs w:val="22"/>
              </w:rPr>
            </w:pPr>
            <w:r w:rsidRPr="005C3CD3">
              <w:rPr>
                <w:rFonts w:ascii="Arial Narrow" w:hAnsi="Arial Narrow"/>
                <w:szCs w:val="22"/>
              </w:rPr>
              <w:t xml:space="preserve">All children targeted by national measles and polio, house to house immunization campaigns are reached and vaccinated by supporting Medical schools and Iraqi Red Crescent Society to independently monitor these activities; verify to what degree administrative reports reflect the real vaccination coverage, identify campaigns planning and implementation gaps and problems; develop appropriate strategies to immunize children who were missed during campaigns; </w:t>
            </w:r>
          </w:p>
          <w:p w:rsidR="00550C31" w:rsidRPr="005C3CD3" w:rsidRDefault="00550C31" w:rsidP="00711E4E">
            <w:pPr>
              <w:widowControl/>
              <w:numPr>
                <w:ilvl w:val="0"/>
                <w:numId w:val="7"/>
              </w:numPr>
              <w:spacing w:after="120"/>
              <w:rPr>
                <w:rFonts w:ascii="Arial Narrow" w:hAnsi="Arial Narrow"/>
                <w:szCs w:val="22"/>
              </w:rPr>
            </w:pPr>
            <w:r w:rsidRPr="005C3CD3">
              <w:rPr>
                <w:rFonts w:ascii="Arial Narrow" w:hAnsi="Arial Narrow"/>
                <w:szCs w:val="22"/>
              </w:rPr>
              <w:t xml:space="preserve">High quality Social mobilization activities are designed and implemented to increase family and community demand for immunization; </w:t>
            </w:r>
          </w:p>
          <w:p w:rsidR="00550C31" w:rsidRPr="005C3CD3" w:rsidRDefault="00550C31" w:rsidP="00711E4E">
            <w:pPr>
              <w:widowControl/>
              <w:numPr>
                <w:ilvl w:val="0"/>
                <w:numId w:val="7"/>
              </w:numPr>
              <w:spacing w:after="120"/>
              <w:rPr>
                <w:rFonts w:ascii="Arial Narrow" w:hAnsi="Arial Narrow"/>
                <w:szCs w:val="22"/>
              </w:rPr>
            </w:pPr>
            <w:r w:rsidRPr="005C3CD3">
              <w:rPr>
                <w:rFonts w:ascii="Arial Narrow" w:hAnsi="Arial Narrow"/>
                <w:szCs w:val="22"/>
              </w:rPr>
              <w:t>The needed technical and other support is provided to MoH  to conduct a nationwide serosurvey to assess the disease burden of measles, rubella, tetanus and hepatitis B diseases;</w:t>
            </w:r>
          </w:p>
          <w:p w:rsidR="00550C31" w:rsidRPr="005C3CD3" w:rsidRDefault="00550C31" w:rsidP="0084480E">
            <w:pPr>
              <w:widowControl/>
              <w:numPr>
                <w:ilvl w:val="0"/>
                <w:numId w:val="7"/>
              </w:numPr>
              <w:rPr>
                <w:rFonts w:ascii="Arial Narrow" w:hAnsi="Arial Narrow"/>
                <w:szCs w:val="22"/>
              </w:rPr>
            </w:pPr>
            <w:r w:rsidRPr="005C3CD3">
              <w:rPr>
                <w:rFonts w:ascii="Arial Narrow" w:hAnsi="Arial Narrow"/>
                <w:szCs w:val="22"/>
              </w:rPr>
              <w:t>MoH capacity for high quality measles and poliomyelitis case based and laboratory surveillance are sustained through training, provision of specialized equipment, reagents as well as quality control procedures;</w:t>
            </w:r>
          </w:p>
          <w:p w:rsidR="00550C31" w:rsidRPr="005C3CD3" w:rsidRDefault="00550C31" w:rsidP="00711E4E">
            <w:pPr>
              <w:pStyle w:val="BodyText"/>
              <w:autoSpaceDE w:val="0"/>
              <w:autoSpaceDN w:val="0"/>
              <w:spacing w:after="120"/>
              <w:ind w:right="-7"/>
              <w:jc w:val="lowKashida"/>
              <w:rPr>
                <w:rFonts w:ascii="Arial Narrow" w:hAnsi="Arial Narrow"/>
              </w:rPr>
            </w:pPr>
            <w:r w:rsidRPr="005C3CD3">
              <w:rPr>
                <w:rFonts w:ascii="Arial Narrow" w:hAnsi="Arial Narrow"/>
                <w:bCs/>
                <w:szCs w:val="22"/>
              </w:rPr>
              <w:t xml:space="preserve">All these activities will be undertaken through building the capacity of the responsible health and other authorities. </w:t>
            </w:r>
          </w:p>
        </w:tc>
      </w:tr>
    </w:tbl>
    <w:p w:rsidR="00550C31" w:rsidRPr="005C3CD3" w:rsidRDefault="00550C31" w:rsidP="00C77ACF">
      <w:pPr>
        <w:rPr>
          <w:rFonts w:ascii="Arial Narrow" w:hAnsi="Arial Narrow"/>
          <w:szCs w:val="22"/>
        </w:rPr>
      </w:pPr>
    </w:p>
    <w:tbl>
      <w:tblPr>
        <w:tblW w:w="109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0"/>
        <w:gridCol w:w="9480"/>
      </w:tblGrid>
      <w:tr w:rsidR="00550C31" w:rsidRPr="005C3CD3" w:rsidTr="005C3CD3">
        <w:tc>
          <w:tcPr>
            <w:tcW w:w="10980" w:type="dxa"/>
            <w:gridSpan w:val="2"/>
            <w:shd w:val="clear" w:color="auto" w:fill="D9D9D9"/>
          </w:tcPr>
          <w:p w:rsidR="00550C31" w:rsidRPr="005C3CD3" w:rsidRDefault="00550C31" w:rsidP="00D3136F">
            <w:pPr>
              <w:outlineLvl w:val="0"/>
              <w:rPr>
                <w:rFonts w:ascii="Arial Narrow" w:hAnsi="Arial Narrow"/>
                <w:b/>
                <w:szCs w:val="22"/>
              </w:rPr>
            </w:pPr>
            <w:r w:rsidRPr="005C3CD3">
              <w:rPr>
                <w:rFonts w:ascii="Arial Narrow" w:hAnsi="Arial Narrow"/>
                <w:b/>
                <w:szCs w:val="22"/>
              </w:rPr>
              <w:t>Outputs, Key activities and Procurement</w:t>
            </w:r>
          </w:p>
        </w:tc>
      </w:tr>
      <w:tr w:rsidR="00550C31" w:rsidRPr="005C3CD3" w:rsidTr="005C3CD3">
        <w:tc>
          <w:tcPr>
            <w:tcW w:w="1500" w:type="dxa"/>
          </w:tcPr>
          <w:p w:rsidR="00550C31" w:rsidRPr="005C3CD3" w:rsidRDefault="00550C31" w:rsidP="00C77ACF">
            <w:pPr>
              <w:rPr>
                <w:rFonts w:ascii="Arial Narrow" w:hAnsi="Arial Narrow"/>
                <w:b/>
                <w:szCs w:val="22"/>
              </w:rPr>
            </w:pPr>
            <w:r w:rsidRPr="005C3CD3">
              <w:rPr>
                <w:rFonts w:ascii="Arial Narrow" w:hAnsi="Arial Narrow"/>
                <w:b/>
                <w:szCs w:val="22"/>
              </w:rPr>
              <w:t>Outputs</w:t>
            </w:r>
          </w:p>
        </w:tc>
        <w:tc>
          <w:tcPr>
            <w:tcW w:w="9480" w:type="dxa"/>
          </w:tcPr>
          <w:p w:rsidR="00550C31" w:rsidRPr="005C3CD3" w:rsidRDefault="00550C31" w:rsidP="001A6753">
            <w:pPr>
              <w:widowControl/>
              <w:numPr>
                <w:ilvl w:val="0"/>
                <w:numId w:val="12"/>
              </w:numPr>
              <w:spacing w:after="120"/>
              <w:rPr>
                <w:rFonts w:ascii="Arial Narrow" w:hAnsi="Arial Narrow"/>
                <w:szCs w:val="22"/>
              </w:rPr>
            </w:pPr>
            <w:r w:rsidRPr="005C3CD3">
              <w:rPr>
                <w:rFonts w:ascii="Arial Narrow" w:hAnsi="Arial Narrow"/>
                <w:szCs w:val="22"/>
              </w:rPr>
              <w:t xml:space="preserve">MoH is better able to monitor routine and supplementary immunization activities </w:t>
            </w:r>
          </w:p>
          <w:p w:rsidR="00550C31" w:rsidRPr="005C3CD3" w:rsidRDefault="00550C31" w:rsidP="001A6753">
            <w:pPr>
              <w:widowControl/>
              <w:numPr>
                <w:ilvl w:val="0"/>
                <w:numId w:val="12"/>
              </w:numPr>
              <w:spacing w:after="120"/>
              <w:rPr>
                <w:rFonts w:ascii="Arial Narrow" w:hAnsi="Arial Narrow"/>
                <w:szCs w:val="22"/>
              </w:rPr>
            </w:pPr>
            <w:r w:rsidRPr="005C3CD3">
              <w:rPr>
                <w:rFonts w:ascii="Arial Narrow" w:hAnsi="Arial Narrow"/>
                <w:szCs w:val="22"/>
              </w:rPr>
              <w:t xml:space="preserve">Health authorities and communities, especially in hard to reach and low coverage areas, are more aware of the importance of measles, polio (OPV) and other infant vaccinations </w:t>
            </w:r>
          </w:p>
          <w:p w:rsidR="00550C31" w:rsidRPr="005C3CD3" w:rsidRDefault="00550C31" w:rsidP="001A6753">
            <w:pPr>
              <w:widowControl/>
              <w:numPr>
                <w:ilvl w:val="0"/>
                <w:numId w:val="12"/>
              </w:numPr>
              <w:spacing w:after="120"/>
              <w:rPr>
                <w:rFonts w:ascii="Arial Narrow" w:hAnsi="Arial Narrow"/>
                <w:szCs w:val="22"/>
              </w:rPr>
            </w:pPr>
            <w:r w:rsidRPr="005C3CD3">
              <w:rPr>
                <w:rFonts w:ascii="Arial Narrow" w:hAnsi="Arial Narrow"/>
                <w:szCs w:val="22"/>
              </w:rPr>
              <w:t xml:space="preserve">MoH has improved capacities for planning and implementing outreach immunization activities </w:t>
            </w:r>
          </w:p>
          <w:p w:rsidR="00550C31" w:rsidRPr="005C3CD3" w:rsidRDefault="00550C31" w:rsidP="001A6753">
            <w:pPr>
              <w:widowControl/>
              <w:numPr>
                <w:ilvl w:val="0"/>
                <w:numId w:val="12"/>
              </w:numPr>
              <w:spacing w:after="120"/>
              <w:rPr>
                <w:rFonts w:ascii="Arial Narrow" w:hAnsi="Arial Narrow"/>
                <w:szCs w:val="22"/>
              </w:rPr>
            </w:pPr>
            <w:r w:rsidRPr="005C3CD3">
              <w:rPr>
                <w:rFonts w:ascii="Arial Narrow" w:hAnsi="Arial Narrow"/>
                <w:szCs w:val="22"/>
              </w:rPr>
              <w:t xml:space="preserve">MoH has improved capacity for case based surveillance for measles and poliomyelitis </w:t>
            </w:r>
          </w:p>
          <w:p w:rsidR="00550C31" w:rsidRPr="005C3CD3" w:rsidRDefault="00550C31" w:rsidP="001A6753">
            <w:pPr>
              <w:widowControl/>
              <w:numPr>
                <w:ilvl w:val="0"/>
                <w:numId w:val="12"/>
              </w:numPr>
              <w:spacing w:after="120"/>
              <w:rPr>
                <w:rFonts w:ascii="Arial Narrow" w:hAnsi="Arial Narrow"/>
                <w:szCs w:val="22"/>
              </w:rPr>
            </w:pPr>
            <w:r w:rsidRPr="005C3CD3">
              <w:rPr>
                <w:rFonts w:ascii="Arial Narrow" w:hAnsi="Arial Narrow"/>
                <w:szCs w:val="22"/>
              </w:rPr>
              <w:t>MoH has improved capacity to access the burden of measles, rubella, tetanus and hepatitis B diseases</w:t>
            </w:r>
          </w:p>
        </w:tc>
      </w:tr>
      <w:tr w:rsidR="00550C31" w:rsidRPr="005C3CD3" w:rsidTr="005C3CD3">
        <w:tc>
          <w:tcPr>
            <w:tcW w:w="1500" w:type="dxa"/>
          </w:tcPr>
          <w:p w:rsidR="00550C31" w:rsidRPr="005C3CD3" w:rsidRDefault="00550C31" w:rsidP="00C77ACF">
            <w:pPr>
              <w:rPr>
                <w:rFonts w:ascii="Arial Narrow" w:hAnsi="Arial Narrow"/>
                <w:b/>
                <w:szCs w:val="22"/>
              </w:rPr>
            </w:pPr>
            <w:r w:rsidRPr="005C3CD3">
              <w:rPr>
                <w:rFonts w:ascii="Arial Narrow" w:hAnsi="Arial Narrow"/>
                <w:b/>
                <w:szCs w:val="22"/>
              </w:rPr>
              <w:t>Activities</w:t>
            </w:r>
          </w:p>
        </w:tc>
        <w:tc>
          <w:tcPr>
            <w:tcW w:w="9480" w:type="dxa"/>
          </w:tcPr>
          <w:p w:rsidR="00550C31" w:rsidRPr="005C3CD3" w:rsidRDefault="00550C31" w:rsidP="001A6753">
            <w:pPr>
              <w:widowControl/>
              <w:numPr>
                <w:ilvl w:val="0"/>
                <w:numId w:val="13"/>
              </w:numPr>
              <w:spacing w:after="120"/>
              <w:rPr>
                <w:rFonts w:ascii="Arial Narrow" w:hAnsi="Arial Narrow"/>
                <w:szCs w:val="22"/>
              </w:rPr>
            </w:pPr>
            <w:r w:rsidRPr="005C3CD3">
              <w:rPr>
                <w:rFonts w:ascii="Arial Narrow" w:hAnsi="Arial Narrow"/>
                <w:szCs w:val="22"/>
              </w:rPr>
              <w:t>Contract Iraq Red Cross/Crescent Society (IRCS) and medical schools to independently monitor national measles and polio vaccination campaigns</w:t>
            </w:r>
          </w:p>
          <w:p w:rsidR="00550C31" w:rsidRPr="005C3CD3" w:rsidRDefault="00550C31" w:rsidP="001A6753">
            <w:pPr>
              <w:widowControl/>
              <w:numPr>
                <w:ilvl w:val="0"/>
                <w:numId w:val="13"/>
              </w:numPr>
              <w:spacing w:after="120"/>
              <w:rPr>
                <w:rFonts w:ascii="Arial Narrow" w:hAnsi="Arial Narrow"/>
                <w:szCs w:val="22"/>
              </w:rPr>
            </w:pPr>
            <w:r w:rsidRPr="005C3CD3">
              <w:rPr>
                <w:rFonts w:ascii="Arial Narrow" w:hAnsi="Arial Narrow"/>
                <w:szCs w:val="22"/>
              </w:rPr>
              <w:t xml:space="preserve">Engage community members, non-governmental organizations and interest groups in immunization advocacy and implementation </w:t>
            </w:r>
          </w:p>
          <w:p w:rsidR="00550C31" w:rsidRPr="005C3CD3" w:rsidRDefault="00550C31" w:rsidP="001A6753">
            <w:pPr>
              <w:widowControl/>
              <w:numPr>
                <w:ilvl w:val="0"/>
                <w:numId w:val="13"/>
              </w:numPr>
              <w:spacing w:after="120"/>
              <w:rPr>
                <w:rFonts w:ascii="Arial Narrow" w:hAnsi="Arial Narrow"/>
                <w:szCs w:val="22"/>
              </w:rPr>
            </w:pPr>
            <w:r w:rsidRPr="005C3CD3">
              <w:rPr>
                <w:rFonts w:ascii="Arial Narrow" w:hAnsi="Arial Narrow"/>
                <w:szCs w:val="22"/>
              </w:rPr>
              <w:t>Ensure ways of targeting un-reached communities, establishing well informed community demand, and addressing the problem of immunization refusal</w:t>
            </w:r>
          </w:p>
          <w:p w:rsidR="00550C31" w:rsidRPr="005C3CD3" w:rsidRDefault="00550C31" w:rsidP="001A6753">
            <w:pPr>
              <w:widowControl/>
              <w:numPr>
                <w:ilvl w:val="0"/>
                <w:numId w:val="13"/>
              </w:numPr>
              <w:spacing w:after="120"/>
              <w:rPr>
                <w:rFonts w:ascii="Arial Narrow" w:hAnsi="Arial Narrow"/>
                <w:szCs w:val="22"/>
              </w:rPr>
            </w:pPr>
            <w:r w:rsidRPr="005C3CD3">
              <w:rPr>
                <w:rFonts w:ascii="Arial Narrow" w:hAnsi="Arial Narrow"/>
                <w:szCs w:val="22"/>
              </w:rPr>
              <w:t xml:space="preserve">Strengthen the managerial skills of national and district immunization providers and managers and develop and update supervisory mechanism and tools </w:t>
            </w:r>
          </w:p>
          <w:p w:rsidR="00550C31" w:rsidRPr="005C3CD3" w:rsidRDefault="00550C31" w:rsidP="001A6753">
            <w:pPr>
              <w:widowControl/>
              <w:numPr>
                <w:ilvl w:val="0"/>
                <w:numId w:val="13"/>
              </w:numPr>
              <w:spacing w:after="120"/>
              <w:rPr>
                <w:rFonts w:ascii="Arial Narrow" w:hAnsi="Arial Narrow"/>
                <w:szCs w:val="22"/>
              </w:rPr>
            </w:pPr>
            <w:r w:rsidRPr="005C3CD3">
              <w:rPr>
                <w:rFonts w:ascii="Arial Narrow" w:hAnsi="Arial Narrow"/>
                <w:szCs w:val="22"/>
              </w:rPr>
              <w:t xml:space="preserve">Expand the existing system for polio and measles surveillance systems for polio and measles surveillance in order to progress towards effective case based surveillance for vaccine preventable diseases </w:t>
            </w:r>
          </w:p>
          <w:p w:rsidR="00550C31" w:rsidRPr="005C3CD3" w:rsidRDefault="00550C31" w:rsidP="001A6753">
            <w:pPr>
              <w:widowControl/>
              <w:numPr>
                <w:ilvl w:val="0"/>
                <w:numId w:val="13"/>
              </w:numPr>
              <w:spacing w:after="120"/>
              <w:rPr>
                <w:rFonts w:ascii="Arial Narrow" w:hAnsi="Arial Narrow"/>
                <w:szCs w:val="22"/>
              </w:rPr>
            </w:pPr>
            <w:r w:rsidRPr="005C3CD3">
              <w:rPr>
                <w:rFonts w:ascii="Arial Narrow" w:hAnsi="Arial Narrow"/>
                <w:szCs w:val="22"/>
              </w:rPr>
              <w:t xml:space="preserve">Assure that sustainable systems for training, equipment and quality control procedures needed to sustain high quality diagnostics for measles and poliomyelitis are in place </w:t>
            </w:r>
          </w:p>
          <w:p w:rsidR="00550C31" w:rsidRPr="005C3CD3" w:rsidRDefault="00550C31" w:rsidP="001A6753">
            <w:pPr>
              <w:widowControl/>
              <w:numPr>
                <w:ilvl w:val="0"/>
                <w:numId w:val="13"/>
              </w:numPr>
              <w:spacing w:after="120"/>
              <w:rPr>
                <w:rFonts w:ascii="Arial Narrow" w:hAnsi="Arial Narrow"/>
                <w:szCs w:val="22"/>
              </w:rPr>
            </w:pPr>
            <w:r w:rsidRPr="005C3CD3">
              <w:rPr>
                <w:rFonts w:ascii="Arial Narrow" w:hAnsi="Arial Narrow"/>
                <w:szCs w:val="22"/>
              </w:rPr>
              <w:t xml:space="preserve">Regularly review district indicators of performance, including risk status for vaccine preventable diseases and use surveillance and monitoring data to advocate for improved access to, and quality of, immunization </w:t>
            </w:r>
          </w:p>
          <w:p w:rsidR="00550C31" w:rsidRPr="005C3CD3" w:rsidRDefault="00550C31" w:rsidP="001A6753">
            <w:pPr>
              <w:widowControl/>
              <w:numPr>
                <w:ilvl w:val="0"/>
                <w:numId w:val="13"/>
              </w:numPr>
              <w:spacing w:after="120"/>
              <w:rPr>
                <w:rFonts w:ascii="Arial Narrow" w:hAnsi="Arial Narrow"/>
                <w:szCs w:val="22"/>
              </w:rPr>
            </w:pPr>
            <w:r w:rsidRPr="005C3CD3">
              <w:rPr>
                <w:rFonts w:ascii="Arial Narrow" w:hAnsi="Arial Narrow"/>
                <w:szCs w:val="22"/>
              </w:rPr>
              <w:t xml:space="preserve">Monitor the quality and performance of coverage monitoring and surveillance system through surveys, monitoring of performance indicators, data quality assessments, disease modelling and supportive supervision  </w:t>
            </w:r>
          </w:p>
          <w:p w:rsidR="00550C31" w:rsidRPr="005C3CD3" w:rsidRDefault="00550C31" w:rsidP="001A6753">
            <w:pPr>
              <w:widowControl/>
              <w:numPr>
                <w:ilvl w:val="0"/>
                <w:numId w:val="13"/>
              </w:numPr>
              <w:spacing w:after="120"/>
              <w:rPr>
                <w:rFonts w:ascii="Arial Narrow" w:hAnsi="Arial Narrow"/>
                <w:szCs w:val="22"/>
              </w:rPr>
            </w:pPr>
            <w:r w:rsidRPr="005C3CD3">
              <w:rPr>
                <w:rFonts w:ascii="Arial Narrow" w:hAnsi="Arial Narrow"/>
                <w:szCs w:val="22"/>
              </w:rPr>
              <w:t>Related IEC materials/tools developed , procured, distributed</w:t>
            </w:r>
          </w:p>
          <w:p w:rsidR="00550C31" w:rsidRPr="005C3CD3" w:rsidRDefault="00550C31" w:rsidP="001A6753">
            <w:pPr>
              <w:widowControl/>
              <w:numPr>
                <w:ilvl w:val="0"/>
                <w:numId w:val="13"/>
              </w:numPr>
              <w:spacing w:after="120"/>
              <w:rPr>
                <w:rFonts w:ascii="Arial Narrow" w:hAnsi="Arial Narrow"/>
                <w:szCs w:val="22"/>
              </w:rPr>
            </w:pPr>
            <w:r w:rsidRPr="005C3CD3">
              <w:rPr>
                <w:rFonts w:ascii="Arial Narrow" w:hAnsi="Arial Narrow"/>
                <w:szCs w:val="22"/>
              </w:rPr>
              <w:t>Support social mobilization activities at the targeted districts as well as nationwide measles and polio campaigns</w:t>
            </w:r>
          </w:p>
          <w:p w:rsidR="00550C31" w:rsidRPr="005C3CD3" w:rsidRDefault="00550C31" w:rsidP="001A6753">
            <w:pPr>
              <w:widowControl/>
              <w:numPr>
                <w:ilvl w:val="0"/>
                <w:numId w:val="13"/>
              </w:numPr>
              <w:spacing w:after="120"/>
              <w:rPr>
                <w:rFonts w:ascii="Arial Narrow" w:hAnsi="Arial Narrow"/>
                <w:szCs w:val="22"/>
              </w:rPr>
            </w:pPr>
            <w:r w:rsidRPr="005C3CD3">
              <w:rPr>
                <w:rFonts w:ascii="Arial Narrow" w:hAnsi="Arial Narrow"/>
                <w:szCs w:val="22"/>
              </w:rPr>
              <w:t>Support RED approach implementation in the 19 districts with less than 80% cove rage, including field monitoring</w:t>
            </w:r>
          </w:p>
        </w:tc>
      </w:tr>
      <w:tr w:rsidR="00550C31" w:rsidRPr="005C3CD3" w:rsidTr="005C3CD3">
        <w:tc>
          <w:tcPr>
            <w:tcW w:w="1500" w:type="dxa"/>
          </w:tcPr>
          <w:p w:rsidR="00550C31" w:rsidRPr="005C3CD3" w:rsidRDefault="00550C31" w:rsidP="00C77ACF">
            <w:pPr>
              <w:rPr>
                <w:rFonts w:ascii="Arial Narrow" w:hAnsi="Arial Narrow"/>
                <w:b/>
                <w:szCs w:val="22"/>
              </w:rPr>
            </w:pPr>
            <w:r w:rsidRPr="005C3CD3">
              <w:rPr>
                <w:rFonts w:ascii="Arial Narrow" w:hAnsi="Arial Narrow"/>
                <w:b/>
                <w:szCs w:val="22"/>
              </w:rPr>
              <w:t>Procurement</w:t>
            </w:r>
          </w:p>
          <w:p w:rsidR="00550C31" w:rsidRPr="005C3CD3" w:rsidRDefault="00550C31" w:rsidP="00C77ACF">
            <w:pPr>
              <w:rPr>
                <w:rFonts w:ascii="Arial Narrow" w:hAnsi="Arial Narrow"/>
                <w:b/>
                <w:szCs w:val="22"/>
              </w:rPr>
            </w:pPr>
            <w:r w:rsidRPr="005C3CD3">
              <w:rPr>
                <w:rFonts w:ascii="Arial Narrow" w:hAnsi="Arial Narrow"/>
                <w:b/>
                <w:szCs w:val="22"/>
              </w:rPr>
              <w:t xml:space="preserve">(major items) </w:t>
            </w:r>
          </w:p>
        </w:tc>
        <w:tc>
          <w:tcPr>
            <w:tcW w:w="9480" w:type="dxa"/>
          </w:tcPr>
          <w:p w:rsidR="00550C31" w:rsidRPr="005C3CD3" w:rsidRDefault="00550C31" w:rsidP="00A175A1">
            <w:pPr>
              <w:ind w:left="57"/>
              <w:rPr>
                <w:rFonts w:ascii="Arial Narrow" w:hAnsi="Arial Narrow"/>
                <w:szCs w:val="22"/>
              </w:rPr>
            </w:pPr>
            <w:r w:rsidRPr="005C3CD3">
              <w:rPr>
                <w:rFonts w:ascii="Arial Narrow" w:hAnsi="Arial Narrow"/>
                <w:szCs w:val="22"/>
              </w:rPr>
              <w:t>Supplies reagents and laboratory kits for the National Polio Laboratory and National Measles Laboratory are under  procurement</w:t>
            </w:r>
          </w:p>
        </w:tc>
      </w:tr>
    </w:tbl>
    <w:p w:rsidR="00550C31" w:rsidRPr="005C3CD3" w:rsidRDefault="00550C31" w:rsidP="00336F17">
      <w:pPr>
        <w:tabs>
          <w:tab w:val="left" w:pos="3600"/>
        </w:tabs>
        <w:ind w:left="1440" w:firstLine="720"/>
        <w:outlineLvl w:val="0"/>
        <w:rPr>
          <w:rFonts w:ascii="Arial Narrow" w:hAnsi="Arial Narrow"/>
          <w:b/>
          <w:szCs w:val="22"/>
        </w:rPr>
      </w:pPr>
    </w:p>
    <w:tbl>
      <w:tblPr>
        <w:tblW w:w="109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0"/>
        <w:gridCol w:w="4770"/>
        <w:gridCol w:w="1777"/>
        <w:gridCol w:w="1103"/>
      </w:tblGrid>
      <w:tr w:rsidR="00550C31" w:rsidRPr="005C3CD3" w:rsidTr="005C3CD3">
        <w:trPr>
          <w:trHeight w:val="458"/>
        </w:trPr>
        <w:tc>
          <w:tcPr>
            <w:tcW w:w="3330" w:type="dxa"/>
          </w:tcPr>
          <w:p w:rsidR="00550C31" w:rsidRPr="005C3CD3" w:rsidRDefault="00550C31" w:rsidP="005C3CD3">
            <w:pPr>
              <w:rPr>
                <w:rFonts w:ascii="Arial Narrow" w:hAnsi="Arial Narrow"/>
                <w:szCs w:val="22"/>
              </w:rPr>
            </w:pPr>
            <w:r w:rsidRPr="005C3CD3">
              <w:rPr>
                <w:rFonts w:ascii="Arial Narrow" w:hAnsi="Arial Narrow"/>
                <w:szCs w:val="22"/>
              </w:rPr>
              <w:t xml:space="preserve">Funds Committed </w:t>
            </w:r>
          </w:p>
        </w:tc>
        <w:tc>
          <w:tcPr>
            <w:tcW w:w="4770" w:type="dxa"/>
          </w:tcPr>
          <w:p w:rsidR="00550C31" w:rsidRPr="005C3CD3" w:rsidRDefault="00550C31" w:rsidP="005C3CD3">
            <w:pPr>
              <w:rPr>
                <w:rFonts w:ascii="Arial Narrow" w:hAnsi="Arial Narrow"/>
                <w:szCs w:val="22"/>
              </w:rPr>
            </w:pPr>
            <w:r w:rsidRPr="005C3CD3">
              <w:rPr>
                <w:rFonts w:ascii="Arial Narrow" w:hAnsi="Arial Narrow"/>
                <w:szCs w:val="22"/>
              </w:rPr>
              <w:t>UNICEF $ 473,238.01</w:t>
            </w:r>
          </w:p>
          <w:p w:rsidR="00550C31" w:rsidRPr="005C3CD3" w:rsidRDefault="00550C31" w:rsidP="005C3CD3">
            <w:pPr>
              <w:rPr>
                <w:rFonts w:ascii="Arial Narrow" w:hAnsi="Arial Narrow"/>
                <w:szCs w:val="22"/>
              </w:rPr>
            </w:pPr>
            <w:r w:rsidRPr="005C3CD3">
              <w:rPr>
                <w:rFonts w:ascii="Arial Narrow" w:hAnsi="Arial Narrow"/>
                <w:szCs w:val="22"/>
              </w:rPr>
              <w:t>WHO $ 1,348,117</w:t>
            </w:r>
          </w:p>
        </w:tc>
        <w:tc>
          <w:tcPr>
            <w:tcW w:w="1777" w:type="dxa"/>
          </w:tcPr>
          <w:p w:rsidR="00550C31" w:rsidRPr="005C3CD3" w:rsidRDefault="00550C31" w:rsidP="005C3CD3">
            <w:pPr>
              <w:rPr>
                <w:rFonts w:ascii="Arial Narrow" w:hAnsi="Arial Narrow"/>
                <w:szCs w:val="22"/>
              </w:rPr>
            </w:pPr>
            <w:r w:rsidRPr="005C3CD3">
              <w:rPr>
                <w:rFonts w:ascii="Arial Narrow" w:hAnsi="Arial Narrow"/>
                <w:szCs w:val="22"/>
              </w:rPr>
              <w:t>% of approved</w:t>
            </w:r>
          </w:p>
        </w:tc>
        <w:tc>
          <w:tcPr>
            <w:tcW w:w="1103" w:type="dxa"/>
          </w:tcPr>
          <w:p w:rsidR="00550C31" w:rsidRPr="005C3CD3" w:rsidRDefault="00550C31" w:rsidP="005C3CD3">
            <w:pPr>
              <w:rPr>
                <w:rFonts w:ascii="Arial Narrow" w:hAnsi="Arial Narrow"/>
                <w:szCs w:val="22"/>
              </w:rPr>
            </w:pPr>
            <w:r w:rsidRPr="005C3CD3">
              <w:rPr>
                <w:rFonts w:ascii="Arial Narrow" w:hAnsi="Arial Narrow"/>
                <w:szCs w:val="22"/>
              </w:rPr>
              <w:t>47.3%</w:t>
            </w:r>
          </w:p>
          <w:p w:rsidR="00550C31" w:rsidRPr="005C3CD3" w:rsidRDefault="00550C31" w:rsidP="005C3CD3">
            <w:pPr>
              <w:rPr>
                <w:rFonts w:ascii="Arial Narrow" w:hAnsi="Arial Narrow"/>
                <w:szCs w:val="22"/>
              </w:rPr>
            </w:pPr>
            <w:r w:rsidRPr="005C3CD3">
              <w:rPr>
                <w:rFonts w:ascii="Arial Narrow" w:hAnsi="Arial Narrow"/>
                <w:szCs w:val="22"/>
              </w:rPr>
              <w:t>90 %</w:t>
            </w:r>
          </w:p>
        </w:tc>
      </w:tr>
      <w:tr w:rsidR="00550C31" w:rsidRPr="005C3CD3" w:rsidTr="005C3CD3">
        <w:tc>
          <w:tcPr>
            <w:tcW w:w="3330" w:type="dxa"/>
          </w:tcPr>
          <w:p w:rsidR="00550C31" w:rsidRPr="005C3CD3" w:rsidRDefault="00550C31" w:rsidP="005C3CD3">
            <w:pPr>
              <w:rPr>
                <w:rFonts w:ascii="Arial Narrow" w:hAnsi="Arial Narrow"/>
                <w:szCs w:val="22"/>
              </w:rPr>
            </w:pPr>
            <w:r w:rsidRPr="005C3CD3">
              <w:rPr>
                <w:rFonts w:ascii="Arial Narrow" w:hAnsi="Arial Narrow"/>
                <w:szCs w:val="22"/>
              </w:rPr>
              <w:t>Funds Disbursed</w:t>
            </w:r>
          </w:p>
        </w:tc>
        <w:tc>
          <w:tcPr>
            <w:tcW w:w="4770" w:type="dxa"/>
          </w:tcPr>
          <w:p w:rsidR="00550C31" w:rsidRPr="005C3CD3" w:rsidRDefault="00550C31" w:rsidP="005C3CD3">
            <w:pPr>
              <w:rPr>
                <w:rFonts w:ascii="Arial Narrow" w:hAnsi="Arial Narrow"/>
                <w:szCs w:val="22"/>
              </w:rPr>
            </w:pPr>
            <w:r w:rsidRPr="005C3CD3">
              <w:rPr>
                <w:rFonts w:ascii="Arial Narrow" w:hAnsi="Arial Narrow"/>
                <w:szCs w:val="22"/>
              </w:rPr>
              <w:t>UNICEF  $ 460,693.32</w:t>
            </w:r>
          </w:p>
          <w:p w:rsidR="00550C31" w:rsidRPr="005C3CD3" w:rsidRDefault="00550C31" w:rsidP="005C3CD3">
            <w:pPr>
              <w:rPr>
                <w:rFonts w:ascii="Arial Narrow" w:hAnsi="Arial Narrow"/>
                <w:szCs w:val="22"/>
              </w:rPr>
            </w:pPr>
            <w:r w:rsidRPr="005C3CD3">
              <w:rPr>
                <w:rFonts w:ascii="Arial Narrow" w:hAnsi="Arial Narrow"/>
                <w:szCs w:val="22"/>
              </w:rPr>
              <w:t>WHO  $ 1,158,517</w:t>
            </w:r>
          </w:p>
        </w:tc>
        <w:tc>
          <w:tcPr>
            <w:tcW w:w="1777" w:type="dxa"/>
          </w:tcPr>
          <w:p w:rsidR="00550C31" w:rsidRPr="005C3CD3" w:rsidRDefault="00550C31" w:rsidP="005C3CD3">
            <w:pPr>
              <w:rPr>
                <w:rFonts w:ascii="Arial Narrow" w:hAnsi="Arial Narrow"/>
                <w:szCs w:val="22"/>
              </w:rPr>
            </w:pPr>
            <w:r w:rsidRPr="005C3CD3">
              <w:rPr>
                <w:rFonts w:ascii="Arial Narrow" w:hAnsi="Arial Narrow"/>
                <w:szCs w:val="22"/>
              </w:rPr>
              <w:t>% of approved</w:t>
            </w:r>
          </w:p>
          <w:p w:rsidR="00550C31" w:rsidRPr="005C3CD3" w:rsidRDefault="00550C31" w:rsidP="005C3CD3">
            <w:pPr>
              <w:rPr>
                <w:rFonts w:ascii="Arial Narrow" w:hAnsi="Arial Narrow"/>
                <w:szCs w:val="22"/>
              </w:rPr>
            </w:pPr>
          </w:p>
        </w:tc>
        <w:tc>
          <w:tcPr>
            <w:tcW w:w="1103" w:type="dxa"/>
          </w:tcPr>
          <w:p w:rsidR="00550C31" w:rsidRPr="005C3CD3" w:rsidRDefault="00550C31" w:rsidP="005C3CD3">
            <w:pPr>
              <w:rPr>
                <w:rFonts w:ascii="Arial Narrow" w:hAnsi="Arial Narrow"/>
                <w:szCs w:val="22"/>
              </w:rPr>
            </w:pPr>
            <w:r w:rsidRPr="005C3CD3">
              <w:rPr>
                <w:rFonts w:ascii="Arial Narrow" w:hAnsi="Arial Narrow"/>
                <w:szCs w:val="22"/>
              </w:rPr>
              <w:t>46.06%</w:t>
            </w:r>
          </w:p>
          <w:p w:rsidR="00550C31" w:rsidRPr="005C3CD3" w:rsidRDefault="00550C31" w:rsidP="005C3CD3">
            <w:pPr>
              <w:rPr>
                <w:rFonts w:ascii="Arial Narrow" w:hAnsi="Arial Narrow"/>
                <w:szCs w:val="22"/>
              </w:rPr>
            </w:pPr>
            <w:r w:rsidRPr="005C3CD3">
              <w:rPr>
                <w:rFonts w:ascii="Arial Narrow" w:hAnsi="Arial Narrow"/>
                <w:szCs w:val="22"/>
              </w:rPr>
              <w:t>78%</w:t>
            </w:r>
          </w:p>
        </w:tc>
      </w:tr>
      <w:tr w:rsidR="00550C31" w:rsidRPr="005C3CD3" w:rsidTr="005C3CD3">
        <w:tc>
          <w:tcPr>
            <w:tcW w:w="3330" w:type="dxa"/>
          </w:tcPr>
          <w:p w:rsidR="00550C31" w:rsidRPr="005C3CD3" w:rsidRDefault="00550C31" w:rsidP="005C3CD3">
            <w:pPr>
              <w:rPr>
                <w:rFonts w:ascii="Arial Narrow" w:hAnsi="Arial Narrow"/>
                <w:szCs w:val="22"/>
              </w:rPr>
            </w:pPr>
            <w:r w:rsidRPr="005C3CD3">
              <w:rPr>
                <w:rFonts w:ascii="Arial Narrow" w:hAnsi="Arial Narrow"/>
                <w:szCs w:val="22"/>
              </w:rPr>
              <w:t xml:space="preserve">Forecast final date </w:t>
            </w:r>
          </w:p>
        </w:tc>
        <w:tc>
          <w:tcPr>
            <w:tcW w:w="4770" w:type="dxa"/>
          </w:tcPr>
          <w:p w:rsidR="00550C31" w:rsidRPr="005C3CD3" w:rsidRDefault="00550C31" w:rsidP="005C3CD3">
            <w:pPr>
              <w:rPr>
                <w:rFonts w:ascii="Arial Narrow" w:hAnsi="Arial Narrow"/>
                <w:szCs w:val="22"/>
              </w:rPr>
            </w:pPr>
            <w:r w:rsidRPr="005C3CD3">
              <w:rPr>
                <w:rFonts w:ascii="Arial Narrow" w:hAnsi="Arial Narrow"/>
                <w:szCs w:val="22"/>
              </w:rPr>
              <w:t>July 2011</w:t>
            </w:r>
          </w:p>
        </w:tc>
        <w:tc>
          <w:tcPr>
            <w:tcW w:w="1777" w:type="dxa"/>
          </w:tcPr>
          <w:p w:rsidR="00550C31" w:rsidRPr="005C3CD3" w:rsidRDefault="00550C31" w:rsidP="005C3CD3">
            <w:pPr>
              <w:rPr>
                <w:rFonts w:ascii="Arial Narrow" w:hAnsi="Arial Narrow"/>
                <w:szCs w:val="22"/>
              </w:rPr>
            </w:pPr>
            <w:r w:rsidRPr="005C3CD3">
              <w:rPr>
                <w:rFonts w:ascii="Arial Narrow" w:hAnsi="Arial Narrow"/>
                <w:szCs w:val="22"/>
              </w:rPr>
              <w:t>Delay (months)</w:t>
            </w:r>
          </w:p>
        </w:tc>
        <w:tc>
          <w:tcPr>
            <w:tcW w:w="1103" w:type="dxa"/>
          </w:tcPr>
          <w:p w:rsidR="00550C31" w:rsidRPr="005C3CD3" w:rsidRDefault="00550C31" w:rsidP="005C3CD3">
            <w:pPr>
              <w:rPr>
                <w:rFonts w:ascii="Arial Narrow" w:hAnsi="Arial Narrow"/>
                <w:szCs w:val="22"/>
              </w:rPr>
            </w:pPr>
            <w:r w:rsidRPr="005C3CD3">
              <w:rPr>
                <w:rFonts w:ascii="Arial Narrow" w:hAnsi="Arial Narrow"/>
                <w:szCs w:val="22"/>
              </w:rPr>
              <w:t xml:space="preserve">No delay </w:t>
            </w:r>
          </w:p>
        </w:tc>
      </w:tr>
    </w:tbl>
    <w:p w:rsidR="00550C31" w:rsidRPr="005C3CD3" w:rsidRDefault="00550C31" w:rsidP="00C77ACF">
      <w:pPr>
        <w:rPr>
          <w:rFonts w:ascii="Arial Narrow" w:hAnsi="Arial Narrow"/>
          <w:szCs w:val="22"/>
        </w:rPr>
      </w:pPr>
    </w:p>
    <w:tbl>
      <w:tblPr>
        <w:tblW w:w="109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0"/>
        <w:gridCol w:w="6200"/>
        <w:gridCol w:w="1720"/>
      </w:tblGrid>
      <w:tr w:rsidR="00550C31" w:rsidRPr="005C3CD3" w:rsidTr="005C3CD3">
        <w:tc>
          <w:tcPr>
            <w:tcW w:w="3060" w:type="dxa"/>
            <w:shd w:val="clear" w:color="auto" w:fill="D9D9D9"/>
          </w:tcPr>
          <w:p w:rsidR="00550C31" w:rsidRPr="005C3CD3" w:rsidRDefault="00550C31" w:rsidP="003D1453">
            <w:pPr>
              <w:jc w:val="center"/>
              <w:rPr>
                <w:rFonts w:ascii="Arial Narrow" w:hAnsi="Arial Narrow"/>
                <w:b/>
                <w:sz w:val="20"/>
              </w:rPr>
            </w:pPr>
            <w:r w:rsidRPr="005C3CD3">
              <w:rPr>
                <w:rFonts w:ascii="Arial Narrow" w:hAnsi="Arial Narrow"/>
                <w:b/>
                <w:sz w:val="20"/>
              </w:rPr>
              <w:t>Direct Beneficiaries</w:t>
            </w:r>
          </w:p>
        </w:tc>
        <w:tc>
          <w:tcPr>
            <w:tcW w:w="6200" w:type="dxa"/>
            <w:shd w:val="clear" w:color="auto" w:fill="D9D9D9"/>
          </w:tcPr>
          <w:p w:rsidR="00550C31" w:rsidRPr="005C3CD3" w:rsidRDefault="00550C31" w:rsidP="003D1453">
            <w:pPr>
              <w:jc w:val="center"/>
              <w:rPr>
                <w:rFonts w:ascii="Arial Narrow" w:hAnsi="Arial Narrow"/>
                <w:b/>
                <w:szCs w:val="22"/>
              </w:rPr>
            </w:pPr>
            <w:r w:rsidRPr="005C3CD3">
              <w:rPr>
                <w:rFonts w:ascii="Arial Narrow" w:hAnsi="Arial Narrow"/>
                <w:b/>
                <w:szCs w:val="22"/>
              </w:rPr>
              <w:t>Number of Beneficiaries</w:t>
            </w:r>
          </w:p>
        </w:tc>
        <w:tc>
          <w:tcPr>
            <w:tcW w:w="1720" w:type="dxa"/>
            <w:shd w:val="clear" w:color="auto" w:fill="D9D9D9"/>
          </w:tcPr>
          <w:p w:rsidR="00550C31" w:rsidRPr="005C3CD3" w:rsidRDefault="00550C31" w:rsidP="003D1453">
            <w:pPr>
              <w:jc w:val="center"/>
              <w:rPr>
                <w:rFonts w:ascii="Arial Narrow" w:hAnsi="Arial Narrow"/>
                <w:b/>
                <w:szCs w:val="22"/>
              </w:rPr>
            </w:pPr>
            <w:r w:rsidRPr="005C3CD3">
              <w:rPr>
                <w:rFonts w:ascii="Arial Narrow" w:hAnsi="Arial Narrow"/>
                <w:b/>
                <w:szCs w:val="22"/>
              </w:rPr>
              <w:t>% of planned (current status)</w:t>
            </w:r>
          </w:p>
        </w:tc>
      </w:tr>
      <w:tr w:rsidR="00550C31" w:rsidRPr="005C3CD3" w:rsidTr="005C3CD3">
        <w:tc>
          <w:tcPr>
            <w:tcW w:w="3060" w:type="dxa"/>
          </w:tcPr>
          <w:p w:rsidR="00550C31" w:rsidRPr="005C3CD3" w:rsidRDefault="00550C31" w:rsidP="00C77ACF">
            <w:pPr>
              <w:rPr>
                <w:rFonts w:ascii="Arial Narrow" w:hAnsi="Arial Narrow"/>
                <w:sz w:val="20"/>
              </w:rPr>
            </w:pPr>
            <w:r w:rsidRPr="005C3CD3">
              <w:rPr>
                <w:rFonts w:ascii="Arial Narrow" w:hAnsi="Arial Narrow"/>
                <w:sz w:val="20"/>
              </w:rPr>
              <w:t>Men</w:t>
            </w:r>
          </w:p>
        </w:tc>
        <w:tc>
          <w:tcPr>
            <w:tcW w:w="6200" w:type="dxa"/>
          </w:tcPr>
          <w:p w:rsidR="00550C31" w:rsidRPr="005C3CD3" w:rsidRDefault="00550C31" w:rsidP="00B560FE">
            <w:pPr>
              <w:jc w:val="lowKashida"/>
              <w:rPr>
                <w:rFonts w:ascii="Arial Narrow" w:hAnsi="Arial Narrow"/>
                <w:szCs w:val="22"/>
              </w:rPr>
            </w:pPr>
            <w:r w:rsidRPr="005C3CD3">
              <w:rPr>
                <w:rFonts w:ascii="Arial Narrow" w:hAnsi="Arial Narrow"/>
                <w:szCs w:val="22"/>
              </w:rPr>
              <w:t xml:space="preserve">All men and women will indirectly benefit from the control of childhood ailments  </w:t>
            </w:r>
          </w:p>
        </w:tc>
        <w:tc>
          <w:tcPr>
            <w:tcW w:w="1720" w:type="dxa"/>
          </w:tcPr>
          <w:p w:rsidR="00550C31" w:rsidRPr="005C3CD3" w:rsidRDefault="00550C31" w:rsidP="00B560FE">
            <w:pPr>
              <w:jc w:val="lowKashida"/>
              <w:rPr>
                <w:rFonts w:ascii="Arial Narrow" w:hAnsi="Arial Narrow"/>
                <w:szCs w:val="22"/>
              </w:rPr>
            </w:pPr>
            <w:r w:rsidRPr="005C3CD3">
              <w:rPr>
                <w:rFonts w:ascii="Arial Narrow" w:hAnsi="Arial Narrow"/>
                <w:szCs w:val="22"/>
              </w:rPr>
              <w:t>&gt;80%</w:t>
            </w:r>
          </w:p>
        </w:tc>
      </w:tr>
      <w:tr w:rsidR="00550C31" w:rsidRPr="005C3CD3" w:rsidTr="005C3CD3">
        <w:tc>
          <w:tcPr>
            <w:tcW w:w="3060" w:type="dxa"/>
          </w:tcPr>
          <w:p w:rsidR="00550C31" w:rsidRPr="005C3CD3" w:rsidRDefault="00550C31" w:rsidP="00C77ACF">
            <w:pPr>
              <w:rPr>
                <w:rFonts w:ascii="Arial Narrow" w:hAnsi="Arial Narrow"/>
                <w:sz w:val="20"/>
              </w:rPr>
            </w:pPr>
            <w:r w:rsidRPr="005C3CD3">
              <w:rPr>
                <w:rFonts w:ascii="Arial Narrow" w:hAnsi="Arial Narrow"/>
                <w:sz w:val="20"/>
              </w:rPr>
              <w:t>Women</w:t>
            </w:r>
          </w:p>
        </w:tc>
        <w:tc>
          <w:tcPr>
            <w:tcW w:w="6200" w:type="dxa"/>
          </w:tcPr>
          <w:p w:rsidR="00550C31" w:rsidRPr="005C3CD3" w:rsidRDefault="00550C31" w:rsidP="00B560FE">
            <w:pPr>
              <w:jc w:val="lowKashida"/>
              <w:rPr>
                <w:rFonts w:ascii="Arial Narrow" w:hAnsi="Arial Narrow"/>
                <w:szCs w:val="22"/>
              </w:rPr>
            </w:pPr>
            <w:r w:rsidRPr="005C3CD3">
              <w:rPr>
                <w:rFonts w:ascii="Arial Narrow" w:hAnsi="Arial Narrow"/>
                <w:szCs w:val="22"/>
              </w:rPr>
              <w:t xml:space="preserve">All men and women will indirectly benefit from the control of childhood ailments  </w:t>
            </w:r>
          </w:p>
        </w:tc>
        <w:tc>
          <w:tcPr>
            <w:tcW w:w="1720" w:type="dxa"/>
          </w:tcPr>
          <w:p w:rsidR="00550C31" w:rsidRPr="005C3CD3" w:rsidRDefault="00550C31" w:rsidP="00B560FE">
            <w:pPr>
              <w:jc w:val="lowKashida"/>
              <w:rPr>
                <w:rFonts w:ascii="Arial Narrow" w:hAnsi="Arial Narrow"/>
                <w:szCs w:val="22"/>
              </w:rPr>
            </w:pPr>
            <w:r w:rsidRPr="005C3CD3">
              <w:rPr>
                <w:rFonts w:ascii="Arial Narrow" w:hAnsi="Arial Narrow"/>
                <w:szCs w:val="22"/>
              </w:rPr>
              <w:t>&gt;80%</w:t>
            </w:r>
          </w:p>
        </w:tc>
      </w:tr>
      <w:tr w:rsidR="00550C31" w:rsidRPr="005C3CD3" w:rsidTr="005C3CD3">
        <w:tc>
          <w:tcPr>
            <w:tcW w:w="3060" w:type="dxa"/>
          </w:tcPr>
          <w:p w:rsidR="00550C31" w:rsidRPr="005C3CD3" w:rsidRDefault="00550C31" w:rsidP="00C77ACF">
            <w:pPr>
              <w:rPr>
                <w:rFonts w:ascii="Arial Narrow" w:hAnsi="Arial Narrow"/>
                <w:sz w:val="20"/>
              </w:rPr>
            </w:pPr>
            <w:r w:rsidRPr="005C3CD3">
              <w:rPr>
                <w:rFonts w:ascii="Arial Narrow" w:hAnsi="Arial Narrow"/>
                <w:sz w:val="20"/>
              </w:rPr>
              <w:t>Children</w:t>
            </w:r>
          </w:p>
        </w:tc>
        <w:tc>
          <w:tcPr>
            <w:tcW w:w="6200" w:type="dxa"/>
          </w:tcPr>
          <w:p w:rsidR="00550C31" w:rsidRPr="005C3CD3" w:rsidRDefault="00550C31" w:rsidP="00C77ACF">
            <w:pPr>
              <w:rPr>
                <w:rFonts w:ascii="Arial Narrow" w:hAnsi="Arial Narrow"/>
                <w:szCs w:val="22"/>
              </w:rPr>
            </w:pPr>
            <w:r w:rsidRPr="005C3CD3">
              <w:rPr>
                <w:rFonts w:ascii="Arial Narrow" w:hAnsi="Arial Narrow"/>
                <w:szCs w:val="22"/>
              </w:rPr>
              <w:t xml:space="preserve">Direct: 10.7 million  under 12 year old children                    </w:t>
            </w:r>
          </w:p>
        </w:tc>
        <w:tc>
          <w:tcPr>
            <w:tcW w:w="1720" w:type="dxa"/>
          </w:tcPr>
          <w:p w:rsidR="00550C31" w:rsidRPr="005C3CD3" w:rsidRDefault="00550C31" w:rsidP="00C77ACF">
            <w:pPr>
              <w:rPr>
                <w:rFonts w:ascii="Arial Narrow" w:hAnsi="Arial Narrow"/>
                <w:szCs w:val="22"/>
              </w:rPr>
            </w:pPr>
            <w:r w:rsidRPr="005C3CD3">
              <w:rPr>
                <w:rFonts w:ascii="Arial Narrow" w:hAnsi="Arial Narrow"/>
                <w:szCs w:val="22"/>
              </w:rPr>
              <w:t>40%</w:t>
            </w:r>
          </w:p>
        </w:tc>
      </w:tr>
      <w:tr w:rsidR="00550C31" w:rsidRPr="005C3CD3" w:rsidTr="005C3CD3">
        <w:tc>
          <w:tcPr>
            <w:tcW w:w="3060" w:type="dxa"/>
          </w:tcPr>
          <w:p w:rsidR="00550C31" w:rsidRPr="005C3CD3" w:rsidRDefault="00550C31" w:rsidP="00C77ACF">
            <w:pPr>
              <w:rPr>
                <w:rFonts w:ascii="Arial Narrow" w:hAnsi="Arial Narrow"/>
                <w:sz w:val="20"/>
              </w:rPr>
            </w:pPr>
            <w:r w:rsidRPr="005C3CD3">
              <w:rPr>
                <w:rFonts w:ascii="Arial Narrow" w:hAnsi="Arial Narrow"/>
                <w:sz w:val="20"/>
              </w:rPr>
              <w:t>IDPs</w:t>
            </w:r>
          </w:p>
        </w:tc>
        <w:tc>
          <w:tcPr>
            <w:tcW w:w="6200" w:type="dxa"/>
          </w:tcPr>
          <w:p w:rsidR="00550C31" w:rsidRPr="005C3CD3" w:rsidRDefault="00550C31" w:rsidP="00C77ACF">
            <w:pPr>
              <w:rPr>
                <w:rFonts w:ascii="Arial Narrow" w:hAnsi="Arial Narrow"/>
                <w:szCs w:val="22"/>
              </w:rPr>
            </w:pPr>
            <w:r w:rsidRPr="005C3CD3">
              <w:rPr>
                <w:rFonts w:ascii="Arial Narrow" w:hAnsi="Arial Narrow"/>
                <w:szCs w:val="22"/>
              </w:rPr>
              <w:t>Some of the targeted groups are IDPs</w:t>
            </w:r>
          </w:p>
        </w:tc>
        <w:tc>
          <w:tcPr>
            <w:tcW w:w="1720" w:type="dxa"/>
          </w:tcPr>
          <w:p w:rsidR="00550C31" w:rsidRPr="005C3CD3" w:rsidRDefault="00550C31" w:rsidP="00C77ACF">
            <w:pPr>
              <w:rPr>
                <w:rFonts w:ascii="Arial Narrow" w:hAnsi="Arial Narrow"/>
                <w:szCs w:val="22"/>
              </w:rPr>
            </w:pPr>
            <w:r w:rsidRPr="005C3CD3">
              <w:rPr>
                <w:rFonts w:ascii="Arial Narrow" w:hAnsi="Arial Narrow"/>
                <w:szCs w:val="22"/>
              </w:rPr>
              <w:t>NA</w:t>
            </w:r>
          </w:p>
        </w:tc>
      </w:tr>
      <w:tr w:rsidR="00550C31" w:rsidRPr="005C3CD3" w:rsidTr="005C3CD3">
        <w:tc>
          <w:tcPr>
            <w:tcW w:w="3060" w:type="dxa"/>
          </w:tcPr>
          <w:p w:rsidR="00550C31" w:rsidRPr="005C3CD3" w:rsidRDefault="00550C31" w:rsidP="00C77ACF">
            <w:pPr>
              <w:rPr>
                <w:rFonts w:ascii="Arial Narrow" w:hAnsi="Arial Narrow"/>
                <w:sz w:val="20"/>
              </w:rPr>
            </w:pPr>
            <w:r w:rsidRPr="005C3CD3">
              <w:rPr>
                <w:rFonts w:ascii="Arial Narrow" w:hAnsi="Arial Narrow"/>
                <w:sz w:val="20"/>
              </w:rPr>
              <w:t>Others</w:t>
            </w:r>
          </w:p>
        </w:tc>
        <w:tc>
          <w:tcPr>
            <w:tcW w:w="6200" w:type="dxa"/>
          </w:tcPr>
          <w:p w:rsidR="00550C31" w:rsidRPr="005C3CD3" w:rsidRDefault="00550C31" w:rsidP="00B560FE">
            <w:pPr>
              <w:jc w:val="lowKashida"/>
              <w:rPr>
                <w:rFonts w:ascii="Arial Narrow" w:hAnsi="Arial Narrow"/>
                <w:szCs w:val="22"/>
              </w:rPr>
            </w:pPr>
            <w:r w:rsidRPr="005C3CD3">
              <w:rPr>
                <w:rFonts w:ascii="Arial Narrow" w:hAnsi="Arial Narrow"/>
                <w:szCs w:val="22"/>
              </w:rPr>
              <w:t xml:space="preserve">MoH and other line ministries staff will benefit from many training activities planned under this project </w:t>
            </w:r>
          </w:p>
        </w:tc>
        <w:tc>
          <w:tcPr>
            <w:tcW w:w="1720" w:type="dxa"/>
          </w:tcPr>
          <w:p w:rsidR="00550C31" w:rsidRPr="005C3CD3" w:rsidRDefault="00550C31" w:rsidP="00F93984">
            <w:pPr>
              <w:jc w:val="lowKashida"/>
              <w:rPr>
                <w:rFonts w:ascii="Arial Narrow" w:hAnsi="Arial Narrow"/>
                <w:szCs w:val="22"/>
              </w:rPr>
            </w:pPr>
            <w:r w:rsidRPr="005C3CD3">
              <w:rPr>
                <w:rFonts w:ascii="Arial Narrow" w:hAnsi="Arial Narrow"/>
                <w:szCs w:val="22"/>
              </w:rPr>
              <w:t>&gt;80%</w:t>
            </w:r>
          </w:p>
        </w:tc>
      </w:tr>
      <w:tr w:rsidR="00550C31" w:rsidRPr="005C3CD3" w:rsidTr="005C3CD3">
        <w:tc>
          <w:tcPr>
            <w:tcW w:w="3060" w:type="dxa"/>
          </w:tcPr>
          <w:p w:rsidR="00550C31" w:rsidRPr="005C3CD3" w:rsidRDefault="00550C31" w:rsidP="00C77ACF">
            <w:pPr>
              <w:rPr>
                <w:rFonts w:ascii="Arial Narrow" w:hAnsi="Arial Narrow"/>
                <w:sz w:val="20"/>
              </w:rPr>
            </w:pPr>
            <w:r w:rsidRPr="005C3CD3">
              <w:rPr>
                <w:rFonts w:ascii="Arial Narrow" w:hAnsi="Arial Narrow"/>
                <w:sz w:val="20"/>
              </w:rPr>
              <w:t>Indirect beneficiaries</w:t>
            </w:r>
          </w:p>
        </w:tc>
        <w:tc>
          <w:tcPr>
            <w:tcW w:w="6200" w:type="dxa"/>
          </w:tcPr>
          <w:p w:rsidR="00550C31" w:rsidRPr="005C3CD3" w:rsidRDefault="00550C31" w:rsidP="00B560FE">
            <w:pPr>
              <w:jc w:val="lowKashida"/>
              <w:rPr>
                <w:rFonts w:ascii="Arial Narrow" w:hAnsi="Arial Narrow"/>
                <w:szCs w:val="22"/>
              </w:rPr>
            </w:pPr>
            <w:r w:rsidRPr="005C3CD3">
              <w:rPr>
                <w:rFonts w:ascii="Arial Narrow" w:hAnsi="Arial Narrow"/>
                <w:szCs w:val="22"/>
              </w:rPr>
              <w:t xml:space="preserve">Religious visitors and travellers who will be immunized if they are coming to </w:t>
            </w:r>
            <w:smartTag w:uri="urn:schemas-microsoft-com:office:smarttags" w:element="place">
              <w:smartTag w:uri="urn:schemas-microsoft-com:office:smarttags" w:element="country-region">
                <w:r w:rsidRPr="005C3CD3">
                  <w:rPr>
                    <w:rFonts w:ascii="Arial Narrow" w:hAnsi="Arial Narrow"/>
                    <w:szCs w:val="22"/>
                  </w:rPr>
                  <w:t>Iraq</w:t>
                </w:r>
              </w:smartTag>
            </w:smartTag>
            <w:r w:rsidRPr="005C3CD3">
              <w:rPr>
                <w:rFonts w:ascii="Arial Narrow" w:hAnsi="Arial Narrow"/>
                <w:szCs w:val="22"/>
              </w:rPr>
              <w:t xml:space="preserve"> unvaccinated or if Iraqis are travelling   to a country that require special vaccinations</w:t>
            </w:r>
          </w:p>
        </w:tc>
        <w:tc>
          <w:tcPr>
            <w:tcW w:w="1720" w:type="dxa"/>
          </w:tcPr>
          <w:p w:rsidR="00550C31" w:rsidRPr="005C3CD3" w:rsidRDefault="00550C31" w:rsidP="007B78C9">
            <w:pPr>
              <w:pStyle w:val="ListParagraph"/>
              <w:numPr>
                <w:ilvl w:val="0"/>
                <w:numId w:val="9"/>
              </w:numPr>
              <w:ind w:left="72" w:hanging="180"/>
              <w:jc w:val="lowKashida"/>
              <w:rPr>
                <w:rFonts w:ascii="Arial Narrow" w:hAnsi="Arial Narrow"/>
                <w:szCs w:val="22"/>
              </w:rPr>
            </w:pPr>
            <w:r w:rsidRPr="005C3CD3">
              <w:rPr>
                <w:rFonts w:ascii="Arial Narrow" w:hAnsi="Arial Narrow"/>
                <w:szCs w:val="22"/>
              </w:rPr>
              <w:t>Religious visitors 3-5%</w:t>
            </w:r>
          </w:p>
          <w:p w:rsidR="00550C31" w:rsidRPr="005C3CD3" w:rsidRDefault="00550C31" w:rsidP="007B78C9">
            <w:pPr>
              <w:pStyle w:val="ListParagraph"/>
              <w:numPr>
                <w:ilvl w:val="0"/>
                <w:numId w:val="9"/>
              </w:numPr>
              <w:ind w:left="72" w:hanging="180"/>
              <w:jc w:val="lowKashida"/>
              <w:rPr>
                <w:rFonts w:ascii="Arial Narrow" w:hAnsi="Arial Narrow"/>
                <w:szCs w:val="22"/>
              </w:rPr>
            </w:pPr>
            <w:r w:rsidRPr="005C3CD3">
              <w:rPr>
                <w:rFonts w:ascii="Arial Narrow" w:hAnsi="Arial Narrow"/>
                <w:szCs w:val="22"/>
              </w:rPr>
              <w:t xml:space="preserve">Travellers 90% </w:t>
            </w:r>
          </w:p>
        </w:tc>
      </w:tr>
      <w:tr w:rsidR="00550C31" w:rsidRPr="005C3CD3" w:rsidTr="005C3CD3">
        <w:tc>
          <w:tcPr>
            <w:tcW w:w="3060" w:type="dxa"/>
          </w:tcPr>
          <w:p w:rsidR="00550C31" w:rsidRPr="005C3CD3" w:rsidRDefault="00550C31" w:rsidP="00C77ACF">
            <w:pPr>
              <w:rPr>
                <w:rFonts w:ascii="Arial Narrow" w:hAnsi="Arial Narrow"/>
                <w:sz w:val="20"/>
              </w:rPr>
            </w:pPr>
            <w:r w:rsidRPr="005C3CD3">
              <w:rPr>
                <w:rFonts w:ascii="Arial Narrow" w:hAnsi="Arial Narrow"/>
                <w:sz w:val="20"/>
              </w:rPr>
              <w:t>Employment generation  (men/women)</w:t>
            </w:r>
          </w:p>
        </w:tc>
        <w:tc>
          <w:tcPr>
            <w:tcW w:w="6200" w:type="dxa"/>
          </w:tcPr>
          <w:p w:rsidR="00550C31" w:rsidRPr="005C3CD3" w:rsidRDefault="00550C31" w:rsidP="00711E4E">
            <w:pPr>
              <w:rPr>
                <w:rFonts w:ascii="Arial Narrow" w:hAnsi="Arial Narrow"/>
                <w:szCs w:val="22"/>
              </w:rPr>
            </w:pPr>
            <w:r w:rsidRPr="005C3CD3">
              <w:rPr>
                <w:rFonts w:ascii="Arial Narrow" w:hAnsi="Arial Narrow"/>
                <w:bCs/>
                <w:szCs w:val="22"/>
              </w:rPr>
              <w:t>Employment generation is not one of the main objectives of this joint programme. However,</w:t>
            </w:r>
            <w:r w:rsidRPr="005C3CD3">
              <w:rPr>
                <w:rFonts w:ascii="Arial Narrow" w:hAnsi="Arial Narrow"/>
                <w:b/>
                <w:szCs w:val="22"/>
              </w:rPr>
              <w:t xml:space="preserve"> </w:t>
            </w:r>
            <w:r w:rsidRPr="005C3CD3">
              <w:rPr>
                <w:rFonts w:ascii="Arial Narrow" w:hAnsi="Arial Narrow"/>
                <w:szCs w:val="22"/>
              </w:rPr>
              <w:t>400 vehicles and drivers, as well as 456 monitors will be hired for 20 days during 2010</w:t>
            </w:r>
          </w:p>
        </w:tc>
        <w:tc>
          <w:tcPr>
            <w:tcW w:w="1720" w:type="dxa"/>
          </w:tcPr>
          <w:p w:rsidR="00550C31" w:rsidRPr="005C3CD3" w:rsidRDefault="00550C31" w:rsidP="00C77ACF">
            <w:pPr>
              <w:rPr>
                <w:rFonts w:ascii="Arial Narrow" w:hAnsi="Arial Narrow"/>
                <w:szCs w:val="22"/>
              </w:rPr>
            </w:pPr>
            <w:r w:rsidRPr="005C3CD3">
              <w:rPr>
                <w:rFonts w:ascii="Arial Narrow" w:hAnsi="Arial Narrow"/>
                <w:szCs w:val="22"/>
              </w:rPr>
              <w:t>100%</w:t>
            </w:r>
          </w:p>
        </w:tc>
      </w:tr>
    </w:tbl>
    <w:p w:rsidR="00550C31" w:rsidRDefault="00550C31" w:rsidP="00C77ACF">
      <w:pPr>
        <w:rPr>
          <w:rFonts w:ascii="Arial Narrow" w:hAnsi="Arial Narrow"/>
          <w:szCs w:val="22"/>
        </w:rPr>
      </w:pPr>
    </w:p>
    <w:p w:rsidR="00550C31" w:rsidRDefault="00550C31" w:rsidP="00C77ACF">
      <w:pPr>
        <w:rPr>
          <w:rFonts w:ascii="Arial Narrow" w:hAnsi="Arial Narrow"/>
          <w:szCs w:val="22"/>
        </w:rPr>
      </w:pPr>
    </w:p>
    <w:p w:rsidR="00550C31" w:rsidRDefault="00550C31" w:rsidP="00C77ACF">
      <w:pPr>
        <w:rPr>
          <w:rFonts w:ascii="Arial Narrow" w:hAnsi="Arial Narrow"/>
          <w:szCs w:val="22"/>
        </w:rPr>
      </w:pPr>
    </w:p>
    <w:p w:rsidR="00550C31" w:rsidRPr="005C3CD3" w:rsidRDefault="00550C31" w:rsidP="00C77ACF">
      <w:pPr>
        <w:rPr>
          <w:rFonts w:ascii="Arial Narrow" w:hAnsi="Arial Narrow"/>
          <w:szCs w:val="22"/>
        </w:rPr>
      </w:pPr>
    </w:p>
    <w:tbl>
      <w:tblPr>
        <w:tblW w:w="10975"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7920"/>
        <w:gridCol w:w="1075"/>
      </w:tblGrid>
      <w:tr w:rsidR="00550C31" w:rsidRPr="005C3CD3" w:rsidTr="005C3CD3">
        <w:trPr>
          <w:trHeight w:val="305"/>
        </w:trPr>
        <w:tc>
          <w:tcPr>
            <w:tcW w:w="10975" w:type="dxa"/>
            <w:gridSpan w:val="3"/>
            <w:shd w:val="clear" w:color="auto" w:fill="D9D9D9"/>
          </w:tcPr>
          <w:p w:rsidR="00550C31" w:rsidRPr="005C3CD3" w:rsidRDefault="00550C31" w:rsidP="00D3136F">
            <w:pPr>
              <w:outlineLvl w:val="0"/>
              <w:rPr>
                <w:rFonts w:ascii="Arial Narrow" w:hAnsi="Arial Narrow"/>
                <w:b/>
                <w:szCs w:val="22"/>
              </w:rPr>
            </w:pPr>
            <w:r w:rsidRPr="005C3CD3">
              <w:rPr>
                <w:rFonts w:ascii="Arial Narrow" w:hAnsi="Arial Narrow"/>
                <w:b/>
                <w:szCs w:val="22"/>
              </w:rPr>
              <w:t xml:space="preserve">Quantitative achievements against objectives and results </w:t>
            </w:r>
          </w:p>
        </w:tc>
      </w:tr>
      <w:tr w:rsidR="00550C31" w:rsidRPr="005C3CD3" w:rsidTr="005C3CD3">
        <w:trPr>
          <w:trHeight w:val="693"/>
        </w:trPr>
        <w:tc>
          <w:tcPr>
            <w:tcW w:w="1980" w:type="dxa"/>
          </w:tcPr>
          <w:p w:rsidR="00550C31" w:rsidRPr="005C3CD3" w:rsidRDefault="00550C31" w:rsidP="00526D03">
            <w:pPr>
              <w:jc w:val="lowKashida"/>
              <w:rPr>
                <w:rFonts w:ascii="Arial Narrow" w:hAnsi="Arial Narrow"/>
                <w:szCs w:val="22"/>
              </w:rPr>
            </w:pPr>
          </w:p>
          <w:p w:rsidR="00550C31" w:rsidRPr="005C3CD3" w:rsidRDefault="00550C31" w:rsidP="00526D03">
            <w:pPr>
              <w:jc w:val="lowKashida"/>
              <w:rPr>
                <w:rFonts w:ascii="Arial Narrow" w:hAnsi="Arial Narrow"/>
                <w:szCs w:val="22"/>
              </w:rPr>
            </w:pPr>
          </w:p>
          <w:p w:rsidR="00550C31" w:rsidRPr="005C3CD3" w:rsidRDefault="00550C31" w:rsidP="00526D03">
            <w:pPr>
              <w:jc w:val="lowKashida"/>
              <w:rPr>
                <w:rFonts w:ascii="Arial Narrow" w:hAnsi="Arial Narrow"/>
                <w:szCs w:val="22"/>
              </w:rPr>
            </w:pPr>
          </w:p>
          <w:p w:rsidR="00550C31" w:rsidRPr="005C3CD3" w:rsidRDefault="00550C31" w:rsidP="00526D03">
            <w:pPr>
              <w:jc w:val="lowKashida"/>
              <w:rPr>
                <w:rFonts w:ascii="Arial Narrow" w:hAnsi="Arial Narrow"/>
                <w:szCs w:val="22"/>
              </w:rPr>
            </w:pPr>
          </w:p>
          <w:p w:rsidR="00550C31" w:rsidRPr="005C3CD3" w:rsidRDefault="00550C31" w:rsidP="00526D03">
            <w:pPr>
              <w:jc w:val="lowKashida"/>
              <w:rPr>
                <w:rFonts w:ascii="Arial Narrow" w:hAnsi="Arial Narrow"/>
                <w:b/>
                <w:bCs/>
                <w:szCs w:val="22"/>
              </w:rPr>
            </w:pPr>
            <w:r w:rsidRPr="005C3CD3">
              <w:rPr>
                <w:rFonts w:ascii="Arial Narrow" w:hAnsi="Arial Narrow"/>
                <w:b/>
                <w:szCs w:val="22"/>
              </w:rPr>
              <w:t>Strengthen data and information management</w:t>
            </w:r>
          </w:p>
        </w:tc>
        <w:tc>
          <w:tcPr>
            <w:tcW w:w="7920" w:type="dxa"/>
          </w:tcPr>
          <w:p w:rsidR="00550C31" w:rsidRPr="005C3CD3" w:rsidRDefault="00550C31" w:rsidP="00877757">
            <w:pPr>
              <w:jc w:val="lowKashida"/>
              <w:rPr>
                <w:rFonts w:ascii="Arial Narrow" w:hAnsi="Arial Narrow"/>
                <w:b/>
                <w:bCs/>
                <w:color w:val="000000"/>
                <w:szCs w:val="22"/>
              </w:rPr>
            </w:pPr>
            <w:r w:rsidRPr="005C3CD3">
              <w:rPr>
                <w:rFonts w:ascii="Arial Narrow" w:hAnsi="Arial Narrow"/>
                <w:b/>
                <w:bCs/>
                <w:color w:val="000000"/>
                <w:szCs w:val="22"/>
              </w:rPr>
              <w:t xml:space="preserve">WHO: </w:t>
            </w:r>
          </w:p>
          <w:p w:rsidR="00550C31" w:rsidRPr="005C3CD3" w:rsidRDefault="00550C31" w:rsidP="00877757">
            <w:pPr>
              <w:jc w:val="lowKashida"/>
              <w:rPr>
                <w:rFonts w:ascii="Arial Narrow" w:hAnsi="Arial Narrow"/>
                <w:szCs w:val="22"/>
                <w:lang w:val="en-US"/>
              </w:rPr>
            </w:pPr>
            <w:r w:rsidRPr="005C3CD3">
              <w:rPr>
                <w:rFonts w:ascii="Arial Narrow" w:hAnsi="Arial Narrow"/>
                <w:szCs w:val="22"/>
                <w:lang w:val="en-US"/>
              </w:rPr>
              <w:t xml:space="preserve">Two computer programs - one for measles case based surveillance and the second for immunization coverage data management - were developed by a professional programmer. All concerned surveillance and immunization staff were trained on the use of these programs. Now immunization coverage data is entered and managed at the provincial level and forwarded to central level and to WHO on a monthly basis. </w:t>
            </w:r>
          </w:p>
          <w:p w:rsidR="00550C31" w:rsidRPr="005C3CD3" w:rsidRDefault="00550C31" w:rsidP="00877757">
            <w:pPr>
              <w:jc w:val="lowKashida"/>
              <w:rPr>
                <w:rFonts w:ascii="Arial Narrow" w:hAnsi="Arial Narrow"/>
                <w:szCs w:val="22"/>
                <w:lang w:val="en-US"/>
              </w:rPr>
            </w:pPr>
            <w:r w:rsidRPr="005C3CD3">
              <w:rPr>
                <w:rFonts w:ascii="Arial Narrow" w:hAnsi="Arial Narrow"/>
                <w:szCs w:val="22"/>
                <w:lang w:val="en-US"/>
              </w:rPr>
              <w:t xml:space="preserve">   Measles data is entered, analyzed and a weekly feed forward report to senior management and WHO is generated and sent.  At the same time a weekly feedback is sent to all Primary Health Care Centre staff. </w:t>
            </w:r>
          </w:p>
          <w:p w:rsidR="00550C31" w:rsidRPr="005C3CD3" w:rsidRDefault="00550C31" w:rsidP="00877757">
            <w:pPr>
              <w:jc w:val="lowKashida"/>
              <w:rPr>
                <w:rFonts w:ascii="Arial Narrow" w:hAnsi="Arial Narrow"/>
                <w:szCs w:val="22"/>
                <w:lang w:val="en-US"/>
              </w:rPr>
            </w:pPr>
            <w:r w:rsidRPr="005C3CD3">
              <w:rPr>
                <w:rFonts w:ascii="Arial Narrow" w:hAnsi="Arial Narrow"/>
                <w:szCs w:val="22"/>
                <w:lang w:val="en-US"/>
              </w:rPr>
              <w:t xml:space="preserve">Two field manuals - one for measles surveillance and the second for poliomyelitis surveillance were developed, field tested and distributed to more than 2000 midlevel and field health workers. </w:t>
            </w:r>
          </w:p>
          <w:p w:rsidR="00550C31" w:rsidRPr="005C3CD3" w:rsidRDefault="00550C31" w:rsidP="00877757">
            <w:pPr>
              <w:jc w:val="lowKashida"/>
              <w:rPr>
                <w:rFonts w:ascii="Arial Narrow" w:hAnsi="Arial Narrow"/>
                <w:b/>
                <w:bCs/>
                <w:color w:val="000000"/>
                <w:szCs w:val="22"/>
              </w:rPr>
            </w:pPr>
            <w:r w:rsidRPr="005C3CD3">
              <w:rPr>
                <w:rFonts w:ascii="Arial Narrow" w:hAnsi="Arial Narrow"/>
                <w:szCs w:val="22"/>
                <w:lang w:val="en-US"/>
              </w:rPr>
              <w:t>The national poliomyelitis laboratory as well as the national measles national laboratory have both been fully accredited by WHO and are now considered as full members of the global WHO network for both diseases.</w:t>
            </w:r>
          </w:p>
        </w:tc>
        <w:tc>
          <w:tcPr>
            <w:tcW w:w="1075" w:type="dxa"/>
          </w:tcPr>
          <w:p w:rsidR="00550C31" w:rsidRPr="005C3CD3" w:rsidRDefault="00550C31" w:rsidP="00F93984">
            <w:pPr>
              <w:rPr>
                <w:rFonts w:ascii="Arial Narrow" w:hAnsi="Arial Narrow"/>
                <w:b/>
                <w:szCs w:val="22"/>
              </w:rPr>
            </w:pPr>
            <w:r w:rsidRPr="005C3CD3">
              <w:rPr>
                <w:rFonts w:ascii="Arial Narrow" w:hAnsi="Arial Narrow"/>
                <w:b/>
                <w:szCs w:val="22"/>
              </w:rPr>
              <w:t>100%</w:t>
            </w:r>
          </w:p>
          <w:p w:rsidR="00550C31" w:rsidRPr="005C3CD3" w:rsidRDefault="00550C31" w:rsidP="00526D03">
            <w:pPr>
              <w:rPr>
                <w:rFonts w:ascii="Arial Narrow" w:hAnsi="Arial Narrow"/>
                <w:szCs w:val="22"/>
              </w:rPr>
            </w:pPr>
          </w:p>
          <w:p w:rsidR="00550C31" w:rsidRPr="005C3CD3" w:rsidRDefault="00550C31" w:rsidP="00526D03">
            <w:pPr>
              <w:rPr>
                <w:rFonts w:ascii="Arial Narrow" w:hAnsi="Arial Narrow"/>
                <w:szCs w:val="22"/>
              </w:rPr>
            </w:pPr>
          </w:p>
          <w:p w:rsidR="00550C31" w:rsidRPr="005C3CD3" w:rsidRDefault="00550C31" w:rsidP="00526D03">
            <w:pPr>
              <w:rPr>
                <w:rFonts w:ascii="Arial Narrow" w:hAnsi="Arial Narrow"/>
                <w:szCs w:val="22"/>
              </w:rPr>
            </w:pPr>
          </w:p>
          <w:p w:rsidR="00550C31" w:rsidRPr="005C3CD3" w:rsidRDefault="00550C31" w:rsidP="00526D03">
            <w:pPr>
              <w:rPr>
                <w:rFonts w:ascii="Arial Narrow" w:hAnsi="Arial Narrow"/>
                <w:szCs w:val="22"/>
              </w:rPr>
            </w:pPr>
          </w:p>
          <w:p w:rsidR="00550C31" w:rsidRPr="005C3CD3" w:rsidRDefault="00550C31" w:rsidP="00526D03">
            <w:pPr>
              <w:rPr>
                <w:rFonts w:ascii="Arial Narrow" w:hAnsi="Arial Narrow"/>
                <w:szCs w:val="22"/>
              </w:rPr>
            </w:pPr>
          </w:p>
          <w:p w:rsidR="00550C31" w:rsidRPr="005C3CD3" w:rsidRDefault="00550C31" w:rsidP="00526D03">
            <w:pPr>
              <w:rPr>
                <w:rFonts w:ascii="Arial Narrow" w:hAnsi="Arial Narrow"/>
                <w:szCs w:val="22"/>
              </w:rPr>
            </w:pPr>
          </w:p>
          <w:p w:rsidR="00550C31" w:rsidRPr="005C3CD3" w:rsidRDefault="00550C31" w:rsidP="00526D03">
            <w:pPr>
              <w:rPr>
                <w:rFonts w:ascii="Arial Narrow" w:hAnsi="Arial Narrow"/>
                <w:szCs w:val="22"/>
              </w:rPr>
            </w:pPr>
          </w:p>
          <w:p w:rsidR="00550C31" w:rsidRPr="005C3CD3" w:rsidRDefault="00550C31" w:rsidP="00526D03">
            <w:pPr>
              <w:rPr>
                <w:rFonts w:ascii="Arial Narrow" w:hAnsi="Arial Narrow"/>
                <w:szCs w:val="22"/>
              </w:rPr>
            </w:pPr>
          </w:p>
          <w:p w:rsidR="00550C31" w:rsidRPr="005C3CD3" w:rsidRDefault="00550C31" w:rsidP="00526D03">
            <w:pPr>
              <w:rPr>
                <w:rFonts w:ascii="Arial Narrow" w:hAnsi="Arial Narrow"/>
                <w:szCs w:val="22"/>
              </w:rPr>
            </w:pPr>
          </w:p>
          <w:p w:rsidR="00550C31" w:rsidRPr="005C3CD3" w:rsidRDefault="00550C31" w:rsidP="00526D03">
            <w:pPr>
              <w:rPr>
                <w:rFonts w:ascii="Arial Narrow" w:hAnsi="Arial Narrow"/>
                <w:szCs w:val="22"/>
              </w:rPr>
            </w:pPr>
          </w:p>
          <w:p w:rsidR="00550C31" w:rsidRPr="005C3CD3" w:rsidRDefault="00550C31" w:rsidP="00526D03">
            <w:pPr>
              <w:rPr>
                <w:rFonts w:ascii="Arial Narrow" w:hAnsi="Arial Narrow"/>
                <w:szCs w:val="22"/>
              </w:rPr>
            </w:pPr>
          </w:p>
        </w:tc>
      </w:tr>
      <w:tr w:rsidR="00550C31" w:rsidRPr="005C3CD3" w:rsidTr="005C3CD3">
        <w:tc>
          <w:tcPr>
            <w:tcW w:w="1980" w:type="dxa"/>
          </w:tcPr>
          <w:p w:rsidR="00550C31" w:rsidRPr="005C3CD3" w:rsidRDefault="00550C31" w:rsidP="00526D03">
            <w:pPr>
              <w:jc w:val="lowKashida"/>
              <w:rPr>
                <w:rFonts w:ascii="Arial Narrow" w:hAnsi="Arial Narrow"/>
                <w:b/>
                <w:bCs/>
                <w:szCs w:val="22"/>
              </w:rPr>
            </w:pPr>
            <w:r w:rsidRPr="005C3CD3">
              <w:rPr>
                <w:rFonts w:ascii="Arial Narrow" w:hAnsi="Arial Narrow"/>
                <w:b/>
                <w:bCs/>
                <w:szCs w:val="22"/>
              </w:rPr>
              <w:t>Use a combination of approaches to reach all children targeted by immunization</w:t>
            </w:r>
          </w:p>
        </w:tc>
        <w:tc>
          <w:tcPr>
            <w:tcW w:w="7920" w:type="dxa"/>
          </w:tcPr>
          <w:p w:rsidR="00550C31" w:rsidRPr="005C3CD3" w:rsidRDefault="00550C31" w:rsidP="000A2A15">
            <w:pPr>
              <w:jc w:val="lowKashida"/>
              <w:rPr>
                <w:rFonts w:ascii="Arial Narrow" w:hAnsi="Arial Narrow"/>
                <w:szCs w:val="22"/>
                <w:lang w:val="en-US"/>
              </w:rPr>
            </w:pPr>
            <w:r w:rsidRPr="005C3CD3">
              <w:rPr>
                <w:rFonts w:ascii="Arial Narrow" w:hAnsi="Arial Narrow"/>
                <w:b/>
                <w:bCs/>
                <w:color w:val="000000"/>
                <w:szCs w:val="22"/>
              </w:rPr>
              <w:t>WHO</w:t>
            </w:r>
          </w:p>
          <w:p w:rsidR="00550C31" w:rsidRPr="005C3CD3" w:rsidRDefault="00550C31" w:rsidP="00083C83">
            <w:pPr>
              <w:jc w:val="lowKashida"/>
              <w:rPr>
                <w:rFonts w:ascii="Arial Narrow" w:hAnsi="Arial Narrow"/>
                <w:szCs w:val="22"/>
                <w:lang w:val="en-US"/>
              </w:rPr>
            </w:pPr>
            <w:r w:rsidRPr="005C3CD3">
              <w:rPr>
                <w:rFonts w:ascii="Arial Narrow" w:hAnsi="Arial Narrow"/>
                <w:szCs w:val="22"/>
                <w:lang w:val="en-US"/>
              </w:rPr>
              <w:t xml:space="preserve">National house-to-house vaccination campaigns; targeting 5.4 million under-5 children; using oral poliomyelitis vaccine were conducted in May; June and October 2010. More than 90% coverage was achieved. WHO contracted Iraqi Red Crescent Society (IRCS) to monitor both rounds; monitoring data did not show much difference from administrative data.  </w:t>
            </w:r>
          </w:p>
        </w:tc>
        <w:tc>
          <w:tcPr>
            <w:tcW w:w="1075" w:type="dxa"/>
          </w:tcPr>
          <w:p w:rsidR="00550C31" w:rsidRPr="005C3CD3" w:rsidRDefault="00550C31" w:rsidP="00FC78F3">
            <w:pPr>
              <w:rPr>
                <w:rFonts w:ascii="Arial Narrow" w:hAnsi="Arial Narrow"/>
                <w:szCs w:val="22"/>
              </w:rPr>
            </w:pPr>
            <w:r w:rsidRPr="005C3CD3">
              <w:rPr>
                <w:rFonts w:ascii="Arial Narrow" w:hAnsi="Arial Narrow"/>
                <w:b/>
                <w:szCs w:val="22"/>
              </w:rPr>
              <w:t>100%</w:t>
            </w:r>
          </w:p>
        </w:tc>
      </w:tr>
      <w:tr w:rsidR="00550C31" w:rsidRPr="005C3CD3" w:rsidTr="005C3CD3">
        <w:trPr>
          <w:trHeight w:val="278"/>
        </w:trPr>
        <w:tc>
          <w:tcPr>
            <w:tcW w:w="1980" w:type="dxa"/>
          </w:tcPr>
          <w:p w:rsidR="00550C31" w:rsidRPr="005C3CD3" w:rsidRDefault="00550C31" w:rsidP="00526D03">
            <w:pPr>
              <w:widowControl/>
              <w:jc w:val="lowKashida"/>
              <w:rPr>
                <w:rFonts w:ascii="Arial Narrow" w:hAnsi="Arial Narrow"/>
                <w:b/>
                <w:bCs/>
                <w:szCs w:val="22"/>
              </w:rPr>
            </w:pPr>
            <w:r w:rsidRPr="005C3CD3">
              <w:rPr>
                <w:rFonts w:ascii="Arial Narrow" w:hAnsi="Arial Narrow"/>
                <w:b/>
                <w:bCs/>
                <w:szCs w:val="22"/>
              </w:rPr>
              <w:t>Health authorities and communities especially in hard to reach and low coverage areas are better aware of the importance of measles and other infant vaccinations</w:t>
            </w:r>
          </w:p>
          <w:p w:rsidR="00550C31" w:rsidRPr="005C3CD3" w:rsidRDefault="00550C31" w:rsidP="00526D03">
            <w:pPr>
              <w:jc w:val="lowKashida"/>
              <w:rPr>
                <w:rFonts w:ascii="Arial Narrow" w:hAnsi="Arial Narrow"/>
                <w:b/>
                <w:bCs/>
                <w:szCs w:val="22"/>
              </w:rPr>
            </w:pPr>
          </w:p>
        </w:tc>
        <w:tc>
          <w:tcPr>
            <w:tcW w:w="7920" w:type="dxa"/>
          </w:tcPr>
          <w:p w:rsidR="00550C31" w:rsidRPr="005C3CD3" w:rsidRDefault="00550C31" w:rsidP="00526D03">
            <w:pPr>
              <w:jc w:val="lowKashida"/>
              <w:rPr>
                <w:rFonts w:ascii="Arial Narrow" w:hAnsi="Arial Narrow"/>
                <w:b/>
                <w:bCs/>
                <w:szCs w:val="22"/>
                <w:lang w:val="en-US"/>
              </w:rPr>
            </w:pPr>
            <w:r w:rsidRPr="005C3CD3">
              <w:rPr>
                <w:rFonts w:ascii="Arial Narrow" w:hAnsi="Arial Narrow"/>
                <w:b/>
                <w:bCs/>
                <w:szCs w:val="22"/>
                <w:lang w:val="en-US"/>
              </w:rPr>
              <w:t>UNICEF:</w:t>
            </w:r>
          </w:p>
          <w:p w:rsidR="00550C31" w:rsidRPr="005C3CD3" w:rsidRDefault="00550C31" w:rsidP="00F5661B">
            <w:pPr>
              <w:jc w:val="lowKashida"/>
              <w:rPr>
                <w:rFonts w:ascii="Arial Narrow" w:hAnsi="Arial Narrow"/>
                <w:b/>
                <w:bCs/>
                <w:szCs w:val="22"/>
              </w:rPr>
            </w:pPr>
            <w:r w:rsidRPr="005C3CD3">
              <w:rPr>
                <w:rFonts w:ascii="Arial Narrow" w:hAnsi="Arial Narrow"/>
                <w:szCs w:val="22"/>
              </w:rPr>
              <w:t>Supporting social mobilization activities at the targeted districts as well as nationwide measles and polio campaigns and RED approach implementation in the 19 districts with less than 80% coverage rate, and related IEC materials/tools development and distribution is ongoing. Up to date; UNICEF supported the social mobilization activities for: a) four rounds PNIDs targeting 5.4 million Under-5 children across the country, with over 90% national coverage rate achieved; b) Measles NIDs (6-36 months children) with over 92%. This intensive work resulted in maintaining of the polio free status in Iraq since January 2000 and containing the measles outbreak (over 32,000 reported cases in 2009 to less than 1000 cases in 2010).</w:t>
            </w:r>
          </w:p>
        </w:tc>
        <w:tc>
          <w:tcPr>
            <w:tcW w:w="1075" w:type="dxa"/>
          </w:tcPr>
          <w:p w:rsidR="00550C31" w:rsidRPr="005C3CD3" w:rsidRDefault="00550C31" w:rsidP="00424F06">
            <w:pPr>
              <w:rPr>
                <w:rFonts w:ascii="Arial Narrow" w:hAnsi="Arial Narrow"/>
                <w:szCs w:val="22"/>
              </w:rPr>
            </w:pPr>
            <w:r w:rsidRPr="005C3CD3">
              <w:rPr>
                <w:rFonts w:ascii="Arial Narrow" w:hAnsi="Arial Narrow"/>
                <w:b/>
                <w:szCs w:val="22"/>
              </w:rPr>
              <w:t>60%</w:t>
            </w:r>
          </w:p>
        </w:tc>
      </w:tr>
      <w:tr w:rsidR="00550C31" w:rsidRPr="005C3CD3" w:rsidTr="005C3CD3">
        <w:trPr>
          <w:trHeight w:val="278"/>
        </w:trPr>
        <w:tc>
          <w:tcPr>
            <w:tcW w:w="1980" w:type="dxa"/>
          </w:tcPr>
          <w:p w:rsidR="00550C31" w:rsidRPr="005C3CD3" w:rsidRDefault="00550C31" w:rsidP="00526D03">
            <w:pPr>
              <w:widowControl/>
              <w:jc w:val="lowKashida"/>
              <w:rPr>
                <w:rFonts w:ascii="Arial Narrow" w:hAnsi="Arial Narrow"/>
                <w:b/>
                <w:bCs/>
                <w:szCs w:val="22"/>
              </w:rPr>
            </w:pPr>
            <w:r w:rsidRPr="005C3CD3">
              <w:rPr>
                <w:rFonts w:ascii="Arial Narrow" w:hAnsi="Arial Narrow"/>
                <w:b/>
                <w:bCs/>
                <w:szCs w:val="22"/>
              </w:rPr>
              <w:t>MoH has improved capacities for planning and implementing outreach immunization activities</w:t>
            </w:r>
          </w:p>
          <w:p w:rsidR="00550C31" w:rsidRPr="005C3CD3" w:rsidRDefault="00550C31" w:rsidP="00526D03">
            <w:pPr>
              <w:jc w:val="lowKashida"/>
              <w:rPr>
                <w:rFonts w:ascii="Arial Narrow" w:hAnsi="Arial Narrow"/>
                <w:szCs w:val="22"/>
              </w:rPr>
            </w:pPr>
          </w:p>
        </w:tc>
        <w:tc>
          <w:tcPr>
            <w:tcW w:w="7920" w:type="dxa"/>
          </w:tcPr>
          <w:p w:rsidR="00550C31" w:rsidRPr="005C3CD3" w:rsidRDefault="00550C31" w:rsidP="000A2A15">
            <w:pPr>
              <w:jc w:val="both"/>
              <w:rPr>
                <w:rFonts w:ascii="Arial Narrow" w:hAnsi="Arial Narrow"/>
                <w:b/>
                <w:bCs/>
                <w:color w:val="000000"/>
                <w:szCs w:val="22"/>
              </w:rPr>
            </w:pPr>
            <w:r w:rsidRPr="005C3CD3">
              <w:rPr>
                <w:rFonts w:ascii="Arial Narrow" w:hAnsi="Arial Narrow"/>
                <w:b/>
                <w:bCs/>
                <w:color w:val="000000"/>
                <w:szCs w:val="22"/>
              </w:rPr>
              <w:t>UNICEF and WHO</w:t>
            </w:r>
          </w:p>
          <w:p w:rsidR="00550C31" w:rsidRPr="005C3CD3" w:rsidRDefault="00550C31" w:rsidP="00E25812">
            <w:pPr>
              <w:jc w:val="lowKashida"/>
              <w:rPr>
                <w:rFonts w:ascii="Arial Narrow" w:hAnsi="Arial Narrow"/>
                <w:szCs w:val="22"/>
              </w:rPr>
            </w:pPr>
          </w:p>
          <w:p w:rsidR="00550C31" w:rsidRPr="005C3CD3" w:rsidRDefault="00550C31" w:rsidP="00487494">
            <w:pPr>
              <w:jc w:val="lowKashida"/>
              <w:rPr>
                <w:rFonts w:ascii="Arial Narrow" w:hAnsi="Arial Narrow"/>
                <w:szCs w:val="22"/>
              </w:rPr>
            </w:pPr>
            <w:r w:rsidRPr="005C3CD3">
              <w:rPr>
                <w:rFonts w:ascii="Arial Narrow" w:hAnsi="Arial Narrow"/>
                <w:szCs w:val="22"/>
              </w:rPr>
              <w:t xml:space="preserve"> As a first step, UNICEF in collaboration with WHO supported the first technical meeting for the EPI managers and health promotion /education team to review the situation of each governorate (at district level) in terms of immunization coverage, causes, challenges/bottle necks, and support needed to achieve better coverage.</w:t>
            </w:r>
          </w:p>
          <w:p w:rsidR="00550C31" w:rsidRPr="005C3CD3" w:rsidRDefault="00550C31" w:rsidP="00487494">
            <w:pPr>
              <w:jc w:val="lowKashida"/>
              <w:rPr>
                <w:rFonts w:ascii="Arial Narrow" w:hAnsi="Arial Narrow"/>
                <w:szCs w:val="22"/>
              </w:rPr>
            </w:pPr>
            <w:r w:rsidRPr="005C3CD3">
              <w:rPr>
                <w:rFonts w:ascii="Arial Narrow" w:hAnsi="Arial Narrow"/>
                <w:szCs w:val="22"/>
              </w:rPr>
              <w:t>Building on that meeting another meeting for all EPI managers was held in Istanbul. The meeting was facilitated by WHO/UNICEF experts to: a) enhance the capacity of the EPI managers for planning and implementing outreach immunization activities; b) discussing introduction of new vaccines (Rota and Hib); c) accelerating Hepatitis B control efforts; d) validation of Maternal Neonatal Tetanus - MNT elimination in Iraq (process &amp; steps).</w:t>
            </w:r>
          </w:p>
          <w:p w:rsidR="00550C31" w:rsidRPr="005C3CD3" w:rsidRDefault="00550C31" w:rsidP="00487494">
            <w:pPr>
              <w:jc w:val="lowKashida"/>
              <w:rPr>
                <w:rFonts w:ascii="Arial Narrow" w:hAnsi="Arial Narrow"/>
                <w:szCs w:val="22"/>
              </w:rPr>
            </w:pPr>
            <w:r w:rsidRPr="005C3CD3">
              <w:rPr>
                <w:rFonts w:ascii="Arial Narrow" w:hAnsi="Arial Narrow"/>
                <w:szCs w:val="22"/>
              </w:rPr>
              <w:t xml:space="preserve"> To expedite the submission of the final RED plans; WHO, UNICEF and MOH teams conducted field visits to some of the selected districts and met the EPI teams there. The meetings have been conducted at PHC centres and village levels to ensure the active engagement of field staff and community and come up with real and mature micro-plans, as well as, conducting on job training. WHO/UNICEF health officers and field teams accompanied the EPI MOH teams during all these meetings, and the entire team is very much satisfied with the quality of the work. </w:t>
            </w:r>
          </w:p>
          <w:p w:rsidR="00550C31" w:rsidRPr="005C3CD3" w:rsidRDefault="00550C31" w:rsidP="00487494">
            <w:pPr>
              <w:jc w:val="lowKashida"/>
              <w:rPr>
                <w:rFonts w:ascii="Arial Narrow" w:hAnsi="Arial Narrow"/>
                <w:color w:val="000000"/>
                <w:szCs w:val="22"/>
              </w:rPr>
            </w:pPr>
            <w:r w:rsidRPr="005C3CD3">
              <w:rPr>
                <w:rFonts w:ascii="Arial Narrow" w:hAnsi="Arial Narrow"/>
                <w:szCs w:val="22"/>
              </w:rPr>
              <w:t>Up to date; three governorates finalized their micro plan and funds will be transferred in a couple of weeks. For other two governorates, the work is ongoing and expected to be finalized by end of April.  Some delay has been encountered due to the ongoing unrest in the Middle East which affects Iraq as well. Additionally, MOH teams have been busy with other commitments i.e preparation for the introduction of new vaccines, MICS4 survey, EPI week, etc.</w:t>
            </w:r>
          </w:p>
        </w:tc>
        <w:tc>
          <w:tcPr>
            <w:tcW w:w="1075" w:type="dxa"/>
          </w:tcPr>
          <w:p w:rsidR="00550C31" w:rsidRPr="005C3CD3" w:rsidRDefault="00550C31" w:rsidP="00487494">
            <w:pPr>
              <w:rPr>
                <w:rFonts w:ascii="Arial Narrow" w:hAnsi="Arial Narrow"/>
                <w:szCs w:val="22"/>
              </w:rPr>
            </w:pPr>
            <w:r>
              <w:rPr>
                <w:rFonts w:ascii="Arial Narrow" w:hAnsi="Arial Narrow"/>
                <w:b/>
                <w:szCs w:val="22"/>
              </w:rPr>
              <w:t>7</w:t>
            </w:r>
            <w:r w:rsidRPr="005C3CD3">
              <w:rPr>
                <w:rFonts w:ascii="Arial Narrow" w:hAnsi="Arial Narrow"/>
                <w:b/>
                <w:szCs w:val="22"/>
              </w:rPr>
              <w:t>5%</w:t>
            </w:r>
          </w:p>
        </w:tc>
      </w:tr>
    </w:tbl>
    <w:p w:rsidR="00550C31" w:rsidRDefault="00550C31" w:rsidP="00C77ACF">
      <w:pPr>
        <w:rPr>
          <w:rFonts w:ascii="Arial Narrow" w:hAnsi="Arial Narrow"/>
          <w:szCs w:val="22"/>
        </w:rPr>
      </w:pPr>
    </w:p>
    <w:p w:rsidR="00550C31" w:rsidRDefault="00550C31" w:rsidP="00C77ACF">
      <w:pPr>
        <w:rPr>
          <w:rFonts w:ascii="Arial Narrow" w:hAnsi="Arial Narrow"/>
          <w:szCs w:val="22"/>
        </w:rPr>
      </w:pPr>
    </w:p>
    <w:p w:rsidR="00550C31" w:rsidRDefault="00550C31" w:rsidP="00C77ACF">
      <w:pPr>
        <w:rPr>
          <w:rFonts w:ascii="Arial Narrow" w:hAnsi="Arial Narrow"/>
          <w:szCs w:val="22"/>
        </w:rPr>
      </w:pPr>
    </w:p>
    <w:p w:rsidR="00550C31" w:rsidRDefault="00550C31" w:rsidP="00C77ACF">
      <w:pPr>
        <w:rPr>
          <w:rFonts w:ascii="Arial Narrow" w:hAnsi="Arial Narrow"/>
          <w:szCs w:val="22"/>
        </w:rPr>
      </w:pPr>
    </w:p>
    <w:p w:rsidR="00550C31" w:rsidRPr="005C3CD3" w:rsidRDefault="00550C31" w:rsidP="00C77ACF">
      <w:pPr>
        <w:rPr>
          <w:rFonts w:ascii="Arial Narrow" w:hAnsi="Arial Narrow"/>
          <w:szCs w:val="22"/>
        </w:rPr>
      </w:pPr>
    </w:p>
    <w:tbl>
      <w:tblPr>
        <w:tblW w:w="109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0"/>
      </w:tblGrid>
      <w:tr w:rsidR="00550C31" w:rsidRPr="005C3CD3" w:rsidTr="005C3CD3">
        <w:tc>
          <w:tcPr>
            <w:tcW w:w="10980" w:type="dxa"/>
            <w:shd w:val="clear" w:color="auto" w:fill="D9D9D9"/>
          </w:tcPr>
          <w:p w:rsidR="00550C31" w:rsidRPr="005C3CD3" w:rsidRDefault="00550C31" w:rsidP="00BC7C38">
            <w:pPr>
              <w:outlineLvl w:val="0"/>
              <w:rPr>
                <w:rFonts w:ascii="Arial Narrow" w:hAnsi="Arial Narrow"/>
                <w:b/>
                <w:szCs w:val="22"/>
              </w:rPr>
            </w:pPr>
            <w:r w:rsidRPr="005C3CD3">
              <w:rPr>
                <w:rFonts w:ascii="Arial Narrow" w:hAnsi="Arial Narrow"/>
                <w:b/>
                <w:szCs w:val="22"/>
              </w:rPr>
              <w:t xml:space="preserve">Qualitative achievements against objectives and results </w:t>
            </w:r>
          </w:p>
        </w:tc>
      </w:tr>
      <w:tr w:rsidR="00550C31" w:rsidRPr="005C3CD3" w:rsidTr="005C3CD3">
        <w:tc>
          <w:tcPr>
            <w:tcW w:w="10980" w:type="dxa"/>
          </w:tcPr>
          <w:p w:rsidR="00550C31" w:rsidRPr="005C3CD3" w:rsidRDefault="00550C31" w:rsidP="00B17247">
            <w:pPr>
              <w:widowControl/>
              <w:spacing w:after="120"/>
              <w:jc w:val="both"/>
              <w:rPr>
                <w:rFonts w:ascii="Arial Narrow" w:hAnsi="Arial Narrow"/>
              </w:rPr>
            </w:pPr>
            <w:r w:rsidRPr="005C3CD3">
              <w:rPr>
                <w:rFonts w:ascii="Arial Narrow" w:hAnsi="Arial Narrow"/>
              </w:rPr>
              <w:t>During the reporting period, WHO, in cooperation with MoH and the Iraqi Red Crescent Society (IRCS) completed the 4 rounds of independent monitoring of the National Immunization Days (NID) A total of 484 volunteers from IRCS toured 121 districts in Iraq to monitor the vaccination of children under the age of 5 that were targeted by the MOH vaccination teams The volunteers were supervised by 121 district supervisors and 20 branch coordinators.</w:t>
            </w:r>
          </w:p>
          <w:p w:rsidR="00550C31" w:rsidRPr="005C3CD3" w:rsidRDefault="00550C31" w:rsidP="002F75C4">
            <w:pPr>
              <w:jc w:val="both"/>
              <w:rPr>
                <w:rFonts w:ascii="Arial Narrow" w:hAnsi="Arial Narrow"/>
                <w:szCs w:val="22"/>
              </w:rPr>
            </w:pPr>
            <w:r w:rsidRPr="005C3CD3">
              <w:rPr>
                <w:rFonts w:ascii="Arial Narrow" w:hAnsi="Arial Narrow"/>
              </w:rPr>
              <w:t>Between 13-15 June 2010, UNICEF and WHO facilitated a senior level meeting on the National Expanded Programme on Immunization (EPI). Critical areas such as the need for acceleration of immunization services in low performing districts were discussed and plans from each of the performing districts are now being developed. The action plan for preparation for introduction of new vaccines (Hib and Rotovirus) was also on the agenda It was further agreed that continuation of technical support (social mobilization, cold chain) from the UN is needed. A special technical consultation on introduction of new vaccines monitoring progress in implementing the Reaching Every District (RED) strategy, review the progress achieved in measles elimination, start the process of Neonatal Tetanus Elimination validation was held 15-22August 2010</w:t>
            </w:r>
          </w:p>
        </w:tc>
      </w:tr>
    </w:tbl>
    <w:p w:rsidR="00550C31" w:rsidRPr="005C3CD3" w:rsidRDefault="00550C31">
      <w:pPr>
        <w:rPr>
          <w:rFonts w:ascii="Arial Narrow" w:hAnsi="Arial Narrow"/>
        </w:rPr>
      </w:pPr>
    </w:p>
    <w:tbl>
      <w:tblPr>
        <w:tblW w:w="109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0"/>
      </w:tblGrid>
      <w:tr w:rsidR="00550C31" w:rsidRPr="005C3CD3" w:rsidTr="005C3CD3">
        <w:tc>
          <w:tcPr>
            <w:tcW w:w="10980" w:type="dxa"/>
            <w:shd w:val="clear" w:color="auto" w:fill="D9D9D9"/>
          </w:tcPr>
          <w:p w:rsidR="00550C31" w:rsidRPr="005C3CD3" w:rsidRDefault="00550C31" w:rsidP="00BC7C38">
            <w:pPr>
              <w:outlineLvl w:val="0"/>
              <w:rPr>
                <w:rFonts w:ascii="Arial Narrow" w:hAnsi="Arial Narrow"/>
                <w:b/>
                <w:szCs w:val="22"/>
                <w:lang w:val="fr-FR"/>
              </w:rPr>
            </w:pPr>
            <w:r w:rsidRPr="005C3CD3">
              <w:rPr>
                <w:rFonts w:ascii="Arial Narrow" w:hAnsi="Arial Narrow"/>
                <w:b/>
                <w:szCs w:val="22"/>
                <w:lang w:val="fr-FR"/>
              </w:rPr>
              <w:t xml:space="preserve">Main implementation constraints &amp; challenges (2-3 sentences) </w:t>
            </w:r>
          </w:p>
        </w:tc>
      </w:tr>
      <w:tr w:rsidR="00550C31" w:rsidRPr="005C3CD3" w:rsidTr="005C3CD3">
        <w:tc>
          <w:tcPr>
            <w:tcW w:w="10980" w:type="dxa"/>
          </w:tcPr>
          <w:p w:rsidR="00550C31" w:rsidRPr="005C3CD3" w:rsidRDefault="00550C31" w:rsidP="00EA2E4A">
            <w:pPr>
              <w:jc w:val="both"/>
              <w:rPr>
                <w:rFonts w:ascii="Arial Narrow" w:hAnsi="Arial Narrow"/>
                <w:szCs w:val="22"/>
                <w:lang w:val="en-US"/>
              </w:rPr>
            </w:pPr>
            <w:r w:rsidRPr="005C3CD3">
              <w:rPr>
                <w:rFonts w:ascii="Arial Narrow" w:hAnsi="Arial Narrow"/>
                <w:szCs w:val="22"/>
                <w:lang w:val="en-US"/>
              </w:rPr>
              <w:t xml:space="preserve">Security situation and movement restriction that is applicable for the whole UN operation is also applicable to this project, the turnover within the MoH officials is delaying implementation, changing the project focal points and transferring it to another directorate, the elections that took place during March 2010 has also had an impact on the implementation, where many activities were postponed. Finally, WHO in Eastern Mediterranean Region launched a new Global Management System (GSM) that replaced the old system CAMS (Country Assistance Management System) and this has also contributed to the delays in the implementation. </w:t>
            </w:r>
          </w:p>
        </w:tc>
      </w:tr>
      <w:tr w:rsidR="00550C31" w:rsidRPr="005C3CD3" w:rsidTr="005C3CD3">
        <w:tc>
          <w:tcPr>
            <w:tcW w:w="10980" w:type="dxa"/>
            <w:shd w:val="clear" w:color="auto" w:fill="000099"/>
          </w:tcPr>
          <w:p w:rsidR="00550C31" w:rsidRPr="005C3CD3" w:rsidRDefault="00550C31" w:rsidP="00BC7C38">
            <w:pPr>
              <w:rPr>
                <w:rFonts w:ascii="Arial Narrow" w:hAnsi="Arial Narrow"/>
                <w:color w:val="000000"/>
                <w:szCs w:val="22"/>
              </w:rPr>
            </w:pPr>
          </w:p>
        </w:tc>
      </w:tr>
    </w:tbl>
    <w:p w:rsidR="00550C31" w:rsidRPr="005C3CD3" w:rsidRDefault="00550C31">
      <w:pPr>
        <w:rPr>
          <w:rFonts w:ascii="Arial Narrow" w:hAnsi="Arial Narrow"/>
        </w:rPr>
      </w:pPr>
    </w:p>
    <w:sectPr w:rsidR="00550C31" w:rsidRPr="005C3CD3" w:rsidSect="00147470">
      <w:pgSz w:w="12240" w:h="15840"/>
      <w:pgMar w:top="540" w:right="1800" w:bottom="45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24C9"/>
    <w:multiLevelType w:val="hybridMultilevel"/>
    <w:tmpl w:val="EE2CB30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BA90784"/>
    <w:multiLevelType w:val="hybridMultilevel"/>
    <w:tmpl w:val="F8E284CC"/>
    <w:lvl w:ilvl="0" w:tplc="A5124950">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A63C79"/>
    <w:multiLevelType w:val="hybridMultilevel"/>
    <w:tmpl w:val="6EB80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235801"/>
    <w:multiLevelType w:val="hybridMultilevel"/>
    <w:tmpl w:val="BCBE53D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260D7729"/>
    <w:multiLevelType w:val="hybridMultilevel"/>
    <w:tmpl w:val="67324E20"/>
    <w:lvl w:ilvl="0" w:tplc="6960F96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4810048"/>
    <w:multiLevelType w:val="hybridMultilevel"/>
    <w:tmpl w:val="F62A70BA"/>
    <w:lvl w:ilvl="0" w:tplc="61906D4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138"/>
        </w:tabs>
        <w:ind w:left="1138" w:hanging="360"/>
      </w:pPr>
      <w:rPr>
        <w:rFonts w:cs="Times New Roman"/>
      </w:rPr>
    </w:lvl>
    <w:lvl w:ilvl="2" w:tplc="0409001B" w:tentative="1">
      <w:start w:val="1"/>
      <w:numFmt w:val="lowerRoman"/>
      <w:lvlText w:val="%3."/>
      <w:lvlJc w:val="right"/>
      <w:pPr>
        <w:tabs>
          <w:tab w:val="num" w:pos="1858"/>
        </w:tabs>
        <w:ind w:left="1858" w:hanging="180"/>
      </w:pPr>
      <w:rPr>
        <w:rFonts w:cs="Times New Roman"/>
      </w:rPr>
    </w:lvl>
    <w:lvl w:ilvl="3" w:tplc="0409000F" w:tentative="1">
      <w:start w:val="1"/>
      <w:numFmt w:val="decimal"/>
      <w:lvlText w:val="%4."/>
      <w:lvlJc w:val="left"/>
      <w:pPr>
        <w:tabs>
          <w:tab w:val="num" w:pos="2578"/>
        </w:tabs>
        <w:ind w:left="2578" w:hanging="360"/>
      </w:pPr>
      <w:rPr>
        <w:rFonts w:cs="Times New Roman"/>
      </w:rPr>
    </w:lvl>
    <w:lvl w:ilvl="4" w:tplc="04090019" w:tentative="1">
      <w:start w:val="1"/>
      <w:numFmt w:val="lowerLetter"/>
      <w:lvlText w:val="%5."/>
      <w:lvlJc w:val="left"/>
      <w:pPr>
        <w:tabs>
          <w:tab w:val="num" w:pos="3298"/>
        </w:tabs>
        <w:ind w:left="3298" w:hanging="360"/>
      </w:pPr>
      <w:rPr>
        <w:rFonts w:cs="Times New Roman"/>
      </w:rPr>
    </w:lvl>
    <w:lvl w:ilvl="5" w:tplc="0409001B" w:tentative="1">
      <w:start w:val="1"/>
      <w:numFmt w:val="lowerRoman"/>
      <w:lvlText w:val="%6."/>
      <w:lvlJc w:val="right"/>
      <w:pPr>
        <w:tabs>
          <w:tab w:val="num" w:pos="4018"/>
        </w:tabs>
        <w:ind w:left="4018" w:hanging="180"/>
      </w:pPr>
      <w:rPr>
        <w:rFonts w:cs="Times New Roman"/>
      </w:rPr>
    </w:lvl>
    <w:lvl w:ilvl="6" w:tplc="0409000F" w:tentative="1">
      <w:start w:val="1"/>
      <w:numFmt w:val="decimal"/>
      <w:lvlText w:val="%7."/>
      <w:lvlJc w:val="left"/>
      <w:pPr>
        <w:tabs>
          <w:tab w:val="num" w:pos="4738"/>
        </w:tabs>
        <w:ind w:left="4738" w:hanging="360"/>
      </w:pPr>
      <w:rPr>
        <w:rFonts w:cs="Times New Roman"/>
      </w:rPr>
    </w:lvl>
    <w:lvl w:ilvl="7" w:tplc="04090019" w:tentative="1">
      <w:start w:val="1"/>
      <w:numFmt w:val="lowerLetter"/>
      <w:lvlText w:val="%8."/>
      <w:lvlJc w:val="left"/>
      <w:pPr>
        <w:tabs>
          <w:tab w:val="num" w:pos="5458"/>
        </w:tabs>
        <w:ind w:left="5458" w:hanging="360"/>
      </w:pPr>
      <w:rPr>
        <w:rFonts w:cs="Times New Roman"/>
      </w:rPr>
    </w:lvl>
    <w:lvl w:ilvl="8" w:tplc="0409001B" w:tentative="1">
      <w:start w:val="1"/>
      <w:numFmt w:val="lowerRoman"/>
      <w:lvlText w:val="%9."/>
      <w:lvlJc w:val="right"/>
      <w:pPr>
        <w:tabs>
          <w:tab w:val="num" w:pos="6178"/>
        </w:tabs>
        <w:ind w:left="6178" w:hanging="180"/>
      </w:pPr>
      <w:rPr>
        <w:rFonts w:cs="Times New Roman"/>
      </w:rPr>
    </w:lvl>
  </w:abstractNum>
  <w:abstractNum w:abstractNumId="6">
    <w:nsid w:val="3926350A"/>
    <w:multiLevelType w:val="hybridMultilevel"/>
    <w:tmpl w:val="51825200"/>
    <w:lvl w:ilvl="0" w:tplc="C86C4E90">
      <w:start w:val="1"/>
      <w:numFmt w:val="decimal"/>
      <w:lvlText w:val="%1.)"/>
      <w:lvlJc w:val="left"/>
      <w:pPr>
        <w:tabs>
          <w:tab w:val="num" w:pos="417"/>
        </w:tabs>
        <w:ind w:left="417" w:hanging="360"/>
      </w:pPr>
      <w:rPr>
        <w:rFonts w:cs="Times New Roman" w:hint="default"/>
      </w:rPr>
    </w:lvl>
    <w:lvl w:ilvl="1" w:tplc="04090019" w:tentative="1">
      <w:start w:val="1"/>
      <w:numFmt w:val="lowerLetter"/>
      <w:lvlText w:val="%2."/>
      <w:lvlJc w:val="left"/>
      <w:pPr>
        <w:tabs>
          <w:tab w:val="num" w:pos="1137"/>
        </w:tabs>
        <w:ind w:left="1137" w:hanging="360"/>
      </w:pPr>
      <w:rPr>
        <w:rFonts w:cs="Times New Roman"/>
      </w:rPr>
    </w:lvl>
    <w:lvl w:ilvl="2" w:tplc="0409001B" w:tentative="1">
      <w:start w:val="1"/>
      <w:numFmt w:val="lowerRoman"/>
      <w:lvlText w:val="%3."/>
      <w:lvlJc w:val="right"/>
      <w:pPr>
        <w:tabs>
          <w:tab w:val="num" w:pos="1857"/>
        </w:tabs>
        <w:ind w:left="1857" w:hanging="180"/>
      </w:pPr>
      <w:rPr>
        <w:rFonts w:cs="Times New Roman"/>
      </w:rPr>
    </w:lvl>
    <w:lvl w:ilvl="3" w:tplc="0409000F" w:tentative="1">
      <w:start w:val="1"/>
      <w:numFmt w:val="decimal"/>
      <w:lvlText w:val="%4."/>
      <w:lvlJc w:val="left"/>
      <w:pPr>
        <w:tabs>
          <w:tab w:val="num" w:pos="2577"/>
        </w:tabs>
        <w:ind w:left="2577" w:hanging="360"/>
      </w:pPr>
      <w:rPr>
        <w:rFonts w:cs="Times New Roman"/>
      </w:rPr>
    </w:lvl>
    <w:lvl w:ilvl="4" w:tplc="04090019" w:tentative="1">
      <w:start w:val="1"/>
      <w:numFmt w:val="lowerLetter"/>
      <w:lvlText w:val="%5."/>
      <w:lvlJc w:val="left"/>
      <w:pPr>
        <w:tabs>
          <w:tab w:val="num" w:pos="3297"/>
        </w:tabs>
        <w:ind w:left="3297" w:hanging="360"/>
      </w:pPr>
      <w:rPr>
        <w:rFonts w:cs="Times New Roman"/>
      </w:rPr>
    </w:lvl>
    <w:lvl w:ilvl="5" w:tplc="0409001B" w:tentative="1">
      <w:start w:val="1"/>
      <w:numFmt w:val="lowerRoman"/>
      <w:lvlText w:val="%6."/>
      <w:lvlJc w:val="right"/>
      <w:pPr>
        <w:tabs>
          <w:tab w:val="num" w:pos="4017"/>
        </w:tabs>
        <w:ind w:left="4017" w:hanging="180"/>
      </w:pPr>
      <w:rPr>
        <w:rFonts w:cs="Times New Roman"/>
      </w:rPr>
    </w:lvl>
    <w:lvl w:ilvl="6" w:tplc="0409000F" w:tentative="1">
      <w:start w:val="1"/>
      <w:numFmt w:val="decimal"/>
      <w:lvlText w:val="%7."/>
      <w:lvlJc w:val="left"/>
      <w:pPr>
        <w:tabs>
          <w:tab w:val="num" w:pos="4737"/>
        </w:tabs>
        <w:ind w:left="4737" w:hanging="360"/>
      </w:pPr>
      <w:rPr>
        <w:rFonts w:cs="Times New Roman"/>
      </w:rPr>
    </w:lvl>
    <w:lvl w:ilvl="7" w:tplc="04090019" w:tentative="1">
      <w:start w:val="1"/>
      <w:numFmt w:val="lowerLetter"/>
      <w:lvlText w:val="%8."/>
      <w:lvlJc w:val="left"/>
      <w:pPr>
        <w:tabs>
          <w:tab w:val="num" w:pos="5457"/>
        </w:tabs>
        <w:ind w:left="5457" w:hanging="360"/>
      </w:pPr>
      <w:rPr>
        <w:rFonts w:cs="Times New Roman"/>
      </w:rPr>
    </w:lvl>
    <w:lvl w:ilvl="8" w:tplc="0409001B" w:tentative="1">
      <w:start w:val="1"/>
      <w:numFmt w:val="lowerRoman"/>
      <w:lvlText w:val="%9."/>
      <w:lvlJc w:val="right"/>
      <w:pPr>
        <w:tabs>
          <w:tab w:val="num" w:pos="6177"/>
        </w:tabs>
        <w:ind w:left="6177" w:hanging="180"/>
      </w:pPr>
      <w:rPr>
        <w:rFonts w:cs="Times New Roman"/>
      </w:rPr>
    </w:lvl>
  </w:abstractNum>
  <w:abstractNum w:abstractNumId="7">
    <w:nsid w:val="3EA44ADC"/>
    <w:multiLevelType w:val="hybridMultilevel"/>
    <w:tmpl w:val="50146A5A"/>
    <w:lvl w:ilvl="0" w:tplc="79AA00A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80F2422"/>
    <w:multiLevelType w:val="multilevel"/>
    <w:tmpl w:val="6D3E402E"/>
    <w:lvl w:ilvl="0">
      <w:start w:val="1"/>
      <w:numFmt w:val="decimal"/>
      <w:lvlText w:val="%1"/>
      <w:lvlJc w:val="left"/>
      <w:pPr>
        <w:ind w:left="360" w:hanging="360"/>
      </w:pPr>
      <w:rPr>
        <w:rFonts w:cs="Times New Roman" w:hint="default"/>
        <w:sz w:val="22"/>
      </w:rPr>
    </w:lvl>
    <w:lvl w:ilvl="1">
      <w:start w:val="1"/>
      <w:numFmt w:val="decimal"/>
      <w:lvlText w:val="%1.%2"/>
      <w:lvlJc w:val="left"/>
      <w:pPr>
        <w:ind w:left="360" w:hanging="36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720" w:hanging="720"/>
      </w:pPr>
      <w:rPr>
        <w:rFonts w:cs="Times New Roman" w:hint="default"/>
        <w:sz w:val="22"/>
      </w:rPr>
    </w:lvl>
    <w:lvl w:ilvl="4">
      <w:start w:val="1"/>
      <w:numFmt w:val="decimal"/>
      <w:lvlText w:val="%1.%2.%3.%4.%5"/>
      <w:lvlJc w:val="left"/>
      <w:pPr>
        <w:ind w:left="720" w:hanging="720"/>
      </w:pPr>
      <w:rPr>
        <w:rFonts w:cs="Times New Roman" w:hint="default"/>
        <w:sz w:val="22"/>
      </w:rPr>
    </w:lvl>
    <w:lvl w:ilvl="5">
      <w:start w:val="1"/>
      <w:numFmt w:val="decimal"/>
      <w:lvlText w:val="%1.%2.%3.%4.%5.%6"/>
      <w:lvlJc w:val="left"/>
      <w:pPr>
        <w:ind w:left="1080" w:hanging="1080"/>
      </w:pPr>
      <w:rPr>
        <w:rFonts w:cs="Times New Roman" w:hint="default"/>
        <w:sz w:val="22"/>
      </w:rPr>
    </w:lvl>
    <w:lvl w:ilvl="6">
      <w:start w:val="1"/>
      <w:numFmt w:val="decimal"/>
      <w:lvlText w:val="%1.%2.%3.%4.%5.%6.%7"/>
      <w:lvlJc w:val="left"/>
      <w:pPr>
        <w:ind w:left="1080" w:hanging="1080"/>
      </w:pPr>
      <w:rPr>
        <w:rFonts w:cs="Times New Roman" w:hint="default"/>
        <w:sz w:val="22"/>
      </w:rPr>
    </w:lvl>
    <w:lvl w:ilvl="7">
      <w:start w:val="1"/>
      <w:numFmt w:val="decimal"/>
      <w:lvlText w:val="%1.%2.%3.%4.%5.%6.%7.%8"/>
      <w:lvlJc w:val="left"/>
      <w:pPr>
        <w:ind w:left="1440" w:hanging="1440"/>
      </w:pPr>
      <w:rPr>
        <w:rFonts w:cs="Times New Roman" w:hint="default"/>
        <w:sz w:val="22"/>
      </w:rPr>
    </w:lvl>
    <w:lvl w:ilvl="8">
      <w:start w:val="1"/>
      <w:numFmt w:val="decimal"/>
      <w:lvlText w:val="%1.%2.%3.%4.%5.%6.%7.%8.%9"/>
      <w:lvlJc w:val="left"/>
      <w:pPr>
        <w:ind w:left="1440" w:hanging="1440"/>
      </w:pPr>
      <w:rPr>
        <w:rFonts w:cs="Times New Roman" w:hint="default"/>
        <w:sz w:val="22"/>
      </w:rPr>
    </w:lvl>
  </w:abstractNum>
  <w:abstractNum w:abstractNumId="9">
    <w:nsid w:val="531C2975"/>
    <w:multiLevelType w:val="hybridMultilevel"/>
    <w:tmpl w:val="575A8AA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5445EB9"/>
    <w:multiLevelType w:val="hybridMultilevel"/>
    <w:tmpl w:val="3D569252"/>
    <w:lvl w:ilvl="0" w:tplc="A5124950">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B574193"/>
    <w:multiLevelType w:val="hybridMultilevel"/>
    <w:tmpl w:val="F812901C"/>
    <w:lvl w:ilvl="0" w:tplc="81786FA2">
      <w:numFmt w:val="bullet"/>
      <w:lvlText w:val="-"/>
      <w:lvlJc w:val="left"/>
      <w:pPr>
        <w:tabs>
          <w:tab w:val="num" w:pos="720"/>
        </w:tabs>
        <w:ind w:left="720" w:hanging="360"/>
      </w:pPr>
      <w:rPr>
        <w:rFonts w:ascii="Times New Roman" w:eastAsia="Times New Roman" w:hAnsi="Times New Roman" w:hint="default"/>
      </w:rPr>
    </w:lvl>
    <w:lvl w:ilvl="1" w:tplc="A5124950">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82D285C"/>
    <w:multiLevelType w:val="hybridMultilevel"/>
    <w:tmpl w:val="016E14B6"/>
    <w:lvl w:ilvl="0" w:tplc="61906D4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11"/>
  </w:num>
  <w:num w:numId="3">
    <w:abstractNumId w:val="1"/>
  </w:num>
  <w:num w:numId="4">
    <w:abstractNumId w:val="10"/>
  </w:num>
  <w:num w:numId="5">
    <w:abstractNumId w:val="5"/>
  </w:num>
  <w:num w:numId="6">
    <w:abstractNumId w:val="6"/>
  </w:num>
  <w:num w:numId="7">
    <w:abstractNumId w:val="0"/>
  </w:num>
  <w:num w:numId="8">
    <w:abstractNumId w:val="3"/>
  </w:num>
  <w:num w:numId="9">
    <w:abstractNumId w:val="2"/>
  </w:num>
  <w:num w:numId="10">
    <w:abstractNumId w:val="8"/>
  </w:num>
  <w:num w:numId="11">
    <w:abstractNumId w:val="12"/>
  </w:num>
  <w:num w:numId="12">
    <w:abstractNumId w:val="7"/>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7ACF"/>
    <w:rsid w:val="000448AE"/>
    <w:rsid w:val="00052AC8"/>
    <w:rsid w:val="00083C83"/>
    <w:rsid w:val="000A2469"/>
    <w:rsid w:val="000A2A15"/>
    <w:rsid w:val="000B15CC"/>
    <w:rsid w:val="000C2EE3"/>
    <w:rsid w:val="000D02CF"/>
    <w:rsid w:val="000E4546"/>
    <w:rsid w:val="000F1E9B"/>
    <w:rsid w:val="00117E4C"/>
    <w:rsid w:val="00125783"/>
    <w:rsid w:val="00127608"/>
    <w:rsid w:val="00147470"/>
    <w:rsid w:val="00180222"/>
    <w:rsid w:val="00186CCC"/>
    <w:rsid w:val="001974D2"/>
    <w:rsid w:val="001A6753"/>
    <w:rsid w:val="001B66B4"/>
    <w:rsid w:val="0020064C"/>
    <w:rsid w:val="0022189F"/>
    <w:rsid w:val="002664A8"/>
    <w:rsid w:val="00295DC6"/>
    <w:rsid w:val="002C1864"/>
    <w:rsid w:val="002F75C4"/>
    <w:rsid w:val="00336F17"/>
    <w:rsid w:val="0034608A"/>
    <w:rsid w:val="003603BE"/>
    <w:rsid w:val="003736D7"/>
    <w:rsid w:val="00381542"/>
    <w:rsid w:val="003B0DD8"/>
    <w:rsid w:val="003C625B"/>
    <w:rsid w:val="003D1453"/>
    <w:rsid w:val="003F0F1C"/>
    <w:rsid w:val="004012A3"/>
    <w:rsid w:val="00424F06"/>
    <w:rsid w:val="0044080B"/>
    <w:rsid w:val="00441270"/>
    <w:rsid w:val="00487494"/>
    <w:rsid w:val="004B3CDF"/>
    <w:rsid w:val="004E057D"/>
    <w:rsid w:val="004F67D2"/>
    <w:rsid w:val="00526D03"/>
    <w:rsid w:val="00540381"/>
    <w:rsid w:val="00540570"/>
    <w:rsid w:val="00550C31"/>
    <w:rsid w:val="00584B82"/>
    <w:rsid w:val="00590CC5"/>
    <w:rsid w:val="005B7500"/>
    <w:rsid w:val="005C3CD3"/>
    <w:rsid w:val="005E01E8"/>
    <w:rsid w:val="0066361D"/>
    <w:rsid w:val="006A4670"/>
    <w:rsid w:val="006A6D65"/>
    <w:rsid w:val="006B3870"/>
    <w:rsid w:val="006D1594"/>
    <w:rsid w:val="006D56C7"/>
    <w:rsid w:val="00711E4E"/>
    <w:rsid w:val="00714F1E"/>
    <w:rsid w:val="007311F4"/>
    <w:rsid w:val="00756ABD"/>
    <w:rsid w:val="007B14FD"/>
    <w:rsid w:val="007B5B34"/>
    <w:rsid w:val="007B78C9"/>
    <w:rsid w:val="007C275C"/>
    <w:rsid w:val="007F4968"/>
    <w:rsid w:val="00802C29"/>
    <w:rsid w:val="00804A2A"/>
    <w:rsid w:val="00817F5D"/>
    <w:rsid w:val="0084480E"/>
    <w:rsid w:val="0086009B"/>
    <w:rsid w:val="00877757"/>
    <w:rsid w:val="008A6E5B"/>
    <w:rsid w:val="008F517A"/>
    <w:rsid w:val="0092322D"/>
    <w:rsid w:val="00930B50"/>
    <w:rsid w:val="0097795C"/>
    <w:rsid w:val="009A3392"/>
    <w:rsid w:val="009D397E"/>
    <w:rsid w:val="009E5310"/>
    <w:rsid w:val="00A0363C"/>
    <w:rsid w:val="00A175A1"/>
    <w:rsid w:val="00A71606"/>
    <w:rsid w:val="00AE5C97"/>
    <w:rsid w:val="00B03613"/>
    <w:rsid w:val="00B17247"/>
    <w:rsid w:val="00B560FE"/>
    <w:rsid w:val="00B90AF2"/>
    <w:rsid w:val="00BB4503"/>
    <w:rsid w:val="00BC7C38"/>
    <w:rsid w:val="00C31B63"/>
    <w:rsid w:val="00C77ACF"/>
    <w:rsid w:val="00C81161"/>
    <w:rsid w:val="00C936BA"/>
    <w:rsid w:val="00C93766"/>
    <w:rsid w:val="00C97869"/>
    <w:rsid w:val="00CA40B1"/>
    <w:rsid w:val="00CB5B5D"/>
    <w:rsid w:val="00CF6944"/>
    <w:rsid w:val="00D3136F"/>
    <w:rsid w:val="00DB7103"/>
    <w:rsid w:val="00DC2BE4"/>
    <w:rsid w:val="00DD3379"/>
    <w:rsid w:val="00DF6501"/>
    <w:rsid w:val="00E02890"/>
    <w:rsid w:val="00E25812"/>
    <w:rsid w:val="00E329EF"/>
    <w:rsid w:val="00E90B2A"/>
    <w:rsid w:val="00EA2E4A"/>
    <w:rsid w:val="00EB0BC8"/>
    <w:rsid w:val="00EE50DD"/>
    <w:rsid w:val="00F0492D"/>
    <w:rsid w:val="00F128E4"/>
    <w:rsid w:val="00F23927"/>
    <w:rsid w:val="00F44279"/>
    <w:rsid w:val="00F5661B"/>
    <w:rsid w:val="00F737EA"/>
    <w:rsid w:val="00F93984"/>
    <w:rsid w:val="00FC35AF"/>
    <w:rsid w:val="00FC78F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ACF"/>
    <w:pPr>
      <w:widowControl w:val="0"/>
    </w:pPr>
    <w:rPr>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
    <w:name w:val="Char Char1 Char"/>
    <w:basedOn w:val="Normal"/>
    <w:uiPriority w:val="99"/>
    <w:rsid w:val="00C77ACF"/>
    <w:pPr>
      <w:widowControl/>
    </w:pPr>
    <w:rPr>
      <w:sz w:val="24"/>
      <w:szCs w:val="24"/>
      <w:lang w:val="pl-PL" w:eastAsia="pl-PL"/>
    </w:rPr>
  </w:style>
  <w:style w:type="paragraph" w:styleId="BodyText">
    <w:name w:val="Body Text"/>
    <w:basedOn w:val="Normal"/>
    <w:link w:val="BodyTextChar"/>
    <w:uiPriority w:val="99"/>
    <w:rsid w:val="00C77ACF"/>
    <w:pPr>
      <w:jc w:val="both"/>
    </w:pPr>
  </w:style>
  <w:style w:type="character" w:customStyle="1" w:styleId="BodyTextChar">
    <w:name w:val="Body Text Char"/>
    <w:basedOn w:val="DefaultParagraphFont"/>
    <w:link w:val="BodyText"/>
    <w:uiPriority w:val="99"/>
    <w:semiHidden/>
    <w:rsid w:val="00572DAE"/>
    <w:rPr>
      <w:szCs w:val="20"/>
      <w:lang w:val="en-GB"/>
    </w:rPr>
  </w:style>
  <w:style w:type="paragraph" w:styleId="BodyTextIndent">
    <w:name w:val="Body Text Indent"/>
    <w:basedOn w:val="Normal"/>
    <w:link w:val="BodyTextIndentChar"/>
    <w:uiPriority w:val="99"/>
    <w:rsid w:val="00C77ACF"/>
    <w:pPr>
      <w:spacing w:after="120"/>
      <w:ind w:left="360"/>
    </w:pPr>
  </w:style>
  <w:style w:type="character" w:customStyle="1" w:styleId="BodyTextIndentChar">
    <w:name w:val="Body Text Indent Char"/>
    <w:basedOn w:val="DefaultParagraphFont"/>
    <w:link w:val="BodyTextIndent"/>
    <w:uiPriority w:val="99"/>
    <w:semiHidden/>
    <w:rsid w:val="00572DAE"/>
    <w:rPr>
      <w:szCs w:val="20"/>
      <w:lang w:val="en-GB"/>
    </w:rPr>
  </w:style>
  <w:style w:type="paragraph" w:customStyle="1" w:styleId="BankNormal">
    <w:name w:val="BankNormal"/>
    <w:basedOn w:val="Normal"/>
    <w:uiPriority w:val="99"/>
    <w:rsid w:val="00C77ACF"/>
    <w:pPr>
      <w:widowControl/>
      <w:autoSpaceDN w:val="0"/>
      <w:spacing w:after="240"/>
    </w:pPr>
    <w:rPr>
      <w:sz w:val="24"/>
      <w:lang w:val="en-US"/>
    </w:rPr>
  </w:style>
  <w:style w:type="table" w:styleId="TableGrid">
    <w:name w:val="Table Grid"/>
    <w:basedOn w:val="TableNormal"/>
    <w:uiPriority w:val="99"/>
    <w:rsid w:val="005E01E8"/>
    <w:pPr>
      <w:widowControl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uiPriority w:val="99"/>
    <w:rsid w:val="000D02CF"/>
    <w:pPr>
      <w:widowControl/>
    </w:pPr>
    <w:rPr>
      <w:sz w:val="24"/>
      <w:szCs w:val="24"/>
      <w:lang w:val="pl-PL" w:eastAsia="pl-PL"/>
    </w:rPr>
  </w:style>
  <w:style w:type="paragraph" w:styleId="ListParagraph">
    <w:name w:val="List Paragraph"/>
    <w:basedOn w:val="Normal"/>
    <w:uiPriority w:val="99"/>
    <w:qFormat/>
    <w:rsid w:val="007B78C9"/>
    <w:pPr>
      <w:ind w:left="720"/>
      <w:contextualSpacing/>
    </w:pPr>
  </w:style>
  <w:style w:type="paragraph" w:styleId="BalloonText">
    <w:name w:val="Balloon Text"/>
    <w:basedOn w:val="Normal"/>
    <w:link w:val="BalloonTextChar"/>
    <w:uiPriority w:val="99"/>
    <w:rsid w:val="008F517A"/>
    <w:rPr>
      <w:rFonts w:ascii="Tahoma" w:hAnsi="Tahoma" w:cs="Tahoma"/>
      <w:sz w:val="16"/>
      <w:szCs w:val="16"/>
    </w:rPr>
  </w:style>
  <w:style w:type="character" w:customStyle="1" w:styleId="BalloonTextChar">
    <w:name w:val="Balloon Text Char"/>
    <w:basedOn w:val="DefaultParagraphFont"/>
    <w:link w:val="BalloonText"/>
    <w:uiPriority w:val="99"/>
    <w:locked/>
    <w:rsid w:val="008F517A"/>
    <w:rPr>
      <w:rFonts w:ascii="Tahoma" w:hAnsi="Tahoma" w:cs="Tahoma"/>
      <w:snapToGrid w:val="0"/>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4</Pages>
  <Words>2014</Words>
  <Characters>11486</Characters>
  <Application>Microsoft Office Outlook</Application>
  <DocSecurity>0</DocSecurity>
  <Lines>0</Lines>
  <Paragraphs>0</Paragraphs>
  <ScaleCrop>false</ScaleCrop>
  <Company>GX270 June 2004 Build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D2-11 </dc:title>
  <dc:subject/>
  <dc:creator>UNDP</dc:creator>
  <cp:keywords/>
  <dc:description/>
  <cp:lastModifiedBy>A</cp:lastModifiedBy>
  <cp:revision>2</cp:revision>
  <dcterms:created xsi:type="dcterms:W3CDTF">2011-05-29T12:48:00Z</dcterms:created>
  <dcterms:modified xsi:type="dcterms:W3CDTF">2011-05-29T12:48:00Z</dcterms:modified>
</cp:coreProperties>
</file>