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056" w:rsidRPr="008C20CC" w:rsidRDefault="00CA3056" w:rsidP="00C77ACF">
      <w:pPr>
        <w:jc w:val="center"/>
        <w:outlineLvl w:val="0"/>
        <w:rPr>
          <w:b/>
          <w:szCs w:val="22"/>
          <w:lang w:val="en-US"/>
        </w:rPr>
      </w:pPr>
    </w:p>
    <w:p w:rsidR="00CA3056" w:rsidRPr="00147470" w:rsidRDefault="00CA3056" w:rsidP="00186CCC">
      <w:pPr>
        <w:jc w:val="center"/>
        <w:outlineLvl w:val="0"/>
        <w:rPr>
          <w:b/>
          <w:sz w:val="24"/>
          <w:szCs w:val="24"/>
        </w:rPr>
      </w:pPr>
      <w:r w:rsidRPr="00147470">
        <w:rPr>
          <w:b/>
          <w:sz w:val="24"/>
          <w:szCs w:val="24"/>
        </w:rPr>
        <w:t xml:space="preserve">United Nations Development Group </w:t>
      </w:r>
      <w:smartTag w:uri="urn:schemas-microsoft-com:office:smarttags" w:element="country-region">
        <w:smartTag w:uri="urn:schemas-microsoft-com:office:smarttags" w:element="place">
          <w:r w:rsidRPr="00147470">
            <w:rPr>
              <w:b/>
              <w:sz w:val="24"/>
              <w:szCs w:val="24"/>
            </w:rPr>
            <w:t>Iraq</w:t>
          </w:r>
        </w:smartTag>
      </w:smartTag>
      <w:r w:rsidRPr="00147470">
        <w:rPr>
          <w:b/>
          <w:sz w:val="24"/>
          <w:szCs w:val="24"/>
        </w:rPr>
        <w:t xml:space="preserve"> Trust Fund </w:t>
      </w:r>
    </w:p>
    <w:p w:rsidR="00CA3056" w:rsidRPr="00186CCC" w:rsidRDefault="00CA3056" w:rsidP="00B0627C">
      <w:pPr>
        <w:jc w:val="center"/>
        <w:outlineLvl w:val="0"/>
        <w:rPr>
          <w:b/>
          <w:sz w:val="24"/>
          <w:szCs w:val="24"/>
        </w:rPr>
      </w:pPr>
      <w:r w:rsidRPr="00186CCC">
        <w:rPr>
          <w:b/>
          <w:sz w:val="24"/>
          <w:szCs w:val="24"/>
        </w:rPr>
        <w:t>Project #:</w:t>
      </w:r>
      <w:r>
        <w:rPr>
          <w:b/>
          <w:sz w:val="24"/>
          <w:szCs w:val="24"/>
        </w:rPr>
        <w:t xml:space="preserve"> </w:t>
      </w:r>
      <w:smartTag w:uri="urn:schemas-microsoft-com:office:smarttags" w:element="place">
        <w:r>
          <w:rPr>
            <w:b/>
            <w:sz w:val="24"/>
            <w:szCs w:val="24"/>
          </w:rPr>
          <w:t>S D2</w:t>
        </w:r>
        <w:r w:rsidRPr="0032515D">
          <w:rPr>
            <w:b/>
            <w:sz w:val="24"/>
            <w:szCs w:val="24"/>
          </w:rPr>
          <w:t>-</w:t>
        </w:r>
      </w:smartTag>
      <w:r w:rsidRPr="0032515D">
        <w:rPr>
          <w:b/>
          <w:sz w:val="24"/>
          <w:szCs w:val="24"/>
        </w:rPr>
        <w:t xml:space="preserve"> </w:t>
      </w:r>
      <w:r>
        <w:rPr>
          <w:b/>
          <w:sz w:val="24"/>
          <w:szCs w:val="24"/>
        </w:rPr>
        <w:t>33</w:t>
      </w:r>
      <w:r w:rsidRPr="0032515D">
        <w:rPr>
          <w:b/>
          <w:sz w:val="24"/>
          <w:szCs w:val="24"/>
        </w:rPr>
        <w:t xml:space="preserve">   WHO </w:t>
      </w:r>
    </w:p>
    <w:p w:rsidR="00CA3056" w:rsidRPr="00186CCC" w:rsidRDefault="00CA3056" w:rsidP="00AE639B">
      <w:pPr>
        <w:jc w:val="center"/>
        <w:outlineLvl w:val="0"/>
        <w:rPr>
          <w:b/>
          <w:sz w:val="24"/>
          <w:szCs w:val="24"/>
        </w:rPr>
      </w:pPr>
      <w:r w:rsidRPr="00186CCC">
        <w:rPr>
          <w:b/>
          <w:sz w:val="24"/>
          <w:szCs w:val="24"/>
        </w:rPr>
        <w:t>Date and Quarter Updated</w:t>
      </w:r>
      <w:r w:rsidRPr="0058347D">
        <w:rPr>
          <w:b/>
          <w:sz w:val="24"/>
          <w:szCs w:val="24"/>
        </w:rPr>
        <w:t xml:space="preserve">: </w:t>
      </w:r>
      <w:r>
        <w:rPr>
          <w:b/>
          <w:sz w:val="24"/>
          <w:szCs w:val="24"/>
        </w:rPr>
        <w:t>1 January -31 March 2011(1</w:t>
      </w:r>
      <w:r w:rsidRPr="00AE639B">
        <w:rPr>
          <w:b/>
          <w:sz w:val="24"/>
          <w:szCs w:val="24"/>
          <w:vertAlign w:val="superscript"/>
        </w:rPr>
        <w:t>st</w:t>
      </w:r>
      <w:r>
        <w:rPr>
          <w:b/>
          <w:sz w:val="24"/>
          <w:szCs w:val="24"/>
        </w:rPr>
        <w:t xml:space="preserve">  Quarter)</w:t>
      </w:r>
    </w:p>
    <w:p w:rsidR="00CA3056" w:rsidRPr="00186CCC" w:rsidRDefault="00CA3056" w:rsidP="00467B32">
      <w:pPr>
        <w:jc w:val="center"/>
        <w:outlineLvl w:val="0"/>
        <w:rPr>
          <w:b/>
          <w:sz w:val="24"/>
          <w:szCs w:val="24"/>
          <w:u w:val="single"/>
        </w:rPr>
      </w:pPr>
    </w:p>
    <w:tbl>
      <w:tblPr>
        <w:tblW w:w="10800" w:type="dxa"/>
        <w:tblInd w:w="-972" w:type="dxa"/>
        <w:tblLook w:val="01E0"/>
      </w:tblPr>
      <w:tblGrid>
        <w:gridCol w:w="5580"/>
        <w:gridCol w:w="5220"/>
      </w:tblGrid>
      <w:tr w:rsidR="00CA3056" w:rsidRPr="00BB4503" w:rsidTr="00E908CE">
        <w:tc>
          <w:tcPr>
            <w:tcW w:w="5580" w:type="dxa"/>
            <w:shd w:val="clear" w:color="auto" w:fill="000099"/>
          </w:tcPr>
          <w:p w:rsidR="00CA3056" w:rsidRPr="00BB4503" w:rsidRDefault="00CA3056" w:rsidP="00C77ACF">
            <w:pPr>
              <w:rPr>
                <w:szCs w:val="22"/>
              </w:rPr>
            </w:pPr>
            <w:r w:rsidRPr="00BB4503">
              <w:rPr>
                <w:b/>
                <w:szCs w:val="22"/>
              </w:rPr>
              <w:t>Participating UN Organisation</w:t>
            </w:r>
            <w:r w:rsidRPr="00BB4503">
              <w:rPr>
                <w:szCs w:val="22"/>
              </w:rPr>
              <w:t xml:space="preserve">:  </w:t>
            </w:r>
          </w:p>
          <w:p w:rsidR="00CA3056" w:rsidRPr="00BB4503" w:rsidRDefault="00CA3056" w:rsidP="00C77ACF">
            <w:pPr>
              <w:rPr>
                <w:szCs w:val="22"/>
              </w:rPr>
            </w:pPr>
            <w:r>
              <w:t>WHO (Lead Agency),</w:t>
            </w:r>
          </w:p>
        </w:tc>
        <w:tc>
          <w:tcPr>
            <w:tcW w:w="5220" w:type="dxa"/>
            <w:shd w:val="clear" w:color="auto" w:fill="000099"/>
          </w:tcPr>
          <w:p w:rsidR="00CA3056" w:rsidRPr="00BB4503" w:rsidRDefault="00CA3056" w:rsidP="00C77ACF">
            <w:pPr>
              <w:rPr>
                <w:szCs w:val="22"/>
              </w:rPr>
            </w:pPr>
            <w:r w:rsidRPr="00BB4503">
              <w:rPr>
                <w:b/>
                <w:szCs w:val="22"/>
              </w:rPr>
              <w:t xml:space="preserve">Sector: </w:t>
            </w:r>
            <w:r>
              <w:rPr>
                <w:szCs w:val="22"/>
              </w:rPr>
              <w:t>Health and Nutrition</w:t>
            </w:r>
          </w:p>
        </w:tc>
      </w:tr>
      <w:tr w:rsidR="00CA3056" w:rsidRPr="00BB4503" w:rsidTr="00E908CE">
        <w:tc>
          <w:tcPr>
            <w:tcW w:w="10800" w:type="dxa"/>
            <w:gridSpan w:val="2"/>
            <w:shd w:val="clear" w:color="auto" w:fill="000099"/>
          </w:tcPr>
          <w:p w:rsidR="00CA3056" w:rsidRPr="00BB4503" w:rsidRDefault="00CA3056" w:rsidP="00C77ACF">
            <w:pPr>
              <w:rPr>
                <w:b/>
                <w:szCs w:val="22"/>
              </w:rPr>
            </w:pPr>
            <w:r w:rsidRPr="00BB4503">
              <w:rPr>
                <w:b/>
                <w:szCs w:val="22"/>
              </w:rPr>
              <w:t xml:space="preserve">Government of </w:t>
            </w:r>
            <w:smartTag w:uri="urn:schemas-microsoft-com:office:smarttags" w:element="country-region">
              <w:smartTag w:uri="urn:schemas-microsoft-com:office:smarttags" w:element="place">
                <w:r w:rsidRPr="00BB4503">
                  <w:rPr>
                    <w:b/>
                    <w:szCs w:val="22"/>
                  </w:rPr>
                  <w:t>Iraq</w:t>
                </w:r>
              </w:smartTag>
            </w:smartTag>
            <w:r w:rsidRPr="00BB4503">
              <w:rPr>
                <w:b/>
                <w:szCs w:val="22"/>
              </w:rPr>
              <w:t xml:space="preserve"> – Responsible Line Ministry: </w:t>
            </w:r>
            <w:r w:rsidRPr="00BB4503">
              <w:rPr>
                <w:b/>
                <w:szCs w:val="22"/>
              </w:rPr>
              <w:tab/>
            </w:r>
          </w:p>
          <w:p w:rsidR="00CA3056" w:rsidRPr="00B86A29" w:rsidRDefault="00CA3056" w:rsidP="00B86A29">
            <w:pPr>
              <w:rPr>
                <w:szCs w:val="22"/>
              </w:rPr>
            </w:pPr>
            <w:r>
              <w:t>MOH</w:t>
            </w:r>
            <w:r w:rsidRPr="00BD146C">
              <w:t xml:space="preserve"> (Lead Ministry),</w:t>
            </w:r>
            <w:r>
              <w:t xml:space="preserve"> </w:t>
            </w:r>
            <w:r w:rsidRPr="00BD146C">
              <w:t>COSIT</w:t>
            </w:r>
            <w:r>
              <w:t>, KRSO</w:t>
            </w:r>
          </w:p>
        </w:tc>
      </w:tr>
    </w:tbl>
    <w:p w:rsidR="00CA3056" w:rsidRPr="00CF6944" w:rsidRDefault="00CA3056" w:rsidP="00C77ACF">
      <w:pPr>
        <w:outlineLvl w:val="0"/>
        <w:rPr>
          <w:b/>
          <w:szCs w:val="2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406"/>
        <w:gridCol w:w="1350"/>
        <w:gridCol w:w="1620"/>
        <w:gridCol w:w="1440"/>
        <w:gridCol w:w="1744"/>
      </w:tblGrid>
      <w:tr w:rsidR="00CA3056" w:rsidRPr="00BB4503" w:rsidTr="00E908CE">
        <w:tc>
          <w:tcPr>
            <w:tcW w:w="3240" w:type="dxa"/>
          </w:tcPr>
          <w:p w:rsidR="00CA3056" w:rsidRPr="00BB4503" w:rsidRDefault="00CA3056" w:rsidP="00C77ACF">
            <w:pPr>
              <w:rPr>
                <w:b/>
                <w:szCs w:val="22"/>
              </w:rPr>
            </w:pPr>
            <w:r w:rsidRPr="00BB4503">
              <w:rPr>
                <w:b/>
                <w:szCs w:val="22"/>
              </w:rPr>
              <w:t>Title</w:t>
            </w:r>
          </w:p>
        </w:tc>
        <w:tc>
          <w:tcPr>
            <w:tcW w:w="7560" w:type="dxa"/>
            <w:gridSpan w:val="5"/>
          </w:tcPr>
          <w:p w:rsidR="00CA3056" w:rsidRPr="00D848DA" w:rsidRDefault="00CA3056" w:rsidP="00D848DA">
            <w:pPr>
              <w:pStyle w:val="Heading2"/>
              <w:rPr>
                <w:b w:val="0"/>
                <w:bCs w:val="0"/>
                <w:sz w:val="22"/>
                <w:szCs w:val="22"/>
                <w:lang w:val="en-GB"/>
              </w:rPr>
            </w:pPr>
            <w:r w:rsidRPr="00D848DA">
              <w:rPr>
                <w:b w:val="0"/>
                <w:bCs w:val="0"/>
                <w:sz w:val="22"/>
                <w:szCs w:val="22"/>
                <w:lang w:val="en-GB"/>
              </w:rPr>
              <w:t xml:space="preserve">Pilot Assessment of Congenital Birth Defects in </w:t>
            </w:r>
            <w:smartTag w:uri="urn:schemas-microsoft-com:office:smarttags" w:element="country-region">
              <w:smartTag w:uri="urn:schemas-microsoft-com:office:smarttags" w:element="place">
                <w:r w:rsidRPr="00D848DA">
                  <w:rPr>
                    <w:b w:val="0"/>
                    <w:bCs w:val="0"/>
                    <w:sz w:val="22"/>
                    <w:szCs w:val="22"/>
                    <w:lang w:val="en-GB"/>
                  </w:rPr>
                  <w:t>Iraq</w:t>
                </w:r>
              </w:smartTag>
            </w:smartTag>
            <w:r w:rsidRPr="00D848DA">
              <w:rPr>
                <w:b w:val="0"/>
                <w:bCs w:val="0"/>
                <w:sz w:val="22"/>
                <w:szCs w:val="22"/>
                <w:lang w:val="en-GB"/>
              </w:rPr>
              <w:t xml:space="preserve"> in Six Governorates  </w:t>
            </w:r>
          </w:p>
        </w:tc>
      </w:tr>
      <w:tr w:rsidR="00CA3056" w:rsidRPr="00BB4503" w:rsidTr="00E908CE">
        <w:tc>
          <w:tcPr>
            <w:tcW w:w="3240" w:type="dxa"/>
          </w:tcPr>
          <w:p w:rsidR="00CA3056" w:rsidRPr="00BB4503" w:rsidRDefault="00CA3056" w:rsidP="00C77ACF">
            <w:pPr>
              <w:rPr>
                <w:b/>
                <w:szCs w:val="22"/>
              </w:rPr>
            </w:pPr>
            <w:r w:rsidRPr="00BB4503">
              <w:rPr>
                <w:b/>
                <w:szCs w:val="22"/>
              </w:rPr>
              <w:t>Geographic Location</w:t>
            </w:r>
          </w:p>
        </w:tc>
        <w:tc>
          <w:tcPr>
            <w:tcW w:w="7560" w:type="dxa"/>
            <w:gridSpan w:val="5"/>
          </w:tcPr>
          <w:p w:rsidR="00CA3056" w:rsidRPr="00BB4503" w:rsidRDefault="00CA3056" w:rsidP="00C7103C">
            <w:pPr>
              <w:rPr>
                <w:szCs w:val="22"/>
              </w:rPr>
            </w:pPr>
            <w:r>
              <w:t>Six governorates (</w:t>
            </w:r>
            <w:smartTag w:uri="urn:schemas-microsoft-com:office:smarttags" w:element="City">
              <w:smartTag w:uri="urn:schemas-microsoft-com:office:smarttags" w:element="place">
                <w:r>
                  <w:t>Baghdad</w:t>
                </w:r>
              </w:smartTag>
            </w:smartTag>
            <w:r>
              <w:t xml:space="preserve"> ,</w:t>
            </w:r>
            <w:r w:rsidRPr="006640E0">
              <w:t>Anbar, Basrah, Thi Qar, Sulaymaniyah</w:t>
            </w:r>
            <w:r>
              <w:rPr>
                <w:szCs w:val="22"/>
              </w:rPr>
              <w:t xml:space="preserve"> and Dialah)</w:t>
            </w:r>
          </w:p>
        </w:tc>
      </w:tr>
      <w:tr w:rsidR="00CA3056" w:rsidRPr="00BB4503" w:rsidTr="00E908CE">
        <w:tc>
          <w:tcPr>
            <w:tcW w:w="3240" w:type="dxa"/>
          </w:tcPr>
          <w:p w:rsidR="00CA3056" w:rsidRPr="00BB4503" w:rsidRDefault="00CA3056" w:rsidP="00C77ACF">
            <w:pPr>
              <w:rPr>
                <w:b/>
                <w:szCs w:val="22"/>
              </w:rPr>
            </w:pPr>
            <w:r w:rsidRPr="00BB4503">
              <w:rPr>
                <w:b/>
                <w:szCs w:val="22"/>
              </w:rPr>
              <w:t>Project Cost</w:t>
            </w:r>
          </w:p>
        </w:tc>
        <w:tc>
          <w:tcPr>
            <w:tcW w:w="7560" w:type="dxa"/>
            <w:gridSpan w:val="5"/>
          </w:tcPr>
          <w:p w:rsidR="00CA3056" w:rsidRPr="00F50214" w:rsidRDefault="00CA3056" w:rsidP="00C77ACF">
            <w:pPr>
              <w:rPr>
                <w:szCs w:val="22"/>
              </w:rPr>
            </w:pPr>
            <w:r w:rsidRPr="005B2A8F">
              <w:rPr>
                <w:szCs w:val="22"/>
              </w:rPr>
              <w:t xml:space="preserve">US$ </w:t>
            </w:r>
            <w:r w:rsidRPr="00F50214">
              <w:rPr>
                <w:szCs w:val="22"/>
              </w:rPr>
              <w:t>336,548</w:t>
            </w:r>
          </w:p>
        </w:tc>
      </w:tr>
      <w:tr w:rsidR="00CA3056" w:rsidRPr="00BB4503" w:rsidTr="00E908CE">
        <w:tc>
          <w:tcPr>
            <w:tcW w:w="3240" w:type="dxa"/>
          </w:tcPr>
          <w:p w:rsidR="00CA3056" w:rsidRPr="00BB4503" w:rsidRDefault="00CA3056" w:rsidP="00C77ACF">
            <w:pPr>
              <w:rPr>
                <w:b/>
                <w:szCs w:val="22"/>
              </w:rPr>
            </w:pPr>
            <w:r w:rsidRPr="00BB4503">
              <w:rPr>
                <w:b/>
                <w:szCs w:val="22"/>
              </w:rPr>
              <w:t>Duration</w:t>
            </w:r>
          </w:p>
        </w:tc>
        <w:tc>
          <w:tcPr>
            <w:tcW w:w="7560" w:type="dxa"/>
            <w:gridSpan w:val="5"/>
          </w:tcPr>
          <w:p w:rsidR="00CA3056" w:rsidRPr="00E908CE" w:rsidRDefault="00CA3056" w:rsidP="00E908CE">
            <w:pPr>
              <w:pStyle w:val="BodyText"/>
            </w:pPr>
            <w:r w:rsidRPr="0028760C">
              <w:t>18 months</w:t>
            </w:r>
          </w:p>
        </w:tc>
      </w:tr>
      <w:tr w:rsidR="00CA3056" w:rsidRPr="00BB4503" w:rsidTr="00E908CE">
        <w:tc>
          <w:tcPr>
            <w:tcW w:w="3240" w:type="dxa"/>
          </w:tcPr>
          <w:p w:rsidR="00CA3056" w:rsidRPr="00BB4503" w:rsidRDefault="00CA3056" w:rsidP="00C77ACF">
            <w:pPr>
              <w:rPr>
                <w:b/>
                <w:szCs w:val="22"/>
              </w:rPr>
            </w:pPr>
            <w:r w:rsidRPr="00BB4503">
              <w:rPr>
                <w:b/>
                <w:szCs w:val="22"/>
              </w:rPr>
              <w:t>Approval  Date (SC)</w:t>
            </w:r>
          </w:p>
        </w:tc>
        <w:tc>
          <w:tcPr>
            <w:tcW w:w="1406" w:type="dxa"/>
          </w:tcPr>
          <w:p w:rsidR="00CA3056" w:rsidRPr="0028760C" w:rsidRDefault="00CA3056" w:rsidP="00F50214">
            <w:pPr>
              <w:rPr>
                <w:szCs w:val="22"/>
              </w:rPr>
            </w:pPr>
            <w:r w:rsidRPr="0028760C">
              <w:rPr>
                <w:szCs w:val="22"/>
              </w:rPr>
              <w:t>27 June 2010</w:t>
            </w:r>
          </w:p>
        </w:tc>
        <w:tc>
          <w:tcPr>
            <w:tcW w:w="1350" w:type="dxa"/>
          </w:tcPr>
          <w:p w:rsidR="00CA3056" w:rsidRPr="0028760C" w:rsidRDefault="00CA3056" w:rsidP="001B6C5F">
            <w:pPr>
              <w:rPr>
                <w:b/>
                <w:szCs w:val="22"/>
              </w:rPr>
            </w:pPr>
            <w:r w:rsidRPr="0028760C">
              <w:rPr>
                <w:b/>
                <w:szCs w:val="22"/>
              </w:rPr>
              <w:t>Starting Date</w:t>
            </w:r>
          </w:p>
        </w:tc>
        <w:tc>
          <w:tcPr>
            <w:tcW w:w="1620" w:type="dxa"/>
          </w:tcPr>
          <w:p w:rsidR="00CA3056" w:rsidRPr="0028760C" w:rsidRDefault="00CA3056" w:rsidP="00B86A29">
            <w:pPr>
              <w:pStyle w:val="BodyText"/>
              <w:tabs>
                <w:tab w:val="left" w:pos="-1620"/>
              </w:tabs>
              <w:rPr>
                <w:szCs w:val="22"/>
              </w:rPr>
            </w:pPr>
            <w:r>
              <w:rPr>
                <w:szCs w:val="22"/>
              </w:rPr>
              <w:t>2</w:t>
            </w:r>
            <w:r w:rsidRPr="0028760C">
              <w:rPr>
                <w:szCs w:val="22"/>
              </w:rPr>
              <w:t xml:space="preserve"> July 2010</w:t>
            </w:r>
          </w:p>
        </w:tc>
        <w:tc>
          <w:tcPr>
            <w:tcW w:w="1440" w:type="dxa"/>
          </w:tcPr>
          <w:p w:rsidR="00CA3056" w:rsidRPr="0028760C" w:rsidRDefault="00CA3056" w:rsidP="001B6C5F">
            <w:pPr>
              <w:rPr>
                <w:b/>
                <w:szCs w:val="22"/>
              </w:rPr>
            </w:pPr>
            <w:r w:rsidRPr="0028760C">
              <w:rPr>
                <w:b/>
                <w:szCs w:val="22"/>
              </w:rPr>
              <w:t xml:space="preserve">Completion Date   </w:t>
            </w:r>
          </w:p>
        </w:tc>
        <w:tc>
          <w:tcPr>
            <w:tcW w:w="1744" w:type="dxa"/>
          </w:tcPr>
          <w:p w:rsidR="00CA3056" w:rsidRPr="0028760C" w:rsidRDefault="00CA3056" w:rsidP="007F5A8F">
            <w:pPr>
              <w:pStyle w:val="BodyText"/>
              <w:jc w:val="left"/>
              <w:rPr>
                <w:bCs/>
                <w:szCs w:val="22"/>
              </w:rPr>
            </w:pPr>
            <w:r>
              <w:rPr>
                <w:bCs/>
                <w:szCs w:val="22"/>
              </w:rPr>
              <w:t>02.01.2012</w:t>
            </w:r>
          </w:p>
        </w:tc>
      </w:tr>
      <w:tr w:rsidR="00CA3056" w:rsidRPr="00BB4503" w:rsidTr="00E908CE">
        <w:tc>
          <w:tcPr>
            <w:tcW w:w="3240" w:type="dxa"/>
          </w:tcPr>
          <w:p w:rsidR="00CA3056" w:rsidRPr="00BB4503" w:rsidRDefault="00CA3056" w:rsidP="00C77ACF">
            <w:pPr>
              <w:rPr>
                <w:b/>
                <w:szCs w:val="22"/>
              </w:rPr>
            </w:pPr>
            <w:r w:rsidRPr="00BB4503">
              <w:rPr>
                <w:b/>
                <w:szCs w:val="22"/>
              </w:rPr>
              <w:t>Project Description</w:t>
            </w:r>
          </w:p>
        </w:tc>
        <w:tc>
          <w:tcPr>
            <w:tcW w:w="7560" w:type="dxa"/>
            <w:gridSpan w:val="5"/>
          </w:tcPr>
          <w:p w:rsidR="00CA3056" w:rsidRPr="00D848DA" w:rsidRDefault="00CA3056" w:rsidP="0028760C">
            <w:pPr>
              <w:adjustRightInd w:val="0"/>
              <w:snapToGrid w:val="0"/>
              <w:ind w:left="72"/>
              <w:jc w:val="lowKashida"/>
              <w:rPr>
                <w:bCs/>
              </w:rPr>
            </w:pPr>
            <w:r w:rsidRPr="003D588C">
              <w:rPr>
                <w:szCs w:val="22"/>
              </w:rPr>
              <w:t xml:space="preserve">Currently, there are no reliable and adequate data on incidence, prevalence and trends of </w:t>
            </w:r>
            <w:r>
              <w:rPr>
                <w:szCs w:val="22"/>
              </w:rPr>
              <w:t xml:space="preserve">congenital </w:t>
            </w:r>
            <w:r w:rsidRPr="003D588C">
              <w:rPr>
                <w:szCs w:val="22"/>
              </w:rPr>
              <w:t xml:space="preserve">birth defects </w:t>
            </w:r>
            <w:r>
              <w:rPr>
                <w:szCs w:val="22"/>
              </w:rPr>
              <w:t xml:space="preserve">(CBD) </w:t>
            </w:r>
            <w:r w:rsidRPr="003D588C">
              <w:rPr>
                <w:szCs w:val="22"/>
              </w:rPr>
              <w:t xml:space="preserve">in </w:t>
            </w:r>
            <w:smartTag w:uri="urn:schemas-microsoft-com:office:smarttags" w:element="country-region">
              <w:smartTag w:uri="urn:schemas-microsoft-com:office:smarttags" w:element="place">
                <w:r w:rsidRPr="003D588C">
                  <w:rPr>
                    <w:szCs w:val="22"/>
                  </w:rPr>
                  <w:t>Iraq</w:t>
                </w:r>
              </w:smartTag>
            </w:smartTag>
            <w:r w:rsidRPr="003D588C">
              <w:rPr>
                <w:szCs w:val="22"/>
              </w:rPr>
              <w:t xml:space="preserve">. The 2006 Multiple Indicator Cluster Survey (MICS-3) </w:t>
            </w:r>
            <w:r w:rsidRPr="003D588C">
              <w:rPr>
                <w:szCs w:val="22"/>
                <w:lang w:val="en-US"/>
              </w:rPr>
              <w:t xml:space="preserve">reported that 20% of children under 5 years of age have some forms of disabilities; some of these cases have been attributed to congenital malformations. </w:t>
            </w:r>
            <w:r w:rsidRPr="005B385D">
              <w:rPr>
                <w:szCs w:val="22"/>
              </w:rPr>
              <w:t>The</w:t>
            </w:r>
            <w:r>
              <w:rPr>
                <w:szCs w:val="22"/>
              </w:rPr>
              <w:t>re is a</w:t>
            </w:r>
            <w:r w:rsidRPr="005B385D">
              <w:rPr>
                <w:szCs w:val="22"/>
              </w:rPr>
              <w:t xml:space="preserve"> </w:t>
            </w:r>
            <w:r>
              <w:rPr>
                <w:szCs w:val="22"/>
              </w:rPr>
              <w:t xml:space="preserve">need for a comprehensive programme to better understand the distribution, trends and the magnitude of birth defects in </w:t>
            </w:r>
            <w:smartTag w:uri="urn:schemas-microsoft-com:office:smarttags" w:element="place">
              <w:smartTag w:uri="urn:schemas-microsoft-com:office:smarttags" w:element="country-region">
                <w:r>
                  <w:rPr>
                    <w:szCs w:val="22"/>
                  </w:rPr>
                  <w:t>Iraq</w:t>
                </w:r>
              </w:smartTag>
            </w:smartTag>
            <w:r>
              <w:rPr>
                <w:szCs w:val="22"/>
              </w:rPr>
              <w:t>.</w:t>
            </w:r>
            <w:r w:rsidRPr="003D588C">
              <w:rPr>
                <w:szCs w:val="22"/>
              </w:rPr>
              <w:t xml:space="preserve">  Given the funding not being fully available, the programme has been divided into two phases, the first to be implemented with the available UNDG ITF funds.  The proposed study in the first phase aims at drawing </w:t>
            </w:r>
            <w:r>
              <w:rPr>
                <w:szCs w:val="22"/>
              </w:rPr>
              <w:t xml:space="preserve">initial </w:t>
            </w:r>
            <w:r w:rsidRPr="003D588C">
              <w:rPr>
                <w:szCs w:val="22"/>
              </w:rPr>
              <w:t>baseline</w:t>
            </w:r>
            <w:r>
              <w:rPr>
                <w:szCs w:val="22"/>
              </w:rPr>
              <w:t xml:space="preserve"> data</w:t>
            </w:r>
            <w:r w:rsidRPr="003D588C">
              <w:rPr>
                <w:szCs w:val="22"/>
              </w:rPr>
              <w:t xml:space="preserve"> </w:t>
            </w:r>
            <w:r>
              <w:rPr>
                <w:szCs w:val="22"/>
              </w:rPr>
              <w:t>and understanding the</w:t>
            </w:r>
            <w:r w:rsidRPr="003D588C">
              <w:rPr>
                <w:szCs w:val="22"/>
              </w:rPr>
              <w:t xml:space="preserve"> trends of birth defects in the selected  governorates in Iraq; analyzing spatial and temporal trends and detect changes in the incidence of birth defects in Iraq and </w:t>
            </w:r>
            <w:r>
              <w:rPr>
                <w:szCs w:val="22"/>
              </w:rPr>
              <w:t>c</w:t>
            </w:r>
            <w:r w:rsidRPr="003D588C">
              <w:rPr>
                <w:szCs w:val="22"/>
              </w:rPr>
              <w:t xml:space="preserve">apacity building of </w:t>
            </w:r>
            <w:r>
              <w:rPr>
                <w:szCs w:val="22"/>
              </w:rPr>
              <w:t>MoH</w:t>
            </w:r>
            <w:r w:rsidRPr="003D588C">
              <w:rPr>
                <w:szCs w:val="22"/>
              </w:rPr>
              <w:t xml:space="preserve"> laboratory technicians</w:t>
            </w:r>
            <w:r>
              <w:rPr>
                <w:szCs w:val="22"/>
              </w:rPr>
              <w:t xml:space="preserve"> in investigation techniques</w:t>
            </w:r>
            <w:r w:rsidRPr="003D588C">
              <w:rPr>
                <w:szCs w:val="22"/>
              </w:rPr>
              <w:t xml:space="preserve">. The assessment in the second phase will aim at conducting observational and analytical epidemiological and laboratory investigations to understand underlying risk factors; strengthening the disease registry/surveillance for birth defects in Iraq and finally the proposed study will assist in assessing the burden of the problem on Iraqi health </w:t>
            </w:r>
            <w:r>
              <w:rPr>
                <w:szCs w:val="22"/>
              </w:rPr>
              <w:t xml:space="preserve">care </w:t>
            </w:r>
            <w:r w:rsidRPr="003D588C">
              <w:rPr>
                <w:szCs w:val="22"/>
              </w:rPr>
              <w:t xml:space="preserve">system and communities and </w:t>
            </w:r>
            <w:r>
              <w:rPr>
                <w:szCs w:val="22"/>
              </w:rPr>
              <w:t xml:space="preserve">in </w:t>
            </w:r>
            <w:r w:rsidRPr="003D588C">
              <w:rPr>
                <w:szCs w:val="22"/>
              </w:rPr>
              <w:t>formulating evidence-based recommendations to address the problem.</w:t>
            </w:r>
          </w:p>
        </w:tc>
      </w:tr>
    </w:tbl>
    <w:p w:rsidR="00CA3056" w:rsidRPr="00CF6944" w:rsidRDefault="00CA3056" w:rsidP="00C77ACF">
      <w:pPr>
        <w:rPr>
          <w:szCs w:val="22"/>
        </w:rPr>
      </w:pPr>
    </w:p>
    <w:tbl>
      <w:tblPr>
        <w:tblW w:w="10800" w:type="dxa"/>
        <w:tblInd w:w="-972" w:type="dxa"/>
        <w:tblLook w:val="01E0"/>
      </w:tblPr>
      <w:tblGrid>
        <w:gridCol w:w="10800"/>
      </w:tblGrid>
      <w:tr w:rsidR="00CA3056" w:rsidRPr="00BB4503" w:rsidTr="00E908CE">
        <w:trPr>
          <w:trHeight w:val="368"/>
        </w:trPr>
        <w:tc>
          <w:tcPr>
            <w:tcW w:w="10800" w:type="dxa"/>
            <w:tcBorders>
              <w:top w:val="single" w:sz="4" w:space="0" w:color="auto"/>
              <w:left w:val="single" w:sz="4" w:space="0" w:color="auto"/>
              <w:bottom w:val="single" w:sz="4" w:space="0" w:color="auto"/>
              <w:right w:val="single" w:sz="4" w:space="0" w:color="auto"/>
            </w:tcBorders>
            <w:shd w:val="clear" w:color="auto" w:fill="D9D9D9"/>
          </w:tcPr>
          <w:p w:rsidR="00CA3056" w:rsidRPr="00BC7C38" w:rsidRDefault="00CA3056" w:rsidP="00BC7C38">
            <w:pPr>
              <w:outlineLvl w:val="0"/>
              <w:rPr>
                <w:szCs w:val="22"/>
              </w:rPr>
            </w:pPr>
            <w:r w:rsidRPr="00CF6944">
              <w:rPr>
                <w:b/>
                <w:szCs w:val="22"/>
              </w:rPr>
              <w:t>Development Goal and Immediate Objectives</w:t>
            </w:r>
          </w:p>
        </w:tc>
      </w:tr>
      <w:tr w:rsidR="00CA3056" w:rsidRPr="00BB4503" w:rsidTr="00E908CE">
        <w:trPr>
          <w:trHeight w:val="1403"/>
        </w:trPr>
        <w:tc>
          <w:tcPr>
            <w:tcW w:w="10800" w:type="dxa"/>
            <w:tcBorders>
              <w:top w:val="single" w:sz="4" w:space="0" w:color="auto"/>
              <w:left w:val="single" w:sz="4" w:space="0" w:color="auto"/>
              <w:bottom w:val="single" w:sz="4" w:space="0" w:color="auto"/>
              <w:right w:val="single" w:sz="4" w:space="0" w:color="auto"/>
            </w:tcBorders>
          </w:tcPr>
          <w:p w:rsidR="00CA3056" w:rsidRPr="001A5068" w:rsidRDefault="00CA3056" w:rsidP="00776A30">
            <w:pPr>
              <w:adjustRightInd w:val="0"/>
              <w:snapToGrid w:val="0"/>
              <w:jc w:val="lowKashida"/>
              <w:rPr>
                <w:szCs w:val="22"/>
              </w:rPr>
            </w:pPr>
            <w:r w:rsidRPr="001A5068">
              <w:rPr>
                <w:szCs w:val="22"/>
              </w:rPr>
              <w:t>Given the funding not being fully available, the programme has been divided into two phases, the first to be implemented with the available UNDG ITF funds.  The proposed study in the first phas</w:t>
            </w:r>
            <w:r>
              <w:rPr>
                <w:szCs w:val="22"/>
              </w:rPr>
              <w:t>e</w:t>
            </w:r>
            <w:r w:rsidRPr="001A5068">
              <w:rPr>
                <w:szCs w:val="22"/>
              </w:rPr>
              <w:t xml:space="preserve"> aims at:</w:t>
            </w:r>
          </w:p>
          <w:p w:rsidR="00CA3056" w:rsidRPr="001A5068" w:rsidRDefault="00CA3056" w:rsidP="00776A30">
            <w:pPr>
              <w:widowControl/>
              <w:numPr>
                <w:ilvl w:val="0"/>
                <w:numId w:val="7"/>
              </w:numPr>
              <w:adjustRightInd w:val="0"/>
              <w:snapToGrid w:val="0"/>
              <w:jc w:val="lowKashida"/>
              <w:rPr>
                <w:szCs w:val="22"/>
              </w:rPr>
            </w:pPr>
            <w:r w:rsidRPr="001A5068">
              <w:rPr>
                <w:szCs w:val="22"/>
              </w:rPr>
              <w:t xml:space="preserve">Drawing </w:t>
            </w:r>
            <w:r>
              <w:rPr>
                <w:szCs w:val="22"/>
              </w:rPr>
              <w:t xml:space="preserve">initial </w:t>
            </w:r>
            <w:r w:rsidRPr="001A5068">
              <w:rPr>
                <w:szCs w:val="22"/>
              </w:rPr>
              <w:t>baseline</w:t>
            </w:r>
            <w:r>
              <w:rPr>
                <w:szCs w:val="22"/>
              </w:rPr>
              <w:t xml:space="preserve"> data from selected districts in 6 governorates</w:t>
            </w:r>
            <w:r w:rsidRPr="001A5068">
              <w:rPr>
                <w:szCs w:val="22"/>
              </w:rPr>
              <w:t xml:space="preserve"> and understanding the trends of birth defects in the selected  governorates in </w:t>
            </w:r>
            <w:smartTag w:uri="urn:schemas-microsoft-com:office:smarttags" w:element="country-region">
              <w:smartTag w:uri="urn:schemas-microsoft-com:office:smarttags" w:element="place">
                <w:r w:rsidRPr="001A5068">
                  <w:rPr>
                    <w:szCs w:val="22"/>
                  </w:rPr>
                  <w:t>Iraq</w:t>
                </w:r>
              </w:smartTag>
            </w:smartTag>
            <w:r w:rsidRPr="001A5068">
              <w:rPr>
                <w:szCs w:val="22"/>
              </w:rPr>
              <w:t>;</w:t>
            </w:r>
          </w:p>
          <w:p w:rsidR="00CA3056" w:rsidRPr="001A5068" w:rsidRDefault="00CA3056" w:rsidP="00776A30">
            <w:pPr>
              <w:widowControl/>
              <w:numPr>
                <w:ilvl w:val="0"/>
                <w:numId w:val="7"/>
              </w:numPr>
              <w:adjustRightInd w:val="0"/>
              <w:snapToGrid w:val="0"/>
              <w:jc w:val="lowKashida"/>
              <w:rPr>
                <w:szCs w:val="22"/>
              </w:rPr>
            </w:pPr>
            <w:r w:rsidRPr="001A5068">
              <w:rPr>
                <w:szCs w:val="22"/>
              </w:rPr>
              <w:t xml:space="preserve">analyzing spatial and temporal trends and detect changes in the incidence of birth defects in </w:t>
            </w:r>
            <w:smartTag w:uri="urn:schemas-microsoft-com:office:smarttags" w:element="country-region">
              <w:smartTag w:uri="urn:schemas-microsoft-com:office:smarttags" w:element="place">
                <w:r w:rsidRPr="001A5068">
                  <w:rPr>
                    <w:szCs w:val="22"/>
                  </w:rPr>
                  <w:t>Iraq</w:t>
                </w:r>
              </w:smartTag>
            </w:smartTag>
            <w:r>
              <w:rPr>
                <w:szCs w:val="22"/>
              </w:rPr>
              <w:t xml:space="preserve"> </w:t>
            </w:r>
          </w:p>
          <w:p w:rsidR="00CA3056" w:rsidRDefault="00CA3056" w:rsidP="00C24FCE">
            <w:pPr>
              <w:widowControl/>
              <w:numPr>
                <w:ilvl w:val="0"/>
                <w:numId w:val="7"/>
              </w:numPr>
              <w:adjustRightInd w:val="0"/>
              <w:snapToGrid w:val="0"/>
              <w:jc w:val="lowKashida"/>
              <w:rPr>
                <w:szCs w:val="22"/>
              </w:rPr>
            </w:pPr>
            <w:r w:rsidRPr="001A5068">
              <w:rPr>
                <w:szCs w:val="22"/>
              </w:rPr>
              <w:t xml:space="preserve">Capacity building of </w:t>
            </w:r>
            <w:r>
              <w:rPr>
                <w:szCs w:val="22"/>
              </w:rPr>
              <w:t>MoH</w:t>
            </w:r>
            <w:r w:rsidRPr="001A5068">
              <w:rPr>
                <w:szCs w:val="22"/>
              </w:rPr>
              <w:t xml:space="preserve"> </w:t>
            </w:r>
            <w:r>
              <w:rPr>
                <w:szCs w:val="22"/>
              </w:rPr>
              <w:t xml:space="preserve">national public health </w:t>
            </w:r>
            <w:r>
              <w:t>TORCH</w:t>
            </w:r>
            <w:r w:rsidRPr="001A5068">
              <w:rPr>
                <w:szCs w:val="22"/>
              </w:rPr>
              <w:t xml:space="preserve"> </w:t>
            </w:r>
            <w:r>
              <w:rPr>
                <w:szCs w:val="22"/>
              </w:rPr>
              <w:t>(</w:t>
            </w:r>
            <w:r>
              <w:t xml:space="preserve">Toxoplasmosis, Rubella, Cytomegalo and Herpes virus) </w:t>
            </w:r>
            <w:r w:rsidRPr="001A5068">
              <w:rPr>
                <w:szCs w:val="22"/>
              </w:rPr>
              <w:t>laborator</w:t>
            </w:r>
            <w:r>
              <w:rPr>
                <w:szCs w:val="22"/>
              </w:rPr>
              <w:t xml:space="preserve">y </w:t>
            </w:r>
            <w:r>
              <w:t xml:space="preserve"> </w:t>
            </w:r>
            <w:r>
              <w:rPr>
                <w:szCs w:val="22"/>
              </w:rPr>
              <w:t xml:space="preserve">and </w:t>
            </w:r>
            <w:r w:rsidRPr="001A5068">
              <w:rPr>
                <w:szCs w:val="22"/>
              </w:rPr>
              <w:t>technicians</w:t>
            </w:r>
          </w:p>
          <w:p w:rsidR="00CA3056" w:rsidRPr="001A5068" w:rsidRDefault="00CA3056" w:rsidP="00776A30">
            <w:pPr>
              <w:adjustRightInd w:val="0"/>
              <w:snapToGrid w:val="0"/>
              <w:ind w:left="360"/>
              <w:jc w:val="lowKashida"/>
              <w:rPr>
                <w:szCs w:val="22"/>
              </w:rPr>
            </w:pPr>
            <w:r>
              <w:rPr>
                <w:szCs w:val="22"/>
              </w:rPr>
              <w:t>T</w:t>
            </w:r>
            <w:r w:rsidRPr="001A5068">
              <w:rPr>
                <w:szCs w:val="22"/>
              </w:rPr>
              <w:t>he second phase will aim at:</w:t>
            </w:r>
          </w:p>
          <w:p w:rsidR="00CA3056" w:rsidRPr="00776A30" w:rsidRDefault="00CA3056" w:rsidP="00776A30">
            <w:pPr>
              <w:widowControl/>
              <w:numPr>
                <w:ilvl w:val="0"/>
                <w:numId w:val="7"/>
              </w:numPr>
              <w:adjustRightInd w:val="0"/>
              <w:snapToGrid w:val="0"/>
              <w:jc w:val="lowKashida"/>
              <w:rPr>
                <w:szCs w:val="22"/>
              </w:rPr>
            </w:pPr>
            <w:r w:rsidRPr="001A5068">
              <w:rPr>
                <w:szCs w:val="22"/>
              </w:rPr>
              <w:t xml:space="preserve">conducting observational and analytical epidemiological and laboratory investigations to understand underlying risk factors; strengthening the disease registry/surveillance for birth defects in </w:t>
            </w:r>
            <w:smartTag w:uri="urn:schemas-microsoft-com:office:smarttags" w:element="country-region">
              <w:smartTag w:uri="urn:schemas-microsoft-com:office:smarttags" w:element="place">
                <w:r w:rsidRPr="001A5068">
                  <w:rPr>
                    <w:szCs w:val="22"/>
                  </w:rPr>
                  <w:t>Iraq</w:t>
                </w:r>
              </w:smartTag>
            </w:smartTag>
            <w:r w:rsidRPr="001A5068">
              <w:rPr>
                <w:szCs w:val="22"/>
              </w:rPr>
              <w:t xml:space="preserve"> and finally the proposed study will assist in assessing the burden of the problem on Iraqi health system, medical services and communities and  formulating evidence-based recommendations to address the problem</w:t>
            </w:r>
          </w:p>
        </w:tc>
      </w:tr>
    </w:tbl>
    <w:p w:rsidR="00CA3056" w:rsidRPr="00CF6944" w:rsidRDefault="00CA3056" w:rsidP="00C77ACF">
      <w:pPr>
        <w:rPr>
          <w:szCs w:val="2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
        <w:gridCol w:w="9350"/>
      </w:tblGrid>
      <w:tr w:rsidR="00CA3056" w:rsidRPr="00BB4503" w:rsidTr="00E908CE">
        <w:tc>
          <w:tcPr>
            <w:tcW w:w="10800" w:type="dxa"/>
            <w:gridSpan w:val="2"/>
            <w:shd w:val="clear" w:color="auto" w:fill="D9D9D9"/>
          </w:tcPr>
          <w:p w:rsidR="00CA3056" w:rsidRPr="00D3136F" w:rsidRDefault="00CA3056" w:rsidP="00D3136F">
            <w:pPr>
              <w:outlineLvl w:val="0"/>
              <w:rPr>
                <w:b/>
                <w:szCs w:val="22"/>
              </w:rPr>
            </w:pPr>
            <w:r w:rsidRPr="00CF6944">
              <w:rPr>
                <w:b/>
                <w:szCs w:val="22"/>
              </w:rPr>
              <w:t>Outputs, Key activities and Procurement</w:t>
            </w:r>
          </w:p>
        </w:tc>
      </w:tr>
      <w:tr w:rsidR="00CA3056" w:rsidRPr="00BB4503" w:rsidTr="00E908CE">
        <w:tc>
          <w:tcPr>
            <w:tcW w:w="1450" w:type="dxa"/>
          </w:tcPr>
          <w:p w:rsidR="00CA3056" w:rsidRPr="00BB4503" w:rsidRDefault="00CA3056" w:rsidP="00C77ACF">
            <w:pPr>
              <w:rPr>
                <w:b/>
                <w:szCs w:val="22"/>
              </w:rPr>
            </w:pPr>
            <w:r w:rsidRPr="00BB4503">
              <w:rPr>
                <w:b/>
                <w:szCs w:val="22"/>
              </w:rPr>
              <w:t>Outputs</w:t>
            </w:r>
          </w:p>
        </w:tc>
        <w:tc>
          <w:tcPr>
            <w:tcW w:w="9350" w:type="dxa"/>
          </w:tcPr>
          <w:p w:rsidR="00CA3056" w:rsidRPr="001C2134" w:rsidRDefault="00CA3056" w:rsidP="001C2134">
            <w:pPr>
              <w:widowControl/>
              <w:tabs>
                <w:tab w:val="left" w:pos="-1620"/>
              </w:tabs>
              <w:jc w:val="both"/>
              <w:rPr>
                <w:b/>
                <w:szCs w:val="22"/>
                <w:lang w:val="en-US"/>
              </w:rPr>
            </w:pPr>
            <w:r>
              <w:rPr>
                <w:b/>
                <w:szCs w:val="22"/>
                <w:lang w:val="en-US"/>
              </w:rPr>
              <w:t xml:space="preserve">Output </w:t>
            </w:r>
            <w:r w:rsidRPr="001C2134">
              <w:rPr>
                <w:b/>
                <w:szCs w:val="22"/>
                <w:lang w:val="en-US"/>
              </w:rPr>
              <w:t xml:space="preserve">1. </w:t>
            </w:r>
            <w:r w:rsidRPr="001C2134">
              <w:rPr>
                <w:bCs/>
                <w:szCs w:val="22"/>
                <w:lang w:val="en-US"/>
              </w:rPr>
              <w:t>MoH is better able to understand the distribution, type, trends and magnitude of birth defects in selected districts of 6 governorates</w:t>
            </w:r>
            <w:r w:rsidRPr="001C2134">
              <w:rPr>
                <w:b/>
                <w:szCs w:val="22"/>
                <w:lang w:val="en-US"/>
              </w:rPr>
              <w:t> </w:t>
            </w:r>
          </w:p>
          <w:p w:rsidR="00CA3056" w:rsidRPr="00E908CE" w:rsidRDefault="00CA3056" w:rsidP="008D7091">
            <w:pPr>
              <w:widowControl/>
              <w:tabs>
                <w:tab w:val="left" w:pos="-1620"/>
              </w:tabs>
              <w:jc w:val="both"/>
              <w:rPr>
                <w:bCs/>
                <w:szCs w:val="22"/>
                <w:lang w:val="en-US"/>
              </w:rPr>
            </w:pPr>
            <w:r>
              <w:rPr>
                <w:b/>
                <w:szCs w:val="22"/>
                <w:lang w:val="en-US"/>
              </w:rPr>
              <w:t xml:space="preserve">Output </w:t>
            </w:r>
            <w:r w:rsidRPr="001C2134">
              <w:rPr>
                <w:b/>
                <w:szCs w:val="22"/>
                <w:lang w:val="en-US"/>
              </w:rPr>
              <w:t xml:space="preserve">2. </w:t>
            </w:r>
            <w:r w:rsidRPr="001C2134">
              <w:rPr>
                <w:bCs/>
                <w:szCs w:val="22"/>
                <w:lang w:val="en-US"/>
              </w:rPr>
              <w:t xml:space="preserve">MoH (TORCH) laboratory and technicians have improved capacities to conduct tests on risk factors associated to birth defects. </w:t>
            </w:r>
          </w:p>
        </w:tc>
      </w:tr>
      <w:tr w:rsidR="00CA3056" w:rsidRPr="00BB4503" w:rsidTr="00E908CE">
        <w:tc>
          <w:tcPr>
            <w:tcW w:w="1450" w:type="dxa"/>
          </w:tcPr>
          <w:p w:rsidR="00CA3056" w:rsidRPr="00BB4503" w:rsidRDefault="00CA3056" w:rsidP="00C77ACF">
            <w:pPr>
              <w:rPr>
                <w:b/>
                <w:szCs w:val="22"/>
              </w:rPr>
            </w:pPr>
            <w:r w:rsidRPr="00BB4503">
              <w:rPr>
                <w:b/>
                <w:szCs w:val="22"/>
              </w:rPr>
              <w:t>Activities</w:t>
            </w:r>
          </w:p>
        </w:tc>
        <w:tc>
          <w:tcPr>
            <w:tcW w:w="9350" w:type="dxa"/>
          </w:tcPr>
          <w:p w:rsidR="00CA3056" w:rsidRPr="00882265" w:rsidRDefault="00CA3056" w:rsidP="001C2134">
            <w:pPr>
              <w:rPr>
                <w:bCs/>
                <w:szCs w:val="22"/>
                <w:u w:val="single"/>
              </w:rPr>
            </w:pPr>
            <w:r w:rsidRPr="00882265">
              <w:rPr>
                <w:bCs/>
                <w:szCs w:val="22"/>
                <w:u w:val="single"/>
              </w:rPr>
              <w:t>Output 1:</w:t>
            </w:r>
          </w:p>
          <w:p w:rsidR="00CA3056" w:rsidRDefault="00CA3056" w:rsidP="00C24FCE">
            <w:pPr>
              <w:numPr>
                <w:ilvl w:val="2"/>
                <w:numId w:val="8"/>
              </w:numPr>
              <w:rPr>
                <w:bCs/>
              </w:rPr>
            </w:pPr>
            <w:r>
              <w:rPr>
                <w:bCs/>
                <w:szCs w:val="22"/>
              </w:rPr>
              <w:t>Consultation and technical meetings (MoH,UN partners and Consultants)</w:t>
            </w:r>
          </w:p>
          <w:p w:rsidR="00CA3056" w:rsidRDefault="00CA3056" w:rsidP="00C24FCE">
            <w:pPr>
              <w:numPr>
                <w:ilvl w:val="2"/>
                <w:numId w:val="8"/>
              </w:numPr>
              <w:rPr>
                <w:bCs/>
              </w:rPr>
            </w:pPr>
            <w:r w:rsidRPr="002F0290">
              <w:rPr>
                <w:bCs/>
                <w:szCs w:val="22"/>
              </w:rPr>
              <w:t>Finalize assessment protocols and plan of work</w:t>
            </w:r>
          </w:p>
          <w:p w:rsidR="00CA3056" w:rsidRDefault="00CA3056" w:rsidP="00C24FCE">
            <w:pPr>
              <w:numPr>
                <w:ilvl w:val="2"/>
                <w:numId w:val="8"/>
              </w:numPr>
              <w:rPr>
                <w:bCs/>
              </w:rPr>
            </w:pPr>
            <w:r>
              <w:rPr>
                <w:bCs/>
                <w:szCs w:val="22"/>
              </w:rPr>
              <w:t>Assessment team recruited and operational</w:t>
            </w:r>
          </w:p>
          <w:p w:rsidR="00CA3056" w:rsidRDefault="00CA3056" w:rsidP="00C24FCE">
            <w:pPr>
              <w:numPr>
                <w:ilvl w:val="2"/>
                <w:numId w:val="8"/>
              </w:numPr>
              <w:rPr>
                <w:bCs/>
              </w:rPr>
            </w:pPr>
            <w:r>
              <w:rPr>
                <w:bCs/>
              </w:rPr>
              <w:t>Technical assistance to PSC</w:t>
            </w:r>
          </w:p>
          <w:p w:rsidR="00CA3056" w:rsidRDefault="00CA3056" w:rsidP="00C24FCE">
            <w:pPr>
              <w:numPr>
                <w:ilvl w:val="2"/>
                <w:numId w:val="8"/>
              </w:numPr>
              <w:rPr>
                <w:bCs/>
              </w:rPr>
            </w:pPr>
            <w:r>
              <w:rPr>
                <w:bCs/>
                <w:szCs w:val="22"/>
              </w:rPr>
              <w:t>Training  of Trainers (</w:t>
            </w:r>
            <w:r w:rsidRPr="002F0290">
              <w:rPr>
                <w:bCs/>
                <w:szCs w:val="22"/>
              </w:rPr>
              <w:t>TOT</w:t>
            </w:r>
            <w:r>
              <w:rPr>
                <w:bCs/>
                <w:szCs w:val="22"/>
              </w:rPr>
              <w:t>)</w:t>
            </w:r>
            <w:r w:rsidRPr="002F0290">
              <w:rPr>
                <w:bCs/>
                <w:szCs w:val="22"/>
              </w:rPr>
              <w:t xml:space="preserve"> and</w:t>
            </w:r>
            <w:r>
              <w:rPr>
                <w:bCs/>
                <w:szCs w:val="22"/>
              </w:rPr>
              <w:t xml:space="preserve">  </w:t>
            </w:r>
            <w:r w:rsidRPr="002F0290">
              <w:rPr>
                <w:bCs/>
                <w:szCs w:val="22"/>
              </w:rPr>
              <w:t>for assessment    team personnel</w:t>
            </w:r>
          </w:p>
          <w:p w:rsidR="00CA3056" w:rsidRDefault="00CA3056" w:rsidP="00C24FCE">
            <w:pPr>
              <w:numPr>
                <w:ilvl w:val="2"/>
                <w:numId w:val="8"/>
              </w:numPr>
              <w:rPr>
                <w:bCs/>
              </w:rPr>
            </w:pPr>
            <w:r>
              <w:rPr>
                <w:bCs/>
                <w:szCs w:val="22"/>
              </w:rPr>
              <w:t>T</w:t>
            </w:r>
            <w:r w:rsidRPr="002F0290">
              <w:rPr>
                <w:bCs/>
                <w:szCs w:val="22"/>
              </w:rPr>
              <w:t xml:space="preserve">raining </w:t>
            </w:r>
            <w:r>
              <w:rPr>
                <w:bCs/>
                <w:szCs w:val="22"/>
              </w:rPr>
              <w:t xml:space="preserve">of data collectors </w:t>
            </w:r>
            <w:r w:rsidRPr="002F0290">
              <w:rPr>
                <w:bCs/>
                <w:szCs w:val="22"/>
              </w:rPr>
              <w:t>at governorate levels</w:t>
            </w:r>
            <w:r>
              <w:rPr>
                <w:bCs/>
                <w:szCs w:val="22"/>
              </w:rPr>
              <w:t xml:space="preserve">  </w:t>
            </w:r>
          </w:p>
          <w:p w:rsidR="00CA3056" w:rsidRDefault="00CA3056" w:rsidP="00C24FCE">
            <w:pPr>
              <w:numPr>
                <w:ilvl w:val="2"/>
                <w:numId w:val="8"/>
              </w:numPr>
              <w:rPr>
                <w:bCs/>
              </w:rPr>
            </w:pPr>
            <w:r>
              <w:rPr>
                <w:szCs w:val="22"/>
              </w:rPr>
              <w:t xml:space="preserve">Training on data entry and management  </w:t>
            </w:r>
          </w:p>
          <w:p w:rsidR="00CA3056" w:rsidRDefault="00CA3056" w:rsidP="00C24FCE">
            <w:pPr>
              <w:numPr>
                <w:ilvl w:val="2"/>
                <w:numId w:val="8"/>
              </w:numPr>
              <w:rPr>
                <w:bCs/>
              </w:rPr>
            </w:pPr>
            <w:r>
              <w:rPr>
                <w:bCs/>
                <w:szCs w:val="22"/>
              </w:rPr>
              <w:t>Data collection and field work</w:t>
            </w:r>
          </w:p>
          <w:p w:rsidR="00CA3056" w:rsidRDefault="00CA3056" w:rsidP="00C24FCE">
            <w:pPr>
              <w:numPr>
                <w:ilvl w:val="2"/>
                <w:numId w:val="8"/>
              </w:numPr>
              <w:rPr>
                <w:bCs/>
              </w:rPr>
            </w:pPr>
            <w:r w:rsidRPr="002F0290">
              <w:rPr>
                <w:szCs w:val="22"/>
              </w:rPr>
              <w:t xml:space="preserve">Data </w:t>
            </w:r>
            <w:r>
              <w:rPr>
                <w:szCs w:val="22"/>
              </w:rPr>
              <w:t>entry</w:t>
            </w:r>
            <w:r w:rsidRPr="002F0290">
              <w:rPr>
                <w:szCs w:val="22"/>
              </w:rPr>
              <w:t xml:space="preserve"> and management</w:t>
            </w:r>
          </w:p>
          <w:p w:rsidR="00CA3056" w:rsidRDefault="00CA3056" w:rsidP="00C24FCE">
            <w:pPr>
              <w:numPr>
                <w:ilvl w:val="2"/>
                <w:numId w:val="8"/>
              </w:numPr>
              <w:rPr>
                <w:bCs/>
              </w:rPr>
            </w:pPr>
            <w:r w:rsidRPr="001D1566">
              <w:rPr>
                <w:szCs w:val="22"/>
              </w:rPr>
              <w:t>Report writing, printing  and dissemination of study results</w:t>
            </w:r>
          </w:p>
          <w:p w:rsidR="00CA3056" w:rsidRDefault="00CA3056" w:rsidP="00C24FCE">
            <w:pPr>
              <w:numPr>
                <w:ilvl w:val="2"/>
                <w:numId w:val="8"/>
              </w:numPr>
              <w:rPr>
                <w:bCs/>
              </w:rPr>
            </w:pPr>
            <w:r w:rsidRPr="009229ED">
              <w:rPr>
                <w:szCs w:val="22"/>
              </w:rPr>
              <w:t>Mid term  evaluation</w:t>
            </w:r>
          </w:p>
          <w:p w:rsidR="00CA3056" w:rsidRDefault="00CA3056" w:rsidP="00C24FCE">
            <w:pPr>
              <w:numPr>
                <w:ilvl w:val="2"/>
                <w:numId w:val="8"/>
              </w:numPr>
              <w:rPr>
                <w:bCs/>
              </w:rPr>
            </w:pPr>
            <w:r w:rsidRPr="001D1566">
              <w:rPr>
                <w:bCs/>
                <w:szCs w:val="22"/>
              </w:rPr>
              <w:t>Preparation of work plan for phase two</w:t>
            </w:r>
          </w:p>
          <w:p w:rsidR="00CA3056" w:rsidRDefault="00CA3056" w:rsidP="00C24FCE">
            <w:pPr>
              <w:numPr>
                <w:ilvl w:val="2"/>
                <w:numId w:val="8"/>
              </w:numPr>
              <w:rPr>
                <w:bCs/>
              </w:rPr>
            </w:pPr>
            <w:r w:rsidRPr="009229ED">
              <w:rPr>
                <w:bCs/>
                <w:szCs w:val="22"/>
              </w:rPr>
              <w:t>Social mobilisation and advocacy activities related to field work</w:t>
            </w:r>
          </w:p>
          <w:p w:rsidR="00CA3056" w:rsidRDefault="00CA3056" w:rsidP="00C24FCE">
            <w:pPr>
              <w:numPr>
                <w:ilvl w:val="2"/>
                <w:numId w:val="8"/>
              </w:numPr>
              <w:rPr>
                <w:bCs/>
              </w:rPr>
            </w:pPr>
            <w:r>
              <w:rPr>
                <w:szCs w:val="22"/>
              </w:rPr>
              <w:t>Consultation</w:t>
            </w:r>
            <w:r w:rsidRPr="001D1566">
              <w:rPr>
                <w:szCs w:val="22"/>
              </w:rPr>
              <w:t xml:space="preserve"> workshop</w:t>
            </w:r>
            <w:r>
              <w:rPr>
                <w:bCs/>
                <w:szCs w:val="22"/>
              </w:rPr>
              <w:t xml:space="preserve"> on discussing the </w:t>
            </w:r>
            <w:r>
              <w:rPr>
                <w:szCs w:val="22"/>
              </w:rPr>
              <w:t>results and next steps</w:t>
            </w:r>
          </w:p>
          <w:p w:rsidR="00CA3056" w:rsidRDefault="00CA3056" w:rsidP="00C24FCE">
            <w:pPr>
              <w:numPr>
                <w:ilvl w:val="2"/>
                <w:numId w:val="8"/>
              </w:numPr>
              <w:rPr>
                <w:bCs/>
              </w:rPr>
            </w:pPr>
            <w:r>
              <w:rPr>
                <w:bCs/>
                <w:szCs w:val="22"/>
              </w:rPr>
              <w:t>Final evaluation</w:t>
            </w:r>
          </w:p>
          <w:p w:rsidR="00CA3056" w:rsidRDefault="00CA3056" w:rsidP="00C24FCE">
            <w:pPr>
              <w:rPr>
                <w:bCs/>
              </w:rPr>
            </w:pPr>
          </w:p>
          <w:p w:rsidR="00CA3056" w:rsidRDefault="00CA3056" w:rsidP="00C24FCE">
            <w:pPr>
              <w:rPr>
                <w:bCs/>
                <w:u w:val="single"/>
              </w:rPr>
            </w:pPr>
            <w:r w:rsidRPr="00C24FCE">
              <w:rPr>
                <w:bCs/>
                <w:u w:val="single"/>
              </w:rPr>
              <w:t>Output 2:</w:t>
            </w:r>
          </w:p>
          <w:p w:rsidR="00CA3056" w:rsidRDefault="00CA3056" w:rsidP="0028760C">
            <w:pPr>
              <w:numPr>
                <w:ilvl w:val="2"/>
                <w:numId w:val="9"/>
              </w:numPr>
              <w:rPr>
                <w:bCs/>
                <w:u w:val="single"/>
              </w:rPr>
            </w:pPr>
            <w:r>
              <w:rPr>
                <w:bCs/>
                <w:szCs w:val="22"/>
              </w:rPr>
              <w:t>T</w:t>
            </w:r>
            <w:r w:rsidRPr="001D1566">
              <w:rPr>
                <w:szCs w:val="22"/>
              </w:rPr>
              <w:t>raining of</w:t>
            </w:r>
            <w:r>
              <w:rPr>
                <w:szCs w:val="22"/>
              </w:rPr>
              <w:t xml:space="preserve"> (TORCH)</w:t>
            </w:r>
            <w:r w:rsidRPr="001D1566">
              <w:rPr>
                <w:szCs w:val="22"/>
              </w:rPr>
              <w:t xml:space="preserve"> Lab Technicians</w:t>
            </w:r>
          </w:p>
          <w:p w:rsidR="00CA3056" w:rsidRPr="00C24FCE" w:rsidRDefault="00CA3056" w:rsidP="0028760C">
            <w:pPr>
              <w:numPr>
                <w:ilvl w:val="2"/>
                <w:numId w:val="9"/>
              </w:numPr>
              <w:rPr>
                <w:bCs/>
                <w:u w:val="single"/>
              </w:rPr>
            </w:pPr>
            <w:r w:rsidRPr="001D1566">
              <w:rPr>
                <w:szCs w:val="22"/>
              </w:rPr>
              <w:t xml:space="preserve">Provision of </w:t>
            </w:r>
            <w:r w:rsidRPr="001D1566">
              <w:rPr>
                <w:bCs/>
                <w:szCs w:val="22"/>
              </w:rPr>
              <w:t>Equipment for the Central Lab</w:t>
            </w:r>
          </w:p>
        </w:tc>
      </w:tr>
      <w:tr w:rsidR="00CA3056" w:rsidRPr="00BB4503" w:rsidTr="00E908CE">
        <w:tc>
          <w:tcPr>
            <w:tcW w:w="1450" w:type="dxa"/>
          </w:tcPr>
          <w:p w:rsidR="00CA3056" w:rsidRPr="00671975" w:rsidRDefault="00CA3056" w:rsidP="00C77ACF">
            <w:pPr>
              <w:rPr>
                <w:b/>
                <w:szCs w:val="22"/>
              </w:rPr>
            </w:pPr>
            <w:r w:rsidRPr="00671975">
              <w:rPr>
                <w:b/>
                <w:szCs w:val="22"/>
              </w:rPr>
              <w:t>Procurement</w:t>
            </w:r>
          </w:p>
        </w:tc>
        <w:tc>
          <w:tcPr>
            <w:tcW w:w="9350" w:type="dxa"/>
          </w:tcPr>
          <w:p w:rsidR="00CA3056" w:rsidRPr="00671975" w:rsidRDefault="00CA3056" w:rsidP="001C2134">
            <w:r>
              <w:t>N/A</w:t>
            </w:r>
          </w:p>
        </w:tc>
      </w:tr>
    </w:tbl>
    <w:p w:rsidR="00CA3056" w:rsidRDefault="00CA3056" w:rsidP="0037245E">
      <w:pPr>
        <w:outlineLvl w:val="0"/>
        <w:rPr>
          <w:b/>
          <w:szCs w:val="22"/>
        </w:rPr>
      </w:pPr>
      <w:r>
        <w:rPr>
          <w:b/>
          <w:szCs w:val="22"/>
        </w:rPr>
        <w:t xml:space="preserve">  </w:t>
      </w:r>
    </w:p>
    <w:p w:rsidR="00CA3056" w:rsidRPr="00AD574A" w:rsidRDefault="00CA3056" w:rsidP="0037245E">
      <w:pPr>
        <w:outlineLvl w:val="0"/>
        <w:rPr>
          <w:b/>
          <w:szCs w:val="2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186"/>
        <w:gridCol w:w="1763"/>
        <w:gridCol w:w="1949"/>
      </w:tblGrid>
      <w:tr w:rsidR="00CA3056" w:rsidRPr="00AD574A" w:rsidTr="00E908CE">
        <w:tc>
          <w:tcPr>
            <w:tcW w:w="4902" w:type="dxa"/>
          </w:tcPr>
          <w:p w:rsidR="00CA3056" w:rsidRPr="00AD574A" w:rsidRDefault="00CA3056" w:rsidP="000A1013">
            <w:pPr>
              <w:rPr>
                <w:b/>
                <w:szCs w:val="22"/>
              </w:rPr>
            </w:pPr>
            <w:r w:rsidRPr="00AD574A">
              <w:rPr>
                <w:b/>
                <w:szCs w:val="22"/>
              </w:rPr>
              <w:t xml:space="preserve">Funds Committed </w:t>
            </w:r>
            <w:r>
              <w:rPr>
                <w:b/>
                <w:szCs w:val="22"/>
              </w:rPr>
              <w:t xml:space="preserve"> (as of </w:t>
            </w:r>
            <w:r w:rsidRPr="004E06A5">
              <w:rPr>
                <w:b/>
                <w:szCs w:val="22"/>
              </w:rPr>
              <w:t>31 March 2011</w:t>
            </w:r>
            <w:r>
              <w:rPr>
                <w:b/>
                <w:szCs w:val="22"/>
              </w:rPr>
              <w:t>)</w:t>
            </w:r>
          </w:p>
        </w:tc>
        <w:tc>
          <w:tcPr>
            <w:tcW w:w="2186" w:type="dxa"/>
          </w:tcPr>
          <w:p w:rsidR="00CA3056" w:rsidRPr="00E908CE" w:rsidRDefault="00CA3056" w:rsidP="00B77C4F">
            <w:pPr>
              <w:rPr>
                <w:szCs w:val="22"/>
              </w:rPr>
            </w:pPr>
            <w:r w:rsidRPr="00B77C4F">
              <w:rPr>
                <w:szCs w:val="22"/>
              </w:rPr>
              <w:t xml:space="preserve">               101,928.37 </w:t>
            </w:r>
          </w:p>
        </w:tc>
        <w:tc>
          <w:tcPr>
            <w:tcW w:w="1763" w:type="dxa"/>
          </w:tcPr>
          <w:p w:rsidR="00CA3056" w:rsidRPr="001813E7" w:rsidRDefault="00CA3056" w:rsidP="0058206A">
            <w:pPr>
              <w:rPr>
                <w:szCs w:val="22"/>
              </w:rPr>
            </w:pPr>
            <w:r w:rsidRPr="001813E7">
              <w:rPr>
                <w:szCs w:val="22"/>
              </w:rPr>
              <w:t>% of approved</w:t>
            </w:r>
          </w:p>
        </w:tc>
        <w:tc>
          <w:tcPr>
            <w:tcW w:w="1949" w:type="dxa"/>
          </w:tcPr>
          <w:p w:rsidR="00CA3056" w:rsidRPr="00E908CE" w:rsidRDefault="00CA3056" w:rsidP="0058206A">
            <w:pPr>
              <w:rPr>
                <w:szCs w:val="22"/>
              </w:rPr>
            </w:pPr>
            <w:r>
              <w:rPr>
                <w:szCs w:val="22"/>
              </w:rPr>
              <w:t>30%</w:t>
            </w:r>
          </w:p>
        </w:tc>
      </w:tr>
      <w:tr w:rsidR="00CA3056" w:rsidRPr="00AD574A" w:rsidTr="00E908CE">
        <w:trPr>
          <w:trHeight w:val="242"/>
        </w:trPr>
        <w:tc>
          <w:tcPr>
            <w:tcW w:w="4902" w:type="dxa"/>
          </w:tcPr>
          <w:p w:rsidR="00CA3056" w:rsidRPr="00AD574A" w:rsidRDefault="00CA3056" w:rsidP="000A1013">
            <w:pPr>
              <w:rPr>
                <w:b/>
                <w:szCs w:val="22"/>
              </w:rPr>
            </w:pPr>
            <w:r w:rsidRPr="00AD574A">
              <w:rPr>
                <w:b/>
                <w:szCs w:val="22"/>
              </w:rPr>
              <w:t>Funds disburse</w:t>
            </w:r>
            <w:r>
              <w:rPr>
                <w:b/>
                <w:szCs w:val="22"/>
              </w:rPr>
              <w:t xml:space="preserve">d (as of </w:t>
            </w:r>
            <w:r w:rsidRPr="004E06A5">
              <w:rPr>
                <w:b/>
                <w:szCs w:val="22"/>
              </w:rPr>
              <w:t>31 March 2011</w:t>
            </w:r>
            <w:r>
              <w:rPr>
                <w:b/>
                <w:szCs w:val="22"/>
              </w:rPr>
              <w:t>)</w:t>
            </w:r>
          </w:p>
        </w:tc>
        <w:tc>
          <w:tcPr>
            <w:tcW w:w="2186" w:type="dxa"/>
          </w:tcPr>
          <w:p w:rsidR="00CA3056" w:rsidRPr="00E908CE" w:rsidRDefault="00CA3056" w:rsidP="00B77C4F">
            <w:pPr>
              <w:rPr>
                <w:szCs w:val="22"/>
              </w:rPr>
            </w:pPr>
            <w:r w:rsidRPr="00B77C4F">
              <w:rPr>
                <w:szCs w:val="22"/>
              </w:rPr>
              <w:t xml:space="preserve">                 75,124.38 </w:t>
            </w:r>
          </w:p>
        </w:tc>
        <w:tc>
          <w:tcPr>
            <w:tcW w:w="1763" w:type="dxa"/>
          </w:tcPr>
          <w:p w:rsidR="00CA3056" w:rsidRPr="001813E7" w:rsidRDefault="00CA3056" w:rsidP="00621408">
            <w:pPr>
              <w:rPr>
                <w:sz w:val="20"/>
                <w:lang w:val="en-US"/>
              </w:rPr>
            </w:pPr>
            <w:r w:rsidRPr="001813E7">
              <w:rPr>
                <w:szCs w:val="22"/>
              </w:rPr>
              <w:t>% of approved</w:t>
            </w:r>
          </w:p>
        </w:tc>
        <w:tc>
          <w:tcPr>
            <w:tcW w:w="1949" w:type="dxa"/>
          </w:tcPr>
          <w:p w:rsidR="00CA3056" w:rsidRPr="001813E7" w:rsidRDefault="00CA3056" w:rsidP="0058206A">
            <w:pPr>
              <w:rPr>
                <w:bCs/>
                <w:szCs w:val="22"/>
              </w:rPr>
            </w:pPr>
            <w:r>
              <w:rPr>
                <w:bCs/>
                <w:szCs w:val="22"/>
              </w:rPr>
              <w:t>2</w:t>
            </w:r>
            <w:r w:rsidRPr="004E06A5">
              <w:rPr>
                <w:bCs/>
                <w:szCs w:val="22"/>
              </w:rPr>
              <w:t>2</w:t>
            </w:r>
            <w:r>
              <w:rPr>
                <w:bCs/>
                <w:szCs w:val="22"/>
              </w:rPr>
              <w:t>%</w:t>
            </w:r>
          </w:p>
        </w:tc>
      </w:tr>
      <w:tr w:rsidR="00CA3056" w:rsidRPr="00AD574A" w:rsidTr="00E908CE">
        <w:tc>
          <w:tcPr>
            <w:tcW w:w="4902" w:type="dxa"/>
          </w:tcPr>
          <w:p w:rsidR="00CA3056" w:rsidRPr="00AD574A" w:rsidRDefault="00CA3056" w:rsidP="000A1013">
            <w:pPr>
              <w:rPr>
                <w:b/>
                <w:szCs w:val="22"/>
              </w:rPr>
            </w:pPr>
            <w:r w:rsidRPr="00AD574A">
              <w:rPr>
                <w:b/>
                <w:szCs w:val="22"/>
              </w:rPr>
              <w:t xml:space="preserve">Forecast final date </w:t>
            </w:r>
          </w:p>
        </w:tc>
        <w:tc>
          <w:tcPr>
            <w:tcW w:w="2186" w:type="dxa"/>
          </w:tcPr>
          <w:p w:rsidR="00CA3056" w:rsidRPr="002F57EC" w:rsidRDefault="00CA3056" w:rsidP="007843FF">
            <w:pPr>
              <w:pStyle w:val="BodyText"/>
              <w:rPr>
                <w:iCs/>
                <w:highlight w:val="yellow"/>
              </w:rPr>
            </w:pPr>
            <w:r w:rsidRPr="009414AA">
              <w:rPr>
                <w:iCs/>
              </w:rPr>
              <w:t xml:space="preserve">31 </w:t>
            </w:r>
            <w:r>
              <w:rPr>
                <w:iCs/>
              </w:rPr>
              <w:t xml:space="preserve">December </w:t>
            </w:r>
            <w:r w:rsidRPr="009414AA">
              <w:rPr>
                <w:iCs/>
              </w:rPr>
              <w:t>2011</w:t>
            </w:r>
          </w:p>
        </w:tc>
        <w:tc>
          <w:tcPr>
            <w:tcW w:w="1763" w:type="dxa"/>
          </w:tcPr>
          <w:p w:rsidR="00CA3056" w:rsidRPr="00AD574A" w:rsidRDefault="00CA3056" w:rsidP="000A1013">
            <w:pPr>
              <w:rPr>
                <w:b/>
                <w:szCs w:val="22"/>
              </w:rPr>
            </w:pPr>
            <w:r w:rsidRPr="00AD574A">
              <w:rPr>
                <w:b/>
                <w:szCs w:val="22"/>
              </w:rPr>
              <w:t>Delay (months)</w:t>
            </w:r>
          </w:p>
        </w:tc>
        <w:tc>
          <w:tcPr>
            <w:tcW w:w="1949" w:type="dxa"/>
          </w:tcPr>
          <w:p w:rsidR="00CA3056" w:rsidRPr="00AD574A" w:rsidRDefault="00CA3056" w:rsidP="000A1013">
            <w:pPr>
              <w:rPr>
                <w:szCs w:val="22"/>
              </w:rPr>
            </w:pPr>
            <w:r w:rsidRPr="00AD574A">
              <w:rPr>
                <w:szCs w:val="22"/>
              </w:rPr>
              <w:t>N/A</w:t>
            </w:r>
          </w:p>
        </w:tc>
      </w:tr>
    </w:tbl>
    <w:p w:rsidR="00CA3056" w:rsidRDefault="00CA3056"/>
    <w:p w:rsidR="00CA3056" w:rsidRDefault="00CA3056"/>
    <w:tbl>
      <w:tblPr>
        <w:tblW w:w="1105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6660"/>
        <w:gridCol w:w="2052"/>
      </w:tblGrid>
      <w:tr w:rsidR="00CA3056" w:rsidRPr="003D1453" w:rsidTr="00E908CE">
        <w:tc>
          <w:tcPr>
            <w:tcW w:w="2340" w:type="dxa"/>
            <w:shd w:val="clear" w:color="auto" w:fill="D9D9D9"/>
          </w:tcPr>
          <w:p w:rsidR="00CA3056" w:rsidRPr="003736D7" w:rsidRDefault="00CA3056" w:rsidP="00620DF3">
            <w:pPr>
              <w:jc w:val="center"/>
              <w:rPr>
                <w:b/>
                <w:sz w:val="20"/>
              </w:rPr>
            </w:pPr>
            <w:r w:rsidRPr="003736D7">
              <w:rPr>
                <w:b/>
                <w:sz w:val="20"/>
              </w:rPr>
              <w:t>Direct Beneficiaries</w:t>
            </w:r>
          </w:p>
        </w:tc>
        <w:tc>
          <w:tcPr>
            <w:tcW w:w="6660" w:type="dxa"/>
            <w:shd w:val="clear" w:color="auto" w:fill="D9D9D9"/>
          </w:tcPr>
          <w:p w:rsidR="00CA3056" w:rsidRPr="003D1453" w:rsidRDefault="00CA3056" w:rsidP="00620DF3">
            <w:pPr>
              <w:jc w:val="center"/>
              <w:rPr>
                <w:b/>
                <w:szCs w:val="22"/>
              </w:rPr>
            </w:pPr>
            <w:r w:rsidRPr="003D1453">
              <w:rPr>
                <w:b/>
                <w:szCs w:val="22"/>
              </w:rPr>
              <w:t>Number of Beneficiaries</w:t>
            </w:r>
          </w:p>
        </w:tc>
        <w:tc>
          <w:tcPr>
            <w:tcW w:w="2052" w:type="dxa"/>
            <w:shd w:val="clear" w:color="auto" w:fill="D9D9D9"/>
          </w:tcPr>
          <w:p w:rsidR="00CA3056" w:rsidRPr="003D1453" w:rsidRDefault="00CA3056" w:rsidP="00620DF3">
            <w:pPr>
              <w:jc w:val="center"/>
              <w:rPr>
                <w:b/>
                <w:szCs w:val="22"/>
              </w:rPr>
            </w:pPr>
            <w:r w:rsidRPr="003D1453">
              <w:rPr>
                <w:b/>
                <w:szCs w:val="22"/>
              </w:rPr>
              <w:t>% of planned (current status)</w:t>
            </w:r>
          </w:p>
        </w:tc>
      </w:tr>
      <w:tr w:rsidR="00CA3056" w:rsidRPr="000F1E9B" w:rsidTr="00E908CE">
        <w:tc>
          <w:tcPr>
            <w:tcW w:w="2340" w:type="dxa"/>
          </w:tcPr>
          <w:p w:rsidR="00CA3056" w:rsidRPr="003736D7" w:rsidRDefault="00CA3056" w:rsidP="00620DF3">
            <w:pPr>
              <w:rPr>
                <w:sz w:val="20"/>
              </w:rPr>
            </w:pPr>
            <w:r w:rsidRPr="003736D7">
              <w:rPr>
                <w:sz w:val="20"/>
              </w:rPr>
              <w:t>Men</w:t>
            </w:r>
          </w:p>
        </w:tc>
        <w:tc>
          <w:tcPr>
            <w:tcW w:w="6660" w:type="dxa"/>
          </w:tcPr>
          <w:p w:rsidR="00CA3056" w:rsidRPr="00EE50DD" w:rsidRDefault="00CA3056" w:rsidP="00620DF3">
            <w:pPr>
              <w:jc w:val="lowKashida"/>
              <w:rPr>
                <w:szCs w:val="22"/>
              </w:rPr>
            </w:pPr>
            <w:r w:rsidRPr="00EE50DD">
              <w:rPr>
                <w:szCs w:val="22"/>
              </w:rPr>
              <w:t>All men</w:t>
            </w:r>
            <w:r>
              <w:rPr>
                <w:szCs w:val="22"/>
              </w:rPr>
              <w:t xml:space="preserve"> (household head </w:t>
            </w:r>
            <w:r w:rsidRPr="00EE50DD">
              <w:rPr>
                <w:szCs w:val="22"/>
              </w:rPr>
              <w:t xml:space="preserve">will </w:t>
            </w:r>
            <w:r>
              <w:rPr>
                <w:szCs w:val="22"/>
              </w:rPr>
              <w:t xml:space="preserve">directly benefit </w:t>
            </w:r>
            <w:r w:rsidRPr="00EE50DD">
              <w:rPr>
                <w:szCs w:val="22"/>
              </w:rPr>
              <w:t xml:space="preserve"> from the </w:t>
            </w:r>
            <w:r>
              <w:rPr>
                <w:szCs w:val="22"/>
              </w:rPr>
              <w:t>implementation of the CBD survey that will be conducted at household level In 6 governorates (600 household heads)</w:t>
            </w:r>
            <w:r w:rsidRPr="00EE50DD">
              <w:rPr>
                <w:szCs w:val="22"/>
              </w:rPr>
              <w:t xml:space="preserve"> </w:t>
            </w:r>
          </w:p>
        </w:tc>
        <w:tc>
          <w:tcPr>
            <w:tcW w:w="2052" w:type="dxa"/>
          </w:tcPr>
          <w:p w:rsidR="00CA3056" w:rsidRPr="000F1E9B" w:rsidRDefault="00CA3056" w:rsidP="00620DF3">
            <w:pPr>
              <w:jc w:val="lowKashida"/>
              <w:rPr>
                <w:szCs w:val="22"/>
              </w:rPr>
            </w:pPr>
            <w:r>
              <w:rPr>
                <w:szCs w:val="22"/>
              </w:rPr>
              <w:t>N/A</w:t>
            </w:r>
          </w:p>
        </w:tc>
      </w:tr>
      <w:tr w:rsidR="00CA3056" w:rsidRPr="000F1E9B" w:rsidTr="00E908CE">
        <w:tc>
          <w:tcPr>
            <w:tcW w:w="2340" w:type="dxa"/>
          </w:tcPr>
          <w:p w:rsidR="00CA3056" w:rsidRPr="003736D7" w:rsidRDefault="00CA3056" w:rsidP="00620DF3">
            <w:pPr>
              <w:rPr>
                <w:sz w:val="20"/>
              </w:rPr>
            </w:pPr>
            <w:r w:rsidRPr="003736D7">
              <w:rPr>
                <w:sz w:val="20"/>
              </w:rPr>
              <w:t>Women</w:t>
            </w:r>
          </w:p>
        </w:tc>
        <w:tc>
          <w:tcPr>
            <w:tcW w:w="6660" w:type="dxa"/>
          </w:tcPr>
          <w:p w:rsidR="00CA3056" w:rsidRPr="00EE50DD" w:rsidRDefault="00CA3056" w:rsidP="00620DF3">
            <w:pPr>
              <w:jc w:val="lowKashida"/>
              <w:rPr>
                <w:szCs w:val="22"/>
              </w:rPr>
            </w:pPr>
            <w:r>
              <w:rPr>
                <w:szCs w:val="22"/>
              </w:rPr>
              <w:t xml:space="preserve">1500 women (15-49) </w:t>
            </w:r>
            <w:r w:rsidRPr="00EE50DD">
              <w:rPr>
                <w:szCs w:val="22"/>
              </w:rPr>
              <w:t xml:space="preserve">will </w:t>
            </w:r>
            <w:r>
              <w:rPr>
                <w:szCs w:val="22"/>
              </w:rPr>
              <w:t xml:space="preserve">directly benefit </w:t>
            </w:r>
            <w:r w:rsidRPr="00EE50DD">
              <w:rPr>
                <w:szCs w:val="22"/>
              </w:rPr>
              <w:t xml:space="preserve"> from </w:t>
            </w:r>
            <w:r>
              <w:rPr>
                <w:szCs w:val="22"/>
              </w:rPr>
              <w:t>CBD survey and the biological testing that will be conducted at household level (600 families in each district (Total HH/14  districts will be 8400)</w:t>
            </w:r>
            <w:r w:rsidRPr="00EE50DD">
              <w:rPr>
                <w:szCs w:val="22"/>
              </w:rPr>
              <w:t xml:space="preserve"> </w:t>
            </w:r>
          </w:p>
        </w:tc>
        <w:tc>
          <w:tcPr>
            <w:tcW w:w="2052" w:type="dxa"/>
          </w:tcPr>
          <w:p w:rsidR="00CA3056" w:rsidRPr="000F1E9B" w:rsidRDefault="00CA3056" w:rsidP="00620DF3">
            <w:pPr>
              <w:jc w:val="lowKashida"/>
              <w:rPr>
                <w:szCs w:val="22"/>
              </w:rPr>
            </w:pPr>
            <w:r>
              <w:rPr>
                <w:szCs w:val="22"/>
              </w:rPr>
              <w:t>N/A</w:t>
            </w:r>
          </w:p>
        </w:tc>
      </w:tr>
      <w:tr w:rsidR="00CA3056" w:rsidRPr="003D1453" w:rsidTr="00E908CE">
        <w:tc>
          <w:tcPr>
            <w:tcW w:w="2340" w:type="dxa"/>
          </w:tcPr>
          <w:p w:rsidR="00CA3056" w:rsidRPr="003736D7" w:rsidRDefault="00CA3056" w:rsidP="00620DF3">
            <w:pPr>
              <w:rPr>
                <w:sz w:val="20"/>
              </w:rPr>
            </w:pPr>
            <w:r w:rsidRPr="003736D7">
              <w:rPr>
                <w:sz w:val="20"/>
              </w:rPr>
              <w:t>Children</w:t>
            </w:r>
          </w:p>
        </w:tc>
        <w:tc>
          <w:tcPr>
            <w:tcW w:w="6660" w:type="dxa"/>
          </w:tcPr>
          <w:p w:rsidR="00CA3056" w:rsidRPr="00EE50DD" w:rsidRDefault="00CA3056" w:rsidP="00620DF3">
            <w:pPr>
              <w:rPr>
                <w:szCs w:val="22"/>
              </w:rPr>
            </w:pPr>
            <w:r>
              <w:rPr>
                <w:szCs w:val="22"/>
              </w:rPr>
              <w:t xml:space="preserve">100 Children under 5 will indirectly benefit from CBD  survey and the medical examination  </w:t>
            </w:r>
          </w:p>
        </w:tc>
        <w:tc>
          <w:tcPr>
            <w:tcW w:w="2052" w:type="dxa"/>
          </w:tcPr>
          <w:p w:rsidR="00CA3056" w:rsidRPr="003D1453" w:rsidRDefault="00CA3056" w:rsidP="00620DF3">
            <w:pPr>
              <w:rPr>
                <w:szCs w:val="22"/>
              </w:rPr>
            </w:pPr>
            <w:r>
              <w:rPr>
                <w:szCs w:val="22"/>
              </w:rPr>
              <w:t>N/A</w:t>
            </w:r>
          </w:p>
        </w:tc>
      </w:tr>
      <w:tr w:rsidR="00CA3056" w:rsidRPr="003D1453" w:rsidTr="00E908CE">
        <w:tc>
          <w:tcPr>
            <w:tcW w:w="2340" w:type="dxa"/>
          </w:tcPr>
          <w:p w:rsidR="00CA3056" w:rsidRPr="003736D7" w:rsidRDefault="00CA3056" w:rsidP="00620DF3">
            <w:pPr>
              <w:rPr>
                <w:sz w:val="20"/>
              </w:rPr>
            </w:pPr>
            <w:r w:rsidRPr="003736D7">
              <w:rPr>
                <w:sz w:val="20"/>
              </w:rPr>
              <w:t>IDPs</w:t>
            </w:r>
          </w:p>
        </w:tc>
        <w:tc>
          <w:tcPr>
            <w:tcW w:w="6660" w:type="dxa"/>
          </w:tcPr>
          <w:p w:rsidR="00CA3056" w:rsidRPr="00EE50DD" w:rsidRDefault="00CA3056" w:rsidP="00620DF3">
            <w:pPr>
              <w:rPr>
                <w:szCs w:val="22"/>
              </w:rPr>
            </w:pPr>
            <w:r w:rsidRPr="00EE50DD">
              <w:rPr>
                <w:szCs w:val="22"/>
              </w:rPr>
              <w:t>Some of the t</w:t>
            </w:r>
            <w:r>
              <w:rPr>
                <w:szCs w:val="22"/>
              </w:rPr>
              <w:t>argeted groups are IDP</w:t>
            </w:r>
            <w:r w:rsidRPr="00EE50DD">
              <w:rPr>
                <w:szCs w:val="22"/>
              </w:rPr>
              <w:t>s</w:t>
            </w:r>
          </w:p>
        </w:tc>
        <w:tc>
          <w:tcPr>
            <w:tcW w:w="2052" w:type="dxa"/>
          </w:tcPr>
          <w:p w:rsidR="00CA3056" w:rsidRPr="003D1453" w:rsidRDefault="00CA3056" w:rsidP="00620DF3">
            <w:pPr>
              <w:rPr>
                <w:szCs w:val="22"/>
              </w:rPr>
            </w:pPr>
            <w:r>
              <w:rPr>
                <w:szCs w:val="22"/>
              </w:rPr>
              <w:t>N/A</w:t>
            </w:r>
          </w:p>
        </w:tc>
      </w:tr>
      <w:tr w:rsidR="00CA3056" w:rsidRPr="000F1E9B" w:rsidTr="00E908CE">
        <w:tc>
          <w:tcPr>
            <w:tcW w:w="2340" w:type="dxa"/>
          </w:tcPr>
          <w:p w:rsidR="00CA3056" w:rsidRPr="003736D7" w:rsidRDefault="00CA3056" w:rsidP="00620DF3">
            <w:pPr>
              <w:rPr>
                <w:sz w:val="20"/>
              </w:rPr>
            </w:pPr>
            <w:r w:rsidRPr="003736D7">
              <w:rPr>
                <w:sz w:val="20"/>
              </w:rPr>
              <w:t>Others</w:t>
            </w:r>
          </w:p>
        </w:tc>
        <w:tc>
          <w:tcPr>
            <w:tcW w:w="6660" w:type="dxa"/>
          </w:tcPr>
          <w:p w:rsidR="00CA3056" w:rsidRPr="00EE50DD" w:rsidRDefault="00CA3056" w:rsidP="00620DF3">
            <w:pPr>
              <w:jc w:val="lowKashida"/>
              <w:rPr>
                <w:szCs w:val="22"/>
              </w:rPr>
            </w:pPr>
            <w:r w:rsidRPr="00EE50DD">
              <w:rPr>
                <w:szCs w:val="22"/>
              </w:rPr>
              <w:t xml:space="preserve">MoH and other line ministries staff will benefit from many training activities planned under this project </w:t>
            </w:r>
          </w:p>
        </w:tc>
        <w:tc>
          <w:tcPr>
            <w:tcW w:w="2052" w:type="dxa"/>
          </w:tcPr>
          <w:p w:rsidR="00CA3056" w:rsidRPr="000F1E9B" w:rsidRDefault="00CA3056" w:rsidP="00620DF3">
            <w:pPr>
              <w:jc w:val="lowKashida"/>
              <w:rPr>
                <w:szCs w:val="22"/>
              </w:rPr>
            </w:pPr>
            <w:r>
              <w:rPr>
                <w:szCs w:val="22"/>
              </w:rPr>
              <w:t>30%</w:t>
            </w:r>
          </w:p>
        </w:tc>
      </w:tr>
      <w:tr w:rsidR="00CA3056" w:rsidRPr="00CA40B1" w:rsidTr="00E908CE">
        <w:tc>
          <w:tcPr>
            <w:tcW w:w="2340" w:type="dxa"/>
          </w:tcPr>
          <w:p w:rsidR="00CA3056" w:rsidRPr="003736D7" w:rsidRDefault="00CA3056" w:rsidP="00620DF3">
            <w:pPr>
              <w:rPr>
                <w:sz w:val="20"/>
              </w:rPr>
            </w:pPr>
            <w:r w:rsidRPr="003736D7">
              <w:rPr>
                <w:sz w:val="20"/>
              </w:rPr>
              <w:t>Indirect beneficiaries</w:t>
            </w:r>
          </w:p>
        </w:tc>
        <w:tc>
          <w:tcPr>
            <w:tcW w:w="6660" w:type="dxa"/>
          </w:tcPr>
          <w:p w:rsidR="00CA3056" w:rsidRPr="00EE50DD" w:rsidRDefault="00CA3056" w:rsidP="00342BA4">
            <w:pPr>
              <w:jc w:val="lowKashida"/>
              <w:rPr>
                <w:szCs w:val="22"/>
              </w:rPr>
            </w:pPr>
            <w:r w:rsidRPr="002F0290">
              <w:rPr>
                <w:bCs/>
                <w:szCs w:val="22"/>
              </w:rPr>
              <w:t xml:space="preserve">The </w:t>
            </w:r>
            <w:r>
              <w:rPr>
                <w:bCs/>
                <w:szCs w:val="22"/>
              </w:rPr>
              <w:t>programme</w:t>
            </w:r>
            <w:r w:rsidRPr="002F0290">
              <w:rPr>
                <w:bCs/>
                <w:szCs w:val="22"/>
              </w:rPr>
              <w:t xml:space="preserve"> foresees the mobilization of some </w:t>
            </w:r>
            <w:r>
              <w:rPr>
                <w:bCs/>
                <w:szCs w:val="22"/>
              </w:rPr>
              <w:t>5</w:t>
            </w:r>
            <w:r w:rsidRPr="002F0290">
              <w:rPr>
                <w:bCs/>
                <w:szCs w:val="22"/>
              </w:rPr>
              <w:t xml:space="preserve">0 </w:t>
            </w:r>
            <w:r>
              <w:rPr>
                <w:bCs/>
                <w:szCs w:val="22"/>
              </w:rPr>
              <w:t xml:space="preserve">GoI </w:t>
            </w:r>
            <w:r w:rsidRPr="002F0290">
              <w:rPr>
                <w:bCs/>
                <w:szCs w:val="22"/>
              </w:rPr>
              <w:t xml:space="preserve">additional staff within </w:t>
            </w:r>
            <w:smartTag w:uri="urn:schemas-microsoft-com:office:smarttags" w:element="country-region">
              <w:smartTag w:uri="urn:schemas-microsoft-com:office:smarttags" w:element="place">
                <w:r w:rsidRPr="002F0290">
                  <w:rPr>
                    <w:bCs/>
                    <w:szCs w:val="22"/>
                  </w:rPr>
                  <w:t>Iraq</w:t>
                </w:r>
              </w:smartTag>
            </w:smartTag>
            <w:r w:rsidRPr="002F0290">
              <w:rPr>
                <w:bCs/>
                <w:szCs w:val="22"/>
              </w:rPr>
              <w:t xml:space="preserve"> </w:t>
            </w:r>
          </w:p>
        </w:tc>
        <w:tc>
          <w:tcPr>
            <w:tcW w:w="2052" w:type="dxa"/>
          </w:tcPr>
          <w:p w:rsidR="00CA3056" w:rsidRPr="00CA40B1" w:rsidRDefault="00CA3056" w:rsidP="00620DF3">
            <w:pPr>
              <w:pStyle w:val="ListParagraph"/>
              <w:widowControl w:val="0"/>
              <w:spacing w:after="0" w:line="240" w:lineRule="auto"/>
              <w:ind w:left="-108"/>
              <w:contextualSpacing w:val="0"/>
              <w:jc w:val="lowKashida"/>
            </w:pPr>
            <w:r w:rsidRPr="00CA40B1">
              <w:t xml:space="preserve"> </w:t>
            </w:r>
          </w:p>
        </w:tc>
      </w:tr>
      <w:tr w:rsidR="00CA3056" w:rsidRPr="00CA40B1" w:rsidTr="00E908CE">
        <w:tc>
          <w:tcPr>
            <w:tcW w:w="2340" w:type="dxa"/>
          </w:tcPr>
          <w:p w:rsidR="00CA3056" w:rsidRPr="003736D7" w:rsidRDefault="00CA3056" w:rsidP="00620DF3">
            <w:pPr>
              <w:rPr>
                <w:sz w:val="20"/>
              </w:rPr>
            </w:pPr>
            <w:r w:rsidRPr="003736D7">
              <w:rPr>
                <w:sz w:val="20"/>
              </w:rPr>
              <w:t>Employment generation  (men/women)</w:t>
            </w:r>
          </w:p>
        </w:tc>
        <w:tc>
          <w:tcPr>
            <w:tcW w:w="6660" w:type="dxa"/>
          </w:tcPr>
          <w:p w:rsidR="00CA3056" w:rsidRPr="00EE50DD" w:rsidRDefault="00CA3056" w:rsidP="00620DF3">
            <w:pPr>
              <w:rPr>
                <w:szCs w:val="22"/>
              </w:rPr>
            </w:pPr>
            <w:r>
              <w:rPr>
                <w:szCs w:val="22"/>
              </w:rPr>
              <w:t xml:space="preserve">The project will </w:t>
            </w:r>
            <w:r w:rsidRPr="005305D7">
              <w:rPr>
                <w:szCs w:val="22"/>
              </w:rPr>
              <w:t xml:space="preserve">offer opportunities for participants to acquire specific training skills that they will be able to utilize for individual and social development. Supplies will be locally procured which indirectly will create employment opportunities and income generation. Around </w:t>
            </w:r>
            <w:r>
              <w:rPr>
                <w:szCs w:val="22"/>
              </w:rPr>
              <w:t>2</w:t>
            </w:r>
            <w:r w:rsidRPr="005305D7">
              <w:rPr>
                <w:szCs w:val="22"/>
              </w:rPr>
              <w:t>00 professionals and similar number of support staff will be involved/supported/ recruited throughout the period of the programme</w:t>
            </w:r>
          </w:p>
        </w:tc>
        <w:tc>
          <w:tcPr>
            <w:tcW w:w="2052" w:type="dxa"/>
          </w:tcPr>
          <w:p w:rsidR="00CA3056" w:rsidRPr="003D1453" w:rsidRDefault="00CA3056" w:rsidP="00620DF3">
            <w:pPr>
              <w:rPr>
                <w:szCs w:val="22"/>
              </w:rPr>
            </w:pPr>
            <w:r>
              <w:rPr>
                <w:szCs w:val="22"/>
              </w:rPr>
              <w:t>100%</w:t>
            </w:r>
          </w:p>
        </w:tc>
      </w:tr>
    </w:tbl>
    <w:p w:rsidR="00CA3056" w:rsidRDefault="00CA3056"/>
    <w:p w:rsidR="00CA3056" w:rsidRDefault="00CA3056"/>
    <w:p w:rsidR="00CA3056" w:rsidRDefault="00CA3056"/>
    <w:p w:rsidR="00CA3056" w:rsidRDefault="00CA3056"/>
    <w:p w:rsidR="00CA3056" w:rsidRDefault="00CA3056"/>
    <w:p w:rsidR="00CA3056" w:rsidRDefault="00CA3056"/>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6660"/>
        <w:gridCol w:w="720"/>
      </w:tblGrid>
      <w:tr w:rsidR="00CA3056" w:rsidRPr="00AD574A" w:rsidTr="00E908CE">
        <w:trPr>
          <w:trHeight w:val="305"/>
        </w:trPr>
        <w:tc>
          <w:tcPr>
            <w:tcW w:w="10800" w:type="dxa"/>
            <w:gridSpan w:val="3"/>
            <w:shd w:val="clear" w:color="auto" w:fill="D9D9D9"/>
          </w:tcPr>
          <w:p w:rsidR="00CA3056" w:rsidRDefault="00CA3056" w:rsidP="00620DF3">
            <w:pPr>
              <w:rPr>
                <w:bCs/>
                <w:color w:val="FF0000"/>
                <w:szCs w:val="22"/>
              </w:rPr>
            </w:pPr>
            <w:r w:rsidRPr="00AD574A">
              <w:rPr>
                <w:b/>
                <w:szCs w:val="22"/>
              </w:rPr>
              <w:t xml:space="preserve">Quantitative achievements against objectives and results </w:t>
            </w:r>
          </w:p>
          <w:p w:rsidR="00CA3056" w:rsidRPr="00AD574A" w:rsidRDefault="00CA3056" w:rsidP="00620DF3">
            <w:pPr>
              <w:rPr>
                <w:b/>
                <w:szCs w:val="22"/>
              </w:rPr>
            </w:pPr>
          </w:p>
        </w:tc>
      </w:tr>
      <w:tr w:rsidR="00CA3056" w:rsidRPr="00AD574A" w:rsidTr="00E908CE">
        <w:trPr>
          <w:trHeight w:val="278"/>
        </w:trPr>
        <w:tc>
          <w:tcPr>
            <w:tcW w:w="3420" w:type="dxa"/>
          </w:tcPr>
          <w:p w:rsidR="00CA3056" w:rsidRPr="005B7C5B" w:rsidRDefault="00CA3056" w:rsidP="00620DF3">
            <w:pPr>
              <w:rPr>
                <w:bCs/>
                <w:szCs w:val="22"/>
              </w:rPr>
            </w:pPr>
            <w:r w:rsidRPr="001C2134">
              <w:rPr>
                <w:bCs/>
                <w:szCs w:val="22"/>
                <w:lang w:val="en-US"/>
              </w:rPr>
              <w:t>MoH is better able to understand the distribution, type, trends and magnitude of birth defects in selected districts of 6 governorates</w:t>
            </w:r>
            <w:r w:rsidRPr="001C2134">
              <w:rPr>
                <w:b/>
                <w:szCs w:val="22"/>
                <w:lang w:val="en-US"/>
              </w:rPr>
              <w:t> </w:t>
            </w:r>
          </w:p>
        </w:tc>
        <w:tc>
          <w:tcPr>
            <w:tcW w:w="6660" w:type="dxa"/>
          </w:tcPr>
          <w:p w:rsidR="00CA3056" w:rsidRDefault="00CA3056" w:rsidP="00620DF3">
            <w:pPr>
              <w:widowControl/>
              <w:ind w:right="176"/>
              <w:jc w:val="both"/>
              <w:rPr>
                <w:szCs w:val="22"/>
                <w:lang w:val="en-US" w:bidi="ar-JO"/>
              </w:rPr>
            </w:pPr>
            <w:r>
              <w:rPr>
                <w:szCs w:val="22"/>
                <w:lang w:val="en-US" w:bidi="ar-JO"/>
              </w:rPr>
              <w:t>-</w:t>
            </w:r>
            <w:r w:rsidRPr="003F7222">
              <w:rPr>
                <w:szCs w:val="22"/>
                <w:lang w:val="en-US" w:bidi="ar-JO"/>
              </w:rPr>
              <w:t xml:space="preserve">Ministry of Health in </w:t>
            </w:r>
            <w:smartTag w:uri="urn:schemas-microsoft-com:office:smarttags" w:element="country-region">
              <w:r w:rsidRPr="003F7222">
                <w:rPr>
                  <w:szCs w:val="22"/>
                  <w:lang w:val="en-US" w:bidi="ar-JO"/>
                </w:rPr>
                <w:t>Iraq</w:t>
              </w:r>
            </w:smartTag>
            <w:r w:rsidRPr="003F7222">
              <w:rPr>
                <w:szCs w:val="22"/>
                <w:lang w:val="en-US" w:bidi="ar-JO"/>
              </w:rPr>
              <w:t xml:space="preserve"> in collaboration with World Health Organization organized </w:t>
            </w:r>
            <w:r>
              <w:rPr>
                <w:szCs w:val="22"/>
                <w:lang w:val="en-US" w:bidi="ar-JO"/>
              </w:rPr>
              <w:t xml:space="preserve">two steering committee meetings after the technical consultation meeting that was held in </w:t>
            </w:r>
            <w:smartTag w:uri="urn:schemas-microsoft-com:office:smarttags" w:element="City">
              <w:smartTag w:uri="urn:schemas-microsoft-com:office:smarttags" w:element="place">
                <w:smartTag w:uri="urn:schemas-microsoft-com:office:smarttags" w:element="City">
                  <w:r w:rsidRPr="003F7222">
                    <w:rPr>
                      <w:szCs w:val="22"/>
                      <w:lang w:val="en-US" w:bidi="ar-JO"/>
                    </w:rPr>
                    <w:t>Istanbul</w:t>
                  </w:r>
                </w:smartTag>
                <w:r w:rsidRPr="003F7222">
                  <w:rPr>
                    <w:szCs w:val="22"/>
                    <w:lang w:val="en-US" w:bidi="ar-JO"/>
                  </w:rPr>
                  <w:t>,</w:t>
                </w:r>
                <w:r>
                  <w:rPr>
                    <w:szCs w:val="22"/>
                    <w:lang w:val="en-US" w:bidi="ar-JO"/>
                  </w:rPr>
                  <w:t xml:space="preserve"> </w:t>
                </w:r>
                <w:smartTag w:uri="urn:schemas-microsoft-com:office:smarttags" w:element="country-region">
                  <w:r w:rsidRPr="003F7222">
                    <w:rPr>
                      <w:szCs w:val="22"/>
                      <w:lang w:val="en-US" w:bidi="ar-JO"/>
                    </w:rPr>
                    <w:t>Turkey</w:t>
                  </w:r>
                </w:smartTag>
              </w:smartTag>
            </w:smartTag>
            <w:r w:rsidRPr="003F7222">
              <w:rPr>
                <w:szCs w:val="22"/>
                <w:lang w:val="en-US" w:bidi="ar-JO"/>
              </w:rPr>
              <w:t xml:space="preserve"> 26-30 September 2010. The meeting </w:t>
            </w:r>
            <w:r>
              <w:rPr>
                <w:szCs w:val="22"/>
                <w:lang w:val="en-US" w:bidi="ar-JO"/>
              </w:rPr>
              <w:t xml:space="preserve">discussed the study protocol and the questionnaire design and a consensus was reached that WHO will assign a consultant for 2 weeks to finalize the protocol and draft survey tools. </w:t>
            </w:r>
          </w:p>
          <w:p w:rsidR="00CA3056" w:rsidRPr="008C20CC" w:rsidRDefault="00CA3056" w:rsidP="00620DF3">
            <w:pPr>
              <w:widowControl/>
              <w:ind w:right="176"/>
              <w:jc w:val="both"/>
              <w:rPr>
                <w:szCs w:val="22"/>
                <w:lang w:val="en-US" w:bidi="ar-JO"/>
              </w:rPr>
            </w:pPr>
            <w:r>
              <w:rPr>
                <w:szCs w:val="22"/>
                <w:lang w:val="en-US" w:bidi="ar-JO"/>
              </w:rPr>
              <w:t xml:space="preserve">- WHO is recruiting a short term consultant to review and finalize the study protocol and questionnaire. </w:t>
            </w:r>
          </w:p>
        </w:tc>
        <w:tc>
          <w:tcPr>
            <w:tcW w:w="720" w:type="dxa"/>
          </w:tcPr>
          <w:p w:rsidR="00CA3056" w:rsidRPr="00AD574A" w:rsidRDefault="00CA3056" w:rsidP="00620DF3">
            <w:pPr>
              <w:rPr>
                <w:szCs w:val="22"/>
              </w:rPr>
            </w:pPr>
            <w:r>
              <w:rPr>
                <w:szCs w:val="22"/>
              </w:rPr>
              <w:t>12%</w:t>
            </w:r>
          </w:p>
        </w:tc>
      </w:tr>
      <w:tr w:rsidR="00CA3056" w:rsidRPr="00AD574A" w:rsidTr="00E908CE">
        <w:trPr>
          <w:trHeight w:val="278"/>
        </w:trPr>
        <w:tc>
          <w:tcPr>
            <w:tcW w:w="3420" w:type="dxa"/>
          </w:tcPr>
          <w:p w:rsidR="00CA3056" w:rsidRPr="00E908CE" w:rsidRDefault="00CA3056" w:rsidP="00E908CE">
            <w:pPr>
              <w:widowControl/>
              <w:tabs>
                <w:tab w:val="left" w:pos="-1620"/>
              </w:tabs>
              <w:jc w:val="both"/>
              <w:rPr>
                <w:bCs/>
                <w:szCs w:val="22"/>
                <w:lang w:val="en-US"/>
              </w:rPr>
            </w:pPr>
            <w:r w:rsidRPr="001C2134">
              <w:rPr>
                <w:bCs/>
                <w:szCs w:val="22"/>
                <w:lang w:val="en-US"/>
              </w:rPr>
              <w:t xml:space="preserve">MoH (TORCH) laboratory and technicians have improved capacities to conduct tests on risk factors associated to birth defects. </w:t>
            </w:r>
          </w:p>
        </w:tc>
        <w:tc>
          <w:tcPr>
            <w:tcW w:w="6660" w:type="dxa"/>
          </w:tcPr>
          <w:p w:rsidR="00CA3056" w:rsidRDefault="00CA3056" w:rsidP="00620DF3">
            <w:pPr>
              <w:spacing w:after="120"/>
              <w:rPr>
                <w:color w:val="FF0000"/>
                <w:szCs w:val="22"/>
              </w:rPr>
            </w:pPr>
            <w:r>
              <w:rPr>
                <w:szCs w:val="22"/>
              </w:rPr>
              <w:t xml:space="preserve">- Organization of three fellowships for the three participants from the TORCH lab to participate in training in </w:t>
            </w:r>
            <w:smartTag w:uri="urn:schemas-microsoft-com:office:smarttags" w:element="City">
              <w:smartTag w:uri="urn:schemas-microsoft-com:office:smarttags" w:element="place">
                <w:r>
                  <w:rPr>
                    <w:szCs w:val="22"/>
                  </w:rPr>
                  <w:t>Rome</w:t>
                </w:r>
              </w:smartTag>
            </w:smartTag>
            <w:r>
              <w:rPr>
                <w:szCs w:val="22"/>
              </w:rPr>
              <w:t xml:space="preserve"> on Congenital Birth Defects Surveillance. </w:t>
            </w:r>
          </w:p>
          <w:p w:rsidR="00CA3056" w:rsidRPr="00EF1671" w:rsidRDefault="00CA3056" w:rsidP="00620DF3">
            <w:pPr>
              <w:spacing w:after="120"/>
              <w:rPr>
                <w:szCs w:val="22"/>
              </w:rPr>
            </w:pPr>
            <w:r w:rsidRPr="00B04E9D">
              <w:rPr>
                <w:szCs w:val="22"/>
              </w:rPr>
              <w:t xml:space="preserve">- One training course </w:t>
            </w:r>
            <w:r>
              <w:rPr>
                <w:szCs w:val="22"/>
              </w:rPr>
              <w:t xml:space="preserve">organized </w:t>
            </w:r>
            <w:r w:rsidRPr="00B04E9D">
              <w:rPr>
                <w:szCs w:val="22"/>
              </w:rPr>
              <w:t>for 6 participants on TORCH project.</w:t>
            </w:r>
          </w:p>
        </w:tc>
        <w:tc>
          <w:tcPr>
            <w:tcW w:w="720" w:type="dxa"/>
          </w:tcPr>
          <w:p w:rsidR="00CA3056" w:rsidRDefault="00CA3056" w:rsidP="00620DF3">
            <w:pPr>
              <w:rPr>
                <w:szCs w:val="22"/>
              </w:rPr>
            </w:pPr>
            <w:r>
              <w:rPr>
                <w:szCs w:val="22"/>
              </w:rPr>
              <w:t>7%</w:t>
            </w:r>
          </w:p>
        </w:tc>
      </w:tr>
    </w:tbl>
    <w:p w:rsidR="00CA3056" w:rsidRPr="00CF6944" w:rsidRDefault="00CA3056" w:rsidP="00342BA4">
      <w:pPr>
        <w:rPr>
          <w:szCs w:val="2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CA3056" w:rsidRPr="00BB4503" w:rsidTr="00E908CE">
        <w:tc>
          <w:tcPr>
            <w:tcW w:w="10800" w:type="dxa"/>
            <w:shd w:val="clear" w:color="auto" w:fill="D9D9D9"/>
          </w:tcPr>
          <w:p w:rsidR="00CA3056" w:rsidRPr="00BC7C38" w:rsidRDefault="00CA3056" w:rsidP="00620DF3">
            <w:pPr>
              <w:outlineLvl w:val="0"/>
              <w:rPr>
                <w:b/>
                <w:szCs w:val="22"/>
              </w:rPr>
            </w:pPr>
            <w:r w:rsidRPr="00CF6944">
              <w:rPr>
                <w:b/>
                <w:szCs w:val="22"/>
              </w:rPr>
              <w:t xml:space="preserve">Qualitative achievements against objectives and results </w:t>
            </w:r>
          </w:p>
        </w:tc>
      </w:tr>
      <w:tr w:rsidR="00CA3056" w:rsidRPr="00BB4503" w:rsidTr="00E908CE">
        <w:tc>
          <w:tcPr>
            <w:tcW w:w="10800" w:type="dxa"/>
          </w:tcPr>
          <w:p w:rsidR="00CA3056" w:rsidRPr="00B04E9D" w:rsidRDefault="00CA3056" w:rsidP="00B04E9D">
            <w:pPr>
              <w:numPr>
                <w:ilvl w:val="0"/>
                <w:numId w:val="11"/>
              </w:numPr>
              <w:jc w:val="lowKashida"/>
              <w:rPr>
                <w:szCs w:val="22"/>
              </w:rPr>
            </w:pPr>
            <w:r w:rsidRPr="00B04E9D">
              <w:rPr>
                <w:szCs w:val="22"/>
                <w:lang w:val="en-US"/>
              </w:rPr>
              <w:t>Ministry of Health has submitted a study protocol to WHO for revision and finalization by WHO experts. The methodology of the study protocol involves collecting data on congenital birth defects at household level from 14 districts at 6 governorates as a pilot. A draft tool for data collection is prepared which is currently being reviewed by experts at the global level because assessing the magnitude of congenital birth defects and its correlation with a probable cause is not something which can be arrived using simplistic tools, that is why the need for review of the tool from experts who have been engaged in similar exercises globally will be very useful for the outcome of the process</w:t>
            </w:r>
            <w:r>
              <w:rPr>
                <w:szCs w:val="22"/>
                <w:lang w:val="en-US"/>
              </w:rPr>
              <w:t>.</w:t>
            </w:r>
          </w:p>
          <w:p w:rsidR="00CA3056" w:rsidRPr="00EF1671" w:rsidRDefault="00CA3056" w:rsidP="00B04E9D">
            <w:pPr>
              <w:ind w:left="360"/>
              <w:rPr>
                <w:szCs w:val="22"/>
              </w:rPr>
            </w:pPr>
          </w:p>
        </w:tc>
      </w:tr>
    </w:tbl>
    <w:p w:rsidR="00CA3056" w:rsidRDefault="00CA3056" w:rsidP="00342BA4"/>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CA3056" w:rsidRPr="005475B3" w:rsidTr="00E908CE">
        <w:tc>
          <w:tcPr>
            <w:tcW w:w="10800" w:type="dxa"/>
            <w:shd w:val="clear" w:color="auto" w:fill="D9D9D9"/>
          </w:tcPr>
          <w:p w:rsidR="00CA3056" w:rsidRPr="005475B3" w:rsidRDefault="00CA3056" w:rsidP="00620DF3">
            <w:pPr>
              <w:outlineLvl w:val="0"/>
              <w:rPr>
                <w:b/>
                <w:szCs w:val="22"/>
                <w:lang w:val="fr-FR"/>
              </w:rPr>
            </w:pPr>
            <w:r w:rsidRPr="005475B3">
              <w:rPr>
                <w:b/>
                <w:szCs w:val="22"/>
                <w:lang w:val="fr-FR"/>
              </w:rPr>
              <w:t xml:space="preserve">Main implementation constrains &amp; challenges (2-3 sentences) </w:t>
            </w:r>
          </w:p>
        </w:tc>
      </w:tr>
      <w:tr w:rsidR="00CA3056" w:rsidRPr="00BB4503" w:rsidTr="00E908CE">
        <w:trPr>
          <w:trHeight w:val="278"/>
        </w:trPr>
        <w:tc>
          <w:tcPr>
            <w:tcW w:w="10800" w:type="dxa"/>
          </w:tcPr>
          <w:p w:rsidR="00CA3056" w:rsidRPr="00B04E9D" w:rsidRDefault="00CA3056" w:rsidP="00620DF3">
            <w:pPr>
              <w:pStyle w:val="ListParagraph"/>
              <w:ind w:left="0"/>
              <w:rPr>
                <w:rFonts w:ascii="Times New Roman" w:hAnsi="Times New Roman" w:cs="Times New Roman"/>
              </w:rPr>
            </w:pPr>
            <w:r w:rsidRPr="00B04E9D">
              <w:rPr>
                <w:rFonts w:ascii="Times New Roman" w:hAnsi="Times New Roman" w:cs="Times New Roman"/>
              </w:rPr>
              <w:t xml:space="preserve">WHO </w:t>
            </w:r>
            <w:r>
              <w:rPr>
                <w:rFonts w:ascii="Times New Roman" w:hAnsi="Times New Roman" w:cs="Times New Roman"/>
              </w:rPr>
              <w:t xml:space="preserve">is </w:t>
            </w:r>
            <w:r w:rsidRPr="00B04E9D">
              <w:rPr>
                <w:rFonts w:ascii="Times New Roman" w:hAnsi="Times New Roman" w:cs="Times New Roman"/>
              </w:rPr>
              <w:t>exploring all possible options by seeking suppo</w:t>
            </w:r>
            <w:r>
              <w:rPr>
                <w:rFonts w:ascii="Times New Roman" w:hAnsi="Times New Roman" w:cs="Times New Roman"/>
              </w:rPr>
              <w:t>rt from other donors to fund P</w:t>
            </w:r>
            <w:r w:rsidRPr="00B04E9D">
              <w:rPr>
                <w:rFonts w:ascii="Times New Roman" w:hAnsi="Times New Roman" w:cs="Times New Roman"/>
              </w:rPr>
              <w:t>hase 2 of the study. Moreover, some discussion has ta</w:t>
            </w:r>
            <w:r>
              <w:rPr>
                <w:rFonts w:ascii="Times New Roman" w:hAnsi="Times New Roman" w:cs="Times New Roman"/>
              </w:rPr>
              <w:t>ken place with the Ministry of H</w:t>
            </w:r>
            <w:r w:rsidRPr="00B04E9D">
              <w:rPr>
                <w:rFonts w:ascii="Times New Roman" w:hAnsi="Times New Roman" w:cs="Times New Roman"/>
              </w:rPr>
              <w:t xml:space="preserve">ealth to cater </w:t>
            </w:r>
            <w:r>
              <w:rPr>
                <w:rFonts w:ascii="Times New Roman" w:hAnsi="Times New Roman" w:cs="Times New Roman"/>
              </w:rPr>
              <w:t>for funding part or whole of P</w:t>
            </w:r>
            <w:r w:rsidRPr="00B04E9D">
              <w:rPr>
                <w:rFonts w:ascii="Times New Roman" w:hAnsi="Times New Roman" w:cs="Times New Roman"/>
              </w:rPr>
              <w:t>hase 2.  However, WHO will still very much value the partnership and support from UNDP in this regard</w:t>
            </w:r>
            <w:r>
              <w:rPr>
                <w:rFonts w:ascii="Times New Roman" w:hAnsi="Times New Roman" w:cs="Times New Roman"/>
              </w:rPr>
              <w:t>.</w:t>
            </w:r>
          </w:p>
        </w:tc>
      </w:tr>
      <w:tr w:rsidR="00CA3056" w:rsidRPr="00BB4503" w:rsidTr="00E908CE">
        <w:tc>
          <w:tcPr>
            <w:tcW w:w="10800" w:type="dxa"/>
            <w:shd w:val="clear" w:color="auto" w:fill="000099"/>
          </w:tcPr>
          <w:p w:rsidR="00CA3056" w:rsidRPr="00BB4503" w:rsidRDefault="00CA3056" w:rsidP="00620DF3">
            <w:pPr>
              <w:rPr>
                <w:color w:val="000000"/>
                <w:szCs w:val="22"/>
              </w:rPr>
            </w:pPr>
          </w:p>
        </w:tc>
      </w:tr>
    </w:tbl>
    <w:p w:rsidR="00CA3056" w:rsidRDefault="00CA3056" w:rsidP="00342BA4"/>
    <w:p w:rsidR="00CA3056" w:rsidRDefault="00CA3056"/>
    <w:sectPr w:rsidR="00CA3056" w:rsidSect="00147470">
      <w:footerReference w:type="even" r:id="rId7"/>
      <w:footerReference w:type="default" r:id="rId8"/>
      <w:pgSz w:w="12240" w:h="15840"/>
      <w:pgMar w:top="540" w:right="1800" w:bottom="45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056" w:rsidRDefault="00CA3056">
      <w:r>
        <w:separator/>
      </w:r>
    </w:p>
  </w:endnote>
  <w:endnote w:type="continuationSeparator" w:id="0">
    <w:p w:rsidR="00CA3056" w:rsidRDefault="00CA30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056" w:rsidRDefault="00CA3056" w:rsidP="00FF0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3056" w:rsidRDefault="00CA3056" w:rsidP="008724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056" w:rsidRDefault="00CA3056" w:rsidP="00FF0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3056" w:rsidRDefault="00CA3056" w:rsidP="008724D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056" w:rsidRDefault="00CA3056">
      <w:r>
        <w:separator/>
      </w:r>
    </w:p>
  </w:footnote>
  <w:footnote w:type="continuationSeparator" w:id="0">
    <w:p w:rsidR="00CA3056" w:rsidRDefault="00CA30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61B51"/>
    <w:multiLevelType w:val="multilevel"/>
    <w:tmpl w:val="41C20034"/>
    <w:lvl w:ilvl="0">
      <w:start w:val="1"/>
      <w:numFmt w:val="decimal"/>
      <w:lvlText w:val="%1"/>
      <w:lvlJc w:val="left"/>
      <w:pPr>
        <w:tabs>
          <w:tab w:val="num" w:pos="555"/>
        </w:tabs>
        <w:ind w:left="555" w:hanging="555"/>
      </w:pPr>
      <w:rPr>
        <w:rFonts w:cs="Times New Roman" w:hint="default"/>
        <w:u w:val="none"/>
      </w:rPr>
    </w:lvl>
    <w:lvl w:ilvl="1">
      <w:start w:val="2"/>
      <w:numFmt w:val="decimal"/>
      <w:lvlText w:val="%1.%2"/>
      <w:lvlJc w:val="left"/>
      <w:pPr>
        <w:tabs>
          <w:tab w:val="num" w:pos="555"/>
        </w:tabs>
        <w:ind w:left="555" w:hanging="555"/>
      </w:pPr>
      <w:rPr>
        <w:rFonts w:cs="Times New Roman" w:hint="default"/>
        <w:u w:val="none"/>
      </w:rPr>
    </w:lvl>
    <w:lvl w:ilvl="2">
      <w:start w:val="1"/>
      <w:numFmt w:val="decimal"/>
      <w:lvlText w:val="%1.%2.%3"/>
      <w:lvlJc w:val="left"/>
      <w:pPr>
        <w:tabs>
          <w:tab w:val="num" w:pos="1080"/>
        </w:tabs>
        <w:ind w:left="108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440"/>
        </w:tabs>
        <w:ind w:left="1440" w:hanging="1440"/>
      </w:pPr>
      <w:rPr>
        <w:rFonts w:cs="Times New Roman" w:hint="default"/>
        <w:u w:val="none"/>
      </w:rPr>
    </w:lvl>
  </w:abstractNum>
  <w:abstractNum w:abstractNumId="1">
    <w:nsid w:val="1EF25483"/>
    <w:multiLevelType w:val="hybridMultilevel"/>
    <w:tmpl w:val="0CA0BE36"/>
    <w:lvl w:ilvl="0" w:tplc="9DE02BA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9BF4778"/>
    <w:multiLevelType w:val="multilevel"/>
    <w:tmpl w:val="41C20034"/>
    <w:lvl w:ilvl="0">
      <w:start w:val="1"/>
      <w:numFmt w:val="decimal"/>
      <w:lvlText w:val="%1"/>
      <w:lvlJc w:val="left"/>
      <w:pPr>
        <w:tabs>
          <w:tab w:val="num" w:pos="555"/>
        </w:tabs>
        <w:ind w:left="555" w:hanging="555"/>
      </w:pPr>
      <w:rPr>
        <w:rFonts w:cs="Times New Roman" w:hint="default"/>
        <w:u w:val="none"/>
      </w:rPr>
    </w:lvl>
    <w:lvl w:ilvl="1">
      <w:start w:val="2"/>
      <w:numFmt w:val="decimal"/>
      <w:lvlText w:val="%1.%2"/>
      <w:lvlJc w:val="left"/>
      <w:pPr>
        <w:tabs>
          <w:tab w:val="num" w:pos="555"/>
        </w:tabs>
        <w:ind w:left="555" w:hanging="55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440"/>
        </w:tabs>
        <w:ind w:left="1440" w:hanging="1440"/>
      </w:pPr>
      <w:rPr>
        <w:rFonts w:cs="Times New Roman" w:hint="default"/>
        <w:u w:val="none"/>
      </w:rPr>
    </w:lvl>
  </w:abstractNum>
  <w:abstractNum w:abstractNumId="3">
    <w:nsid w:val="33E92CDB"/>
    <w:multiLevelType w:val="multilevel"/>
    <w:tmpl w:val="41C20034"/>
    <w:lvl w:ilvl="0">
      <w:start w:val="2"/>
      <w:numFmt w:val="decimal"/>
      <w:lvlText w:val="%1"/>
      <w:lvlJc w:val="left"/>
      <w:pPr>
        <w:tabs>
          <w:tab w:val="num" w:pos="555"/>
        </w:tabs>
        <w:ind w:left="555" w:hanging="555"/>
      </w:pPr>
      <w:rPr>
        <w:rFonts w:cs="Times New Roman" w:hint="default"/>
        <w:u w:val="none"/>
      </w:rPr>
    </w:lvl>
    <w:lvl w:ilvl="1">
      <w:start w:val="1"/>
      <w:numFmt w:val="decimal"/>
      <w:lvlText w:val="%1.%2"/>
      <w:lvlJc w:val="left"/>
      <w:pPr>
        <w:tabs>
          <w:tab w:val="num" w:pos="555"/>
        </w:tabs>
        <w:ind w:left="555" w:hanging="55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440"/>
        </w:tabs>
        <w:ind w:left="1440" w:hanging="1440"/>
      </w:pPr>
      <w:rPr>
        <w:rFonts w:cs="Times New Roman" w:hint="default"/>
        <w:u w:val="none"/>
      </w:rPr>
    </w:lvl>
  </w:abstractNum>
  <w:abstractNum w:abstractNumId="4">
    <w:nsid w:val="372A71F1"/>
    <w:multiLevelType w:val="hybridMultilevel"/>
    <w:tmpl w:val="1FC65A8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CB63B8"/>
    <w:multiLevelType w:val="hybridMultilevel"/>
    <w:tmpl w:val="C9CE5C3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3F755AE"/>
    <w:multiLevelType w:val="multilevel"/>
    <w:tmpl w:val="6B9EF61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699E270E"/>
    <w:multiLevelType w:val="hybridMultilevel"/>
    <w:tmpl w:val="D9EA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D43D01"/>
    <w:multiLevelType w:val="hybridMultilevel"/>
    <w:tmpl w:val="0F9632D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AC06D6A"/>
    <w:multiLevelType w:val="hybridMultilevel"/>
    <w:tmpl w:val="354873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E4F6E37"/>
    <w:multiLevelType w:val="hybridMultilevel"/>
    <w:tmpl w:val="CE38E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1"/>
  </w:num>
  <w:num w:numId="6">
    <w:abstractNumId w:val="5"/>
  </w:num>
  <w:num w:numId="7">
    <w:abstractNumId w:val="10"/>
  </w:num>
  <w:num w:numId="8">
    <w:abstractNumId w:val="6"/>
  </w:num>
  <w:num w:numId="9">
    <w:abstractNumId w:val="3"/>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ACF"/>
    <w:rsid w:val="00002FD2"/>
    <w:rsid w:val="0001796F"/>
    <w:rsid w:val="000329EF"/>
    <w:rsid w:val="0006138A"/>
    <w:rsid w:val="00061E72"/>
    <w:rsid w:val="0006456D"/>
    <w:rsid w:val="000767DC"/>
    <w:rsid w:val="00082497"/>
    <w:rsid w:val="000A1013"/>
    <w:rsid w:val="000A669B"/>
    <w:rsid w:val="000B7B5E"/>
    <w:rsid w:val="000C576E"/>
    <w:rsid w:val="000D2CE1"/>
    <w:rsid w:val="000D48A5"/>
    <w:rsid w:val="000E28D3"/>
    <w:rsid w:val="000F1E9B"/>
    <w:rsid w:val="000F4D09"/>
    <w:rsid w:val="00107429"/>
    <w:rsid w:val="00117E4C"/>
    <w:rsid w:val="00124922"/>
    <w:rsid w:val="001422CE"/>
    <w:rsid w:val="00147470"/>
    <w:rsid w:val="00153F0B"/>
    <w:rsid w:val="00155DE5"/>
    <w:rsid w:val="00160F4E"/>
    <w:rsid w:val="001636DC"/>
    <w:rsid w:val="00167B2C"/>
    <w:rsid w:val="00180222"/>
    <w:rsid w:val="001813E7"/>
    <w:rsid w:val="00186CCC"/>
    <w:rsid w:val="0019197B"/>
    <w:rsid w:val="001A5068"/>
    <w:rsid w:val="001B1346"/>
    <w:rsid w:val="001B6C5F"/>
    <w:rsid w:val="001C2134"/>
    <w:rsid w:val="001D1566"/>
    <w:rsid w:val="001D2B8A"/>
    <w:rsid w:val="001E1E50"/>
    <w:rsid w:val="001F4DAC"/>
    <w:rsid w:val="00213D37"/>
    <w:rsid w:val="00214CAF"/>
    <w:rsid w:val="00231A65"/>
    <w:rsid w:val="00241432"/>
    <w:rsid w:val="0025202D"/>
    <w:rsid w:val="00266D8C"/>
    <w:rsid w:val="00281F0A"/>
    <w:rsid w:val="0028760C"/>
    <w:rsid w:val="002A7963"/>
    <w:rsid w:val="002B237D"/>
    <w:rsid w:val="002C1864"/>
    <w:rsid w:val="002D4858"/>
    <w:rsid w:val="002D5BE9"/>
    <w:rsid w:val="002F0290"/>
    <w:rsid w:val="002F57EC"/>
    <w:rsid w:val="00300ECF"/>
    <w:rsid w:val="0032515D"/>
    <w:rsid w:val="00336F17"/>
    <w:rsid w:val="00342BA4"/>
    <w:rsid w:val="00342D70"/>
    <w:rsid w:val="003603BE"/>
    <w:rsid w:val="003616C9"/>
    <w:rsid w:val="0037245E"/>
    <w:rsid w:val="003736D7"/>
    <w:rsid w:val="003844D0"/>
    <w:rsid w:val="00393485"/>
    <w:rsid w:val="003A37B0"/>
    <w:rsid w:val="003A7AB1"/>
    <w:rsid w:val="003B2B3D"/>
    <w:rsid w:val="003B4BB0"/>
    <w:rsid w:val="003C4A61"/>
    <w:rsid w:val="003D1453"/>
    <w:rsid w:val="003D3D2D"/>
    <w:rsid w:val="003D588C"/>
    <w:rsid w:val="003F60FE"/>
    <w:rsid w:val="003F7222"/>
    <w:rsid w:val="00426846"/>
    <w:rsid w:val="0042730E"/>
    <w:rsid w:val="004320C1"/>
    <w:rsid w:val="004369E6"/>
    <w:rsid w:val="004458AD"/>
    <w:rsid w:val="00467B32"/>
    <w:rsid w:val="0047250D"/>
    <w:rsid w:val="004752E2"/>
    <w:rsid w:val="00480444"/>
    <w:rsid w:val="004855BC"/>
    <w:rsid w:val="00485795"/>
    <w:rsid w:val="004A1584"/>
    <w:rsid w:val="004B6C6A"/>
    <w:rsid w:val="004C0F3C"/>
    <w:rsid w:val="004C35F0"/>
    <w:rsid w:val="004D5D5C"/>
    <w:rsid w:val="004E06A5"/>
    <w:rsid w:val="004F0EA4"/>
    <w:rsid w:val="00513C5D"/>
    <w:rsid w:val="005218D0"/>
    <w:rsid w:val="00527DBD"/>
    <w:rsid w:val="005305D7"/>
    <w:rsid w:val="00530E41"/>
    <w:rsid w:val="00532FE4"/>
    <w:rsid w:val="00537592"/>
    <w:rsid w:val="005475B3"/>
    <w:rsid w:val="005634C5"/>
    <w:rsid w:val="005663E2"/>
    <w:rsid w:val="00574EA4"/>
    <w:rsid w:val="00580A33"/>
    <w:rsid w:val="0058206A"/>
    <w:rsid w:val="0058347D"/>
    <w:rsid w:val="00587953"/>
    <w:rsid w:val="00590CC5"/>
    <w:rsid w:val="005A42DD"/>
    <w:rsid w:val="005B2A8F"/>
    <w:rsid w:val="005B385D"/>
    <w:rsid w:val="005B7500"/>
    <w:rsid w:val="005B7C5B"/>
    <w:rsid w:val="005C5167"/>
    <w:rsid w:val="005D1CC8"/>
    <w:rsid w:val="005D681D"/>
    <w:rsid w:val="005E01E8"/>
    <w:rsid w:val="005F5736"/>
    <w:rsid w:val="005F5998"/>
    <w:rsid w:val="00606B55"/>
    <w:rsid w:val="006175DB"/>
    <w:rsid w:val="00620DF3"/>
    <w:rsid w:val="00621408"/>
    <w:rsid w:val="00622BC5"/>
    <w:rsid w:val="00633A11"/>
    <w:rsid w:val="00641025"/>
    <w:rsid w:val="00646D11"/>
    <w:rsid w:val="006640E0"/>
    <w:rsid w:val="00671975"/>
    <w:rsid w:val="006910AF"/>
    <w:rsid w:val="006A1706"/>
    <w:rsid w:val="006A466D"/>
    <w:rsid w:val="006A4670"/>
    <w:rsid w:val="006A6D65"/>
    <w:rsid w:val="006B759B"/>
    <w:rsid w:val="006B7EC6"/>
    <w:rsid w:val="006C3A9A"/>
    <w:rsid w:val="00710F76"/>
    <w:rsid w:val="00733D02"/>
    <w:rsid w:val="00733F5B"/>
    <w:rsid w:val="00760DCC"/>
    <w:rsid w:val="00776A30"/>
    <w:rsid w:val="007843FF"/>
    <w:rsid w:val="00795A2E"/>
    <w:rsid w:val="007963C1"/>
    <w:rsid w:val="007A4D11"/>
    <w:rsid w:val="007B13B4"/>
    <w:rsid w:val="007C2FA4"/>
    <w:rsid w:val="007D7155"/>
    <w:rsid w:val="007F5A8F"/>
    <w:rsid w:val="00800B06"/>
    <w:rsid w:val="00811E0E"/>
    <w:rsid w:val="00822ADE"/>
    <w:rsid w:val="0082307A"/>
    <w:rsid w:val="00827B00"/>
    <w:rsid w:val="00843625"/>
    <w:rsid w:val="00847F15"/>
    <w:rsid w:val="00853505"/>
    <w:rsid w:val="008569DE"/>
    <w:rsid w:val="0085757C"/>
    <w:rsid w:val="00863AF1"/>
    <w:rsid w:val="008661A6"/>
    <w:rsid w:val="008724D2"/>
    <w:rsid w:val="00882265"/>
    <w:rsid w:val="00887583"/>
    <w:rsid w:val="008A04CB"/>
    <w:rsid w:val="008A6E5B"/>
    <w:rsid w:val="008B4000"/>
    <w:rsid w:val="008C20CC"/>
    <w:rsid w:val="008C6374"/>
    <w:rsid w:val="008D7091"/>
    <w:rsid w:val="008E6112"/>
    <w:rsid w:val="008F0ABB"/>
    <w:rsid w:val="008F29B0"/>
    <w:rsid w:val="00905D70"/>
    <w:rsid w:val="00920706"/>
    <w:rsid w:val="009229ED"/>
    <w:rsid w:val="00930B46"/>
    <w:rsid w:val="00933461"/>
    <w:rsid w:val="009414AA"/>
    <w:rsid w:val="00950082"/>
    <w:rsid w:val="009569D0"/>
    <w:rsid w:val="00966381"/>
    <w:rsid w:val="0097619C"/>
    <w:rsid w:val="009A14E7"/>
    <w:rsid w:val="009A622F"/>
    <w:rsid w:val="009A74F4"/>
    <w:rsid w:val="009B7F38"/>
    <w:rsid w:val="009D20D7"/>
    <w:rsid w:val="009D7ED1"/>
    <w:rsid w:val="009F6C20"/>
    <w:rsid w:val="00A0035A"/>
    <w:rsid w:val="00A0652B"/>
    <w:rsid w:val="00A201BA"/>
    <w:rsid w:val="00A21182"/>
    <w:rsid w:val="00A22F30"/>
    <w:rsid w:val="00A279B2"/>
    <w:rsid w:val="00A32FBF"/>
    <w:rsid w:val="00A651F5"/>
    <w:rsid w:val="00A65594"/>
    <w:rsid w:val="00A73877"/>
    <w:rsid w:val="00A748B3"/>
    <w:rsid w:val="00A9391F"/>
    <w:rsid w:val="00AA3CA2"/>
    <w:rsid w:val="00AB5505"/>
    <w:rsid w:val="00AC69C4"/>
    <w:rsid w:val="00AD574A"/>
    <w:rsid w:val="00AE639B"/>
    <w:rsid w:val="00B04E9D"/>
    <w:rsid w:val="00B05BEA"/>
    <w:rsid w:val="00B0627C"/>
    <w:rsid w:val="00B412F9"/>
    <w:rsid w:val="00B5678D"/>
    <w:rsid w:val="00B77C4F"/>
    <w:rsid w:val="00B86A29"/>
    <w:rsid w:val="00B90AF2"/>
    <w:rsid w:val="00B96238"/>
    <w:rsid w:val="00BB04E4"/>
    <w:rsid w:val="00BB1939"/>
    <w:rsid w:val="00BB4503"/>
    <w:rsid w:val="00BB6387"/>
    <w:rsid w:val="00BB66F7"/>
    <w:rsid w:val="00BC5419"/>
    <w:rsid w:val="00BC7C38"/>
    <w:rsid w:val="00BD0314"/>
    <w:rsid w:val="00BD146C"/>
    <w:rsid w:val="00BE349C"/>
    <w:rsid w:val="00BE6C45"/>
    <w:rsid w:val="00C02234"/>
    <w:rsid w:val="00C20F2C"/>
    <w:rsid w:val="00C2461B"/>
    <w:rsid w:val="00C24FCE"/>
    <w:rsid w:val="00C31B63"/>
    <w:rsid w:val="00C32015"/>
    <w:rsid w:val="00C51F3F"/>
    <w:rsid w:val="00C55922"/>
    <w:rsid w:val="00C62479"/>
    <w:rsid w:val="00C62D57"/>
    <w:rsid w:val="00C66F53"/>
    <w:rsid w:val="00C7103C"/>
    <w:rsid w:val="00C77ACF"/>
    <w:rsid w:val="00C83600"/>
    <w:rsid w:val="00C853BC"/>
    <w:rsid w:val="00C85C41"/>
    <w:rsid w:val="00CA1758"/>
    <w:rsid w:val="00CA3056"/>
    <w:rsid w:val="00CA40B1"/>
    <w:rsid w:val="00CA73B8"/>
    <w:rsid w:val="00CB00FA"/>
    <w:rsid w:val="00CB3BFC"/>
    <w:rsid w:val="00CC2271"/>
    <w:rsid w:val="00CF6944"/>
    <w:rsid w:val="00D1661A"/>
    <w:rsid w:val="00D2044F"/>
    <w:rsid w:val="00D223DC"/>
    <w:rsid w:val="00D25311"/>
    <w:rsid w:val="00D3136F"/>
    <w:rsid w:val="00D46667"/>
    <w:rsid w:val="00D54319"/>
    <w:rsid w:val="00D64105"/>
    <w:rsid w:val="00D67824"/>
    <w:rsid w:val="00D67BB3"/>
    <w:rsid w:val="00D80B9B"/>
    <w:rsid w:val="00D848DA"/>
    <w:rsid w:val="00D85FED"/>
    <w:rsid w:val="00D8647F"/>
    <w:rsid w:val="00D94593"/>
    <w:rsid w:val="00DA40E3"/>
    <w:rsid w:val="00DB0DCD"/>
    <w:rsid w:val="00DB6298"/>
    <w:rsid w:val="00DD1197"/>
    <w:rsid w:val="00DD3379"/>
    <w:rsid w:val="00DF6501"/>
    <w:rsid w:val="00E005FB"/>
    <w:rsid w:val="00E00FC2"/>
    <w:rsid w:val="00E04FE2"/>
    <w:rsid w:val="00E0750F"/>
    <w:rsid w:val="00E26514"/>
    <w:rsid w:val="00E341F9"/>
    <w:rsid w:val="00E570A6"/>
    <w:rsid w:val="00E70FBD"/>
    <w:rsid w:val="00E71049"/>
    <w:rsid w:val="00E72381"/>
    <w:rsid w:val="00E771B3"/>
    <w:rsid w:val="00E774B8"/>
    <w:rsid w:val="00E82195"/>
    <w:rsid w:val="00E908CE"/>
    <w:rsid w:val="00E90B2A"/>
    <w:rsid w:val="00E958F3"/>
    <w:rsid w:val="00EB08CF"/>
    <w:rsid w:val="00EE0084"/>
    <w:rsid w:val="00EE50DD"/>
    <w:rsid w:val="00EF1671"/>
    <w:rsid w:val="00EF25D0"/>
    <w:rsid w:val="00EF5039"/>
    <w:rsid w:val="00F024F4"/>
    <w:rsid w:val="00F02F7A"/>
    <w:rsid w:val="00F128E4"/>
    <w:rsid w:val="00F31891"/>
    <w:rsid w:val="00F31AEF"/>
    <w:rsid w:val="00F50214"/>
    <w:rsid w:val="00F55275"/>
    <w:rsid w:val="00F664EB"/>
    <w:rsid w:val="00F737EA"/>
    <w:rsid w:val="00FA5E47"/>
    <w:rsid w:val="00FA689B"/>
    <w:rsid w:val="00FB1CA8"/>
    <w:rsid w:val="00FB3C72"/>
    <w:rsid w:val="00FB7A86"/>
    <w:rsid w:val="00FC5CEB"/>
    <w:rsid w:val="00FF03F7"/>
    <w:rsid w:val="00FF76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CF"/>
    <w:pPr>
      <w:widowControl w:val="0"/>
    </w:pPr>
    <w:rPr>
      <w:szCs w:val="20"/>
      <w:lang w:val="en-GB"/>
    </w:rPr>
  </w:style>
  <w:style w:type="paragraph" w:styleId="Heading2">
    <w:name w:val="heading 2"/>
    <w:basedOn w:val="Normal"/>
    <w:next w:val="Normal"/>
    <w:link w:val="Heading2Char"/>
    <w:uiPriority w:val="99"/>
    <w:qFormat/>
    <w:rsid w:val="008D7091"/>
    <w:pPr>
      <w:keepNext/>
      <w:widowControl/>
      <w:outlineLvl w:val="1"/>
    </w:pPr>
    <w:rPr>
      <w:b/>
      <w:bCs/>
      <w:sz w:val="26"/>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D7091"/>
    <w:rPr>
      <w:rFonts w:cs="Times New Roman"/>
      <w:b/>
      <w:bCs/>
      <w:sz w:val="24"/>
      <w:szCs w:val="24"/>
      <w:lang w:val="en-US" w:eastAsia="en-US" w:bidi="ar-SA"/>
    </w:rPr>
  </w:style>
  <w:style w:type="paragraph" w:customStyle="1" w:styleId="CharChar1Char">
    <w:name w:val="Char Char1 Char"/>
    <w:basedOn w:val="Normal"/>
    <w:uiPriority w:val="99"/>
    <w:rsid w:val="00C77ACF"/>
    <w:pPr>
      <w:widowControl/>
    </w:pPr>
    <w:rPr>
      <w:sz w:val="24"/>
      <w:szCs w:val="24"/>
      <w:lang w:val="pl-PL" w:eastAsia="pl-PL"/>
    </w:rPr>
  </w:style>
  <w:style w:type="paragraph" w:styleId="BodyText">
    <w:name w:val="Body Text"/>
    <w:basedOn w:val="Normal"/>
    <w:link w:val="BodyTextChar"/>
    <w:uiPriority w:val="99"/>
    <w:rsid w:val="00C77ACF"/>
    <w:pPr>
      <w:jc w:val="both"/>
    </w:pPr>
  </w:style>
  <w:style w:type="character" w:customStyle="1" w:styleId="BodyTextChar">
    <w:name w:val="Body Text Char"/>
    <w:basedOn w:val="DefaultParagraphFont"/>
    <w:link w:val="BodyText"/>
    <w:uiPriority w:val="99"/>
    <w:semiHidden/>
    <w:rsid w:val="00252018"/>
    <w:rPr>
      <w:szCs w:val="20"/>
      <w:lang w:val="en-GB"/>
    </w:rPr>
  </w:style>
  <w:style w:type="paragraph" w:styleId="BodyTextIndent">
    <w:name w:val="Body Text Indent"/>
    <w:basedOn w:val="Normal"/>
    <w:link w:val="BodyTextIndentChar"/>
    <w:uiPriority w:val="99"/>
    <w:rsid w:val="00C77ACF"/>
    <w:pPr>
      <w:spacing w:after="120"/>
      <w:ind w:left="360"/>
    </w:pPr>
  </w:style>
  <w:style w:type="character" w:customStyle="1" w:styleId="BodyTextIndentChar">
    <w:name w:val="Body Text Indent Char"/>
    <w:basedOn w:val="DefaultParagraphFont"/>
    <w:link w:val="BodyTextIndent"/>
    <w:uiPriority w:val="99"/>
    <w:semiHidden/>
    <w:rsid w:val="00252018"/>
    <w:rPr>
      <w:szCs w:val="20"/>
      <w:lang w:val="en-GB"/>
    </w:rPr>
  </w:style>
  <w:style w:type="paragraph" w:customStyle="1" w:styleId="BankNormal">
    <w:name w:val="BankNormal"/>
    <w:basedOn w:val="Normal"/>
    <w:uiPriority w:val="99"/>
    <w:rsid w:val="00C77ACF"/>
    <w:pPr>
      <w:widowControl/>
      <w:autoSpaceDN w:val="0"/>
      <w:spacing w:after="240"/>
    </w:pPr>
    <w:rPr>
      <w:sz w:val="24"/>
      <w:lang w:val="en-US"/>
    </w:rPr>
  </w:style>
  <w:style w:type="table" w:styleId="TableGrid">
    <w:name w:val="Table Grid"/>
    <w:basedOn w:val="TableNormal"/>
    <w:uiPriority w:val="99"/>
    <w:rsid w:val="005E01E8"/>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DB6298"/>
    <w:pPr>
      <w:widowControl/>
    </w:pPr>
    <w:rPr>
      <w:rFonts w:ascii="Arial" w:hAnsi="Arial" w:cs="Arial"/>
      <w:color w:val="000080"/>
      <w:sz w:val="20"/>
      <w:lang w:val="en-US"/>
    </w:rPr>
  </w:style>
  <w:style w:type="character" w:customStyle="1" w:styleId="PlainTextChar">
    <w:name w:val="Plain Text Char"/>
    <w:basedOn w:val="DefaultParagraphFont"/>
    <w:link w:val="PlainText"/>
    <w:uiPriority w:val="99"/>
    <w:locked/>
    <w:rsid w:val="00DB6298"/>
    <w:rPr>
      <w:rFonts w:ascii="Arial" w:hAnsi="Arial" w:cs="Arial"/>
      <w:color w:val="000080"/>
      <w:lang w:eastAsia="en-US"/>
    </w:rPr>
  </w:style>
  <w:style w:type="paragraph" w:styleId="ListParagraph">
    <w:name w:val="List Paragraph"/>
    <w:basedOn w:val="Normal"/>
    <w:uiPriority w:val="99"/>
    <w:qFormat/>
    <w:rsid w:val="008B4000"/>
    <w:pPr>
      <w:widowControl/>
      <w:spacing w:after="200" w:line="276" w:lineRule="auto"/>
      <w:ind w:left="720"/>
      <w:contextualSpacing/>
    </w:pPr>
    <w:rPr>
      <w:rFonts w:ascii="Calibri" w:hAnsi="Calibri" w:cs="Arial"/>
      <w:szCs w:val="22"/>
      <w:lang w:val="en-US"/>
    </w:rPr>
  </w:style>
  <w:style w:type="paragraph" w:styleId="NormalWeb">
    <w:name w:val="Normal (Web)"/>
    <w:basedOn w:val="Normal"/>
    <w:uiPriority w:val="99"/>
    <w:rsid w:val="008D7091"/>
    <w:pPr>
      <w:widowControl/>
      <w:spacing w:before="100" w:beforeAutospacing="1" w:after="100" w:afterAutospacing="1"/>
    </w:pPr>
    <w:rPr>
      <w:rFonts w:ascii="Book Antiqua" w:hAnsi="Book Antiqua"/>
      <w:sz w:val="24"/>
      <w:szCs w:val="24"/>
      <w:lang w:val="en-CA"/>
    </w:rPr>
  </w:style>
  <w:style w:type="paragraph" w:styleId="BalloonText">
    <w:name w:val="Balloon Text"/>
    <w:basedOn w:val="Normal"/>
    <w:link w:val="BalloonTextChar"/>
    <w:uiPriority w:val="99"/>
    <w:rsid w:val="0042730E"/>
    <w:rPr>
      <w:rFonts w:ascii="Tahoma" w:hAnsi="Tahoma" w:cs="Tahoma"/>
      <w:sz w:val="16"/>
      <w:szCs w:val="16"/>
    </w:rPr>
  </w:style>
  <w:style w:type="character" w:customStyle="1" w:styleId="BalloonTextChar">
    <w:name w:val="Balloon Text Char"/>
    <w:basedOn w:val="DefaultParagraphFont"/>
    <w:link w:val="BalloonText"/>
    <w:uiPriority w:val="99"/>
    <w:locked/>
    <w:rsid w:val="0042730E"/>
    <w:rPr>
      <w:rFonts w:ascii="Tahoma" w:hAnsi="Tahoma" w:cs="Tahoma"/>
      <w:snapToGrid w:val="0"/>
      <w:sz w:val="16"/>
      <w:szCs w:val="16"/>
      <w:lang w:val="en-GB"/>
    </w:rPr>
  </w:style>
  <w:style w:type="character" w:styleId="CommentReference">
    <w:name w:val="annotation reference"/>
    <w:basedOn w:val="DefaultParagraphFont"/>
    <w:uiPriority w:val="99"/>
    <w:semiHidden/>
    <w:rsid w:val="0032515D"/>
    <w:rPr>
      <w:rFonts w:cs="Times New Roman"/>
      <w:sz w:val="16"/>
      <w:szCs w:val="16"/>
    </w:rPr>
  </w:style>
  <w:style w:type="paragraph" w:styleId="CommentText">
    <w:name w:val="annotation text"/>
    <w:basedOn w:val="Normal"/>
    <w:link w:val="CommentTextChar"/>
    <w:uiPriority w:val="99"/>
    <w:semiHidden/>
    <w:rsid w:val="0032515D"/>
    <w:rPr>
      <w:sz w:val="20"/>
    </w:rPr>
  </w:style>
  <w:style w:type="character" w:customStyle="1" w:styleId="CommentTextChar">
    <w:name w:val="Comment Text Char"/>
    <w:basedOn w:val="DefaultParagraphFont"/>
    <w:link w:val="CommentText"/>
    <w:uiPriority w:val="99"/>
    <w:semiHidden/>
    <w:rsid w:val="00252018"/>
    <w:rPr>
      <w:sz w:val="20"/>
      <w:szCs w:val="20"/>
      <w:lang w:val="en-GB"/>
    </w:rPr>
  </w:style>
  <w:style w:type="paragraph" w:styleId="CommentSubject">
    <w:name w:val="annotation subject"/>
    <w:basedOn w:val="CommentText"/>
    <w:next w:val="CommentText"/>
    <w:link w:val="CommentSubjectChar"/>
    <w:uiPriority w:val="99"/>
    <w:semiHidden/>
    <w:rsid w:val="0032515D"/>
    <w:rPr>
      <w:b/>
      <w:bCs/>
    </w:rPr>
  </w:style>
  <w:style w:type="character" w:customStyle="1" w:styleId="CommentSubjectChar">
    <w:name w:val="Comment Subject Char"/>
    <w:basedOn w:val="CommentTextChar"/>
    <w:link w:val="CommentSubject"/>
    <w:uiPriority w:val="99"/>
    <w:semiHidden/>
    <w:rsid w:val="00252018"/>
    <w:rPr>
      <w:b/>
      <w:bCs/>
    </w:rPr>
  </w:style>
  <w:style w:type="paragraph" w:styleId="Footer">
    <w:name w:val="footer"/>
    <w:basedOn w:val="Normal"/>
    <w:link w:val="FooterChar"/>
    <w:uiPriority w:val="99"/>
    <w:rsid w:val="008724D2"/>
    <w:pPr>
      <w:tabs>
        <w:tab w:val="center" w:pos="4153"/>
        <w:tab w:val="right" w:pos="8306"/>
      </w:tabs>
    </w:pPr>
  </w:style>
  <w:style w:type="character" w:customStyle="1" w:styleId="FooterChar">
    <w:name w:val="Footer Char"/>
    <w:basedOn w:val="DefaultParagraphFont"/>
    <w:link w:val="Footer"/>
    <w:uiPriority w:val="99"/>
    <w:semiHidden/>
    <w:rsid w:val="00252018"/>
    <w:rPr>
      <w:szCs w:val="20"/>
      <w:lang w:val="en-GB"/>
    </w:rPr>
  </w:style>
  <w:style w:type="character" w:styleId="PageNumber">
    <w:name w:val="page number"/>
    <w:basedOn w:val="DefaultParagraphFont"/>
    <w:uiPriority w:val="99"/>
    <w:rsid w:val="008724D2"/>
    <w:rPr>
      <w:rFonts w:cs="Times New Roman"/>
    </w:rPr>
  </w:style>
</w:styles>
</file>

<file path=word/webSettings.xml><?xml version="1.0" encoding="utf-8"?>
<w:webSettings xmlns:r="http://schemas.openxmlformats.org/officeDocument/2006/relationships" xmlns:w="http://schemas.openxmlformats.org/wordprocessingml/2006/main">
  <w:divs>
    <w:div w:id="62729014">
      <w:marLeft w:val="0"/>
      <w:marRight w:val="0"/>
      <w:marTop w:val="0"/>
      <w:marBottom w:val="0"/>
      <w:divBdr>
        <w:top w:val="none" w:sz="0" w:space="0" w:color="auto"/>
        <w:left w:val="none" w:sz="0" w:space="0" w:color="auto"/>
        <w:bottom w:val="none" w:sz="0" w:space="0" w:color="auto"/>
        <w:right w:val="none" w:sz="0" w:space="0" w:color="auto"/>
      </w:divBdr>
    </w:div>
    <w:div w:id="62729015">
      <w:marLeft w:val="0"/>
      <w:marRight w:val="0"/>
      <w:marTop w:val="0"/>
      <w:marBottom w:val="0"/>
      <w:divBdr>
        <w:top w:val="none" w:sz="0" w:space="0" w:color="auto"/>
        <w:left w:val="none" w:sz="0" w:space="0" w:color="auto"/>
        <w:bottom w:val="none" w:sz="0" w:space="0" w:color="auto"/>
        <w:right w:val="none" w:sz="0" w:space="0" w:color="auto"/>
      </w:divBdr>
    </w:div>
    <w:div w:id="62729017">
      <w:marLeft w:val="0"/>
      <w:marRight w:val="0"/>
      <w:marTop w:val="0"/>
      <w:marBottom w:val="0"/>
      <w:divBdr>
        <w:top w:val="none" w:sz="0" w:space="0" w:color="auto"/>
        <w:left w:val="none" w:sz="0" w:space="0" w:color="auto"/>
        <w:bottom w:val="none" w:sz="0" w:space="0" w:color="auto"/>
        <w:right w:val="none" w:sz="0" w:space="0" w:color="auto"/>
      </w:divBdr>
    </w:div>
    <w:div w:id="62729020">
      <w:marLeft w:val="0"/>
      <w:marRight w:val="0"/>
      <w:marTop w:val="0"/>
      <w:marBottom w:val="0"/>
      <w:divBdr>
        <w:top w:val="none" w:sz="0" w:space="0" w:color="auto"/>
        <w:left w:val="none" w:sz="0" w:space="0" w:color="auto"/>
        <w:bottom w:val="none" w:sz="0" w:space="0" w:color="auto"/>
        <w:right w:val="none" w:sz="0" w:space="0" w:color="auto"/>
      </w:divBdr>
    </w:div>
    <w:div w:id="62729021">
      <w:marLeft w:val="0"/>
      <w:marRight w:val="0"/>
      <w:marTop w:val="0"/>
      <w:marBottom w:val="0"/>
      <w:divBdr>
        <w:top w:val="none" w:sz="0" w:space="0" w:color="auto"/>
        <w:left w:val="none" w:sz="0" w:space="0" w:color="auto"/>
        <w:bottom w:val="none" w:sz="0" w:space="0" w:color="auto"/>
        <w:right w:val="none" w:sz="0" w:space="0" w:color="auto"/>
      </w:divBdr>
    </w:div>
    <w:div w:id="62729022">
      <w:marLeft w:val="0"/>
      <w:marRight w:val="0"/>
      <w:marTop w:val="0"/>
      <w:marBottom w:val="0"/>
      <w:divBdr>
        <w:top w:val="none" w:sz="0" w:space="0" w:color="auto"/>
        <w:left w:val="none" w:sz="0" w:space="0" w:color="auto"/>
        <w:bottom w:val="none" w:sz="0" w:space="0" w:color="auto"/>
        <w:right w:val="none" w:sz="0" w:space="0" w:color="auto"/>
      </w:divBdr>
      <w:divsChild>
        <w:div w:id="62729018">
          <w:marLeft w:val="0"/>
          <w:marRight w:val="0"/>
          <w:marTop w:val="0"/>
          <w:marBottom w:val="0"/>
          <w:divBdr>
            <w:top w:val="none" w:sz="0" w:space="0" w:color="auto"/>
            <w:left w:val="none" w:sz="0" w:space="0" w:color="auto"/>
            <w:bottom w:val="none" w:sz="0" w:space="0" w:color="auto"/>
            <w:right w:val="none" w:sz="0" w:space="0" w:color="auto"/>
          </w:divBdr>
          <w:divsChild>
            <w:div w:id="62729016">
              <w:marLeft w:val="0"/>
              <w:marRight w:val="0"/>
              <w:marTop w:val="0"/>
              <w:marBottom w:val="0"/>
              <w:divBdr>
                <w:top w:val="none" w:sz="0" w:space="0" w:color="auto"/>
                <w:left w:val="none" w:sz="0" w:space="0" w:color="auto"/>
                <w:bottom w:val="none" w:sz="0" w:space="0" w:color="auto"/>
                <w:right w:val="none" w:sz="0" w:space="0" w:color="auto"/>
              </w:divBdr>
            </w:div>
            <w:div w:id="627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9023">
      <w:marLeft w:val="0"/>
      <w:marRight w:val="0"/>
      <w:marTop w:val="0"/>
      <w:marBottom w:val="0"/>
      <w:divBdr>
        <w:top w:val="none" w:sz="0" w:space="0" w:color="auto"/>
        <w:left w:val="none" w:sz="0" w:space="0" w:color="auto"/>
        <w:bottom w:val="none" w:sz="0" w:space="0" w:color="auto"/>
        <w:right w:val="none" w:sz="0" w:space="0" w:color="auto"/>
      </w:divBdr>
    </w:div>
    <w:div w:id="62729024">
      <w:marLeft w:val="0"/>
      <w:marRight w:val="0"/>
      <w:marTop w:val="0"/>
      <w:marBottom w:val="0"/>
      <w:divBdr>
        <w:top w:val="none" w:sz="0" w:space="0" w:color="auto"/>
        <w:left w:val="none" w:sz="0" w:space="0" w:color="auto"/>
        <w:bottom w:val="none" w:sz="0" w:space="0" w:color="auto"/>
        <w:right w:val="none" w:sz="0" w:space="0" w:color="auto"/>
      </w:divBdr>
    </w:div>
    <w:div w:id="62729025">
      <w:marLeft w:val="0"/>
      <w:marRight w:val="0"/>
      <w:marTop w:val="0"/>
      <w:marBottom w:val="0"/>
      <w:divBdr>
        <w:top w:val="none" w:sz="0" w:space="0" w:color="auto"/>
        <w:left w:val="none" w:sz="0" w:space="0" w:color="auto"/>
        <w:bottom w:val="none" w:sz="0" w:space="0" w:color="auto"/>
        <w:right w:val="none" w:sz="0" w:space="0" w:color="auto"/>
      </w:divBdr>
    </w:div>
    <w:div w:id="62729026">
      <w:marLeft w:val="0"/>
      <w:marRight w:val="0"/>
      <w:marTop w:val="0"/>
      <w:marBottom w:val="0"/>
      <w:divBdr>
        <w:top w:val="none" w:sz="0" w:space="0" w:color="auto"/>
        <w:left w:val="none" w:sz="0" w:space="0" w:color="auto"/>
        <w:bottom w:val="none" w:sz="0" w:space="0" w:color="auto"/>
        <w:right w:val="none" w:sz="0" w:space="0" w:color="auto"/>
      </w:divBdr>
    </w:div>
    <w:div w:id="62729027">
      <w:marLeft w:val="0"/>
      <w:marRight w:val="0"/>
      <w:marTop w:val="0"/>
      <w:marBottom w:val="0"/>
      <w:divBdr>
        <w:top w:val="none" w:sz="0" w:space="0" w:color="auto"/>
        <w:left w:val="none" w:sz="0" w:space="0" w:color="auto"/>
        <w:bottom w:val="none" w:sz="0" w:space="0" w:color="auto"/>
        <w:right w:val="none" w:sz="0" w:space="0" w:color="auto"/>
      </w:divBdr>
    </w:div>
    <w:div w:id="62729028">
      <w:marLeft w:val="0"/>
      <w:marRight w:val="0"/>
      <w:marTop w:val="0"/>
      <w:marBottom w:val="0"/>
      <w:divBdr>
        <w:top w:val="none" w:sz="0" w:space="0" w:color="auto"/>
        <w:left w:val="none" w:sz="0" w:space="0" w:color="auto"/>
        <w:bottom w:val="none" w:sz="0" w:space="0" w:color="auto"/>
        <w:right w:val="none" w:sz="0" w:space="0" w:color="auto"/>
      </w:divBdr>
    </w:div>
    <w:div w:id="62729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1199</Words>
  <Characters>6837</Characters>
  <Application>Microsoft Office Outlook</Application>
  <DocSecurity>0</DocSecurity>
  <Lines>0</Lines>
  <Paragraphs>0</Paragraphs>
  <ScaleCrop>false</ScaleCrop>
  <Company>GX270 June 2004 Build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D2-11</dc:title>
  <dc:subject/>
  <dc:creator>UNDP</dc:creator>
  <cp:keywords/>
  <dc:description/>
  <cp:lastModifiedBy>A</cp:lastModifiedBy>
  <cp:revision>2</cp:revision>
  <dcterms:created xsi:type="dcterms:W3CDTF">2011-05-29T12:58:00Z</dcterms:created>
  <dcterms:modified xsi:type="dcterms:W3CDTF">2011-05-29T12:58:00Z</dcterms:modified>
</cp:coreProperties>
</file>