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07" w:rsidRPr="006149DA" w:rsidRDefault="006F2D07" w:rsidP="006F2D07">
      <w:pPr>
        <w:pStyle w:val="BodyText2"/>
        <w:widowControl/>
        <w:autoSpaceDE/>
        <w:autoSpaceDN/>
        <w:adjustRightInd/>
        <w:jc w:val="right"/>
        <w:rPr>
          <w:rFonts w:ascii="Times New Roman" w:hAnsi="Times New Roman"/>
          <w:sz w:val="24"/>
          <w:szCs w:val="24"/>
        </w:rPr>
      </w:pPr>
      <w:r w:rsidRPr="006149DA">
        <w:rPr>
          <w:rFonts w:ascii="Times New Roman" w:hAnsi="Times New Roman"/>
          <w:sz w:val="24"/>
          <w:szCs w:val="24"/>
        </w:rPr>
        <w:t>ANNEX A.4</w:t>
      </w:r>
    </w:p>
    <w:p w:rsidR="006F2D07" w:rsidRPr="009F19D3" w:rsidRDefault="006F2D07" w:rsidP="006F2D07">
      <w:pPr>
        <w:widowControl/>
        <w:spacing w:line="276" w:lineRule="auto"/>
        <w:jc w:val="center"/>
        <w:rPr>
          <w:b/>
          <w:bCs/>
          <w:szCs w:val="24"/>
          <w:u w:val="single"/>
        </w:rPr>
      </w:pPr>
      <w:r w:rsidRPr="009F19D3">
        <w:rPr>
          <w:b/>
          <w:bCs/>
          <w:szCs w:val="24"/>
          <w:u w:val="single"/>
        </w:rPr>
        <w:t>MULTI-DONOR TRUST FUND FOR</w:t>
      </w:r>
    </w:p>
    <w:p w:rsidR="006F2D07" w:rsidRPr="009F19D3" w:rsidRDefault="006F2D07" w:rsidP="006F2D07">
      <w:pPr>
        <w:widowControl/>
        <w:spacing w:line="276" w:lineRule="auto"/>
        <w:jc w:val="center"/>
        <w:rPr>
          <w:b/>
          <w:bCs/>
          <w:szCs w:val="24"/>
          <w:u w:val="single"/>
        </w:rPr>
      </w:pPr>
      <w:r w:rsidRPr="009F19D3">
        <w:rPr>
          <w:b/>
          <w:bCs/>
          <w:szCs w:val="24"/>
          <w:u w:val="single"/>
        </w:rPr>
        <w:t>UN ACTION AGAINST SEXUAL VIOLENCE IN CONFLICT</w:t>
      </w:r>
    </w:p>
    <w:p w:rsidR="006F2D07" w:rsidRDefault="006F2D07" w:rsidP="006F2D07">
      <w:pPr>
        <w:pStyle w:val="Title"/>
        <w:rPr>
          <w:sz w:val="24"/>
          <w:szCs w:val="24"/>
          <w:u w:val="single"/>
        </w:rPr>
      </w:pPr>
      <w:r>
        <w:rPr>
          <w:spacing w:val="-3"/>
          <w:sz w:val="24"/>
          <w:szCs w:val="24"/>
          <w:u w:val="single"/>
        </w:rPr>
        <w:t>FINAL NARRATIVE REPORT</w:t>
      </w:r>
      <w:r w:rsidRPr="00A857B2">
        <w:rPr>
          <w:sz w:val="24"/>
          <w:szCs w:val="24"/>
          <w:u w:val="single"/>
        </w:rPr>
        <w:t xml:space="preserve"> COVER </w:t>
      </w:r>
      <w:smartTag w:uri="urn:schemas-microsoft-com:office:smarttags" w:element="stockticker">
        <w:r w:rsidRPr="00A857B2">
          <w:rPr>
            <w:sz w:val="24"/>
            <w:szCs w:val="24"/>
            <w:u w:val="single"/>
          </w:rPr>
          <w:t>PAGE</w:t>
        </w:r>
      </w:smartTag>
    </w:p>
    <w:p w:rsidR="006F2D07" w:rsidRDefault="006F2D07" w:rsidP="006F2D07">
      <w:pPr>
        <w:rPr>
          <w:lang w:val="en-US"/>
        </w:rPr>
      </w:pPr>
    </w:p>
    <w:p w:rsidR="006F2D07" w:rsidRPr="002605FF" w:rsidRDefault="006F2D07" w:rsidP="006F2D0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4570"/>
      </w:tblGrid>
      <w:tr w:rsidR="006F2D07" w:rsidRPr="00CC2493" w:rsidTr="00116208">
        <w:trPr>
          <w:trHeight w:val="1763"/>
        </w:trPr>
        <w:tc>
          <w:tcPr>
            <w:tcW w:w="5148" w:type="dxa"/>
          </w:tcPr>
          <w:p w:rsidR="006F2D07" w:rsidRPr="00CC2493" w:rsidRDefault="006F2D07" w:rsidP="00116208">
            <w:pPr>
              <w:rPr>
                <w:b/>
                <w:lang w:val="en-US"/>
              </w:rPr>
            </w:pPr>
            <w:r w:rsidRPr="004C0C50">
              <w:rPr>
                <w:b/>
                <w:lang w:val="en-US"/>
              </w:rPr>
              <w:t>Participating UN Organization(s):</w:t>
            </w:r>
          </w:p>
          <w:p w:rsidR="006F2D07" w:rsidRPr="00CC2493" w:rsidRDefault="006F2D07" w:rsidP="00116208">
            <w:pPr>
              <w:rPr>
                <w:lang w:val="en-US"/>
              </w:rPr>
            </w:pPr>
            <w:r>
              <w:rPr>
                <w:lang w:val="en-US"/>
              </w:rPr>
              <w:t>UNICEF (lead) and OCHA</w:t>
            </w:r>
          </w:p>
          <w:p w:rsidR="006F2D07" w:rsidRPr="00CC2493" w:rsidRDefault="006F2D07" w:rsidP="00116208">
            <w:pPr>
              <w:rPr>
                <w:lang w:val="en-US"/>
              </w:rPr>
            </w:pPr>
          </w:p>
        </w:tc>
        <w:tc>
          <w:tcPr>
            <w:tcW w:w="5148" w:type="dxa"/>
          </w:tcPr>
          <w:p w:rsidR="006F2D07" w:rsidRPr="00876ECD" w:rsidRDefault="006F2D07" w:rsidP="00116208">
            <w:pPr>
              <w:rPr>
                <w:i/>
                <w:szCs w:val="24"/>
              </w:rPr>
            </w:pPr>
            <w:r w:rsidRPr="00CC2493">
              <w:rPr>
                <w:b/>
                <w:lang w:val="en-US"/>
              </w:rPr>
              <w:t>Pro</w:t>
            </w:r>
            <w:r>
              <w:rPr>
                <w:b/>
                <w:lang w:val="en-US"/>
              </w:rPr>
              <w:t>ject</w:t>
            </w:r>
            <w:r w:rsidRPr="00CC2493">
              <w:rPr>
                <w:rStyle w:val="FootnoteReference"/>
                <w:b/>
                <w:lang w:val="en-US"/>
              </w:rPr>
              <w:footnoteReference w:id="1"/>
            </w:r>
            <w:r w:rsidRPr="00CC2493">
              <w:rPr>
                <w:b/>
                <w:lang w:val="en-US"/>
              </w:rPr>
              <w:t xml:space="preserve"> Title:</w:t>
            </w:r>
            <w:r w:rsidRPr="00876ECD">
              <w:rPr>
                <w:szCs w:val="24"/>
              </w:rPr>
              <w:t xml:space="preserve"> </w:t>
            </w:r>
            <w:r>
              <w:rPr>
                <w:szCs w:val="24"/>
              </w:rPr>
              <w:t>Strengthening prevention of sexual violence in conflict with parties to armed conflict</w:t>
            </w:r>
          </w:p>
          <w:p w:rsidR="006F2D07" w:rsidRPr="00CC2493" w:rsidRDefault="006F2D07" w:rsidP="00116208">
            <w:pPr>
              <w:rPr>
                <w:b/>
                <w:lang w:val="en-US"/>
              </w:rPr>
            </w:pPr>
          </w:p>
        </w:tc>
      </w:tr>
      <w:tr w:rsidR="006F2D07" w:rsidRPr="00CC2493" w:rsidTr="00116208">
        <w:trPr>
          <w:trHeight w:val="825"/>
        </w:trPr>
        <w:tc>
          <w:tcPr>
            <w:tcW w:w="5148" w:type="dxa"/>
            <w:vMerge w:val="restart"/>
          </w:tcPr>
          <w:p w:rsidR="006F2D07" w:rsidRPr="00CC2493" w:rsidRDefault="006F2D07" w:rsidP="00116208">
            <w:pPr>
              <w:rPr>
                <w:b/>
                <w:i/>
                <w:lang w:val="en-US"/>
              </w:rPr>
            </w:pPr>
            <w:r w:rsidRPr="00CC2493">
              <w:rPr>
                <w:b/>
                <w:lang w:val="en-US"/>
              </w:rPr>
              <w:t>Focal Point of Participating UN Organization</w:t>
            </w:r>
            <w:r>
              <w:rPr>
                <w:b/>
                <w:lang w:val="en-US"/>
              </w:rPr>
              <w:t xml:space="preserve"> receiving funds</w:t>
            </w:r>
            <w:r w:rsidRPr="00CC2493">
              <w:rPr>
                <w:b/>
                <w:lang w:val="en-US"/>
              </w:rPr>
              <w:t>:</w:t>
            </w:r>
          </w:p>
          <w:p w:rsidR="006F2D07" w:rsidRDefault="006F2D07" w:rsidP="00116208">
            <w:pPr>
              <w:rPr>
                <w:szCs w:val="24"/>
              </w:rPr>
            </w:pPr>
            <w:r w:rsidRPr="009442D8">
              <w:rPr>
                <w:szCs w:val="24"/>
              </w:rPr>
              <w:t>Name:</w:t>
            </w:r>
            <w:r>
              <w:rPr>
                <w:szCs w:val="24"/>
              </w:rPr>
              <w:t xml:space="preserve"> Mendy Marsh, UNICEF  </w:t>
            </w:r>
          </w:p>
          <w:p w:rsidR="006F2D07" w:rsidRPr="002B7904" w:rsidRDefault="006F2D07" w:rsidP="00116208">
            <w:pPr>
              <w:widowControl/>
              <w:autoSpaceDE w:val="0"/>
              <w:autoSpaceDN w:val="0"/>
              <w:adjustRightInd w:val="0"/>
              <w:rPr>
                <w:color w:val="000000"/>
                <w:szCs w:val="24"/>
                <w:lang w:val="en-US"/>
              </w:rPr>
            </w:pPr>
            <w:r w:rsidRPr="009442D8">
              <w:rPr>
                <w:szCs w:val="24"/>
              </w:rPr>
              <w:t>Telephone:</w:t>
            </w:r>
            <w:r>
              <w:rPr>
                <w:szCs w:val="24"/>
              </w:rPr>
              <w:t xml:space="preserve"> Marsh  </w:t>
            </w:r>
            <w:r w:rsidRPr="002B7904">
              <w:rPr>
                <w:color w:val="000000"/>
                <w:szCs w:val="24"/>
                <w:lang w:val="en-US"/>
              </w:rPr>
              <w:t>212 824 6313</w:t>
            </w:r>
          </w:p>
          <w:p w:rsidR="006F2D07" w:rsidRDefault="006F2D07" w:rsidP="00116208">
            <w:r w:rsidRPr="009442D8">
              <w:rPr>
                <w:szCs w:val="24"/>
              </w:rPr>
              <w:t>Email:</w:t>
            </w:r>
            <w:r>
              <w:rPr>
                <w:szCs w:val="24"/>
              </w:rPr>
              <w:t xml:space="preserve"> </w:t>
            </w:r>
            <w:hyperlink r:id="rId7" w:history="1">
              <w:r w:rsidRPr="00B05B73">
                <w:rPr>
                  <w:rStyle w:val="Hyperlink"/>
                  <w:szCs w:val="24"/>
                </w:rPr>
                <w:t>mmarsh@unicef.org</w:t>
              </w:r>
            </w:hyperlink>
          </w:p>
          <w:p w:rsidR="006F2D07" w:rsidRPr="00CC2493" w:rsidRDefault="006F2D07" w:rsidP="00116208">
            <w:pPr>
              <w:rPr>
                <w:i/>
                <w:color w:val="FF0000"/>
                <w:lang w:val="en-US"/>
              </w:rPr>
            </w:pPr>
          </w:p>
        </w:tc>
        <w:tc>
          <w:tcPr>
            <w:tcW w:w="5148" w:type="dxa"/>
          </w:tcPr>
          <w:p w:rsidR="006F2D07" w:rsidRPr="00CC2493" w:rsidRDefault="006F2D07" w:rsidP="00116208">
            <w:pPr>
              <w:rPr>
                <w:b/>
                <w:lang w:val="en-US"/>
              </w:rPr>
            </w:pPr>
            <w:r>
              <w:rPr>
                <w:b/>
                <w:lang w:val="en-US"/>
              </w:rPr>
              <w:t xml:space="preserve"> </w:t>
            </w:r>
            <w:r w:rsidRPr="001814E8">
              <w:rPr>
                <w:b/>
                <w:lang w:val="en-US"/>
              </w:rPr>
              <w:t>Report Number:</w:t>
            </w:r>
          </w:p>
        </w:tc>
      </w:tr>
      <w:tr w:rsidR="006F2D07" w:rsidRPr="00CC2493" w:rsidTr="00116208">
        <w:trPr>
          <w:trHeight w:val="825"/>
        </w:trPr>
        <w:tc>
          <w:tcPr>
            <w:tcW w:w="5148" w:type="dxa"/>
            <w:vMerge/>
          </w:tcPr>
          <w:p w:rsidR="006F2D07" w:rsidRPr="00CC2493" w:rsidRDefault="006F2D07" w:rsidP="00116208">
            <w:pPr>
              <w:rPr>
                <w:b/>
                <w:lang w:val="en-US"/>
              </w:rPr>
            </w:pPr>
          </w:p>
        </w:tc>
        <w:tc>
          <w:tcPr>
            <w:tcW w:w="5148" w:type="dxa"/>
          </w:tcPr>
          <w:p w:rsidR="006F2D07" w:rsidRPr="00430FEF" w:rsidRDefault="006F2D07" w:rsidP="00116208">
            <w:pPr>
              <w:rPr>
                <w:b/>
                <w:lang w:val="en-US"/>
              </w:rPr>
            </w:pPr>
            <w:r w:rsidRPr="00430FEF">
              <w:rPr>
                <w:b/>
                <w:lang w:val="en-US"/>
              </w:rPr>
              <w:t xml:space="preserve">Project Location(s): </w:t>
            </w:r>
            <w:r>
              <w:rPr>
                <w:b/>
                <w:szCs w:val="24"/>
              </w:rPr>
              <w:t xml:space="preserve">UNICEF </w:t>
            </w:r>
            <w:r w:rsidRPr="009D59E8">
              <w:rPr>
                <w:szCs w:val="24"/>
              </w:rPr>
              <w:t xml:space="preserve">Headquarters (New York) </w:t>
            </w:r>
            <w:r>
              <w:rPr>
                <w:szCs w:val="24"/>
              </w:rPr>
              <w:t>and DRC</w:t>
            </w:r>
          </w:p>
        </w:tc>
      </w:tr>
      <w:tr w:rsidR="006F2D07" w:rsidRPr="00CC2493" w:rsidTr="00116208">
        <w:tc>
          <w:tcPr>
            <w:tcW w:w="5148" w:type="dxa"/>
          </w:tcPr>
          <w:p w:rsidR="006F2D07" w:rsidRDefault="006F2D07" w:rsidP="00116208">
            <w:pPr>
              <w:rPr>
                <w:szCs w:val="24"/>
              </w:rPr>
            </w:pPr>
            <w:r>
              <w:rPr>
                <w:b/>
                <w:szCs w:val="24"/>
              </w:rPr>
              <w:t>UN Action pillar of a</w:t>
            </w:r>
            <w:r w:rsidRPr="00BA419B">
              <w:rPr>
                <w:b/>
                <w:szCs w:val="24"/>
              </w:rPr>
              <w:t>ctivity</w:t>
            </w:r>
            <w:r>
              <w:rPr>
                <w:szCs w:val="24"/>
              </w:rPr>
              <w:t>:</w:t>
            </w:r>
          </w:p>
          <w:p w:rsidR="006F2D07" w:rsidRPr="00A857B2" w:rsidRDefault="00CB471D" w:rsidP="00116208">
            <w:pPr>
              <w:tabs>
                <w:tab w:val="left" w:pos="-720"/>
              </w:tabs>
              <w:suppressAutoHyphens/>
              <w:ind w:left="252"/>
              <w:rPr>
                <w:spacing w:val="-3"/>
                <w:szCs w:val="24"/>
              </w:rPr>
            </w:pPr>
            <w:r w:rsidRPr="00A857B2">
              <w:rPr>
                <w:szCs w:val="24"/>
              </w:rPr>
              <w:fldChar w:fldCharType="begin">
                <w:ffData>
                  <w:name w:val="Check1"/>
                  <w:enabled/>
                  <w:calcOnExit w:val="0"/>
                  <w:checkBox>
                    <w:sizeAuto/>
                    <w:default w:val="0"/>
                  </w:checkBox>
                </w:ffData>
              </w:fldChar>
            </w:r>
            <w:r w:rsidR="006F2D07" w:rsidRPr="00A857B2">
              <w:rPr>
                <w:szCs w:val="24"/>
              </w:rPr>
              <w:instrText xml:space="preserve"> FORMCHECKBOX </w:instrText>
            </w:r>
            <w:r w:rsidRPr="00A857B2">
              <w:rPr>
                <w:szCs w:val="24"/>
              </w:rPr>
            </w:r>
            <w:r w:rsidRPr="00A857B2">
              <w:rPr>
                <w:szCs w:val="24"/>
              </w:rPr>
              <w:fldChar w:fldCharType="end"/>
            </w:r>
            <w:r w:rsidR="006F2D07" w:rsidRPr="00A857B2">
              <w:rPr>
                <w:szCs w:val="24"/>
              </w:rPr>
              <w:tab/>
            </w:r>
            <w:r w:rsidR="006F2D07">
              <w:rPr>
                <w:spacing w:val="-3"/>
                <w:szCs w:val="24"/>
              </w:rPr>
              <w:t>Advocacy</w:t>
            </w:r>
          </w:p>
          <w:bookmarkStart w:id="0" w:name="Check1"/>
          <w:p w:rsidR="006F2D07" w:rsidRPr="00A857B2" w:rsidRDefault="00CB471D" w:rsidP="00116208">
            <w:pPr>
              <w:tabs>
                <w:tab w:val="left" w:pos="-720"/>
              </w:tabs>
              <w:suppressAutoHyphens/>
              <w:ind w:left="252"/>
              <w:rPr>
                <w:szCs w:val="24"/>
              </w:rPr>
            </w:pPr>
            <w:r>
              <w:rPr>
                <w:szCs w:val="24"/>
              </w:rPr>
              <w:fldChar w:fldCharType="begin">
                <w:ffData>
                  <w:name w:val="Check1"/>
                  <w:enabled/>
                  <w:calcOnExit w:val="0"/>
                  <w:checkBox>
                    <w:sizeAuto/>
                    <w:default w:val="1"/>
                  </w:checkBox>
                </w:ffData>
              </w:fldChar>
            </w:r>
            <w:r w:rsidR="006F2D07">
              <w:rPr>
                <w:szCs w:val="24"/>
              </w:rPr>
              <w:instrText xml:space="preserve"> FORMCHECKBOX </w:instrText>
            </w:r>
            <w:r>
              <w:rPr>
                <w:szCs w:val="24"/>
              </w:rPr>
            </w:r>
            <w:r>
              <w:rPr>
                <w:szCs w:val="24"/>
              </w:rPr>
              <w:fldChar w:fldCharType="end"/>
            </w:r>
            <w:bookmarkEnd w:id="0"/>
            <w:r w:rsidR="006F2D07" w:rsidRPr="00A857B2">
              <w:rPr>
                <w:szCs w:val="24"/>
              </w:rPr>
              <w:tab/>
            </w:r>
            <w:r w:rsidR="006F2D07">
              <w:rPr>
                <w:szCs w:val="24"/>
              </w:rPr>
              <w:t>Knowledge building</w:t>
            </w:r>
          </w:p>
          <w:p w:rsidR="006F2D07" w:rsidRPr="00BA419B" w:rsidRDefault="00CB471D" w:rsidP="00116208">
            <w:pPr>
              <w:tabs>
                <w:tab w:val="left" w:pos="-720"/>
              </w:tabs>
              <w:suppressAutoHyphens/>
              <w:ind w:left="252"/>
              <w:rPr>
                <w:szCs w:val="24"/>
              </w:rPr>
            </w:pPr>
            <w:r w:rsidRPr="00A857B2">
              <w:rPr>
                <w:szCs w:val="24"/>
              </w:rPr>
              <w:fldChar w:fldCharType="begin">
                <w:ffData>
                  <w:name w:val="Check1"/>
                  <w:enabled/>
                  <w:calcOnExit w:val="0"/>
                  <w:checkBox>
                    <w:sizeAuto/>
                    <w:default w:val="0"/>
                  </w:checkBox>
                </w:ffData>
              </w:fldChar>
            </w:r>
            <w:r w:rsidR="006F2D07" w:rsidRPr="00A857B2">
              <w:rPr>
                <w:szCs w:val="24"/>
              </w:rPr>
              <w:instrText xml:space="preserve"> FORMCHECKBOX </w:instrText>
            </w:r>
            <w:r w:rsidRPr="00A857B2">
              <w:rPr>
                <w:szCs w:val="24"/>
              </w:rPr>
            </w:r>
            <w:r w:rsidRPr="00A857B2">
              <w:rPr>
                <w:szCs w:val="24"/>
              </w:rPr>
              <w:fldChar w:fldCharType="end"/>
            </w:r>
            <w:r w:rsidR="006F2D07">
              <w:rPr>
                <w:szCs w:val="24"/>
              </w:rPr>
              <w:tab/>
              <w:t>Support to UN system at country level</w:t>
            </w:r>
          </w:p>
          <w:p w:rsidR="006F2D07" w:rsidRPr="00CC2493" w:rsidRDefault="006F2D07" w:rsidP="00116208">
            <w:pPr>
              <w:rPr>
                <w:i/>
                <w:color w:val="FF0000"/>
                <w:lang w:val="en-US"/>
              </w:rPr>
            </w:pPr>
          </w:p>
        </w:tc>
        <w:tc>
          <w:tcPr>
            <w:tcW w:w="5148" w:type="dxa"/>
          </w:tcPr>
          <w:p w:rsidR="006F2D07" w:rsidRPr="00762CEB" w:rsidRDefault="006F2D07" w:rsidP="00116208">
            <w:pPr>
              <w:rPr>
                <w:lang w:val="en-US"/>
              </w:rPr>
            </w:pPr>
            <w:r w:rsidRPr="00CC2493">
              <w:rPr>
                <w:b/>
                <w:lang w:val="en-US"/>
              </w:rPr>
              <w:t>Reporting Period:</w:t>
            </w:r>
            <w:r>
              <w:rPr>
                <w:b/>
                <w:lang w:val="en-US"/>
              </w:rPr>
              <w:t xml:space="preserve"> </w:t>
            </w:r>
            <w:r w:rsidR="00F32C2B">
              <w:rPr>
                <w:lang w:val="en-US"/>
              </w:rPr>
              <w:t>December 1, 2010 to August 2011.</w:t>
            </w:r>
          </w:p>
          <w:p w:rsidR="006F2D07" w:rsidRPr="00CC2493" w:rsidRDefault="006F2D07" w:rsidP="00116208">
            <w:pPr>
              <w:rPr>
                <w:b/>
                <w:lang w:val="en-US"/>
              </w:rPr>
            </w:pPr>
          </w:p>
          <w:p w:rsidR="006F2D07" w:rsidRPr="00CC2493" w:rsidRDefault="006F2D07" w:rsidP="00116208">
            <w:pPr>
              <w:rPr>
                <w:b/>
                <w:lang w:val="en-US"/>
              </w:rPr>
            </w:pPr>
          </w:p>
        </w:tc>
      </w:tr>
      <w:tr w:rsidR="006F2D07" w:rsidRPr="00CC2493" w:rsidTr="00116208">
        <w:tc>
          <w:tcPr>
            <w:tcW w:w="10296" w:type="dxa"/>
            <w:gridSpan w:val="2"/>
          </w:tcPr>
          <w:p w:rsidR="006F2D07" w:rsidRPr="004E3B3A" w:rsidRDefault="006F2D07" w:rsidP="00116208">
            <w:pPr>
              <w:rPr>
                <w:bCs/>
                <w:szCs w:val="24"/>
              </w:rPr>
            </w:pPr>
            <w:r>
              <w:rPr>
                <w:b/>
                <w:lang w:val="en-US"/>
              </w:rPr>
              <w:t>Project</w:t>
            </w:r>
            <w:r w:rsidRPr="00CC2493">
              <w:rPr>
                <w:b/>
                <w:lang w:val="en-US"/>
              </w:rPr>
              <w:t xml:space="preserve"> Budget:</w:t>
            </w:r>
            <w:r>
              <w:rPr>
                <w:b/>
                <w:lang w:val="en-US"/>
              </w:rPr>
              <w:t xml:space="preserve"> </w:t>
            </w:r>
            <w:r>
              <w:rPr>
                <w:bCs/>
                <w:szCs w:val="24"/>
              </w:rPr>
              <w:t>US $ _</w:t>
            </w:r>
            <w:r>
              <w:rPr>
                <w:color w:val="000000"/>
              </w:rPr>
              <w:t>79,324</w:t>
            </w:r>
          </w:p>
          <w:p w:rsidR="006F2D07" w:rsidRPr="00CC2493" w:rsidRDefault="006F2D07" w:rsidP="00116208">
            <w:pPr>
              <w:rPr>
                <w:b/>
                <w:lang w:val="en-US"/>
              </w:rPr>
            </w:pPr>
          </w:p>
        </w:tc>
      </w:tr>
    </w:tbl>
    <w:p w:rsidR="006F2D07" w:rsidRDefault="006F2D07" w:rsidP="006F2D07">
      <w:pPr>
        <w:ind w:hanging="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4643"/>
      </w:tblGrid>
      <w:tr w:rsidR="006F2D07" w:rsidRPr="00CC2493" w:rsidTr="00116208">
        <w:tc>
          <w:tcPr>
            <w:tcW w:w="5148" w:type="dxa"/>
          </w:tcPr>
          <w:p w:rsidR="006F2D07" w:rsidRPr="00CC2493" w:rsidRDefault="006F2D07" w:rsidP="00116208">
            <w:pPr>
              <w:rPr>
                <w:b/>
                <w:lang w:val="en-US"/>
              </w:rPr>
            </w:pPr>
            <w:r w:rsidRPr="00CC2493">
              <w:rPr>
                <w:b/>
                <w:lang w:val="en-US"/>
              </w:rPr>
              <w:t>List Implementing Partners:</w:t>
            </w:r>
          </w:p>
          <w:p w:rsidR="00285318" w:rsidRDefault="006F2D07" w:rsidP="00285318">
            <w:pPr>
              <w:pStyle w:val="BodyText"/>
              <w:widowControl/>
              <w:numPr>
                <w:ilvl w:val="0"/>
                <w:numId w:val="2"/>
              </w:numPr>
              <w:tabs>
                <w:tab w:val="clear" w:pos="360"/>
              </w:tabs>
              <w:rPr>
                <w:lang w:val="en-US"/>
              </w:rPr>
            </w:pPr>
            <w:r>
              <w:rPr>
                <w:lang w:val="en-US"/>
              </w:rPr>
              <w:t xml:space="preserve">All UN Action agencies participated in this project as well as the OSRSG </w:t>
            </w:r>
            <w:r w:rsidR="00285318">
              <w:rPr>
                <w:lang w:val="en-US"/>
              </w:rPr>
              <w:t>for Sexual Violence in Conflict.</w:t>
            </w:r>
          </w:p>
          <w:p w:rsidR="00285318" w:rsidRPr="00285318" w:rsidRDefault="006F2D07" w:rsidP="00285318">
            <w:pPr>
              <w:pStyle w:val="BodyText"/>
              <w:widowControl/>
              <w:numPr>
                <w:ilvl w:val="0"/>
                <w:numId w:val="2"/>
              </w:numPr>
              <w:tabs>
                <w:tab w:val="clear" w:pos="360"/>
              </w:tabs>
              <w:rPr>
                <w:lang w:val="en-US"/>
              </w:rPr>
            </w:pPr>
            <w:r w:rsidRPr="00285318">
              <w:rPr>
                <w:lang w:val="en-US"/>
              </w:rPr>
              <w:t xml:space="preserve">A number of international NGOs participated in this project including: </w:t>
            </w:r>
            <w:r w:rsidR="00285318" w:rsidRPr="00C02FF4">
              <w:t>Centre for Humanitarian Dialogue (CDH), Geneva Call, Centre for the Democratic Control of Armed Forces (DCAF), Harvard Humanitarian Initiative (HHI), Yale University, UNICEF, International Rescue Committee, WHO, International Committee of the Red Cross (ICRC), the World Bank, OCHA, International Center for Research on Women (ICRW), and the Sonke Gender Justice Network.</w:t>
            </w:r>
          </w:p>
          <w:p w:rsidR="006F2D07" w:rsidRPr="00285318" w:rsidRDefault="006F2D07" w:rsidP="00116208">
            <w:pPr>
              <w:pStyle w:val="BodyText"/>
              <w:widowControl/>
              <w:numPr>
                <w:ilvl w:val="0"/>
                <w:numId w:val="2"/>
              </w:numPr>
              <w:tabs>
                <w:tab w:val="clear" w:pos="360"/>
              </w:tabs>
              <w:rPr>
                <w:b/>
                <w:lang w:val="en-US"/>
              </w:rPr>
            </w:pPr>
            <w:r w:rsidRPr="00285318">
              <w:rPr>
                <w:rStyle w:val="Strong"/>
                <w:b w:val="0"/>
                <w:color w:val="000000"/>
              </w:rPr>
              <w:t>A number of independent consultants were consulted as well</w:t>
            </w:r>
            <w:r w:rsidRPr="00285318">
              <w:rPr>
                <w:b/>
                <w:lang w:val="en-US"/>
              </w:rPr>
              <w:t>.</w:t>
            </w:r>
          </w:p>
          <w:p w:rsidR="006F2D07" w:rsidRPr="00CC2493" w:rsidRDefault="006F2D07" w:rsidP="00116208">
            <w:pPr>
              <w:pStyle w:val="BodyText"/>
              <w:widowControl/>
              <w:ind w:left="360"/>
              <w:jc w:val="left"/>
              <w:rPr>
                <w:lang w:val="en-US"/>
              </w:rPr>
            </w:pPr>
          </w:p>
        </w:tc>
        <w:tc>
          <w:tcPr>
            <w:tcW w:w="5148" w:type="dxa"/>
          </w:tcPr>
          <w:p w:rsidR="006F2D07" w:rsidRPr="00CC2493" w:rsidRDefault="006F2D07" w:rsidP="00116208">
            <w:pPr>
              <w:rPr>
                <w:b/>
                <w:lang w:val="en-US"/>
              </w:rPr>
            </w:pPr>
            <w:r w:rsidRPr="00CC2493">
              <w:rPr>
                <w:b/>
                <w:lang w:val="en-US"/>
              </w:rPr>
              <w:t>Pro</w:t>
            </w:r>
            <w:r>
              <w:rPr>
                <w:b/>
                <w:lang w:val="en-US"/>
              </w:rPr>
              <w:t>ject</w:t>
            </w:r>
            <w:r w:rsidRPr="00CC2493">
              <w:rPr>
                <w:b/>
                <w:lang w:val="en-US"/>
              </w:rPr>
              <w:t xml:space="preserve"> Coverage/Scope:</w:t>
            </w:r>
          </w:p>
          <w:p w:rsidR="006F2D07" w:rsidRDefault="006F2D07" w:rsidP="00116208">
            <w:pPr>
              <w:pStyle w:val="BodyText"/>
              <w:jc w:val="left"/>
              <w:rPr>
                <w:b/>
                <w:lang w:val="en-US"/>
              </w:rPr>
            </w:pPr>
            <w:r>
              <w:rPr>
                <w:lang w:val="en-US"/>
              </w:rPr>
              <w:t>Project was carried out from the headquarters level with engagement with interagency headquarters focal points a</w:t>
            </w:r>
            <w:r w:rsidR="00285318">
              <w:rPr>
                <w:lang w:val="en-US"/>
              </w:rPr>
              <w:t>nd interviews with field actors.</w:t>
            </w:r>
          </w:p>
          <w:p w:rsidR="006F2D07" w:rsidRDefault="006F2D07" w:rsidP="00116208">
            <w:pPr>
              <w:rPr>
                <w:b/>
                <w:lang w:val="en-US"/>
              </w:rPr>
            </w:pPr>
          </w:p>
          <w:p w:rsidR="006F2D07" w:rsidRDefault="006F2D07" w:rsidP="00116208">
            <w:pPr>
              <w:rPr>
                <w:b/>
                <w:lang w:val="en-US"/>
              </w:rPr>
            </w:pPr>
          </w:p>
          <w:p w:rsidR="006F2D07" w:rsidRDefault="006F2D07" w:rsidP="00116208">
            <w:pPr>
              <w:rPr>
                <w:b/>
                <w:lang w:val="en-US"/>
              </w:rPr>
            </w:pPr>
          </w:p>
          <w:p w:rsidR="006F2D07" w:rsidRDefault="006F2D07" w:rsidP="00116208">
            <w:pPr>
              <w:rPr>
                <w:b/>
                <w:lang w:val="en-US"/>
              </w:rPr>
            </w:pPr>
          </w:p>
          <w:p w:rsidR="006F2D07" w:rsidRPr="00CC2493" w:rsidRDefault="006F2D07" w:rsidP="00116208">
            <w:pPr>
              <w:rPr>
                <w:b/>
                <w:lang w:val="en-US"/>
              </w:rPr>
            </w:pPr>
          </w:p>
        </w:tc>
      </w:tr>
    </w:tbl>
    <w:p w:rsidR="006F2D07" w:rsidRDefault="006F2D07" w:rsidP="006F2D07">
      <w:pPr>
        <w:ind w:hanging="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F2D07" w:rsidRPr="00CC2493" w:rsidTr="00116208">
        <w:tc>
          <w:tcPr>
            <w:tcW w:w="10296" w:type="dxa"/>
          </w:tcPr>
          <w:p w:rsidR="006F2D07" w:rsidRPr="00CC2493" w:rsidRDefault="006F2D07" w:rsidP="00116208">
            <w:pPr>
              <w:rPr>
                <w:b/>
                <w:lang w:val="en-US"/>
              </w:rPr>
            </w:pPr>
            <w:r w:rsidRPr="00CC2493">
              <w:rPr>
                <w:b/>
                <w:lang w:val="en-US"/>
              </w:rPr>
              <w:lastRenderedPageBreak/>
              <w:t>Pro</w:t>
            </w:r>
            <w:r>
              <w:rPr>
                <w:b/>
                <w:lang w:val="en-US"/>
              </w:rPr>
              <w:t>ject</w:t>
            </w:r>
            <w:r w:rsidRPr="00CC2493">
              <w:rPr>
                <w:b/>
                <w:lang w:val="en-US"/>
              </w:rPr>
              <w:t xml:space="preserve"> Duration/Closed Pro</w:t>
            </w:r>
            <w:r>
              <w:rPr>
                <w:b/>
                <w:lang w:val="en-US"/>
              </w:rPr>
              <w:t>ject</w:t>
            </w:r>
            <w:r w:rsidRPr="00CC2493">
              <w:rPr>
                <w:b/>
                <w:lang w:val="en-US"/>
              </w:rPr>
              <w:t>:</w:t>
            </w:r>
          </w:p>
          <w:p w:rsidR="006F2D07" w:rsidRPr="009442D8" w:rsidRDefault="006F2D07" w:rsidP="00116208">
            <w:pPr>
              <w:pStyle w:val="BodyText"/>
              <w:widowControl/>
              <w:numPr>
                <w:ilvl w:val="0"/>
                <w:numId w:val="1"/>
              </w:numPr>
              <w:tabs>
                <w:tab w:val="clear" w:pos="720"/>
              </w:tabs>
              <w:spacing w:before="60" w:after="60"/>
              <w:ind w:left="432"/>
              <w:jc w:val="left"/>
              <w:rPr>
                <w:lang w:val="en-US"/>
              </w:rPr>
            </w:pPr>
            <w:r>
              <w:rPr>
                <w:lang w:val="en-US"/>
              </w:rPr>
              <w:t xml:space="preserve">The project was approved on December 1 2009 and extended to </w:t>
            </w:r>
            <w:r w:rsidR="00F32C2B">
              <w:rPr>
                <w:lang w:val="en-US"/>
              </w:rPr>
              <w:t>August 2011.</w:t>
            </w:r>
            <w:r>
              <w:rPr>
                <w:lang w:val="en-US"/>
              </w:rPr>
              <w:t xml:space="preserve">  The original project period was for </w:t>
            </w:r>
            <w:r w:rsidR="00093274">
              <w:rPr>
                <w:lang w:val="en-US"/>
              </w:rPr>
              <w:t>six</w:t>
            </w:r>
            <w:r>
              <w:rPr>
                <w:lang w:val="en-US"/>
              </w:rPr>
              <w:t xml:space="preserve"> months, but this was extended for an additional six months.  No budget revisions were made.</w:t>
            </w:r>
          </w:p>
          <w:p w:rsidR="006F2D07" w:rsidRDefault="006F2D07" w:rsidP="00116208">
            <w:pPr>
              <w:numPr>
                <w:ilvl w:val="0"/>
                <w:numId w:val="1"/>
              </w:numPr>
              <w:tabs>
                <w:tab w:val="clear" w:pos="720"/>
                <w:tab w:val="num" w:pos="360"/>
              </w:tabs>
              <w:ind w:left="432"/>
              <w:rPr>
                <w:lang w:val="en-US"/>
              </w:rPr>
            </w:pPr>
            <w:r>
              <w:rPr>
                <w:lang w:val="en-US"/>
              </w:rPr>
              <w:t>The project was closed as expected at the end of the project period.</w:t>
            </w:r>
          </w:p>
          <w:p w:rsidR="006F2D07" w:rsidRPr="00CC2493" w:rsidRDefault="006F2D07" w:rsidP="00116208">
            <w:pPr>
              <w:rPr>
                <w:lang w:val="en-US"/>
              </w:rPr>
            </w:pPr>
          </w:p>
        </w:tc>
      </w:tr>
    </w:tbl>
    <w:p w:rsidR="006F2D07" w:rsidRDefault="006F2D07" w:rsidP="00B73173">
      <w:pPr>
        <w:pStyle w:val="Heading1"/>
        <w:keepLines w:val="0"/>
        <w:widowControl/>
        <w:numPr>
          <w:ilvl w:val="0"/>
          <w:numId w:val="3"/>
        </w:numPr>
        <w:tabs>
          <w:tab w:val="left" w:pos="360"/>
        </w:tabs>
        <w:spacing w:before="240" w:after="120"/>
        <w:ind w:hanging="1080"/>
        <w:jc w:val="both"/>
        <w:rPr>
          <w:rFonts w:ascii="Times New Roman" w:hAnsi="Times New Roman" w:cs="Times New Roman"/>
          <w:sz w:val="24"/>
          <w:szCs w:val="24"/>
          <w:lang w:val="en-US"/>
        </w:rPr>
      </w:pPr>
      <w:r w:rsidRPr="007E6496">
        <w:rPr>
          <w:rFonts w:ascii="Times New Roman" w:hAnsi="Times New Roman" w:cs="Times New Roman"/>
          <w:sz w:val="24"/>
          <w:szCs w:val="24"/>
          <w:lang w:val="en-US"/>
        </w:rPr>
        <w:t>Purpose</w:t>
      </w:r>
    </w:p>
    <w:p w:rsidR="003C3D91" w:rsidRDefault="003C3D91" w:rsidP="00B73173">
      <w:pPr>
        <w:jc w:val="both"/>
      </w:pPr>
      <w:r>
        <w:t>Intra-state conflicts worldwide are frequently “waged for the control of populations, as much as territory” and as a result women and children are often the primary target for armed violence, including sexual violence.</w:t>
      </w:r>
      <w:r>
        <w:rPr>
          <w:rStyle w:val="FootnoteReference"/>
        </w:rPr>
        <w:footnoteReference w:id="2"/>
      </w:r>
      <w:r>
        <w:t xml:space="preserve">  Yet, despite increased attention to the Women, Peace and Security agenda of the past ten years</w:t>
      </w:r>
      <w:r>
        <w:rPr>
          <w:rStyle w:val="FootnoteReference"/>
        </w:rPr>
        <w:footnoteReference w:id="3"/>
      </w:r>
      <w:r w:rsidDel="00FD1B87">
        <w:t xml:space="preserve"> as well as an evolving set of humanitarian tools and approaches aimed at responding to the needs of sexual violence survivors, efforts that focus on </w:t>
      </w:r>
      <w:r w:rsidRPr="003C3D91">
        <w:rPr>
          <w:i/>
        </w:rPr>
        <w:t>primary prevention</w:t>
      </w:r>
      <w:r w:rsidRPr="00FD1B87" w:rsidDel="00FD1B87">
        <w:t xml:space="preserve"> (see Section Two, below) </w:t>
      </w:r>
      <w:r w:rsidDel="00FD1B87">
        <w:t>of sexual violence in conflict are still limited.</w:t>
      </w:r>
      <w:r>
        <w:t xml:space="preserve">  This is especially true in relation to conflict-related sexual violence (CRSV) that is committed by armed groups.  And yet, it is these groups that are often implicated in egregious war-related human rights abuses, including sexual violence against civilians.</w:t>
      </w:r>
    </w:p>
    <w:p w:rsidR="003C3D91" w:rsidRDefault="003C3D91" w:rsidP="00B73173">
      <w:pPr>
        <w:pStyle w:val="ListParagraph"/>
        <w:ind w:left="1080"/>
        <w:jc w:val="both"/>
      </w:pPr>
    </w:p>
    <w:p w:rsidR="003C3D91" w:rsidRDefault="003C3D91" w:rsidP="00B73173">
      <w:pPr>
        <w:jc w:val="both"/>
      </w:pPr>
      <w:r w:rsidRPr="000A6AD7">
        <w:t>To fill this gap</w:t>
      </w:r>
      <w:r>
        <w:t xml:space="preserve">, </w:t>
      </w:r>
      <w:r w:rsidRPr="00812067">
        <w:t xml:space="preserve">the </w:t>
      </w:r>
      <w:r>
        <w:t>U</w:t>
      </w:r>
      <w:r w:rsidRPr="00F3360D">
        <w:t xml:space="preserve">nited Nations Children’s Fund (UNICEF) and the </w:t>
      </w:r>
      <w:r>
        <w:t xml:space="preserve">UN </w:t>
      </w:r>
      <w:r w:rsidRPr="00F3360D">
        <w:t>Office for the Coordination of Humanitarian A</w:t>
      </w:r>
      <w:r>
        <w:t xml:space="preserve">ffairs (OCHA) with funds from the UN Action against Sexual Violence in Conflict (UN Action) Multi-donor Trust Fund, commenced a multi-phased initiative aimed at (i) improving the knowledge base about how to prevent armed actors from committing CRSV and (ii) developing prevention resources that can be used by international and field-based actors to mobilize prevention efforts. </w:t>
      </w:r>
    </w:p>
    <w:p w:rsidR="003C3D91" w:rsidRPr="003C3D91" w:rsidRDefault="003C3D91" w:rsidP="00B73173">
      <w:pPr>
        <w:pStyle w:val="FreeFormA"/>
        <w:ind w:left="720"/>
        <w:jc w:val="both"/>
        <w:rPr>
          <w:rFonts w:ascii="Calibri" w:hAnsi="Calibri" w:cs="Calibri"/>
          <w:b/>
          <w:bCs/>
          <w:color w:val="140D0D"/>
          <w:sz w:val="22"/>
          <w:szCs w:val="22"/>
          <w:lang w:val="en-GB"/>
        </w:rPr>
      </w:pPr>
    </w:p>
    <w:p w:rsidR="006F2D07" w:rsidRPr="003C3D91" w:rsidRDefault="006F2D07" w:rsidP="00B73173">
      <w:pPr>
        <w:widowControl/>
        <w:jc w:val="both"/>
        <w:rPr>
          <w:i/>
        </w:rPr>
      </w:pPr>
      <w:r w:rsidRPr="00DC324E">
        <w:t>This proposal falls under the</w:t>
      </w:r>
      <w:r w:rsidRPr="00DC324E">
        <w:rPr>
          <w:szCs w:val="24"/>
        </w:rPr>
        <w:t xml:space="preserve"> </w:t>
      </w:r>
      <w:r w:rsidRPr="003B7714">
        <w:rPr>
          <w:i/>
          <w:szCs w:val="24"/>
        </w:rPr>
        <w:t xml:space="preserve">Knowledge Generation Pillar – </w:t>
      </w:r>
      <w:r w:rsidR="003C3D91" w:rsidRPr="003C3D91">
        <w:rPr>
          <w:i/>
          <w:szCs w:val="24"/>
        </w:rPr>
        <w:t>“</w:t>
      </w:r>
      <w:r w:rsidR="003C3D91" w:rsidRPr="003C3D91">
        <w:rPr>
          <w:i/>
        </w:rPr>
        <w:t>Develop a better understanding of the motivations and repertoire of violence used by Non State Actors to inform guidance and preventive diplomacy strategies.”</w:t>
      </w:r>
    </w:p>
    <w:p w:rsidR="006F2D07" w:rsidRPr="00B031DC" w:rsidRDefault="006F2D07" w:rsidP="00285318">
      <w:pPr>
        <w:pStyle w:val="BodyText2"/>
        <w:widowControl/>
        <w:autoSpaceDE/>
        <w:autoSpaceDN/>
        <w:adjustRightInd/>
        <w:jc w:val="both"/>
        <w:rPr>
          <w:rFonts w:ascii="Times New Roman" w:hAnsi="Times New Roman"/>
          <w:szCs w:val="22"/>
        </w:rPr>
      </w:pPr>
    </w:p>
    <w:p w:rsidR="006F2D07" w:rsidRDefault="006F2D07" w:rsidP="00B73173">
      <w:pPr>
        <w:pStyle w:val="BodyText"/>
        <w:widowControl/>
        <w:numPr>
          <w:ilvl w:val="0"/>
          <w:numId w:val="3"/>
        </w:numPr>
        <w:ind w:left="360" w:hanging="360"/>
        <w:rPr>
          <w:b/>
        </w:rPr>
      </w:pPr>
      <w:r w:rsidRPr="00A857B2">
        <w:rPr>
          <w:b/>
        </w:rPr>
        <w:t xml:space="preserve">Resources </w:t>
      </w:r>
    </w:p>
    <w:p w:rsidR="006F2D07" w:rsidRPr="00A857B2" w:rsidRDefault="006F2D07" w:rsidP="00B73173">
      <w:pPr>
        <w:pStyle w:val="BodyText"/>
        <w:widowControl/>
        <w:ind w:left="360"/>
        <w:rPr>
          <w:b/>
        </w:rPr>
      </w:pPr>
    </w:p>
    <w:p w:rsidR="006F2D07" w:rsidRDefault="006F2D07" w:rsidP="00B73173">
      <w:pPr>
        <w:pStyle w:val="BodyText2"/>
        <w:widowControl/>
        <w:autoSpaceDE/>
        <w:autoSpaceDN/>
        <w:adjustRightInd/>
        <w:jc w:val="both"/>
        <w:rPr>
          <w:rFonts w:ascii="Times New Roman" w:hAnsi="Times New Roman"/>
          <w:szCs w:val="22"/>
        </w:rPr>
      </w:pPr>
      <w:r>
        <w:rPr>
          <w:rFonts w:ascii="Times New Roman" w:hAnsi="Times New Roman"/>
          <w:szCs w:val="22"/>
        </w:rPr>
        <w:t>While other specific funding sources were not allocated to this work, UNICEF contributed significant in-kind support through its GBV Specialist in Emergencies and the Senior Child Protection Advisor for Child Protection in Emergencies.  No budget revisions were made.</w:t>
      </w:r>
    </w:p>
    <w:p w:rsidR="006F2D07" w:rsidRPr="00A857B2" w:rsidRDefault="006F2D07" w:rsidP="00B73173">
      <w:pPr>
        <w:pStyle w:val="BodyText"/>
        <w:rPr>
          <w:b/>
        </w:rPr>
      </w:pPr>
    </w:p>
    <w:p w:rsidR="006F2D07" w:rsidRPr="00A857B2" w:rsidRDefault="006F2D07" w:rsidP="00B73173">
      <w:pPr>
        <w:pStyle w:val="BodyText"/>
        <w:widowControl/>
        <w:numPr>
          <w:ilvl w:val="0"/>
          <w:numId w:val="3"/>
        </w:numPr>
        <w:ind w:left="360" w:hanging="360"/>
        <w:rPr>
          <w:b/>
        </w:rPr>
      </w:pPr>
      <w:r w:rsidRPr="00A857B2">
        <w:rPr>
          <w:b/>
        </w:rPr>
        <w:t>Implementation and Monitoring Arrangements</w:t>
      </w:r>
    </w:p>
    <w:p w:rsidR="006F2D07" w:rsidRPr="001B3CFC" w:rsidRDefault="006F2D07" w:rsidP="00B73173">
      <w:pPr>
        <w:pStyle w:val="BodyText2"/>
        <w:widowControl/>
        <w:autoSpaceDE/>
        <w:autoSpaceDN/>
        <w:adjustRightInd/>
        <w:ind w:left="720"/>
        <w:jc w:val="both"/>
        <w:rPr>
          <w:rFonts w:ascii="Times New Roman" w:hAnsi="Times New Roman"/>
          <w:szCs w:val="22"/>
        </w:rPr>
      </w:pPr>
    </w:p>
    <w:p w:rsidR="006F2D07" w:rsidRDefault="006F2D07" w:rsidP="00B73173">
      <w:pPr>
        <w:widowControl/>
        <w:jc w:val="both"/>
        <w:rPr>
          <w:szCs w:val="24"/>
        </w:rPr>
      </w:pPr>
      <w:r>
        <w:rPr>
          <w:szCs w:val="24"/>
        </w:rPr>
        <w:t>UNICEF consulted with a number of UNICEF staff and inter-agency partners working in the Monitoring and Reporting Task Forces in 14 countries and the Gender-based Violence Area of Responsibility Working Groups wi</w:t>
      </w:r>
      <w:r w:rsidR="003C3D91">
        <w:rPr>
          <w:szCs w:val="24"/>
        </w:rPr>
        <w:t xml:space="preserve">thin those same 14 countries.  </w:t>
      </w:r>
      <w:r w:rsidRPr="00DC324E">
        <w:rPr>
          <w:szCs w:val="24"/>
        </w:rPr>
        <w:t xml:space="preserve">The project consultant </w:t>
      </w:r>
      <w:r>
        <w:rPr>
          <w:szCs w:val="24"/>
        </w:rPr>
        <w:t>also had</w:t>
      </w:r>
      <w:r w:rsidRPr="00DC324E">
        <w:rPr>
          <w:szCs w:val="24"/>
        </w:rPr>
        <w:t xml:space="preserve"> access to a number of UNICEF field staff </w:t>
      </w:r>
      <w:r>
        <w:rPr>
          <w:szCs w:val="24"/>
        </w:rPr>
        <w:t xml:space="preserve">who currently work </w:t>
      </w:r>
      <w:r w:rsidRPr="00DC324E">
        <w:rPr>
          <w:szCs w:val="24"/>
        </w:rPr>
        <w:t xml:space="preserve">in conflict </w:t>
      </w:r>
      <w:r>
        <w:rPr>
          <w:szCs w:val="24"/>
        </w:rPr>
        <w:t xml:space="preserve">affected </w:t>
      </w:r>
      <w:r w:rsidRPr="00DC324E">
        <w:rPr>
          <w:szCs w:val="24"/>
        </w:rPr>
        <w:t xml:space="preserve">countries </w:t>
      </w:r>
      <w:r>
        <w:rPr>
          <w:szCs w:val="24"/>
        </w:rPr>
        <w:t xml:space="preserve">and </w:t>
      </w:r>
      <w:r w:rsidRPr="00DC324E">
        <w:rPr>
          <w:szCs w:val="24"/>
        </w:rPr>
        <w:t xml:space="preserve">who </w:t>
      </w:r>
      <w:r>
        <w:rPr>
          <w:szCs w:val="24"/>
        </w:rPr>
        <w:t>were able to</w:t>
      </w:r>
      <w:r w:rsidRPr="00DC324E">
        <w:rPr>
          <w:szCs w:val="24"/>
        </w:rPr>
        <w:t xml:space="preserve"> share their expertise</w:t>
      </w:r>
      <w:r>
        <w:rPr>
          <w:szCs w:val="24"/>
        </w:rPr>
        <w:t xml:space="preserve"> in </w:t>
      </w:r>
      <w:r w:rsidR="003C3D91">
        <w:rPr>
          <w:szCs w:val="24"/>
        </w:rPr>
        <w:t>negotiating with armed groups in relation the Monitoring and Reporting Mechanism.</w:t>
      </w:r>
    </w:p>
    <w:p w:rsidR="006F2D07" w:rsidRPr="00DC324E" w:rsidRDefault="006F2D07" w:rsidP="00B73173">
      <w:pPr>
        <w:widowControl/>
        <w:jc w:val="both"/>
        <w:rPr>
          <w:szCs w:val="24"/>
        </w:rPr>
      </w:pPr>
    </w:p>
    <w:p w:rsidR="006F2D07" w:rsidRDefault="006F2D07" w:rsidP="00B73173">
      <w:pPr>
        <w:widowControl/>
        <w:jc w:val="both"/>
        <w:rPr>
          <w:szCs w:val="24"/>
        </w:rPr>
      </w:pPr>
      <w:r>
        <w:rPr>
          <w:szCs w:val="24"/>
        </w:rPr>
        <w:lastRenderedPageBreak/>
        <w:t>UNICEF’s S</w:t>
      </w:r>
      <w:r w:rsidRPr="00DC324E">
        <w:rPr>
          <w:szCs w:val="24"/>
        </w:rPr>
        <w:t>pecialist on GBV in Emergencies at the headquarters level monitor</w:t>
      </w:r>
      <w:r>
        <w:rPr>
          <w:szCs w:val="24"/>
        </w:rPr>
        <w:t>ed</w:t>
      </w:r>
      <w:r w:rsidRPr="00DC324E">
        <w:rPr>
          <w:szCs w:val="24"/>
        </w:rPr>
        <w:t xml:space="preserve"> the progress of the project, and </w:t>
      </w:r>
      <w:r>
        <w:rPr>
          <w:szCs w:val="24"/>
        </w:rPr>
        <w:t>was</w:t>
      </w:r>
      <w:r w:rsidRPr="00DC324E">
        <w:rPr>
          <w:szCs w:val="24"/>
        </w:rPr>
        <w:t xml:space="preserve"> readily available to the consultant</w:t>
      </w:r>
      <w:r>
        <w:rPr>
          <w:szCs w:val="24"/>
        </w:rPr>
        <w:t>s</w:t>
      </w:r>
      <w:r w:rsidRPr="00DC324E">
        <w:rPr>
          <w:szCs w:val="24"/>
        </w:rPr>
        <w:t xml:space="preserve"> hired under this project.</w:t>
      </w:r>
      <w:r>
        <w:rPr>
          <w:szCs w:val="24"/>
        </w:rPr>
        <w:t xml:space="preserve">  The Specialist also </w:t>
      </w:r>
      <w:r w:rsidRPr="00DC324E">
        <w:rPr>
          <w:szCs w:val="24"/>
        </w:rPr>
        <w:t>provide</w:t>
      </w:r>
      <w:r>
        <w:rPr>
          <w:szCs w:val="24"/>
        </w:rPr>
        <w:t>d</w:t>
      </w:r>
      <w:r w:rsidRPr="00DC324E">
        <w:rPr>
          <w:szCs w:val="24"/>
        </w:rPr>
        <w:t xml:space="preserve"> overall project guidance in coordination </w:t>
      </w:r>
      <w:r w:rsidR="00285318">
        <w:rPr>
          <w:szCs w:val="24"/>
        </w:rPr>
        <w:t xml:space="preserve">with </w:t>
      </w:r>
      <w:r w:rsidR="003C3D91">
        <w:rPr>
          <w:szCs w:val="24"/>
        </w:rPr>
        <w:t xml:space="preserve">OCHA as well as </w:t>
      </w:r>
      <w:r w:rsidRPr="00DC324E">
        <w:rPr>
          <w:szCs w:val="24"/>
        </w:rPr>
        <w:t xml:space="preserve">with the UN Action Focal Points. </w:t>
      </w:r>
    </w:p>
    <w:p w:rsidR="00285318" w:rsidRDefault="00285318" w:rsidP="00B73173">
      <w:pPr>
        <w:widowControl/>
        <w:jc w:val="both"/>
        <w:rPr>
          <w:szCs w:val="24"/>
        </w:rPr>
      </w:pPr>
    </w:p>
    <w:p w:rsidR="00285318" w:rsidRDefault="00285318" w:rsidP="00285318">
      <w:pPr>
        <w:pStyle w:val="BodyText"/>
        <w:widowControl/>
        <w:rPr>
          <w:lang w:val="en-US"/>
        </w:rPr>
      </w:pPr>
      <w:r>
        <w:rPr>
          <w:szCs w:val="22"/>
        </w:rPr>
        <w:t>This project did not have implementing partners beyond UNICEF, however, it did include the establishment and involvement of a technical reference group composed of UN and NGO actors.  The project also included all</w:t>
      </w:r>
      <w:r>
        <w:rPr>
          <w:lang w:val="en-US"/>
        </w:rPr>
        <w:t xml:space="preserve"> UN Action agencies as well as the Office for the Special Representative to the Secretary General for Sexual Violence in Conflict’s office.  </w:t>
      </w:r>
    </w:p>
    <w:p w:rsidR="006F2D07" w:rsidRDefault="006F2D07" w:rsidP="006F2D07">
      <w:pPr>
        <w:pStyle w:val="FootnoteTextB"/>
        <w:rPr>
          <w:rFonts w:ascii="Times New Roman" w:hAnsi="Times New Roman" w:cs="Times New Roman"/>
        </w:rPr>
      </w:pPr>
    </w:p>
    <w:p w:rsidR="006F2D07" w:rsidRPr="001B3CFC" w:rsidRDefault="006F2D07" w:rsidP="006F2D07">
      <w:pPr>
        <w:pStyle w:val="FootnoteTextB"/>
        <w:rPr>
          <w:rFonts w:ascii="Times New Roman" w:hAnsi="Times New Roman" w:cs="Times New Roman"/>
          <w:b/>
        </w:rPr>
      </w:pPr>
      <w:r w:rsidRPr="001B3CFC">
        <w:rPr>
          <w:rFonts w:ascii="Times New Roman" w:hAnsi="Times New Roman" w:cs="Times New Roman"/>
          <w:b/>
        </w:rPr>
        <w:t>IV. Results</w:t>
      </w:r>
    </w:p>
    <w:p w:rsidR="006F2D07" w:rsidRPr="000919D3" w:rsidRDefault="006F2D07" w:rsidP="006F2D07"/>
    <w:p w:rsidR="00285318" w:rsidRDefault="00285318" w:rsidP="00285318">
      <w:pPr>
        <w:jc w:val="both"/>
        <w:rPr>
          <w:rFonts w:cstheme="minorHAnsi"/>
          <w:szCs w:val="24"/>
        </w:rPr>
      </w:pPr>
      <w:r w:rsidRPr="00C16B3C">
        <w:rPr>
          <w:rFonts w:cstheme="minorHAnsi"/>
          <w:szCs w:val="24"/>
        </w:rPr>
        <w:t>The first phase of the UNICEF/OCHA initiative was completed in 2011. Given the novelty of investigating how to undertake prevention of CRSV with armed groups, the first phase of research focused specifically on non-state armed groups (NSAGs).  It involved mapping and analyzing research and practice that might have relevance to prevention of CRSV committed by NSAGs, as well as identifying key “influencers”— at the international, regional, national and local levels who might effect change in the behavior of armed groups.</w:t>
      </w:r>
      <w:r w:rsidRPr="00C16B3C">
        <w:rPr>
          <w:rStyle w:val="FootnoteReference"/>
          <w:rFonts w:asciiTheme="minorHAnsi" w:hAnsiTheme="minorHAnsi" w:cstheme="minorHAnsi"/>
          <w:szCs w:val="24"/>
        </w:rPr>
        <w:footnoteReference w:id="4"/>
      </w:r>
      <w:r w:rsidRPr="00C16B3C">
        <w:rPr>
          <w:rFonts w:cstheme="minorHAnsi"/>
          <w:szCs w:val="24"/>
        </w:rPr>
        <w:t xml:space="preserve"> The first phase also included a mission to the Democratic Republic of the Congo (DRC)</w:t>
      </w:r>
      <w:r w:rsidRPr="00C16B3C">
        <w:rPr>
          <w:rStyle w:val="FootnoteReference"/>
          <w:rFonts w:asciiTheme="minorHAnsi" w:hAnsiTheme="minorHAnsi" w:cstheme="minorHAnsi"/>
          <w:szCs w:val="24"/>
        </w:rPr>
        <w:footnoteReference w:id="5"/>
      </w:r>
      <w:r w:rsidRPr="00C16B3C">
        <w:rPr>
          <w:rFonts w:cstheme="minorHAnsi"/>
          <w:szCs w:val="24"/>
        </w:rPr>
        <w:t>, the purpose of which was to collect information about sexual violence committed by the various NSAGs operating across the DRC and solicit recommendations from field programmers about methods of reducing CRSV.</w:t>
      </w:r>
    </w:p>
    <w:p w:rsidR="00285318" w:rsidRDefault="00285318" w:rsidP="00285318">
      <w:pPr>
        <w:jc w:val="both"/>
        <w:rPr>
          <w:rFonts w:cstheme="minorHAnsi"/>
          <w:szCs w:val="24"/>
        </w:rPr>
      </w:pPr>
    </w:p>
    <w:p w:rsidR="003C3D91" w:rsidRDefault="003C3D91" w:rsidP="003C3D91">
      <w:pPr>
        <w:pStyle w:val="FootnoteText"/>
        <w:jc w:val="both"/>
      </w:pPr>
      <w:r w:rsidRPr="00804A38">
        <w:rPr>
          <w:color w:val="000000"/>
        </w:rPr>
        <w:t>To provide oversight and guidance</w:t>
      </w:r>
      <w:r>
        <w:rPr>
          <w:rFonts w:cs="Calibri"/>
          <w:color w:val="000000"/>
        </w:rPr>
        <w:t xml:space="preserve"> to the study, an inter-</w:t>
      </w:r>
      <w:r w:rsidRPr="00C02FF4">
        <w:rPr>
          <w:rFonts w:cs="Calibri"/>
          <w:color w:val="000000"/>
        </w:rPr>
        <w:t xml:space="preserve">agency steering group </w:t>
      </w:r>
      <w:r>
        <w:rPr>
          <w:rFonts w:cs="Calibri"/>
          <w:color w:val="000000"/>
        </w:rPr>
        <w:t>was created including</w:t>
      </w:r>
      <w:r w:rsidRPr="00C02FF4">
        <w:rPr>
          <w:rFonts w:cs="Calibri"/>
          <w:color w:val="000000"/>
        </w:rPr>
        <w:t xml:space="preserve"> </w:t>
      </w:r>
      <w:r w:rsidRPr="00C02FF4">
        <w:t>Centre for Humanitarian Dialogue (CDH), Geneva Call, Centre for the Democratic Control of Armed Forces (DCAF), Harvard Humanitarian Initiative (HHI), Yale University, UNICEF, International Rescue Committee, WHO, International Committee of the Red Cross (ICRC), the World Bank, OCHA, International Center for Research on Women (ICRW), and the Sonke Gender Justice Network.</w:t>
      </w:r>
    </w:p>
    <w:p w:rsidR="003C3D91" w:rsidRPr="00D04515" w:rsidRDefault="003C3D91" w:rsidP="003C3D91">
      <w:pPr>
        <w:jc w:val="both"/>
        <w:rPr>
          <w:rFonts w:cstheme="minorHAnsi"/>
          <w:szCs w:val="24"/>
        </w:rPr>
      </w:pPr>
    </w:p>
    <w:p w:rsidR="003C3D91" w:rsidRDefault="003C3D91" w:rsidP="003C3D91">
      <w:pPr>
        <w:jc w:val="both"/>
        <w:rPr>
          <w:rFonts w:cstheme="minorHAnsi"/>
          <w:szCs w:val="24"/>
          <w:lang w:val="en-US"/>
        </w:rPr>
      </w:pPr>
      <w:r w:rsidDel="00FD1B87">
        <w:t xml:space="preserve">In so far as it explored a variety of different themes and approaches (e.g. sexual violence, work with NSAGs, prevention, humanitarian dialogue and conflict resolution) the information generated during the first phase of research was extensive.  </w:t>
      </w:r>
      <w:r>
        <w:rPr>
          <w:rFonts w:cstheme="minorHAnsi"/>
          <w:szCs w:val="24"/>
          <w:lang w:val="en-US"/>
        </w:rPr>
        <w:t>A</w:t>
      </w:r>
      <w:r w:rsidRPr="00162F5D">
        <w:rPr>
          <w:rFonts w:cstheme="minorHAnsi"/>
          <w:szCs w:val="24"/>
          <w:lang w:val="en-US"/>
        </w:rPr>
        <w:t xml:space="preserve"> proposed framework based on the </w:t>
      </w:r>
      <w:r w:rsidRPr="00162F5D">
        <w:rPr>
          <w:rFonts w:cstheme="minorHAnsi"/>
          <w:i/>
          <w:szCs w:val="24"/>
          <w:lang w:val="en-US"/>
        </w:rPr>
        <w:t>Ecological Model</w:t>
      </w:r>
      <w:r w:rsidRPr="00162F5D">
        <w:rPr>
          <w:rFonts w:cstheme="minorHAnsi"/>
          <w:szCs w:val="24"/>
          <w:lang w:val="en-US"/>
        </w:rPr>
        <w:t xml:space="preserve"> has been developed to share findings of phase </w:t>
      </w:r>
      <w:r w:rsidR="00285318">
        <w:rPr>
          <w:rFonts w:cstheme="minorHAnsi"/>
          <w:szCs w:val="24"/>
          <w:lang w:val="en-US"/>
        </w:rPr>
        <w:t>one</w:t>
      </w:r>
      <w:r w:rsidRPr="00162F5D">
        <w:rPr>
          <w:rFonts w:cstheme="minorHAnsi"/>
          <w:szCs w:val="24"/>
          <w:lang w:val="en-US"/>
        </w:rPr>
        <w:t xml:space="preserve"> and provide</w:t>
      </w:r>
      <w:r>
        <w:rPr>
          <w:rFonts w:cstheme="minorHAnsi"/>
          <w:szCs w:val="24"/>
          <w:lang w:val="en-US"/>
        </w:rPr>
        <w:t>s</w:t>
      </w:r>
      <w:r w:rsidRPr="00162F5D">
        <w:rPr>
          <w:rFonts w:cstheme="minorHAnsi"/>
          <w:szCs w:val="24"/>
          <w:lang w:val="en-US"/>
        </w:rPr>
        <w:t xml:space="preserve"> a basis for guiding future research and action.</w:t>
      </w:r>
    </w:p>
    <w:p w:rsidR="003C3D91" w:rsidRPr="00162F5D" w:rsidRDefault="003C3D91" w:rsidP="003C3D91">
      <w:pPr>
        <w:jc w:val="both"/>
        <w:rPr>
          <w:rFonts w:cstheme="minorHAnsi"/>
          <w:szCs w:val="24"/>
          <w:lang w:val="en-US"/>
        </w:rPr>
      </w:pPr>
    </w:p>
    <w:p w:rsidR="003C3D91" w:rsidRDefault="003C3D91" w:rsidP="003C3D91">
      <w:pPr>
        <w:jc w:val="both"/>
        <w:rPr>
          <w:rFonts w:cstheme="minorHAnsi"/>
          <w:szCs w:val="24"/>
          <w:lang w:val="en-US"/>
        </w:rPr>
      </w:pPr>
      <w:r w:rsidRPr="00162F5D">
        <w:rPr>
          <w:rFonts w:cstheme="minorHAnsi"/>
          <w:szCs w:val="24"/>
          <w:lang w:val="en-US"/>
        </w:rPr>
        <w:t xml:space="preserve">The findings show that there are examples of contact/relationship-building between humanitarian actors and armed groups but very few on engagements specifically to prevent sexual violence against civilians. In addition, protection efforts have had limited effect in areas controlled by armed groups. There is a need to better </w:t>
      </w:r>
      <w:r>
        <w:rPr>
          <w:rFonts w:cstheme="minorHAnsi"/>
          <w:szCs w:val="24"/>
          <w:lang w:val="en-US"/>
        </w:rPr>
        <w:t>understand</w:t>
      </w:r>
      <w:r w:rsidRPr="00162F5D">
        <w:rPr>
          <w:rFonts w:cstheme="minorHAnsi"/>
          <w:szCs w:val="24"/>
          <w:lang w:val="en-US"/>
        </w:rPr>
        <w:t xml:space="preserve"> the motivations and behavior of armed groups in order to allow a more proactive approach to prevent sexual violence in conflict-affected settings.</w:t>
      </w:r>
    </w:p>
    <w:p w:rsidR="003C3D91" w:rsidRDefault="003C3D91" w:rsidP="003C3D91">
      <w:pPr>
        <w:jc w:val="both"/>
        <w:rPr>
          <w:rFonts w:cstheme="minorHAnsi"/>
          <w:szCs w:val="24"/>
          <w:lang w:val="en-US"/>
        </w:rPr>
      </w:pPr>
    </w:p>
    <w:p w:rsidR="003C3D91" w:rsidRDefault="003C3D91" w:rsidP="003C3D91">
      <w:pPr>
        <w:jc w:val="both"/>
        <w:rPr>
          <w:rFonts w:eastAsia="LucidaGrande"/>
        </w:rPr>
      </w:pPr>
      <w:r>
        <w:rPr>
          <w:rFonts w:cstheme="minorHAnsi"/>
          <w:szCs w:val="24"/>
          <w:lang w:val="en-US"/>
        </w:rPr>
        <w:t xml:space="preserve">Phase one also led to the development of a concept note for an expert group meeting to </w:t>
      </w:r>
      <w:r>
        <w:rPr>
          <w:rFonts w:cstheme="minorHAnsi"/>
          <w:szCs w:val="24"/>
          <w:lang w:val="en-US"/>
        </w:rPr>
        <w:lastRenderedPageBreak/>
        <w:t>discuss how best to</w:t>
      </w:r>
      <w:r>
        <w:rPr>
          <w:rFonts w:eastAsia="LucidaGrande"/>
        </w:rPr>
        <w:t xml:space="preserve"> strengthen the prevention of </w:t>
      </w:r>
      <w:r w:rsidRPr="00C16B3C">
        <w:rPr>
          <w:rFonts w:cstheme="minorHAnsi"/>
          <w:szCs w:val="24"/>
        </w:rPr>
        <w:t xml:space="preserve">CRSV </w:t>
      </w:r>
      <w:r>
        <w:rPr>
          <w:rFonts w:cstheme="minorHAnsi"/>
        </w:rPr>
        <w:t>by</w:t>
      </w:r>
      <w:r w:rsidRPr="00C16B3C">
        <w:rPr>
          <w:rFonts w:cstheme="minorHAnsi"/>
          <w:szCs w:val="24"/>
        </w:rPr>
        <w:t xml:space="preserve"> armed groups</w:t>
      </w:r>
      <w:r>
        <w:rPr>
          <w:rFonts w:cstheme="minorHAnsi"/>
          <w:szCs w:val="24"/>
        </w:rPr>
        <w:t xml:space="preserve"> (See Annex 4)</w:t>
      </w:r>
      <w:r>
        <w:rPr>
          <w:rFonts w:eastAsia="LucidaGrande"/>
        </w:rPr>
        <w:t xml:space="preserve">.  This meeting </w:t>
      </w:r>
      <w:r w:rsidR="00285318">
        <w:rPr>
          <w:rFonts w:eastAsia="LucidaGrande"/>
        </w:rPr>
        <w:t xml:space="preserve">will </w:t>
      </w:r>
      <w:r>
        <w:rPr>
          <w:rFonts w:eastAsia="LucidaGrande"/>
        </w:rPr>
        <w:t>bring</w:t>
      </w:r>
      <w:r w:rsidRPr="00CE3ADE">
        <w:rPr>
          <w:rFonts w:eastAsia="LucidaGrande"/>
        </w:rPr>
        <w:t xml:space="preserve"> together a small group of experts with experience of working in conflict-affected</w:t>
      </w:r>
      <w:r>
        <w:rPr>
          <w:rFonts w:eastAsia="LucidaGrande"/>
        </w:rPr>
        <w:t xml:space="preserve"> areas and in negotiating with armed groups or CRSV</w:t>
      </w:r>
      <w:r w:rsidR="00285318">
        <w:rPr>
          <w:rFonts w:eastAsia="LucidaGrande"/>
        </w:rPr>
        <w:t xml:space="preserve"> as well as experts working in the field of CRSV</w:t>
      </w:r>
      <w:r>
        <w:rPr>
          <w:rFonts w:eastAsia="LucidaGrande"/>
        </w:rPr>
        <w:t xml:space="preserve">.  The overall objectives of the meeting are to: </w:t>
      </w:r>
    </w:p>
    <w:p w:rsidR="003C3D91" w:rsidRDefault="003C3D91" w:rsidP="003C3D91"/>
    <w:p w:rsidR="003C3D91" w:rsidRDefault="003C3D91" w:rsidP="003C3D91">
      <w:pPr>
        <w:pStyle w:val="ListParagraph"/>
        <w:widowControl/>
        <w:numPr>
          <w:ilvl w:val="0"/>
          <w:numId w:val="8"/>
        </w:numPr>
      </w:pPr>
      <w:r>
        <w:t>Strengthen understanding of key issues related to negotiation with armed actors around sensitive topics;</w:t>
      </w:r>
    </w:p>
    <w:p w:rsidR="003C3D91" w:rsidRDefault="003C3D91" w:rsidP="003C3D91">
      <w:pPr>
        <w:pStyle w:val="ListParagraph"/>
        <w:widowControl/>
        <w:numPr>
          <w:ilvl w:val="0"/>
          <w:numId w:val="8"/>
        </w:numPr>
      </w:pPr>
      <w:r>
        <w:t>Exchange experiences and ideas on possible best practices for engaging with armed actors around the prevention of sexual violence;</w:t>
      </w:r>
    </w:p>
    <w:p w:rsidR="003C3D91" w:rsidRDefault="003C3D91" w:rsidP="003C3D91">
      <w:pPr>
        <w:pStyle w:val="ListParagraph"/>
        <w:widowControl/>
        <w:numPr>
          <w:ilvl w:val="0"/>
          <w:numId w:val="8"/>
        </w:numPr>
      </w:pPr>
      <w:r>
        <w:t>Summarize main challe</w:t>
      </w:r>
      <w:r w:rsidR="00285318">
        <w:t xml:space="preserve">nges and opportunities for the </w:t>
      </w:r>
      <w:r>
        <w:t>prevention of CRSV by armed actors in the field;</w:t>
      </w:r>
      <w:r w:rsidR="00285318">
        <w:t xml:space="preserve"> and</w:t>
      </w:r>
    </w:p>
    <w:p w:rsidR="003C3D91" w:rsidRPr="00A92109" w:rsidRDefault="003C3D91" w:rsidP="003C3D91">
      <w:pPr>
        <w:pStyle w:val="ListParagraph"/>
        <w:widowControl/>
        <w:numPr>
          <w:ilvl w:val="0"/>
          <w:numId w:val="8"/>
        </w:numPr>
      </w:pPr>
      <w:r>
        <w:t xml:space="preserve">Identification of next steps required in order to develop a manual and guidelines on how to engage with state and NSAGs on the prevention of sexual violence. </w:t>
      </w:r>
    </w:p>
    <w:p w:rsidR="003C3D91" w:rsidRDefault="003C3D91" w:rsidP="003C3D91">
      <w:pPr>
        <w:jc w:val="both"/>
        <w:rPr>
          <w:rFonts w:cstheme="minorHAnsi"/>
          <w:szCs w:val="24"/>
          <w:lang w:val="en-US"/>
        </w:rPr>
      </w:pPr>
    </w:p>
    <w:p w:rsidR="003C3D91" w:rsidRPr="003C3D91" w:rsidRDefault="003C3D91" w:rsidP="003C3D91">
      <w:pPr>
        <w:jc w:val="both"/>
        <w:rPr>
          <w:rFonts w:cstheme="minorHAnsi"/>
          <w:i/>
          <w:szCs w:val="24"/>
          <w:lang w:val="en-US"/>
        </w:rPr>
      </w:pPr>
      <w:r w:rsidRPr="003C3D91">
        <w:rPr>
          <w:rFonts w:cstheme="minorHAnsi"/>
          <w:i/>
          <w:szCs w:val="24"/>
          <w:lang w:val="en-US"/>
        </w:rPr>
        <w:t>Phase II</w:t>
      </w:r>
    </w:p>
    <w:p w:rsidR="003C3D91" w:rsidRDefault="003C3D91" w:rsidP="003C3D91">
      <w:pPr>
        <w:jc w:val="both"/>
      </w:pPr>
      <w:r>
        <w:t xml:space="preserve">The second phase of the UNICEF/OCHA initiative will attempt to build on the outputs of phase one—and expand the focus from NSAGs to include state militaries—in order to develop and field-test draft tools, </w:t>
      </w:r>
      <w:r w:rsidRPr="00E87B20">
        <w:t>messages and approaches</w:t>
      </w:r>
      <w:r>
        <w:t xml:space="preserve"> </w:t>
      </w:r>
      <w:r w:rsidRPr="00E87B20">
        <w:t>that c</w:t>
      </w:r>
      <w:r>
        <w:t>ould</w:t>
      </w:r>
      <w:r w:rsidRPr="00E87B20">
        <w:t xml:space="preserve"> be used to prevent perpetration of </w:t>
      </w:r>
      <w:r>
        <w:t xml:space="preserve">sexual violence </w:t>
      </w:r>
      <w:r w:rsidRPr="00E87B20">
        <w:t>by</w:t>
      </w:r>
      <w:r>
        <w:t xml:space="preserve"> all</w:t>
      </w:r>
      <w:r w:rsidRPr="00E87B20">
        <w:t xml:space="preserve"> </w:t>
      </w:r>
      <w:r>
        <w:t xml:space="preserve">armed groups.  More specifically, phase two will include: 1) the development and </w:t>
      </w:r>
      <w:r w:rsidRPr="00804A38">
        <w:rPr>
          <w:lang w:val="en-US"/>
        </w:rPr>
        <w:t>field-test</w:t>
      </w:r>
      <w:r>
        <w:rPr>
          <w:lang w:val="en-US"/>
        </w:rPr>
        <w:t>ing</w:t>
      </w:r>
      <w:r w:rsidRPr="00804A38">
        <w:rPr>
          <w:lang w:val="en-US"/>
        </w:rPr>
        <w:t xml:space="preserve"> </w:t>
      </w:r>
      <w:r>
        <w:rPr>
          <w:lang w:val="en-US"/>
        </w:rPr>
        <w:t xml:space="preserve">of </w:t>
      </w:r>
      <w:r w:rsidRPr="00804A38">
        <w:rPr>
          <w:lang w:val="en-US"/>
        </w:rPr>
        <w:t>draft tools and approaches to prevent perpetration of sexual violence by armed actors</w:t>
      </w:r>
      <w:r>
        <w:rPr>
          <w:lang w:val="en-US"/>
        </w:rPr>
        <w:t xml:space="preserve">, including gaining a better understanding of the motivations behind the perpetration of CRSV; 2) </w:t>
      </w:r>
      <w:r w:rsidRPr="00162F5D">
        <w:rPr>
          <w:rFonts w:cstheme="minorHAnsi"/>
          <w:szCs w:val="24"/>
          <w:lang w:val="en-US"/>
        </w:rPr>
        <w:t>link</w:t>
      </w:r>
      <w:r>
        <w:rPr>
          <w:rFonts w:cstheme="minorHAnsi"/>
          <w:szCs w:val="24"/>
          <w:lang w:val="en-US"/>
        </w:rPr>
        <w:t>ing</w:t>
      </w:r>
      <w:r w:rsidRPr="00162F5D">
        <w:rPr>
          <w:rFonts w:cstheme="minorHAnsi"/>
          <w:szCs w:val="24"/>
          <w:lang w:val="en-US"/>
        </w:rPr>
        <w:t xml:space="preserve"> with UNICEF</w:t>
      </w:r>
      <w:r>
        <w:rPr>
          <w:rFonts w:cstheme="minorHAnsi"/>
          <w:szCs w:val="24"/>
          <w:lang w:val="en-US"/>
        </w:rPr>
        <w:t>’s</w:t>
      </w:r>
      <w:r w:rsidRPr="00162F5D">
        <w:rPr>
          <w:rFonts w:cstheme="minorHAnsi"/>
          <w:szCs w:val="24"/>
          <w:lang w:val="en-US"/>
        </w:rPr>
        <w:t xml:space="preserve"> work on social norms</w:t>
      </w:r>
      <w:r>
        <w:rPr>
          <w:rFonts w:cstheme="minorHAnsi"/>
          <w:szCs w:val="24"/>
          <w:lang w:val="en-US"/>
        </w:rPr>
        <w:t xml:space="preserve"> with the aim of</w:t>
      </w:r>
      <w:r>
        <w:t xml:space="preserve"> developing a toolkit for use across humanitarian settings to guide primary prevention efforts targeting social norms related to sexual violence committed in conflict-affected settings, 3) </w:t>
      </w:r>
      <w:r w:rsidRPr="00D21049">
        <w:t xml:space="preserve">the development of </w:t>
      </w:r>
      <w:r>
        <w:t>a M</w:t>
      </w:r>
      <w:r w:rsidRPr="00D21049">
        <w:t xml:space="preserve">anual and of </w:t>
      </w:r>
      <w:r>
        <w:t>G</w:t>
      </w:r>
      <w:r w:rsidRPr="00D21049">
        <w:t>u</w:t>
      </w:r>
      <w:r>
        <w:t>idelines on how to engage with state and n</w:t>
      </w:r>
      <w:r w:rsidRPr="00D21049">
        <w:t>on-state armed actors</w:t>
      </w:r>
      <w:r>
        <w:t>; and finally 4) the development of a training package based on the manual and guidelines once they are piloted</w:t>
      </w:r>
      <w:r w:rsidRPr="00D21049">
        <w:t>.</w:t>
      </w:r>
      <w:r>
        <w:t xml:space="preserve">  </w:t>
      </w:r>
    </w:p>
    <w:p w:rsidR="003C3D91" w:rsidRPr="00A92109" w:rsidRDefault="003C3D91" w:rsidP="003C3D91">
      <w:pPr>
        <w:pStyle w:val="FreeFormA"/>
        <w:jc w:val="both"/>
        <w:rPr>
          <w:lang w:val="en-GB"/>
        </w:rPr>
      </w:pPr>
    </w:p>
    <w:p w:rsidR="003C3D91" w:rsidRDefault="003C3D91" w:rsidP="003C3D91">
      <w:pPr>
        <w:pStyle w:val="FreeFormA"/>
        <w:jc w:val="both"/>
      </w:pPr>
      <w:r>
        <w:t>Outputs</w:t>
      </w:r>
      <w:r w:rsidRPr="007E6496">
        <w:t xml:space="preserve"> associated with the propos</w:t>
      </w:r>
      <w:r>
        <w:t xml:space="preserve">al that were developed include: </w:t>
      </w:r>
    </w:p>
    <w:p w:rsidR="003C3D91" w:rsidRPr="007E6496" w:rsidRDefault="003C3D91" w:rsidP="003C3D91">
      <w:pPr>
        <w:pStyle w:val="FreeFormA"/>
        <w:numPr>
          <w:ilvl w:val="0"/>
          <w:numId w:val="9"/>
        </w:numPr>
        <w:jc w:val="both"/>
        <w:rPr>
          <w:b/>
          <w:bCs/>
          <w:color w:val="140D0D"/>
        </w:rPr>
      </w:pPr>
      <w:bookmarkStart w:id="1" w:name="_GoBack"/>
      <w:r>
        <w:rPr>
          <w:lang w:val="en-GB"/>
        </w:rPr>
        <w:t>Strengthening Prevention of Conflict-related Sexual Violence with Non-state Armed Groups: Overview of Influencers, Approaches and Experiences for Working with Armed Groups</w:t>
      </w:r>
    </w:p>
    <w:p w:rsidR="003C3D91" w:rsidRDefault="003C3D91" w:rsidP="003C3D91">
      <w:pPr>
        <w:pStyle w:val="ListParagraph"/>
        <w:widowControl/>
        <w:numPr>
          <w:ilvl w:val="0"/>
          <w:numId w:val="9"/>
        </w:numPr>
        <w:contextualSpacing w:val="0"/>
      </w:pPr>
      <w:r>
        <w:t>Strengthening Prevention of Conflict-related Sexual Violence with Non-state Armed Groups: A Preliminary Framework for Key Prevention Strategies and Annex</w:t>
      </w:r>
    </w:p>
    <w:p w:rsidR="00B964E0" w:rsidRPr="00B73173" w:rsidRDefault="003C3D91" w:rsidP="00B73173">
      <w:pPr>
        <w:pStyle w:val="ListParagraph"/>
        <w:widowControl/>
        <w:numPr>
          <w:ilvl w:val="0"/>
          <w:numId w:val="9"/>
        </w:numPr>
        <w:contextualSpacing w:val="0"/>
      </w:pPr>
      <w:r>
        <w:t>Concept Note: Technical Meeting for Strengthening Prevention of Conflict-related Sexual Violence by Non-state Armed Groups</w:t>
      </w:r>
      <w:bookmarkEnd w:id="1"/>
    </w:p>
    <w:sectPr w:rsidR="00B964E0" w:rsidRPr="00B73173" w:rsidSect="00CB471D">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87" w:rsidRDefault="00460587" w:rsidP="006F2D07">
      <w:r>
        <w:separator/>
      </w:r>
    </w:p>
  </w:endnote>
  <w:endnote w:type="continuationSeparator" w:id="0">
    <w:p w:rsidR="00460587" w:rsidRDefault="00460587" w:rsidP="006F2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Grand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87" w:rsidRDefault="00460587" w:rsidP="006F2D07">
      <w:r>
        <w:separator/>
      </w:r>
    </w:p>
  </w:footnote>
  <w:footnote w:type="continuationSeparator" w:id="0">
    <w:p w:rsidR="00460587" w:rsidRDefault="00460587" w:rsidP="006F2D07">
      <w:r>
        <w:continuationSeparator/>
      </w:r>
    </w:p>
  </w:footnote>
  <w:footnote w:id="1">
    <w:p w:rsidR="006F2D07" w:rsidRPr="00964A09" w:rsidRDefault="006F2D07" w:rsidP="006F2D07">
      <w:pPr>
        <w:pStyle w:val="FootnoteText"/>
        <w:rPr>
          <w:sz w:val="20"/>
        </w:rPr>
      </w:pPr>
      <w:r w:rsidRPr="00964A09">
        <w:rPr>
          <w:rStyle w:val="FootnoteReference"/>
          <w:sz w:val="20"/>
        </w:rPr>
        <w:footnoteRef/>
      </w:r>
      <w:r w:rsidRPr="00964A09">
        <w:rPr>
          <w:sz w:val="20"/>
        </w:rPr>
        <w:t xml:space="preserve"> The term “project” is used for projects, programmes and joint programmes</w:t>
      </w:r>
    </w:p>
  </w:footnote>
  <w:footnote w:id="2">
    <w:p w:rsidR="003C3D91" w:rsidRDefault="003C3D91" w:rsidP="003C3D91">
      <w:pPr>
        <w:pStyle w:val="FootnoteText"/>
      </w:pPr>
      <w:r>
        <w:rPr>
          <w:rStyle w:val="FootnoteReference"/>
        </w:rPr>
        <w:footnoteRef/>
      </w:r>
      <w:r>
        <w:t xml:space="preserve"> </w:t>
      </w:r>
      <w:r w:rsidRPr="00530CD0">
        <w:t>Addressing Conflict-Related Sexual Violence: An Analytical Inventory of Peacekeeping Practice (UN), UNIFEM &amp; UN Action against Sexual Violence in Conflict, United Nations</w:t>
      </w:r>
      <w:r>
        <w:t>, June 2010, p.12.</w:t>
      </w:r>
    </w:p>
  </w:footnote>
  <w:footnote w:id="3">
    <w:p w:rsidR="003C3D91" w:rsidRDefault="003C3D91" w:rsidP="003C3D91">
      <w:pPr>
        <w:pStyle w:val="FootnoteText"/>
      </w:pPr>
      <w:r>
        <w:rPr>
          <w:rStyle w:val="FootnoteReference"/>
        </w:rPr>
        <w:footnoteRef/>
      </w:r>
      <w:r>
        <w:t xml:space="preserve"> See in particular, Security Council Resolutions 1325 (2000), 1820 (2008), 1882 (2009), 1888 (2009) and 1889 (2009).</w:t>
      </w:r>
    </w:p>
  </w:footnote>
  <w:footnote w:id="4">
    <w:p w:rsidR="00285318" w:rsidRPr="00961A88" w:rsidRDefault="00285318" w:rsidP="00285318">
      <w:pPr>
        <w:pStyle w:val="FootnoteText"/>
        <w:rPr>
          <w:sz w:val="20"/>
        </w:rPr>
      </w:pPr>
      <w:r w:rsidRPr="00961A88">
        <w:rPr>
          <w:rStyle w:val="FootnoteReference"/>
          <w:sz w:val="20"/>
        </w:rPr>
        <w:footnoteRef/>
      </w:r>
      <w:r w:rsidRPr="00961A88">
        <w:rPr>
          <w:sz w:val="20"/>
        </w:rPr>
        <w:t xml:space="preserve"> The research was overseen by an inter-agency steering group made up of Centre for Humanitarian Dialogue (CDH), Geneva Call, Centre for the Democratic Control of Armed Forces (DCAF), Harvard Humanitarian Initiative (HHI), Yale University, UNICEF, International Rescue Committee, WHO, International Committee of the Red Cross (ICRC), the World Bank, OCHA, International Center for Research on Women (ICRW), and the Sonke Gender Justice Network.</w:t>
      </w:r>
    </w:p>
  </w:footnote>
  <w:footnote w:id="5">
    <w:p w:rsidR="00285318" w:rsidRPr="00961A88" w:rsidRDefault="00285318" w:rsidP="00285318">
      <w:pPr>
        <w:pStyle w:val="FootnoteText"/>
        <w:rPr>
          <w:sz w:val="20"/>
        </w:rPr>
      </w:pPr>
      <w:r w:rsidRPr="00961A88">
        <w:rPr>
          <w:rStyle w:val="FootnoteReference"/>
          <w:sz w:val="20"/>
        </w:rPr>
        <w:footnoteRef/>
      </w:r>
      <w:r>
        <w:rPr>
          <w:sz w:val="20"/>
        </w:rPr>
        <w:t xml:space="preserve"> The </w:t>
      </w:r>
      <w:r w:rsidRPr="00961A88">
        <w:rPr>
          <w:sz w:val="20"/>
        </w:rPr>
        <w:t>draft Mission Report is available from by contacting mmarsh@unicef.org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95F"/>
    <w:multiLevelType w:val="hybridMultilevel"/>
    <w:tmpl w:val="94ECB0F0"/>
    <w:lvl w:ilvl="0" w:tplc="EFB812D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40E4E"/>
    <w:multiLevelType w:val="hybridMultilevel"/>
    <w:tmpl w:val="E2BCCDE6"/>
    <w:lvl w:ilvl="0" w:tplc="8ECCCC78">
      <w:start w:val="1"/>
      <w:numFmt w:val="bullet"/>
      <w:lvlText w:val="•"/>
      <w:lvlJc w:val="left"/>
      <w:pPr>
        <w:tabs>
          <w:tab w:val="num" w:pos="720"/>
        </w:tabs>
        <w:ind w:left="720" w:hanging="360"/>
      </w:pPr>
      <w:rPr>
        <w:rFonts w:ascii="Arial" w:hAnsi="Arial" w:hint="default"/>
      </w:rPr>
    </w:lvl>
    <w:lvl w:ilvl="1" w:tplc="900CA0F6" w:tentative="1">
      <w:start w:val="1"/>
      <w:numFmt w:val="bullet"/>
      <w:lvlText w:val="•"/>
      <w:lvlJc w:val="left"/>
      <w:pPr>
        <w:tabs>
          <w:tab w:val="num" w:pos="1440"/>
        </w:tabs>
        <w:ind w:left="1440" w:hanging="360"/>
      </w:pPr>
      <w:rPr>
        <w:rFonts w:ascii="Arial" w:hAnsi="Arial" w:hint="default"/>
      </w:rPr>
    </w:lvl>
    <w:lvl w:ilvl="2" w:tplc="7DC8D274" w:tentative="1">
      <w:start w:val="1"/>
      <w:numFmt w:val="bullet"/>
      <w:lvlText w:val="•"/>
      <w:lvlJc w:val="left"/>
      <w:pPr>
        <w:tabs>
          <w:tab w:val="num" w:pos="2160"/>
        </w:tabs>
        <w:ind w:left="2160" w:hanging="360"/>
      </w:pPr>
      <w:rPr>
        <w:rFonts w:ascii="Arial" w:hAnsi="Arial" w:hint="default"/>
      </w:rPr>
    </w:lvl>
    <w:lvl w:ilvl="3" w:tplc="4BB864F0" w:tentative="1">
      <w:start w:val="1"/>
      <w:numFmt w:val="bullet"/>
      <w:lvlText w:val="•"/>
      <w:lvlJc w:val="left"/>
      <w:pPr>
        <w:tabs>
          <w:tab w:val="num" w:pos="2880"/>
        </w:tabs>
        <w:ind w:left="2880" w:hanging="360"/>
      </w:pPr>
      <w:rPr>
        <w:rFonts w:ascii="Arial" w:hAnsi="Arial" w:hint="default"/>
      </w:rPr>
    </w:lvl>
    <w:lvl w:ilvl="4" w:tplc="E978664E" w:tentative="1">
      <w:start w:val="1"/>
      <w:numFmt w:val="bullet"/>
      <w:lvlText w:val="•"/>
      <w:lvlJc w:val="left"/>
      <w:pPr>
        <w:tabs>
          <w:tab w:val="num" w:pos="3600"/>
        </w:tabs>
        <w:ind w:left="3600" w:hanging="360"/>
      </w:pPr>
      <w:rPr>
        <w:rFonts w:ascii="Arial" w:hAnsi="Arial" w:hint="default"/>
      </w:rPr>
    </w:lvl>
    <w:lvl w:ilvl="5" w:tplc="19A06452" w:tentative="1">
      <w:start w:val="1"/>
      <w:numFmt w:val="bullet"/>
      <w:lvlText w:val="•"/>
      <w:lvlJc w:val="left"/>
      <w:pPr>
        <w:tabs>
          <w:tab w:val="num" w:pos="4320"/>
        </w:tabs>
        <w:ind w:left="4320" w:hanging="360"/>
      </w:pPr>
      <w:rPr>
        <w:rFonts w:ascii="Arial" w:hAnsi="Arial" w:hint="default"/>
      </w:rPr>
    </w:lvl>
    <w:lvl w:ilvl="6" w:tplc="2E1424BA" w:tentative="1">
      <w:start w:val="1"/>
      <w:numFmt w:val="bullet"/>
      <w:lvlText w:val="•"/>
      <w:lvlJc w:val="left"/>
      <w:pPr>
        <w:tabs>
          <w:tab w:val="num" w:pos="5040"/>
        </w:tabs>
        <w:ind w:left="5040" w:hanging="360"/>
      </w:pPr>
      <w:rPr>
        <w:rFonts w:ascii="Arial" w:hAnsi="Arial" w:hint="default"/>
      </w:rPr>
    </w:lvl>
    <w:lvl w:ilvl="7" w:tplc="37AE6428" w:tentative="1">
      <w:start w:val="1"/>
      <w:numFmt w:val="bullet"/>
      <w:lvlText w:val="•"/>
      <w:lvlJc w:val="left"/>
      <w:pPr>
        <w:tabs>
          <w:tab w:val="num" w:pos="5760"/>
        </w:tabs>
        <w:ind w:left="5760" w:hanging="360"/>
      </w:pPr>
      <w:rPr>
        <w:rFonts w:ascii="Arial" w:hAnsi="Arial" w:hint="default"/>
      </w:rPr>
    </w:lvl>
    <w:lvl w:ilvl="8" w:tplc="BD5293F4" w:tentative="1">
      <w:start w:val="1"/>
      <w:numFmt w:val="bullet"/>
      <w:lvlText w:val="•"/>
      <w:lvlJc w:val="left"/>
      <w:pPr>
        <w:tabs>
          <w:tab w:val="num" w:pos="6480"/>
        </w:tabs>
        <w:ind w:left="6480" w:hanging="360"/>
      </w:pPr>
      <w:rPr>
        <w:rFonts w:ascii="Arial" w:hAnsi="Arial" w:hint="default"/>
      </w:rPr>
    </w:lvl>
  </w:abstractNum>
  <w:abstractNum w:abstractNumId="3">
    <w:nsid w:val="1B025CAF"/>
    <w:multiLevelType w:val="hybridMultilevel"/>
    <w:tmpl w:val="B888E2E8"/>
    <w:lvl w:ilvl="0" w:tplc="59A8E8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A50066"/>
    <w:multiLevelType w:val="hybridMultilevel"/>
    <w:tmpl w:val="97F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320"/>
    <w:multiLevelType w:val="hybridMultilevel"/>
    <w:tmpl w:val="2472AC5A"/>
    <w:lvl w:ilvl="0" w:tplc="7D5A56FE">
      <w:start w:val="1"/>
      <w:numFmt w:val="bullet"/>
      <w:lvlText w:val=""/>
      <w:lvlJc w:val="left"/>
      <w:pPr>
        <w:tabs>
          <w:tab w:val="num" w:pos="720"/>
        </w:tabs>
        <w:ind w:left="720" w:hanging="360"/>
      </w:pPr>
      <w:rPr>
        <w:rFonts w:ascii="Wingdings" w:hAnsi="Wingdings" w:hint="default"/>
      </w:rPr>
    </w:lvl>
    <w:lvl w:ilvl="1" w:tplc="B61AACD2" w:tentative="1">
      <w:start w:val="1"/>
      <w:numFmt w:val="bullet"/>
      <w:lvlText w:val=""/>
      <w:lvlJc w:val="left"/>
      <w:pPr>
        <w:tabs>
          <w:tab w:val="num" w:pos="1440"/>
        </w:tabs>
        <w:ind w:left="1440" w:hanging="360"/>
      </w:pPr>
      <w:rPr>
        <w:rFonts w:ascii="Wingdings" w:hAnsi="Wingdings" w:hint="default"/>
      </w:rPr>
    </w:lvl>
    <w:lvl w:ilvl="2" w:tplc="7BAAC650" w:tentative="1">
      <w:start w:val="1"/>
      <w:numFmt w:val="bullet"/>
      <w:lvlText w:val=""/>
      <w:lvlJc w:val="left"/>
      <w:pPr>
        <w:tabs>
          <w:tab w:val="num" w:pos="2160"/>
        </w:tabs>
        <w:ind w:left="2160" w:hanging="360"/>
      </w:pPr>
      <w:rPr>
        <w:rFonts w:ascii="Wingdings" w:hAnsi="Wingdings" w:hint="default"/>
      </w:rPr>
    </w:lvl>
    <w:lvl w:ilvl="3" w:tplc="94B8C71E" w:tentative="1">
      <w:start w:val="1"/>
      <w:numFmt w:val="bullet"/>
      <w:lvlText w:val=""/>
      <w:lvlJc w:val="left"/>
      <w:pPr>
        <w:tabs>
          <w:tab w:val="num" w:pos="2880"/>
        </w:tabs>
        <w:ind w:left="2880" w:hanging="360"/>
      </w:pPr>
      <w:rPr>
        <w:rFonts w:ascii="Wingdings" w:hAnsi="Wingdings" w:hint="default"/>
      </w:rPr>
    </w:lvl>
    <w:lvl w:ilvl="4" w:tplc="7B503E6E" w:tentative="1">
      <w:start w:val="1"/>
      <w:numFmt w:val="bullet"/>
      <w:lvlText w:val=""/>
      <w:lvlJc w:val="left"/>
      <w:pPr>
        <w:tabs>
          <w:tab w:val="num" w:pos="3600"/>
        </w:tabs>
        <w:ind w:left="3600" w:hanging="360"/>
      </w:pPr>
      <w:rPr>
        <w:rFonts w:ascii="Wingdings" w:hAnsi="Wingdings" w:hint="default"/>
      </w:rPr>
    </w:lvl>
    <w:lvl w:ilvl="5" w:tplc="6C0223AE" w:tentative="1">
      <w:start w:val="1"/>
      <w:numFmt w:val="bullet"/>
      <w:lvlText w:val=""/>
      <w:lvlJc w:val="left"/>
      <w:pPr>
        <w:tabs>
          <w:tab w:val="num" w:pos="4320"/>
        </w:tabs>
        <w:ind w:left="4320" w:hanging="360"/>
      </w:pPr>
      <w:rPr>
        <w:rFonts w:ascii="Wingdings" w:hAnsi="Wingdings" w:hint="default"/>
      </w:rPr>
    </w:lvl>
    <w:lvl w:ilvl="6" w:tplc="0FC0BCDE" w:tentative="1">
      <w:start w:val="1"/>
      <w:numFmt w:val="bullet"/>
      <w:lvlText w:val=""/>
      <w:lvlJc w:val="left"/>
      <w:pPr>
        <w:tabs>
          <w:tab w:val="num" w:pos="5040"/>
        </w:tabs>
        <w:ind w:left="5040" w:hanging="360"/>
      </w:pPr>
      <w:rPr>
        <w:rFonts w:ascii="Wingdings" w:hAnsi="Wingdings" w:hint="default"/>
      </w:rPr>
    </w:lvl>
    <w:lvl w:ilvl="7" w:tplc="169E0056" w:tentative="1">
      <w:start w:val="1"/>
      <w:numFmt w:val="bullet"/>
      <w:lvlText w:val=""/>
      <w:lvlJc w:val="left"/>
      <w:pPr>
        <w:tabs>
          <w:tab w:val="num" w:pos="5760"/>
        </w:tabs>
        <w:ind w:left="5760" w:hanging="360"/>
      </w:pPr>
      <w:rPr>
        <w:rFonts w:ascii="Wingdings" w:hAnsi="Wingdings" w:hint="default"/>
      </w:rPr>
    </w:lvl>
    <w:lvl w:ilvl="8" w:tplc="44FE5A74" w:tentative="1">
      <w:start w:val="1"/>
      <w:numFmt w:val="bullet"/>
      <w:lvlText w:val=""/>
      <w:lvlJc w:val="left"/>
      <w:pPr>
        <w:tabs>
          <w:tab w:val="num" w:pos="6480"/>
        </w:tabs>
        <w:ind w:left="6480" w:hanging="360"/>
      </w:pPr>
      <w:rPr>
        <w:rFonts w:ascii="Wingdings" w:hAnsi="Wingdings" w:hint="default"/>
      </w:rPr>
    </w:lvl>
  </w:abstractNum>
  <w:abstractNum w:abstractNumId="6">
    <w:nsid w:val="3BD93EC9"/>
    <w:multiLevelType w:val="hybridMultilevel"/>
    <w:tmpl w:val="E12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C0092"/>
    <w:multiLevelType w:val="hybridMultilevel"/>
    <w:tmpl w:val="403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0002"/>
    <w:multiLevelType w:val="hybridMultilevel"/>
    <w:tmpl w:val="66AA1EA0"/>
    <w:lvl w:ilvl="0" w:tplc="5EF672AC">
      <w:start w:val="1"/>
      <w:numFmt w:val="bullet"/>
      <w:lvlText w:val=""/>
      <w:lvlJc w:val="left"/>
      <w:pPr>
        <w:tabs>
          <w:tab w:val="num" w:pos="720"/>
        </w:tabs>
        <w:ind w:left="720" w:hanging="360"/>
      </w:pPr>
      <w:rPr>
        <w:rFonts w:ascii="Wingdings 2" w:hAnsi="Wingdings 2" w:hint="default"/>
      </w:rPr>
    </w:lvl>
    <w:lvl w:ilvl="1" w:tplc="4E8A63E4">
      <w:start w:val="1"/>
      <w:numFmt w:val="bullet"/>
      <w:lvlText w:val=""/>
      <w:lvlJc w:val="left"/>
      <w:pPr>
        <w:tabs>
          <w:tab w:val="num" w:pos="810"/>
        </w:tabs>
        <w:ind w:left="810" w:hanging="360"/>
      </w:pPr>
      <w:rPr>
        <w:rFonts w:ascii="Wingdings 2" w:hAnsi="Wingdings 2" w:hint="default"/>
        <w:lang w:val="en-GB"/>
      </w:rPr>
    </w:lvl>
    <w:lvl w:ilvl="2" w:tplc="88661D02" w:tentative="1">
      <w:start w:val="1"/>
      <w:numFmt w:val="bullet"/>
      <w:lvlText w:val=""/>
      <w:lvlJc w:val="left"/>
      <w:pPr>
        <w:tabs>
          <w:tab w:val="num" w:pos="2160"/>
        </w:tabs>
        <w:ind w:left="2160" w:hanging="360"/>
      </w:pPr>
      <w:rPr>
        <w:rFonts w:ascii="Wingdings 2" w:hAnsi="Wingdings 2" w:hint="default"/>
      </w:rPr>
    </w:lvl>
    <w:lvl w:ilvl="3" w:tplc="18E2EB88" w:tentative="1">
      <w:start w:val="1"/>
      <w:numFmt w:val="bullet"/>
      <w:lvlText w:val=""/>
      <w:lvlJc w:val="left"/>
      <w:pPr>
        <w:tabs>
          <w:tab w:val="num" w:pos="2880"/>
        </w:tabs>
        <w:ind w:left="2880" w:hanging="360"/>
      </w:pPr>
      <w:rPr>
        <w:rFonts w:ascii="Wingdings 2" w:hAnsi="Wingdings 2" w:hint="default"/>
      </w:rPr>
    </w:lvl>
    <w:lvl w:ilvl="4" w:tplc="57EC92F6" w:tentative="1">
      <w:start w:val="1"/>
      <w:numFmt w:val="bullet"/>
      <w:lvlText w:val=""/>
      <w:lvlJc w:val="left"/>
      <w:pPr>
        <w:tabs>
          <w:tab w:val="num" w:pos="3600"/>
        </w:tabs>
        <w:ind w:left="3600" w:hanging="360"/>
      </w:pPr>
      <w:rPr>
        <w:rFonts w:ascii="Wingdings 2" w:hAnsi="Wingdings 2" w:hint="default"/>
      </w:rPr>
    </w:lvl>
    <w:lvl w:ilvl="5" w:tplc="779E6998" w:tentative="1">
      <w:start w:val="1"/>
      <w:numFmt w:val="bullet"/>
      <w:lvlText w:val=""/>
      <w:lvlJc w:val="left"/>
      <w:pPr>
        <w:tabs>
          <w:tab w:val="num" w:pos="4320"/>
        </w:tabs>
        <w:ind w:left="4320" w:hanging="360"/>
      </w:pPr>
      <w:rPr>
        <w:rFonts w:ascii="Wingdings 2" w:hAnsi="Wingdings 2" w:hint="default"/>
      </w:rPr>
    </w:lvl>
    <w:lvl w:ilvl="6" w:tplc="71FEA432" w:tentative="1">
      <w:start w:val="1"/>
      <w:numFmt w:val="bullet"/>
      <w:lvlText w:val=""/>
      <w:lvlJc w:val="left"/>
      <w:pPr>
        <w:tabs>
          <w:tab w:val="num" w:pos="5040"/>
        </w:tabs>
        <w:ind w:left="5040" w:hanging="360"/>
      </w:pPr>
      <w:rPr>
        <w:rFonts w:ascii="Wingdings 2" w:hAnsi="Wingdings 2" w:hint="default"/>
      </w:rPr>
    </w:lvl>
    <w:lvl w:ilvl="7" w:tplc="A5D0B938" w:tentative="1">
      <w:start w:val="1"/>
      <w:numFmt w:val="bullet"/>
      <w:lvlText w:val=""/>
      <w:lvlJc w:val="left"/>
      <w:pPr>
        <w:tabs>
          <w:tab w:val="num" w:pos="5760"/>
        </w:tabs>
        <w:ind w:left="5760" w:hanging="360"/>
      </w:pPr>
      <w:rPr>
        <w:rFonts w:ascii="Wingdings 2" w:hAnsi="Wingdings 2" w:hint="default"/>
      </w:rPr>
    </w:lvl>
    <w:lvl w:ilvl="8" w:tplc="24D2ECB6" w:tentative="1">
      <w:start w:val="1"/>
      <w:numFmt w:val="bullet"/>
      <w:lvlText w:val=""/>
      <w:lvlJc w:val="left"/>
      <w:pPr>
        <w:tabs>
          <w:tab w:val="num" w:pos="6480"/>
        </w:tabs>
        <w:ind w:left="6480" w:hanging="360"/>
      </w:pPr>
      <w:rPr>
        <w:rFonts w:ascii="Wingdings 2" w:hAnsi="Wingdings 2" w:hint="default"/>
      </w:rPr>
    </w:lvl>
  </w:abstractNum>
  <w:abstractNum w:abstractNumId="9">
    <w:nsid w:val="6A4058EA"/>
    <w:multiLevelType w:val="hybridMultilevel"/>
    <w:tmpl w:val="0D70F29E"/>
    <w:lvl w:ilvl="0" w:tplc="7FA6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4"/>
  </w:num>
  <w:num w:numId="5">
    <w:abstractNumId w:val="5"/>
  </w:num>
  <w:num w:numId="6">
    <w:abstractNumId w:val="2"/>
  </w:num>
  <w:num w:numId="7">
    <w:abstractNumId w:val="8"/>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2D07"/>
    <w:rsid w:val="00004F53"/>
    <w:rsid w:val="0000670D"/>
    <w:rsid w:val="000106D0"/>
    <w:rsid w:val="00013A15"/>
    <w:rsid w:val="00016B05"/>
    <w:rsid w:val="00022DAE"/>
    <w:rsid w:val="0002739F"/>
    <w:rsid w:val="00027F84"/>
    <w:rsid w:val="000323B2"/>
    <w:rsid w:val="000458D8"/>
    <w:rsid w:val="0005301D"/>
    <w:rsid w:val="00054525"/>
    <w:rsid w:val="00054F96"/>
    <w:rsid w:val="00067335"/>
    <w:rsid w:val="00070903"/>
    <w:rsid w:val="0007094A"/>
    <w:rsid w:val="0007125E"/>
    <w:rsid w:val="000741F4"/>
    <w:rsid w:val="00075379"/>
    <w:rsid w:val="00086513"/>
    <w:rsid w:val="00090806"/>
    <w:rsid w:val="00090918"/>
    <w:rsid w:val="000909A0"/>
    <w:rsid w:val="00093274"/>
    <w:rsid w:val="00094807"/>
    <w:rsid w:val="00094D05"/>
    <w:rsid w:val="000962E8"/>
    <w:rsid w:val="000A3436"/>
    <w:rsid w:val="000A5BC7"/>
    <w:rsid w:val="000C1624"/>
    <w:rsid w:val="000D4633"/>
    <w:rsid w:val="000D652D"/>
    <w:rsid w:val="000E2BB6"/>
    <w:rsid w:val="000E7E41"/>
    <w:rsid w:val="000F78A6"/>
    <w:rsid w:val="00102AC5"/>
    <w:rsid w:val="00112991"/>
    <w:rsid w:val="001179CE"/>
    <w:rsid w:val="001242E2"/>
    <w:rsid w:val="00125886"/>
    <w:rsid w:val="00126BBC"/>
    <w:rsid w:val="00137106"/>
    <w:rsid w:val="0014170E"/>
    <w:rsid w:val="00145C30"/>
    <w:rsid w:val="0015517C"/>
    <w:rsid w:val="00160AAA"/>
    <w:rsid w:val="00164D7B"/>
    <w:rsid w:val="001707AD"/>
    <w:rsid w:val="001708A2"/>
    <w:rsid w:val="00175278"/>
    <w:rsid w:val="001860B6"/>
    <w:rsid w:val="001A0018"/>
    <w:rsid w:val="001A1326"/>
    <w:rsid w:val="001A38A6"/>
    <w:rsid w:val="001B0331"/>
    <w:rsid w:val="001B259D"/>
    <w:rsid w:val="001C23A3"/>
    <w:rsid w:val="001C5206"/>
    <w:rsid w:val="001E0EF8"/>
    <w:rsid w:val="001F0F33"/>
    <w:rsid w:val="002045A5"/>
    <w:rsid w:val="002062A1"/>
    <w:rsid w:val="0021057E"/>
    <w:rsid w:val="00210EF3"/>
    <w:rsid w:val="00216F44"/>
    <w:rsid w:val="00221084"/>
    <w:rsid w:val="00223BF2"/>
    <w:rsid w:val="0023203D"/>
    <w:rsid w:val="00232E48"/>
    <w:rsid w:val="002359C6"/>
    <w:rsid w:val="00242A1A"/>
    <w:rsid w:val="00244A5C"/>
    <w:rsid w:val="00246103"/>
    <w:rsid w:val="0024659C"/>
    <w:rsid w:val="00246B93"/>
    <w:rsid w:val="00257D89"/>
    <w:rsid w:val="0026007F"/>
    <w:rsid w:val="00262DC7"/>
    <w:rsid w:val="00266A2D"/>
    <w:rsid w:val="00272E63"/>
    <w:rsid w:val="00285318"/>
    <w:rsid w:val="002921E2"/>
    <w:rsid w:val="00295BC8"/>
    <w:rsid w:val="00297516"/>
    <w:rsid w:val="002A1B2C"/>
    <w:rsid w:val="002A2693"/>
    <w:rsid w:val="002A2AB0"/>
    <w:rsid w:val="002A3370"/>
    <w:rsid w:val="002A4091"/>
    <w:rsid w:val="002A6155"/>
    <w:rsid w:val="002A671C"/>
    <w:rsid w:val="002C52A7"/>
    <w:rsid w:val="002D0127"/>
    <w:rsid w:val="002D176A"/>
    <w:rsid w:val="002D535E"/>
    <w:rsid w:val="002D6842"/>
    <w:rsid w:val="002E2BB4"/>
    <w:rsid w:val="002E34DD"/>
    <w:rsid w:val="002F31F2"/>
    <w:rsid w:val="002F3845"/>
    <w:rsid w:val="00311C92"/>
    <w:rsid w:val="0032529B"/>
    <w:rsid w:val="0034354F"/>
    <w:rsid w:val="003537C4"/>
    <w:rsid w:val="00355E69"/>
    <w:rsid w:val="00355E7B"/>
    <w:rsid w:val="00356165"/>
    <w:rsid w:val="00356DB6"/>
    <w:rsid w:val="003658A5"/>
    <w:rsid w:val="00367364"/>
    <w:rsid w:val="00380D4C"/>
    <w:rsid w:val="003959C0"/>
    <w:rsid w:val="003A30BD"/>
    <w:rsid w:val="003B3793"/>
    <w:rsid w:val="003B6CE8"/>
    <w:rsid w:val="003C28F5"/>
    <w:rsid w:val="003C308D"/>
    <w:rsid w:val="003C3D91"/>
    <w:rsid w:val="003D09B5"/>
    <w:rsid w:val="003D2FBD"/>
    <w:rsid w:val="003D3D7B"/>
    <w:rsid w:val="003D61F6"/>
    <w:rsid w:val="003D6AB7"/>
    <w:rsid w:val="003E28BC"/>
    <w:rsid w:val="003F2BCD"/>
    <w:rsid w:val="003F69B8"/>
    <w:rsid w:val="004006F4"/>
    <w:rsid w:val="00402070"/>
    <w:rsid w:val="00403DC3"/>
    <w:rsid w:val="00420855"/>
    <w:rsid w:val="004276A1"/>
    <w:rsid w:val="0044012F"/>
    <w:rsid w:val="004521F1"/>
    <w:rsid w:val="00460587"/>
    <w:rsid w:val="00464CF9"/>
    <w:rsid w:val="00467363"/>
    <w:rsid w:val="004724E4"/>
    <w:rsid w:val="00484C5B"/>
    <w:rsid w:val="00494366"/>
    <w:rsid w:val="0049665F"/>
    <w:rsid w:val="004966EB"/>
    <w:rsid w:val="004A29D5"/>
    <w:rsid w:val="004A2B30"/>
    <w:rsid w:val="004A3F00"/>
    <w:rsid w:val="004A41BB"/>
    <w:rsid w:val="004B38B2"/>
    <w:rsid w:val="004B4FBC"/>
    <w:rsid w:val="004B5075"/>
    <w:rsid w:val="004D3A9B"/>
    <w:rsid w:val="004D678E"/>
    <w:rsid w:val="004E2E58"/>
    <w:rsid w:val="004F1B6C"/>
    <w:rsid w:val="004F2400"/>
    <w:rsid w:val="004F70AB"/>
    <w:rsid w:val="00504C58"/>
    <w:rsid w:val="005131D4"/>
    <w:rsid w:val="00514348"/>
    <w:rsid w:val="005169F8"/>
    <w:rsid w:val="0052074D"/>
    <w:rsid w:val="0054398A"/>
    <w:rsid w:val="00546717"/>
    <w:rsid w:val="00550431"/>
    <w:rsid w:val="00552223"/>
    <w:rsid w:val="00552B76"/>
    <w:rsid w:val="00553541"/>
    <w:rsid w:val="0055413A"/>
    <w:rsid w:val="00556E1D"/>
    <w:rsid w:val="005616CB"/>
    <w:rsid w:val="0056623C"/>
    <w:rsid w:val="00572A8E"/>
    <w:rsid w:val="005748C0"/>
    <w:rsid w:val="00582364"/>
    <w:rsid w:val="00595138"/>
    <w:rsid w:val="005968B3"/>
    <w:rsid w:val="0059767B"/>
    <w:rsid w:val="005A3BA1"/>
    <w:rsid w:val="005B1592"/>
    <w:rsid w:val="005C3676"/>
    <w:rsid w:val="005D3431"/>
    <w:rsid w:val="005D4834"/>
    <w:rsid w:val="005D6C8E"/>
    <w:rsid w:val="005D76B6"/>
    <w:rsid w:val="005E20FD"/>
    <w:rsid w:val="005E6BCE"/>
    <w:rsid w:val="005F284D"/>
    <w:rsid w:val="005F57BA"/>
    <w:rsid w:val="00600DAA"/>
    <w:rsid w:val="00601455"/>
    <w:rsid w:val="00610D84"/>
    <w:rsid w:val="0061364A"/>
    <w:rsid w:val="00614624"/>
    <w:rsid w:val="00620F4A"/>
    <w:rsid w:val="006314F4"/>
    <w:rsid w:val="00641ABB"/>
    <w:rsid w:val="00654CAC"/>
    <w:rsid w:val="00656A80"/>
    <w:rsid w:val="00657D9D"/>
    <w:rsid w:val="0066424D"/>
    <w:rsid w:val="00672A66"/>
    <w:rsid w:val="00684942"/>
    <w:rsid w:val="00686667"/>
    <w:rsid w:val="006913D0"/>
    <w:rsid w:val="006941C7"/>
    <w:rsid w:val="006A0039"/>
    <w:rsid w:val="006A18CB"/>
    <w:rsid w:val="006A640A"/>
    <w:rsid w:val="006B07F1"/>
    <w:rsid w:val="006B5B24"/>
    <w:rsid w:val="006B7436"/>
    <w:rsid w:val="006C0E56"/>
    <w:rsid w:val="006D3507"/>
    <w:rsid w:val="006D6844"/>
    <w:rsid w:val="006E0F9D"/>
    <w:rsid w:val="006E1A71"/>
    <w:rsid w:val="006E5F7D"/>
    <w:rsid w:val="006F1058"/>
    <w:rsid w:val="006F2AA9"/>
    <w:rsid w:val="006F2D07"/>
    <w:rsid w:val="006F3353"/>
    <w:rsid w:val="006F3DD0"/>
    <w:rsid w:val="006F5DBD"/>
    <w:rsid w:val="00701A26"/>
    <w:rsid w:val="00701B59"/>
    <w:rsid w:val="00707348"/>
    <w:rsid w:val="0071576E"/>
    <w:rsid w:val="0071652D"/>
    <w:rsid w:val="00724B71"/>
    <w:rsid w:val="00732A8C"/>
    <w:rsid w:val="0073373D"/>
    <w:rsid w:val="007413FD"/>
    <w:rsid w:val="00744D03"/>
    <w:rsid w:val="00750C13"/>
    <w:rsid w:val="00750C50"/>
    <w:rsid w:val="00752031"/>
    <w:rsid w:val="00757F31"/>
    <w:rsid w:val="0076658C"/>
    <w:rsid w:val="00770B04"/>
    <w:rsid w:val="0078686F"/>
    <w:rsid w:val="00787617"/>
    <w:rsid w:val="00787DF7"/>
    <w:rsid w:val="00790ED6"/>
    <w:rsid w:val="007A151D"/>
    <w:rsid w:val="007A16A5"/>
    <w:rsid w:val="007A2FA8"/>
    <w:rsid w:val="007A6436"/>
    <w:rsid w:val="007B001F"/>
    <w:rsid w:val="007B43F6"/>
    <w:rsid w:val="007C5EFC"/>
    <w:rsid w:val="007C6810"/>
    <w:rsid w:val="007D2B25"/>
    <w:rsid w:val="007D5A13"/>
    <w:rsid w:val="007E2875"/>
    <w:rsid w:val="007E39AC"/>
    <w:rsid w:val="007E6205"/>
    <w:rsid w:val="007F0807"/>
    <w:rsid w:val="007F3123"/>
    <w:rsid w:val="007F3331"/>
    <w:rsid w:val="007F5C96"/>
    <w:rsid w:val="007F7F36"/>
    <w:rsid w:val="00804A38"/>
    <w:rsid w:val="0080681F"/>
    <w:rsid w:val="00811779"/>
    <w:rsid w:val="00813D2F"/>
    <w:rsid w:val="0081440D"/>
    <w:rsid w:val="00822B6F"/>
    <w:rsid w:val="00840057"/>
    <w:rsid w:val="008419E5"/>
    <w:rsid w:val="00844F4E"/>
    <w:rsid w:val="00847E3E"/>
    <w:rsid w:val="0085002C"/>
    <w:rsid w:val="008659D9"/>
    <w:rsid w:val="00866D61"/>
    <w:rsid w:val="0087004D"/>
    <w:rsid w:val="00877712"/>
    <w:rsid w:val="00883D3F"/>
    <w:rsid w:val="00885154"/>
    <w:rsid w:val="00887317"/>
    <w:rsid w:val="00892491"/>
    <w:rsid w:val="008B3E96"/>
    <w:rsid w:val="008C0035"/>
    <w:rsid w:val="008C124A"/>
    <w:rsid w:val="008C128B"/>
    <w:rsid w:val="008C3E08"/>
    <w:rsid w:val="008D619D"/>
    <w:rsid w:val="008D71C7"/>
    <w:rsid w:val="008D76BA"/>
    <w:rsid w:val="008E2126"/>
    <w:rsid w:val="008F0110"/>
    <w:rsid w:val="008F0A49"/>
    <w:rsid w:val="008F3C26"/>
    <w:rsid w:val="008F6242"/>
    <w:rsid w:val="00906CC0"/>
    <w:rsid w:val="009148E5"/>
    <w:rsid w:val="00920DA9"/>
    <w:rsid w:val="00922E8E"/>
    <w:rsid w:val="00926185"/>
    <w:rsid w:val="00932110"/>
    <w:rsid w:val="00936824"/>
    <w:rsid w:val="00954C6F"/>
    <w:rsid w:val="00961A88"/>
    <w:rsid w:val="00975771"/>
    <w:rsid w:val="009A6837"/>
    <w:rsid w:val="009B2811"/>
    <w:rsid w:val="009B76AA"/>
    <w:rsid w:val="009B7C21"/>
    <w:rsid w:val="009D3CA7"/>
    <w:rsid w:val="009D4CAA"/>
    <w:rsid w:val="009D6F51"/>
    <w:rsid w:val="009E3C96"/>
    <w:rsid w:val="009F0FAE"/>
    <w:rsid w:val="00A07DA3"/>
    <w:rsid w:val="00A106BF"/>
    <w:rsid w:val="00A1395A"/>
    <w:rsid w:val="00A21EF3"/>
    <w:rsid w:val="00A22FC2"/>
    <w:rsid w:val="00A303F2"/>
    <w:rsid w:val="00A33FB3"/>
    <w:rsid w:val="00A37743"/>
    <w:rsid w:val="00A37F06"/>
    <w:rsid w:val="00A466D0"/>
    <w:rsid w:val="00A46E5E"/>
    <w:rsid w:val="00A65606"/>
    <w:rsid w:val="00A6661B"/>
    <w:rsid w:val="00A81AD8"/>
    <w:rsid w:val="00A87110"/>
    <w:rsid w:val="00A91F9D"/>
    <w:rsid w:val="00A92109"/>
    <w:rsid w:val="00A93EBE"/>
    <w:rsid w:val="00AA47BD"/>
    <w:rsid w:val="00AA59EF"/>
    <w:rsid w:val="00AC3AA7"/>
    <w:rsid w:val="00AC633F"/>
    <w:rsid w:val="00AD07F3"/>
    <w:rsid w:val="00AD0BD7"/>
    <w:rsid w:val="00AE3A6F"/>
    <w:rsid w:val="00AF1442"/>
    <w:rsid w:val="00AF3BB2"/>
    <w:rsid w:val="00B018B6"/>
    <w:rsid w:val="00B167AC"/>
    <w:rsid w:val="00B226AD"/>
    <w:rsid w:val="00B24798"/>
    <w:rsid w:val="00B26AB6"/>
    <w:rsid w:val="00B30D8A"/>
    <w:rsid w:val="00B33E43"/>
    <w:rsid w:val="00B34C22"/>
    <w:rsid w:val="00B43583"/>
    <w:rsid w:val="00B452DD"/>
    <w:rsid w:val="00B45880"/>
    <w:rsid w:val="00B461C8"/>
    <w:rsid w:val="00B5134A"/>
    <w:rsid w:val="00B51617"/>
    <w:rsid w:val="00B53E2F"/>
    <w:rsid w:val="00B6267E"/>
    <w:rsid w:val="00B64E9D"/>
    <w:rsid w:val="00B670A6"/>
    <w:rsid w:val="00B73173"/>
    <w:rsid w:val="00B76A35"/>
    <w:rsid w:val="00B82CEC"/>
    <w:rsid w:val="00B92376"/>
    <w:rsid w:val="00B93455"/>
    <w:rsid w:val="00B93707"/>
    <w:rsid w:val="00B964E0"/>
    <w:rsid w:val="00BA13C5"/>
    <w:rsid w:val="00BA16F0"/>
    <w:rsid w:val="00BA4E1D"/>
    <w:rsid w:val="00BB0928"/>
    <w:rsid w:val="00BB4847"/>
    <w:rsid w:val="00BC43DA"/>
    <w:rsid w:val="00BC5605"/>
    <w:rsid w:val="00BC5619"/>
    <w:rsid w:val="00BD3CA1"/>
    <w:rsid w:val="00BD7EB3"/>
    <w:rsid w:val="00BE45CD"/>
    <w:rsid w:val="00BE6958"/>
    <w:rsid w:val="00BF1753"/>
    <w:rsid w:val="00C176C4"/>
    <w:rsid w:val="00C260D9"/>
    <w:rsid w:val="00C26DA7"/>
    <w:rsid w:val="00C33158"/>
    <w:rsid w:val="00C33484"/>
    <w:rsid w:val="00C33FB8"/>
    <w:rsid w:val="00C36E56"/>
    <w:rsid w:val="00C41716"/>
    <w:rsid w:val="00C4291E"/>
    <w:rsid w:val="00C453E9"/>
    <w:rsid w:val="00C47BAF"/>
    <w:rsid w:val="00C71CDA"/>
    <w:rsid w:val="00C72E0D"/>
    <w:rsid w:val="00C74413"/>
    <w:rsid w:val="00C77759"/>
    <w:rsid w:val="00C779A2"/>
    <w:rsid w:val="00C77CA3"/>
    <w:rsid w:val="00C86E9F"/>
    <w:rsid w:val="00C870EA"/>
    <w:rsid w:val="00C9079F"/>
    <w:rsid w:val="00C95E7A"/>
    <w:rsid w:val="00C972CB"/>
    <w:rsid w:val="00CA2F2B"/>
    <w:rsid w:val="00CB26D3"/>
    <w:rsid w:val="00CB4665"/>
    <w:rsid w:val="00CB471D"/>
    <w:rsid w:val="00CC013A"/>
    <w:rsid w:val="00CC45B5"/>
    <w:rsid w:val="00CC51BB"/>
    <w:rsid w:val="00CD179C"/>
    <w:rsid w:val="00CD3C1A"/>
    <w:rsid w:val="00CE13D8"/>
    <w:rsid w:val="00CE5710"/>
    <w:rsid w:val="00CE60B8"/>
    <w:rsid w:val="00CF06F9"/>
    <w:rsid w:val="00D0097A"/>
    <w:rsid w:val="00D20FA0"/>
    <w:rsid w:val="00D250E1"/>
    <w:rsid w:val="00D26795"/>
    <w:rsid w:val="00D267A8"/>
    <w:rsid w:val="00D27357"/>
    <w:rsid w:val="00D340AF"/>
    <w:rsid w:val="00D3599A"/>
    <w:rsid w:val="00D42E37"/>
    <w:rsid w:val="00D46087"/>
    <w:rsid w:val="00D633D5"/>
    <w:rsid w:val="00D71208"/>
    <w:rsid w:val="00D77FBB"/>
    <w:rsid w:val="00D8063E"/>
    <w:rsid w:val="00D8241F"/>
    <w:rsid w:val="00D82665"/>
    <w:rsid w:val="00D854C2"/>
    <w:rsid w:val="00D865BA"/>
    <w:rsid w:val="00D91F54"/>
    <w:rsid w:val="00D93862"/>
    <w:rsid w:val="00D955B6"/>
    <w:rsid w:val="00DA0CD8"/>
    <w:rsid w:val="00DA3178"/>
    <w:rsid w:val="00DB1979"/>
    <w:rsid w:val="00DB5771"/>
    <w:rsid w:val="00DB638F"/>
    <w:rsid w:val="00DC3729"/>
    <w:rsid w:val="00DC6081"/>
    <w:rsid w:val="00DC620E"/>
    <w:rsid w:val="00DC6C8C"/>
    <w:rsid w:val="00DD0C35"/>
    <w:rsid w:val="00DD184A"/>
    <w:rsid w:val="00DE0992"/>
    <w:rsid w:val="00DE21A2"/>
    <w:rsid w:val="00DF4321"/>
    <w:rsid w:val="00E005A2"/>
    <w:rsid w:val="00E0401E"/>
    <w:rsid w:val="00E054BB"/>
    <w:rsid w:val="00E061C1"/>
    <w:rsid w:val="00E15FAF"/>
    <w:rsid w:val="00E22683"/>
    <w:rsid w:val="00E24AD9"/>
    <w:rsid w:val="00E24C37"/>
    <w:rsid w:val="00E24E3B"/>
    <w:rsid w:val="00E263C0"/>
    <w:rsid w:val="00E342E3"/>
    <w:rsid w:val="00E4124C"/>
    <w:rsid w:val="00E42EFA"/>
    <w:rsid w:val="00E43ACD"/>
    <w:rsid w:val="00E44A65"/>
    <w:rsid w:val="00E4597B"/>
    <w:rsid w:val="00E53F49"/>
    <w:rsid w:val="00E55C13"/>
    <w:rsid w:val="00E57C09"/>
    <w:rsid w:val="00E610C8"/>
    <w:rsid w:val="00E67847"/>
    <w:rsid w:val="00E74D7A"/>
    <w:rsid w:val="00E80FBC"/>
    <w:rsid w:val="00E868F8"/>
    <w:rsid w:val="00E90497"/>
    <w:rsid w:val="00E90EA1"/>
    <w:rsid w:val="00E937CB"/>
    <w:rsid w:val="00E95F37"/>
    <w:rsid w:val="00E96825"/>
    <w:rsid w:val="00EA0857"/>
    <w:rsid w:val="00EA58E4"/>
    <w:rsid w:val="00EA596B"/>
    <w:rsid w:val="00EB1229"/>
    <w:rsid w:val="00EC0495"/>
    <w:rsid w:val="00EC1F59"/>
    <w:rsid w:val="00ED24B5"/>
    <w:rsid w:val="00ED59FC"/>
    <w:rsid w:val="00ED61F4"/>
    <w:rsid w:val="00ED78F9"/>
    <w:rsid w:val="00EE4910"/>
    <w:rsid w:val="00F01965"/>
    <w:rsid w:val="00F111AE"/>
    <w:rsid w:val="00F177D9"/>
    <w:rsid w:val="00F2354C"/>
    <w:rsid w:val="00F304C4"/>
    <w:rsid w:val="00F32C2B"/>
    <w:rsid w:val="00F34CAB"/>
    <w:rsid w:val="00F538CA"/>
    <w:rsid w:val="00F60F00"/>
    <w:rsid w:val="00F61E94"/>
    <w:rsid w:val="00F62FC0"/>
    <w:rsid w:val="00F651D8"/>
    <w:rsid w:val="00F659ED"/>
    <w:rsid w:val="00F65A4E"/>
    <w:rsid w:val="00F7647F"/>
    <w:rsid w:val="00F767E1"/>
    <w:rsid w:val="00F94799"/>
    <w:rsid w:val="00F9715C"/>
    <w:rsid w:val="00F9791D"/>
    <w:rsid w:val="00FA5E0C"/>
    <w:rsid w:val="00FB1313"/>
    <w:rsid w:val="00FB3DA6"/>
    <w:rsid w:val="00FC0B0A"/>
    <w:rsid w:val="00FC2A1B"/>
    <w:rsid w:val="00FC6B30"/>
    <w:rsid w:val="00FD0D11"/>
    <w:rsid w:val="00FD6534"/>
    <w:rsid w:val="00FE2650"/>
    <w:rsid w:val="00FE293A"/>
    <w:rsid w:val="00FE6D77"/>
    <w:rsid w:val="00FF5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0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F2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D07"/>
    <w:rPr>
      <w:rFonts w:asciiTheme="majorHAnsi" w:eastAsiaTheme="majorEastAsia" w:hAnsiTheme="majorHAnsi" w:cstheme="majorBidi"/>
      <w:b/>
      <w:bCs/>
      <w:snapToGrid w:val="0"/>
      <w:color w:val="365F91" w:themeColor="accent1" w:themeShade="BF"/>
      <w:sz w:val="28"/>
      <w:szCs w:val="28"/>
    </w:rPr>
  </w:style>
  <w:style w:type="paragraph" w:styleId="BodyText">
    <w:name w:val="Body Text"/>
    <w:basedOn w:val="Normal"/>
    <w:link w:val="BodyTextChar"/>
    <w:rsid w:val="006F2D07"/>
    <w:pPr>
      <w:jc w:val="both"/>
    </w:pPr>
  </w:style>
  <w:style w:type="character" w:customStyle="1" w:styleId="BodyTextChar">
    <w:name w:val="Body Text Char"/>
    <w:basedOn w:val="DefaultParagraphFont"/>
    <w:link w:val="BodyText"/>
    <w:rsid w:val="006F2D07"/>
    <w:rPr>
      <w:rFonts w:ascii="Times New Roman" w:eastAsia="Times New Roman" w:hAnsi="Times New Roman" w:cs="Times New Roman"/>
      <w:snapToGrid w:val="0"/>
      <w:sz w:val="24"/>
      <w:szCs w:val="20"/>
    </w:rPr>
  </w:style>
  <w:style w:type="paragraph" w:styleId="BodyText2">
    <w:name w:val="Body Text 2"/>
    <w:basedOn w:val="Normal"/>
    <w:link w:val="BodyText2Char"/>
    <w:rsid w:val="006F2D07"/>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6F2D07"/>
    <w:rPr>
      <w:rFonts w:ascii="Helv" w:eastAsia="Times New Roman" w:hAnsi="Helv" w:cs="Times New Roman"/>
      <w:snapToGrid w:val="0"/>
      <w:szCs w:val="20"/>
    </w:rPr>
  </w:style>
  <w:style w:type="paragraph" w:styleId="FootnoteText">
    <w:name w:val="footnote text"/>
    <w:basedOn w:val="Normal"/>
    <w:link w:val="FootnoteTextChar"/>
    <w:uiPriority w:val="99"/>
    <w:rsid w:val="006F2D07"/>
  </w:style>
  <w:style w:type="character" w:customStyle="1" w:styleId="FootnoteTextChar">
    <w:name w:val="Footnote Text Char"/>
    <w:basedOn w:val="DefaultParagraphFont"/>
    <w:link w:val="FootnoteText"/>
    <w:uiPriority w:val="99"/>
    <w:rsid w:val="006F2D07"/>
    <w:rPr>
      <w:rFonts w:ascii="Times New Roman" w:eastAsia="Times New Roman" w:hAnsi="Times New Roman" w:cs="Times New Roman"/>
      <w:snapToGrid w:val="0"/>
      <w:sz w:val="24"/>
      <w:szCs w:val="20"/>
    </w:rPr>
  </w:style>
  <w:style w:type="paragraph" w:styleId="Title">
    <w:name w:val="Title"/>
    <w:basedOn w:val="Normal"/>
    <w:link w:val="TitleChar"/>
    <w:qFormat/>
    <w:rsid w:val="006F2D07"/>
    <w:pPr>
      <w:widowControl/>
      <w:jc w:val="center"/>
    </w:pPr>
    <w:rPr>
      <w:b/>
      <w:sz w:val="28"/>
    </w:rPr>
  </w:style>
  <w:style w:type="character" w:customStyle="1" w:styleId="TitleChar">
    <w:name w:val="Title Char"/>
    <w:basedOn w:val="DefaultParagraphFont"/>
    <w:link w:val="Title"/>
    <w:rsid w:val="006F2D07"/>
    <w:rPr>
      <w:rFonts w:ascii="Times New Roman" w:eastAsia="Times New Roman" w:hAnsi="Times New Roman" w:cs="Times New Roman"/>
      <w:b/>
      <w:snapToGrid w:val="0"/>
      <w:sz w:val="28"/>
      <w:szCs w:val="20"/>
    </w:rPr>
  </w:style>
  <w:style w:type="character" w:styleId="FootnoteReference">
    <w:name w:val="footnote reference"/>
    <w:aliases w:val="ftref"/>
    <w:basedOn w:val="DefaultParagraphFont"/>
    <w:uiPriority w:val="99"/>
    <w:rsid w:val="006F2D07"/>
    <w:rPr>
      <w:vertAlign w:val="superscript"/>
    </w:rPr>
  </w:style>
  <w:style w:type="character" w:styleId="Hyperlink">
    <w:name w:val="Hyperlink"/>
    <w:basedOn w:val="DefaultParagraphFont"/>
    <w:rsid w:val="006F2D07"/>
    <w:rPr>
      <w:rFonts w:cs="Times New Roman"/>
      <w:color w:val="0000FF"/>
      <w:u w:val="single"/>
    </w:rPr>
  </w:style>
  <w:style w:type="character" w:styleId="Strong">
    <w:name w:val="Strong"/>
    <w:basedOn w:val="DefaultParagraphFont"/>
    <w:uiPriority w:val="22"/>
    <w:qFormat/>
    <w:rsid w:val="006F2D07"/>
    <w:rPr>
      <w:b/>
      <w:bCs/>
    </w:rPr>
  </w:style>
  <w:style w:type="paragraph" w:customStyle="1" w:styleId="FreeFormA">
    <w:name w:val="Free Form A"/>
    <w:rsid w:val="006F2D07"/>
    <w:pPr>
      <w:spacing w:after="0" w:line="240" w:lineRule="auto"/>
    </w:pPr>
    <w:rPr>
      <w:rFonts w:ascii="Times New Roman" w:eastAsia="?????? Pro W3" w:hAnsi="Times New Roman" w:cs="Times New Roman"/>
      <w:color w:val="000000"/>
      <w:sz w:val="24"/>
      <w:szCs w:val="24"/>
      <w:lang w:val="en-US"/>
    </w:rPr>
  </w:style>
  <w:style w:type="paragraph" w:customStyle="1" w:styleId="FreeFormAA">
    <w:name w:val="Free Form A A"/>
    <w:rsid w:val="006F2D07"/>
    <w:pPr>
      <w:spacing w:after="0" w:line="240" w:lineRule="auto"/>
    </w:pPr>
    <w:rPr>
      <w:rFonts w:ascii="Times New Roman" w:eastAsia="ヒラギノ角ゴ Pro W3" w:hAnsi="Times New Roman" w:cs="Times New Roman"/>
      <w:color w:val="000000"/>
      <w:sz w:val="20"/>
      <w:szCs w:val="20"/>
      <w:lang w:val="en-US"/>
    </w:rPr>
  </w:style>
  <w:style w:type="paragraph" w:styleId="ListParagraph">
    <w:name w:val="List Paragraph"/>
    <w:basedOn w:val="Normal"/>
    <w:uiPriority w:val="34"/>
    <w:qFormat/>
    <w:rsid w:val="006F2D07"/>
    <w:pPr>
      <w:ind w:left="720"/>
      <w:contextualSpacing/>
    </w:pPr>
  </w:style>
  <w:style w:type="paragraph" w:customStyle="1" w:styleId="FootnoteTextB">
    <w:name w:val="Footnote Text B"/>
    <w:rsid w:val="006F2D07"/>
    <w:pPr>
      <w:spacing w:after="0" w:line="240" w:lineRule="auto"/>
    </w:pPr>
    <w:rPr>
      <w:rFonts w:ascii="Helvetica" w:eastAsia="?????? Pro W3" w:hAnsi="Helvetica" w:cs="Helvetica"/>
      <w:color w:val="000000"/>
      <w:sz w:val="24"/>
      <w:szCs w:val="24"/>
      <w:lang w:val="en-US"/>
    </w:rPr>
  </w:style>
  <w:style w:type="paragraph" w:styleId="NormalWeb">
    <w:name w:val="Normal (Web)"/>
    <w:basedOn w:val="Normal"/>
    <w:uiPriority w:val="99"/>
    <w:unhideWhenUsed/>
    <w:rsid w:val="009B2811"/>
    <w:pPr>
      <w:widowControl/>
      <w:spacing w:before="100" w:beforeAutospacing="1" w:after="100" w:afterAutospacing="1"/>
    </w:pPr>
    <w:rPr>
      <w:snapToGrid/>
      <w:szCs w:val="24"/>
      <w:lang w:val="en-US"/>
    </w:rPr>
  </w:style>
  <w:style w:type="character" w:styleId="CommentReference">
    <w:name w:val="annotation reference"/>
    <w:basedOn w:val="DefaultParagraphFont"/>
    <w:uiPriority w:val="99"/>
    <w:semiHidden/>
    <w:unhideWhenUsed/>
    <w:rsid w:val="009B2811"/>
    <w:rPr>
      <w:sz w:val="16"/>
      <w:szCs w:val="16"/>
    </w:rPr>
  </w:style>
  <w:style w:type="paragraph" w:styleId="CommentText">
    <w:name w:val="annotation text"/>
    <w:basedOn w:val="Normal"/>
    <w:link w:val="CommentTextChar"/>
    <w:uiPriority w:val="99"/>
    <w:semiHidden/>
    <w:unhideWhenUsed/>
    <w:rsid w:val="009B2811"/>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9B2811"/>
    <w:rPr>
      <w:sz w:val="20"/>
      <w:szCs w:val="20"/>
    </w:rPr>
  </w:style>
  <w:style w:type="paragraph" w:styleId="BalloonText">
    <w:name w:val="Balloon Text"/>
    <w:basedOn w:val="Normal"/>
    <w:link w:val="BalloonTextChar"/>
    <w:uiPriority w:val="99"/>
    <w:semiHidden/>
    <w:unhideWhenUsed/>
    <w:rsid w:val="009B2811"/>
    <w:rPr>
      <w:rFonts w:ascii="Tahoma" w:hAnsi="Tahoma" w:cs="Tahoma"/>
      <w:sz w:val="16"/>
      <w:szCs w:val="16"/>
    </w:rPr>
  </w:style>
  <w:style w:type="character" w:customStyle="1" w:styleId="BalloonTextChar">
    <w:name w:val="Balloon Text Char"/>
    <w:basedOn w:val="DefaultParagraphFont"/>
    <w:link w:val="BalloonText"/>
    <w:uiPriority w:val="99"/>
    <w:semiHidden/>
    <w:rsid w:val="009B281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0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F2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D07"/>
    <w:rPr>
      <w:rFonts w:asciiTheme="majorHAnsi" w:eastAsiaTheme="majorEastAsia" w:hAnsiTheme="majorHAnsi" w:cstheme="majorBidi"/>
      <w:b/>
      <w:bCs/>
      <w:snapToGrid w:val="0"/>
      <w:color w:val="365F91" w:themeColor="accent1" w:themeShade="BF"/>
      <w:sz w:val="28"/>
      <w:szCs w:val="28"/>
    </w:rPr>
  </w:style>
  <w:style w:type="paragraph" w:styleId="BodyText">
    <w:name w:val="Body Text"/>
    <w:basedOn w:val="Normal"/>
    <w:link w:val="BodyTextChar"/>
    <w:rsid w:val="006F2D07"/>
    <w:pPr>
      <w:jc w:val="both"/>
    </w:pPr>
  </w:style>
  <w:style w:type="character" w:customStyle="1" w:styleId="BodyTextChar">
    <w:name w:val="Body Text Char"/>
    <w:basedOn w:val="DefaultParagraphFont"/>
    <w:link w:val="BodyText"/>
    <w:rsid w:val="006F2D07"/>
    <w:rPr>
      <w:rFonts w:ascii="Times New Roman" w:eastAsia="Times New Roman" w:hAnsi="Times New Roman" w:cs="Times New Roman"/>
      <w:snapToGrid w:val="0"/>
      <w:sz w:val="24"/>
      <w:szCs w:val="20"/>
    </w:rPr>
  </w:style>
  <w:style w:type="paragraph" w:styleId="BodyText2">
    <w:name w:val="Body Text 2"/>
    <w:basedOn w:val="Normal"/>
    <w:link w:val="BodyText2Char"/>
    <w:rsid w:val="006F2D07"/>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6F2D07"/>
    <w:rPr>
      <w:rFonts w:ascii="Helv" w:eastAsia="Times New Roman" w:hAnsi="Helv" w:cs="Times New Roman"/>
      <w:snapToGrid w:val="0"/>
      <w:szCs w:val="20"/>
    </w:rPr>
  </w:style>
  <w:style w:type="paragraph" w:styleId="FootnoteText">
    <w:name w:val="footnote text"/>
    <w:basedOn w:val="Normal"/>
    <w:link w:val="FootnoteTextChar"/>
    <w:uiPriority w:val="99"/>
    <w:rsid w:val="006F2D07"/>
  </w:style>
  <w:style w:type="character" w:customStyle="1" w:styleId="FootnoteTextChar">
    <w:name w:val="Footnote Text Char"/>
    <w:basedOn w:val="DefaultParagraphFont"/>
    <w:link w:val="FootnoteText"/>
    <w:uiPriority w:val="99"/>
    <w:rsid w:val="006F2D07"/>
    <w:rPr>
      <w:rFonts w:ascii="Times New Roman" w:eastAsia="Times New Roman" w:hAnsi="Times New Roman" w:cs="Times New Roman"/>
      <w:snapToGrid w:val="0"/>
      <w:sz w:val="24"/>
      <w:szCs w:val="20"/>
    </w:rPr>
  </w:style>
  <w:style w:type="paragraph" w:styleId="Title">
    <w:name w:val="Title"/>
    <w:basedOn w:val="Normal"/>
    <w:link w:val="TitleChar"/>
    <w:qFormat/>
    <w:rsid w:val="006F2D07"/>
    <w:pPr>
      <w:widowControl/>
      <w:jc w:val="center"/>
    </w:pPr>
    <w:rPr>
      <w:b/>
      <w:sz w:val="28"/>
    </w:rPr>
  </w:style>
  <w:style w:type="character" w:customStyle="1" w:styleId="TitleChar">
    <w:name w:val="Title Char"/>
    <w:basedOn w:val="DefaultParagraphFont"/>
    <w:link w:val="Title"/>
    <w:rsid w:val="006F2D07"/>
    <w:rPr>
      <w:rFonts w:ascii="Times New Roman" w:eastAsia="Times New Roman" w:hAnsi="Times New Roman" w:cs="Times New Roman"/>
      <w:b/>
      <w:snapToGrid w:val="0"/>
      <w:sz w:val="28"/>
      <w:szCs w:val="20"/>
    </w:rPr>
  </w:style>
  <w:style w:type="character" w:styleId="FootnoteReference">
    <w:name w:val="footnote reference"/>
    <w:aliases w:val="ftref"/>
    <w:basedOn w:val="DefaultParagraphFont"/>
    <w:uiPriority w:val="99"/>
    <w:rsid w:val="006F2D07"/>
    <w:rPr>
      <w:vertAlign w:val="superscript"/>
    </w:rPr>
  </w:style>
  <w:style w:type="character" w:styleId="Hyperlink">
    <w:name w:val="Hyperlink"/>
    <w:basedOn w:val="DefaultParagraphFont"/>
    <w:rsid w:val="006F2D07"/>
    <w:rPr>
      <w:rFonts w:cs="Times New Roman"/>
      <w:color w:val="0000FF"/>
      <w:u w:val="single"/>
    </w:rPr>
  </w:style>
  <w:style w:type="character" w:styleId="Strong">
    <w:name w:val="Strong"/>
    <w:basedOn w:val="DefaultParagraphFont"/>
    <w:uiPriority w:val="22"/>
    <w:qFormat/>
    <w:rsid w:val="006F2D07"/>
    <w:rPr>
      <w:b/>
      <w:bCs/>
    </w:rPr>
  </w:style>
  <w:style w:type="paragraph" w:customStyle="1" w:styleId="FreeFormA">
    <w:name w:val="Free Form A"/>
    <w:rsid w:val="006F2D07"/>
    <w:pPr>
      <w:spacing w:after="0" w:line="240" w:lineRule="auto"/>
    </w:pPr>
    <w:rPr>
      <w:rFonts w:ascii="Times New Roman" w:eastAsia="?????? Pro W3" w:hAnsi="Times New Roman" w:cs="Times New Roman"/>
      <w:color w:val="000000"/>
      <w:sz w:val="24"/>
      <w:szCs w:val="24"/>
      <w:lang w:val="en-US"/>
    </w:rPr>
  </w:style>
  <w:style w:type="paragraph" w:customStyle="1" w:styleId="FreeFormAA">
    <w:name w:val="Free Form A A"/>
    <w:rsid w:val="006F2D07"/>
    <w:pPr>
      <w:spacing w:after="0" w:line="240" w:lineRule="auto"/>
    </w:pPr>
    <w:rPr>
      <w:rFonts w:ascii="Times New Roman" w:eastAsia="ヒラギノ角ゴ Pro W3" w:hAnsi="Times New Roman" w:cs="Times New Roman"/>
      <w:color w:val="000000"/>
      <w:sz w:val="20"/>
      <w:szCs w:val="20"/>
      <w:lang w:val="en-US"/>
    </w:rPr>
  </w:style>
  <w:style w:type="paragraph" w:styleId="ListParagraph">
    <w:name w:val="List Paragraph"/>
    <w:basedOn w:val="Normal"/>
    <w:uiPriority w:val="34"/>
    <w:qFormat/>
    <w:rsid w:val="006F2D07"/>
    <w:pPr>
      <w:ind w:left="720"/>
      <w:contextualSpacing/>
    </w:pPr>
  </w:style>
  <w:style w:type="paragraph" w:customStyle="1" w:styleId="FootnoteTextB">
    <w:name w:val="Footnote Text B"/>
    <w:rsid w:val="006F2D07"/>
    <w:pPr>
      <w:spacing w:after="0" w:line="240" w:lineRule="auto"/>
    </w:pPr>
    <w:rPr>
      <w:rFonts w:ascii="Helvetica" w:eastAsia="?????? Pro W3" w:hAnsi="Helvetica" w:cs="Helvetica"/>
      <w:color w:val="000000"/>
      <w:sz w:val="24"/>
      <w:szCs w:val="24"/>
      <w:lang w:val="en-US"/>
    </w:rPr>
  </w:style>
  <w:style w:type="paragraph" w:styleId="NormalWeb">
    <w:name w:val="Normal (Web)"/>
    <w:basedOn w:val="Normal"/>
    <w:uiPriority w:val="99"/>
    <w:unhideWhenUsed/>
    <w:rsid w:val="009B2811"/>
    <w:pPr>
      <w:widowControl/>
      <w:spacing w:before="100" w:beforeAutospacing="1" w:after="100" w:afterAutospacing="1"/>
    </w:pPr>
    <w:rPr>
      <w:snapToGrid/>
      <w:szCs w:val="24"/>
      <w:lang w:val="en-US"/>
    </w:rPr>
  </w:style>
  <w:style w:type="character" w:styleId="CommentReference">
    <w:name w:val="annotation reference"/>
    <w:basedOn w:val="DefaultParagraphFont"/>
    <w:uiPriority w:val="99"/>
    <w:semiHidden/>
    <w:unhideWhenUsed/>
    <w:rsid w:val="009B2811"/>
    <w:rPr>
      <w:sz w:val="16"/>
      <w:szCs w:val="16"/>
    </w:rPr>
  </w:style>
  <w:style w:type="paragraph" w:styleId="CommentText">
    <w:name w:val="annotation text"/>
    <w:basedOn w:val="Normal"/>
    <w:link w:val="CommentTextChar"/>
    <w:uiPriority w:val="99"/>
    <w:semiHidden/>
    <w:unhideWhenUsed/>
    <w:rsid w:val="009B2811"/>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9B2811"/>
    <w:rPr>
      <w:sz w:val="20"/>
      <w:szCs w:val="20"/>
    </w:rPr>
  </w:style>
  <w:style w:type="paragraph" w:styleId="BalloonText">
    <w:name w:val="Balloon Text"/>
    <w:basedOn w:val="Normal"/>
    <w:link w:val="BalloonTextChar"/>
    <w:uiPriority w:val="99"/>
    <w:semiHidden/>
    <w:unhideWhenUsed/>
    <w:rsid w:val="009B2811"/>
    <w:rPr>
      <w:rFonts w:ascii="Tahoma" w:hAnsi="Tahoma" w:cs="Tahoma"/>
      <w:sz w:val="16"/>
      <w:szCs w:val="16"/>
    </w:rPr>
  </w:style>
  <w:style w:type="character" w:customStyle="1" w:styleId="BalloonTextChar">
    <w:name w:val="Balloon Text Char"/>
    <w:basedOn w:val="DefaultParagraphFont"/>
    <w:link w:val="BalloonText"/>
    <w:uiPriority w:val="99"/>
    <w:semiHidden/>
    <w:rsid w:val="009B281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88840944">
      <w:bodyDiv w:val="1"/>
      <w:marLeft w:val="0"/>
      <w:marRight w:val="0"/>
      <w:marTop w:val="0"/>
      <w:marBottom w:val="0"/>
      <w:divBdr>
        <w:top w:val="none" w:sz="0" w:space="0" w:color="auto"/>
        <w:left w:val="none" w:sz="0" w:space="0" w:color="auto"/>
        <w:bottom w:val="none" w:sz="0" w:space="0" w:color="auto"/>
        <w:right w:val="none" w:sz="0" w:space="0" w:color="auto"/>
      </w:divBdr>
      <w:divsChild>
        <w:div w:id="359281867">
          <w:marLeft w:val="1008"/>
          <w:marRight w:val="0"/>
          <w:marTop w:val="110"/>
          <w:marBottom w:val="0"/>
          <w:divBdr>
            <w:top w:val="none" w:sz="0" w:space="0" w:color="auto"/>
            <w:left w:val="none" w:sz="0" w:space="0" w:color="auto"/>
            <w:bottom w:val="none" w:sz="0" w:space="0" w:color="auto"/>
            <w:right w:val="none" w:sz="0" w:space="0" w:color="auto"/>
          </w:divBdr>
        </w:div>
        <w:div w:id="1618293925">
          <w:marLeft w:val="1008"/>
          <w:marRight w:val="0"/>
          <w:marTop w:val="110"/>
          <w:marBottom w:val="0"/>
          <w:divBdr>
            <w:top w:val="none" w:sz="0" w:space="0" w:color="auto"/>
            <w:left w:val="none" w:sz="0" w:space="0" w:color="auto"/>
            <w:bottom w:val="none" w:sz="0" w:space="0" w:color="auto"/>
            <w:right w:val="none" w:sz="0" w:space="0" w:color="auto"/>
          </w:divBdr>
        </w:div>
        <w:div w:id="420564212">
          <w:marLeft w:val="1008"/>
          <w:marRight w:val="0"/>
          <w:marTop w:val="110"/>
          <w:marBottom w:val="0"/>
          <w:divBdr>
            <w:top w:val="none" w:sz="0" w:space="0" w:color="auto"/>
            <w:left w:val="none" w:sz="0" w:space="0" w:color="auto"/>
            <w:bottom w:val="none" w:sz="0" w:space="0" w:color="auto"/>
            <w:right w:val="none" w:sz="0" w:space="0" w:color="auto"/>
          </w:divBdr>
        </w:div>
        <w:div w:id="280645938">
          <w:marLeft w:val="504"/>
          <w:marRight w:val="0"/>
          <w:marTop w:val="140"/>
          <w:marBottom w:val="0"/>
          <w:divBdr>
            <w:top w:val="none" w:sz="0" w:space="0" w:color="auto"/>
            <w:left w:val="none" w:sz="0" w:space="0" w:color="auto"/>
            <w:bottom w:val="none" w:sz="0" w:space="0" w:color="auto"/>
            <w:right w:val="none" w:sz="0" w:space="0" w:color="auto"/>
          </w:divBdr>
        </w:div>
        <w:div w:id="2033994591">
          <w:marLeft w:val="1008"/>
          <w:marRight w:val="0"/>
          <w:marTop w:val="110"/>
          <w:marBottom w:val="0"/>
          <w:divBdr>
            <w:top w:val="none" w:sz="0" w:space="0" w:color="auto"/>
            <w:left w:val="none" w:sz="0" w:space="0" w:color="auto"/>
            <w:bottom w:val="none" w:sz="0" w:space="0" w:color="auto"/>
            <w:right w:val="none" w:sz="0" w:space="0" w:color="auto"/>
          </w:divBdr>
        </w:div>
      </w:divsChild>
    </w:div>
    <w:div w:id="206379348">
      <w:bodyDiv w:val="1"/>
      <w:marLeft w:val="0"/>
      <w:marRight w:val="0"/>
      <w:marTop w:val="0"/>
      <w:marBottom w:val="0"/>
      <w:divBdr>
        <w:top w:val="none" w:sz="0" w:space="0" w:color="auto"/>
        <w:left w:val="none" w:sz="0" w:space="0" w:color="auto"/>
        <w:bottom w:val="none" w:sz="0" w:space="0" w:color="auto"/>
        <w:right w:val="none" w:sz="0" w:space="0" w:color="auto"/>
      </w:divBdr>
    </w:div>
    <w:div w:id="329329305">
      <w:bodyDiv w:val="1"/>
      <w:marLeft w:val="0"/>
      <w:marRight w:val="0"/>
      <w:marTop w:val="0"/>
      <w:marBottom w:val="0"/>
      <w:divBdr>
        <w:top w:val="none" w:sz="0" w:space="0" w:color="auto"/>
        <w:left w:val="none" w:sz="0" w:space="0" w:color="auto"/>
        <w:bottom w:val="none" w:sz="0" w:space="0" w:color="auto"/>
        <w:right w:val="none" w:sz="0" w:space="0" w:color="auto"/>
      </w:divBdr>
      <w:divsChild>
        <w:div w:id="229266983">
          <w:marLeft w:val="504"/>
          <w:marRight w:val="0"/>
          <w:marTop w:val="140"/>
          <w:marBottom w:val="0"/>
          <w:divBdr>
            <w:top w:val="none" w:sz="0" w:space="0" w:color="auto"/>
            <w:left w:val="none" w:sz="0" w:space="0" w:color="auto"/>
            <w:bottom w:val="none" w:sz="0" w:space="0" w:color="auto"/>
            <w:right w:val="none" w:sz="0" w:space="0" w:color="auto"/>
          </w:divBdr>
        </w:div>
        <w:div w:id="1216547931">
          <w:marLeft w:val="504"/>
          <w:marRight w:val="0"/>
          <w:marTop w:val="140"/>
          <w:marBottom w:val="0"/>
          <w:divBdr>
            <w:top w:val="none" w:sz="0" w:space="0" w:color="auto"/>
            <w:left w:val="none" w:sz="0" w:space="0" w:color="auto"/>
            <w:bottom w:val="none" w:sz="0" w:space="0" w:color="auto"/>
            <w:right w:val="none" w:sz="0" w:space="0" w:color="auto"/>
          </w:divBdr>
        </w:div>
      </w:divsChild>
    </w:div>
    <w:div w:id="1579095509">
      <w:bodyDiv w:val="1"/>
      <w:marLeft w:val="0"/>
      <w:marRight w:val="0"/>
      <w:marTop w:val="0"/>
      <w:marBottom w:val="0"/>
      <w:divBdr>
        <w:top w:val="none" w:sz="0" w:space="0" w:color="auto"/>
        <w:left w:val="none" w:sz="0" w:space="0" w:color="auto"/>
        <w:bottom w:val="none" w:sz="0" w:space="0" w:color="auto"/>
        <w:right w:val="none" w:sz="0" w:space="0" w:color="auto"/>
      </w:divBdr>
      <w:divsChild>
        <w:div w:id="2104061781">
          <w:marLeft w:val="274"/>
          <w:marRight w:val="0"/>
          <w:marTop w:val="86"/>
          <w:marBottom w:val="0"/>
          <w:divBdr>
            <w:top w:val="none" w:sz="0" w:space="0" w:color="auto"/>
            <w:left w:val="none" w:sz="0" w:space="0" w:color="auto"/>
            <w:bottom w:val="none" w:sz="0" w:space="0" w:color="auto"/>
            <w:right w:val="none" w:sz="0" w:space="0" w:color="auto"/>
          </w:divBdr>
        </w:div>
        <w:div w:id="1643609240">
          <w:marLeft w:val="274"/>
          <w:marRight w:val="0"/>
          <w:marTop w:val="86"/>
          <w:marBottom w:val="0"/>
          <w:divBdr>
            <w:top w:val="none" w:sz="0" w:space="0" w:color="auto"/>
            <w:left w:val="none" w:sz="0" w:space="0" w:color="auto"/>
            <w:bottom w:val="none" w:sz="0" w:space="0" w:color="auto"/>
            <w:right w:val="none" w:sz="0" w:space="0" w:color="auto"/>
          </w:divBdr>
        </w:div>
        <w:div w:id="1694107085">
          <w:marLeft w:val="274"/>
          <w:marRight w:val="0"/>
          <w:marTop w:val="86"/>
          <w:marBottom w:val="0"/>
          <w:divBdr>
            <w:top w:val="none" w:sz="0" w:space="0" w:color="auto"/>
            <w:left w:val="none" w:sz="0" w:space="0" w:color="auto"/>
            <w:bottom w:val="none" w:sz="0" w:space="0" w:color="auto"/>
            <w:right w:val="none" w:sz="0" w:space="0" w:color="auto"/>
          </w:divBdr>
        </w:div>
        <w:div w:id="67120867">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rsh@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christine.heckman</cp:lastModifiedBy>
  <cp:revision>2</cp:revision>
  <cp:lastPrinted>2012-07-25T22:53:00Z</cp:lastPrinted>
  <dcterms:created xsi:type="dcterms:W3CDTF">2012-10-04T16:10:00Z</dcterms:created>
  <dcterms:modified xsi:type="dcterms:W3CDTF">2012-10-04T16:10:00Z</dcterms:modified>
</cp:coreProperties>
</file>